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4D5B46" w14:textId="77777777" w:rsidR="005F5496" w:rsidRPr="005F5496" w:rsidRDefault="005F5496" w:rsidP="005F5496">
      <w:pPr>
        <w:spacing w:line="276" w:lineRule="auto"/>
        <w:jc w:val="center"/>
        <w:rPr>
          <w:rFonts w:ascii="Arial" w:hAnsi="Arial" w:cs="Arial"/>
          <w:b/>
          <w:bCs/>
          <w:i/>
          <w:iCs/>
          <w:sz w:val="28"/>
          <w:szCs w:val="28"/>
          <w:u w:val="single"/>
          <w:lang w:val="en-US"/>
        </w:rPr>
      </w:pPr>
      <w:r w:rsidRPr="005F5496">
        <w:rPr>
          <w:rFonts w:ascii="Arial" w:hAnsi="Arial" w:cs="Arial"/>
          <w:b/>
          <w:bCs/>
          <w:i/>
          <w:iCs/>
          <w:sz w:val="28"/>
          <w:szCs w:val="28"/>
          <w:u w:val="single"/>
          <w:lang w:val="en-US"/>
        </w:rPr>
        <w:t>Original Research Article</w:t>
      </w:r>
    </w:p>
    <w:p w14:paraId="538A1869" w14:textId="77777777" w:rsidR="00F15723" w:rsidRPr="008F3CB5" w:rsidRDefault="00F15723" w:rsidP="001D73C3">
      <w:pPr>
        <w:spacing w:line="276" w:lineRule="auto"/>
        <w:jc w:val="center"/>
        <w:rPr>
          <w:rFonts w:ascii="Arial" w:hAnsi="Arial" w:cs="Arial"/>
          <w:b/>
          <w:bCs/>
          <w:sz w:val="28"/>
          <w:szCs w:val="28"/>
        </w:rPr>
      </w:pPr>
      <w:r w:rsidRPr="008F3CB5">
        <w:rPr>
          <w:rFonts w:ascii="Arial" w:hAnsi="Arial" w:cs="Arial"/>
          <w:b/>
          <w:bCs/>
          <w:sz w:val="28"/>
          <w:szCs w:val="28"/>
        </w:rPr>
        <w:t>The Rural Renal Equation: Age, BMI, and Biochemical Insights</w:t>
      </w:r>
    </w:p>
    <w:p w14:paraId="0CEE02E8" w14:textId="77777777" w:rsidR="002E06DC" w:rsidRDefault="002E06DC" w:rsidP="00C17E0C">
      <w:pPr>
        <w:jc w:val="both"/>
        <w:rPr>
          <w:rFonts w:ascii="Arial" w:hAnsi="Arial" w:cs="Arial"/>
          <w:b/>
          <w:bCs/>
        </w:rPr>
      </w:pPr>
    </w:p>
    <w:p w14:paraId="35A10C93" w14:textId="77777777" w:rsidR="006E4E52" w:rsidRPr="008F3CB5" w:rsidRDefault="006E4E52" w:rsidP="00C17E0C">
      <w:pPr>
        <w:jc w:val="both"/>
        <w:rPr>
          <w:rFonts w:ascii="Arial" w:hAnsi="Arial" w:cs="Arial"/>
          <w:b/>
          <w:bCs/>
        </w:rPr>
      </w:pPr>
    </w:p>
    <w:p w14:paraId="6CA347F8" w14:textId="5CE2787E" w:rsidR="00C17E0C" w:rsidRPr="008F3CB5" w:rsidRDefault="007242DC" w:rsidP="00C17E0C">
      <w:pPr>
        <w:jc w:val="both"/>
        <w:rPr>
          <w:rFonts w:ascii="Arial" w:hAnsi="Arial" w:cs="Arial"/>
        </w:rPr>
      </w:pPr>
      <w:r w:rsidRPr="008F3CB5">
        <w:rPr>
          <w:rFonts w:ascii="Arial" w:hAnsi="Arial" w:cs="Arial"/>
          <w:b/>
          <w:bCs/>
        </w:rPr>
        <w:t>ABSTRACT</w:t>
      </w:r>
    </w:p>
    <w:p w14:paraId="7B156C2B" w14:textId="5F683E83" w:rsidR="00C17E0C" w:rsidRPr="008F3CB5" w:rsidRDefault="00C17E0C" w:rsidP="00C17E0C">
      <w:pPr>
        <w:jc w:val="both"/>
        <w:rPr>
          <w:rFonts w:ascii="Arial" w:hAnsi="Arial" w:cs="Arial"/>
        </w:rPr>
      </w:pPr>
      <w:r w:rsidRPr="008F3CB5">
        <w:rPr>
          <w:rFonts w:ascii="Arial" w:hAnsi="Arial" w:cs="Arial"/>
          <w:b/>
          <w:bCs/>
        </w:rPr>
        <w:t>Background:</w:t>
      </w:r>
      <w:r w:rsidRPr="008F3CB5">
        <w:rPr>
          <w:rFonts w:ascii="Arial" w:hAnsi="Arial" w:cs="Arial"/>
        </w:rPr>
        <w:t xml:space="preserve"> Renal function is a critical marker of systemic health, influenced by both physiological aging and metabolic stress. However, limited data exist on how demographic and biochemical variables jointly impact kidney function in rural Indian populations.</w:t>
      </w:r>
      <w:r w:rsidR="00505E6D" w:rsidRPr="008F3CB5">
        <w:rPr>
          <w:rFonts w:ascii="Arial" w:hAnsi="Arial" w:cs="Arial"/>
        </w:rPr>
        <w:t xml:space="preserve"> </w:t>
      </w:r>
      <w:r w:rsidR="00505E6D" w:rsidRPr="008F3CB5">
        <w:rPr>
          <w:rFonts w:ascii="Arial" w:hAnsi="Arial" w:cs="Arial"/>
          <w:b/>
          <w:bCs/>
        </w:rPr>
        <w:t>AIM</w:t>
      </w:r>
      <w:r w:rsidRPr="008F3CB5">
        <w:rPr>
          <w:rFonts w:ascii="Arial" w:hAnsi="Arial" w:cs="Arial"/>
          <w:b/>
          <w:bCs/>
        </w:rPr>
        <w:t>:</w:t>
      </w:r>
      <w:r w:rsidRPr="008F3CB5">
        <w:rPr>
          <w:rFonts w:ascii="Arial" w:hAnsi="Arial" w:cs="Arial"/>
        </w:rPr>
        <w:t xml:space="preserve"> To assess the influence of age, body mass index (BMI), and key biochemical indices on renal function within a rural Indian cohort.</w:t>
      </w:r>
      <w:r w:rsidR="00505E6D" w:rsidRPr="008F3CB5">
        <w:rPr>
          <w:rFonts w:ascii="Arial" w:hAnsi="Arial" w:cs="Arial"/>
        </w:rPr>
        <w:t xml:space="preserve"> </w:t>
      </w:r>
      <w:r w:rsidRPr="008F3CB5">
        <w:rPr>
          <w:rFonts w:ascii="Arial" w:hAnsi="Arial" w:cs="Arial"/>
          <w:b/>
          <w:bCs/>
        </w:rPr>
        <w:t>Methods:</w:t>
      </w:r>
      <w:r w:rsidRPr="008F3CB5">
        <w:rPr>
          <w:rFonts w:ascii="Arial" w:hAnsi="Arial" w:cs="Arial"/>
        </w:rPr>
        <w:t xml:space="preserve"> A cross-sectional study of 200 individuals was conducted, </w:t>
      </w:r>
      <w:r w:rsidR="000D7B9D" w:rsidRPr="008F3CB5">
        <w:rPr>
          <w:rFonts w:ascii="Arial" w:hAnsi="Arial" w:cs="Arial"/>
        </w:rPr>
        <w:t>analysing</w:t>
      </w:r>
      <w:r w:rsidRPr="008F3CB5">
        <w:rPr>
          <w:rFonts w:ascii="Arial" w:hAnsi="Arial" w:cs="Arial"/>
        </w:rPr>
        <w:t xml:space="preserve"> estimated glomerular filtration rate (eGFR), serum creatinine, and blood urea nitrogen (BUN) across age groups. Pearson’s correlation and multivariate linear regression were used to explore associations between renal function and demographic/biochemical predictors.</w:t>
      </w:r>
      <w:r w:rsidR="00505E6D" w:rsidRPr="008F3CB5">
        <w:rPr>
          <w:rFonts w:ascii="Arial" w:hAnsi="Arial" w:cs="Arial"/>
        </w:rPr>
        <w:t xml:space="preserve"> </w:t>
      </w:r>
      <w:r w:rsidRPr="008F3CB5">
        <w:rPr>
          <w:rFonts w:ascii="Arial" w:hAnsi="Arial" w:cs="Arial"/>
          <w:b/>
          <w:bCs/>
        </w:rPr>
        <w:t>Results:</w:t>
      </w:r>
      <w:r w:rsidRPr="008F3CB5">
        <w:rPr>
          <w:rFonts w:ascii="Arial" w:hAnsi="Arial" w:cs="Arial"/>
        </w:rPr>
        <w:t xml:space="preserve"> The mean age was 59.7 ± 17.2 years, and mean BMI was 24.5 ± 4.2 kg/m². A significant age-dependent decline in GFR was observed: from 131.2 mL/min in individuals &lt;40 years to 62.1 mL/min in those &gt;60 years. Strong negative correlations were found between age and GFR (r = -0.71, p &lt; 0.001) and between BMI and GFR (r = -0.35, p = 0.002), while BMI positively correlated with serum creatinine (r = 0.29, p = 0.006). Age also showed a strong positive correlation with BUN (r = 0.64, p &lt; 0.001). In multivariate analysis, age (β = -0.56, p &lt; 0.001), BMI (β = -0.28, p = 0.004), and bicarbonate levels (β = +0.31, p = 0.002) independently predicted GFR.</w:t>
      </w:r>
      <w:r w:rsidR="00505E6D" w:rsidRPr="008F3CB5">
        <w:rPr>
          <w:rFonts w:ascii="Arial" w:hAnsi="Arial" w:cs="Arial"/>
        </w:rPr>
        <w:t xml:space="preserve"> </w:t>
      </w:r>
      <w:r w:rsidRPr="008F3CB5">
        <w:rPr>
          <w:rFonts w:ascii="Arial" w:hAnsi="Arial" w:cs="Arial"/>
          <w:b/>
          <w:bCs/>
        </w:rPr>
        <w:t>Conclusion:</w:t>
      </w:r>
      <w:r w:rsidRPr="008F3CB5">
        <w:rPr>
          <w:rFonts w:ascii="Arial" w:hAnsi="Arial" w:cs="Arial"/>
        </w:rPr>
        <w:t xml:space="preserve"> Age and BMI are strong, independent predictors of renal function decline in rural populations. Elevated bicarbonate levels appear to exert a protective effect. These findings underscore the need for age- and weight-adjusted screening protocols in low-resource settings to enable earlier intervention.</w:t>
      </w:r>
    </w:p>
    <w:p w14:paraId="696023E8" w14:textId="3ACF81A2" w:rsidR="00505E6D" w:rsidRPr="008F3CB5" w:rsidRDefault="00505E6D" w:rsidP="00C17E0C">
      <w:pPr>
        <w:jc w:val="both"/>
        <w:rPr>
          <w:rFonts w:ascii="Arial" w:hAnsi="Arial" w:cs="Arial"/>
        </w:rPr>
      </w:pPr>
      <w:r w:rsidRPr="008F3CB5">
        <w:rPr>
          <w:rFonts w:ascii="Arial" w:hAnsi="Arial" w:cs="Arial"/>
          <w:b/>
          <w:bCs/>
        </w:rPr>
        <w:t>Key Words:</w:t>
      </w:r>
      <w:r w:rsidRPr="008F3CB5">
        <w:rPr>
          <w:rFonts w:ascii="Arial" w:hAnsi="Arial" w:cs="Arial"/>
        </w:rPr>
        <w:t xml:space="preserve"> BMI ((Body Mass Index), Ageing, Biochemical Indices, Cohort, Blood Urea Nitrogen (BUN)</w:t>
      </w:r>
    </w:p>
    <w:p w14:paraId="7FE39A0A" w14:textId="77777777" w:rsidR="00C17E0C" w:rsidRPr="008F3CB5" w:rsidRDefault="00C17E0C" w:rsidP="00C17E0C">
      <w:pPr>
        <w:jc w:val="both"/>
        <w:rPr>
          <w:rFonts w:ascii="Arial" w:hAnsi="Arial" w:cs="Arial"/>
        </w:rPr>
      </w:pPr>
    </w:p>
    <w:p w14:paraId="455F1B33" w14:textId="77777777" w:rsidR="00C17E0C" w:rsidRPr="008F3CB5" w:rsidRDefault="00C17E0C" w:rsidP="00437525">
      <w:pPr>
        <w:spacing w:line="276" w:lineRule="auto"/>
        <w:rPr>
          <w:rFonts w:ascii="Arial" w:hAnsi="Arial" w:cs="Arial"/>
          <w:b/>
          <w:bCs/>
        </w:rPr>
      </w:pPr>
    </w:p>
    <w:p w14:paraId="384B0612" w14:textId="1D984062" w:rsidR="0073603A" w:rsidRPr="008F3CB5" w:rsidRDefault="007242DC" w:rsidP="00437525">
      <w:pPr>
        <w:spacing w:line="276" w:lineRule="auto"/>
        <w:rPr>
          <w:rFonts w:ascii="Arial" w:hAnsi="Arial" w:cs="Arial"/>
          <w:b/>
          <w:bCs/>
        </w:rPr>
      </w:pPr>
      <w:r w:rsidRPr="008F3CB5">
        <w:rPr>
          <w:rFonts w:ascii="Arial" w:hAnsi="Arial" w:cs="Arial"/>
          <w:b/>
          <w:bCs/>
        </w:rPr>
        <w:t>INTRODUCTION</w:t>
      </w:r>
    </w:p>
    <w:p w14:paraId="4DCAF953" w14:textId="199B74D2" w:rsidR="0073603A" w:rsidRPr="008F3CB5" w:rsidRDefault="0073603A" w:rsidP="00437525">
      <w:pPr>
        <w:spacing w:line="276" w:lineRule="auto"/>
        <w:jc w:val="both"/>
        <w:rPr>
          <w:rFonts w:ascii="Arial" w:hAnsi="Arial" w:cs="Arial"/>
        </w:rPr>
      </w:pPr>
      <w:r w:rsidRPr="008F3CB5">
        <w:rPr>
          <w:rFonts w:ascii="Arial" w:hAnsi="Arial" w:cs="Arial"/>
        </w:rPr>
        <w:t xml:space="preserve">Chronic kidney disease (CKD) represents a significant and growing global health concern, affecting approximately 9.1% of the world's population, with substantial variation across regions and populations </w:t>
      </w:r>
      <w:r w:rsidRPr="008F3CB5">
        <w:rPr>
          <w:rFonts w:ascii="Arial" w:hAnsi="Arial" w:cs="Arial"/>
          <w:vertAlign w:val="superscript"/>
        </w:rPr>
        <w:t>[1]</w:t>
      </w:r>
      <w:r w:rsidRPr="008F3CB5">
        <w:rPr>
          <w:rFonts w:ascii="Arial" w:hAnsi="Arial" w:cs="Arial"/>
        </w:rPr>
        <w:t xml:space="preserve">. In India, recent studies estimate that nearly 15–17% of the adult population may be affected by some form of kidney dysfunction, with rural populations facing particular challenges due to limited healthcare access and late-stage presentation </w:t>
      </w:r>
      <w:r w:rsidRPr="008F3CB5">
        <w:rPr>
          <w:rFonts w:ascii="Arial" w:hAnsi="Arial" w:cs="Arial"/>
          <w:vertAlign w:val="superscript"/>
        </w:rPr>
        <w:t>[2,3]</w:t>
      </w:r>
      <w:r w:rsidRPr="008F3CB5">
        <w:rPr>
          <w:rFonts w:ascii="Arial" w:hAnsi="Arial" w:cs="Arial"/>
        </w:rPr>
        <w:t>.</w:t>
      </w:r>
      <w:r w:rsidR="00505E6D" w:rsidRPr="008F3CB5">
        <w:rPr>
          <w:rFonts w:ascii="Arial" w:hAnsi="Arial" w:cs="Arial"/>
        </w:rPr>
        <w:t xml:space="preserve"> </w:t>
      </w:r>
      <w:r w:rsidRPr="008F3CB5">
        <w:rPr>
          <w:rFonts w:ascii="Arial" w:hAnsi="Arial" w:cs="Arial"/>
        </w:rPr>
        <w:t xml:space="preserve">Age is a major non-modifiable risk factor for the progressive decline in renal function. Studies have consistently shown </w:t>
      </w:r>
      <w:r w:rsidRPr="008F3CB5">
        <w:rPr>
          <w:rFonts w:ascii="Arial" w:hAnsi="Arial" w:cs="Arial"/>
        </w:rPr>
        <w:lastRenderedPageBreak/>
        <w:t xml:space="preserve">that glomerular filtration rate (GFR) declines by approximately 0.75–1.0 mL/min/year after the age of 40 years, largely due to cumulative nephron loss, glomerulosclerosis, and microvascular changes </w:t>
      </w:r>
      <w:r w:rsidRPr="008F3CB5">
        <w:rPr>
          <w:rFonts w:ascii="Arial" w:hAnsi="Arial" w:cs="Arial"/>
          <w:vertAlign w:val="superscript"/>
        </w:rPr>
        <w:t>[4]</w:t>
      </w:r>
      <w:r w:rsidRPr="008F3CB5">
        <w:rPr>
          <w:rFonts w:ascii="Arial" w:hAnsi="Arial" w:cs="Arial"/>
        </w:rPr>
        <w:t xml:space="preserve">. In the Indian context, the Indian Chronic Kidney Disease (ICKD) study has highlighted that age-related decline in GFR is compounded by a high burden of comorbidities such as hypertension and diabetes, even in semi-urban and rural settings </w:t>
      </w:r>
      <w:r w:rsidRPr="008F3CB5">
        <w:rPr>
          <w:rFonts w:ascii="Arial" w:hAnsi="Arial" w:cs="Arial"/>
          <w:vertAlign w:val="superscript"/>
        </w:rPr>
        <w:t>[5]</w:t>
      </w:r>
      <w:r w:rsidRPr="008F3CB5">
        <w:rPr>
          <w:rFonts w:ascii="Arial" w:hAnsi="Arial" w:cs="Arial"/>
        </w:rPr>
        <w:t>.</w:t>
      </w:r>
    </w:p>
    <w:p w14:paraId="5DB11EE3" w14:textId="298B24FF" w:rsidR="00505E6D" w:rsidRPr="008F3CB5" w:rsidRDefault="0073603A" w:rsidP="00437525">
      <w:pPr>
        <w:spacing w:line="276" w:lineRule="auto"/>
        <w:jc w:val="both"/>
        <w:rPr>
          <w:rFonts w:ascii="Arial" w:hAnsi="Arial" w:cs="Arial"/>
        </w:rPr>
      </w:pPr>
      <w:r w:rsidRPr="008F3CB5">
        <w:rPr>
          <w:rFonts w:ascii="Arial" w:hAnsi="Arial" w:cs="Arial"/>
        </w:rPr>
        <w:t>Body mass index (BMI) is another critical factor influencing renal outcomes. Higher BMI has been associated with increased risk of incident CKD, independent of traditional risk factors</w:t>
      </w:r>
      <w:r w:rsidRPr="008F3CB5">
        <w:rPr>
          <w:rFonts w:ascii="Arial" w:hAnsi="Arial" w:cs="Arial"/>
          <w:vertAlign w:val="superscript"/>
        </w:rPr>
        <w:t xml:space="preserve"> [6]</w:t>
      </w:r>
      <w:r w:rsidRPr="008F3CB5">
        <w:rPr>
          <w:rFonts w:ascii="Arial" w:hAnsi="Arial" w:cs="Arial"/>
        </w:rPr>
        <w:t xml:space="preserve">. Obesity may contribute to renal injury through mechanisms including glomerular hyperfiltration, activation of the renin-angiotensin-aldosterone system (RAAS), and chronic low-grade inflammation </w:t>
      </w:r>
      <w:r w:rsidRPr="008F3CB5">
        <w:rPr>
          <w:rFonts w:ascii="Arial" w:hAnsi="Arial" w:cs="Arial"/>
          <w:vertAlign w:val="superscript"/>
        </w:rPr>
        <w:t>[7]</w:t>
      </w:r>
      <w:r w:rsidRPr="008F3CB5">
        <w:rPr>
          <w:rFonts w:ascii="Arial" w:hAnsi="Arial" w:cs="Arial"/>
        </w:rPr>
        <w:t>. A study</w:t>
      </w:r>
      <w:r w:rsidR="00D170CA" w:rsidRPr="008F3CB5">
        <w:rPr>
          <w:rFonts w:ascii="Arial" w:hAnsi="Arial" w:cs="Arial"/>
        </w:rPr>
        <w:t xml:space="preserve"> also</w:t>
      </w:r>
      <w:r w:rsidRPr="008F3CB5">
        <w:rPr>
          <w:rFonts w:ascii="Arial" w:hAnsi="Arial" w:cs="Arial"/>
        </w:rPr>
        <w:t xml:space="preserve"> demonstrated that obesity-related glomerulopathy is an emerging cause of CKD, emphasizing the urgent need to monitor BMI as a modifiable risk factor </w:t>
      </w:r>
      <w:r w:rsidRPr="008F3CB5">
        <w:rPr>
          <w:rFonts w:ascii="Arial" w:hAnsi="Arial" w:cs="Arial"/>
          <w:vertAlign w:val="superscript"/>
        </w:rPr>
        <w:t>[8]</w:t>
      </w:r>
      <w:r w:rsidRPr="008F3CB5">
        <w:rPr>
          <w:rFonts w:ascii="Arial" w:hAnsi="Arial" w:cs="Arial"/>
        </w:rPr>
        <w:t>.</w:t>
      </w:r>
      <w:r w:rsidR="00505E6D" w:rsidRPr="008F3CB5">
        <w:rPr>
          <w:rFonts w:ascii="Arial" w:hAnsi="Arial" w:cs="Arial"/>
        </w:rPr>
        <w:t xml:space="preserve"> </w:t>
      </w:r>
      <w:r w:rsidRPr="008F3CB5">
        <w:rPr>
          <w:rFonts w:ascii="Arial" w:hAnsi="Arial" w:cs="Arial"/>
        </w:rPr>
        <w:t xml:space="preserve">Biochemical indices such as serum creatinine, blood urea nitrogen (BUN), and serum bicarbonate offer important insights into renal and metabolic health. Elevated serum creatinine and BUN are established markers of declining GFR, whereas low serum bicarbonate levels have been associated with faster CKD progression and increased mortality </w:t>
      </w:r>
      <w:r w:rsidRPr="008F3CB5">
        <w:rPr>
          <w:rFonts w:ascii="Arial" w:hAnsi="Arial" w:cs="Arial"/>
          <w:vertAlign w:val="superscript"/>
        </w:rPr>
        <w:t>[9,10]</w:t>
      </w:r>
      <w:r w:rsidRPr="008F3CB5">
        <w:rPr>
          <w:rFonts w:ascii="Arial" w:hAnsi="Arial" w:cs="Arial"/>
        </w:rPr>
        <w:t>. A</w:t>
      </w:r>
      <w:r w:rsidR="00D170CA" w:rsidRPr="008F3CB5">
        <w:rPr>
          <w:rFonts w:ascii="Arial" w:hAnsi="Arial" w:cs="Arial"/>
        </w:rPr>
        <w:t xml:space="preserve">nother </w:t>
      </w:r>
      <w:r w:rsidRPr="008F3CB5">
        <w:rPr>
          <w:rFonts w:ascii="Arial" w:hAnsi="Arial" w:cs="Arial"/>
        </w:rPr>
        <w:t>study</w:t>
      </w:r>
      <w:r w:rsidRPr="008F3CB5">
        <w:rPr>
          <w:rFonts w:ascii="Arial" w:hAnsi="Arial" w:cs="Arial"/>
          <w:color w:val="FF0000"/>
        </w:rPr>
        <w:t xml:space="preserve"> </w:t>
      </w:r>
      <w:r w:rsidRPr="008F3CB5">
        <w:rPr>
          <w:rFonts w:ascii="Arial" w:hAnsi="Arial" w:cs="Arial"/>
        </w:rPr>
        <w:t xml:space="preserve">reported that metabolic acidosis, indicated by low serum bicarbonate, significantly accelerates loss of kidney function in CKD patients </w:t>
      </w:r>
      <w:r w:rsidRPr="008F3CB5">
        <w:rPr>
          <w:rFonts w:ascii="Arial" w:hAnsi="Arial" w:cs="Arial"/>
          <w:vertAlign w:val="superscript"/>
        </w:rPr>
        <w:t>[11]</w:t>
      </w:r>
      <w:r w:rsidRPr="008F3CB5">
        <w:rPr>
          <w:rFonts w:ascii="Arial" w:hAnsi="Arial" w:cs="Arial"/>
        </w:rPr>
        <w:t>.</w:t>
      </w:r>
      <w:r w:rsidR="00505E6D" w:rsidRPr="008F3CB5">
        <w:rPr>
          <w:rFonts w:ascii="Arial" w:hAnsi="Arial" w:cs="Arial"/>
        </w:rPr>
        <w:t xml:space="preserve"> </w:t>
      </w:r>
    </w:p>
    <w:p w14:paraId="2AACF7A3" w14:textId="2C240C59" w:rsidR="0073603A" w:rsidRPr="008F3CB5" w:rsidRDefault="0073603A" w:rsidP="00437525">
      <w:pPr>
        <w:spacing w:line="276" w:lineRule="auto"/>
        <w:jc w:val="both"/>
        <w:rPr>
          <w:rFonts w:ascii="Arial" w:hAnsi="Arial" w:cs="Arial"/>
        </w:rPr>
      </w:pPr>
      <w:r w:rsidRPr="008F3CB5">
        <w:rPr>
          <w:rFonts w:ascii="Arial" w:hAnsi="Arial" w:cs="Arial"/>
        </w:rPr>
        <w:t>Despite these well-established relationships, there remains a paucity of data specific to rural Indian populations. Rural communities often exhibit unique risk factor profiles, including differences in diet, physical activity, healthcare access, and awareness, making it critical to generate localized evidence</w:t>
      </w:r>
      <w:r w:rsidR="00505E6D" w:rsidRPr="008F3CB5">
        <w:rPr>
          <w:rFonts w:ascii="Arial" w:hAnsi="Arial" w:cs="Arial"/>
        </w:rPr>
        <w:t xml:space="preserve">. </w:t>
      </w:r>
      <w:r w:rsidRPr="008F3CB5">
        <w:rPr>
          <w:rFonts w:ascii="Arial" w:hAnsi="Arial" w:cs="Arial"/>
        </w:rPr>
        <w:t>Understanding how demographic and biochemical factors influence renal function in these populations is essential for designing effective prevention and intervention strategies.</w:t>
      </w:r>
      <w:r w:rsidR="00505E6D" w:rsidRPr="008F3CB5">
        <w:rPr>
          <w:rFonts w:ascii="Arial" w:hAnsi="Arial" w:cs="Arial"/>
        </w:rPr>
        <w:t xml:space="preserve"> </w:t>
      </w:r>
      <w:r w:rsidRPr="008F3CB5">
        <w:rPr>
          <w:rFonts w:ascii="Arial" w:hAnsi="Arial" w:cs="Arial"/>
        </w:rPr>
        <w:t>Thus, the present study seeks to evaluate the influence of age, BMI, and biochemical parameters on renal function in a rural Indian cohort, contributing valuable insights to the field of community nephrology.</w:t>
      </w:r>
    </w:p>
    <w:p w14:paraId="54037DC0" w14:textId="77777777" w:rsidR="00886F06" w:rsidRPr="008F3CB5" w:rsidRDefault="00886F06" w:rsidP="00437525">
      <w:pPr>
        <w:spacing w:line="276" w:lineRule="auto"/>
        <w:jc w:val="both"/>
        <w:rPr>
          <w:rFonts w:ascii="Arial" w:hAnsi="Arial" w:cs="Arial"/>
        </w:rPr>
      </w:pPr>
    </w:p>
    <w:p w14:paraId="36498422" w14:textId="6CAC57D3" w:rsidR="00886F06" w:rsidRPr="008F3CB5" w:rsidRDefault="007242DC" w:rsidP="00437525">
      <w:pPr>
        <w:spacing w:before="100" w:beforeAutospacing="1" w:after="100" w:afterAutospacing="1" w:line="276" w:lineRule="auto"/>
        <w:jc w:val="both"/>
        <w:outlineLvl w:val="1"/>
        <w:rPr>
          <w:rFonts w:ascii="Arial" w:eastAsia="Times New Roman" w:hAnsi="Arial" w:cs="Arial"/>
          <w:b/>
          <w:bCs/>
          <w:kern w:val="0"/>
          <w:lang w:eastAsia="en-IN"/>
          <w14:ligatures w14:val="none"/>
        </w:rPr>
      </w:pPr>
      <w:r w:rsidRPr="008F3CB5">
        <w:rPr>
          <w:rFonts w:ascii="Arial" w:eastAsia="Times New Roman" w:hAnsi="Arial" w:cs="Arial"/>
          <w:b/>
          <w:bCs/>
          <w:kern w:val="0"/>
          <w:lang w:eastAsia="en-IN"/>
          <w14:ligatures w14:val="none"/>
        </w:rPr>
        <w:t>MATERIALS AND METHODS</w:t>
      </w:r>
    </w:p>
    <w:p w14:paraId="3D5ED901" w14:textId="77777777" w:rsidR="00886F06" w:rsidRPr="00E459F3" w:rsidRDefault="00886F06" w:rsidP="00437525">
      <w:pPr>
        <w:spacing w:before="100" w:beforeAutospacing="1" w:after="100" w:afterAutospacing="1" w:line="276" w:lineRule="auto"/>
        <w:jc w:val="both"/>
        <w:outlineLvl w:val="2"/>
        <w:rPr>
          <w:rFonts w:ascii="Arial" w:eastAsia="Times New Roman" w:hAnsi="Arial" w:cs="Arial"/>
          <w:b/>
          <w:bCs/>
          <w:kern w:val="0"/>
          <w:sz w:val="22"/>
          <w:szCs w:val="22"/>
          <w:lang w:eastAsia="en-IN"/>
          <w14:ligatures w14:val="none"/>
        </w:rPr>
      </w:pPr>
      <w:r w:rsidRPr="00E459F3">
        <w:rPr>
          <w:rFonts w:ascii="Arial" w:eastAsia="Times New Roman" w:hAnsi="Arial" w:cs="Arial"/>
          <w:b/>
          <w:bCs/>
          <w:kern w:val="0"/>
          <w:sz w:val="22"/>
          <w:szCs w:val="22"/>
          <w:lang w:eastAsia="en-IN"/>
          <w14:ligatures w14:val="none"/>
        </w:rPr>
        <w:t>Study Setting and Participants</w:t>
      </w:r>
    </w:p>
    <w:p w14:paraId="6686F3C6" w14:textId="0AD87F99" w:rsidR="00892C84" w:rsidRPr="008F3CB5" w:rsidRDefault="00892C84" w:rsidP="00892C84">
      <w:pPr>
        <w:spacing w:before="100" w:beforeAutospacing="1" w:after="100" w:afterAutospacing="1" w:line="276" w:lineRule="auto"/>
        <w:jc w:val="both"/>
        <w:outlineLvl w:val="2"/>
        <w:rPr>
          <w:rFonts w:ascii="Arial" w:eastAsia="Times New Roman" w:hAnsi="Arial" w:cs="Arial"/>
          <w:kern w:val="0"/>
          <w:lang w:eastAsia="en-IN"/>
          <w14:ligatures w14:val="none"/>
        </w:rPr>
      </w:pPr>
      <w:r w:rsidRPr="008F3CB5">
        <w:rPr>
          <w:rFonts w:ascii="Arial" w:eastAsia="Times New Roman" w:hAnsi="Arial" w:cs="Arial"/>
          <w:kern w:val="0"/>
          <w:lang w:eastAsia="en-IN"/>
          <w14:ligatures w14:val="none"/>
        </w:rPr>
        <w:t>This community-based cross-sectional observational study was conducted over a six-month period in a rural district of India to evaluate the effects of age, body mass index (BMI), and select biochemical markers on renal function. A total of 200 individuals, aged 14 to 93 years, were recruited through voluntary participation in health camps and outpatient departments of local primary healthcare centres. Ethical approval was obtained from the Institutional Ethics Committee, and the study was conducted in accordance with the Declaration of Helsinki. Written informed consent was obtained from all participants or their legal guardians in the case of minors.</w:t>
      </w:r>
      <w:r w:rsidR="00505E6D" w:rsidRPr="008F3CB5">
        <w:rPr>
          <w:rFonts w:ascii="Arial" w:eastAsia="Times New Roman" w:hAnsi="Arial" w:cs="Arial"/>
          <w:kern w:val="0"/>
          <w:lang w:eastAsia="en-IN"/>
          <w14:ligatures w14:val="none"/>
        </w:rPr>
        <w:t xml:space="preserve"> </w:t>
      </w:r>
      <w:r w:rsidRPr="008F3CB5">
        <w:rPr>
          <w:rFonts w:ascii="Arial" w:eastAsia="Times New Roman" w:hAnsi="Arial" w:cs="Arial"/>
          <w:kern w:val="0"/>
          <w:lang w:eastAsia="en-IN"/>
          <w14:ligatures w14:val="none"/>
        </w:rPr>
        <w:t xml:space="preserve">Inclusion criteria were: individuals aged 14 years and above, permanent residents of the selected rural </w:t>
      </w:r>
      <w:r w:rsidRPr="008F3CB5">
        <w:rPr>
          <w:rFonts w:ascii="Arial" w:eastAsia="Times New Roman" w:hAnsi="Arial" w:cs="Arial"/>
          <w:kern w:val="0"/>
          <w:lang w:eastAsia="en-IN"/>
          <w14:ligatures w14:val="none"/>
        </w:rPr>
        <w:lastRenderedPageBreak/>
        <w:t>region, and availability of complete anthropometric and biochemical data. Participants were excluded if they had a known diagnosis of advanced chronic kidney disease (Stage 4 or 5), as severely impaired renal function may overshadow more subtle physiological variations and hinder the evaluation of associations with demographic and metabolic factors. Individuals who had experienced an acute kidney injury (AKI) within the preceding three months were also excluded, since such events may cause temporary and potentially misleading fluctuations in serum creatinine and glomerular filtration rate (GFR). Additionally, participants with active systemic infections or inflammatory conditions were excluded to avoid the confounding effects of acute-phase responses on renal and biochemical indices. Those who had been recently hospitalized (within the past 30 days) were not considered, given that recent medical interventions or acute illness could transiently alter renal parameters and biochemical profiles. Lastly, individuals on medications known to significantly influence renal function—such as corticosteroids, nephrotoxic agents, or diuretics—were excluded, as these drugs may independently affect GFR, electrolyte balance, or serum creatinine, thereby compromising the reliability of renal function assessment. These criteria were meticulously applied to minimize confounding variables and enhance the internal validity of the study findings.</w:t>
      </w:r>
    </w:p>
    <w:p w14:paraId="2142E52F" w14:textId="77777777" w:rsidR="006F264C" w:rsidRPr="00E459F3" w:rsidRDefault="006F264C" w:rsidP="006F264C">
      <w:pPr>
        <w:spacing w:before="100" w:beforeAutospacing="1" w:after="100" w:afterAutospacing="1" w:line="276" w:lineRule="auto"/>
        <w:jc w:val="both"/>
        <w:rPr>
          <w:rFonts w:ascii="Arial" w:eastAsia="Times New Roman" w:hAnsi="Arial" w:cs="Arial"/>
          <w:b/>
          <w:bCs/>
          <w:kern w:val="0"/>
          <w:sz w:val="22"/>
          <w:szCs w:val="22"/>
          <w:lang w:eastAsia="en-IN"/>
          <w14:ligatures w14:val="none"/>
        </w:rPr>
      </w:pPr>
      <w:r w:rsidRPr="00E459F3">
        <w:rPr>
          <w:rFonts w:ascii="Arial" w:eastAsia="Times New Roman" w:hAnsi="Arial" w:cs="Arial"/>
          <w:b/>
          <w:bCs/>
          <w:kern w:val="0"/>
          <w:sz w:val="22"/>
          <w:szCs w:val="22"/>
          <w:lang w:eastAsia="en-IN"/>
          <w14:ligatures w14:val="none"/>
        </w:rPr>
        <w:t>Data Collection and Measurements</w:t>
      </w:r>
    </w:p>
    <w:p w14:paraId="3B77A1A1" w14:textId="61D227ED" w:rsidR="006F264C" w:rsidRPr="008F3CB5" w:rsidRDefault="006F264C" w:rsidP="006F264C">
      <w:pPr>
        <w:spacing w:before="100" w:beforeAutospacing="1" w:after="100" w:afterAutospacing="1" w:line="276" w:lineRule="auto"/>
        <w:jc w:val="both"/>
        <w:rPr>
          <w:rFonts w:ascii="Arial" w:eastAsia="Times New Roman" w:hAnsi="Arial" w:cs="Arial"/>
          <w:kern w:val="0"/>
          <w:lang w:eastAsia="en-IN"/>
          <w14:ligatures w14:val="none"/>
        </w:rPr>
      </w:pPr>
      <w:r w:rsidRPr="008F3CB5">
        <w:rPr>
          <w:rFonts w:ascii="Arial" w:eastAsia="Times New Roman" w:hAnsi="Arial" w:cs="Arial"/>
          <w:kern w:val="0"/>
          <w:lang w:eastAsia="en-IN"/>
          <w14:ligatures w14:val="none"/>
        </w:rPr>
        <w:t xml:space="preserve">Data collection was performed using a structured, pre-tested questionnaire to obtain demographic details, medical history, and lifestyle factors. Anthropometric measurements were conducted using standardized tools and techniques. Height was measured to the nearest 0.1 cm using a Seca 213 Portable Stadiometer (Seca GmbH &amp; Co. KG, Hamburg, Germany), and weight was recorded with a </w:t>
      </w:r>
      <w:proofErr w:type="spellStart"/>
      <w:r w:rsidRPr="008F3CB5">
        <w:rPr>
          <w:rFonts w:ascii="Arial" w:eastAsia="Times New Roman" w:hAnsi="Arial" w:cs="Arial"/>
          <w:kern w:val="0"/>
          <w:lang w:eastAsia="en-IN"/>
          <w14:ligatures w14:val="none"/>
        </w:rPr>
        <w:t>HealthSense</w:t>
      </w:r>
      <w:proofErr w:type="spellEnd"/>
      <w:r w:rsidRPr="008F3CB5">
        <w:rPr>
          <w:rFonts w:ascii="Arial" w:eastAsia="Times New Roman" w:hAnsi="Arial" w:cs="Arial"/>
          <w:kern w:val="0"/>
          <w:lang w:eastAsia="en-IN"/>
          <w14:ligatures w14:val="none"/>
        </w:rPr>
        <w:t xml:space="preserve"> Ultra-Lite PS 126 Digital Weighing Scale (</w:t>
      </w:r>
      <w:proofErr w:type="spellStart"/>
      <w:r w:rsidRPr="008F3CB5">
        <w:rPr>
          <w:rFonts w:ascii="Arial" w:eastAsia="Times New Roman" w:hAnsi="Arial" w:cs="Arial"/>
          <w:kern w:val="0"/>
          <w:lang w:eastAsia="en-IN"/>
          <w14:ligatures w14:val="none"/>
        </w:rPr>
        <w:t>HealthSense</w:t>
      </w:r>
      <w:proofErr w:type="spellEnd"/>
      <w:r w:rsidRPr="008F3CB5">
        <w:rPr>
          <w:rFonts w:ascii="Arial" w:eastAsia="Times New Roman" w:hAnsi="Arial" w:cs="Arial"/>
          <w:kern w:val="0"/>
          <w:lang w:eastAsia="en-IN"/>
          <w14:ligatures w14:val="none"/>
        </w:rPr>
        <w:t>, India), accurate to 100 grams. BMI was calculated as weight (kg) divided by the square of height (m²).</w:t>
      </w:r>
      <w:r w:rsidR="001D73C3" w:rsidRPr="008F3CB5">
        <w:rPr>
          <w:rFonts w:ascii="Arial" w:eastAsia="Times New Roman" w:hAnsi="Arial" w:cs="Arial"/>
          <w:kern w:val="0"/>
          <w:lang w:eastAsia="en-IN"/>
          <w14:ligatures w14:val="none"/>
        </w:rPr>
        <w:t xml:space="preserve"> </w:t>
      </w:r>
      <w:r w:rsidRPr="008F3CB5">
        <w:rPr>
          <w:rFonts w:ascii="Arial" w:eastAsia="Times New Roman" w:hAnsi="Arial" w:cs="Arial"/>
          <w:kern w:val="0"/>
          <w:lang w:eastAsia="en-IN"/>
          <w14:ligatures w14:val="none"/>
        </w:rPr>
        <w:t>Fasting venous blood samples were collected from participants in the morning hours following an overnight fast. Blood was drawn under aseptic conditions using Vacutainer tubes and immediately transported under cold chain to central laboratory for biochemical analysis. Serum creatinine, blood urea nitrogen (BUN), and bicarbonate (HCO</w:t>
      </w:r>
      <w:r w:rsidRPr="008F3CB5">
        <w:rPr>
          <w:rFonts w:ascii="Cambria Math" w:eastAsia="Times New Roman" w:hAnsi="Cambria Math" w:cs="Cambria Math"/>
          <w:kern w:val="0"/>
          <w:lang w:eastAsia="en-IN"/>
          <w14:ligatures w14:val="none"/>
        </w:rPr>
        <w:t>₃⁻</w:t>
      </w:r>
      <w:r w:rsidRPr="008F3CB5">
        <w:rPr>
          <w:rFonts w:ascii="Arial" w:eastAsia="Times New Roman" w:hAnsi="Arial" w:cs="Arial"/>
          <w:kern w:val="0"/>
          <w:lang w:eastAsia="en-IN"/>
          <w14:ligatures w14:val="none"/>
        </w:rPr>
        <w:t>) levels were measured using the VITROS</w:t>
      </w:r>
      <w:r w:rsidR="00614EFC" w:rsidRPr="008F3CB5">
        <w:rPr>
          <w:rFonts w:ascii="Arial" w:eastAsia="Times New Roman" w:hAnsi="Arial" w:cs="Arial"/>
          <w:kern w:val="0"/>
          <w:lang w:eastAsia="en-IN"/>
          <w14:ligatures w14:val="none"/>
        </w:rPr>
        <w:t xml:space="preserve"> </w:t>
      </w:r>
      <w:r w:rsidRPr="008F3CB5">
        <w:rPr>
          <w:rFonts w:ascii="Arial" w:eastAsia="Times New Roman" w:hAnsi="Arial" w:cs="Arial"/>
          <w:kern w:val="0"/>
          <w:lang w:eastAsia="en-IN"/>
          <w14:ligatures w14:val="none"/>
        </w:rPr>
        <w:t xml:space="preserve">4600 Chemistry Analyzer. This system utilizes </w:t>
      </w:r>
      <w:proofErr w:type="spellStart"/>
      <w:r w:rsidRPr="008F3CB5">
        <w:rPr>
          <w:rFonts w:ascii="Arial" w:eastAsia="Times New Roman" w:hAnsi="Arial" w:cs="Arial"/>
          <w:kern w:val="0"/>
          <w:lang w:eastAsia="en-IN"/>
          <w14:ligatures w14:val="none"/>
        </w:rPr>
        <w:t>MicroSlide</w:t>
      </w:r>
      <w:proofErr w:type="spellEnd"/>
      <w:r w:rsidRPr="008F3CB5">
        <w:rPr>
          <w:rFonts w:ascii="Arial" w:eastAsia="Times New Roman" w:hAnsi="Arial" w:cs="Arial"/>
          <w:kern w:val="0"/>
          <w:lang w:eastAsia="en-IN"/>
          <w14:ligatures w14:val="none"/>
        </w:rPr>
        <w:t xml:space="preserve"> dry chemistry technology, with enzymatic methods for all three analytes to ensure high specificity and minimal interference.</w:t>
      </w:r>
    </w:p>
    <w:p w14:paraId="7CFB02E8" w14:textId="1D1C3406" w:rsidR="006F264C" w:rsidRPr="008F3CB5" w:rsidRDefault="006F264C" w:rsidP="00437525">
      <w:pPr>
        <w:spacing w:before="100" w:beforeAutospacing="1" w:after="100" w:afterAutospacing="1" w:line="276" w:lineRule="auto"/>
        <w:jc w:val="both"/>
        <w:rPr>
          <w:rFonts w:ascii="Arial" w:eastAsia="Times New Roman" w:hAnsi="Arial" w:cs="Arial"/>
          <w:kern w:val="0"/>
          <w:lang w:eastAsia="en-IN"/>
          <w14:ligatures w14:val="none"/>
        </w:rPr>
      </w:pPr>
      <w:r w:rsidRPr="008F3CB5">
        <w:rPr>
          <w:rFonts w:ascii="Arial" w:eastAsia="Times New Roman" w:hAnsi="Arial" w:cs="Arial"/>
          <w:kern w:val="0"/>
          <w:lang w:eastAsia="en-IN"/>
          <w14:ligatures w14:val="none"/>
        </w:rPr>
        <w:t xml:space="preserve">Serum creatinine was assessed using a dry-slide enzymatic method involving creatinine amidohydrolase, which enables accurate detection with reduced susceptibility to interfering substances such as bilirubin or glucose. BUN was measured enzymatically via the urease method, where urea is </w:t>
      </w:r>
      <w:r w:rsidR="00614EFC" w:rsidRPr="008F3CB5">
        <w:rPr>
          <w:rFonts w:ascii="Arial" w:eastAsia="Times New Roman" w:hAnsi="Arial" w:cs="Arial"/>
          <w:kern w:val="0"/>
          <w:lang w:eastAsia="en-IN"/>
          <w14:ligatures w14:val="none"/>
        </w:rPr>
        <w:t>hydrolysed</w:t>
      </w:r>
      <w:r w:rsidRPr="008F3CB5">
        <w:rPr>
          <w:rFonts w:ascii="Arial" w:eastAsia="Times New Roman" w:hAnsi="Arial" w:cs="Arial"/>
          <w:kern w:val="0"/>
          <w:lang w:eastAsia="en-IN"/>
          <w14:ligatures w14:val="none"/>
        </w:rPr>
        <w:t xml:space="preserve"> to ammonia and carbon dioxide, followed by a secondary reaction generating a quantifiable </w:t>
      </w:r>
      <w:r w:rsidR="00614EFC" w:rsidRPr="008F3CB5">
        <w:rPr>
          <w:rFonts w:ascii="Arial" w:eastAsia="Times New Roman" w:hAnsi="Arial" w:cs="Arial"/>
          <w:kern w:val="0"/>
          <w:lang w:eastAsia="en-IN"/>
          <w14:ligatures w14:val="none"/>
        </w:rPr>
        <w:t>colour</w:t>
      </w:r>
      <w:r w:rsidRPr="008F3CB5">
        <w:rPr>
          <w:rFonts w:ascii="Arial" w:eastAsia="Times New Roman" w:hAnsi="Arial" w:cs="Arial"/>
          <w:kern w:val="0"/>
          <w:lang w:eastAsia="en-IN"/>
          <w14:ligatures w14:val="none"/>
        </w:rPr>
        <w:t xml:space="preserve"> change. Bicarbonate levels were determined through an enzymatic reaction </w:t>
      </w:r>
      <w:r w:rsidR="00614EFC" w:rsidRPr="008F3CB5">
        <w:rPr>
          <w:rFonts w:ascii="Arial" w:eastAsia="Times New Roman" w:hAnsi="Arial" w:cs="Arial"/>
          <w:kern w:val="0"/>
          <w:lang w:eastAsia="en-IN"/>
          <w14:ligatures w14:val="none"/>
        </w:rPr>
        <w:t>catalysed</w:t>
      </w:r>
      <w:r w:rsidRPr="008F3CB5">
        <w:rPr>
          <w:rFonts w:ascii="Arial" w:eastAsia="Times New Roman" w:hAnsi="Arial" w:cs="Arial"/>
          <w:kern w:val="0"/>
          <w:lang w:eastAsia="en-IN"/>
          <w14:ligatures w14:val="none"/>
        </w:rPr>
        <w:t xml:space="preserve"> by phosphoenolpyruvate carboxylase and malate dehydrogenase, which measures NADH consumption proportional to bicarbonate concentration. These validated </w:t>
      </w:r>
      <w:r w:rsidRPr="008F3CB5">
        <w:rPr>
          <w:rFonts w:ascii="Arial" w:eastAsia="Times New Roman" w:hAnsi="Arial" w:cs="Arial"/>
          <w:kern w:val="0"/>
          <w:lang w:eastAsia="en-IN"/>
          <w14:ligatures w14:val="none"/>
        </w:rPr>
        <w:lastRenderedPageBreak/>
        <w:t>methodologies, integral to the VITROS 4600 platform, ensure robust, reliable, and reproducible results.</w:t>
      </w:r>
      <w:r w:rsidR="001D73C3" w:rsidRPr="008F3CB5">
        <w:rPr>
          <w:rFonts w:ascii="Arial" w:eastAsia="Times New Roman" w:hAnsi="Arial" w:cs="Arial"/>
          <w:kern w:val="0"/>
          <w:lang w:eastAsia="en-IN"/>
          <w14:ligatures w14:val="none"/>
        </w:rPr>
        <w:t xml:space="preserve"> </w:t>
      </w:r>
      <w:r w:rsidRPr="008F3CB5">
        <w:rPr>
          <w:rFonts w:ascii="Arial" w:eastAsia="Times New Roman" w:hAnsi="Arial" w:cs="Arial"/>
          <w:kern w:val="0"/>
          <w:lang w:eastAsia="en-IN"/>
          <w14:ligatures w14:val="none"/>
        </w:rPr>
        <w:t>Renal function was evaluated using estimated glomerular filtration rate (eGFR), which was automatically calculated by the clinical autoanalyzer based on serum creatinine levels and patient demographics (age and sex). Unlike traditional formula-based estimation methods such as CKD-EPI or MDRD, this approach provided standardized automated eGFR values for all participants</w:t>
      </w:r>
    </w:p>
    <w:p w14:paraId="7AAEDD6B" w14:textId="77777777" w:rsidR="00886F06" w:rsidRPr="00E459F3" w:rsidRDefault="00886F06" w:rsidP="00437525">
      <w:pPr>
        <w:spacing w:before="100" w:beforeAutospacing="1" w:after="100" w:afterAutospacing="1" w:line="276" w:lineRule="auto"/>
        <w:jc w:val="both"/>
        <w:outlineLvl w:val="2"/>
        <w:rPr>
          <w:rFonts w:ascii="Arial" w:eastAsia="Times New Roman" w:hAnsi="Arial" w:cs="Arial"/>
          <w:b/>
          <w:bCs/>
          <w:kern w:val="0"/>
          <w:sz w:val="22"/>
          <w:szCs w:val="22"/>
          <w:lang w:eastAsia="en-IN"/>
          <w14:ligatures w14:val="none"/>
        </w:rPr>
      </w:pPr>
      <w:r w:rsidRPr="00E459F3">
        <w:rPr>
          <w:rFonts w:ascii="Arial" w:eastAsia="Times New Roman" w:hAnsi="Arial" w:cs="Arial"/>
          <w:b/>
          <w:bCs/>
          <w:kern w:val="0"/>
          <w:sz w:val="22"/>
          <w:szCs w:val="22"/>
          <w:lang w:eastAsia="en-IN"/>
          <w14:ligatures w14:val="none"/>
        </w:rPr>
        <w:t>Statistical Analysis</w:t>
      </w:r>
    </w:p>
    <w:p w14:paraId="72AEC85D" w14:textId="5B9468F4" w:rsidR="00886F06" w:rsidRPr="008F3CB5" w:rsidRDefault="00886F06" w:rsidP="0038145F">
      <w:pPr>
        <w:spacing w:before="100" w:beforeAutospacing="1" w:after="100" w:afterAutospacing="1" w:line="276" w:lineRule="auto"/>
        <w:jc w:val="both"/>
        <w:rPr>
          <w:rFonts w:ascii="Arial" w:eastAsia="Times New Roman" w:hAnsi="Arial" w:cs="Arial"/>
          <w:kern w:val="0"/>
          <w:lang w:eastAsia="en-IN"/>
          <w14:ligatures w14:val="none"/>
        </w:rPr>
      </w:pPr>
      <w:r w:rsidRPr="008F3CB5">
        <w:rPr>
          <w:rFonts w:ascii="Arial" w:eastAsia="Times New Roman" w:hAnsi="Arial" w:cs="Arial"/>
          <w:kern w:val="0"/>
          <w:lang w:eastAsia="en-IN"/>
          <w14:ligatures w14:val="none"/>
        </w:rPr>
        <w:t>Statistical analysis was performed using IBM SPSS Statistics Version 25.0 (IBM Corp., Armonk, NY, USA). Continuous variables were presented as mean ± standard deviation (SD). The Shapiro-Wilk test was used to assess normality of the data distribution. Bivariate relationships between renal function markers and independent variables (age, BMI, biochemical indices) were assessed using Pearson’s correlation coefficient.</w:t>
      </w:r>
      <w:r w:rsidR="0038145F" w:rsidRPr="008F3CB5">
        <w:rPr>
          <w:rFonts w:ascii="Arial" w:eastAsia="Times New Roman" w:hAnsi="Arial" w:cs="Arial"/>
          <w:kern w:val="0"/>
          <w:lang w:eastAsia="en-IN"/>
          <w14:ligatures w14:val="none"/>
        </w:rPr>
        <w:t xml:space="preserve"> </w:t>
      </w:r>
      <w:r w:rsidRPr="008F3CB5">
        <w:rPr>
          <w:rFonts w:ascii="Arial" w:eastAsia="Times New Roman" w:hAnsi="Arial" w:cs="Arial"/>
          <w:kern w:val="0"/>
          <w:lang w:eastAsia="en-IN"/>
          <w14:ligatures w14:val="none"/>
        </w:rPr>
        <w:t>To identify independent predictors of reduced eGFR, a multivariate linear regression model was applied, adjusting for age, BMI, and bicarbonate levels. A p-value of &lt;0.05 was considered statistically significant for all tests. Data quality and integrity were maintained through double data entry, cross-verification, and anonymized record storage.</w:t>
      </w:r>
    </w:p>
    <w:p w14:paraId="7A7B3FD5" w14:textId="6C3EE81A" w:rsidR="00435464" w:rsidRPr="008F3CB5" w:rsidRDefault="00886F06" w:rsidP="0038145F">
      <w:pPr>
        <w:spacing w:line="276" w:lineRule="auto"/>
        <w:jc w:val="both"/>
        <w:rPr>
          <w:rFonts w:ascii="Arial" w:hAnsi="Arial" w:cs="Arial"/>
          <w:b/>
          <w:bCs/>
          <w:sz w:val="28"/>
          <w:szCs w:val="28"/>
        </w:rPr>
      </w:pPr>
      <w:r w:rsidRPr="008F3CB5">
        <w:rPr>
          <w:rFonts w:ascii="Arial" w:hAnsi="Arial" w:cs="Arial"/>
          <w:b/>
          <w:bCs/>
        </w:rPr>
        <w:t>RESULT</w:t>
      </w:r>
    </w:p>
    <w:p w14:paraId="5096EF2F" w14:textId="67C5B1C8" w:rsidR="00886F06" w:rsidRPr="008F3CB5" w:rsidRDefault="00886F06" w:rsidP="00437525">
      <w:pPr>
        <w:spacing w:line="276" w:lineRule="auto"/>
        <w:rPr>
          <w:rFonts w:ascii="Arial" w:hAnsi="Arial" w:cs="Arial"/>
        </w:rPr>
      </w:pPr>
      <w:r w:rsidRPr="008F3CB5">
        <w:rPr>
          <w:rFonts w:ascii="Arial" w:hAnsi="Arial" w:cs="Arial"/>
        </w:rPr>
        <w:t xml:space="preserve">The present study </w:t>
      </w:r>
      <w:proofErr w:type="spellStart"/>
      <w:r w:rsidRPr="008F3CB5">
        <w:rPr>
          <w:rFonts w:ascii="Arial" w:hAnsi="Arial" w:cs="Arial"/>
        </w:rPr>
        <w:t>analyzed</w:t>
      </w:r>
      <w:proofErr w:type="spellEnd"/>
      <w:r w:rsidRPr="008F3CB5">
        <w:rPr>
          <w:rFonts w:ascii="Arial" w:hAnsi="Arial" w:cs="Arial"/>
        </w:rPr>
        <w:t xml:space="preserve"> the demographic, anthropometric, and biochemical characteristics of 200 participants to evaluate their association with renal function.</w:t>
      </w:r>
    </w:p>
    <w:p w14:paraId="7A7957BE" w14:textId="27B87054" w:rsidR="001132E2" w:rsidRPr="008F3CB5" w:rsidRDefault="008F3CB5" w:rsidP="008F3CB5">
      <w:pPr>
        <w:spacing w:line="276" w:lineRule="auto"/>
        <w:jc w:val="center"/>
        <w:rPr>
          <w:rFonts w:ascii="Arial" w:hAnsi="Arial" w:cs="Arial"/>
        </w:rPr>
      </w:pPr>
      <w:r w:rsidRPr="008F3CB5">
        <w:rPr>
          <w:rFonts w:ascii="Arial" w:hAnsi="Arial" w:cs="Arial"/>
          <w:b/>
          <w:bCs/>
        </w:rPr>
        <w:t>Table 1. Demographics and Anthropometric Characteristics (N = 200)</w:t>
      </w:r>
    </w:p>
    <w:tbl>
      <w:tblPr>
        <w:tblStyle w:val="TableGrid"/>
        <w:tblW w:w="0" w:type="auto"/>
        <w:jc w:val="center"/>
        <w:shd w:val="clear" w:color="auto" w:fill="E7E6E6" w:themeFill="background2"/>
        <w:tblLook w:val="04A0" w:firstRow="1" w:lastRow="0" w:firstColumn="1" w:lastColumn="0" w:noHBand="0" w:noVBand="1"/>
      </w:tblPr>
      <w:tblGrid>
        <w:gridCol w:w="1721"/>
        <w:gridCol w:w="1721"/>
        <w:gridCol w:w="1721"/>
        <w:gridCol w:w="1721"/>
      </w:tblGrid>
      <w:tr w:rsidR="001132E2" w:rsidRPr="008F3CB5" w14:paraId="5F8FC2DD" w14:textId="77777777" w:rsidTr="00B64379">
        <w:trPr>
          <w:trHeight w:val="1159"/>
          <w:jc w:val="center"/>
        </w:trPr>
        <w:tc>
          <w:tcPr>
            <w:tcW w:w="1721" w:type="dxa"/>
            <w:shd w:val="clear" w:color="auto" w:fill="E7E6E6" w:themeFill="background2"/>
          </w:tcPr>
          <w:p w14:paraId="4597AF6C" w14:textId="05D556C8" w:rsidR="001132E2" w:rsidRPr="008F3CB5" w:rsidRDefault="001132E2" w:rsidP="00437525">
            <w:pPr>
              <w:pStyle w:val="Heading1"/>
              <w:spacing w:line="276" w:lineRule="auto"/>
              <w:jc w:val="center"/>
              <w:rPr>
                <w:rFonts w:ascii="Arial" w:hAnsi="Arial" w:cs="Arial"/>
                <w:b/>
                <w:bCs/>
                <w:color w:val="auto"/>
                <w:sz w:val="24"/>
                <w:szCs w:val="24"/>
              </w:rPr>
            </w:pPr>
            <w:r w:rsidRPr="008F3CB5">
              <w:rPr>
                <w:rFonts w:ascii="Arial" w:hAnsi="Arial" w:cs="Arial"/>
                <w:b/>
                <w:bCs/>
                <w:color w:val="auto"/>
                <w:sz w:val="24"/>
                <w:szCs w:val="24"/>
              </w:rPr>
              <w:t>Parameter</w:t>
            </w:r>
          </w:p>
        </w:tc>
        <w:tc>
          <w:tcPr>
            <w:tcW w:w="1721" w:type="dxa"/>
            <w:shd w:val="clear" w:color="auto" w:fill="E7E6E6" w:themeFill="background2"/>
          </w:tcPr>
          <w:p w14:paraId="010D39C7" w14:textId="77777777" w:rsidR="001132E2" w:rsidRPr="008F3CB5" w:rsidRDefault="001132E2" w:rsidP="00437525">
            <w:pPr>
              <w:pStyle w:val="Heading1"/>
              <w:spacing w:line="276" w:lineRule="auto"/>
              <w:jc w:val="center"/>
              <w:rPr>
                <w:rFonts w:ascii="Arial" w:hAnsi="Arial" w:cs="Arial"/>
                <w:b/>
                <w:bCs/>
                <w:color w:val="auto"/>
                <w:sz w:val="24"/>
                <w:szCs w:val="24"/>
              </w:rPr>
            </w:pPr>
            <w:r w:rsidRPr="008F3CB5">
              <w:rPr>
                <w:rFonts w:ascii="Arial" w:hAnsi="Arial" w:cs="Arial"/>
                <w:b/>
                <w:bCs/>
                <w:color w:val="auto"/>
                <w:sz w:val="24"/>
                <w:szCs w:val="24"/>
              </w:rPr>
              <w:t>Mean ± SD</w:t>
            </w:r>
          </w:p>
          <w:p w14:paraId="6731AEE1" w14:textId="77777777" w:rsidR="001132E2" w:rsidRPr="008F3CB5" w:rsidRDefault="001132E2" w:rsidP="00437525">
            <w:pPr>
              <w:pStyle w:val="Heading1"/>
              <w:spacing w:line="276" w:lineRule="auto"/>
              <w:jc w:val="center"/>
              <w:rPr>
                <w:rFonts w:ascii="Arial" w:hAnsi="Arial" w:cs="Arial"/>
                <w:b/>
                <w:bCs/>
                <w:color w:val="auto"/>
                <w:sz w:val="24"/>
                <w:szCs w:val="24"/>
              </w:rPr>
            </w:pPr>
          </w:p>
        </w:tc>
        <w:tc>
          <w:tcPr>
            <w:tcW w:w="1721" w:type="dxa"/>
            <w:shd w:val="clear" w:color="auto" w:fill="E7E6E6" w:themeFill="background2"/>
          </w:tcPr>
          <w:p w14:paraId="780ED61C" w14:textId="4FA335C1" w:rsidR="001132E2" w:rsidRPr="008F3CB5" w:rsidRDefault="001132E2" w:rsidP="00437525">
            <w:pPr>
              <w:pStyle w:val="Heading1"/>
              <w:spacing w:line="276" w:lineRule="auto"/>
              <w:jc w:val="center"/>
              <w:rPr>
                <w:rFonts w:ascii="Arial" w:hAnsi="Arial" w:cs="Arial"/>
                <w:b/>
                <w:bCs/>
                <w:color w:val="auto"/>
                <w:sz w:val="24"/>
                <w:szCs w:val="24"/>
              </w:rPr>
            </w:pPr>
            <w:r w:rsidRPr="008F3CB5">
              <w:rPr>
                <w:rFonts w:ascii="Arial" w:hAnsi="Arial" w:cs="Arial"/>
                <w:b/>
                <w:bCs/>
                <w:color w:val="auto"/>
                <w:sz w:val="24"/>
                <w:szCs w:val="24"/>
              </w:rPr>
              <w:t>Min</w:t>
            </w:r>
          </w:p>
        </w:tc>
        <w:tc>
          <w:tcPr>
            <w:tcW w:w="1721" w:type="dxa"/>
            <w:shd w:val="clear" w:color="auto" w:fill="E7E6E6" w:themeFill="background2"/>
          </w:tcPr>
          <w:p w14:paraId="6C38F159" w14:textId="691A745A" w:rsidR="001132E2" w:rsidRPr="008F3CB5" w:rsidRDefault="001132E2" w:rsidP="00437525">
            <w:pPr>
              <w:pStyle w:val="Heading1"/>
              <w:spacing w:line="276" w:lineRule="auto"/>
              <w:jc w:val="center"/>
              <w:rPr>
                <w:rFonts w:ascii="Arial" w:hAnsi="Arial" w:cs="Arial"/>
                <w:b/>
                <w:bCs/>
                <w:color w:val="auto"/>
                <w:sz w:val="24"/>
                <w:szCs w:val="24"/>
              </w:rPr>
            </w:pPr>
            <w:r w:rsidRPr="008F3CB5">
              <w:rPr>
                <w:rFonts w:ascii="Arial" w:hAnsi="Arial" w:cs="Arial"/>
                <w:b/>
                <w:bCs/>
                <w:color w:val="auto"/>
                <w:sz w:val="24"/>
                <w:szCs w:val="24"/>
              </w:rPr>
              <w:t>Max</w:t>
            </w:r>
          </w:p>
        </w:tc>
      </w:tr>
      <w:tr w:rsidR="001132E2" w:rsidRPr="008F3CB5" w14:paraId="293F1B00" w14:textId="77777777" w:rsidTr="00B64379">
        <w:trPr>
          <w:trHeight w:val="750"/>
          <w:jc w:val="center"/>
        </w:trPr>
        <w:tc>
          <w:tcPr>
            <w:tcW w:w="1721" w:type="dxa"/>
            <w:shd w:val="clear" w:color="auto" w:fill="E7E6E6" w:themeFill="background2"/>
          </w:tcPr>
          <w:p w14:paraId="293388E7" w14:textId="24243EBF" w:rsidR="001132E2" w:rsidRPr="008F3CB5" w:rsidRDefault="001132E2" w:rsidP="00437525">
            <w:pPr>
              <w:spacing w:line="276" w:lineRule="auto"/>
              <w:rPr>
                <w:rFonts w:ascii="Arial" w:hAnsi="Arial" w:cs="Arial"/>
              </w:rPr>
            </w:pPr>
            <w:r w:rsidRPr="008F3CB5">
              <w:rPr>
                <w:rFonts w:ascii="Arial" w:hAnsi="Arial" w:cs="Arial"/>
              </w:rPr>
              <w:t>Age (Years)</w:t>
            </w:r>
          </w:p>
        </w:tc>
        <w:tc>
          <w:tcPr>
            <w:tcW w:w="1721" w:type="dxa"/>
            <w:shd w:val="clear" w:color="auto" w:fill="E7E6E6" w:themeFill="background2"/>
          </w:tcPr>
          <w:p w14:paraId="3DFE8589" w14:textId="77777777" w:rsidR="001132E2" w:rsidRPr="008F3CB5" w:rsidRDefault="001132E2" w:rsidP="00437525">
            <w:pPr>
              <w:spacing w:line="276" w:lineRule="auto"/>
              <w:jc w:val="center"/>
              <w:rPr>
                <w:rFonts w:ascii="Arial" w:hAnsi="Arial" w:cs="Arial"/>
              </w:rPr>
            </w:pPr>
            <w:r w:rsidRPr="008F3CB5">
              <w:rPr>
                <w:rFonts w:ascii="Arial" w:hAnsi="Arial" w:cs="Arial"/>
              </w:rPr>
              <w:t>59.7 ± 17.2</w:t>
            </w:r>
          </w:p>
          <w:p w14:paraId="3917DFFC" w14:textId="77777777" w:rsidR="001132E2" w:rsidRPr="008F3CB5" w:rsidRDefault="001132E2" w:rsidP="00437525">
            <w:pPr>
              <w:spacing w:line="276" w:lineRule="auto"/>
              <w:jc w:val="center"/>
              <w:rPr>
                <w:rFonts w:ascii="Arial" w:hAnsi="Arial" w:cs="Arial"/>
              </w:rPr>
            </w:pPr>
          </w:p>
        </w:tc>
        <w:tc>
          <w:tcPr>
            <w:tcW w:w="1721" w:type="dxa"/>
            <w:shd w:val="clear" w:color="auto" w:fill="E7E6E6" w:themeFill="background2"/>
          </w:tcPr>
          <w:p w14:paraId="63F886C2" w14:textId="3A3C01A6" w:rsidR="001132E2" w:rsidRPr="008F3CB5" w:rsidRDefault="001132E2" w:rsidP="00437525">
            <w:pPr>
              <w:spacing w:line="276" w:lineRule="auto"/>
              <w:jc w:val="center"/>
              <w:rPr>
                <w:rFonts w:ascii="Arial" w:hAnsi="Arial" w:cs="Arial"/>
              </w:rPr>
            </w:pPr>
            <w:r w:rsidRPr="008F3CB5">
              <w:rPr>
                <w:rFonts w:ascii="Arial" w:hAnsi="Arial" w:cs="Arial"/>
              </w:rPr>
              <w:t>14</w:t>
            </w:r>
          </w:p>
        </w:tc>
        <w:tc>
          <w:tcPr>
            <w:tcW w:w="1721" w:type="dxa"/>
            <w:shd w:val="clear" w:color="auto" w:fill="E7E6E6" w:themeFill="background2"/>
          </w:tcPr>
          <w:p w14:paraId="5056B3DE" w14:textId="52BEC055" w:rsidR="001132E2" w:rsidRPr="008F3CB5" w:rsidRDefault="001132E2" w:rsidP="00437525">
            <w:pPr>
              <w:spacing w:line="276" w:lineRule="auto"/>
              <w:jc w:val="center"/>
              <w:rPr>
                <w:rFonts w:ascii="Arial" w:hAnsi="Arial" w:cs="Arial"/>
              </w:rPr>
            </w:pPr>
            <w:r w:rsidRPr="008F3CB5">
              <w:rPr>
                <w:rFonts w:ascii="Arial" w:hAnsi="Arial" w:cs="Arial"/>
              </w:rPr>
              <w:t>93</w:t>
            </w:r>
          </w:p>
        </w:tc>
      </w:tr>
      <w:tr w:rsidR="001132E2" w:rsidRPr="008F3CB5" w14:paraId="7AAC28A9" w14:textId="77777777" w:rsidTr="00B64379">
        <w:trPr>
          <w:trHeight w:val="766"/>
          <w:jc w:val="center"/>
        </w:trPr>
        <w:tc>
          <w:tcPr>
            <w:tcW w:w="1721" w:type="dxa"/>
            <w:shd w:val="clear" w:color="auto" w:fill="E7E6E6" w:themeFill="background2"/>
          </w:tcPr>
          <w:p w14:paraId="7A1B7B84" w14:textId="77777777" w:rsidR="001132E2" w:rsidRPr="008F3CB5" w:rsidRDefault="001132E2" w:rsidP="00437525">
            <w:pPr>
              <w:spacing w:line="276" w:lineRule="auto"/>
              <w:rPr>
                <w:rFonts w:ascii="Arial" w:hAnsi="Arial" w:cs="Arial"/>
              </w:rPr>
            </w:pPr>
            <w:r w:rsidRPr="008F3CB5">
              <w:rPr>
                <w:rFonts w:ascii="Arial" w:hAnsi="Arial" w:cs="Arial"/>
              </w:rPr>
              <w:t>BMI (kg/m²)</w:t>
            </w:r>
          </w:p>
          <w:p w14:paraId="74FB902F" w14:textId="77777777" w:rsidR="001132E2" w:rsidRPr="008F3CB5" w:rsidRDefault="001132E2" w:rsidP="00437525">
            <w:pPr>
              <w:spacing w:line="276" w:lineRule="auto"/>
              <w:rPr>
                <w:rFonts w:ascii="Arial" w:hAnsi="Arial" w:cs="Arial"/>
              </w:rPr>
            </w:pPr>
          </w:p>
        </w:tc>
        <w:tc>
          <w:tcPr>
            <w:tcW w:w="1721" w:type="dxa"/>
            <w:shd w:val="clear" w:color="auto" w:fill="E7E6E6" w:themeFill="background2"/>
          </w:tcPr>
          <w:p w14:paraId="45EEFDF9" w14:textId="77777777" w:rsidR="001132E2" w:rsidRPr="008F3CB5" w:rsidRDefault="001132E2" w:rsidP="00437525">
            <w:pPr>
              <w:spacing w:line="276" w:lineRule="auto"/>
              <w:jc w:val="center"/>
              <w:rPr>
                <w:rFonts w:ascii="Arial" w:hAnsi="Arial" w:cs="Arial"/>
              </w:rPr>
            </w:pPr>
            <w:r w:rsidRPr="008F3CB5">
              <w:rPr>
                <w:rFonts w:ascii="Arial" w:hAnsi="Arial" w:cs="Arial"/>
              </w:rPr>
              <w:t>24.5 ± 4.2</w:t>
            </w:r>
          </w:p>
          <w:p w14:paraId="71D75C53" w14:textId="77777777" w:rsidR="001132E2" w:rsidRPr="008F3CB5" w:rsidRDefault="001132E2" w:rsidP="00437525">
            <w:pPr>
              <w:spacing w:line="276" w:lineRule="auto"/>
              <w:jc w:val="center"/>
              <w:rPr>
                <w:rFonts w:ascii="Arial" w:hAnsi="Arial" w:cs="Arial"/>
              </w:rPr>
            </w:pPr>
          </w:p>
        </w:tc>
        <w:tc>
          <w:tcPr>
            <w:tcW w:w="1721" w:type="dxa"/>
            <w:shd w:val="clear" w:color="auto" w:fill="E7E6E6" w:themeFill="background2"/>
          </w:tcPr>
          <w:p w14:paraId="6DFDC2BA" w14:textId="23854FD9" w:rsidR="001132E2" w:rsidRPr="008F3CB5" w:rsidRDefault="001132E2" w:rsidP="00437525">
            <w:pPr>
              <w:spacing w:line="276" w:lineRule="auto"/>
              <w:jc w:val="center"/>
              <w:rPr>
                <w:rFonts w:ascii="Arial" w:hAnsi="Arial" w:cs="Arial"/>
              </w:rPr>
            </w:pPr>
            <w:r w:rsidRPr="008F3CB5">
              <w:rPr>
                <w:rFonts w:ascii="Arial" w:hAnsi="Arial" w:cs="Arial"/>
              </w:rPr>
              <w:t>16.1</w:t>
            </w:r>
          </w:p>
        </w:tc>
        <w:tc>
          <w:tcPr>
            <w:tcW w:w="1721" w:type="dxa"/>
            <w:shd w:val="clear" w:color="auto" w:fill="E7E6E6" w:themeFill="background2"/>
          </w:tcPr>
          <w:p w14:paraId="3B244D09" w14:textId="261D0903" w:rsidR="001132E2" w:rsidRPr="008F3CB5" w:rsidRDefault="001132E2" w:rsidP="00437525">
            <w:pPr>
              <w:spacing w:line="276" w:lineRule="auto"/>
              <w:jc w:val="center"/>
              <w:rPr>
                <w:rFonts w:ascii="Arial" w:hAnsi="Arial" w:cs="Arial"/>
              </w:rPr>
            </w:pPr>
            <w:r w:rsidRPr="008F3CB5">
              <w:rPr>
                <w:rFonts w:ascii="Arial" w:hAnsi="Arial" w:cs="Arial"/>
              </w:rPr>
              <w:t>36.8</w:t>
            </w:r>
          </w:p>
        </w:tc>
      </w:tr>
    </w:tbl>
    <w:p w14:paraId="1A515A9A" w14:textId="3E0D7527" w:rsidR="00B64379" w:rsidRDefault="00933EF7" w:rsidP="00B64379">
      <w:pPr>
        <w:spacing w:line="276" w:lineRule="auto"/>
        <w:rPr>
          <w:rFonts w:ascii="Arial" w:hAnsi="Arial" w:cs="Arial"/>
        </w:rPr>
      </w:pPr>
      <w:r w:rsidRPr="008F3CB5">
        <w:rPr>
          <w:rFonts w:ascii="Arial" w:hAnsi="Arial" w:cs="Arial"/>
        </w:rPr>
        <w:t>The study cohort had a mean age of 59.7 years with a standard deviation of 17.2, with an age range of 14–93 years. The mean BMI was 24.5 kg/m², with values ranging from 16.1 to 36.8 kg/m².</w:t>
      </w:r>
    </w:p>
    <w:p w14:paraId="7B43CB34" w14:textId="3259BDEF" w:rsidR="008F3CB5" w:rsidRPr="008F3CB5" w:rsidRDefault="008F3CB5" w:rsidP="008F3CB5">
      <w:pPr>
        <w:spacing w:line="276" w:lineRule="auto"/>
        <w:jc w:val="center"/>
        <w:rPr>
          <w:rFonts w:ascii="Arial" w:hAnsi="Arial" w:cs="Arial"/>
          <w:b/>
          <w:bCs/>
        </w:rPr>
      </w:pPr>
      <w:r w:rsidRPr="008F3CB5">
        <w:rPr>
          <w:rFonts w:ascii="Arial" w:hAnsi="Arial" w:cs="Arial"/>
          <w:b/>
          <w:bCs/>
        </w:rPr>
        <w:t>Chart 1: Showing Renal Function Distribution by Age Groups</w:t>
      </w:r>
    </w:p>
    <w:p w14:paraId="65642B39" w14:textId="6AE32049" w:rsidR="00562601" w:rsidRPr="008F3CB5" w:rsidRDefault="003978C6" w:rsidP="008F3CB5">
      <w:pPr>
        <w:spacing w:line="276" w:lineRule="auto"/>
        <w:jc w:val="center"/>
        <w:rPr>
          <w:rFonts w:ascii="Arial" w:hAnsi="Arial" w:cs="Arial"/>
          <w:b/>
          <w:bCs/>
        </w:rPr>
      </w:pPr>
      <w:r w:rsidRPr="008F3CB5">
        <w:rPr>
          <w:rFonts w:ascii="Arial" w:hAnsi="Arial" w:cs="Arial"/>
          <w:noProof/>
          <w:shd w:val="clear" w:color="auto" w:fill="E7E6E6" w:themeFill="background2"/>
        </w:rPr>
        <w:lastRenderedPageBreak/>
        <w:drawing>
          <wp:inline distT="0" distB="0" distL="0" distR="0" wp14:anchorId="4813D427" wp14:editId="4F2946F2">
            <wp:extent cx="4572000" cy="2743200"/>
            <wp:effectExtent l="0" t="0" r="0" b="0"/>
            <wp:docPr id="562315583" name="Chart 1">
              <a:extLst xmlns:a="http://schemas.openxmlformats.org/drawingml/2006/main">
                <a:ext uri="{FF2B5EF4-FFF2-40B4-BE49-F238E27FC236}">
                  <a16:creationId xmlns:a16="http://schemas.microsoft.com/office/drawing/2014/main" id="{A6666338-CB74-7874-DFBF-3E9DE248728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4250CA0" w14:textId="73D1A973" w:rsidR="00933EF7" w:rsidRPr="008F3CB5" w:rsidRDefault="00933EF7" w:rsidP="001D73C3">
      <w:pPr>
        <w:spacing w:line="276" w:lineRule="auto"/>
        <w:jc w:val="both"/>
        <w:rPr>
          <w:rFonts w:ascii="Arial" w:hAnsi="Arial" w:cs="Arial"/>
        </w:rPr>
      </w:pPr>
      <w:r w:rsidRPr="008F3CB5">
        <w:rPr>
          <w:rFonts w:ascii="Arial" w:hAnsi="Arial" w:cs="Arial"/>
        </w:rPr>
        <w:t xml:space="preserve">In individuals &lt;40 years, the mean GFR is 131.2 mL/min and creatinine </w:t>
      </w:r>
      <w:r w:rsidR="001D73C3" w:rsidRPr="008F3CB5">
        <w:rPr>
          <w:rFonts w:ascii="Arial" w:hAnsi="Arial" w:cs="Arial"/>
        </w:rPr>
        <w:t>are</w:t>
      </w:r>
      <w:r w:rsidRPr="008F3CB5">
        <w:rPr>
          <w:rFonts w:ascii="Arial" w:hAnsi="Arial" w:cs="Arial"/>
        </w:rPr>
        <w:t xml:space="preserve"> 0.67 mg/dL. For those aged 40–60, the mean GFR is 105.6 mL/min and creatinine </w:t>
      </w:r>
      <w:r w:rsidR="001D73C3" w:rsidRPr="008F3CB5">
        <w:rPr>
          <w:rFonts w:ascii="Arial" w:hAnsi="Arial" w:cs="Arial"/>
        </w:rPr>
        <w:t>are</w:t>
      </w:r>
      <w:r w:rsidRPr="008F3CB5">
        <w:rPr>
          <w:rFonts w:ascii="Arial" w:hAnsi="Arial" w:cs="Arial"/>
        </w:rPr>
        <w:t xml:space="preserve"> 0.89 mg/dL. In individuals over 60 years, the mean GFR is 62.1 mL/min and creatinine </w:t>
      </w:r>
      <w:r w:rsidR="001D73C3" w:rsidRPr="008F3CB5">
        <w:rPr>
          <w:rFonts w:ascii="Arial" w:hAnsi="Arial" w:cs="Arial"/>
        </w:rPr>
        <w:t>are</w:t>
      </w:r>
      <w:r w:rsidRPr="008F3CB5">
        <w:rPr>
          <w:rFonts w:ascii="Arial" w:hAnsi="Arial" w:cs="Arial"/>
        </w:rPr>
        <w:t xml:space="preserve"> 1.52 mg/dL.</w:t>
      </w:r>
    </w:p>
    <w:p w14:paraId="70567183" w14:textId="08A0BA77" w:rsidR="00EA0410" w:rsidRPr="008F3CB5" w:rsidRDefault="008F3CB5" w:rsidP="008F3CB5">
      <w:pPr>
        <w:spacing w:line="276" w:lineRule="auto"/>
        <w:jc w:val="center"/>
        <w:rPr>
          <w:rFonts w:ascii="Arial" w:hAnsi="Arial" w:cs="Arial"/>
        </w:rPr>
      </w:pPr>
      <w:r w:rsidRPr="008F3CB5">
        <w:rPr>
          <w:rFonts w:ascii="Arial" w:hAnsi="Arial" w:cs="Arial"/>
          <w:b/>
          <w:bCs/>
        </w:rPr>
        <w:t xml:space="preserve">Table </w:t>
      </w:r>
      <w:r w:rsidR="00764036">
        <w:rPr>
          <w:rFonts w:ascii="Arial" w:hAnsi="Arial" w:cs="Arial"/>
          <w:b/>
          <w:bCs/>
        </w:rPr>
        <w:t>2</w:t>
      </w:r>
      <w:r w:rsidRPr="008F3CB5">
        <w:rPr>
          <w:rFonts w:ascii="Arial" w:hAnsi="Arial" w:cs="Arial"/>
          <w:b/>
          <w:bCs/>
        </w:rPr>
        <w:t>. Correlation Analysis of Renal Function with Demographic and Biochemical Parameters</w:t>
      </w:r>
    </w:p>
    <w:tbl>
      <w:tblPr>
        <w:tblStyle w:val="TableGrid"/>
        <w:tblW w:w="0" w:type="auto"/>
        <w:jc w:val="center"/>
        <w:tblLook w:val="04A0" w:firstRow="1" w:lastRow="0" w:firstColumn="1" w:lastColumn="0" w:noHBand="0" w:noVBand="1"/>
      </w:tblPr>
      <w:tblGrid>
        <w:gridCol w:w="2457"/>
        <w:gridCol w:w="2457"/>
        <w:gridCol w:w="2457"/>
      </w:tblGrid>
      <w:tr w:rsidR="00EA0410" w:rsidRPr="008F3CB5" w14:paraId="7D0C83BC" w14:textId="77777777" w:rsidTr="00B64379">
        <w:trPr>
          <w:trHeight w:val="863"/>
          <w:jc w:val="center"/>
        </w:trPr>
        <w:tc>
          <w:tcPr>
            <w:tcW w:w="2457" w:type="dxa"/>
            <w:shd w:val="clear" w:color="auto" w:fill="E7E6E6" w:themeFill="background2"/>
          </w:tcPr>
          <w:p w14:paraId="77293F2B" w14:textId="77777777" w:rsidR="00EA0410" w:rsidRPr="008F3CB5" w:rsidRDefault="00EA0410" w:rsidP="00437525">
            <w:pPr>
              <w:pStyle w:val="Heading1"/>
              <w:spacing w:line="276" w:lineRule="auto"/>
              <w:jc w:val="center"/>
              <w:rPr>
                <w:rFonts w:ascii="Arial" w:hAnsi="Arial" w:cs="Arial"/>
                <w:b/>
                <w:bCs/>
                <w:color w:val="auto"/>
                <w:sz w:val="24"/>
                <w:szCs w:val="24"/>
              </w:rPr>
            </w:pPr>
            <w:r w:rsidRPr="008F3CB5">
              <w:rPr>
                <w:rFonts w:ascii="Arial" w:hAnsi="Arial" w:cs="Arial"/>
                <w:b/>
                <w:bCs/>
                <w:color w:val="auto"/>
                <w:sz w:val="24"/>
                <w:szCs w:val="24"/>
              </w:rPr>
              <w:t>Variables</w:t>
            </w:r>
          </w:p>
          <w:p w14:paraId="58C0E194" w14:textId="77777777" w:rsidR="00EA0410" w:rsidRPr="008F3CB5" w:rsidRDefault="00EA0410" w:rsidP="00437525">
            <w:pPr>
              <w:pStyle w:val="Heading1"/>
              <w:spacing w:line="276" w:lineRule="auto"/>
              <w:jc w:val="center"/>
              <w:rPr>
                <w:rFonts w:ascii="Arial" w:hAnsi="Arial" w:cs="Arial"/>
                <w:b/>
                <w:bCs/>
                <w:color w:val="auto"/>
                <w:sz w:val="24"/>
                <w:szCs w:val="24"/>
              </w:rPr>
            </w:pPr>
          </w:p>
        </w:tc>
        <w:tc>
          <w:tcPr>
            <w:tcW w:w="2457" w:type="dxa"/>
            <w:shd w:val="clear" w:color="auto" w:fill="E7E6E6" w:themeFill="background2"/>
          </w:tcPr>
          <w:p w14:paraId="064031BD" w14:textId="77777777" w:rsidR="00EA0410" w:rsidRPr="008F3CB5" w:rsidRDefault="00EA0410" w:rsidP="00437525">
            <w:pPr>
              <w:pStyle w:val="Heading1"/>
              <w:spacing w:line="276" w:lineRule="auto"/>
              <w:jc w:val="center"/>
              <w:rPr>
                <w:rFonts w:ascii="Arial" w:hAnsi="Arial" w:cs="Arial"/>
                <w:b/>
                <w:bCs/>
                <w:color w:val="auto"/>
                <w:sz w:val="24"/>
                <w:szCs w:val="24"/>
              </w:rPr>
            </w:pPr>
            <w:r w:rsidRPr="008F3CB5">
              <w:rPr>
                <w:rFonts w:ascii="Arial" w:hAnsi="Arial" w:cs="Arial"/>
                <w:b/>
                <w:bCs/>
                <w:color w:val="auto"/>
                <w:sz w:val="24"/>
                <w:szCs w:val="24"/>
              </w:rPr>
              <w:t>Pearson’s r</w:t>
            </w:r>
          </w:p>
          <w:p w14:paraId="1EEDFA8D" w14:textId="77777777" w:rsidR="00EA0410" w:rsidRPr="008F3CB5" w:rsidRDefault="00EA0410" w:rsidP="00437525">
            <w:pPr>
              <w:pStyle w:val="Heading1"/>
              <w:spacing w:line="276" w:lineRule="auto"/>
              <w:jc w:val="center"/>
              <w:rPr>
                <w:rFonts w:ascii="Arial" w:hAnsi="Arial" w:cs="Arial"/>
                <w:b/>
                <w:bCs/>
                <w:color w:val="auto"/>
                <w:sz w:val="24"/>
                <w:szCs w:val="24"/>
              </w:rPr>
            </w:pPr>
          </w:p>
        </w:tc>
        <w:tc>
          <w:tcPr>
            <w:tcW w:w="2457" w:type="dxa"/>
            <w:shd w:val="clear" w:color="auto" w:fill="E7E6E6" w:themeFill="background2"/>
          </w:tcPr>
          <w:p w14:paraId="71694102" w14:textId="77777777" w:rsidR="00EA0410" w:rsidRPr="008F3CB5" w:rsidRDefault="00EA0410" w:rsidP="00437525">
            <w:pPr>
              <w:pStyle w:val="Heading1"/>
              <w:spacing w:line="276" w:lineRule="auto"/>
              <w:jc w:val="center"/>
              <w:rPr>
                <w:rFonts w:ascii="Arial" w:hAnsi="Arial" w:cs="Arial"/>
                <w:b/>
                <w:bCs/>
                <w:color w:val="auto"/>
                <w:sz w:val="24"/>
                <w:szCs w:val="24"/>
              </w:rPr>
            </w:pPr>
            <w:r w:rsidRPr="008F3CB5">
              <w:rPr>
                <w:rFonts w:ascii="Arial" w:hAnsi="Arial" w:cs="Arial"/>
                <w:b/>
                <w:bCs/>
                <w:color w:val="auto"/>
                <w:sz w:val="24"/>
                <w:szCs w:val="24"/>
              </w:rPr>
              <w:t>p-value</w:t>
            </w:r>
          </w:p>
          <w:p w14:paraId="7F125324" w14:textId="77777777" w:rsidR="00EA0410" w:rsidRPr="008F3CB5" w:rsidRDefault="00EA0410" w:rsidP="00437525">
            <w:pPr>
              <w:pStyle w:val="Heading1"/>
              <w:spacing w:line="276" w:lineRule="auto"/>
              <w:jc w:val="center"/>
              <w:rPr>
                <w:rFonts w:ascii="Arial" w:hAnsi="Arial" w:cs="Arial"/>
                <w:b/>
                <w:bCs/>
                <w:color w:val="auto"/>
                <w:sz w:val="24"/>
                <w:szCs w:val="24"/>
              </w:rPr>
            </w:pPr>
          </w:p>
        </w:tc>
      </w:tr>
      <w:tr w:rsidR="00EA0410" w:rsidRPr="008F3CB5" w14:paraId="5538C3F1" w14:textId="77777777" w:rsidTr="00B64379">
        <w:trPr>
          <w:trHeight w:val="579"/>
          <w:jc w:val="center"/>
        </w:trPr>
        <w:tc>
          <w:tcPr>
            <w:tcW w:w="2457" w:type="dxa"/>
            <w:shd w:val="clear" w:color="auto" w:fill="E7E6E6" w:themeFill="background2"/>
          </w:tcPr>
          <w:p w14:paraId="6D2A9027" w14:textId="77777777" w:rsidR="00EA0410" w:rsidRPr="008F3CB5" w:rsidRDefault="00EA0410" w:rsidP="00437525">
            <w:pPr>
              <w:spacing w:line="276" w:lineRule="auto"/>
              <w:rPr>
                <w:rFonts w:ascii="Arial" w:hAnsi="Arial" w:cs="Arial"/>
              </w:rPr>
            </w:pPr>
            <w:r w:rsidRPr="008F3CB5">
              <w:rPr>
                <w:rFonts w:ascii="Arial" w:hAnsi="Arial" w:cs="Arial"/>
              </w:rPr>
              <w:t>Age vs. GFR</w:t>
            </w:r>
          </w:p>
          <w:p w14:paraId="3E9F91D1" w14:textId="77777777" w:rsidR="00EA0410" w:rsidRPr="008F3CB5" w:rsidRDefault="00EA0410" w:rsidP="00437525">
            <w:pPr>
              <w:spacing w:line="276" w:lineRule="auto"/>
              <w:rPr>
                <w:rFonts w:ascii="Arial" w:hAnsi="Arial" w:cs="Arial"/>
              </w:rPr>
            </w:pPr>
          </w:p>
        </w:tc>
        <w:tc>
          <w:tcPr>
            <w:tcW w:w="2457" w:type="dxa"/>
            <w:shd w:val="clear" w:color="auto" w:fill="E7E6E6" w:themeFill="background2"/>
          </w:tcPr>
          <w:p w14:paraId="0AA9CBA8" w14:textId="2E87B670" w:rsidR="00EA0410" w:rsidRPr="008F3CB5" w:rsidRDefault="00EA0410" w:rsidP="00437525">
            <w:pPr>
              <w:spacing w:line="276" w:lineRule="auto"/>
              <w:jc w:val="center"/>
              <w:rPr>
                <w:rFonts w:ascii="Arial" w:hAnsi="Arial" w:cs="Arial"/>
              </w:rPr>
            </w:pPr>
            <w:r w:rsidRPr="008F3CB5">
              <w:rPr>
                <w:rFonts w:ascii="Arial" w:hAnsi="Arial" w:cs="Arial"/>
              </w:rPr>
              <w:t>-0.71</w:t>
            </w:r>
          </w:p>
          <w:p w14:paraId="2EF69F82" w14:textId="77777777" w:rsidR="00EA0410" w:rsidRPr="008F3CB5" w:rsidRDefault="00EA0410" w:rsidP="00437525">
            <w:pPr>
              <w:spacing w:line="276" w:lineRule="auto"/>
              <w:jc w:val="center"/>
              <w:rPr>
                <w:rFonts w:ascii="Arial" w:hAnsi="Arial" w:cs="Arial"/>
              </w:rPr>
            </w:pPr>
          </w:p>
        </w:tc>
        <w:tc>
          <w:tcPr>
            <w:tcW w:w="2457" w:type="dxa"/>
            <w:shd w:val="clear" w:color="auto" w:fill="E7E6E6" w:themeFill="background2"/>
          </w:tcPr>
          <w:p w14:paraId="2B88A389" w14:textId="77777777" w:rsidR="00EA0410" w:rsidRPr="008F3CB5" w:rsidRDefault="00EA0410" w:rsidP="00437525">
            <w:pPr>
              <w:spacing w:line="276" w:lineRule="auto"/>
              <w:jc w:val="center"/>
              <w:rPr>
                <w:rFonts w:ascii="Arial" w:hAnsi="Arial" w:cs="Arial"/>
              </w:rPr>
            </w:pPr>
            <w:r w:rsidRPr="008F3CB5">
              <w:rPr>
                <w:rFonts w:ascii="Arial" w:hAnsi="Arial" w:cs="Arial"/>
              </w:rPr>
              <w:t>&lt;0.001</w:t>
            </w:r>
          </w:p>
          <w:p w14:paraId="46520FE6" w14:textId="28C60FDC" w:rsidR="00EA0410" w:rsidRPr="008F3CB5" w:rsidRDefault="00EA0410" w:rsidP="00437525">
            <w:pPr>
              <w:spacing w:line="276" w:lineRule="auto"/>
              <w:jc w:val="center"/>
              <w:rPr>
                <w:rFonts w:ascii="Arial" w:hAnsi="Arial" w:cs="Arial"/>
              </w:rPr>
            </w:pPr>
          </w:p>
        </w:tc>
      </w:tr>
      <w:tr w:rsidR="00EA0410" w:rsidRPr="008F3CB5" w14:paraId="43391563" w14:textId="77777777" w:rsidTr="00B64379">
        <w:trPr>
          <w:trHeight w:val="567"/>
          <w:jc w:val="center"/>
        </w:trPr>
        <w:tc>
          <w:tcPr>
            <w:tcW w:w="2457" w:type="dxa"/>
            <w:shd w:val="clear" w:color="auto" w:fill="E7E6E6" w:themeFill="background2"/>
          </w:tcPr>
          <w:p w14:paraId="6754DDF5" w14:textId="77777777" w:rsidR="00EA0410" w:rsidRPr="008F3CB5" w:rsidRDefault="00EA0410" w:rsidP="00437525">
            <w:pPr>
              <w:spacing w:line="276" w:lineRule="auto"/>
              <w:rPr>
                <w:rFonts w:ascii="Arial" w:hAnsi="Arial" w:cs="Arial"/>
              </w:rPr>
            </w:pPr>
            <w:r w:rsidRPr="008F3CB5">
              <w:rPr>
                <w:rFonts w:ascii="Arial" w:hAnsi="Arial" w:cs="Arial"/>
              </w:rPr>
              <w:t>BMI vs. GFR</w:t>
            </w:r>
          </w:p>
          <w:p w14:paraId="1319D5D5" w14:textId="77777777" w:rsidR="00EA0410" w:rsidRPr="008F3CB5" w:rsidRDefault="00EA0410" w:rsidP="00437525">
            <w:pPr>
              <w:spacing w:line="276" w:lineRule="auto"/>
              <w:rPr>
                <w:rFonts w:ascii="Arial" w:hAnsi="Arial" w:cs="Arial"/>
              </w:rPr>
            </w:pPr>
          </w:p>
        </w:tc>
        <w:tc>
          <w:tcPr>
            <w:tcW w:w="2457" w:type="dxa"/>
            <w:shd w:val="clear" w:color="auto" w:fill="E7E6E6" w:themeFill="background2"/>
          </w:tcPr>
          <w:p w14:paraId="612D186E" w14:textId="4B7893B6" w:rsidR="00EA0410" w:rsidRPr="008F3CB5" w:rsidRDefault="00EA0410" w:rsidP="00437525">
            <w:pPr>
              <w:spacing w:line="276" w:lineRule="auto"/>
              <w:jc w:val="center"/>
              <w:rPr>
                <w:rFonts w:ascii="Arial" w:hAnsi="Arial" w:cs="Arial"/>
              </w:rPr>
            </w:pPr>
            <w:r w:rsidRPr="008F3CB5">
              <w:rPr>
                <w:rFonts w:ascii="Arial" w:hAnsi="Arial" w:cs="Arial"/>
              </w:rPr>
              <w:t>-0.35</w:t>
            </w:r>
          </w:p>
          <w:p w14:paraId="1A0F1BD0" w14:textId="77777777" w:rsidR="00EA0410" w:rsidRPr="008F3CB5" w:rsidRDefault="00EA0410" w:rsidP="00437525">
            <w:pPr>
              <w:spacing w:line="276" w:lineRule="auto"/>
              <w:jc w:val="center"/>
              <w:rPr>
                <w:rFonts w:ascii="Arial" w:hAnsi="Arial" w:cs="Arial"/>
              </w:rPr>
            </w:pPr>
          </w:p>
        </w:tc>
        <w:tc>
          <w:tcPr>
            <w:tcW w:w="2457" w:type="dxa"/>
            <w:shd w:val="clear" w:color="auto" w:fill="E7E6E6" w:themeFill="background2"/>
          </w:tcPr>
          <w:p w14:paraId="37BDE945" w14:textId="77777777" w:rsidR="00EA0410" w:rsidRPr="008F3CB5" w:rsidRDefault="00EA0410" w:rsidP="00437525">
            <w:pPr>
              <w:spacing w:line="276" w:lineRule="auto"/>
              <w:jc w:val="center"/>
              <w:rPr>
                <w:rFonts w:ascii="Arial" w:hAnsi="Arial" w:cs="Arial"/>
              </w:rPr>
            </w:pPr>
            <w:r w:rsidRPr="008F3CB5">
              <w:rPr>
                <w:rFonts w:ascii="Arial" w:hAnsi="Arial" w:cs="Arial"/>
              </w:rPr>
              <w:t>0.002</w:t>
            </w:r>
          </w:p>
          <w:p w14:paraId="50AACAF6" w14:textId="5F265583" w:rsidR="00EA0410" w:rsidRPr="008F3CB5" w:rsidRDefault="00EA0410" w:rsidP="00437525">
            <w:pPr>
              <w:spacing w:line="276" w:lineRule="auto"/>
              <w:jc w:val="center"/>
              <w:rPr>
                <w:rFonts w:ascii="Arial" w:hAnsi="Arial" w:cs="Arial"/>
              </w:rPr>
            </w:pPr>
          </w:p>
        </w:tc>
      </w:tr>
      <w:tr w:rsidR="00EA0410" w:rsidRPr="008F3CB5" w14:paraId="76E0E6F2" w14:textId="77777777" w:rsidTr="00B64379">
        <w:trPr>
          <w:trHeight w:val="567"/>
          <w:jc w:val="center"/>
        </w:trPr>
        <w:tc>
          <w:tcPr>
            <w:tcW w:w="2457" w:type="dxa"/>
            <w:shd w:val="clear" w:color="auto" w:fill="E7E6E6" w:themeFill="background2"/>
          </w:tcPr>
          <w:p w14:paraId="01CDE7F4" w14:textId="77777777" w:rsidR="00EA0410" w:rsidRPr="008F3CB5" w:rsidRDefault="00EA0410" w:rsidP="00437525">
            <w:pPr>
              <w:spacing w:line="276" w:lineRule="auto"/>
              <w:rPr>
                <w:rFonts w:ascii="Arial" w:hAnsi="Arial" w:cs="Arial"/>
              </w:rPr>
            </w:pPr>
            <w:r w:rsidRPr="008F3CB5">
              <w:rPr>
                <w:rFonts w:ascii="Arial" w:hAnsi="Arial" w:cs="Arial"/>
              </w:rPr>
              <w:t>BMI vs. Creatinine</w:t>
            </w:r>
          </w:p>
          <w:p w14:paraId="24C96011" w14:textId="77777777" w:rsidR="00EA0410" w:rsidRPr="008F3CB5" w:rsidRDefault="00EA0410" w:rsidP="00437525">
            <w:pPr>
              <w:spacing w:line="276" w:lineRule="auto"/>
              <w:rPr>
                <w:rFonts w:ascii="Arial" w:hAnsi="Arial" w:cs="Arial"/>
              </w:rPr>
            </w:pPr>
          </w:p>
        </w:tc>
        <w:tc>
          <w:tcPr>
            <w:tcW w:w="2457" w:type="dxa"/>
            <w:shd w:val="clear" w:color="auto" w:fill="E7E6E6" w:themeFill="background2"/>
          </w:tcPr>
          <w:p w14:paraId="5C772771" w14:textId="6E1C370B" w:rsidR="00EA0410" w:rsidRPr="008F3CB5" w:rsidRDefault="00EA0410" w:rsidP="00437525">
            <w:pPr>
              <w:spacing w:line="276" w:lineRule="auto"/>
              <w:jc w:val="center"/>
              <w:rPr>
                <w:rFonts w:ascii="Arial" w:hAnsi="Arial" w:cs="Arial"/>
              </w:rPr>
            </w:pPr>
            <w:r w:rsidRPr="008F3CB5">
              <w:rPr>
                <w:rFonts w:ascii="Arial" w:hAnsi="Arial" w:cs="Arial"/>
              </w:rPr>
              <w:t>0.29</w:t>
            </w:r>
          </w:p>
          <w:p w14:paraId="62310DE3" w14:textId="77777777" w:rsidR="00EA0410" w:rsidRPr="008F3CB5" w:rsidRDefault="00EA0410" w:rsidP="00437525">
            <w:pPr>
              <w:spacing w:line="276" w:lineRule="auto"/>
              <w:jc w:val="center"/>
              <w:rPr>
                <w:rFonts w:ascii="Arial" w:hAnsi="Arial" w:cs="Arial"/>
              </w:rPr>
            </w:pPr>
          </w:p>
        </w:tc>
        <w:tc>
          <w:tcPr>
            <w:tcW w:w="2457" w:type="dxa"/>
            <w:shd w:val="clear" w:color="auto" w:fill="E7E6E6" w:themeFill="background2"/>
          </w:tcPr>
          <w:p w14:paraId="5061AC8C" w14:textId="77777777" w:rsidR="00EA0410" w:rsidRPr="008F3CB5" w:rsidRDefault="00EA0410" w:rsidP="00437525">
            <w:pPr>
              <w:spacing w:line="276" w:lineRule="auto"/>
              <w:jc w:val="center"/>
              <w:rPr>
                <w:rFonts w:ascii="Arial" w:hAnsi="Arial" w:cs="Arial"/>
              </w:rPr>
            </w:pPr>
            <w:r w:rsidRPr="008F3CB5">
              <w:rPr>
                <w:rFonts w:ascii="Arial" w:hAnsi="Arial" w:cs="Arial"/>
              </w:rPr>
              <w:t>0.006</w:t>
            </w:r>
          </w:p>
          <w:p w14:paraId="0EEEB6A1" w14:textId="197E1B49" w:rsidR="00EA0410" w:rsidRPr="008F3CB5" w:rsidRDefault="00EA0410" w:rsidP="00437525">
            <w:pPr>
              <w:spacing w:line="276" w:lineRule="auto"/>
              <w:jc w:val="center"/>
              <w:rPr>
                <w:rFonts w:ascii="Arial" w:hAnsi="Arial" w:cs="Arial"/>
              </w:rPr>
            </w:pPr>
          </w:p>
        </w:tc>
      </w:tr>
      <w:tr w:rsidR="00EA0410" w:rsidRPr="008F3CB5" w14:paraId="7524EAF4" w14:textId="77777777" w:rsidTr="00B64379">
        <w:trPr>
          <w:trHeight w:val="567"/>
          <w:jc w:val="center"/>
        </w:trPr>
        <w:tc>
          <w:tcPr>
            <w:tcW w:w="2457" w:type="dxa"/>
            <w:shd w:val="clear" w:color="auto" w:fill="E7E6E6" w:themeFill="background2"/>
          </w:tcPr>
          <w:p w14:paraId="4F670AA5" w14:textId="77777777" w:rsidR="00EA0410" w:rsidRPr="008F3CB5" w:rsidRDefault="00EA0410" w:rsidP="00437525">
            <w:pPr>
              <w:spacing w:line="276" w:lineRule="auto"/>
              <w:rPr>
                <w:rFonts w:ascii="Arial" w:hAnsi="Arial" w:cs="Arial"/>
              </w:rPr>
            </w:pPr>
            <w:r w:rsidRPr="008F3CB5">
              <w:rPr>
                <w:rFonts w:ascii="Arial" w:hAnsi="Arial" w:cs="Arial"/>
              </w:rPr>
              <w:t>Age vs. BUN</w:t>
            </w:r>
          </w:p>
          <w:p w14:paraId="26A238C2" w14:textId="77777777" w:rsidR="00EA0410" w:rsidRPr="008F3CB5" w:rsidRDefault="00EA0410" w:rsidP="00437525">
            <w:pPr>
              <w:spacing w:line="276" w:lineRule="auto"/>
              <w:rPr>
                <w:rFonts w:ascii="Arial" w:hAnsi="Arial" w:cs="Arial"/>
              </w:rPr>
            </w:pPr>
          </w:p>
        </w:tc>
        <w:tc>
          <w:tcPr>
            <w:tcW w:w="2457" w:type="dxa"/>
            <w:shd w:val="clear" w:color="auto" w:fill="E7E6E6" w:themeFill="background2"/>
          </w:tcPr>
          <w:p w14:paraId="38682525" w14:textId="68F39B83" w:rsidR="00EA0410" w:rsidRPr="008F3CB5" w:rsidRDefault="00EA0410" w:rsidP="00437525">
            <w:pPr>
              <w:spacing w:line="276" w:lineRule="auto"/>
              <w:jc w:val="center"/>
              <w:rPr>
                <w:rFonts w:ascii="Arial" w:hAnsi="Arial" w:cs="Arial"/>
              </w:rPr>
            </w:pPr>
            <w:r w:rsidRPr="008F3CB5">
              <w:rPr>
                <w:rFonts w:ascii="Arial" w:hAnsi="Arial" w:cs="Arial"/>
              </w:rPr>
              <w:t>0.64</w:t>
            </w:r>
          </w:p>
        </w:tc>
        <w:tc>
          <w:tcPr>
            <w:tcW w:w="2457" w:type="dxa"/>
            <w:shd w:val="clear" w:color="auto" w:fill="E7E6E6" w:themeFill="background2"/>
          </w:tcPr>
          <w:p w14:paraId="1D18E786" w14:textId="77777777" w:rsidR="00EA0410" w:rsidRPr="008F3CB5" w:rsidRDefault="00EA0410" w:rsidP="00437525">
            <w:pPr>
              <w:spacing w:line="276" w:lineRule="auto"/>
              <w:jc w:val="center"/>
              <w:rPr>
                <w:rFonts w:ascii="Arial" w:hAnsi="Arial" w:cs="Arial"/>
              </w:rPr>
            </w:pPr>
            <w:r w:rsidRPr="008F3CB5">
              <w:rPr>
                <w:rFonts w:ascii="Arial" w:hAnsi="Arial" w:cs="Arial"/>
              </w:rPr>
              <w:t>&lt;0.001</w:t>
            </w:r>
          </w:p>
          <w:p w14:paraId="0E65DEE7" w14:textId="77777777" w:rsidR="00EA0410" w:rsidRPr="008F3CB5" w:rsidRDefault="00EA0410" w:rsidP="00437525">
            <w:pPr>
              <w:spacing w:line="276" w:lineRule="auto"/>
              <w:jc w:val="center"/>
              <w:rPr>
                <w:rFonts w:ascii="Arial" w:hAnsi="Arial" w:cs="Arial"/>
              </w:rPr>
            </w:pPr>
          </w:p>
        </w:tc>
      </w:tr>
    </w:tbl>
    <w:p w14:paraId="4253991A" w14:textId="5E0483F3" w:rsidR="00EA0410" w:rsidRDefault="001A35D2" w:rsidP="00614EFC">
      <w:pPr>
        <w:spacing w:line="276" w:lineRule="auto"/>
        <w:jc w:val="both"/>
        <w:rPr>
          <w:rFonts w:ascii="Arial" w:hAnsi="Arial" w:cs="Arial"/>
        </w:rPr>
      </w:pPr>
      <w:r w:rsidRPr="008F3CB5">
        <w:rPr>
          <w:rFonts w:ascii="Arial" w:hAnsi="Arial" w:cs="Arial"/>
        </w:rPr>
        <w:t>A strong negative correlation was observed between age and GFR (r = -0.71, p &lt; 0.001). BMI and GFR showed a moderate negative correlation (r = -0.35, p = 0.002). A mild positive correlation was found between BMI and creatinine (r = 0.29, p = 0.006). Age and BUN showed a strong positive correlation (r = 0.64, p &lt; 0.001).</w:t>
      </w:r>
    </w:p>
    <w:p w14:paraId="2405064C" w14:textId="3415B65D" w:rsidR="008F3CB5" w:rsidRPr="008F3CB5" w:rsidRDefault="008F3CB5" w:rsidP="008F3CB5">
      <w:pPr>
        <w:spacing w:line="276" w:lineRule="auto"/>
        <w:jc w:val="center"/>
        <w:rPr>
          <w:rFonts w:ascii="Arial" w:hAnsi="Arial" w:cs="Arial"/>
        </w:rPr>
      </w:pPr>
      <w:r w:rsidRPr="008F3CB5">
        <w:rPr>
          <w:rFonts w:ascii="Arial" w:hAnsi="Arial" w:cs="Arial"/>
          <w:b/>
          <w:bCs/>
        </w:rPr>
        <w:t xml:space="preserve">Table </w:t>
      </w:r>
      <w:r w:rsidR="00764036">
        <w:rPr>
          <w:rFonts w:ascii="Arial" w:hAnsi="Arial" w:cs="Arial"/>
          <w:b/>
          <w:bCs/>
        </w:rPr>
        <w:t>3</w:t>
      </w:r>
      <w:r w:rsidRPr="008F3CB5">
        <w:rPr>
          <w:rFonts w:ascii="Arial" w:hAnsi="Arial" w:cs="Arial"/>
          <w:b/>
          <w:bCs/>
        </w:rPr>
        <w:t>. Multivariate Regression for Predictors of Low GFR</w:t>
      </w:r>
    </w:p>
    <w:tbl>
      <w:tblPr>
        <w:tblStyle w:val="TableGrid"/>
        <w:tblW w:w="0" w:type="auto"/>
        <w:jc w:val="center"/>
        <w:shd w:val="clear" w:color="auto" w:fill="E7E6E6" w:themeFill="background2"/>
        <w:tblLook w:val="04A0" w:firstRow="1" w:lastRow="0" w:firstColumn="1" w:lastColumn="0" w:noHBand="0" w:noVBand="1"/>
      </w:tblPr>
      <w:tblGrid>
        <w:gridCol w:w="2625"/>
        <w:gridCol w:w="2625"/>
        <w:gridCol w:w="2625"/>
      </w:tblGrid>
      <w:tr w:rsidR="00EA0410" w:rsidRPr="008F3CB5" w14:paraId="560A7995" w14:textId="77777777" w:rsidTr="00B64379">
        <w:trPr>
          <w:trHeight w:val="997"/>
          <w:jc w:val="center"/>
        </w:trPr>
        <w:tc>
          <w:tcPr>
            <w:tcW w:w="2625" w:type="dxa"/>
            <w:shd w:val="clear" w:color="auto" w:fill="E7E6E6" w:themeFill="background2"/>
          </w:tcPr>
          <w:p w14:paraId="5E02FCB3" w14:textId="77777777" w:rsidR="00EA0410" w:rsidRPr="008F3CB5" w:rsidRDefault="00EA0410" w:rsidP="00437525">
            <w:pPr>
              <w:pStyle w:val="Heading1"/>
              <w:spacing w:line="276" w:lineRule="auto"/>
              <w:jc w:val="center"/>
              <w:rPr>
                <w:rFonts w:ascii="Arial" w:hAnsi="Arial" w:cs="Arial"/>
                <w:b/>
                <w:bCs/>
                <w:color w:val="auto"/>
                <w:sz w:val="24"/>
                <w:szCs w:val="24"/>
              </w:rPr>
            </w:pPr>
            <w:r w:rsidRPr="008F3CB5">
              <w:rPr>
                <w:rFonts w:ascii="Arial" w:hAnsi="Arial" w:cs="Arial"/>
                <w:b/>
                <w:bCs/>
                <w:color w:val="auto"/>
                <w:sz w:val="24"/>
                <w:szCs w:val="24"/>
              </w:rPr>
              <w:lastRenderedPageBreak/>
              <w:t>Predictor</w:t>
            </w:r>
          </w:p>
          <w:p w14:paraId="7E2B8BF8" w14:textId="77777777" w:rsidR="00EA0410" w:rsidRPr="008F3CB5" w:rsidRDefault="00EA0410" w:rsidP="00437525">
            <w:pPr>
              <w:pStyle w:val="Heading1"/>
              <w:spacing w:line="276" w:lineRule="auto"/>
              <w:jc w:val="center"/>
              <w:rPr>
                <w:rFonts w:ascii="Arial" w:hAnsi="Arial" w:cs="Arial"/>
                <w:b/>
                <w:bCs/>
                <w:color w:val="auto"/>
                <w:sz w:val="24"/>
                <w:szCs w:val="24"/>
              </w:rPr>
            </w:pPr>
          </w:p>
        </w:tc>
        <w:tc>
          <w:tcPr>
            <w:tcW w:w="2625" w:type="dxa"/>
            <w:shd w:val="clear" w:color="auto" w:fill="E7E6E6" w:themeFill="background2"/>
          </w:tcPr>
          <w:p w14:paraId="56A59B68" w14:textId="77777777" w:rsidR="00EA0410" w:rsidRPr="008F3CB5" w:rsidRDefault="00EA0410" w:rsidP="00437525">
            <w:pPr>
              <w:pStyle w:val="Heading1"/>
              <w:spacing w:line="276" w:lineRule="auto"/>
              <w:jc w:val="center"/>
              <w:rPr>
                <w:rFonts w:ascii="Arial" w:hAnsi="Arial" w:cs="Arial"/>
                <w:b/>
                <w:bCs/>
                <w:color w:val="auto"/>
                <w:sz w:val="24"/>
                <w:szCs w:val="24"/>
              </w:rPr>
            </w:pPr>
            <w:r w:rsidRPr="008F3CB5">
              <w:rPr>
                <w:rFonts w:ascii="Arial" w:hAnsi="Arial" w:cs="Arial"/>
                <w:b/>
                <w:bCs/>
                <w:color w:val="auto"/>
                <w:sz w:val="24"/>
                <w:szCs w:val="24"/>
              </w:rPr>
              <w:t>Beta Coefficient</w:t>
            </w:r>
          </w:p>
          <w:p w14:paraId="5AA72B8F" w14:textId="77777777" w:rsidR="00EA0410" w:rsidRPr="008F3CB5" w:rsidRDefault="00EA0410" w:rsidP="00437525">
            <w:pPr>
              <w:pStyle w:val="Heading1"/>
              <w:spacing w:line="276" w:lineRule="auto"/>
              <w:jc w:val="center"/>
              <w:rPr>
                <w:rFonts w:ascii="Arial" w:hAnsi="Arial" w:cs="Arial"/>
                <w:b/>
                <w:bCs/>
                <w:color w:val="auto"/>
                <w:sz w:val="24"/>
                <w:szCs w:val="24"/>
              </w:rPr>
            </w:pPr>
          </w:p>
        </w:tc>
        <w:tc>
          <w:tcPr>
            <w:tcW w:w="2625" w:type="dxa"/>
            <w:shd w:val="clear" w:color="auto" w:fill="E7E6E6" w:themeFill="background2"/>
          </w:tcPr>
          <w:p w14:paraId="5A3EE6B6" w14:textId="77777777" w:rsidR="00EA0410" w:rsidRPr="008F3CB5" w:rsidRDefault="00EA0410" w:rsidP="00437525">
            <w:pPr>
              <w:pStyle w:val="Heading1"/>
              <w:spacing w:line="276" w:lineRule="auto"/>
              <w:jc w:val="center"/>
              <w:rPr>
                <w:rFonts w:ascii="Arial" w:hAnsi="Arial" w:cs="Arial"/>
                <w:b/>
                <w:bCs/>
                <w:color w:val="auto"/>
                <w:sz w:val="24"/>
                <w:szCs w:val="24"/>
              </w:rPr>
            </w:pPr>
            <w:r w:rsidRPr="008F3CB5">
              <w:rPr>
                <w:rFonts w:ascii="Arial" w:hAnsi="Arial" w:cs="Arial"/>
                <w:b/>
                <w:bCs/>
                <w:color w:val="auto"/>
                <w:sz w:val="24"/>
                <w:szCs w:val="24"/>
              </w:rPr>
              <w:t>p-value</w:t>
            </w:r>
          </w:p>
          <w:p w14:paraId="3A25C52F" w14:textId="77777777" w:rsidR="00EA0410" w:rsidRPr="008F3CB5" w:rsidRDefault="00EA0410" w:rsidP="00437525">
            <w:pPr>
              <w:pStyle w:val="Heading1"/>
              <w:spacing w:line="276" w:lineRule="auto"/>
              <w:jc w:val="center"/>
              <w:rPr>
                <w:rFonts w:ascii="Arial" w:hAnsi="Arial" w:cs="Arial"/>
                <w:b/>
                <w:bCs/>
                <w:color w:val="auto"/>
                <w:sz w:val="24"/>
                <w:szCs w:val="24"/>
              </w:rPr>
            </w:pPr>
          </w:p>
        </w:tc>
      </w:tr>
      <w:tr w:rsidR="00EA0410" w:rsidRPr="008F3CB5" w14:paraId="5A008B4C" w14:textId="77777777" w:rsidTr="00B64379">
        <w:trPr>
          <w:trHeight w:val="669"/>
          <w:jc w:val="center"/>
        </w:trPr>
        <w:tc>
          <w:tcPr>
            <w:tcW w:w="2625" w:type="dxa"/>
            <w:shd w:val="clear" w:color="auto" w:fill="E7E6E6" w:themeFill="background2"/>
          </w:tcPr>
          <w:p w14:paraId="6AE73D57" w14:textId="70793A82" w:rsidR="00EA0410" w:rsidRPr="008F3CB5" w:rsidRDefault="00EA0410" w:rsidP="00437525">
            <w:pPr>
              <w:spacing w:line="276" w:lineRule="auto"/>
              <w:rPr>
                <w:rFonts w:ascii="Arial" w:hAnsi="Arial" w:cs="Arial"/>
              </w:rPr>
            </w:pPr>
            <w:r w:rsidRPr="008F3CB5">
              <w:rPr>
                <w:rFonts w:ascii="Arial" w:hAnsi="Arial" w:cs="Arial"/>
              </w:rPr>
              <w:t xml:space="preserve">Age </w:t>
            </w:r>
          </w:p>
          <w:p w14:paraId="4429283E" w14:textId="77777777" w:rsidR="00EA0410" w:rsidRPr="008F3CB5" w:rsidRDefault="00EA0410" w:rsidP="00437525">
            <w:pPr>
              <w:spacing w:line="276" w:lineRule="auto"/>
              <w:rPr>
                <w:rFonts w:ascii="Arial" w:hAnsi="Arial" w:cs="Arial"/>
              </w:rPr>
            </w:pPr>
          </w:p>
        </w:tc>
        <w:tc>
          <w:tcPr>
            <w:tcW w:w="2625" w:type="dxa"/>
            <w:shd w:val="clear" w:color="auto" w:fill="E7E6E6" w:themeFill="background2"/>
          </w:tcPr>
          <w:p w14:paraId="7B5EB18E" w14:textId="22CFF927" w:rsidR="00EA0410" w:rsidRPr="008F3CB5" w:rsidRDefault="00EA0410" w:rsidP="00437525">
            <w:pPr>
              <w:spacing w:line="276" w:lineRule="auto"/>
              <w:jc w:val="center"/>
              <w:rPr>
                <w:rFonts w:ascii="Arial" w:hAnsi="Arial" w:cs="Arial"/>
              </w:rPr>
            </w:pPr>
            <w:r w:rsidRPr="008F3CB5">
              <w:rPr>
                <w:rFonts w:ascii="Arial" w:hAnsi="Arial" w:cs="Arial"/>
              </w:rPr>
              <w:t>-0.56</w:t>
            </w:r>
          </w:p>
        </w:tc>
        <w:tc>
          <w:tcPr>
            <w:tcW w:w="2625" w:type="dxa"/>
            <w:shd w:val="clear" w:color="auto" w:fill="E7E6E6" w:themeFill="background2"/>
          </w:tcPr>
          <w:p w14:paraId="7ACE98FB" w14:textId="77777777" w:rsidR="00EA0410" w:rsidRPr="008F3CB5" w:rsidRDefault="00EA0410" w:rsidP="00437525">
            <w:pPr>
              <w:spacing w:line="276" w:lineRule="auto"/>
              <w:jc w:val="center"/>
              <w:rPr>
                <w:rFonts w:ascii="Arial" w:hAnsi="Arial" w:cs="Arial"/>
              </w:rPr>
            </w:pPr>
            <w:r w:rsidRPr="008F3CB5">
              <w:rPr>
                <w:rFonts w:ascii="Arial" w:hAnsi="Arial" w:cs="Arial"/>
              </w:rPr>
              <w:t>&lt;0.001</w:t>
            </w:r>
          </w:p>
          <w:p w14:paraId="62CFD3E3" w14:textId="77777777" w:rsidR="00EA0410" w:rsidRPr="008F3CB5" w:rsidRDefault="00EA0410" w:rsidP="00437525">
            <w:pPr>
              <w:spacing w:line="276" w:lineRule="auto"/>
              <w:jc w:val="center"/>
              <w:rPr>
                <w:rFonts w:ascii="Arial" w:hAnsi="Arial" w:cs="Arial"/>
              </w:rPr>
            </w:pPr>
          </w:p>
        </w:tc>
      </w:tr>
      <w:tr w:rsidR="00EA0410" w:rsidRPr="008F3CB5" w14:paraId="7F0438A6" w14:textId="77777777" w:rsidTr="00B64379">
        <w:trPr>
          <w:trHeight w:val="655"/>
          <w:jc w:val="center"/>
        </w:trPr>
        <w:tc>
          <w:tcPr>
            <w:tcW w:w="2625" w:type="dxa"/>
            <w:shd w:val="clear" w:color="auto" w:fill="E7E6E6" w:themeFill="background2"/>
          </w:tcPr>
          <w:p w14:paraId="61ECC8A9" w14:textId="3D9ED504" w:rsidR="00EA0410" w:rsidRPr="008F3CB5" w:rsidRDefault="00EA0410" w:rsidP="00437525">
            <w:pPr>
              <w:spacing w:line="276" w:lineRule="auto"/>
              <w:rPr>
                <w:rFonts w:ascii="Arial" w:hAnsi="Arial" w:cs="Arial"/>
              </w:rPr>
            </w:pPr>
            <w:r w:rsidRPr="008F3CB5">
              <w:rPr>
                <w:rFonts w:ascii="Arial" w:hAnsi="Arial" w:cs="Arial"/>
              </w:rPr>
              <w:t xml:space="preserve">BMI </w:t>
            </w:r>
          </w:p>
          <w:p w14:paraId="53DAE45E" w14:textId="77777777" w:rsidR="00EA0410" w:rsidRPr="008F3CB5" w:rsidRDefault="00EA0410" w:rsidP="00437525">
            <w:pPr>
              <w:spacing w:line="276" w:lineRule="auto"/>
              <w:rPr>
                <w:rFonts w:ascii="Arial" w:hAnsi="Arial" w:cs="Arial"/>
              </w:rPr>
            </w:pPr>
          </w:p>
        </w:tc>
        <w:tc>
          <w:tcPr>
            <w:tcW w:w="2625" w:type="dxa"/>
            <w:shd w:val="clear" w:color="auto" w:fill="E7E6E6" w:themeFill="background2"/>
          </w:tcPr>
          <w:p w14:paraId="0366D2E7" w14:textId="3CE706D7" w:rsidR="00EA0410" w:rsidRPr="008F3CB5" w:rsidRDefault="00EA0410" w:rsidP="00437525">
            <w:pPr>
              <w:spacing w:line="276" w:lineRule="auto"/>
              <w:jc w:val="center"/>
              <w:rPr>
                <w:rFonts w:ascii="Arial" w:hAnsi="Arial" w:cs="Arial"/>
              </w:rPr>
            </w:pPr>
            <w:r w:rsidRPr="008F3CB5">
              <w:rPr>
                <w:rFonts w:ascii="Arial" w:hAnsi="Arial" w:cs="Arial"/>
              </w:rPr>
              <w:t>-0.28</w:t>
            </w:r>
          </w:p>
        </w:tc>
        <w:tc>
          <w:tcPr>
            <w:tcW w:w="2625" w:type="dxa"/>
            <w:shd w:val="clear" w:color="auto" w:fill="E7E6E6" w:themeFill="background2"/>
          </w:tcPr>
          <w:p w14:paraId="1AB58EBC" w14:textId="06CDEE3E" w:rsidR="00EA0410" w:rsidRPr="008F3CB5" w:rsidRDefault="00EA0410" w:rsidP="00437525">
            <w:pPr>
              <w:spacing w:line="276" w:lineRule="auto"/>
              <w:jc w:val="center"/>
              <w:rPr>
                <w:rFonts w:ascii="Arial" w:hAnsi="Arial" w:cs="Arial"/>
              </w:rPr>
            </w:pPr>
            <w:r w:rsidRPr="008F3CB5">
              <w:rPr>
                <w:rFonts w:ascii="Arial" w:hAnsi="Arial" w:cs="Arial"/>
              </w:rPr>
              <w:t>0.004</w:t>
            </w:r>
          </w:p>
          <w:p w14:paraId="42317938" w14:textId="77777777" w:rsidR="00EA0410" w:rsidRPr="008F3CB5" w:rsidRDefault="00EA0410" w:rsidP="00437525">
            <w:pPr>
              <w:spacing w:line="276" w:lineRule="auto"/>
              <w:jc w:val="center"/>
              <w:rPr>
                <w:rFonts w:ascii="Arial" w:hAnsi="Arial" w:cs="Arial"/>
              </w:rPr>
            </w:pPr>
          </w:p>
        </w:tc>
      </w:tr>
      <w:tr w:rsidR="00EA0410" w:rsidRPr="008F3CB5" w14:paraId="4DB8DD72" w14:textId="77777777" w:rsidTr="00B64379">
        <w:trPr>
          <w:trHeight w:val="655"/>
          <w:jc w:val="center"/>
        </w:trPr>
        <w:tc>
          <w:tcPr>
            <w:tcW w:w="2625" w:type="dxa"/>
            <w:shd w:val="clear" w:color="auto" w:fill="E7E6E6" w:themeFill="background2"/>
          </w:tcPr>
          <w:p w14:paraId="05A56101" w14:textId="77777777" w:rsidR="00EA0410" w:rsidRPr="008F3CB5" w:rsidRDefault="00EA0410" w:rsidP="00437525">
            <w:pPr>
              <w:spacing w:line="276" w:lineRule="auto"/>
              <w:rPr>
                <w:rFonts w:ascii="Arial" w:hAnsi="Arial" w:cs="Arial"/>
              </w:rPr>
            </w:pPr>
            <w:r w:rsidRPr="008F3CB5">
              <w:rPr>
                <w:rFonts w:ascii="Arial" w:hAnsi="Arial" w:cs="Arial"/>
              </w:rPr>
              <w:t>HCO</w:t>
            </w:r>
            <w:r w:rsidRPr="008F3CB5">
              <w:rPr>
                <w:rFonts w:ascii="Cambria Math" w:hAnsi="Cambria Math" w:cs="Cambria Math"/>
              </w:rPr>
              <w:t>₃⁻</w:t>
            </w:r>
          </w:p>
          <w:p w14:paraId="370FA1DF" w14:textId="77777777" w:rsidR="00EA0410" w:rsidRPr="008F3CB5" w:rsidRDefault="00EA0410" w:rsidP="00437525">
            <w:pPr>
              <w:spacing w:line="276" w:lineRule="auto"/>
              <w:rPr>
                <w:rFonts w:ascii="Arial" w:hAnsi="Arial" w:cs="Arial"/>
              </w:rPr>
            </w:pPr>
          </w:p>
        </w:tc>
        <w:tc>
          <w:tcPr>
            <w:tcW w:w="2625" w:type="dxa"/>
            <w:shd w:val="clear" w:color="auto" w:fill="E7E6E6" w:themeFill="background2"/>
          </w:tcPr>
          <w:p w14:paraId="3ADDD4E6" w14:textId="1E59358B" w:rsidR="00EA0410" w:rsidRPr="008F3CB5" w:rsidRDefault="00EA0410" w:rsidP="00437525">
            <w:pPr>
              <w:spacing w:line="276" w:lineRule="auto"/>
              <w:jc w:val="center"/>
              <w:rPr>
                <w:rFonts w:ascii="Arial" w:hAnsi="Arial" w:cs="Arial"/>
              </w:rPr>
            </w:pPr>
            <w:r w:rsidRPr="008F3CB5">
              <w:rPr>
                <w:rFonts w:ascii="Arial" w:hAnsi="Arial" w:cs="Arial"/>
              </w:rPr>
              <w:t>+0.31</w:t>
            </w:r>
          </w:p>
        </w:tc>
        <w:tc>
          <w:tcPr>
            <w:tcW w:w="2625" w:type="dxa"/>
            <w:shd w:val="clear" w:color="auto" w:fill="E7E6E6" w:themeFill="background2"/>
          </w:tcPr>
          <w:p w14:paraId="6B3D3FF6" w14:textId="303614D9" w:rsidR="00EA0410" w:rsidRPr="008F3CB5" w:rsidRDefault="00EA0410" w:rsidP="00437525">
            <w:pPr>
              <w:spacing w:line="276" w:lineRule="auto"/>
              <w:jc w:val="center"/>
              <w:rPr>
                <w:rFonts w:ascii="Arial" w:hAnsi="Arial" w:cs="Arial"/>
              </w:rPr>
            </w:pPr>
            <w:r w:rsidRPr="008F3CB5">
              <w:rPr>
                <w:rFonts w:ascii="Arial" w:hAnsi="Arial" w:cs="Arial"/>
              </w:rPr>
              <w:t>0.002</w:t>
            </w:r>
          </w:p>
          <w:p w14:paraId="27CBBA5A" w14:textId="77777777" w:rsidR="00EA0410" w:rsidRPr="008F3CB5" w:rsidRDefault="00EA0410" w:rsidP="00437525">
            <w:pPr>
              <w:spacing w:line="276" w:lineRule="auto"/>
              <w:jc w:val="center"/>
              <w:rPr>
                <w:rFonts w:ascii="Arial" w:hAnsi="Arial" w:cs="Arial"/>
              </w:rPr>
            </w:pPr>
          </w:p>
        </w:tc>
      </w:tr>
    </w:tbl>
    <w:p w14:paraId="2A172E03" w14:textId="14C811F8" w:rsidR="001A35D2" w:rsidRPr="008F3CB5" w:rsidRDefault="001A35D2" w:rsidP="001D73C3">
      <w:pPr>
        <w:spacing w:line="276" w:lineRule="auto"/>
        <w:jc w:val="both"/>
        <w:rPr>
          <w:rFonts w:ascii="Arial" w:hAnsi="Arial" w:cs="Arial"/>
        </w:rPr>
      </w:pPr>
      <w:r w:rsidRPr="008F3CB5">
        <w:rPr>
          <w:rFonts w:ascii="Arial" w:hAnsi="Arial" w:cs="Arial"/>
        </w:rPr>
        <w:t>Multivariate regression analysis identified age, BMI, and serum bicarbonate (HCO</w:t>
      </w:r>
      <w:r w:rsidRPr="008F3CB5">
        <w:rPr>
          <w:rFonts w:ascii="Cambria Math" w:hAnsi="Cambria Math" w:cs="Cambria Math"/>
        </w:rPr>
        <w:t>₃⁻</w:t>
      </w:r>
      <w:r w:rsidRPr="008F3CB5">
        <w:rPr>
          <w:rFonts w:ascii="Arial" w:hAnsi="Arial" w:cs="Arial"/>
        </w:rPr>
        <w:t>) as significant predictors of GFR. Age showed a strong negative association with GFR (β = -0.56, p &lt; 0.001). BMI had a significant negative association with GFR (β = -0.28, p = 0.004). Serum bicarbonate (HCO</w:t>
      </w:r>
      <w:r w:rsidRPr="008F3CB5">
        <w:rPr>
          <w:rFonts w:ascii="Cambria Math" w:hAnsi="Cambria Math" w:cs="Cambria Math"/>
        </w:rPr>
        <w:t>₃⁻</w:t>
      </w:r>
      <w:r w:rsidRPr="008F3CB5">
        <w:rPr>
          <w:rFonts w:ascii="Arial" w:hAnsi="Arial" w:cs="Arial"/>
        </w:rPr>
        <w:t>) showed a positive association with GFR (β = +0.31, p = 0.002).</w:t>
      </w:r>
    </w:p>
    <w:p w14:paraId="29D5E7F9" w14:textId="773B14EC" w:rsidR="00886F06" w:rsidRPr="008F3CB5" w:rsidRDefault="00886F06" w:rsidP="007242DC">
      <w:pPr>
        <w:spacing w:line="276" w:lineRule="auto"/>
        <w:rPr>
          <w:rFonts w:ascii="Arial" w:hAnsi="Arial" w:cs="Arial"/>
          <w:b/>
          <w:bCs/>
          <w:sz w:val="28"/>
          <w:szCs w:val="28"/>
          <w:lang w:val="en-US"/>
        </w:rPr>
      </w:pPr>
      <w:r w:rsidRPr="008F3CB5">
        <w:rPr>
          <w:rFonts w:ascii="Arial" w:hAnsi="Arial" w:cs="Arial"/>
          <w:b/>
          <w:bCs/>
          <w:lang w:val="en-US"/>
        </w:rPr>
        <w:t>DISCUSSION</w:t>
      </w:r>
    </w:p>
    <w:p w14:paraId="34B72F79" w14:textId="63008B30" w:rsidR="00886F06" w:rsidRPr="008F3CB5" w:rsidRDefault="00886F06" w:rsidP="00437525">
      <w:pPr>
        <w:spacing w:before="100" w:beforeAutospacing="1" w:after="100" w:afterAutospacing="1" w:line="276" w:lineRule="auto"/>
        <w:jc w:val="both"/>
        <w:rPr>
          <w:rFonts w:ascii="Arial" w:eastAsia="Times New Roman" w:hAnsi="Arial" w:cs="Arial"/>
          <w:kern w:val="0"/>
          <w:lang w:eastAsia="en-IN"/>
          <w14:ligatures w14:val="none"/>
        </w:rPr>
      </w:pPr>
      <w:r w:rsidRPr="008F3CB5">
        <w:rPr>
          <w:rFonts w:ascii="Arial" w:eastAsia="Times New Roman" w:hAnsi="Arial" w:cs="Arial"/>
          <w:kern w:val="0"/>
          <w:lang w:eastAsia="en-IN"/>
          <w14:ligatures w14:val="none"/>
        </w:rPr>
        <w:t xml:space="preserve">This study aimed to assess the impact of age, body mass index (BMI), and key biochemical parameters on renal function in a rural Indian population. Using estimated glomerular filtration rate (eGFR) and serum creatinine as indicators of renal health, the analysis sought to delineate how demographic and metabolic factors influence kidney function. The cross-sectional design and relatively diverse age range (14–93 years) provided a comprehensive perspective on renal health across the lifespan in this community-based cohort. Our findings reveal a significant and progressive decline in renal function with advancing age. </w:t>
      </w:r>
      <w:r w:rsidR="00001507" w:rsidRPr="008F3CB5">
        <w:rPr>
          <w:rFonts w:ascii="Arial" w:eastAsia="Times New Roman" w:hAnsi="Arial" w:cs="Arial"/>
          <w:kern w:val="0"/>
          <w:lang w:eastAsia="en-IN"/>
          <w14:ligatures w14:val="none"/>
        </w:rPr>
        <w:t>Line chart 1</w:t>
      </w:r>
      <w:r w:rsidRPr="008F3CB5">
        <w:rPr>
          <w:rFonts w:ascii="Arial" w:eastAsia="Times New Roman" w:hAnsi="Arial" w:cs="Arial"/>
          <w:kern w:val="0"/>
          <w:lang w:eastAsia="en-IN"/>
          <w14:ligatures w14:val="none"/>
        </w:rPr>
        <w:t xml:space="preserve"> </w:t>
      </w:r>
      <w:r w:rsidR="00001507" w:rsidRPr="008F3CB5">
        <w:rPr>
          <w:rFonts w:ascii="Arial" w:eastAsia="Times New Roman" w:hAnsi="Arial" w:cs="Arial"/>
          <w:kern w:val="0"/>
          <w:lang w:eastAsia="en-IN"/>
          <w14:ligatures w14:val="none"/>
        </w:rPr>
        <w:t>shows</w:t>
      </w:r>
      <w:r w:rsidRPr="008F3CB5">
        <w:rPr>
          <w:rFonts w:ascii="Arial" w:eastAsia="Times New Roman" w:hAnsi="Arial" w:cs="Arial"/>
          <w:kern w:val="0"/>
          <w:lang w:eastAsia="en-IN"/>
          <w14:ligatures w14:val="none"/>
        </w:rPr>
        <w:t xml:space="preserve"> a marked reduction in mean GFR from 131.2 mL/min in participants aged &lt;40 years to 62.1 mL/min in those over 60 years, while serum creatinine increased from 0.67 mg/dL to 1.52 mg/dL. Correlation analysis in Table 3 further confirms a strong inverse relationship between age and GFR (r = -0.71, p &lt; 0.001) and a significant positive correlation between age and blood urea nitrogen (BUN) (r = 0.64, p &lt; 0.001). BMI also emerged as an independent risk factor: Table 3 reveals a moderate negative correlation with GFR (r = -0.35, p = 0.002) and a mild positive correlation with creatinine (r = 0.29, p = 0.006). Multivariate regression (Table 4) identified age (β = -0.56, p &lt; 0.001) and BMI (β = -0.28, p = 0.004) as significant negative predictors of GFR, while bicarbonate (HCO</w:t>
      </w:r>
      <w:r w:rsidRPr="008F3CB5">
        <w:rPr>
          <w:rFonts w:ascii="Cambria Math" w:eastAsia="Times New Roman" w:hAnsi="Cambria Math" w:cs="Cambria Math"/>
          <w:kern w:val="0"/>
          <w:lang w:eastAsia="en-IN"/>
          <w14:ligatures w14:val="none"/>
        </w:rPr>
        <w:t>₃⁻</w:t>
      </w:r>
      <w:r w:rsidRPr="008F3CB5">
        <w:rPr>
          <w:rFonts w:ascii="Arial" w:eastAsia="Times New Roman" w:hAnsi="Arial" w:cs="Arial"/>
          <w:kern w:val="0"/>
          <w:lang w:eastAsia="en-IN"/>
          <w14:ligatures w14:val="none"/>
        </w:rPr>
        <w:t>) showed a protective association (β = +0.31, p = 0.002), suggesting that metabolic acidosis may play a role in renal impairment.</w:t>
      </w:r>
    </w:p>
    <w:p w14:paraId="7F22CBEE" w14:textId="0B69B35F" w:rsidR="00886F06" w:rsidRPr="008F3CB5" w:rsidRDefault="00886F06" w:rsidP="00437525">
      <w:pPr>
        <w:spacing w:before="100" w:beforeAutospacing="1" w:after="100" w:afterAutospacing="1" w:line="276" w:lineRule="auto"/>
        <w:jc w:val="both"/>
        <w:rPr>
          <w:rFonts w:ascii="Arial" w:eastAsia="Times New Roman" w:hAnsi="Arial" w:cs="Arial"/>
          <w:kern w:val="0"/>
          <w:lang w:eastAsia="en-IN"/>
          <w14:ligatures w14:val="none"/>
        </w:rPr>
      </w:pPr>
      <w:r w:rsidRPr="008F3CB5">
        <w:rPr>
          <w:rFonts w:ascii="Arial" w:eastAsia="Times New Roman" w:hAnsi="Arial" w:cs="Arial"/>
          <w:kern w:val="0"/>
          <w:lang w:eastAsia="en-IN"/>
          <w14:ligatures w14:val="none"/>
        </w:rPr>
        <w:t xml:space="preserve">These observations are consistent with findings from prior epidemiological and clinical studies. Age-related renal decline is well-documented, with studies such as Coresh </w:t>
      </w:r>
      <w:r w:rsidR="00C1087A" w:rsidRPr="008F3CB5">
        <w:rPr>
          <w:rFonts w:ascii="Arial" w:eastAsia="Times New Roman" w:hAnsi="Arial" w:cs="Arial"/>
          <w:kern w:val="0"/>
          <w:lang w:eastAsia="en-IN"/>
          <w14:ligatures w14:val="none"/>
        </w:rPr>
        <w:t>et al.</w:t>
      </w:r>
      <w:r w:rsidR="00C1087A" w:rsidRPr="008F3CB5">
        <w:rPr>
          <w:rFonts w:ascii="Arial" w:eastAsia="Times New Roman" w:hAnsi="Arial" w:cs="Arial"/>
          <w:kern w:val="0"/>
          <w:vertAlign w:val="superscript"/>
          <w:lang w:eastAsia="en-IN"/>
          <w14:ligatures w14:val="none"/>
        </w:rPr>
        <w:t xml:space="preserve"> (12</w:t>
      </w:r>
      <w:r w:rsidR="001D73C3" w:rsidRPr="008F3CB5">
        <w:rPr>
          <w:rFonts w:ascii="Arial" w:eastAsia="Times New Roman" w:hAnsi="Arial" w:cs="Arial"/>
          <w:kern w:val="0"/>
          <w:vertAlign w:val="superscript"/>
          <w:lang w:eastAsia="en-IN"/>
          <w14:ligatures w14:val="none"/>
        </w:rPr>
        <w:t xml:space="preserve">) </w:t>
      </w:r>
      <w:r w:rsidR="001D73C3" w:rsidRPr="008F3CB5">
        <w:rPr>
          <w:rFonts w:ascii="Arial" w:eastAsia="Times New Roman" w:hAnsi="Arial" w:cs="Arial"/>
          <w:kern w:val="0"/>
          <w:lang w:eastAsia="en-IN"/>
          <w14:ligatures w14:val="none"/>
        </w:rPr>
        <w:t>and</w:t>
      </w:r>
      <w:r w:rsidRPr="008F3CB5">
        <w:rPr>
          <w:rFonts w:ascii="Arial" w:eastAsia="Times New Roman" w:hAnsi="Arial" w:cs="Arial"/>
          <w:kern w:val="0"/>
          <w:lang w:eastAsia="en-IN"/>
          <w14:ligatures w14:val="none"/>
        </w:rPr>
        <w:t xml:space="preserve"> Weinstein &amp; Anderson</w:t>
      </w:r>
      <w:r w:rsidR="001D73C3" w:rsidRPr="008F3CB5">
        <w:rPr>
          <w:rFonts w:ascii="Arial" w:eastAsia="Times New Roman" w:hAnsi="Arial" w:cs="Arial"/>
          <w:kern w:val="0"/>
          <w:lang w:eastAsia="en-IN"/>
          <w14:ligatures w14:val="none"/>
        </w:rPr>
        <w:t xml:space="preserve"> et al. </w:t>
      </w:r>
      <w:r w:rsidR="00C1087A" w:rsidRPr="008F3CB5">
        <w:rPr>
          <w:rFonts w:ascii="Arial" w:eastAsia="Times New Roman" w:hAnsi="Arial" w:cs="Arial"/>
          <w:kern w:val="0"/>
          <w:vertAlign w:val="superscript"/>
          <w:lang w:eastAsia="en-IN"/>
          <w14:ligatures w14:val="none"/>
        </w:rPr>
        <w:t>13)</w:t>
      </w:r>
      <w:r w:rsidRPr="008F3CB5">
        <w:rPr>
          <w:rFonts w:ascii="Arial" w:eastAsia="Times New Roman" w:hAnsi="Arial" w:cs="Arial"/>
          <w:kern w:val="0"/>
          <w:lang w:eastAsia="en-IN"/>
          <w14:ligatures w14:val="none"/>
        </w:rPr>
        <w:t xml:space="preserve"> reporting reductions in nephron number and renal blood flow with age, contributing to lower GFR and increased creatinine. Similarly, the link between obesity and impaired renal function has been established </w:t>
      </w:r>
      <w:r w:rsidRPr="008F3CB5">
        <w:rPr>
          <w:rFonts w:ascii="Arial" w:eastAsia="Times New Roman" w:hAnsi="Arial" w:cs="Arial"/>
          <w:kern w:val="0"/>
          <w:lang w:eastAsia="en-IN"/>
          <w14:ligatures w14:val="none"/>
        </w:rPr>
        <w:lastRenderedPageBreak/>
        <w:t xml:space="preserve">in multiple studies. Hall </w:t>
      </w:r>
      <w:r w:rsidR="001D73C3" w:rsidRPr="008F3CB5">
        <w:rPr>
          <w:rFonts w:ascii="Arial" w:eastAsia="Times New Roman" w:hAnsi="Arial" w:cs="Arial"/>
          <w:kern w:val="0"/>
          <w:lang w:eastAsia="en-IN"/>
          <w14:ligatures w14:val="none"/>
        </w:rPr>
        <w:t>et al.</w:t>
      </w:r>
      <w:r w:rsidR="001D73C3" w:rsidRPr="008F3CB5">
        <w:rPr>
          <w:rFonts w:ascii="Arial" w:eastAsia="Times New Roman" w:hAnsi="Arial" w:cs="Arial"/>
          <w:kern w:val="0"/>
          <w:vertAlign w:val="superscript"/>
          <w:lang w:eastAsia="en-IN"/>
          <w14:ligatures w14:val="none"/>
        </w:rPr>
        <w:t xml:space="preserve"> (</w:t>
      </w:r>
      <w:r w:rsidR="00C1087A" w:rsidRPr="008F3CB5">
        <w:rPr>
          <w:rFonts w:ascii="Arial" w:eastAsia="Times New Roman" w:hAnsi="Arial" w:cs="Arial"/>
          <w:kern w:val="0"/>
          <w:vertAlign w:val="superscript"/>
          <w:lang w:eastAsia="en-IN"/>
          <w14:ligatures w14:val="none"/>
        </w:rPr>
        <w:t>14)</w:t>
      </w:r>
      <w:r w:rsidRPr="008F3CB5">
        <w:rPr>
          <w:rFonts w:ascii="Arial" w:eastAsia="Times New Roman" w:hAnsi="Arial" w:cs="Arial"/>
          <w:kern w:val="0"/>
          <w:lang w:eastAsia="en-IN"/>
          <w14:ligatures w14:val="none"/>
        </w:rPr>
        <w:t xml:space="preserve"> and </w:t>
      </w:r>
      <w:proofErr w:type="spellStart"/>
      <w:r w:rsidRPr="008F3CB5">
        <w:rPr>
          <w:rFonts w:ascii="Arial" w:eastAsia="Times New Roman" w:hAnsi="Arial" w:cs="Arial"/>
          <w:kern w:val="0"/>
          <w:lang w:eastAsia="en-IN"/>
          <w14:ligatures w14:val="none"/>
        </w:rPr>
        <w:t>Kovesdy</w:t>
      </w:r>
      <w:proofErr w:type="spellEnd"/>
      <w:r w:rsidRPr="008F3CB5">
        <w:rPr>
          <w:rFonts w:ascii="Arial" w:eastAsia="Times New Roman" w:hAnsi="Arial" w:cs="Arial"/>
          <w:kern w:val="0"/>
          <w:lang w:eastAsia="en-IN"/>
          <w14:ligatures w14:val="none"/>
        </w:rPr>
        <w:t xml:space="preserve"> </w:t>
      </w:r>
      <w:r w:rsidR="001D73C3" w:rsidRPr="008F3CB5">
        <w:rPr>
          <w:rFonts w:ascii="Arial" w:eastAsia="Times New Roman" w:hAnsi="Arial" w:cs="Arial"/>
          <w:kern w:val="0"/>
          <w:lang w:eastAsia="en-IN"/>
          <w14:ligatures w14:val="none"/>
        </w:rPr>
        <w:t>et al.</w:t>
      </w:r>
      <w:r w:rsidR="001D73C3" w:rsidRPr="008F3CB5">
        <w:rPr>
          <w:rFonts w:ascii="Arial" w:eastAsia="Times New Roman" w:hAnsi="Arial" w:cs="Arial"/>
          <w:kern w:val="0"/>
          <w:vertAlign w:val="superscript"/>
          <w:lang w:eastAsia="en-IN"/>
          <w14:ligatures w14:val="none"/>
        </w:rPr>
        <w:t xml:space="preserve"> (15)</w:t>
      </w:r>
      <w:r w:rsidR="001D73C3" w:rsidRPr="008F3CB5">
        <w:rPr>
          <w:rFonts w:ascii="Arial" w:eastAsia="Times New Roman" w:hAnsi="Arial" w:cs="Arial"/>
          <w:kern w:val="0"/>
          <w:lang w:eastAsia="en-IN"/>
          <w14:ligatures w14:val="none"/>
        </w:rPr>
        <w:t xml:space="preserve"> highlighted</w:t>
      </w:r>
      <w:r w:rsidRPr="008F3CB5">
        <w:rPr>
          <w:rFonts w:ascii="Arial" w:eastAsia="Times New Roman" w:hAnsi="Arial" w:cs="Arial"/>
          <w:kern w:val="0"/>
          <w:lang w:eastAsia="en-IN"/>
          <w14:ligatures w14:val="none"/>
        </w:rPr>
        <w:t xml:space="preserve"> that elevated BMI is associated with increased glomerular pressure, hyperfiltration, and subsequent glomerulosclerosis, leading to reduced renal function. Our finding that bicarbonate levels correlate positively with GFR aligns with work by Raphael</w:t>
      </w:r>
      <w:r w:rsidR="00C1087A" w:rsidRPr="008F3CB5">
        <w:rPr>
          <w:rFonts w:ascii="Arial" w:eastAsia="Times New Roman" w:hAnsi="Arial" w:cs="Arial"/>
          <w:kern w:val="0"/>
          <w:lang w:eastAsia="en-IN"/>
          <w14:ligatures w14:val="none"/>
        </w:rPr>
        <w:t xml:space="preserve"> </w:t>
      </w:r>
      <w:r w:rsidR="001D73C3" w:rsidRPr="008F3CB5">
        <w:rPr>
          <w:rFonts w:ascii="Arial" w:eastAsia="Times New Roman" w:hAnsi="Arial" w:cs="Arial"/>
          <w:kern w:val="0"/>
          <w:lang w:eastAsia="en-IN"/>
          <w14:ligatures w14:val="none"/>
        </w:rPr>
        <w:t>et al.</w:t>
      </w:r>
      <w:r w:rsidR="001D73C3" w:rsidRPr="008F3CB5">
        <w:rPr>
          <w:rFonts w:ascii="Arial" w:eastAsia="Times New Roman" w:hAnsi="Arial" w:cs="Arial"/>
          <w:kern w:val="0"/>
          <w:vertAlign w:val="superscript"/>
          <w:lang w:eastAsia="en-IN"/>
          <w14:ligatures w14:val="none"/>
        </w:rPr>
        <w:t xml:space="preserve"> (</w:t>
      </w:r>
      <w:r w:rsidR="00C1087A" w:rsidRPr="008F3CB5">
        <w:rPr>
          <w:rFonts w:ascii="Arial" w:eastAsia="Times New Roman" w:hAnsi="Arial" w:cs="Arial"/>
          <w:kern w:val="0"/>
          <w:vertAlign w:val="superscript"/>
          <w:lang w:eastAsia="en-IN"/>
          <w14:ligatures w14:val="none"/>
        </w:rPr>
        <w:t>16)</w:t>
      </w:r>
      <w:r w:rsidRPr="008F3CB5">
        <w:rPr>
          <w:rFonts w:ascii="Arial" w:eastAsia="Times New Roman" w:hAnsi="Arial" w:cs="Arial"/>
          <w:kern w:val="0"/>
          <w:lang w:eastAsia="en-IN"/>
          <w14:ligatures w14:val="none"/>
        </w:rPr>
        <w:t xml:space="preserve">, which emphasized the role of metabolic acidosis in accelerating chronic kidney disease (CKD) progression and the potential </w:t>
      </w:r>
      <w:proofErr w:type="spellStart"/>
      <w:r w:rsidRPr="008F3CB5">
        <w:rPr>
          <w:rFonts w:ascii="Arial" w:eastAsia="Times New Roman" w:hAnsi="Arial" w:cs="Arial"/>
          <w:kern w:val="0"/>
          <w:lang w:eastAsia="en-IN"/>
          <w14:ligatures w14:val="none"/>
        </w:rPr>
        <w:t>renoprotective</w:t>
      </w:r>
      <w:proofErr w:type="spellEnd"/>
      <w:r w:rsidRPr="008F3CB5">
        <w:rPr>
          <w:rFonts w:ascii="Arial" w:eastAsia="Times New Roman" w:hAnsi="Arial" w:cs="Arial"/>
          <w:kern w:val="0"/>
          <w:lang w:eastAsia="en-IN"/>
          <w14:ligatures w14:val="none"/>
        </w:rPr>
        <w:t xml:space="preserve"> effects of maintaining serum bicarbonate within the normal range. The pathophysiological mechanisms underlying our findings are multifactorial. Aging leads to structural changes in the kidney, including glomerulosclerosis, tubular atrophy, and interstitial fibrosis Denic </w:t>
      </w:r>
      <w:r w:rsidR="001D73C3" w:rsidRPr="008F3CB5">
        <w:rPr>
          <w:rFonts w:ascii="Arial" w:eastAsia="Times New Roman" w:hAnsi="Arial" w:cs="Arial"/>
          <w:kern w:val="0"/>
          <w:lang w:eastAsia="en-IN"/>
          <w14:ligatures w14:val="none"/>
        </w:rPr>
        <w:t>et al.</w:t>
      </w:r>
      <w:r w:rsidR="001D73C3" w:rsidRPr="008F3CB5">
        <w:rPr>
          <w:rFonts w:ascii="Arial" w:eastAsia="Times New Roman" w:hAnsi="Arial" w:cs="Arial"/>
          <w:kern w:val="0"/>
          <w:vertAlign w:val="superscript"/>
          <w:lang w:eastAsia="en-IN"/>
          <w14:ligatures w14:val="none"/>
        </w:rPr>
        <w:t xml:space="preserve"> (</w:t>
      </w:r>
      <w:r w:rsidR="00C1087A" w:rsidRPr="008F3CB5">
        <w:rPr>
          <w:rFonts w:ascii="Arial" w:eastAsia="Times New Roman" w:hAnsi="Arial" w:cs="Arial"/>
          <w:kern w:val="0"/>
          <w:vertAlign w:val="superscript"/>
          <w:lang w:eastAsia="en-IN"/>
          <w14:ligatures w14:val="none"/>
        </w:rPr>
        <w:t>17)</w:t>
      </w:r>
      <w:r w:rsidRPr="008F3CB5">
        <w:rPr>
          <w:rFonts w:ascii="Arial" w:eastAsia="Times New Roman" w:hAnsi="Arial" w:cs="Arial"/>
          <w:kern w:val="0"/>
          <w:lang w:eastAsia="en-IN"/>
          <w14:ligatures w14:val="none"/>
        </w:rPr>
        <w:t xml:space="preserve"> These changes reduce the filtration surface and functional nephron number, lowering GFR. In obesity, adipose tissue contributes to systemic inflammation and insulin resistance, which in turn increase intraglomerular pressure and promote renal injury Tsuboi </w:t>
      </w:r>
      <w:r w:rsidR="001D73C3" w:rsidRPr="008F3CB5">
        <w:rPr>
          <w:rFonts w:ascii="Arial" w:eastAsia="Times New Roman" w:hAnsi="Arial" w:cs="Arial"/>
          <w:kern w:val="0"/>
          <w:lang w:eastAsia="en-IN"/>
          <w14:ligatures w14:val="none"/>
        </w:rPr>
        <w:t>et al.</w:t>
      </w:r>
      <w:r w:rsidR="001D73C3" w:rsidRPr="008F3CB5">
        <w:rPr>
          <w:rFonts w:ascii="Arial" w:eastAsia="Times New Roman" w:hAnsi="Arial" w:cs="Arial"/>
          <w:kern w:val="0"/>
          <w:vertAlign w:val="superscript"/>
          <w:lang w:eastAsia="en-IN"/>
          <w14:ligatures w14:val="none"/>
        </w:rPr>
        <w:t xml:space="preserve"> (</w:t>
      </w:r>
      <w:r w:rsidR="00C1087A" w:rsidRPr="008F3CB5">
        <w:rPr>
          <w:rFonts w:ascii="Arial" w:eastAsia="Times New Roman" w:hAnsi="Arial" w:cs="Arial"/>
          <w:kern w:val="0"/>
          <w:vertAlign w:val="superscript"/>
          <w:lang w:eastAsia="en-IN"/>
          <w14:ligatures w14:val="none"/>
        </w:rPr>
        <w:t>18</w:t>
      </w:r>
      <w:r w:rsidRPr="008F3CB5">
        <w:rPr>
          <w:rFonts w:ascii="Arial" w:eastAsia="Times New Roman" w:hAnsi="Arial" w:cs="Arial"/>
          <w:kern w:val="0"/>
          <w:vertAlign w:val="superscript"/>
          <w:lang w:eastAsia="en-IN"/>
          <w14:ligatures w14:val="none"/>
        </w:rPr>
        <w:t>)</w:t>
      </w:r>
      <w:r w:rsidRPr="008F3CB5">
        <w:rPr>
          <w:rFonts w:ascii="Arial" w:eastAsia="Times New Roman" w:hAnsi="Arial" w:cs="Arial"/>
          <w:kern w:val="0"/>
          <w:lang w:eastAsia="en-IN"/>
          <w14:ligatures w14:val="none"/>
        </w:rPr>
        <w:t xml:space="preserve"> Moreover, chronic low-grade inflammation in obese individuals enhances oxidative stress and fibrotic </w:t>
      </w:r>
      <w:r w:rsidR="001D73C3" w:rsidRPr="008F3CB5">
        <w:rPr>
          <w:rFonts w:ascii="Arial" w:eastAsia="Times New Roman" w:hAnsi="Arial" w:cs="Arial"/>
          <w:kern w:val="0"/>
          <w:lang w:eastAsia="en-IN"/>
          <w14:ligatures w14:val="none"/>
        </w:rPr>
        <w:t>signalling</w:t>
      </w:r>
      <w:r w:rsidRPr="008F3CB5">
        <w:rPr>
          <w:rFonts w:ascii="Arial" w:eastAsia="Times New Roman" w:hAnsi="Arial" w:cs="Arial"/>
          <w:kern w:val="0"/>
          <w:lang w:eastAsia="en-IN"/>
          <w14:ligatures w14:val="none"/>
        </w:rPr>
        <w:t xml:space="preserve"> within renal tissues. The observed positive association between bicarbonate and GFR may be due to the role of acidosis in stimulating ammonia production, promoting complement activation, and contributing to tubulointerstitial damage, as supported by Wesson </w:t>
      </w:r>
      <w:r w:rsidR="001D73C3" w:rsidRPr="008F3CB5">
        <w:rPr>
          <w:rFonts w:ascii="Arial" w:eastAsia="Times New Roman" w:hAnsi="Arial" w:cs="Arial"/>
          <w:kern w:val="0"/>
          <w:lang w:eastAsia="en-IN"/>
          <w14:ligatures w14:val="none"/>
        </w:rPr>
        <w:t>et al.</w:t>
      </w:r>
      <w:r w:rsidR="001D73C3" w:rsidRPr="008F3CB5">
        <w:rPr>
          <w:rFonts w:ascii="Arial" w:eastAsia="Times New Roman" w:hAnsi="Arial" w:cs="Arial"/>
          <w:kern w:val="0"/>
          <w:vertAlign w:val="superscript"/>
          <w:lang w:eastAsia="en-IN"/>
          <w14:ligatures w14:val="none"/>
        </w:rPr>
        <w:t xml:space="preserve"> (</w:t>
      </w:r>
      <w:r w:rsidR="00C1087A" w:rsidRPr="008F3CB5">
        <w:rPr>
          <w:rFonts w:ascii="Arial" w:eastAsia="Times New Roman" w:hAnsi="Arial" w:cs="Arial"/>
          <w:kern w:val="0"/>
          <w:vertAlign w:val="superscript"/>
          <w:lang w:eastAsia="en-IN"/>
          <w14:ligatures w14:val="none"/>
        </w:rPr>
        <w:t>19)</w:t>
      </w:r>
      <w:r w:rsidRPr="008F3CB5">
        <w:rPr>
          <w:rFonts w:ascii="Arial" w:eastAsia="Times New Roman" w:hAnsi="Arial" w:cs="Arial"/>
          <w:kern w:val="0"/>
          <w:lang w:eastAsia="en-IN"/>
          <w14:ligatures w14:val="none"/>
        </w:rPr>
        <w:t xml:space="preserve"> Maintaining higher bicarbonate levels may help neutralize acid load and mitigate this injury, thereby preserving renal function. Hence our study demonstrates that increasing age and higher BMI are strongly associated with declining renal function, while higher serum bicarbonate levels may offer protective benefits. These results underscore the importance of early screening for renal dysfunction, especially in aging and overweight populations, even in rural settings. Limitations of this study include its cross-sectional nature, which precludes causal inference, and potential confounders such as dietary habits and undiagnosed comorbidities that were not accounted for. Future longitudinal studies with larger samples and inclusion of inflammatory markers are warranted to validate and extend these findings.</w:t>
      </w:r>
    </w:p>
    <w:p w14:paraId="3B0DA2AB" w14:textId="15265DA1" w:rsidR="0038145F" w:rsidRPr="008F3CB5" w:rsidRDefault="0038145F" w:rsidP="00437525">
      <w:pPr>
        <w:spacing w:before="100" w:beforeAutospacing="1" w:after="100" w:afterAutospacing="1" w:line="276" w:lineRule="auto"/>
        <w:jc w:val="both"/>
        <w:rPr>
          <w:rFonts w:ascii="Arial" w:eastAsia="Times New Roman" w:hAnsi="Arial" w:cs="Arial"/>
          <w:b/>
          <w:bCs/>
          <w:kern w:val="0"/>
          <w:sz w:val="28"/>
          <w:szCs w:val="28"/>
          <w:lang w:eastAsia="en-IN"/>
          <w14:ligatures w14:val="none"/>
        </w:rPr>
      </w:pPr>
      <w:r w:rsidRPr="008F3CB5">
        <w:rPr>
          <w:rFonts w:ascii="Arial" w:eastAsia="Times New Roman" w:hAnsi="Arial" w:cs="Arial"/>
          <w:b/>
          <w:bCs/>
          <w:kern w:val="0"/>
          <w:lang w:eastAsia="en-IN"/>
          <w14:ligatures w14:val="none"/>
        </w:rPr>
        <w:t>CONCLUSION</w:t>
      </w:r>
    </w:p>
    <w:p w14:paraId="2D44B01B" w14:textId="7112EF91" w:rsidR="00505E6D" w:rsidRPr="008F3CB5" w:rsidRDefault="00505E6D" w:rsidP="001D73C3">
      <w:pPr>
        <w:spacing w:before="100" w:beforeAutospacing="1" w:after="100" w:afterAutospacing="1" w:line="276" w:lineRule="auto"/>
        <w:jc w:val="both"/>
        <w:rPr>
          <w:rFonts w:ascii="Arial" w:hAnsi="Arial" w:cs="Arial"/>
        </w:rPr>
      </w:pPr>
      <w:r w:rsidRPr="008F3CB5">
        <w:rPr>
          <w:rFonts w:ascii="Arial" w:hAnsi="Arial" w:cs="Arial"/>
        </w:rPr>
        <w:t>The</w:t>
      </w:r>
      <w:r w:rsidR="0038145F" w:rsidRPr="008F3CB5">
        <w:rPr>
          <w:rFonts w:ascii="Arial" w:hAnsi="Arial" w:cs="Arial"/>
        </w:rPr>
        <w:t xml:space="preserve"> study highlights that advancing age and higher BMI are significant risk factors for declining renal function in a rural Indian population, while higher serum bicarbonate levels are associated with better kidney health. These findings underscore the need for early screening and lifestyle interventions to preserve renal function, particularly among aging and overweight individuals in underserved communities.</w:t>
      </w:r>
    </w:p>
    <w:p w14:paraId="34F16AA9" w14:textId="7E6C2569" w:rsidR="002E37AF" w:rsidRPr="008F3CB5" w:rsidRDefault="00437525" w:rsidP="001D73C3">
      <w:pPr>
        <w:spacing w:line="276" w:lineRule="auto"/>
        <w:rPr>
          <w:rFonts w:ascii="Arial" w:hAnsi="Arial" w:cs="Arial"/>
          <w:b/>
          <w:bCs/>
          <w:sz w:val="28"/>
          <w:szCs w:val="28"/>
          <w:lang w:val="en-US"/>
        </w:rPr>
      </w:pPr>
      <w:r w:rsidRPr="008F3CB5">
        <w:rPr>
          <w:rFonts w:ascii="Arial" w:hAnsi="Arial" w:cs="Arial"/>
          <w:b/>
          <w:bCs/>
          <w:lang w:val="en-US"/>
        </w:rPr>
        <w:t>REFERENCES</w:t>
      </w:r>
    </w:p>
    <w:p w14:paraId="6A101C6D" w14:textId="67A01426" w:rsidR="00C1087A" w:rsidRPr="008F3CB5" w:rsidRDefault="00C1087A" w:rsidP="00505E6D">
      <w:pPr>
        <w:pStyle w:val="ListParagraph"/>
        <w:numPr>
          <w:ilvl w:val="0"/>
          <w:numId w:val="5"/>
        </w:numPr>
        <w:spacing w:line="276" w:lineRule="auto"/>
        <w:jc w:val="both"/>
        <w:rPr>
          <w:rFonts w:ascii="Arial" w:hAnsi="Arial" w:cs="Arial"/>
        </w:rPr>
      </w:pPr>
      <w:proofErr w:type="spellStart"/>
      <w:r w:rsidRPr="008F3CB5">
        <w:rPr>
          <w:rFonts w:ascii="Arial" w:hAnsi="Arial" w:cs="Arial"/>
        </w:rPr>
        <w:t>Bikbov</w:t>
      </w:r>
      <w:proofErr w:type="spellEnd"/>
      <w:r w:rsidRPr="008F3CB5">
        <w:rPr>
          <w:rFonts w:ascii="Arial" w:hAnsi="Arial" w:cs="Arial"/>
        </w:rPr>
        <w:t xml:space="preserve"> B, Purcell CA, Levey AS, Smith M, Abdoli A, Abebe M, et al. Global, regional, and national burden of chronic kidney disease, 1990–2017: a systematic analysis for the Global Burden of Disease Study 2017. </w:t>
      </w:r>
      <w:r w:rsidRPr="008F3CB5">
        <w:rPr>
          <w:rFonts w:ascii="Arial" w:hAnsi="Arial" w:cs="Arial"/>
          <w:i/>
          <w:iCs/>
        </w:rPr>
        <w:t>Lancet</w:t>
      </w:r>
      <w:r w:rsidRPr="008F3CB5">
        <w:rPr>
          <w:rFonts w:ascii="Arial" w:hAnsi="Arial" w:cs="Arial"/>
        </w:rPr>
        <w:t>. 2020;395(10225):709–33.</w:t>
      </w:r>
    </w:p>
    <w:p w14:paraId="071F67BB" w14:textId="4393E5FC" w:rsidR="00C1087A" w:rsidRPr="008F3CB5" w:rsidRDefault="00C1087A" w:rsidP="00505E6D">
      <w:pPr>
        <w:pStyle w:val="ListParagraph"/>
        <w:numPr>
          <w:ilvl w:val="0"/>
          <w:numId w:val="5"/>
        </w:numPr>
        <w:spacing w:line="276" w:lineRule="auto"/>
        <w:jc w:val="both"/>
        <w:rPr>
          <w:rFonts w:ascii="Arial" w:hAnsi="Arial" w:cs="Arial"/>
        </w:rPr>
      </w:pPr>
      <w:proofErr w:type="spellStart"/>
      <w:r w:rsidRPr="008F3CB5">
        <w:rPr>
          <w:rFonts w:ascii="Arial" w:hAnsi="Arial" w:cs="Arial"/>
        </w:rPr>
        <w:lastRenderedPageBreak/>
        <w:t>Rajapurkar</w:t>
      </w:r>
      <w:proofErr w:type="spellEnd"/>
      <w:r w:rsidRPr="008F3CB5">
        <w:rPr>
          <w:rFonts w:ascii="Arial" w:hAnsi="Arial" w:cs="Arial"/>
        </w:rPr>
        <w:t xml:space="preserve"> MM, John GT, Kirpalani AL, Abraham G, Agarwal SK, Almeida AF, et al. What do we know about chronic kidney disease in India: first report of the Indian CKD registry. </w:t>
      </w:r>
      <w:r w:rsidRPr="008F3CB5">
        <w:rPr>
          <w:rFonts w:ascii="Arial" w:hAnsi="Arial" w:cs="Arial"/>
          <w:i/>
          <w:iCs/>
        </w:rPr>
        <w:t>BMC Nephrol</w:t>
      </w:r>
      <w:r w:rsidRPr="008F3CB5">
        <w:rPr>
          <w:rFonts w:ascii="Arial" w:hAnsi="Arial" w:cs="Arial"/>
        </w:rPr>
        <w:t xml:space="preserve">. </w:t>
      </w:r>
      <w:r w:rsidR="001D73C3" w:rsidRPr="008F3CB5">
        <w:rPr>
          <w:rFonts w:ascii="Arial" w:hAnsi="Arial" w:cs="Arial"/>
        </w:rPr>
        <w:t>2012; 13:10</w:t>
      </w:r>
      <w:r w:rsidRPr="008F3CB5">
        <w:rPr>
          <w:rFonts w:ascii="Arial" w:hAnsi="Arial" w:cs="Arial"/>
        </w:rPr>
        <w:t>.</w:t>
      </w:r>
    </w:p>
    <w:p w14:paraId="5ADB1426" w14:textId="0632BC87" w:rsidR="00C1087A" w:rsidRPr="008F3CB5" w:rsidRDefault="00C1087A" w:rsidP="00505E6D">
      <w:pPr>
        <w:pStyle w:val="ListParagraph"/>
        <w:numPr>
          <w:ilvl w:val="0"/>
          <w:numId w:val="5"/>
        </w:numPr>
        <w:spacing w:line="276" w:lineRule="auto"/>
        <w:jc w:val="both"/>
        <w:rPr>
          <w:rFonts w:ascii="Arial" w:hAnsi="Arial" w:cs="Arial"/>
        </w:rPr>
      </w:pPr>
      <w:r w:rsidRPr="008F3CB5">
        <w:rPr>
          <w:rFonts w:ascii="Arial" w:hAnsi="Arial" w:cs="Arial"/>
        </w:rPr>
        <w:t xml:space="preserve">Varma PP. Prevalence of chronic kidney disease in India—Where are we heading? </w:t>
      </w:r>
      <w:r w:rsidRPr="008F3CB5">
        <w:rPr>
          <w:rFonts w:ascii="Arial" w:hAnsi="Arial" w:cs="Arial"/>
          <w:i/>
          <w:iCs/>
        </w:rPr>
        <w:t>Indian J Nephrol</w:t>
      </w:r>
      <w:r w:rsidRPr="008F3CB5">
        <w:rPr>
          <w:rFonts w:ascii="Arial" w:hAnsi="Arial" w:cs="Arial"/>
        </w:rPr>
        <w:t>. 2015;25(3):133–5.</w:t>
      </w:r>
    </w:p>
    <w:p w14:paraId="21A0DDE2" w14:textId="721F7623" w:rsidR="00C1087A" w:rsidRPr="008F3CB5" w:rsidRDefault="00C1087A" w:rsidP="00505E6D">
      <w:pPr>
        <w:pStyle w:val="ListParagraph"/>
        <w:numPr>
          <w:ilvl w:val="0"/>
          <w:numId w:val="5"/>
        </w:numPr>
        <w:spacing w:line="276" w:lineRule="auto"/>
        <w:jc w:val="both"/>
        <w:rPr>
          <w:rFonts w:ascii="Arial" w:hAnsi="Arial" w:cs="Arial"/>
        </w:rPr>
      </w:pPr>
      <w:r w:rsidRPr="008F3CB5">
        <w:rPr>
          <w:rFonts w:ascii="Arial" w:hAnsi="Arial" w:cs="Arial"/>
        </w:rPr>
        <w:t xml:space="preserve">Denic A, </w:t>
      </w:r>
      <w:proofErr w:type="spellStart"/>
      <w:r w:rsidRPr="008F3CB5">
        <w:rPr>
          <w:rFonts w:ascii="Arial" w:hAnsi="Arial" w:cs="Arial"/>
        </w:rPr>
        <w:t>Glassock</w:t>
      </w:r>
      <w:proofErr w:type="spellEnd"/>
      <w:r w:rsidRPr="008F3CB5">
        <w:rPr>
          <w:rFonts w:ascii="Arial" w:hAnsi="Arial" w:cs="Arial"/>
        </w:rPr>
        <w:t xml:space="preserve"> RJ, Rule AD. Structural and functional changes with the aging kidney. </w:t>
      </w:r>
      <w:r w:rsidRPr="008F3CB5">
        <w:rPr>
          <w:rFonts w:ascii="Arial" w:hAnsi="Arial" w:cs="Arial"/>
          <w:i/>
          <w:iCs/>
        </w:rPr>
        <w:t>Adv Chronic Kidney Dis</w:t>
      </w:r>
      <w:r w:rsidRPr="008F3CB5">
        <w:rPr>
          <w:rFonts w:ascii="Arial" w:hAnsi="Arial" w:cs="Arial"/>
        </w:rPr>
        <w:t>. 2016;23(1):19–28.</w:t>
      </w:r>
    </w:p>
    <w:p w14:paraId="336CE60B" w14:textId="03B161D0" w:rsidR="00C1087A" w:rsidRPr="008F3CB5" w:rsidRDefault="00C1087A" w:rsidP="00505E6D">
      <w:pPr>
        <w:pStyle w:val="ListParagraph"/>
        <w:numPr>
          <w:ilvl w:val="0"/>
          <w:numId w:val="5"/>
        </w:numPr>
        <w:spacing w:line="276" w:lineRule="auto"/>
        <w:jc w:val="both"/>
        <w:rPr>
          <w:rFonts w:ascii="Arial" w:hAnsi="Arial" w:cs="Arial"/>
        </w:rPr>
      </w:pPr>
      <w:r w:rsidRPr="008F3CB5">
        <w:rPr>
          <w:rFonts w:ascii="Arial" w:hAnsi="Arial" w:cs="Arial"/>
        </w:rPr>
        <w:t xml:space="preserve">ICKD Study Investigators. Risk factors and outcomes associated with CKD in India: The ICKD Study. </w:t>
      </w:r>
      <w:r w:rsidRPr="008F3CB5">
        <w:rPr>
          <w:rFonts w:ascii="Arial" w:hAnsi="Arial" w:cs="Arial"/>
          <w:i/>
          <w:iCs/>
        </w:rPr>
        <w:t>Kidney Int Rep</w:t>
      </w:r>
      <w:r w:rsidRPr="008F3CB5">
        <w:rPr>
          <w:rFonts w:ascii="Arial" w:hAnsi="Arial" w:cs="Arial"/>
        </w:rPr>
        <w:t>. 2020;5(6):973–82.</w:t>
      </w:r>
    </w:p>
    <w:p w14:paraId="73C1FDA6" w14:textId="2525ACEA" w:rsidR="00C1087A" w:rsidRPr="008F3CB5" w:rsidRDefault="00C1087A" w:rsidP="00505E6D">
      <w:pPr>
        <w:pStyle w:val="ListParagraph"/>
        <w:numPr>
          <w:ilvl w:val="0"/>
          <w:numId w:val="5"/>
        </w:numPr>
        <w:spacing w:line="276" w:lineRule="auto"/>
        <w:jc w:val="both"/>
        <w:rPr>
          <w:rFonts w:ascii="Arial" w:hAnsi="Arial" w:cs="Arial"/>
        </w:rPr>
      </w:pPr>
      <w:r w:rsidRPr="008F3CB5">
        <w:rPr>
          <w:rFonts w:ascii="Arial" w:hAnsi="Arial" w:cs="Arial"/>
        </w:rPr>
        <w:t xml:space="preserve">Kramer H, Luke A, </w:t>
      </w:r>
      <w:proofErr w:type="spellStart"/>
      <w:r w:rsidRPr="008F3CB5">
        <w:rPr>
          <w:rFonts w:ascii="Arial" w:hAnsi="Arial" w:cs="Arial"/>
        </w:rPr>
        <w:t>Bidani</w:t>
      </w:r>
      <w:proofErr w:type="spellEnd"/>
      <w:r w:rsidRPr="008F3CB5">
        <w:rPr>
          <w:rFonts w:ascii="Arial" w:hAnsi="Arial" w:cs="Arial"/>
        </w:rPr>
        <w:t xml:space="preserve"> A, Cao G, Cooper R, McGee D. Obesity and prevalent and incident CKD: The Hypertension Detection and Follow-Up Program. </w:t>
      </w:r>
      <w:r w:rsidRPr="008F3CB5">
        <w:rPr>
          <w:rFonts w:ascii="Arial" w:hAnsi="Arial" w:cs="Arial"/>
          <w:i/>
          <w:iCs/>
        </w:rPr>
        <w:t>Am J Kidney Dis</w:t>
      </w:r>
      <w:r w:rsidRPr="008F3CB5">
        <w:rPr>
          <w:rFonts w:ascii="Arial" w:hAnsi="Arial" w:cs="Arial"/>
        </w:rPr>
        <w:t>. 2005;46(4):587–94.</w:t>
      </w:r>
    </w:p>
    <w:p w14:paraId="742CB858" w14:textId="17B60823" w:rsidR="00C1087A" w:rsidRPr="008F3CB5" w:rsidRDefault="00C1087A" w:rsidP="00505E6D">
      <w:pPr>
        <w:pStyle w:val="ListParagraph"/>
        <w:numPr>
          <w:ilvl w:val="0"/>
          <w:numId w:val="5"/>
        </w:numPr>
        <w:spacing w:line="276" w:lineRule="auto"/>
        <w:jc w:val="both"/>
        <w:rPr>
          <w:rFonts w:ascii="Arial" w:hAnsi="Arial" w:cs="Arial"/>
        </w:rPr>
      </w:pPr>
      <w:proofErr w:type="spellStart"/>
      <w:r w:rsidRPr="008F3CB5">
        <w:rPr>
          <w:rFonts w:ascii="Arial" w:hAnsi="Arial" w:cs="Arial"/>
        </w:rPr>
        <w:t>Eknoyan</w:t>
      </w:r>
      <w:proofErr w:type="spellEnd"/>
      <w:r w:rsidRPr="008F3CB5">
        <w:rPr>
          <w:rFonts w:ascii="Arial" w:hAnsi="Arial" w:cs="Arial"/>
        </w:rPr>
        <w:t xml:space="preserve"> G. Obesity and chronic kidney disease. </w:t>
      </w:r>
      <w:proofErr w:type="spellStart"/>
      <w:r w:rsidRPr="008F3CB5">
        <w:rPr>
          <w:rFonts w:ascii="Arial" w:hAnsi="Arial" w:cs="Arial"/>
          <w:i/>
          <w:iCs/>
        </w:rPr>
        <w:t>Nefrologia</w:t>
      </w:r>
      <w:proofErr w:type="spellEnd"/>
      <w:r w:rsidRPr="008F3CB5">
        <w:rPr>
          <w:rFonts w:ascii="Arial" w:hAnsi="Arial" w:cs="Arial"/>
        </w:rPr>
        <w:t>. 2011;31(4):397–403.</w:t>
      </w:r>
    </w:p>
    <w:p w14:paraId="72A90FA9" w14:textId="6C3EE2C1" w:rsidR="00C1087A" w:rsidRPr="008F3CB5" w:rsidRDefault="00C1087A" w:rsidP="00505E6D">
      <w:pPr>
        <w:pStyle w:val="ListParagraph"/>
        <w:numPr>
          <w:ilvl w:val="0"/>
          <w:numId w:val="5"/>
        </w:numPr>
        <w:spacing w:line="276" w:lineRule="auto"/>
        <w:jc w:val="both"/>
        <w:rPr>
          <w:rFonts w:ascii="Arial" w:hAnsi="Arial" w:cs="Arial"/>
        </w:rPr>
      </w:pPr>
      <w:r w:rsidRPr="008F3CB5">
        <w:rPr>
          <w:rFonts w:ascii="Arial" w:hAnsi="Arial" w:cs="Arial"/>
        </w:rPr>
        <w:t xml:space="preserve">Hall JE, do Carmo JM, da Silva AA, Wang Z, Hall ME. Obesity-induced hypertension: Interaction of neurohumoral and renal mechanisms. </w:t>
      </w:r>
      <w:proofErr w:type="spellStart"/>
      <w:r w:rsidRPr="008F3CB5">
        <w:rPr>
          <w:rFonts w:ascii="Arial" w:hAnsi="Arial" w:cs="Arial"/>
          <w:i/>
          <w:iCs/>
        </w:rPr>
        <w:t>Circ</w:t>
      </w:r>
      <w:proofErr w:type="spellEnd"/>
      <w:r w:rsidRPr="008F3CB5">
        <w:rPr>
          <w:rFonts w:ascii="Arial" w:hAnsi="Arial" w:cs="Arial"/>
          <w:i/>
          <w:iCs/>
        </w:rPr>
        <w:t xml:space="preserve"> Res</w:t>
      </w:r>
      <w:r w:rsidRPr="008F3CB5">
        <w:rPr>
          <w:rFonts w:ascii="Arial" w:hAnsi="Arial" w:cs="Arial"/>
        </w:rPr>
        <w:t>. 2015;116(6):991–1006.</w:t>
      </w:r>
    </w:p>
    <w:p w14:paraId="5ACAC4CC" w14:textId="4B8C0911" w:rsidR="00C1087A" w:rsidRPr="008F3CB5" w:rsidRDefault="00C1087A" w:rsidP="00505E6D">
      <w:pPr>
        <w:pStyle w:val="ListParagraph"/>
        <w:numPr>
          <w:ilvl w:val="0"/>
          <w:numId w:val="5"/>
        </w:numPr>
        <w:spacing w:line="276" w:lineRule="auto"/>
        <w:jc w:val="both"/>
        <w:rPr>
          <w:rFonts w:ascii="Arial" w:hAnsi="Arial" w:cs="Arial"/>
        </w:rPr>
      </w:pPr>
      <w:r w:rsidRPr="008F3CB5">
        <w:rPr>
          <w:rFonts w:ascii="Arial" w:hAnsi="Arial" w:cs="Arial"/>
        </w:rPr>
        <w:t xml:space="preserve">Levey AS, Coresh J. Chronic kidney disease. </w:t>
      </w:r>
      <w:r w:rsidRPr="008F3CB5">
        <w:rPr>
          <w:rFonts w:ascii="Arial" w:hAnsi="Arial" w:cs="Arial"/>
          <w:i/>
          <w:iCs/>
        </w:rPr>
        <w:t>Lancet</w:t>
      </w:r>
      <w:r w:rsidRPr="008F3CB5">
        <w:rPr>
          <w:rFonts w:ascii="Arial" w:hAnsi="Arial" w:cs="Arial"/>
        </w:rPr>
        <w:t>. 2012;379(9811):165–80.</w:t>
      </w:r>
    </w:p>
    <w:p w14:paraId="2FECB06F" w14:textId="64B307A3" w:rsidR="00C1087A" w:rsidRPr="008F3CB5" w:rsidRDefault="00C1087A" w:rsidP="00505E6D">
      <w:pPr>
        <w:pStyle w:val="ListParagraph"/>
        <w:numPr>
          <w:ilvl w:val="0"/>
          <w:numId w:val="5"/>
        </w:numPr>
        <w:spacing w:line="276" w:lineRule="auto"/>
        <w:jc w:val="both"/>
        <w:rPr>
          <w:rFonts w:ascii="Arial" w:hAnsi="Arial" w:cs="Arial"/>
        </w:rPr>
      </w:pPr>
      <w:r w:rsidRPr="008F3CB5">
        <w:rPr>
          <w:rFonts w:ascii="Arial" w:hAnsi="Arial" w:cs="Arial"/>
        </w:rPr>
        <w:t xml:space="preserve">Tangri N, Stevens LA, Griffith J, </w:t>
      </w:r>
      <w:proofErr w:type="spellStart"/>
      <w:r w:rsidRPr="008F3CB5">
        <w:rPr>
          <w:rFonts w:ascii="Arial" w:hAnsi="Arial" w:cs="Arial"/>
        </w:rPr>
        <w:t>Tighiouart</w:t>
      </w:r>
      <w:proofErr w:type="spellEnd"/>
      <w:r w:rsidRPr="008F3CB5">
        <w:rPr>
          <w:rFonts w:ascii="Arial" w:hAnsi="Arial" w:cs="Arial"/>
        </w:rPr>
        <w:t xml:space="preserve"> H, </w:t>
      </w:r>
      <w:proofErr w:type="spellStart"/>
      <w:r w:rsidRPr="008F3CB5">
        <w:rPr>
          <w:rFonts w:ascii="Arial" w:hAnsi="Arial" w:cs="Arial"/>
        </w:rPr>
        <w:t>Djurdjev</w:t>
      </w:r>
      <w:proofErr w:type="spellEnd"/>
      <w:r w:rsidRPr="008F3CB5">
        <w:rPr>
          <w:rFonts w:ascii="Arial" w:hAnsi="Arial" w:cs="Arial"/>
        </w:rPr>
        <w:t xml:space="preserve"> O, Naimark D, et al. A predictive model for progression of chronic kidney disease to kidney failure. </w:t>
      </w:r>
      <w:r w:rsidRPr="008F3CB5">
        <w:rPr>
          <w:rFonts w:ascii="Arial" w:hAnsi="Arial" w:cs="Arial"/>
          <w:i/>
          <w:iCs/>
        </w:rPr>
        <w:t>JAMA</w:t>
      </w:r>
      <w:r w:rsidRPr="008F3CB5">
        <w:rPr>
          <w:rFonts w:ascii="Arial" w:hAnsi="Arial" w:cs="Arial"/>
        </w:rPr>
        <w:t>. 2011;305(15):1553–9.</w:t>
      </w:r>
    </w:p>
    <w:p w14:paraId="26396280" w14:textId="1E2EF061" w:rsidR="00C1087A" w:rsidRPr="008F3CB5" w:rsidRDefault="00C1087A" w:rsidP="00505E6D">
      <w:pPr>
        <w:pStyle w:val="ListParagraph"/>
        <w:numPr>
          <w:ilvl w:val="0"/>
          <w:numId w:val="5"/>
        </w:numPr>
        <w:spacing w:line="276" w:lineRule="auto"/>
        <w:jc w:val="both"/>
        <w:rPr>
          <w:rFonts w:ascii="Arial" w:hAnsi="Arial" w:cs="Arial"/>
        </w:rPr>
      </w:pPr>
      <w:r w:rsidRPr="008F3CB5">
        <w:rPr>
          <w:rFonts w:ascii="Arial" w:hAnsi="Arial" w:cs="Arial"/>
        </w:rPr>
        <w:t xml:space="preserve">Raphael KL, Zhang Y, Ying J, Greene T. Prevalence of and risk factors for reduced serum bicarbonate in CKD in the Chronic Renal Insufficiency Cohort (CRIC) study. </w:t>
      </w:r>
      <w:r w:rsidRPr="008F3CB5">
        <w:rPr>
          <w:rFonts w:ascii="Arial" w:hAnsi="Arial" w:cs="Arial"/>
          <w:i/>
          <w:iCs/>
        </w:rPr>
        <w:t>Clin J Am Soc Nephrol</w:t>
      </w:r>
      <w:r w:rsidRPr="008F3CB5">
        <w:rPr>
          <w:rFonts w:ascii="Arial" w:hAnsi="Arial" w:cs="Arial"/>
        </w:rPr>
        <w:t>. 2014;9(5):710–9.</w:t>
      </w:r>
    </w:p>
    <w:p w14:paraId="0284899E" w14:textId="080E62EA" w:rsidR="00C1087A" w:rsidRPr="008F3CB5" w:rsidRDefault="00C1087A" w:rsidP="00505E6D">
      <w:pPr>
        <w:pStyle w:val="ListParagraph"/>
        <w:numPr>
          <w:ilvl w:val="0"/>
          <w:numId w:val="5"/>
        </w:numPr>
        <w:spacing w:line="276" w:lineRule="auto"/>
        <w:jc w:val="both"/>
        <w:rPr>
          <w:rFonts w:ascii="Arial" w:hAnsi="Arial" w:cs="Arial"/>
        </w:rPr>
      </w:pPr>
      <w:r w:rsidRPr="008F3CB5">
        <w:rPr>
          <w:rFonts w:ascii="Arial" w:hAnsi="Arial" w:cs="Arial"/>
        </w:rPr>
        <w:t xml:space="preserve">Coresh J, Selvin E, Stevens LA, Manzi J, Kusek JW, Eggers P, et al. Prevalence of chronic kidney disease in the United States. </w:t>
      </w:r>
      <w:r w:rsidRPr="008F3CB5">
        <w:rPr>
          <w:rFonts w:ascii="Arial" w:hAnsi="Arial" w:cs="Arial"/>
          <w:i/>
          <w:iCs/>
        </w:rPr>
        <w:t>JAMA</w:t>
      </w:r>
      <w:r w:rsidRPr="008F3CB5">
        <w:rPr>
          <w:rFonts w:ascii="Arial" w:hAnsi="Arial" w:cs="Arial"/>
        </w:rPr>
        <w:t>. 2007;298(17):2038–47.</w:t>
      </w:r>
    </w:p>
    <w:p w14:paraId="31A01FF5" w14:textId="7E0FE1CC" w:rsidR="00C1087A" w:rsidRPr="008F3CB5" w:rsidRDefault="00C1087A" w:rsidP="00505E6D">
      <w:pPr>
        <w:pStyle w:val="ListParagraph"/>
        <w:numPr>
          <w:ilvl w:val="0"/>
          <w:numId w:val="5"/>
        </w:numPr>
        <w:spacing w:line="276" w:lineRule="auto"/>
        <w:jc w:val="both"/>
        <w:rPr>
          <w:rFonts w:ascii="Arial" w:hAnsi="Arial" w:cs="Arial"/>
        </w:rPr>
      </w:pPr>
      <w:r w:rsidRPr="008F3CB5">
        <w:rPr>
          <w:rFonts w:ascii="Arial" w:hAnsi="Arial" w:cs="Arial"/>
        </w:rPr>
        <w:t xml:space="preserve">Weinstein JR, Anderson S. The aging kidney: physiological changes. </w:t>
      </w:r>
      <w:r w:rsidRPr="008F3CB5">
        <w:rPr>
          <w:rFonts w:ascii="Arial" w:hAnsi="Arial" w:cs="Arial"/>
          <w:i/>
          <w:iCs/>
        </w:rPr>
        <w:t>Adv Chronic Kidney Dis</w:t>
      </w:r>
      <w:r w:rsidRPr="008F3CB5">
        <w:rPr>
          <w:rFonts w:ascii="Arial" w:hAnsi="Arial" w:cs="Arial"/>
        </w:rPr>
        <w:t>. 2010;17(4):302–7.</w:t>
      </w:r>
    </w:p>
    <w:p w14:paraId="66F6BE44" w14:textId="5CE9FD73" w:rsidR="00C1087A" w:rsidRPr="008F3CB5" w:rsidRDefault="00C1087A" w:rsidP="00505E6D">
      <w:pPr>
        <w:pStyle w:val="ListParagraph"/>
        <w:numPr>
          <w:ilvl w:val="0"/>
          <w:numId w:val="5"/>
        </w:numPr>
        <w:spacing w:line="276" w:lineRule="auto"/>
        <w:jc w:val="both"/>
        <w:rPr>
          <w:rFonts w:ascii="Arial" w:hAnsi="Arial" w:cs="Arial"/>
        </w:rPr>
      </w:pPr>
      <w:r w:rsidRPr="008F3CB5">
        <w:rPr>
          <w:rFonts w:ascii="Arial" w:hAnsi="Arial" w:cs="Arial"/>
        </w:rPr>
        <w:t xml:space="preserve">Hall JE, do Carmo JM, da Silva AA, Wang Z, Hall ME. Obesity-induced hypertension: interaction of neurohumoral and renal mechanisms. </w:t>
      </w:r>
      <w:proofErr w:type="spellStart"/>
      <w:r w:rsidRPr="008F3CB5">
        <w:rPr>
          <w:rFonts w:ascii="Arial" w:hAnsi="Arial" w:cs="Arial"/>
          <w:i/>
          <w:iCs/>
        </w:rPr>
        <w:t>Circ</w:t>
      </w:r>
      <w:proofErr w:type="spellEnd"/>
      <w:r w:rsidRPr="008F3CB5">
        <w:rPr>
          <w:rFonts w:ascii="Arial" w:hAnsi="Arial" w:cs="Arial"/>
          <w:i/>
          <w:iCs/>
        </w:rPr>
        <w:t xml:space="preserve"> Res</w:t>
      </w:r>
      <w:r w:rsidRPr="008F3CB5">
        <w:rPr>
          <w:rFonts w:ascii="Arial" w:hAnsi="Arial" w:cs="Arial"/>
        </w:rPr>
        <w:t>. 2015;116(6):991–1006.</w:t>
      </w:r>
    </w:p>
    <w:p w14:paraId="22EE1364" w14:textId="02BE0496" w:rsidR="00C1087A" w:rsidRPr="008F3CB5" w:rsidRDefault="00C1087A" w:rsidP="00505E6D">
      <w:pPr>
        <w:pStyle w:val="ListParagraph"/>
        <w:numPr>
          <w:ilvl w:val="0"/>
          <w:numId w:val="5"/>
        </w:numPr>
        <w:spacing w:line="276" w:lineRule="auto"/>
        <w:jc w:val="both"/>
        <w:rPr>
          <w:rFonts w:ascii="Arial" w:hAnsi="Arial" w:cs="Arial"/>
        </w:rPr>
      </w:pPr>
      <w:proofErr w:type="spellStart"/>
      <w:r w:rsidRPr="008F3CB5">
        <w:rPr>
          <w:rFonts w:ascii="Arial" w:hAnsi="Arial" w:cs="Arial"/>
        </w:rPr>
        <w:t>Kovesdy</w:t>
      </w:r>
      <w:proofErr w:type="spellEnd"/>
      <w:r w:rsidRPr="008F3CB5">
        <w:rPr>
          <w:rFonts w:ascii="Arial" w:hAnsi="Arial" w:cs="Arial"/>
        </w:rPr>
        <w:t xml:space="preserve"> CP, Furth SL, Zoccali C. Obesity and kidney disease: hidden consequences of the epidemic. </w:t>
      </w:r>
      <w:r w:rsidRPr="008F3CB5">
        <w:rPr>
          <w:rFonts w:ascii="Arial" w:hAnsi="Arial" w:cs="Arial"/>
          <w:i/>
          <w:iCs/>
        </w:rPr>
        <w:t>Can J Kidney Health Dis</w:t>
      </w:r>
      <w:r w:rsidRPr="008F3CB5">
        <w:rPr>
          <w:rFonts w:ascii="Arial" w:hAnsi="Arial" w:cs="Arial"/>
        </w:rPr>
        <w:t xml:space="preserve">. </w:t>
      </w:r>
      <w:r w:rsidR="001D73C3" w:rsidRPr="008F3CB5">
        <w:rPr>
          <w:rFonts w:ascii="Arial" w:hAnsi="Arial" w:cs="Arial"/>
        </w:rPr>
        <w:t>2017; 4:2054358117698669</w:t>
      </w:r>
      <w:r w:rsidRPr="008F3CB5">
        <w:rPr>
          <w:rFonts w:ascii="Arial" w:hAnsi="Arial" w:cs="Arial"/>
        </w:rPr>
        <w:t>.</w:t>
      </w:r>
    </w:p>
    <w:p w14:paraId="226AB141" w14:textId="1183DD28" w:rsidR="00C1087A" w:rsidRPr="008F3CB5" w:rsidRDefault="00C1087A" w:rsidP="00505E6D">
      <w:pPr>
        <w:pStyle w:val="ListParagraph"/>
        <w:numPr>
          <w:ilvl w:val="0"/>
          <w:numId w:val="5"/>
        </w:numPr>
        <w:spacing w:line="276" w:lineRule="auto"/>
        <w:jc w:val="both"/>
        <w:rPr>
          <w:rFonts w:ascii="Arial" w:hAnsi="Arial" w:cs="Arial"/>
        </w:rPr>
      </w:pPr>
      <w:r w:rsidRPr="008F3CB5">
        <w:rPr>
          <w:rFonts w:ascii="Arial" w:hAnsi="Arial" w:cs="Arial"/>
        </w:rPr>
        <w:t xml:space="preserve">Raphael KL. Metabolic acidosis and subclinical kidney injury. </w:t>
      </w:r>
      <w:r w:rsidRPr="008F3CB5">
        <w:rPr>
          <w:rFonts w:ascii="Arial" w:hAnsi="Arial" w:cs="Arial"/>
          <w:i/>
          <w:iCs/>
        </w:rPr>
        <w:t xml:space="preserve">Curr </w:t>
      </w:r>
      <w:proofErr w:type="spellStart"/>
      <w:r w:rsidRPr="008F3CB5">
        <w:rPr>
          <w:rFonts w:ascii="Arial" w:hAnsi="Arial" w:cs="Arial"/>
          <w:i/>
          <w:iCs/>
        </w:rPr>
        <w:t>Opin</w:t>
      </w:r>
      <w:proofErr w:type="spellEnd"/>
      <w:r w:rsidRPr="008F3CB5">
        <w:rPr>
          <w:rFonts w:ascii="Arial" w:hAnsi="Arial" w:cs="Arial"/>
          <w:i/>
          <w:iCs/>
        </w:rPr>
        <w:t xml:space="preserve"> Nephrol </w:t>
      </w:r>
      <w:proofErr w:type="spellStart"/>
      <w:r w:rsidRPr="008F3CB5">
        <w:rPr>
          <w:rFonts w:ascii="Arial" w:hAnsi="Arial" w:cs="Arial"/>
          <w:i/>
          <w:iCs/>
        </w:rPr>
        <w:t>Hypertens</w:t>
      </w:r>
      <w:proofErr w:type="spellEnd"/>
      <w:r w:rsidRPr="008F3CB5">
        <w:rPr>
          <w:rFonts w:ascii="Arial" w:hAnsi="Arial" w:cs="Arial"/>
        </w:rPr>
        <w:t>. 2018;27(2):94–9.</w:t>
      </w:r>
    </w:p>
    <w:p w14:paraId="721EE0DA" w14:textId="147340B2" w:rsidR="00C1087A" w:rsidRPr="008F3CB5" w:rsidRDefault="00C1087A" w:rsidP="00505E6D">
      <w:pPr>
        <w:pStyle w:val="ListParagraph"/>
        <w:numPr>
          <w:ilvl w:val="0"/>
          <w:numId w:val="5"/>
        </w:numPr>
        <w:spacing w:line="276" w:lineRule="auto"/>
        <w:jc w:val="both"/>
        <w:rPr>
          <w:rFonts w:ascii="Arial" w:hAnsi="Arial" w:cs="Arial"/>
        </w:rPr>
      </w:pPr>
      <w:r w:rsidRPr="008F3CB5">
        <w:rPr>
          <w:rFonts w:ascii="Arial" w:hAnsi="Arial" w:cs="Arial"/>
        </w:rPr>
        <w:t xml:space="preserve">Denic A, </w:t>
      </w:r>
      <w:proofErr w:type="spellStart"/>
      <w:r w:rsidRPr="008F3CB5">
        <w:rPr>
          <w:rFonts w:ascii="Arial" w:hAnsi="Arial" w:cs="Arial"/>
        </w:rPr>
        <w:t>Glassock</w:t>
      </w:r>
      <w:proofErr w:type="spellEnd"/>
      <w:r w:rsidRPr="008F3CB5">
        <w:rPr>
          <w:rFonts w:ascii="Arial" w:hAnsi="Arial" w:cs="Arial"/>
        </w:rPr>
        <w:t xml:space="preserve"> RJ, Rule AD. Structural and functional changes with the aging kidney. </w:t>
      </w:r>
      <w:r w:rsidRPr="008F3CB5">
        <w:rPr>
          <w:rFonts w:ascii="Arial" w:hAnsi="Arial" w:cs="Arial"/>
          <w:i/>
          <w:iCs/>
        </w:rPr>
        <w:t>Adv Chronic Kidney Dis</w:t>
      </w:r>
      <w:r w:rsidRPr="008F3CB5">
        <w:rPr>
          <w:rFonts w:ascii="Arial" w:hAnsi="Arial" w:cs="Arial"/>
        </w:rPr>
        <w:t>. 2016;23(1):19–28.</w:t>
      </w:r>
    </w:p>
    <w:p w14:paraId="7138966F" w14:textId="77777777" w:rsidR="00FD4C2B" w:rsidRDefault="00C1087A" w:rsidP="00FD4C2B">
      <w:pPr>
        <w:pStyle w:val="ListParagraph"/>
        <w:numPr>
          <w:ilvl w:val="0"/>
          <w:numId w:val="5"/>
        </w:numPr>
        <w:spacing w:line="276" w:lineRule="auto"/>
        <w:jc w:val="both"/>
        <w:rPr>
          <w:rFonts w:ascii="Arial" w:hAnsi="Arial" w:cs="Arial"/>
        </w:rPr>
      </w:pPr>
      <w:r w:rsidRPr="008F3CB5">
        <w:rPr>
          <w:rFonts w:ascii="Arial" w:hAnsi="Arial" w:cs="Arial"/>
        </w:rPr>
        <w:t xml:space="preserve">Tsuboi N, Utsunomiya Y, Kanzaki G. Obesity-related glomerulopathy and the nephron complement. </w:t>
      </w:r>
      <w:r w:rsidRPr="008F3CB5">
        <w:rPr>
          <w:rFonts w:ascii="Arial" w:hAnsi="Arial" w:cs="Arial"/>
          <w:i/>
          <w:iCs/>
        </w:rPr>
        <w:t>Kidney Int Rep</w:t>
      </w:r>
      <w:r w:rsidRPr="008F3CB5">
        <w:rPr>
          <w:rFonts w:ascii="Arial" w:hAnsi="Arial" w:cs="Arial"/>
        </w:rPr>
        <w:t>. 2017;2(2):229–34.</w:t>
      </w:r>
    </w:p>
    <w:p w14:paraId="4817B55A" w14:textId="252756C5" w:rsidR="00C1087A" w:rsidRPr="00FD4C2B" w:rsidRDefault="00C1087A" w:rsidP="00FD4C2B">
      <w:pPr>
        <w:pStyle w:val="ListParagraph"/>
        <w:numPr>
          <w:ilvl w:val="0"/>
          <w:numId w:val="5"/>
        </w:numPr>
        <w:spacing w:line="276" w:lineRule="auto"/>
        <w:jc w:val="both"/>
        <w:rPr>
          <w:rFonts w:ascii="Arial" w:hAnsi="Arial" w:cs="Arial"/>
        </w:rPr>
      </w:pPr>
      <w:r w:rsidRPr="00FD4C2B">
        <w:rPr>
          <w:rFonts w:ascii="Arial" w:hAnsi="Arial" w:cs="Arial"/>
        </w:rPr>
        <w:t xml:space="preserve">Wesson DE, Simoni J, Broglio K, </w:t>
      </w:r>
      <w:proofErr w:type="spellStart"/>
      <w:r w:rsidRPr="00FD4C2B">
        <w:rPr>
          <w:rFonts w:ascii="Arial" w:hAnsi="Arial" w:cs="Arial"/>
        </w:rPr>
        <w:t>Sheather</w:t>
      </w:r>
      <w:proofErr w:type="spellEnd"/>
      <w:r w:rsidRPr="00FD4C2B">
        <w:rPr>
          <w:rFonts w:ascii="Arial" w:hAnsi="Arial" w:cs="Arial"/>
        </w:rPr>
        <w:t xml:space="preserve"> S. Acid retention accompanies reduced GFR in humans and increases plasma levels of endothelin and aldosterone. </w:t>
      </w:r>
      <w:r w:rsidRPr="00FD4C2B">
        <w:rPr>
          <w:rFonts w:ascii="Arial" w:hAnsi="Arial" w:cs="Arial"/>
          <w:i/>
          <w:iCs/>
        </w:rPr>
        <w:t xml:space="preserve">Am J </w:t>
      </w:r>
      <w:proofErr w:type="spellStart"/>
      <w:r w:rsidRPr="00FD4C2B">
        <w:rPr>
          <w:rFonts w:ascii="Arial" w:hAnsi="Arial" w:cs="Arial"/>
          <w:i/>
          <w:iCs/>
        </w:rPr>
        <w:t>Physiol</w:t>
      </w:r>
      <w:proofErr w:type="spellEnd"/>
      <w:r w:rsidRPr="00FD4C2B">
        <w:rPr>
          <w:rFonts w:ascii="Arial" w:hAnsi="Arial" w:cs="Arial"/>
          <w:i/>
          <w:iCs/>
        </w:rPr>
        <w:t xml:space="preserve"> Renal Physiol</w:t>
      </w:r>
      <w:r w:rsidRPr="00FD4C2B">
        <w:rPr>
          <w:rFonts w:ascii="Arial" w:hAnsi="Arial" w:cs="Arial"/>
        </w:rPr>
        <w:t>. 2010;298(6</w:t>
      </w:r>
      <w:r w:rsidR="001D73C3" w:rsidRPr="00FD4C2B">
        <w:rPr>
          <w:rFonts w:ascii="Arial" w:hAnsi="Arial" w:cs="Arial"/>
        </w:rPr>
        <w:t>): F</w:t>
      </w:r>
      <w:r w:rsidRPr="00FD4C2B">
        <w:rPr>
          <w:rFonts w:ascii="Arial" w:hAnsi="Arial" w:cs="Arial"/>
        </w:rPr>
        <w:t>1254–62.</w:t>
      </w:r>
    </w:p>
    <w:p w14:paraId="0273F7A5" w14:textId="77777777" w:rsidR="00437525" w:rsidRPr="008F3CB5" w:rsidRDefault="00437525" w:rsidP="00505E6D">
      <w:pPr>
        <w:spacing w:line="276" w:lineRule="auto"/>
        <w:jc w:val="both"/>
        <w:rPr>
          <w:rFonts w:ascii="Arial" w:hAnsi="Arial" w:cs="Arial"/>
          <w:b/>
          <w:bCs/>
          <w:sz w:val="28"/>
          <w:szCs w:val="28"/>
          <w:lang w:val="en-US"/>
        </w:rPr>
      </w:pPr>
    </w:p>
    <w:sectPr w:rsidR="00437525" w:rsidRPr="008F3CB5">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F48F8B" w14:textId="77777777" w:rsidR="007F19DD" w:rsidRDefault="007F19DD" w:rsidP="006E4E52">
      <w:pPr>
        <w:spacing w:after="0" w:line="240" w:lineRule="auto"/>
      </w:pPr>
      <w:r>
        <w:separator/>
      </w:r>
    </w:p>
  </w:endnote>
  <w:endnote w:type="continuationSeparator" w:id="0">
    <w:p w14:paraId="126815ED" w14:textId="77777777" w:rsidR="007F19DD" w:rsidRDefault="007F19DD" w:rsidP="006E4E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02FC2F" w14:textId="77777777" w:rsidR="006E4E52" w:rsidRDefault="006E4E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924D23" w14:textId="77777777" w:rsidR="006E4E52" w:rsidRDefault="006E4E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6B33ED" w14:textId="77777777" w:rsidR="006E4E52" w:rsidRDefault="006E4E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06C0C3" w14:textId="77777777" w:rsidR="007F19DD" w:rsidRDefault="007F19DD" w:rsidP="006E4E52">
      <w:pPr>
        <w:spacing w:after="0" w:line="240" w:lineRule="auto"/>
      </w:pPr>
      <w:r>
        <w:separator/>
      </w:r>
    </w:p>
  </w:footnote>
  <w:footnote w:type="continuationSeparator" w:id="0">
    <w:p w14:paraId="252D6C19" w14:textId="77777777" w:rsidR="007F19DD" w:rsidRDefault="007F19DD" w:rsidP="006E4E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C035E6" w14:textId="1DC673DA" w:rsidR="006E4E52" w:rsidRDefault="006E4E52">
    <w:pPr>
      <w:pStyle w:val="Header"/>
    </w:pPr>
    <w:r>
      <w:rPr>
        <w:noProof/>
      </w:rPr>
      <w:pict w14:anchorId="735BA4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4354829"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16522B" w14:textId="5BB66035" w:rsidR="006E4E52" w:rsidRDefault="006E4E52">
    <w:pPr>
      <w:pStyle w:val="Header"/>
    </w:pPr>
    <w:r>
      <w:rPr>
        <w:noProof/>
      </w:rPr>
      <w:pict w14:anchorId="27B4BC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4354830"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5BA486" w14:textId="4FD44FA3" w:rsidR="006E4E52" w:rsidRDefault="006E4E52">
    <w:pPr>
      <w:pStyle w:val="Header"/>
    </w:pPr>
    <w:r>
      <w:rPr>
        <w:noProof/>
      </w:rPr>
      <w:pict w14:anchorId="0CE532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4354828"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C945E1"/>
    <w:multiLevelType w:val="multilevel"/>
    <w:tmpl w:val="1A44E9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3795FBF"/>
    <w:multiLevelType w:val="multilevel"/>
    <w:tmpl w:val="E66AE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9E230B6"/>
    <w:multiLevelType w:val="multilevel"/>
    <w:tmpl w:val="E38068B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EC06CE2"/>
    <w:multiLevelType w:val="multilevel"/>
    <w:tmpl w:val="E66AE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63B3304"/>
    <w:multiLevelType w:val="hybridMultilevel"/>
    <w:tmpl w:val="A5BE103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456918110">
    <w:abstractNumId w:val="3"/>
  </w:num>
  <w:num w:numId="2" w16cid:durableId="810706005">
    <w:abstractNumId w:val="4"/>
  </w:num>
  <w:num w:numId="3" w16cid:durableId="1776829923">
    <w:abstractNumId w:val="0"/>
  </w:num>
  <w:num w:numId="4" w16cid:durableId="1721904481">
    <w:abstractNumId w:val="2"/>
  </w:num>
  <w:num w:numId="5" w16cid:durableId="908564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5"/>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2E2"/>
    <w:rsid w:val="00001507"/>
    <w:rsid w:val="0000182B"/>
    <w:rsid w:val="00011AB5"/>
    <w:rsid w:val="000D7B9D"/>
    <w:rsid w:val="000F2941"/>
    <w:rsid w:val="001132E2"/>
    <w:rsid w:val="001254D8"/>
    <w:rsid w:val="00176EB8"/>
    <w:rsid w:val="001A35D2"/>
    <w:rsid w:val="001D73C3"/>
    <w:rsid w:val="001E2A14"/>
    <w:rsid w:val="001E6D3D"/>
    <w:rsid w:val="00243FD2"/>
    <w:rsid w:val="00270C45"/>
    <w:rsid w:val="00282403"/>
    <w:rsid w:val="002B5548"/>
    <w:rsid w:val="002E06DC"/>
    <w:rsid w:val="002E37AF"/>
    <w:rsid w:val="00330805"/>
    <w:rsid w:val="00374555"/>
    <w:rsid w:val="0038145F"/>
    <w:rsid w:val="00382E6A"/>
    <w:rsid w:val="003915BB"/>
    <w:rsid w:val="003978C6"/>
    <w:rsid w:val="00410E9D"/>
    <w:rsid w:val="00435464"/>
    <w:rsid w:val="00437525"/>
    <w:rsid w:val="00467277"/>
    <w:rsid w:val="004939C8"/>
    <w:rsid w:val="004B6A8B"/>
    <w:rsid w:val="004D0F9C"/>
    <w:rsid w:val="004E1F81"/>
    <w:rsid w:val="00505E6D"/>
    <w:rsid w:val="0056099B"/>
    <w:rsid w:val="00562601"/>
    <w:rsid w:val="005A0763"/>
    <w:rsid w:val="005F5496"/>
    <w:rsid w:val="00614EFC"/>
    <w:rsid w:val="006228E5"/>
    <w:rsid w:val="00622D1A"/>
    <w:rsid w:val="006E4E52"/>
    <w:rsid w:val="006F264C"/>
    <w:rsid w:val="007242DC"/>
    <w:rsid w:val="00731D0C"/>
    <w:rsid w:val="0073603A"/>
    <w:rsid w:val="00764036"/>
    <w:rsid w:val="0076605A"/>
    <w:rsid w:val="00781A1E"/>
    <w:rsid w:val="007B32F8"/>
    <w:rsid w:val="007F19DD"/>
    <w:rsid w:val="0082121B"/>
    <w:rsid w:val="0086259C"/>
    <w:rsid w:val="0088682D"/>
    <w:rsid w:val="00886F06"/>
    <w:rsid w:val="00887377"/>
    <w:rsid w:val="00892C84"/>
    <w:rsid w:val="008F3CB5"/>
    <w:rsid w:val="00911708"/>
    <w:rsid w:val="00933EF7"/>
    <w:rsid w:val="009502B1"/>
    <w:rsid w:val="009A0EDC"/>
    <w:rsid w:val="009C2A96"/>
    <w:rsid w:val="009D4CAB"/>
    <w:rsid w:val="00B07088"/>
    <w:rsid w:val="00B141C2"/>
    <w:rsid w:val="00B21A5C"/>
    <w:rsid w:val="00B64379"/>
    <w:rsid w:val="00B925FD"/>
    <w:rsid w:val="00C1087A"/>
    <w:rsid w:val="00C134D3"/>
    <w:rsid w:val="00C17E0C"/>
    <w:rsid w:val="00C34946"/>
    <w:rsid w:val="00CD6422"/>
    <w:rsid w:val="00D170CA"/>
    <w:rsid w:val="00D93B01"/>
    <w:rsid w:val="00E43593"/>
    <w:rsid w:val="00E459F3"/>
    <w:rsid w:val="00EA0410"/>
    <w:rsid w:val="00ED5D3D"/>
    <w:rsid w:val="00EE1532"/>
    <w:rsid w:val="00EE4583"/>
    <w:rsid w:val="00EF5D4E"/>
    <w:rsid w:val="00F01A60"/>
    <w:rsid w:val="00F15723"/>
    <w:rsid w:val="00F44747"/>
    <w:rsid w:val="00F44B3A"/>
    <w:rsid w:val="00F45BF6"/>
    <w:rsid w:val="00F6061B"/>
    <w:rsid w:val="00F73072"/>
    <w:rsid w:val="00F7341B"/>
    <w:rsid w:val="00F737A7"/>
    <w:rsid w:val="00FD4C2B"/>
    <w:rsid w:val="00FF3E5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D097AD"/>
  <w15:chartTrackingRefBased/>
  <w15:docId w15:val="{49B52258-0431-4D24-8E19-B9280E107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132E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132E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1132E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132E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132E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132E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132E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132E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132E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32E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132E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1132E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132E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132E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132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132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132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132E2"/>
    <w:rPr>
      <w:rFonts w:eastAsiaTheme="majorEastAsia" w:cstheme="majorBidi"/>
      <w:color w:val="272727" w:themeColor="text1" w:themeTint="D8"/>
    </w:rPr>
  </w:style>
  <w:style w:type="paragraph" w:styleId="Title">
    <w:name w:val="Title"/>
    <w:basedOn w:val="Normal"/>
    <w:next w:val="Normal"/>
    <w:link w:val="TitleChar"/>
    <w:uiPriority w:val="10"/>
    <w:qFormat/>
    <w:rsid w:val="001132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32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132E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132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132E2"/>
    <w:pPr>
      <w:spacing w:before="160"/>
      <w:jc w:val="center"/>
    </w:pPr>
    <w:rPr>
      <w:i/>
      <w:iCs/>
      <w:color w:val="404040" w:themeColor="text1" w:themeTint="BF"/>
    </w:rPr>
  </w:style>
  <w:style w:type="character" w:customStyle="1" w:styleId="QuoteChar">
    <w:name w:val="Quote Char"/>
    <w:basedOn w:val="DefaultParagraphFont"/>
    <w:link w:val="Quote"/>
    <w:uiPriority w:val="29"/>
    <w:rsid w:val="001132E2"/>
    <w:rPr>
      <w:i/>
      <w:iCs/>
      <w:color w:val="404040" w:themeColor="text1" w:themeTint="BF"/>
    </w:rPr>
  </w:style>
  <w:style w:type="paragraph" w:styleId="ListParagraph">
    <w:name w:val="List Paragraph"/>
    <w:basedOn w:val="Normal"/>
    <w:uiPriority w:val="34"/>
    <w:qFormat/>
    <w:rsid w:val="001132E2"/>
    <w:pPr>
      <w:ind w:left="720"/>
      <w:contextualSpacing/>
    </w:pPr>
  </w:style>
  <w:style w:type="character" w:styleId="IntenseEmphasis">
    <w:name w:val="Intense Emphasis"/>
    <w:basedOn w:val="DefaultParagraphFont"/>
    <w:uiPriority w:val="21"/>
    <w:qFormat/>
    <w:rsid w:val="001132E2"/>
    <w:rPr>
      <w:i/>
      <w:iCs/>
      <w:color w:val="2F5496" w:themeColor="accent1" w:themeShade="BF"/>
    </w:rPr>
  </w:style>
  <w:style w:type="paragraph" w:styleId="IntenseQuote">
    <w:name w:val="Intense Quote"/>
    <w:basedOn w:val="Normal"/>
    <w:next w:val="Normal"/>
    <w:link w:val="IntenseQuoteChar"/>
    <w:uiPriority w:val="30"/>
    <w:qFormat/>
    <w:rsid w:val="001132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132E2"/>
    <w:rPr>
      <w:i/>
      <w:iCs/>
      <w:color w:val="2F5496" w:themeColor="accent1" w:themeShade="BF"/>
    </w:rPr>
  </w:style>
  <w:style w:type="character" w:styleId="IntenseReference">
    <w:name w:val="Intense Reference"/>
    <w:basedOn w:val="DefaultParagraphFont"/>
    <w:uiPriority w:val="32"/>
    <w:qFormat/>
    <w:rsid w:val="001132E2"/>
    <w:rPr>
      <w:b/>
      <w:bCs/>
      <w:smallCaps/>
      <w:color w:val="2F5496" w:themeColor="accent1" w:themeShade="BF"/>
      <w:spacing w:val="5"/>
    </w:rPr>
  </w:style>
  <w:style w:type="table" w:styleId="TableGrid">
    <w:name w:val="Table Grid"/>
    <w:basedOn w:val="TableNormal"/>
    <w:uiPriority w:val="39"/>
    <w:rsid w:val="001132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86F06"/>
    <w:pPr>
      <w:spacing w:after="0" w:line="240" w:lineRule="auto"/>
    </w:pPr>
  </w:style>
  <w:style w:type="character" w:styleId="Hyperlink">
    <w:name w:val="Hyperlink"/>
    <w:basedOn w:val="DefaultParagraphFont"/>
    <w:uiPriority w:val="99"/>
    <w:unhideWhenUsed/>
    <w:rsid w:val="002E37AF"/>
    <w:rPr>
      <w:color w:val="0563C1" w:themeColor="hyperlink"/>
      <w:u w:val="single"/>
    </w:rPr>
  </w:style>
  <w:style w:type="character" w:styleId="UnresolvedMention">
    <w:name w:val="Unresolved Mention"/>
    <w:basedOn w:val="DefaultParagraphFont"/>
    <w:uiPriority w:val="99"/>
    <w:semiHidden/>
    <w:unhideWhenUsed/>
    <w:rsid w:val="002E37AF"/>
    <w:rPr>
      <w:color w:val="605E5C"/>
      <w:shd w:val="clear" w:color="auto" w:fill="E1DFDD"/>
    </w:rPr>
  </w:style>
  <w:style w:type="paragraph" w:styleId="Header">
    <w:name w:val="header"/>
    <w:basedOn w:val="Normal"/>
    <w:link w:val="HeaderChar"/>
    <w:uiPriority w:val="99"/>
    <w:unhideWhenUsed/>
    <w:rsid w:val="006E4E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4E52"/>
  </w:style>
  <w:style w:type="paragraph" w:styleId="Footer">
    <w:name w:val="footer"/>
    <w:basedOn w:val="Normal"/>
    <w:link w:val="FooterChar"/>
    <w:uiPriority w:val="99"/>
    <w:unhideWhenUsed/>
    <w:rsid w:val="006E4E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4E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94224">
      <w:bodyDiv w:val="1"/>
      <w:marLeft w:val="0"/>
      <w:marRight w:val="0"/>
      <w:marTop w:val="0"/>
      <w:marBottom w:val="0"/>
      <w:divBdr>
        <w:top w:val="none" w:sz="0" w:space="0" w:color="auto"/>
        <w:left w:val="none" w:sz="0" w:space="0" w:color="auto"/>
        <w:bottom w:val="none" w:sz="0" w:space="0" w:color="auto"/>
        <w:right w:val="none" w:sz="0" w:space="0" w:color="auto"/>
      </w:divBdr>
    </w:div>
    <w:div w:id="22901115">
      <w:bodyDiv w:val="1"/>
      <w:marLeft w:val="0"/>
      <w:marRight w:val="0"/>
      <w:marTop w:val="0"/>
      <w:marBottom w:val="0"/>
      <w:divBdr>
        <w:top w:val="none" w:sz="0" w:space="0" w:color="auto"/>
        <w:left w:val="none" w:sz="0" w:space="0" w:color="auto"/>
        <w:bottom w:val="none" w:sz="0" w:space="0" w:color="auto"/>
        <w:right w:val="none" w:sz="0" w:space="0" w:color="auto"/>
      </w:divBdr>
    </w:div>
    <w:div w:id="41709150">
      <w:bodyDiv w:val="1"/>
      <w:marLeft w:val="0"/>
      <w:marRight w:val="0"/>
      <w:marTop w:val="0"/>
      <w:marBottom w:val="0"/>
      <w:divBdr>
        <w:top w:val="none" w:sz="0" w:space="0" w:color="auto"/>
        <w:left w:val="none" w:sz="0" w:space="0" w:color="auto"/>
        <w:bottom w:val="none" w:sz="0" w:space="0" w:color="auto"/>
        <w:right w:val="none" w:sz="0" w:space="0" w:color="auto"/>
      </w:divBdr>
    </w:div>
    <w:div w:id="163211222">
      <w:bodyDiv w:val="1"/>
      <w:marLeft w:val="0"/>
      <w:marRight w:val="0"/>
      <w:marTop w:val="0"/>
      <w:marBottom w:val="0"/>
      <w:divBdr>
        <w:top w:val="none" w:sz="0" w:space="0" w:color="auto"/>
        <w:left w:val="none" w:sz="0" w:space="0" w:color="auto"/>
        <w:bottom w:val="none" w:sz="0" w:space="0" w:color="auto"/>
        <w:right w:val="none" w:sz="0" w:space="0" w:color="auto"/>
      </w:divBdr>
    </w:div>
    <w:div w:id="197477659">
      <w:bodyDiv w:val="1"/>
      <w:marLeft w:val="0"/>
      <w:marRight w:val="0"/>
      <w:marTop w:val="0"/>
      <w:marBottom w:val="0"/>
      <w:divBdr>
        <w:top w:val="none" w:sz="0" w:space="0" w:color="auto"/>
        <w:left w:val="none" w:sz="0" w:space="0" w:color="auto"/>
        <w:bottom w:val="none" w:sz="0" w:space="0" w:color="auto"/>
        <w:right w:val="none" w:sz="0" w:space="0" w:color="auto"/>
      </w:divBdr>
    </w:div>
    <w:div w:id="222065613">
      <w:bodyDiv w:val="1"/>
      <w:marLeft w:val="0"/>
      <w:marRight w:val="0"/>
      <w:marTop w:val="0"/>
      <w:marBottom w:val="0"/>
      <w:divBdr>
        <w:top w:val="none" w:sz="0" w:space="0" w:color="auto"/>
        <w:left w:val="none" w:sz="0" w:space="0" w:color="auto"/>
        <w:bottom w:val="none" w:sz="0" w:space="0" w:color="auto"/>
        <w:right w:val="none" w:sz="0" w:space="0" w:color="auto"/>
      </w:divBdr>
    </w:div>
    <w:div w:id="222445873">
      <w:bodyDiv w:val="1"/>
      <w:marLeft w:val="0"/>
      <w:marRight w:val="0"/>
      <w:marTop w:val="0"/>
      <w:marBottom w:val="0"/>
      <w:divBdr>
        <w:top w:val="none" w:sz="0" w:space="0" w:color="auto"/>
        <w:left w:val="none" w:sz="0" w:space="0" w:color="auto"/>
        <w:bottom w:val="none" w:sz="0" w:space="0" w:color="auto"/>
        <w:right w:val="none" w:sz="0" w:space="0" w:color="auto"/>
      </w:divBdr>
    </w:div>
    <w:div w:id="231163686">
      <w:bodyDiv w:val="1"/>
      <w:marLeft w:val="0"/>
      <w:marRight w:val="0"/>
      <w:marTop w:val="0"/>
      <w:marBottom w:val="0"/>
      <w:divBdr>
        <w:top w:val="none" w:sz="0" w:space="0" w:color="auto"/>
        <w:left w:val="none" w:sz="0" w:space="0" w:color="auto"/>
        <w:bottom w:val="none" w:sz="0" w:space="0" w:color="auto"/>
        <w:right w:val="none" w:sz="0" w:space="0" w:color="auto"/>
      </w:divBdr>
    </w:div>
    <w:div w:id="263803423">
      <w:bodyDiv w:val="1"/>
      <w:marLeft w:val="0"/>
      <w:marRight w:val="0"/>
      <w:marTop w:val="0"/>
      <w:marBottom w:val="0"/>
      <w:divBdr>
        <w:top w:val="none" w:sz="0" w:space="0" w:color="auto"/>
        <w:left w:val="none" w:sz="0" w:space="0" w:color="auto"/>
        <w:bottom w:val="none" w:sz="0" w:space="0" w:color="auto"/>
        <w:right w:val="none" w:sz="0" w:space="0" w:color="auto"/>
      </w:divBdr>
    </w:div>
    <w:div w:id="292444499">
      <w:bodyDiv w:val="1"/>
      <w:marLeft w:val="0"/>
      <w:marRight w:val="0"/>
      <w:marTop w:val="0"/>
      <w:marBottom w:val="0"/>
      <w:divBdr>
        <w:top w:val="none" w:sz="0" w:space="0" w:color="auto"/>
        <w:left w:val="none" w:sz="0" w:space="0" w:color="auto"/>
        <w:bottom w:val="none" w:sz="0" w:space="0" w:color="auto"/>
        <w:right w:val="none" w:sz="0" w:space="0" w:color="auto"/>
      </w:divBdr>
    </w:div>
    <w:div w:id="310062907">
      <w:bodyDiv w:val="1"/>
      <w:marLeft w:val="0"/>
      <w:marRight w:val="0"/>
      <w:marTop w:val="0"/>
      <w:marBottom w:val="0"/>
      <w:divBdr>
        <w:top w:val="none" w:sz="0" w:space="0" w:color="auto"/>
        <w:left w:val="none" w:sz="0" w:space="0" w:color="auto"/>
        <w:bottom w:val="none" w:sz="0" w:space="0" w:color="auto"/>
        <w:right w:val="none" w:sz="0" w:space="0" w:color="auto"/>
      </w:divBdr>
    </w:div>
    <w:div w:id="409427654">
      <w:bodyDiv w:val="1"/>
      <w:marLeft w:val="0"/>
      <w:marRight w:val="0"/>
      <w:marTop w:val="0"/>
      <w:marBottom w:val="0"/>
      <w:divBdr>
        <w:top w:val="none" w:sz="0" w:space="0" w:color="auto"/>
        <w:left w:val="none" w:sz="0" w:space="0" w:color="auto"/>
        <w:bottom w:val="none" w:sz="0" w:space="0" w:color="auto"/>
        <w:right w:val="none" w:sz="0" w:space="0" w:color="auto"/>
      </w:divBdr>
    </w:div>
    <w:div w:id="418212391">
      <w:bodyDiv w:val="1"/>
      <w:marLeft w:val="0"/>
      <w:marRight w:val="0"/>
      <w:marTop w:val="0"/>
      <w:marBottom w:val="0"/>
      <w:divBdr>
        <w:top w:val="none" w:sz="0" w:space="0" w:color="auto"/>
        <w:left w:val="none" w:sz="0" w:space="0" w:color="auto"/>
        <w:bottom w:val="none" w:sz="0" w:space="0" w:color="auto"/>
        <w:right w:val="none" w:sz="0" w:space="0" w:color="auto"/>
      </w:divBdr>
    </w:div>
    <w:div w:id="529103013">
      <w:bodyDiv w:val="1"/>
      <w:marLeft w:val="0"/>
      <w:marRight w:val="0"/>
      <w:marTop w:val="0"/>
      <w:marBottom w:val="0"/>
      <w:divBdr>
        <w:top w:val="none" w:sz="0" w:space="0" w:color="auto"/>
        <w:left w:val="none" w:sz="0" w:space="0" w:color="auto"/>
        <w:bottom w:val="none" w:sz="0" w:space="0" w:color="auto"/>
        <w:right w:val="none" w:sz="0" w:space="0" w:color="auto"/>
      </w:divBdr>
    </w:div>
    <w:div w:id="529882693">
      <w:bodyDiv w:val="1"/>
      <w:marLeft w:val="0"/>
      <w:marRight w:val="0"/>
      <w:marTop w:val="0"/>
      <w:marBottom w:val="0"/>
      <w:divBdr>
        <w:top w:val="none" w:sz="0" w:space="0" w:color="auto"/>
        <w:left w:val="none" w:sz="0" w:space="0" w:color="auto"/>
        <w:bottom w:val="none" w:sz="0" w:space="0" w:color="auto"/>
        <w:right w:val="none" w:sz="0" w:space="0" w:color="auto"/>
      </w:divBdr>
    </w:div>
    <w:div w:id="557589872">
      <w:bodyDiv w:val="1"/>
      <w:marLeft w:val="0"/>
      <w:marRight w:val="0"/>
      <w:marTop w:val="0"/>
      <w:marBottom w:val="0"/>
      <w:divBdr>
        <w:top w:val="none" w:sz="0" w:space="0" w:color="auto"/>
        <w:left w:val="none" w:sz="0" w:space="0" w:color="auto"/>
        <w:bottom w:val="none" w:sz="0" w:space="0" w:color="auto"/>
        <w:right w:val="none" w:sz="0" w:space="0" w:color="auto"/>
      </w:divBdr>
    </w:div>
    <w:div w:id="589510254">
      <w:bodyDiv w:val="1"/>
      <w:marLeft w:val="0"/>
      <w:marRight w:val="0"/>
      <w:marTop w:val="0"/>
      <w:marBottom w:val="0"/>
      <w:divBdr>
        <w:top w:val="none" w:sz="0" w:space="0" w:color="auto"/>
        <w:left w:val="none" w:sz="0" w:space="0" w:color="auto"/>
        <w:bottom w:val="none" w:sz="0" w:space="0" w:color="auto"/>
        <w:right w:val="none" w:sz="0" w:space="0" w:color="auto"/>
      </w:divBdr>
    </w:div>
    <w:div w:id="590241918">
      <w:bodyDiv w:val="1"/>
      <w:marLeft w:val="0"/>
      <w:marRight w:val="0"/>
      <w:marTop w:val="0"/>
      <w:marBottom w:val="0"/>
      <w:divBdr>
        <w:top w:val="none" w:sz="0" w:space="0" w:color="auto"/>
        <w:left w:val="none" w:sz="0" w:space="0" w:color="auto"/>
        <w:bottom w:val="none" w:sz="0" w:space="0" w:color="auto"/>
        <w:right w:val="none" w:sz="0" w:space="0" w:color="auto"/>
      </w:divBdr>
    </w:div>
    <w:div w:id="628122750">
      <w:bodyDiv w:val="1"/>
      <w:marLeft w:val="0"/>
      <w:marRight w:val="0"/>
      <w:marTop w:val="0"/>
      <w:marBottom w:val="0"/>
      <w:divBdr>
        <w:top w:val="none" w:sz="0" w:space="0" w:color="auto"/>
        <w:left w:val="none" w:sz="0" w:space="0" w:color="auto"/>
        <w:bottom w:val="none" w:sz="0" w:space="0" w:color="auto"/>
        <w:right w:val="none" w:sz="0" w:space="0" w:color="auto"/>
      </w:divBdr>
    </w:div>
    <w:div w:id="631595851">
      <w:bodyDiv w:val="1"/>
      <w:marLeft w:val="0"/>
      <w:marRight w:val="0"/>
      <w:marTop w:val="0"/>
      <w:marBottom w:val="0"/>
      <w:divBdr>
        <w:top w:val="none" w:sz="0" w:space="0" w:color="auto"/>
        <w:left w:val="none" w:sz="0" w:space="0" w:color="auto"/>
        <w:bottom w:val="none" w:sz="0" w:space="0" w:color="auto"/>
        <w:right w:val="none" w:sz="0" w:space="0" w:color="auto"/>
      </w:divBdr>
    </w:div>
    <w:div w:id="633944937">
      <w:bodyDiv w:val="1"/>
      <w:marLeft w:val="0"/>
      <w:marRight w:val="0"/>
      <w:marTop w:val="0"/>
      <w:marBottom w:val="0"/>
      <w:divBdr>
        <w:top w:val="none" w:sz="0" w:space="0" w:color="auto"/>
        <w:left w:val="none" w:sz="0" w:space="0" w:color="auto"/>
        <w:bottom w:val="none" w:sz="0" w:space="0" w:color="auto"/>
        <w:right w:val="none" w:sz="0" w:space="0" w:color="auto"/>
      </w:divBdr>
    </w:div>
    <w:div w:id="646934976">
      <w:bodyDiv w:val="1"/>
      <w:marLeft w:val="0"/>
      <w:marRight w:val="0"/>
      <w:marTop w:val="0"/>
      <w:marBottom w:val="0"/>
      <w:divBdr>
        <w:top w:val="none" w:sz="0" w:space="0" w:color="auto"/>
        <w:left w:val="none" w:sz="0" w:space="0" w:color="auto"/>
        <w:bottom w:val="none" w:sz="0" w:space="0" w:color="auto"/>
        <w:right w:val="none" w:sz="0" w:space="0" w:color="auto"/>
      </w:divBdr>
    </w:div>
    <w:div w:id="648555423">
      <w:bodyDiv w:val="1"/>
      <w:marLeft w:val="0"/>
      <w:marRight w:val="0"/>
      <w:marTop w:val="0"/>
      <w:marBottom w:val="0"/>
      <w:divBdr>
        <w:top w:val="none" w:sz="0" w:space="0" w:color="auto"/>
        <w:left w:val="none" w:sz="0" w:space="0" w:color="auto"/>
        <w:bottom w:val="none" w:sz="0" w:space="0" w:color="auto"/>
        <w:right w:val="none" w:sz="0" w:space="0" w:color="auto"/>
      </w:divBdr>
    </w:div>
    <w:div w:id="690183378">
      <w:bodyDiv w:val="1"/>
      <w:marLeft w:val="0"/>
      <w:marRight w:val="0"/>
      <w:marTop w:val="0"/>
      <w:marBottom w:val="0"/>
      <w:divBdr>
        <w:top w:val="none" w:sz="0" w:space="0" w:color="auto"/>
        <w:left w:val="none" w:sz="0" w:space="0" w:color="auto"/>
        <w:bottom w:val="none" w:sz="0" w:space="0" w:color="auto"/>
        <w:right w:val="none" w:sz="0" w:space="0" w:color="auto"/>
      </w:divBdr>
    </w:div>
    <w:div w:id="763693738">
      <w:bodyDiv w:val="1"/>
      <w:marLeft w:val="0"/>
      <w:marRight w:val="0"/>
      <w:marTop w:val="0"/>
      <w:marBottom w:val="0"/>
      <w:divBdr>
        <w:top w:val="none" w:sz="0" w:space="0" w:color="auto"/>
        <w:left w:val="none" w:sz="0" w:space="0" w:color="auto"/>
        <w:bottom w:val="none" w:sz="0" w:space="0" w:color="auto"/>
        <w:right w:val="none" w:sz="0" w:space="0" w:color="auto"/>
      </w:divBdr>
    </w:div>
    <w:div w:id="778839752">
      <w:bodyDiv w:val="1"/>
      <w:marLeft w:val="0"/>
      <w:marRight w:val="0"/>
      <w:marTop w:val="0"/>
      <w:marBottom w:val="0"/>
      <w:divBdr>
        <w:top w:val="none" w:sz="0" w:space="0" w:color="auto"/>
        <w:left w:val="none" w:sz="0" w:space="0" w:color="auto"/>
        <w:bottom w:val="none" w:sz="0" w:space="0" w:color="auto"/>
        <w:right w:val="none" w:sz="0" w:space="0" w:color="auto"/>
      </w:divBdr>
    </w:div>
    <w:div w:id="808714905">
      <w:bodyDiv w:val="1"/>
      <w:marLeft w:val="0"/>
      <w:marRight w:val="0"/>
      <w:marTop w:val="0"/>
      <w:marBottom w:val="0"/>
      <w:divBdr>
        <w:top w:val="none" w:sz="0" w:space="0" w:color="auto"/>
        <w:left w:val="none" w:sz="0" w:space="0" w:color="auto"/>
        <w:bottom w:val="none" w:sz="0" w:space="0" w:color="auto"/>
        <w:right w:val="none" w:sz="0" w:space="0" w:color="auto"/>
      </w:divBdr>
    </w:div>
    <w:div w:id="832453315">
      <w:bodyDiv w:val="1"/>
      <w:marLeft w:val="0"/>
      <w:marRight w:val="0"/>
      <w:marTop w:val="0"/>
      <w:marBottom w:val="0"/>
      <w:divBdr>
        <w:top w:val="none" w:sz="0" w:space="0" w:color="auto"/>
        <w:left w:val="none" w:sz="0" w:space="0" w:color="auto"/>
        <w:bottom w:val="none" w:sz="0" w:space="0" w:color="auto"/>
        <w:right w:val="none" w:sz="0" w:space="0" w:color="auto"/>
      </w:divBdr>
    </w:div>
    <w:div w:id="859129504">
      <w:bodyDiv w:val="1"/>
      <w:marLeft w:val="0"/>
      <w:marRight w:val="0"/>
      <w:marTop w:val="0"/>
      <w:marBottom w:val="0"/>
      <w:divBdr>
        <w:top w:val="none" w:sz="0" w:space="0" w:color="auto"/>
        <w:left w:val="none" w:sz="0" w:space="0" w:color="auto"/>
        <w:bottom w:val="none" w:sz="0" w:space="0" w:color="auto"/>
        <w:right w:val="none" w:sz="0" w:space="0" w:color="auto"/>
      </w:divBdr>
    </w:div>
    <w:div w:id="873150966">
      <w:bodyDiv w:val="1"/>
      <w:marLeft w:val="0"/>
      <w:marRight w:val="0"/>
      <w:marTop w:val="0"/>
      <w:marBottom w:val="0"/>
      <w:divBdr>
        <w:top w:val="none" w:sz="0" w:space="0" w:color="auto"/>
        <w:left w:val="none" w:sz="0" w:space="0" w:color="auto"/>
        <w:bottom w:val="none" w:sz="0" w:space="0" w:color="auto"/>
        <w:right w:val="none" w:sz="0" w:space="0" w:color="auto"/>
      </w:divBdr>
    </w:div>
    <w:div w:id="879588373">
      <w:bodyDiv w:val="1"/>
      <w:marLeft w:val="0"/>
      <w:marRight w:val="0"/>
      <w:marTop w:val="0"/>
      <w:marBottom w:val="0"/>
      <w:divBdr>
        <w:top w:val="none" w:sz="0" w:space="0" w:color="auto"/>
        <w:left w:val="none" w:sz="0" w:space="0" w:color="auto"/>
        <w:bottom w:val="none" w:sz="0" w:space="0" w:color="auto"/>
        <w:right w:val="none" w:sz="0" w:space="0" w:color="auto"/>
      </w:divBdr>
    </w:div>
    <w:div w:id="907300180">
      <w:bodyDiv w:val="1"/>
      <w:marLeft w:val="0"/>
      <w:marRight w:val="0"/>
      <w:marTop w:val="0"/>
      <w:marBottom w:val="0"/>
      <w:divBdr>
        <w:top w:val="none" w:sz="0" w:space="0" w:color="auto"/>
        <w:left w:val="none" w:sz="0" w:space="0" w:color="auto"/>
        <w:bottom w:val="none" w:sz="0" w:space="0" w:color="auto"/>
        <w:right w:val="none" w:sz="0" w:space="0" w:color="auto"/>
      </w:divBdr>
    </w:div>
    <w:div w:id="908275270">
      <w:bodyDiv w:val="1"/>
      <w:marLeft w:val="0"/>
      <w:marRight w:val="0"/>
      <w:marTop w:val="0"/>
      <w:marBottom w:val="0"/>
      <w:divBdr>
        <w:top w:val="none" w:sz="0" w:space="0" w:color="auto"/>
        <w:left w:val="none" w:sz="0" w:space="0" w:color="auto"/>
        <w:bottom w:val="none" w:sz="0" w:space="0" w:color="auto"/>
        <w:right w:val="none" w:sz="0" w:space="0" w:color="auto"/>
      </w:divBdr>
    </w:div>
    <w:div w:id="910310906">
      <w:bodyDiv w:val="1"/>
      <w:marLeft w:val="0"/>
      <w:marRight w:val="0"/>
      <w:marTop w:val="0"/>
      <w:marBottom w:val="0"/>
      <w:divBdr>
        <w:top w:val="none" w:sz="0" w:space="0" w:color="auto"/>
        <w:left w:val="none" w:sz="0" w:space="0" w:color="auto"/>
        <w:bottom w:val="none" w:sz="0" w:space="0" w:color="auto"/>
        <w:right w:val="none" w:sz="0" w:space="0" w:color="auto"/>
      </w:divBdr>
    </w:div>
    <w:div w:id="969895789">
      <w:bodyDiv w:val="1"/>
      <w:marLeft w:val="0"/>
      <w:marRight w:val="0"/>
      <w:marTop w:val="0"/>
      <w:marBottom w:val="0"/>
      <w:divBdr>
        <w:top w:val="none" w:sz="0" w:space="0" w:color="auto"/>
        <w:left w:val="none" w:sz="0" w:space="0" w:color="auto"/>
        <w:bottom w:val="none" w:sz="0" w:space="0" w:color="auto"/>
        <w:right w:val="none" w:sz="0" w:space="0" w:color="auto"/>
      </w:divBdr>
    </w:div>
    <w:div w:id="994648233">
      <w:bodyDiv w:val="1"/>
      <w:marLeft w:val="0"/>
      <w:marRight w:val="0"/>
      <w:marTop w:val="0"/>
      <w:marBottom w:val="0"/>
      <w:divBdr>
        <w:top w:val="none" w:sz="0" w:space="0" w:color="auto"/>
        <w:left w:val="none" w:sz="0" w:space="0" w:color="auto"/>
        <w:bottom w:val="none" w:sz="0" w:space="0" w:color="auto"/>
        <w:right w:val="none" w:sz="0" w:space="0" w:color="auto"/>
      </w:divBdr>
    </w:div>
    <w:div w:id="1008142992">
      <w:bodyDiv w:val="1"/>
      <w:marLeft w:val="0"/>
      <w:marRight w:val="0"/>
      <w:marTop w:val="0"/>
      <w:marBottom w:val="0"/>
      <w:divBdr>
        <w:top w:val="none" w:sz="0" w:space="0" w:color="auto"/>
        <w:left w:val="none" w:sz="0" w:space="0" w:color="auto"/>
        <w:bottom w:val="none" w:sz="0" w:space="0" w:color="auto"/>
        <w:right w:val="none" w:sz="0" w:space="0" w:color="auto"/>
      </w:divBdr>
    </w:div>
    <w:div w:id="1020162468">
      <w:bodyDiv w:val="1"/>
      <w:marLeft w:val="0"/>
      <w:marRight w:val="0"/>
      <w:marTop w:val="0"/>
      <w:marBottom w:val="0"/>
      <w:divBdr>
        <w:top w:val="none" w:sz="0" w:space="0" w:color="auto"/>
        <w:left w:val="none" w:sz="0" w:space="0" w:color="auto"/>
        <w:bottom w:val="none" w:sz="0" w:space="0" w:color="auto"/>
        <w:right w:val="none" w:sz="0" w:space="0" w:color="auto"/>
      </w:divBdr>
    </w:div>
    <w:div w:id="1027294073">
      <w:bodyDiv w:val="1"/>
      <w:marLeft w:val="0"/>
      <w:marRight w:val="0"/>
      <w:marTop w:val="0"/>
      <w:marBottom w:val="0"/>
      <w:divBdr>
        <w:top w:val="none" w:sz="0" w:space="0" w:color="auto"/>
        <w:left w:val="none" w:sz="0" w:space="0" w:color="auto"/>
        <w:bottom w:val="none" w:sz="0" w:space="0" w:color="auto"/>
        <w:right w:val="none" w:sz="0" w:space="0" w:color="auto"/>
      </w:divBdr>
    </w:div>
    <w:div w:id="1028337342">
      <w:bodyDiv w:val="1"/>
      <w:marLeft w:val="0"/>
      <w:marRight w:val="0"/>
      <w:marTop w:val="0"/>
      <w:marBottom w:val="0"/>
      <w:divBdr>
        <w:top w:val="none" w:sz="0" w:space="0" w:color="auto"/>
        <w:left w:val="none" w:sz="0" w:space="0" w:color="auto"/>
        <w:bottom w:val="none" w:sz="0" w:space="0" w:color="auto"/>
        <w:right w:val="none" w:sz="0" w:space="0" w:color="auto"/>
      </w:divBdr>
    </w:div>
    <w:div w:id="1073310283">
      <w:bodyDiv w:val="1"/>
      <w:marLeft w:val="0"/>
      <w:marRight w:val="0"/>
      <w:marTop w:val="0"/>
      <w:marBottom w:val="0"/>
      <w:divBdr>
        <w:top w:val="none" w:sz="0" w:space="0" w:color="auto"/>
        <w:left w:val="none" w:sz="0" w:space="0" w:color="auto"/>
        <w:bottom w:val="none" w:sz="0" w:space="0" w:color="auto"/>
        <w:right w:val="none" w:sz="0" w:space="0" w:color="auto"/>
      </w:divBdr>
    </w:div>
    <w:div w:id="1083339006">
      <w:bodyDiv w:val="1"/>
      <w:marLeft w:val="0"/>
      <w:marRight w:val="0"/>
      <w:marTop w:val="0"/>
      <w:marBottom w:val="0"/>
      <w:divBdr>
        <w:top w:val="none" w:sz="0" w:space="0" w:color="auto"/>
        <w:left w:val="none" w:sz="0" w:space="0" w:color="auto"/>
        <w:bottom w:val="none" w:sz="0" w:space="0" w:color="auto"/>
        <w:right w:val="none" w:sz="0" w:space="0" w:color="auto"/>
      </w:divBdr>
    </w:div>
    <w:div w:id="1096903921">
      <w:bodyDiv w:val="1"/>
      <w:marLeft w:val="0"/>
      <w:marRight w:val="0"/>
      <w:marTop w:val="0"/>
      <w:marBottom w:val="0"/>
      <w:divBdr>
        <w:top w:val="none" w:sz="0" w:space="0" w:color="auto"/>
        <w:left w:val="none" w:sz="0" w:space="0" w:color="auto"/>
        <w:bottom w:val="none" w:sz="0" w:space="0" w:color="auto"/>
        <w:right w:val="none" w:sz="0" w:space="0" w:color="auto"/>
      </w:divBdr>
    </w:div>
    <w:div w:id="1120106052">
      <w:bodyDiv w:val="1"/>
      <w:marLeft w:val="0"/>
      <w:marRight w:val="0"/>
      <w:marTop w:val="0"/>
      <w:marBottom w:val="0"/>
      <w:divBdr>
        <w:top w:val="none" w:sz="0" w:space="0" w:color="auto"/>
        <w:left w:val="none" w:sz="0" w:space="0" w:color="auto"/>
        <w:bottom w:val="none" w:sz="0" w:space="0" w:color="auto"/>
        <w:right w:val="none" w:sz="0" w:space="0" w:color="auto"/>
      </w:divBdr>
      <w:divsChild>
        <w:div w:id="574441085">
          <w:marLeft w:val="0"/>
          <w:marRight w:val="0"/>
          <w:marTop w:val="0"/>
          <w:marBottom w:val="0"/>
          <w:divBdr>
            <w:top w:val="none" w:sz="0" w:space="0" w:color="auto"/>
            <w:left w:val="none" w:sz="0" w:space="0" w:color="auto"/>
            <w:bottom w:val="none" w:sz="0" w:space="0" w:color="auto"/>
            <w:right w:val="none" w:sz="0" w:space="0" w:color="auto"/>
          </w:divBdr>
          <w:divsChild>
            <w:div w:id="916133383">
              <w:marLeft w:val="0"/>
              <w:marRight w:val="0"/>
              <w:marTop w:val="0"/>
              <w:marBottom w:val="0"/>
              <w:divBdr>
                <w:top w:val="none" w:sz="0" w:space="0" w:color="auto"/>
                <w:left w:val="none" w:sz="0" w:space="0" w:color="auto"/>
                <w:bottom w:val="none" w:sz="0" w:space="0" w:color="auto"/>
                <w:right w:val="none" w:sz="0" w:space="0" w:color="auto"/>
              </w:divBdr>
              <w:divsChild>
                <w:div w:id="270864740">
                  <w:marLeft w:val="0"/>
                  <w:marRight w:val="0"/>
                  <w:marTop w:val="0"/>
                  <w:marBottom w:val="0"/>
                  <w:divBdr>
                    <w:top w:val="none" w:sz="0" w:space="0" w:color="auto"/>
                    <w:left w:val="none" w:sz="0" w:space="0" w:color="auto"/>
                    <w:bottom w:val="none" w:sz="0" w:space="0" w:color="auto"/>
                    <w:right w:val="none" w:sz="0" w:space="0" w:color="auto"/>
                  </w:divBdr>
                  <w:divsChild>
                    <w:div w:id="2027292322">
                      <w:marLeft w:val="0"/>
                      <w:marRight w:val="0"/>
                      <w:marTop w:val="0"/>
                      <w:marBottom w:val="0"/>
                      <w:divBdr>
                        <w:top w:val="none" w:sz="0" w:space="0" w:color="auto"/>
                        <w:left w:val="none" w:sz="0" w:space="0" w:color="auto"/>
                        <w:bottom w:val="none" w:sz="0" w:space="0" w:color="auto"/>
                        <w:right w:val="none" w:sz="0" w:space="0" w:color="auto"/>
                      </w:divBdr>
                      <w:divsChild>
                        <w:div w:id="1877623340">
                          <w:marLeft w:val="0"/>
                          <w:marRight w:val="0"/>
                          <w:marTop w:val="0"/>
                          <w:marBottom w:val="0"/>
                          <w:divBdr>
                            <w:top w:val="none" w:sz="0" w:space="0" w:color="auto"/>
                            <w:left w:val="none" w:sz="0" w:space="0" w:color="auto"/>
                            <w:bottom w:val="none" w:sz="0" w:space="0" w:color="auto"/>
                            <w:right w:val="none" w:sz="0" w:space="0" w:color="auto"/>
                          </w:divBdr>
                          <w:divsChild>
                            <w:div w:id="1675064341">
                              <w:marLeft w:val="0"/>
                              <w:marRight w:val="0"/>
                              <w:marTop w:val="0"/>
                              <w:marBottom w:val="0"/>
                              <w:divBdr>
                                <w:top w:val="none" w:sz="0" w:space="0" w:color="auto"/>
                                <w:left w:val="none" w:sz="0" w:space="0" w:color="auto"/>
                                <w:bottom w:val="none" w:sz="0" w:space="0" w:color="auto"/>
                                <w:right w:val="none" w:sz="0" w:space="0" w:color="auto"/>
                              </w:divBdr>
                              <w:divsChild>
                                <w:div w:id="617105973">
                                  <w:marLeft w:val="0"/>
                                  <w:marRight w:val="0"/>
                                  <w:marTop w:val="0"/>
                                  <w:marBottom w:val="0"/>
                                  <w:divBdr>
                                    <w:top w:val="none" w:sz="0" w:space="0" w:color="auto"/>
                                    <w:left w:val="none" w:sz="0" w:space="0" w:color="auto"/>
                                    <w:bottom w:val="none" w:sz="0" w:space="0" w:color="auto"/>
                                    <w:right w:val="none" w:sz="0" w:space="0" w:color="auto"/>
                                  </w:divBdr>
                                  <w:divsChild>
                                    <w:div w:id="42755003">
                                      <w:marLeft w:val="0"/>
                                      <w:marRight w:val="0"/>
                                      <w:marTop w:val="0"/>
                                      <w:marBottom w:val="0"/>
                                      <w:divBdr>
                                        <w:top w:val="none" w:sz="0" w:space="0" w:color="auto"/>
                                        <w:left w:val="none" w:sz="0" w:space="0" w:color="auto"/>
                                        <w:bottom w:val="none" w:sz="0" w:space="0" w:color="auto"/>
                                        <w:right w:val="none" w:sz="0" w:space="0" w:color="auto"/>
                                      </w:divBdr>
                                      <w:divsChild>
                                        <w:div w:id="3078311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200947085">
                          <w:marLeft w:val="0"/>
                          <w:marRight w:val="0"/>
                          <w:marTop w:val="0"/>
                          <w:marBottom w:val="0"/>
                          <w:divBdr>
                            <w:top w:val="none" w:sz="0" w:space="0" w:color="auto"/>
                            <w:left w:val="none" w:sz="0" w:space="0" w:color="auto"/>
                            <w:bottom w:val="none" w:sz="0" w:space="0" w:color="auto"/>
                            <w:right w:val="none" w:sz="0" w:space="0" w:color="auto"/>
                          </w:divBdr>
                          <w:divsChild>
                            <w:div w:id="1767538450">
                              <w:marLeft w:val="0"/>
                              <w:marRight w:val="0"/>
                              <w:marTop w:val="0"/>
                              <w:marBottom w:val="0"/>
                              <w:divBdr>
                                <w:top w:val="none" w:sz="0" w:space="0" w:color="auto"/>
                                <w:left w:val="none" w:sz="0" w:space="0" w:color="auto"/>
                                <w:bottom w:val="none" w:sz="0" w:space="0" w:color="auto"/>
                                <w:right w:val="none" w:sz="0" w:space="0" w:color="auto"/>
                              </w:divBdr>
                              <w:divsChild>
                                <w:div w:id="75933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4613481">
      <w:bodyDiv w:val="1"/>
      <w:marLeft w:val="0"/>
      <w:marRight w:val="0"/>
      <w:marTop w:val="0"/>
      <w:marBottom w:val="0"/>
      <w:divBdr>
        <w:top w:val="none" w:sz="0" w:space="0" w:color="auto"/>
        <w:left w:val="none" w:sz="0" w:space="0" w:color="auto"/>
        <w:bottom w:val="none" w:sz="0" w:space="0" w:color="auto"/>
        <w:right w:val="none" w:sz="0" w:space="0" w:color="auto"/>
      </w:divBdr>
    </w:div>
    <w:div w:id="1139345730">
      <w:bodyDiv w:val="1"/>
      <w:marLeft w:val="0"/>
      <w:marRight w:val="0"/>
      <w:marTop w:val="0"/>
      <w:marBottom w:val="0"/>
      <w:divBdr>
        <w:top w:val="none" w:sz="0" w:space="0" w:color="auto"/>
        <w:left w:val="none" w:sz="0" w:space="0" w:color="auto"/>
        <w:bottom w:val="none" w:sz="0" w:space="0" w:color="auto"/>
        <w:right w:val="none" w:sz="0" w:space="0" w:color="auto"/>
      </w:divBdr>
    </w:div>
    <w:div w:id="1199467494">
      <w:bodyDiv w:val="1"/>
      <w:marLeft w:val="0"/>
      <w:marRight w:val="0"/>
      <w:marTop w:val="0"/>
      <w:marBottom w:val="0"/>
      <w:divBdr>
        <w:top w:val="none" w:sz="0" w:space="0" w:color="auto"/>
        <w:left w:val="none" w:sz="0" w:space="0" w:color="auto"/>
        <w:bottom w:val="none" w:sz="0" w:space="0" w:color="auto"/>
        <w:right w:val="none" w:sz="0" w:space="0" w:color="auto"/>
      </w:divBdr>
    </w:div>
    <w:div w:id="1245609821">
      <w:bodyDiv w:val="1"/>
      <w:marLeft w:val="0"/>
      <w:marRight w:val="0"/>
      <w:marTop w:val="0"/>
      <w:marBottom w:val="0"/>
      <w:divBdr>
        <w:top w:val="none" w:sz="0" w:space="0" w:color="auto"/>
        <w:left w:val="none" w:sz="0" w:space="0" w:color="auto"/>
        <w:bottom w:val="none" w:sz="0" w:space="0" w:color="auto"/>
        <w:right w:val="none" w:sz="0" w:space="0" w:color="auto"/>
      </w:divBdr>
    </w:div>
    <w:div w:id="1307472991">
      <w:bodyDiv w:val="1"/>
      <w:marLeft w:val="0"/>
      <w:marRight w:val="0"/>
      <w:marTop w:val="0"/>
      <w:marBottom w:val="0"/>
      <w:divBdr>
        <w:top w:val="none" w:sz="0" w:space="0" w:color="auto"/>
        <w:left w:val="none" w:sz="0" w:space="0" w:color="auto"/>
        <w:bottom w:val="none" w:sz="0" w:space="0" w:color="auto"/>
        <w:right w:val="none" w:sz="0" w:space="0" w:color="auto"/>
      </w:divBdr>
    </w:div>
    <w:div w:id="1318604854">
      <w:bodyDiv w:val="1"/>
      <w:marLeft w:val="0"/>
      <w:marRight w:val="0"/>
      <w:marTop w:val="0"/>
      <w:marBottom w:val="0"/>
      <w:divBdr>
        <w:top w:val="none" w:sz="0" w:space="0" w:color="auto"/>
        <w:left w:val="none" w:sz="0" w:space="0" w:color="auto"/>
        <w:bottom w:val="none" w:sz="0" w:space="0" w:color="auto"/>
        <w:right w:val="none" w:sz="0" w:space="0" w:color="auto"/>
      </w:divBdr>
    </w:div>
    <w:div w:id="1353190945">
      <w:bodyDiv w:val="1"/>
      <w:marLeft w:val="0"/>
      <w:marRight w:val="0"/>
      <w:marTop w:val="0"/>
      <w:marBottom w:val="0"/>
      <w:divBdr>
        <w:top w:val="none" w:sz="0" w:space="0" w:color="auto"/>
        <w:left w:val="none" w:sz="0" w:space="0" w:color="auto"/>
        <w:bottom w:val="none" w:sz="0" w:space="0" w:color="auto"/>
        <w:right w:val="none" w:sz="0" w:space="0" w:color="auto"/>
      </w:divBdr>
    </w:div>
    <w:div w:id="1355231281">
      <w:bodyDiv w:val="1"/>
      <w:marLeft w:val="0"/>
      <w:marRight w:val="0"/>
      <w:marTop w:val="0"/>
      <w:marBottom w:val="0"/>
      <w:divBdr>
        <w:top w:val="none" w:sz="0" w:space="0" w:color="auto"/>
        <w:left w:val="none" w:sz="0" w:space="0" w:color="auto"/>
        <w:bottom w:val="none" w:sz="0" w:space="0" w:color="auto"/>
        <w:right w:val="none" w:sz="0" w:space="0" w:color="auto"/>
      </w:divBdr>
    </w:div>
    <w:div w:id="1442648083">
      <w:bodyDiv w:val="1"/>
      <w:marLeft w:val="0"/>
      <w:marRight w:val="0"/>
      <w:marTop w:val="0"/>
      <w:marBottom w:val="0"/>
      <w:divBdr>
        <w:top w:val="none" w:sz="0" w:space="0" w:color="auto"/>
        <w:left w:val="none" w:sz="0" w:space="0" w:color="auto"/>
        <w:bottom w:val="none" w:sz="0" w:space="0" w:color="auto"/>
        <w:right w:val="none" w:sz="0" w:space="0" w:color="auto"/>
      </w:divBdr>
    </w:div>
    <w:div w:id="1443646829">
      <w:bodyDiv w:val="1"/>
      <w:marLeft w:val="0"/>
      <w:marRight w:val="0"/>
      <w:marTop w:val="0"/>
      <w:marBottom w:val="0"/>
      <w:divBdr>
        <w:top w:val="none" w:sz="0" w:space="0" w:color="auto"/>
        <w:left w:val="none" w:sz="0" w:space="0" w:color="auto"/>
        <w:bottom w:val="none" w:sz="0" w:space="0" w:color="auto"/>
        <w:right w:val="none" w:sz="0" w:space="0" w:color="auto"/>
      </w:divBdr>
    </w:div>
    <w:div w:id="1464927596">
      <w:bodyDiv w:val="1"/>
      <w:marLeft w:val="0"/>
      <w:marRight w:val="0"/>
      <w:marTop w:val="0"/>
      <w:marBottom w:val="0"/>
      <w:divBdr>
        <w:top w:val="none" w:sz="0" w:space="0" w:color="auto"/>
        <w:left w:val="none" w:sz="0" w:space="0" w:color="auto"/>
        <w:bottom w:val="none" w:sz="0" w:space="0" w:color="auto"/>
        <w:right w:val="none" w:sz="0" w:space="0" w:color="auto"/>
      </w:divBdr>
    </w:div>
    <w:div w:id="1623489202">
      <w:bodyDiv w:val="1"/>
      <w:marLeft w:val="0"/>
      <w:marRight w:val="0"/>
      <w:marTop w:val="0"/>
      <w:marBottom w:val="0"/>
      <w:divBdr>
        <w:top w:val="none" w:sz="0" w:space="0" w:color="auto"/>
        <w:left w:val="none" w:sz="0" w:space="0" w:color="auto"/>
        <w:bottom w:val="none" w:sz="0" w:space="0" w:color="auto"/>
        <w:right w:val="none" w:sz="0" w:space="0" w:color="auto"/>
      </w:divBdr>
    </w:div>
    <w:div w:id="1630823207">
      <w:bodyDiv w:val="1"/>
      <w:marLeft w:val="0"/>
      <w:marRight w:val="0"/>
      <w:marTop w:val="0"/>
      <w:marBottom w:val="0"/>
      <w:divBdr>
        <w:top w:val="none" w:sz="0" w:space="0" w:color="auto"/>
        <w:left w:val="none" w:sz="0" w:space="0" w:color="auto"/>
        <w:bottom w:val="none" w:sz="0" w:space="0" w:color="auto"/>
        <w:right w:val="none" w:sz="0" w:space="0" w:color="auto"/>
      </w:divBdr>
    </w:div>
    <w:div w:id="1631745580">
      <w:bodyDiv w:val="1"/>
      <w:marLeft w:val="0"/>
      <w:marRight w:val="0"/>
      <w:marTop w:val="0"/>
      <w:marBottom w:val="0"/>
      <w:divBdr>
        <w:top w:val="none" w:sz="0" w:space="0" w:color="auto"/>
        <w:left w:val="none" w:sz="0" w:space="0" w:color="auto"/>
        <w:bottom w:val="none" w:sz="0" w:space="0" w:color="auto"/>
        <w:right w:val="none" w:sz="0" w:space="0" w:color="auto"/>
      </w:divBdr>
    </w:div>
    <w:div w:id="1708405559">
      <w:bodyDiv w:val="1"/>
      <w:marLeft w:val="0"/>
      <w:marRight w:val="0"/>
      <w:marTop w:val="0"/>
      <w:marBottom w:val="0"/>
      <w:divBdr>
        <w:top w:val="none" w:sz="0" w:space="0" w:color="auto"/>
        <w:left w:val="none" w:sz="0" w:space="0" w:color="auto"/>
        <w:bottom w:val="none" w:sz="0" w:space="0" w:color="auto"/>
        <w:right w:val="none" w:sz="0" w:space="0" w:color="auto"/>
      </w:divBdr>
    </w:div>
    <w:div w:id="1722823881">
      <w:bodyDiv w:val="1"/>
      <w:marLeft w:val="0"/>
      <w:marRight w:val="0"/>
      <w:marTop w:val="0"/>
      <w:marBottom w:val="0"/>
      <w:divBdr>
        <w:top w:val="none" w:sz="0" w:space="0" w:color="auto"/>
        <w:left w:val="none" w:sz="0" w:space="0" w:color="auto"/>
        <w:bottom w:val="none" w:sz="0" w:space="0" w:color="auto"/>
        <w:right w:val="none" w:sz="0" w:space="0" w:color="auto"/>
      </w:divBdr>
    </w:div>
    <w:div w:id="1762725044">
      <w:bodyDiv w:val="1"/>
      <w:marLeft w:val="0"/>
      <w:marRight w:val="0"/>
      <w:marTop w:val="0"/>
      <w:marBottom w:val="0"/>
      <w:divBdr>
        <w:top w:val="none" w:sz="0" w:space="0" w:color="auto"/>
        <w:left w:val="none" w:sz="0" w:space="0" w:color="auto"/>
        <w:bottom w:val="none" w:sz="0" w:space="0" w:color="auto"/>
        <w:right w:val="none" w:sz="0" w:space="0" w:color="auto"/>
      </w:divBdr>
    </w:div>
    <w:div w:id="1839731781">
      <w:bodyDiv w:val="1"/>
      <w:marLeft w:val="0"/>
      <w:marRight w:val="0"/>
      <w:marTop w:val="0"/>
      <w:marBottom w:val="0"/>
      <w:divBdr>
        <w:top w:val="none" w:sz="0" w:space="0" w:color="auto"/>
        <w:left w:val="none" w:sz="0" w:space="0" w:color="auto"/>
        <w:bottom w:val="none" w:sz="0" w:space="0" w:color="auto"/>
        <w:right w:val="none" w:sz="0" w:space="0" w:color="auto"/>
      </w:divBdr>
    </w:div>
    <w:div w:id="1841119404">
      <w:bodyDiv w:val="1"/>
      <w:marLeft w:val="0"/>
      <w:marRight w:val="0"/>
      <w:marTop w:val="0"/>
      <w:marBottom w:val="0"/>
      <w:divBdr>
        <w:top w:val="none" w:sz="0" w:space="0" w:color="auto"/>
        <w:left w:val="none" w:sz="0" w:space="0" w:color="auto"/>
        <w:bottom w:val="none" w:sz="0" w:space="0" w:color="auto"/>
        <w:right w:val="none" w:sz="0" w:space="0" w:color="auto"/>
      </w:divBdr>
    </w:div>
    <w:div w:id="1843351450">
      <w:bodyDiv w:val="1"/>
      <w:marLeft w:val="0"/>
      <w:marRight w:val="0"/>
      <w:marTop w:val="0"/>
      <w:marBottom w:val="0"/>
      <w:divBdr>
        <w:top w:val="none" w:sz="0" w:space="0" w:color="auto"/>
        <w:left w:val="none" w:sz="0" w:space="0" w:color="auto"/>
        <w:bottom w:val="none" w:sz="0" w:space="0" w:color="auto"/>
        <w:right w:val="none" w:sz="0" w:space="0" w:color="auto"/>
      </w:divBdr>
    </w:div>
    <w:div w:id="1912034968">
      <w:bodyDiv w:val="1"/>
      <w:marLeft w:val="0"/>
      <w:marRight w:val="0"/>
      <w:marTop w:val="0"/>
      <w:marBottom w:val="0"/>
      <w:divBdr>
        <w:top w:val="none" w:sz="0" w:space="0" w:color="auto"/>
        <w:left w:val="none" w:sz="0" w:space="0" w:color="auto"/>
        <w:bottom w:val="none" w:sz="0" w:space="0" w:color="auto"/>
        <w:right w:val="none" w:sz="0" w:space="0" w:color="auto"/>
      </w:divBdr>
      <w:divsChild>
        <w:div w:id="1725375066">
          <w:marLeft w:val="0"/>
          <w:marRight w:val="0"/>
          <w:marTop w:val="0"/>
          <w:marBottom w:val="0"/>
          <w:divBdr>
            <w:top w:val="none" w:sz="0" w:space="0" w:color="auto"/>
            <w:left w:val="none" w:sz="0" w:space="0" w:color="auto"/>
            <w:bottom w:val="none" w:sz="0" w:space="0" w:color="auto"/>
            <w:right w:val="none" w:sz="0" w:space="0" w:color="auto"/>
          </w:divBdr>
          <w:divsChild>
            <w:div w:id="1684085594">
              <w:marLeft w:val="0"/>
              <w:marRight w:val="0"/>
              <w:marTop w:val="0"/>
              <w:marBottom w:val="0"/>
              <w:divBdr>
                <w:top w:val="none" w:sz="0" w:space="0" w:color="auto"/>
                <w:left w:val="none" w:sz="0" w:space="0" w:color="auto"/>
                <w:bottom w:val="none" w:sz="0" w:space="0" w:color="auto"/>
                <w:right w:val="none" w:sz="0" w:space="0" w:color="auto"/>
              </w:divBdr>
              <w:divsChild>
                <w:div w:id="582569738">
                  <w:marLeft w:val="0"/>
                  <w:marRight w:val="0"/>
                  <w:marTop w:val="0"/>
                  <w:marBottom w:val="0"/>
                  <w:divBdr>
                    <w:top w:val="none" w:sz="0" w:space="0" w:color="auto"/>
                    <w:left w:val="none" w:sz="0" w:space="0" w:color="auto"/>
                    <w:bottom w:val="none" w:sz="0" w:space="0" w:color="auto"/>
                    <w:right w:val="none" w:sz="0" w:space="0" w:color="auto"/>
                  </w:divBdr>
                  <w:divsChild>
                    <w:div w:id="607733422">
                      <w:marLeft w:val="0"/>
                      <w:marRight w:val="0"/>
                      <w:marTop w:val="0"/>
                      <w:marBottom w:val="0"/>
                      <w:divBdr>
                        <w:top w:val="none" w:sz="0" w:space="0" w:color="auto"/>
                        <w:left w:val="none" w:sz="0" w:space="0" w:color="auto"/>
                        <w:bottom w:val="none" w:sz="0" w:space="0" w:color="auto"/>
                        <w:right w:val="none" w:sz="0" w:space="0" w:color="auto"/>
                      </w:divBdr>
                      <w:divsChild>
                        <w:div w:id="828400174">
                          <w:marLeft w:val="0"/>
                          <w:marRight w:val="0"/>
                          <w:marTop w:val="0"/>
                          <w:marBottom w:val="0"/>
                          <w:divBdr>
                            <w:top w:val="none" w:sz="0" w:space="0" w:color="auto"/>
                            <w:left w:val="none" w:sz="0" w:space="0" w:color="auto"/>
                            <w:bottom w:val="none" w:sz="0" w:space="0" w:color="auto"/>
                            <w:right w:val="none" w:sz="0" w:space="0" w:color="auto"/>
                          </w:divBdr>
                          <w:divsChild>
                            <w:div w:id="1389911198">
                              <w:marLeft w:val="0"/>
                              <w:marRight w:val="0"/>
                              <w:marTop w:val="0"/>
                              <w:marBottom w:val="0"/>
                              <w:divBdr>
                                <w:top w:val="none" w:sz="0" w:space="0" w:color="auto"/>
                                <w:left w:val="none" w:sz="0" w:space="0" w:color="auto"/>
                                <w:bottom w:val="none" w:sz="0" w:space="0" w:color="auto"/>
                                <w:right w:val="none" w:sz="0" w:space="0" w:color="auto"/>
                              </w:divBdr>
                              <w:divsChild>
                                <w:div w:id="2142569995">
                                  <w:marLeft w:val="0"/>
                                  <w:marRight w:val="0"/>
                                  <w:marTop w:val="0"/>
                                  <w:marBottom w:val="0"/>
                                  <w:divBdr>
                                    <w:top w:val="none" w:sz="0" w:space="0" w:color="auto"/>
                                    <w:left w:val="none" w:sz="0" w:space="0" w:color="auto"/>
                                    <w:bottom w:val="none" w:sz="0" w:space="0" w:color="auto"/>
                                    <w:right w:val="none" w:sz="0" w:space="0" w:color="auto"/>
                                  </w:divBdr>
                                  <w:divsChild>
                                    <w:div w:id="1452896457">
                                      <w:marLeft w:val="0"/>
                                      <w:marRight w:val="0"/>
                                      <w:marTop w:val="0"/>
                                      <w:marBottom w:val="0"/>
                                      <w:divBdr>
                                        <w:top w:val="none" w:sz="0" w:space="0" w:color="auto"/>
                                        <w:left w:val="none" w:sz="0" w:space="0" w:color="auto"/>
                                        <w:bottom w:val="none" w:sz="0" w:space="0" w:color="auto"/>
                                        <w:right w:val="none" w:sz="0" w:space="0" w:color="auto"/>
                                      </w:divBdr>
                                      <w:divsChild>
                                        <w:div w:id="10681846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76039836">
                          <w:marLeft w:val="0"/>
                          <w:marRight w:val="0"/>
                          <w:marTop w:val="0"/>
                          <w:marBottom w:val="0"/>
                          <w:divBdr>
                            <w:top w:val="none" w:sz="0" w:space="0" w:color="auto"/>
                            <w:left w:val="none" w:sz="0" w:space="0" w:color="auto"/>
                            <w:bottom w:val="none" w:sz="0" w:space="0" w:color="auto"/>
                            <w:right w:val="none" w:sz="0" w:space="0" w:color="auto"/>
                          </w:divBdr>
                          <w:divsChild>
                            <w:div w:id="1656907790">
                              <w:marLeft w:val="0"/>
                              <w:marRight w:val="0"/>
                              <w:marTop w:val="0"/>
                              <w:marBottom w:val="0"/>
                              <w:divBdr>
                                <w:top w:val="none" w:sz="0" w:space="0" w:color="auto"/>
                                <w:left w:val="none" w:sz="0" w:space="0" w:color="auto"/>
                                <w:bottom w:val="none" w:sz="0" w:space="0" w:color="auto"/>
                                <w:right w:val="none" w:sz="0" w:space="0" w:color="auto"/>
                              </w:divBdr>
                              <w:divsChild>
                                <w:div w:id="70564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3464206">
      <w:bodyDiv w:val="1"/>
      <w:marLeft w:val="0"/>
      <w:marRight w:val="0"/>
      <w:marTop w:val="0"/>
      <w:marBottom w:val="0"/>
      <w:divBdr>
        <w:top w:val="none" w:sz="0" w:space="0" w:color="auto"/>
        <w:left w:val="none" w:sz="0" w:space="0" w:color="auto"/>
        <w:bottom w:val="none" w:sz="0" w:space="0" w:color="auto"/>
        <w:right w:val="none" w:sz="0" w:space="0" w:color="auto"/>
      </w:divBdr>
    </w:div>
    <w:div w:id="1914775696">
      <w:bodyDiv w:val="1"/>
      <w:marLeft w:val="0"/>
      <w:marRight w:val="0"/>
      <w:marTop w:val="0"/>
      <w:marBottom w:val="0"/>
      <w:divBdr>
        <w:top w:val="none" w:sz="0" w:space="0" w:color="auto"/>
        <w:left w:val="none" w:sz="0" w:space="0" w:color="auto"/>
        <w:bottom w:val="none" w:sz="0" w:space="0" w:color="auto"/>
        <w:right w:val="none" w:sz="0" w:space="0" w:color="auto"/>
      </w:divBdr>
    </w:div>
    <w:div w:id="1930192563">
      <w:bodyDiv w:val="1"/>
      <w:marLeft w:val="0"/>
      <w:marRight w:val="0"/>
      <w:marTop w:val="0"/>
      <w:marBottom w:val="0"/>
      <w:divBdr>
        <w:top w:val="none" w:sz="0" w:space="0" w:color="auto"/>
        <w:left w:val="none" w:sz="0" w:space="0" w:color="auto"/>
        <w:bottom w:val="none" w:sz="0" w:space="0" w:color="auto"/>
        <w:right w:val="none" w:sz="0" w:space="0" w:color="auto"/>
      </w:divBdr>
    </w:div>
    <w:div w:id="1948467686">
      <w:bodyDiv w:val="1"/>
      <w:marLeft w:val="0"/>
      <w:marRight w:val="0"/>
      <w:marTop w:val="0"/>
      <w:marBottom w:val="0"/>
      <w:divBdr>
        <w:top w:val="none" w:sz="0" w:space="0" w:color="auto"/>
        <w:left w:val="none" w:sz="0" w:space="0" w:color="auto"/>
        <w:bottom w:val="none" w:sz="0" w:space="0" w:color="auto"/>
        <w:right w:val="none" w:sz="0" w:space="0" w:color="auto"/>
      </w:divBdr>
    </w:div>
    <w:div w:id="1992828948">
      <w:bodyDiv w:val="1"/>
      <w:marLeft w:val="0"/>
      <w:marRight w:val="0"/>
      <w:marTop w:val="0"/>
      <w:marBottom w:val="0"/>
      <w:divBdr>
        <w:top w:val="none" w:sz="0" w:space="0" w:color="auto"/>
        <w:left w:val="none" w:sz="0" w:space="0" w:color="auto"/>
        <w:bottom w:val="none" w:sz="0" w:space="0" w:color="auto"/>
        <w:right w:val="none" w:sz="0" w:space="0" w:color="auto"/>
      </w:divBdr>
    </w:div>
    <w:div w:id="2005014711">
      <w:bodyDiv w:val="1"/>
      <w:marLeft w:val="0"/>
      <w:marRight w:val="0"/>
      <w:marTop w:val="0"/>
      <w:marBottom w:val="0"/>
      <w:divBdr>
        <w:top w:val="none" w:sz="0" w:space="0" w:color="auto"/>
        <w:left w:val="none" w:sz="0" w:space="0" w:color="auto"/>
        <w:bottom w:val="none" w:sz="0" w:space="0" w:color="auto"/>
        <w:right w:val="none" w:sz="0" w:space="0" w:color="auto"/>
      </w:divBdr>
    </w:div>
    <w:div w:id="2084451994">
      <w:bodyDiv w:val="1"/>
      <w:marLeft w:val="0"/>
      <w:marRight w:val="0"/>
      <w:marTop w:val="0"/>
      <w:marBottom w:val="0"/>
      <w:divBdr>
        <w:top w:val="none" w:sz="0" w:space="0" w:color="auto"/>
        <w:left w:val="none" w:sz="0" w:space="0" w:color="auto"/>
        <w:bottom w:val="none" w:sz="0" w:space="0" w:color="auto"/>
        <w:right w:val="none" w:sz="0" w:space="0" w:color="auto"/>
      </w:divBdr>
    </w:div>
    <w:div w:id="2100758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sz="1200" b="1" i="0" u="none" strike="noStrike" baseline="0">
                <a:effectLst/>
                <a:latin typeface="Times New Roman" panose="02020603050405020304" pitchFamily="18" charset="0"/>
                <a:cs typeface="Times New Roman" panose="02020603050405020304" pitchFamily="18" charset="0"/>
              </a:rPr>
              <a:t>Renal Function Distribution by Age Groups</a:t>
            </a:r>
            <a:endParaRPr lang="en-IN" sz="1200">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IN"/>
        </a:p>
      </c:txPr>
    </c:title>
    <c:autoTitleDeleted val="0"/>
    <c:plotArea>
      <c:layout/>
      <c:scatterChart>
        <c:scatterStyle val="smoothMarker"/>
        <c:varyColors val="0"/>
        <c:ser>
          <c:idx val="0"/>
          <c:order val="0"/>
          <c:tx>
            <c:strRef>
              <c:f>Sheet1!$F$4</c:f>
              <c:strCache>
                <c:ptCount val="1"/>
                <c:pt idx="0">
                  <c:v>Mean GFR</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xVal>
            <c:strRef>
              <c:f>Sheet1!$G$3:$I$3</c:f>
              <c:strCache>
                <c:ptCount val="3"/>
                <c:pt idx="0">
                  <c:v>&lt;40</c:v>
                </c:pt>
                <c:pt idx="1">
                  <c:v>40-60</c:v>
                </c:pt>
                <c:pt idx="2">
                  <c:v>&gt;60</c:v>
                </c:pt>
              </c:strCache>
            </c:strRef>
          </c:xVal>
          <c:yVal>
            <c:numRef>
              <c:f>Sheet1!$G$4:$I$4</c:f>
              <c:numCache>
                <c:formatCode>General</c:formatCode>
                <c:ptCount val="3"/>
                <c:pt idx="0">
                  <c:v>131.19999999999999</c:v>
                </c:pt>
                <c:pt idx="1">
                  <c:v>105.6</c:v>
                </c:pt>
                <c:pt idx="2">
                  <c:v>62.1</c:v>
                </c:pt>
              </c:numCache>
            </c:numRef>
          </c:yVal>
          <c:smooth val="1"/>
          <c:extLst>
            <c:ext xmlns:c16="http://schemas.microsoft.com/office/drawing/2014/chart" uri="{C3380CC4-5D6E-409C-BE32-E72D297353CC}">
              <c16:uniqueId val="{00000000-58BF-4842-AB57-36314671D2DD}"/>
            </c:ext>
          </c:extLst>
        </c:ser>
        <c:ser>
          <c:idx val="1"/>
          <c:order val="1"/>
          <c:tx>
            <c:strRef>
              <c:f>Sheet1!$F$5</c:f>
              <c:strCache>
                <c:ptCount val="1"/>
                <c:pt idx="0">
                  <c:v>Mean Creatinine (mg/dl</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xVal>
            <c:strRef>
              <c:f>Sheet1!$G$3:$I$3</c:f>
              <c:strCache>
                <c:ptCount val="3"/>
                <c:pt idx="0">
                  <c:v>&lt;40</c:v>
                </c:pt>
                <c:pt idx="1">
                  <c:v>40-60</c:v>
                </c:pt>
                <c:pt idx="2">
                  <c:v>&gt;60</c:v>
                </c:pt>
              </c:strCache>
            </c:strRef>
          </c:xVal>
          <c:yVal>
            <c:numRef>
              <c:f>Sheet1!$G$5:$I$5</c:f>
              <c:numCache>
                <c:formatCode>General</c:formatCode>
                <c:ptCount val="3"/>
                <c:pt idx="0">
                  <c:v>0.67</c:v>
                </c:pt>
                <c:pt idx="1">
                  <c:v>0.89</c:v>
                </c:pt>
                <c:pt idx="2">
                  <c:v>1.52</c:v>
                </c:pt>
              </c:numCache>
            </c:numRef>
          </c:yVal>
          <c:smooth val="1"/>
          <c:extLst>
            <c:ext xmlns:c16="http://schemas.microsoft.com/office/drawing/2014/chart" uri="{C3380CC4-5D6E-409C-BE32-E72D297353CC}">
              <c16:uniqueId val="{00000001-58BF-4842-AB57-36314671D2DD}"/>
            </c:ext>
          </c:extLst>
        </c:ser>
        <c:dLbls>
          <c:showLegendKey val="0"/>
          <c:showVal val="0"/>
          <c:showCatName val="0"/>
          <c:showSerName val="0"/>
          <c:showPercent val="0"/>
          <c:showBubbleSize val="0"/>
        </c:dLbls>
        <c:axId val="1415720111"/>
        <c:axId val="1415697551"/>
      </c:scatterChart>
      <c:valAx>
        <c:axId val="141572011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15697551"/>
        <c:crosses val="autoZero"/>
        <c:crossBetween val="midCat"/>
      </c:valAx>
      <c:valAx>
        <c:axId val="141569755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15720111"/>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336703-C261-4908-84B2-AFAE74739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901</TotalTime>
  <Pages>9</Pages>
  <Words>2900</Words>
  <Characters>16534</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Abid</dc:creator>
  <cp:keywords/>
  <dc:description/>
  <cp:lastModifiedBy>Editor-22</cp:lastModifiedBy>
  <cp:revision>51</cp:revision>
  <dcterms:created xsi:type="dcterms:W3CDTF">2025-04-17T18:25:00Z</dcterms:created>
  <dcterms:modified xsi:type="dcterms:W3CDTF">2025-05-08T10:08:00Z</dcterms:modified>
</cp:coreProperties>
</file>