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3AF3B" w14:textId="77777777" w:rsidR="00754C9A" w:rsidRDefault="00754C9A" w:rsidP="00441B6F">
      <w:pPr>
        <w:pStyle w:val="Title"/>
        <w:spacing w:after="0"/>
        <w:jc w:val="both"/>
        <w:rPr>
          <w:rFonts w:ascii="Arial" w:hAnsi="Arial" w:cs="Arial"/>
        </w:rPr>
      </w:pPr>
      <w:bookmarkStart w:id="0" w:name="_GoBack"/>
      <w:bookmarkEnd w:id="0"/>
    </w:p>
    <w:p w14:paraId="346FE59F" w14:textId="77777777" w:rsidR="002B67BA" w:rsidRPr="002B67BA" w:rsidRDefault="002B67BA" w:rsidP="002B67BA">
      <w:pPr>
        <w:pStyle w:val="Author"/>
        <w:rPr>
          <w:rFonts w:ascii="Arial" w:hAnsi="Arial" w:cs="Arial"/>
          <w:bCs/>
          <w:i/>
          <w:iCs/>
          <w:kern w:val="28"/>
          <w:sz w:val="18"/>
          <w:szCs w:val="18"/>
          <w:u w:val="single"/>
        </w:rPr>
      </w:pPr>
      <w:bookmarkStart w:id="1" w:name="_Hlk197515157"/>
      <w:r w:rsidRPr="002B67BA">
        <w:rPr>
          <w:rFonts w:ascii="Arial" w:hAnsi="Arial" w:cs="Arial"/>
          <w:bCs/>
          <w:i/>
          <w:iCs/>
          <w:kern w:val="28"/>
          <w:sz w:val="18"/>
          <w:szCs w:val="18"/>
          <w:u w:val="single"/>
        </w:rPr>
        <w:t>Original Research Article</w:t>
      </w:r>
    </w:p>
    <w:p w14:paraId="42D9CDD3" w14:textId="77777777" w:rsidR="00122EE5" w:rsidRPr="007F0B66" w:rsidRDefault="00122EE5" w:rsidP="00122EE5">
      <w:pPr>
        <w:pStyle w:val="Author"/>
        <w:spacing w:line="240" w:lineRule="auto"/>
        <w:rPr>
          <w:rFonts w:ascii="Arial" w:hAnsi="Arial" w:cs="Arial"/>
          <w:bCs/>
          <w:iCs/>
          <w:kern w:val="28"/>
          <w:sz w:val="36"/>
        </w:rPr>
      </w:pPr>
      <w:r w:rsidRPr="007F0B66">
        <w:rPr>
          <w:rFonts w:ascii="Arial" w:hAnsi="Arial" w:cs="Arial"/>
          <w:bCs/>
          <w:iCs/>
          <w:kern w:val="28"/>
          <w:sz w:val="36"/>
        </w:rPr>
        <w:t xml:space="preserve">In Vivo and In Vitro Assessment of the Therapeutic Properties of </w:t>
      </w:r>
      <w:r w:rsidRPr="007F0B66">
        <w:rPr>
          <w:rFonts w:ascii="Arial" w:hAnsi="Arial" w:cs="Arial"/>
          <w:bCs/>
          <w:i/>
          <w:iCs/>
          <w:kern w:val="28"/>
          <w:sz w:val="36"/>
        </w:rPr>
        <w:t>Maesa indica</w:t>
      </w:r>
      <w:r w:rsidRPr="007F0B66">
        <w:rPr>
          <w:rFonts w:ascii="Arial" w:hAnsi="Arial" w:cs="Arial"/>
          <w:bCs/>
          <w:iCs/>
          <w:kern w:val="28"/>
          <w:sz w:val="36"/>
        </w:rPr>
        <w:t xml:space="preserve"> </w:t>
      </w:r>
    </w:p>
    <w:bookmarkEnd w:id="1"/>
    <w:p w14:paraId="45DF79AA" w14:textId="0681B8EB" w:rsidR="00B01FCD" w:rsidRPr="007F0B66" w:rsidRDefault="00B01FCD" w:rsidP="00441B6F">
      <w:pPr>
        <w:pStyle w:val="Copyright"/>
        <w:spacing w:after="0" w:line="240" w:lineRule="auto"/>
        <w:jc w:val="both"/>
        <w:rPr>
          <w:rFonts w:ascii="Arial" w:hAnsi="Arial" w:cs="Arial"/>
        </w:rPr>
        <w:sectPr w:rsidR="00B01FCD" w:rsidRPr="007F0B66" w:rsidSect="00A7530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94B48E6" w14:textId="207C4EB1" w:rsidR="00B01FCD" w:rsidRPr="007F0B66" w:rsidRDefault="00B01FCD" w:rsidP="00441B6F">
      <w:pPr>
        <w:pStyle w:val="AbstHead"/>
        <w:spacing w:after="0"/>
        <w:jc w:val="both"/>
        <w:rPr>
          <w:rFonts w:ascii="Arial" w:hAnsi="Arial" w:cs="Arial"/>
        </w:rPr>
      </w:pPr>
      <w:r w:rsidRPr="007F0B66">
        <w:rPr>
          <w:rFonts w:ascii="Arial" w:hAnsi="Arial" w:cs="Arial"/>
        </w:rPr>
        <w:t>ABSTRACT</w:t>
      </w:r>
      <w:r w:rsidR="0066510A" w:rsidRPr="007F0B66">
        <w:rPr>
          <w:rFonts w:ascii="Arial" w:hAnsi="Arial" w:cs="Arial"/>
        </w:rPr>
        <w:t xml:space="preserve"> </w:t>
      </w:r>
    </w:p>
    <w:p w14:paraId="483866BD" w14:textId="77777777" w:rsidR="00790ADA" w:rsidRPr="007F0B6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F0B66" w14:paraId="3B40B3C7" w14:textId="77777777" w:rsidTr="001E44FE">
        <w:tc>
          <w:tcPr>
            <w:tcW w:w="9576" w:type="dxa"/>
            <w:shd w:val="clear" w:color="auto" w:fill="F2F2F2"/>
          </w:tcPr>
          <w:p w14:paraId="23B091DF" w14:textId="77777777" w:rsidR="007F0B66" w:rsidRDefault="00122EE5" w:rsidP="007F0B66">
            <w:pPr>
              <w:pStyle w:val="Body"/>
              <w:spacing w:after="0"/>
              <w:rPr>
                <w:rFonts w:ascii="Arial" w:eastAsia="Calibri" w:hAnsi="Arial" w:cs="Arial"/>
                <w:szCs w:val="22"/>
              </w:rPr>
            </w:pPr>
            <w:r w:rsidRPr="00122EE5">
              <w:rPr>
                <w:rFonts w:ascii="Arial" w:eastAsia="Calibri" w:hAnsi="Arial" w:cs="Arial"/>
                <w:b/>
                <w:bCs/>
                <w:szCs w:val="22"/>
              </w:rPr>
              <w:t>Aim:</w:t>
            </w:r>
            <w:r w:rsidRPr="00122EE5">
              <w:rPr>
                <w:rFonts w:ascii="Arial" w:eastAsia="Calibri" w:hAnsi="Arial" w:cs="Arial"/>
                <w:szCs w:val="22"/>
              </w:rPr>
              <w:br/>
              <w:t xml:space="preserve">The present study aimed to evaluate the phytochemical constituents and multidisciplinary therapeutic activities of </w:t>
            </w:r>
            <w:r w:rsidRPr="00122EE5">
              <w:rPr>
                <w:rFonts w:ascii="Arial" w:eastAsia="Calibri" w:hAnsi="Arial" w:cs="Arial"/>
                <w:i/>
                <w:iCs/>
                <w:szCs w:val="22"/>
              </w:rPr>
              <w:t>Maesa indica</w:t>
            </w:r>
            <w:r w:rsidRPr="00122EE5">
              <w:rPr>
                <w:rFonts w:ascii="Arial" w:eastAsia="Calibri" w:hAnsi="Arial" w:cs="Arial"/>
                <w:szCs w:val="22"/>
              </w:rPr>
              <w:t xml:space="preserve"> leaves, focusing on its analgesic, antipyretic, antioxidant, anthelmintic, thrombolytic, cytotoxic, and neuropharmacological effects.</w:t>
            </w:r>
          </w:p>
          <w:p w14:paraId="41E52C03" w14:textId="3EDF9DAB" w:rsidR="00122EE5" w:rsidRPr="00122EE5" w:rsidRDefault="00122EE5" w:rsidP="007F0B66">
            <w:pPr>
              <w:pStyle w:val="Body"/>
              <w:spacing w:after="0"/>
              <w:jc w:val="left"/>
              <w:rPr>
                <w:rFonts w:ascii="Arial" w:eastAsia="Calibri" w:hAnsi="Arial" w:cs="Arial"/>
                <w:szCs w:val="22"/>
              </w:rPr>
            </w:pPr>
            <w:r w:rsidRPr="00122EE5">
              <w:rPr>
                <w:rFonts w:ascii="Arial" w:eastAsia="Calibri" w:hAnsi="Arial" w:cs="Arial"/>
                <w:b/>
                <w:bCs/>
                <w:szCs w:val="22"/>
              </w:rPr>
              <w:t>Study Design, Place, and Duration:</w:t>
            </w:r>
            <w:r w:rsidRPr="00122EE5">
              <w:rPr>
                <w:rFonts w:ascii="Arial" w:eastAsia="Calibri" w:hAnsi="Arial" w:cs="Arial"/>
                <w:szCs w:val="22"/>
              </w:rPr>
              <w:br/>
              <w:t>This experimental investigation was conducted in the Department of Pharmacy, University of Chittagong, Bangladesh, from November 2021 to October 2022.</w:t>
            </w:r>
          </w:p>
          <w:p w14:paraId="0FD64543" w14:textId="77777777" w:rsidR="00122EE5" w:rsidRPr="00122EE5" w:rsidRDefault="00122EE5" w:rsidP="007F0B66">
            <w:pPr>
              <w:pStyle w:val="Body"/>
              <w:spacing w:after="0"/>
              <w:rPr>
                <w:rFonts w:ascii="Arial" w:eastAsia="Calibri" w:hAnsi="Arial" w:cs="Arial"/>
                <w:szCs w:val="22"/>
              </w:rPr>
            </w:pPr>
            <w:r w:rsidRPr="00122EE5">
              <w:rPr>
                <w:rFonts w:ascii="Arial" w:eastAsia="Calibri" w:hAnsi="Arial" w:cs="Arial"/>
                <w:b/>
                <w:bCs/>
                <w:szCs w:val="22"/>
              </w:rPr>
              <w:t>Methodology:</w:t>
            </w:r>
            <w:r w:rsidRPr="00122EE5">
              <w:rPr>
                <w:rFonts w:ascii="Arial" w:eastAsia="Calibri" w:hAnsi="Arial" w:cs="Arial"/>
                <w:szCs w:val="22"/>
              </w:rPr>
              <w:br/>
              <w:t xml:space="preserve">Mature leaves of </w:t>
            </w:r>
            <w:r w:rsidRPr="00122EE5">
              <w:rPr>
                <w:rFonts w:ascii="Arial" w:eastAsia="Calibri" w:hAnsi="Arial" w:cs="Arial"/>
                <w:i/>
                <w:iCs/>
                <w:szCs w:val="22"/>
              </w:rPr>
              <w:t>Maesa indica</w:t>
            </w:r>
            <w:r w:rsidRPr="00122EE5">
              <w:rPr>
                <w:rFonts w:ascii="Arial" w:eastAsia="Calibri" w:hAnsi="Arial" w:cs="Arial"/>
                <w:szCs w:val="22"/>
              </w:rPr>
              <w:t xml:space="preserve"> were collected, authenticated, dried, powdered, and extracted using methanol. Preliminary phytochemical screening was carried out to identify secondary metabolites. The methanolic crude extract was subjected to in-vitro assays to determine thrombolytic activity (clot lysis test), antioxidant capacity (DPPH radical scavenging assay), cytotoxicity (brine shrimp lethality bioassay), and anthelmintic activity using </w:t>
            </w:r>
            <w:proofErr w:type="spellStart"/>
            <w:r w:rsidRPr="00122EE5">
              <w:rPr>
                <w:rFonts w:ascii="Arial" w:eastAsia="Calibri" w:hAnsi="Arial" w:cs="Arial"/>
                <w:i/>
                <w:iCs/>
                <w:szCs w:val="22"/>
              </w:rPr>
              <w:t>Pheretima</w:t>
            </w:r>
            <w:proofErr w:type="spellEnd"/>
            <w:r w:rsidRPr="00122EE5">
              <w:rPr>
                <w:rFonts w:ascii="Arial" w:eastAsia="Calibri" w:hAnsi="Arial" w:cs="Arial"/>
                <w:i/>
                <w:iCs/>
                <w:szCs w:val="22"/>
              </w:rPr>
              <w:t xml:space="preserve"> </w:t>
            </w:r>
            <w:proofErr w:type="spellStart"/>
            <w:r w:rsidRPr="00122EE5">
              <w:rPr>
                <w:rFonts w:ascii="Arial" w:eastAsia="Calibri" w:hAnsi="Arial" w:cs="Arial"/>
                <w:i/>
                <w:iCs/>
                <w:szCs w:val="22"/>
              </w:rPr>
              <w:t>posthuma</w:t>
            </w:r>
            <w:proofErr w:type="spellEnd"/>
            <w:r w:rsidRPr="00122EE5">
              <w:rPr>
                <w:rFonts w:ascii="Arial" w:eastAsia="Calibri" w:hAnsi="Arial" w:cs="Arial"/>
                <w:szCs w:val="22"/>
              </w:rPr>
              <w:t>. In vivo tests in Swiss albino mice evaluated analgesic activity (acetic acid-induced writhing), antipyretic effect (Brewer’s yeast-induced pyrexia model), and neuropharmacological responses (hole cross, elevated plus maze, and hole-board tests).</w:t>
            </w:r>
          </w:p>
          <w:p w14:paraId="2A2BCA79" w14:textId="77777777" w:rsidR="00122EE5" w:rsidRPr="00122EE5" w:rsidRDefault="00122EE5" w:rsidP="007F0B66">
            <w:pPr>
              <w:pStyle w:val="Body"/>
              <w:spacing w:after="0"/>
              <w:rPr>
                <w:rFonts w:ascii="Arial" w:eastAsia="Calibri" w:hAnsi="Arial" w:cs="Arial"/>
                <w:szCs w:val="22"/>
              </w:rPr>
            </w:pPr>
            <w:r w:rsidRPr="00122EE5">
              <w:rPr>
                <w:rFonts w:ascii="Arial" w:eastAsia="Calibri" w:hAnsi="Arial" w:cs="Arial"/>
                <w:b/>
                <w:bCs/>
                <w:szCs w:val="22"/>
              </w:rPr>
              <w:t>Results:</w:t>
            </w:r>
            <w:r w:rsidRPr="00122EE5">
              <w:rPr>
                <w:rFonts w:ascii="Arial" w:eastAsia="Calibri" w:hAnsi="Arial" w:cs="Arial"/>
                <w:szCs w:val="22"/>
              </w:rPr>
              <w:br/>
              <w:t>Phytochemical analysis revealed the presence of alkaloids, tannins, flavonoids, glycosides, phenols, and saponins. The extract demonstrated significant thrombolytic activity with 42.09% clot lysis compared to streptokinase. Antioxidant evaluation showed an IC</w:t>
            </w:r>
            <w:r w:rsidRPr="00122EE5">
              <w:rPr>
                <w:rFonts w:ascii="Cambria Math" w:eastAsia="Calibri" w:hAnsi="Cambria Math" w:cs="Cambria Math"/>
                <w:szCs w:val="22"/>
              </w:rPr>
              <w:t>₅₀</w:t>
            </w:r>
            <w:r w:rsidRPr="00122EE5">
              <w:rPr>
                <w:rFonts w:ascii="Arial" w:eastAsia="Calibri" w:hAnsi="Arial" w:cs="Arial"/>
                <w:szCs w:val="22"/>
              </w:rPr>
              <w:t xml:space="preserve"> value of 91.15 µg/</w:t>
            </w:r>
            <w:proofErr w:type="spellStart"/>
            <w:r w:rsidRPr="00122EE5">
              <w:rPr>
                <w:rFonts w:ascii="Arial" w:eastAsia="Calibri" w:hAnsi="Arial" w:cs="Arial"/>
                <w:szCs w:val="22"/>
              </w:rPr>
              <w:t>mL.</w:t>
            </w:r>
            <w:proofErr w:type="spellEnd"/>
            <w:r w:rsidRPr="00122EE5">
              <w:rPr>
                <w:rFonts w:ascii="Arial" w:eastAsia="Calibri" w:hAnsi="Arial" w:cs="Arial"/>
                <w:szCs w:val="22"/>
              </w:rPr>
              <w:t xml:space="preserve"> Cytotoxicity testing yielded an LC</w:t>
            </w:r>
            <w:r w:rsidRPr="00122EE5">
              <w:rPr>
                <w:rFonts w:ascii="Cambria Math" w:eastAsia="Calibri" w:hAnsi="Cambria Math" w:cs="Cambria Math"/>
                <w:szCs w:val="22"/>
              </w:rPr>
              <w:t>₅₀</w:t>
            </w:r>
            <w:r w:rsidRPr="00122EE5">
              <w:rPr>
                <w:rFonts w:ascii="Arial" w:eastAsia="Calibri" w:hAnsi="Arial" w:cs="Arial"/>
                <w:szCs w:val="22"/>
              </w:rPr>
              <w:t xml:space="preserve"> of 707.95 µg/</w:t>
            </w:r>
            <w:proofErr w:type="spellStart"/>
            <w:r w:rsidRPr="00122EE5">
              <w:rPr>
                <w:rFonts w:ascii="Arial" w:eastAsia="Calibri" w:hAnsi="Arial" w:cs="Arial"/>
                <w:szCs w:val="22"/>
              </w:rPr>
              <w:t>mL.</w:t>
            </w:r>
            <w:proofErr w:type="spellEnd"/>
            <w:r w:rsidRPr="00122EE5">
              <w:rPr>
                <w:rFonts w:ascii="Arial" w:eastAsia="Calibri" w:hAnsi="Arial" w:cs="Arial"/>
                <w:szCs w:val="22"/>
              </w:rPr>
              <w:t xml:space="preserve"> Analgesic studies revealed significant inhibition of writhing (53.4% at 400 mg/kg), while antipyretic testing showed a maximum reduction of hyperthermia by 90.17% at 4 hours post-treatment. Neuropharmacological assessments indicated anxiolytic activity, evidenced by increased open arm entries in the elevated plus maze and enhanced head-dipping behavior in the hole-board test. Additionally, significant anthelmintic activity was observed at higher extract concentrations.</w:t>
            </w:r>
          </w:p>
          <w:p w14:paraId="2BA38561" w14:textId="5E5EA5AD" w:rsidR="00505F06" w:rsidRPr="007F0B66" w:rsidRDefault="00122EE5" w:rsidP="00441B6F">
            <w:pPr>
              <w:pStyle w:val="Body"/>
              <w:spacing w:after="0"/>
              <w:rPr>
                <w:rFonts w:ascii="Arial" w:eastAsia="Calibri" w:hAnsi="Arial" w:cs="Arial"/>
                <w:b/>
                <w:bCs/>
                <w:szCs w:val="22"/>
              </w:rPr>
            </w:pPr>
            <w:r w:rsidRPr="007F0B66">
              <w:rPr>
                <w:rFonts w:ascii="Arial" w:eastAsia="Calibri" w:hAnsi="Arial" w:cs="Arial"/>
                <w:b/>
                <w:bCs/>
                <w:szCs w:val="22"/>
              </w:rPr>
              <w:t>Conclusion:</w:t>
            </w:r>
            <w:r w:rsidRPr="007F0B66">
              <w:rPr>
                <w:rFonts w:ascii="Arial" w:eastAsia="Calibri" w:hAnsi="Arial" w:cs="Arial"/>
                <w:szCs w:val="22"/>
              </w:rPr>
              <w:br/>
              <w:t xml:space="preserve">The findings confirm that </w:t>
            </w:r>
            <w:r w:rsidRPr="007F0B66">
              <w:rPr>
                <w:rFonts w:ascii="Arial" w:eastAsia="Calibri" w:hAnsi="Arial" w:cs="Arial"/>
                <w:i/>
                <w:iCs/>
                <w:szCs w:val="22"/>
              </w:rPr>
              <w:t>Maesa indica</w:t>
            </w:r>
            <w:r w:rsidRPr="007F0B66">
              <w:rPr>
                <w:rFonts w:ascii="Arial" w:eastAsia="Calibri" w:hAnsi="Arial" w:cs="Arial"/>
                <w:szCs w:val="22"/>
              </w:rPr>
              <w:t xml:space="preserve"> possesses potent bioactive properties, validating its traditional medicinal uses. Its wide range of activities suggests that </w:t>
            </w:r>
            <w:r w:rsidRPr="007F0B66">
              <w:rPr>
                <w:rFonts w:ascii="Arial" w:eastAsia="Calibri" w:hAnsi="Arial" w:cs="Arial"/>
                <w:i/>
                <w:iCs/>
                <w:szCs w:val="22"/>
              </w:rPr>
              <w:t>M. indica</w:t>
            </w:r>
            <w:r w:rsidRPr="007F0B66">
              <w:rPr>
                <w:rFonts w:ascii="Arial" w:eastAsia="Calibri" w:hAnsi="Arial" w:cs="Arial"/>
                <w:szCs w:val="22"/>
              </w:rPr>
              <w:t xml:space="preserve"> could serve as a promising candidate for the development of novel therapeutic agents. Further studies to isolate active constituents are recommended.</w:t>
            </w:r>
            <w:r w:rsidR="007F0B66">
              <w:rPr>
                <w:rFonts w:ascii="Arial" w:eastAsia="Calibri" w:hAnsi="Arial" w:cs="Arial"/>
                <w:szCs w:val="22"/>
              </w:rPr>
              <w:t xml:space="preserve"> </w:t>
            </w:r>
          </w:p>
        </w:tc>
      </w:tr>
    </w:tbl>
    <w:p w14:paraId="3C3DB575" w14:textId="77777777" w:rsidR="00636EB2" w:rsidRPr="007F0B66" w:rsidRDefault="00636EB2" w:rsidP="00441B6F">
      <w:pPr>
        <w:pStyle w:val="Body"/>
        <w:spacing w:after="0"/>
        <w:rPr>
          <w:rFonts w:ascii="Arial" w:hAnsi="Arial" w:cs="Arial"/>
          <w:i/>
        </w:rPr>
      </w:pPr>
    </w:p>
    <w:p w14:paraId="26670D04" w14:textId="12B713F7" w:rsidR="00A24E7E" w:rsidRPr="007F0B66" w:rsidRDefault="00A24E7E" w:rsidP="00441B6F">
      <w:pPr>
        <w:pStyle w:val="Body"/>
        <w:spacing w:after="0"/>
        <w:rPr>
          <w:rFonts w:ascii="Arial" w:hAnsi="Arial" w:cs="Arial"/>
          <w:i/>
        </w:rPr>
      </w:pPr>
      <w:r w:rsidRPr="007F0B66">
        <w:rPr>
          <w:rFonts w:ascii="Arial" w:hAnsi="Arial" w:cs="Arial"/>
          <w:i/>
        </w:rPr>
        <w:t xml:space="preserve">Keywords: </w:t>
      </w:r>
      <w:r w:rsidR="00A65789" w:rsidRPr="007F0B66">
        <w:rPr>
          <w:rFonts w:ascii="Arial" w:hAnsi="Arial" w:cs="Arial"/>
          <w:i/>
        </w:rPr>
        <w:t>Keywords: Ethnopharmacology, Medicinal plants, Antioxidant, Analgesic, Antipyretic, Anthelmintic, Neuropharmacological Investigations</w:t>
      </w:r>
    </w:p>
    <w:p w14:paraId="6F2D4DCF" w14:textId="77777777" w:rsidR="00505F06" w:rsidRPr="007F0B66" w:rsidRDefault="00505F06" w:rsidP="00441B6F">
      <w:pPr>
        <w:pStyle w:val="Body"/>
        <w:spacing w:after="0"/>
        <w:rPr>
          <w:rFonts w:ascii="Arial" w:hAnsi="Arial" w:cs="Arial"/>
          <w:i/>
        </w:rPr>
      </w:pPr>
    </w:p>
    <w:p w14:paraId="302EBF2B" w14:textId="4D852604" w:rsidR="00790ADA" w:rsidRPr="007F0B66" w:rsidRDefault="00902823" w:rsidP="00441B6F">
      <w:pPr>
        <w:pStyle w:val="AbstHead"/>
        <w:spacing w:after="0"/>
        <w:jc w:val="both"/>
        <w:rPr>
          <w:rFonts w:ascii="Arial" w:hAnsi="Arial" w:cs="Arial"/>
        </w:rPr>
      </w:pPr>
      <w:r w:rsidRPr="007F0B66">
        <w:rPr>
          <w:rFonts w:ascii="Arial" w:hAnsi="Arial" w:cs="Arial"/>
        </w:rPr>
        <w:t xml:space="preserve">1. </w:t>
      </w:r>
      <w:r w:rsidR="00B01FCD" w:rsidRPr="007F0B66">
        <w:rPr>
          <w:rFonts w:ascii="Arial" w:hAnsi="Arial" w:cs="Arial"/>
        </w:rPr>
        <w:t>INTRODUCTION</w:t>
      </w:r>
      <w:r w:rsidR="007F7B32" w:rsidRPr="007F0B66">
        <w:rPr>
          <w:rFonts w:ascii="Arial" w:hAnsi="Arial" w:cs="Arial"/>
        </w:rPr>
        <w:t xml:space="preserve"> </w:t>
      </w:r>
    </w:p>
    <w:p w14:paraId="1BC549C1" w14:textId="77777777" w:rsidR="00A65789" w:rsidRPr="007F0B66" w:rsidRDefault="00A65789" w:rsidP="00441B6F">
      <w:pPr>
        <w:pStyle w:val="AbstHead"/>
        <w:spacing w:after="0"/>
        <w:jc w:val="both"/>
        <w:rPr>
          <w:rFonts w:ascii="Arial" w:hAnsi="Arial" w:cs="Arial"/>
        </w:rPr>
      </w:pPr>
    </w:p>
    <w:p w14:paraId="5C13F733" w14:textId="5F3FEC20" w:rsidR="00A65789" w:rsidRPr="00A65789" w:rsidRDefault="00A65789" w:rsidP="00A65789">
      <w:pPr>
        <w:pStyle w:val="Body"/>
        <w:rPr>
          <w:rFonts w:ascii="Arial" w:hAnsi="Arial" w:cs="Arial"/>
        </w:rPr>
      </w:pPr>
      <w:r w:rsidRPr="00A65789">
        <w:rPr>
          <w:rFonts w:ascii="Arial" w:hAnsi="Arial" w:cs="Arial"/>
        </w:rPr>
        <w:t>Medicinal plants have been integral to human healthcare since ancient times, serving as vital sources of therapeutic agents and forming the foundation for many modern pharmac</w:t>
      </w:r>
      <w:r w:rsidR="00FD3B51">
        <w:rPr>
          <w:rFonts w:ascii="Arial" w:hAnsi="Arial" w:cs="Arial"/>
        </w:rPr>
        <w:t xml:space="preserve">euticals </w:t>
      </w:r>
      <w:r w:rsidR="00FD3B51">
        <w:rPr>
          <w:rFonts w:ascii="Arial" w:hAnsi="Arial" w:cs="Arial"/>
        </w:rPr>
        <w:fldChar w:fldCharType="begin"/>
      </w:r>
      <w:r w:rsidR="004E3F6A">
        <w:rPr>
          <w:rFonts w:ascii="Arial" w:hAnsi="Arial" w:cs="Arial"/>
        </w:rPr>
        <w:instrText xml:space="preserve"> ADDIN EN.CITE &lt;EndNote&gt;&lt;Cite&gt;&lt;Author&gt;Petrovska&lt;/Author&gt;&lt;Year&gt;2012&lt;/Year&gt;&lt;RecNum&gt;206&lt;/RecNum&gt;&lt;DisplayText&gt;(Petrovska, 2012)&lt;/DisplayText&gt;&lt;record&gt;&lt;rec-number&gt;206&lt;/rec-number&gt;&lt;foreign-keys&gt;&lt;key app="EN" db-id="sdvx20t5qr0sf5e999ax5208e0ssvp992v05" timestamp="1745908848"&gt;206&lt;/key&gt;&lt;/foreign-keys&gt;&lt;ref-type name="Journal Article"&gt;17&lt;/ref-type&gt;&lt;contributors&gt;&lt;authors&gt;&lt;author&gt;Petrovska, Biljana Bauer&lt;/author&gt;&lt;/authors&gt;&lt;/contributors&gt;&lt;titles&gt;&lt;title&gt;Historical review of medicinal plants’ usage&lt;/title&gt;&lt;secondary-title&gt;Pharmacognosy reviews&lt;/secondary-title&gt;&lt;/titles&gt;&lt;periodical&gt;&lt;full-title&gt;Pharmacognosy reviews&lt;/full-title&gt;&lt;/periodical&gt;&lt;pages&gt;1&lt;/pages&gt;&lt;volume&gt;6&lt;/volume&gt;&lt;number&gt;11&lt;/number&gt;&lt;dates&gt;&lt;year&gt;2012&lt;/year&gt;&lt;/dates&gt;&lt;urls&gt;&lt;/urls&gt;&lt;/record&gt;&lt;/Cite&gt;&lt;/EndNote&gt;</w:instrText>
      </w:r>
      <w:r w:rsidR="00FD3B51">
        <w:rPr>
          <w:rFonts w:ascii="Arial" w:hAnsi="Arial" w:cs="Arial"/>
        </w:rPr>
        <w:fldChar w:fldCharType="separate"/>
      </w:r>
      <w:r w:rsidR="004E3F6A">
        <w:rPr>
          <w:rFonts w:ascii="Arial" w:hAnsi="Arial" w:cs="Arial"/>
          <w:noProof/>
        </w:rPr>
        <w:t>(Petrovska, 2012)</w:t>
      </w:r>
      <w:r w:rsidR="00FD3B51">
        <w:rPr>
          <w:rFonts w:ascii="Arial" w:hAnsi="Arial" w:cs="Arial"/>
        </w:rPr>
        <w:fldChar w:fldCharType="end"/>
      </w:r>
      <w:r w:rsidRPr="00A65789">
        <w:rPr>
          <w:rFonts w:ascii="Arial" w:hAnsi="Arial" w:cs="Arial"/>
        </w:rPr>
        <w:t>. It is estimated that approximately 25% of all drugs in developed countries, including the United States, are derived from plants, whereas in emerging nations such as China and India, nearly 80% of me</w:t>
      </w:r>
      <w:r w:rsidR="00FD3B51">
        <w:rPr>
          <w:rFonts w:ascii="Arial" w:hAnsi="Arial" w:cs="Arial"/>
        </w:rPr>
        <w:t xml:space="preserve">dications are plant-based </w:t>
      </w:r>
      <w:r w:rsidR="00FD3B51">
        <w:rPr>
          <w:rFonts w:ascii="Arial" w:hAnsi="Arial" w:cs="Arial"/>
        </w:rPr>
        <w:fldChar w:fldCharType="begin"/>
      </w:r>
      <w:r w:rsidR="004E3F6A">
        <w:rPr>
          <w:rFonts w:ascii="Arial" w:hAnsi="Arial" w:cs="Arial"/>
        </w:rPr>
        <w:instrText xml:space="preserve"> ADDIN EN.CITE &lt;EndNote&gt;&lt;Cite&gt;&lt;Author&gt;Joy&lt;/Author&gt;&lt;Year&gt;1998&lt;/Year&gt;&lt;RecNum&gt;207&lt;/RecNum&gt;&lt;DisplayText&gt;(Alabri, Al Musalami, Hossain, Weli, &amp;amp; Al-Riyami, 2014; Joy, Thomas, Mathew, &amp;amp; Skaria, 1998)&lt;/DisplayText&gt;&lt;record&gt;&lt;rec-number&gt;207&lt;/rec-number&gt;&lt;foreign-keys&gt;&lt;key app="EN" db-id="sdvx20t5qr0sf5e999ax5208e0ssvp992v05" timestamp="1745908917"&gt;207&lt;/key&gt;&lt;/foreign-keys&gt;&lt;ref-type name="Journal Article"&gt;17&lt;/ref-type&gt;&lt;contributors&gt;&lt;authors&gt;&lt;author&gt;Joy, PP&lt;/author&gt;&lt;author&gt;Thomas, J&lt;/author&gt;&lt;author&gt;Mathew, Samuel&lt;/author&gt;&lt;author&gt;Skaria, Baby P&lt;/author&gt;&lt;/authors&gt;&lt;/contributors&gt;&lt;titles&gt;&lt;title&gt;Medicinal plants&lt;/title&gt;&lt;secondary-title&gt;Tropical horticulture&lt;/secondary-title&gt;&lt;/titles&gt;&lt;periodical&gt;&lt;full-title&gt;Tropical horticulture&lt;/full-title&gt;&lt;/periodical&gt;&lt;pages&gt;449-632&lt;/pages&gt;&lt;volume&gt;2&lt;/volume&gt;&lt;dates&gt;&lt;year&gt;1998&lt;/year&gt;&lt;/dates&gt;&lt;urls&gt;&lt;/urls&gt;&lt;/record&gt;&lt;/Cite&gt;&lt;Cite&gt;&lt;Author&gt;Alabri&lt;/Author&gt;&lt;Year&gt;2014&lt;/Year&gt;&lt;RecNum&gt;208&lt;/RecNum&gt;&lt;record&gt;&lt;rec-number&gt;208&lt;/rec-number&gt;&lt;foreign-keys&gt;&lt;key app="EN" db-id="sdvx20t5qr0sf5e999ax5208e0ssvp992v05" timestamp="1745908973"&gt;208&lt;/key&gt;&lt;/foreign-keys&gt;&lt;ref-type name="Journal Article"&gt;17&lt;/ref-type&gt;&lt;contributors&gt;&lt;authors&gt;&lt;author&gt;Alabri, Tahiya Hilal Ali&lt;/author&gt;&lt;author&gt;Al Musalami, Amira Hamood Salim&lt;/author&gt;&lt;author&gt;Hossain, Mohammad Amzad&lt;/author&gt;&lt;author&gt;Weli, Afaf Mohammed&lt;/author&gt;&lt;author&gt;Al-Riyami, Qasim&lt;/author&gt;&lt;/authors&gt;&lt;/contributors&gt;&lt;titles&gt;&lt;title&gt;Comparative study of phytochemical screening, antioxidant and antimicrobial capacities of fresh and dry leaves crude plant extracts of Datura metel L&lt;/title&gt;&lt;secondary-title&gt;Journal of King Saud University-Science&lt;/secondary-title&gt;&lt;/titles&gt;&lt;periodical&gt;&lt;full-title&gt;Journal of King Saud University-Science&lt;/full-title&gt;&lt;/periodical&gt;&lt;pages&gt;237-243&lt;/pages&gt;&lt;volume&gt;26&lt;/volume&gt;&lt;number&gt;3&lt;/number&gt;&lt;dates&gt;&lt;year&gt;2014&lt;/year&gt;&lt;/dates&gt;&lt;isbn&gt;1018-3647&lt;/isbn&gt;&lt;urls&gt;&lt;/urls&gt;&lt;/record&gt;&lt;/Cite&gt;&lt;/EndNote&gt;</w:instrText>
      </w:r>
      <w:r w:rsidR="00FD3B51">
        <w:rPr>
          <w:rFonts w:ascii="Arial" w:hAnsi="Arial" w:cs="Arial"/>
        </w:rPr>
        <w:fldChar w:fldCharType="separate"/>
      </w:r>
      <w:r w:rsidR="004E3F6A">
        <w:rPr>
          <w:rFonts w:ascii="Arial" w:hAnsi="Arial" w:cs="Arial"/>
          <w:noProof/>
        </w:rPr>
        <w:t xml:space="preserve">(Alabri, Al Musalami, Hossain, </w:t>
      </w:r>
      <w:r w:rsidR="004E3F6A">
        <w:rPr>
          <w:rFonts w:ascii="Arial" w:hAnsi="Arial" w:cs="Arial"/>
          <w:noProof/>
        </w:rPr>
        <w:lastRenderedPageBreak/>
        <w:t>Weli, &amp; Al-Riyami, 2014; Joy, Thomas, Mathew, &amp; Skaria, 1998)</w:t>
      </w:r>
      <w:r w:rsidR="00FD3B51">
        <w:rPr>
          <w:rFonts w:ascii="Arial" w:hAnsi="Arial" w:cs="Arial"/>
        </w:rPr>
        <w:fldChar w:fldCharType="end"/>
      </w:r>
      <w:r w:rsidRPr="00A65789">
        <w:rPr>
          <w:rFonts w:ascii="Arial" w:hAnsi="Arial" w:cs="Arial"/>
        </w:rPr>
        <w:t>. Even today, plant-derived active compounds contribute significantly to global pharmacopeia, including in the develop</w:t>
      </w:r>
      <w:r w:rsidR="00FD3B51">
        <w:rPr>
          <w:rFonts w:ascii="Arial" w:hAnsi="Arial" w:cs="Arial"/>
        </w:rPr>
        <w:t xml:space="preserve">ment of anticancer therapies </w:t>
      </w:r>
      <w:r w:rsidR="001F5B6F">
        <w:rPr>
          <w:rFonts w:ascii="Arial" w:hAnsi="Arial" w:cs="Arial"/>
        </w:rPr>
        <w:fldChar w:fldCharType="begin"/>
      </w:r>
      <w:r w:rsidR="004E3F6A">
        <w:rPr>
          <w:rFonts w:ascii="Arial" w:hAnsi="Arial" w:cs="Arial"/>
        </w:rPr>
        <w:instrText xml:space="preserve"> ADDIN EN.CITE &lt;EndNote&gt;&lt;Cite&gt;&lt;Author&gt;Greenwell&lt;/Author&gt;&lt;Year&gt;2015&lt;/Year&gt;&lt;RecNum&gt;209&lt;/RecNum&gt;&lt;DisplayText&gt;(Greenwell &amp;amp; Rahman, 2015)&lt;/DisplayText&gt;&lt;record&gt;&lt;rec-number&gt;209&lt;/rec-number&gt;&lt;foreign-keys&gt;&lt;key app="EN" db-id="sdvx20t5qr0sf5e999ax5208e0ssvp992v05" timestamp="1745909033"&gt;209&lt;/key&gt;&lt;/foreign-keys&gt;&lt;ref-type name="Journal Article"&gt;17&lt;/ref-type&gt;&lt;contributors&gt;&lt;authors&gt;&lt;author&gt;Greenwell, M&lt;/author&gt;&lt;author&gt;Rahman, PKSM&lt;/author&gt;&lt;/authors&gt;&lt;/contributors&gt;&lt;titles&gt;&lt;title&gt;Medicinal plants: their use in anticancer treatment&lt;/title&gt;&lt;secondary-title&gt;International journal of pharmaceutical sciences and research&lt;/secondary-title&gt;&lt;/titles&gt;&lt;periodical&gt;&lt;full-title&gt;International journal of pharmaceutical sciences and research&lt;/full-title&gt;&lt;/periodical&gt;&lt;pages&gt;4103&lt;/pages&gt;&lt;volume&gt;6&lt;/volume&gt;&lt;number&gt;10&lt;/number&gt;&lt;dates&gt;&lt;year&gt;2015&lt;/year&gt;&lt;/dates&gt;&lt;urls&gt;&lt;/urls&gt;&lt;/record&gt;&lt;/Cite&gt;&lt;/EndNote&gt;</w:instrText>
      </w:r>
      <w:r w:rsidR="001F5B6F">
        <w:rPr>
          <w:rFonts w:ascii="Arial" w:hAnsi="Arial" w:cs="Arial"/>
        </w:rPr>
        <w:fldChar w:fldCharType="separate"/>
      </w:r>
      <w:r w:rsidR="004E3F6A">
        <w:rPr>
          <w:rFonts w:ascii="Arial" w:hAnsi="Arial" w:cs="Arial"/>
          <w:noProof/>
        </w:rPr>
        <w:t>(Greenwell &amp; Rahman, 2015)</w:t>
      </w:r>
      <w:r w:rsidR="001F5B6F">
        <w:rPr>
          <w:rFonts w:ascii="Arial" w:hAnsi="Arial" w:cs="Arial"/>
        </w:rPr>
        <w:fldChar w:fldCharType="end"/>
      </w:r>
      <w:r w:rsidRPr="00A65789">
        <w:rPr>
          <w:rFonts w:ascii="Arial" w:hAnsi="Arial" w:cs="Arial"/>
        </w:rPr>
        <w:t>. Bangladesh is particularly rich in floral diversity, with over 5,000 species of higher plants, of which more than 1,000 are recognized for t</w:t>
      </w:r>
      <w:r w:rsidR="001F5B6F">
        <w:rPr>
          <w:rFonts w:ascii="Arial" w:hAnsi="Arial" w:cs="Arial"/>
        </w:rPr>
        <w:t xml:space="preserve">heir medicinal properties </w:t>
      </w:r>
      <w:r w:rsidR="001F5B6F">
        <w:rPr>
          <w:rFonts w:ascii="Arial" w:hAnsi="Arial" w:cs="Arial"/>
        </w:rPr>
        <w:fldChar w:fldCharType="begin"/>
      </w:r>
      <w:r w:rsidR="004E3F6A">
        <w:rPr>
          <w:rFonts w:ascii="Arial" w:hAnsi="Arial" w:cs="Arial"/>
        </w:rPr>
        <w:instrText xml:space="preserve"> ADDIN EN.CITE &lt;EndNote&gt;&lt;Cite&gt;&lt;Author&gt;Hasan&lt;/Author&gt;&lt;Year&gt;2014&lt;/Year&gt;&lt;RecNum&gt;210&lt;/RecNum&gt;&lt;DisplayText&gt;(Hasan, Hossain, Ali, &amp;amp; Alamgir, 2014)&lt;/DisplayText&gt;&lt;record&gt;&lt;rec-number&gt;210&lt;/rec-number&gt;&lt;foreign-keys&gt;&lt;key app="EN" db-id="sdvx20t5qr0sf5e999ax5208e0ssvp992v05" timestamp="1745909095"&gt;210&lt;/key&gt;&lt;/foreign-keys&gt;&lt;ref-type name="Journal Article"&gt;17&lt;/ref-type&gt;&lt;contributors&gt;&lt;authors&gt;&lt;author&gt;Hasan, Md Mahadi&lt;/author&gt;&lt;author&gt;Hossain, Sk Amir&lt;/author&gt;&lt;author&gt;Ali, Md Arfan&lt;/author&gt;&lt;author&gt;Alamgir, ANM&lt;/author&gt;&lt;/authors&gt;&lt;/contributors&gt;&lt;titles&gt;&lt;title&gt;Medicinal plant diversity in Chittagong, Bangladesh: A database of 100 medicinal plants&lt;/title&gt;&lt;secondary-title&gt;Journal of Scientific and Innovative research&lt;/secondary-title&gt;&lt;/titles&gt;&lt;periodical&gt;&lt;full-title&gt;Journal of Scientific and Innovative research&lt;/full-title&gt;&lt;/periodical&gt;&lt;pages&gt;500-514&lt;/pages&gt;&lt;volume&gt;3&lt;/volume&gt;&lt;number&gt;5&lt;/number&gt;&lt;dates&gt;&lt;year&gt;2014&lt;/year&gt;&lt;/dates&gt;&lt;urls&gt;&lt;/urls&gt;&lt;/record&gt;&lt;/Cite&gt;&lt;/EndNote&gt;</w:instrText>
      </w:r>
      <w:r w:rsidR="001F5B6F">
        <w:rPr>
          <w:rFonts w:ascii="Arial" w:hAnsi="Arial" w:cs="Arial"/>
        </w:rPr>
        <w:fldChar w:fldCharType="separate"/>
      </w:r>
      <w:r w:rsidR="004E3F6A">
        <w:rPr>
          <w:rFonts w:ascii="Arial" w:hAnsi="Arial" w:cs="Arial"/>
          <w:noProof/>
        </w:rPr>
        <w:t>(Hasan, Hossain, Ali, &amp; Alamgir, 2014)</w:t>
      </w:r>
      <w:r w:rsidR="001F5B6F">
        <w:rPr>
          <w:rFonts w:ascii="Arial" w:hAnsi="Arial" w:cs="Arial"/>
        </w:rPr>
        <w:fldChar w:fldCharType="end"/>
      </w:r>
      <w:r w:rsidRPr="00A65789">
        <w:rPr>
          <w:rFonts w:ascii="Arial" w:hAnsi="Arial" w:cs="Arial"/>
        </w:rPr>
        <w:t xml:space="preserve">. These plants play crucial roles in traditional healing systems like Ayurveda, Unani, and homeopathy. In recent decades, there has been a resurgence of interest in medicinal plants within the Western world, driven by the demand for novel bioactive compounds and safer therapeutic alternatives </w:t>
      </w:r>
      <w:r w:rsidR="001F5B6F">
        <w:rPr>
          <w:rFonts w:ascii="Arial" w:hAnsi="Arial" w:cs="Arial"/>
        </w:rPr>
        <w:fldChar w:fldCharType="begin">
          <w:fldData xml:space="preserve">PEVuZE5vdGU+PENpdGU+PEF1dGhvcj5GYXJuc3dvcnRoPC9BdXRob3I+PFllYXI+MTk5MTwvWWVh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</w:fldData>
        </w:fldChar>
      </w:r>
      <w:r w:rsidR="004E3F6A">
        <w:rPr>
          <w:rFonts w:ascii="Arial" w:hAnsi="Arial" w:cs="Arial"/>
        </w:rPr>
        <w:instrText xml:space="preserve"> ADDIN EN.CITE </w:instrText>
      </w:r>
      <w:r w:rsidR="004E3F6A">
        <w:rPr>
          <w:rFonts w:ascii="Arial" w:hAnsi="Arial" w:cs="Arial"/>
        </w:rPr>
        <w:fldChar w:fldCharType="begin">
          <w:fldData xml:space="preserve">PEVuZE5vdGU+PENpdGU+PEF1dGhvcj5GYXJuc3dvcnRoPC9BdXRob3I+PFllYXI+MTk5MTwvWWVh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</w:fldData>
        </w:fldChar>
      </w:r>
      <w:r w:rsidR="004E3F6A">
        <w:rPr>
          <w:rFonts w:ascii="Arial" w:hAnsi="Arial" w:cs="Arial"/>
        </w:rPr>
        <w:instrText xml:space="preserve"> ADDIN EN.CITE.DATA </w:instrText>
      </w:r>
      <w:r w:rsidR="004E3F6A">
        <w:rPr>
          <w:rFonts w:ascii="Arial" w:hAnsi="Arial" w:cs="Arial"/>
        </w:rPr>
      </w:r>
      <w:r w:rsidR="004E3F6A">
        <w:rPr>
          <w:rFonts w:ascii="Arial" w:hAnsi="Arial" w:cs="Arial"/>
        </w:rPr>
        <w:fldChar w:fldCharType="end"/>
      </w:r>
      <w:r w:rsidR="001F5B6F">
        <w:rPr>
          <w:rFonts w:ascii="Arial" w:hAnsi="Arial" w:cs="Arial"/>
        </w:rPr>
      </w:r>
      <w:r w:rsidR="001F5B6F">
        <w:rPr>
          <w:rFonts w:ascii="Arial" w:hAnsi="Arial" w:cs="Arial"/>
        </w:rPr>
        <w:fldChar w:fldCharType="separate"/>
      </w:r>
      <w:r w:rsidR="004E3F6A">
        <w:rPr>
          <w:rFonts w:ascii="Arial" w:hAnsi="Arial" w:cs="Arial"/>
          <w:noProof/>
        </w:rPr>
        <w:t>(Azmir et al., 2013; Farnsworth &amp; Soejarto, 1991; Srivastava, Lambert, &amp; Vietmeyer, 1996)</w:t>
      </w:r>
      <w:r w:rsidR="001F5B6F">
        <w:rPr>
          <w:rFonts w:ascii="Arial" w:hAnsi="Arial" w:cs="Arial"/>
        </w:rPr>
        <w:fldChar w:fldCharType="end"/>
      </w:r>
      <w:r w:rsidRPr="00A65789">
        <w:rPr>
          <w:rFonts w:ascii="Arial" w:hAnsi="Arial" w:cs="Arial"/>
        </w:rPr>
        <w:t xml:space="preserve">. </w:t>
      </w:r>
      <w:proofErr w:type="spellStart"/>
      <w:r w:rsidRPr="00A65789">
        <w:rPr>
          <w:rFonts w:ascii="Arial" w:hAnsi="Arial" w:cs="Arial"/>
          <w:i/>
          <w:iCs/>
        </w:rPr>
        <w:t>Maesa</w:t>
      </w:r>
      <w:proofErr w:type="spellEnd"/>
      <w:r w:rsidRPr="00A65789">
        <w:rPr>
          <w:rFonts w:ascii="Arial" w:hAnsi="Arial" w:cs="Arial"/>
          <w:i/>
          <w:iCs/>
        </w:rPr>
        <w:t xml:space="preserve"> </w:t>
      </w:r>
      <w:proofErr w:type="spellStart"/>
      <w:r w:rsidRPr="00A65789">
        <w:rPr>
          <w:rFonts w:ascii="Arial" w:hAnsi="Arial" w:cs="Arial"/>
          <w:i/>
          <w:iCs/>
        </w:rPr>
        <w:t>indica</w:t>
      </w:r>
      <w:proofErr w:type="spellEnd"/>
      <w:r w:rsidRPr="00A65789">
        <w:rPr>
          <w:rFonts w:ascii="Arial" w:hAnsi="Arial" w:cs="Arial"/>
        </w:rPr>
        <w:t xml:space="preserve"> (family: </w:t>
      </w:r>
      <w:proofErr w:type="spellStart"/>
      <w:r w:rsidRPr="00A65789">
        <w:rPr>
          <w:rFonts w:ascii="Arial" w:hAnsi="Arial" w:cs="Arial"/>
        </w:rPr>
        <w:t>Primulaceae</w:t>
      </w:r>
      <w:proofErr w:type="spellEnd"/>
      <w:r w:rsidRPr="00A65789">
        <w:rPr>
          <w:rFonts w:ascii="Arial" w:hAnsi="Arial" w:cs="Arial"/>
        </w:rPr>
        <w:t xml:space="preserve">), commonly known as "Ramjani" or "wild berry," is a large shrub or small tree indigenous to regions such as Western Asia, New Guinea, the Philippines, China, </w:t>
      </w:r>
      <w:r w:rsidR="001F5B6F">
        <w:rPr>
          <w:rFonts w:ascii="Arial" w:hAnsi="Arial" w:cs="Arial"/>
        </w:rPr>
        <w:t xml:space="preserve">Malaysia, and Indonesia </w:t>
      </w:r>
      <w:r w:rsidR="001F5B6F">
        <w:rPr>
          <w:rFonts w:ascii="Arial" w:hAnsi="Arial" w:cs="Arial"/>
        </w:rPr>
        <w:fldChar w:fldCharType="begin"/>
      </w:r>
      <w:r w:rsidR="004E3F6A">
        <w:rPr>
          <w:rFonts w:ascii="Arial" w:hAnsi="Arial" w:cs="Arial"/>
        </w:rPr>
        <w:instrText xml:space="preserve"> ADDIN EN.CITE &lt;EndNote&gt;&lt;Cite&gt;&lt;Author&gt;Barman&lt;/Author&gt;&lt;Year&gt;2023&lt;/Year&gt;&lt;RecNum&gt;214&lt;/RecNum&gt;&lt;DisplayText&gt;(Barman, Barman, Das, &amp;amp; Ray, 2023; Itu et al., 2019)&lt;/DisplayText&gt;&lt;record&gt;&lt;rec-number&gt;214&lt;/rec-number&gt;&lt;foreign-keys&gt;&lt;key app="EN" db-id="sdvx20t5qr0sf5e999ax5208e0ssvp992v05" timestamp="1745910047"&gt;214&lt;/key&gt;&lt;/foreign-keys&gt;&lt;ref-type name="Journal Article"&gt;17&lt;/ref-type&gt;&lt;contributors&gt;&lt;authors&gt;&lt;author&gt;Barman, Anuva&lt;/author&gt;&lt;author&gt;Barman, Manabendu&lt;/author&gt;&lt;author&gt;Das, Ria&lt;/author&gt;&lt;author&gt;Ray, Sanjib&lt;/author&gt;&lt;/authors&gt;&lt;/contributors&gt;&lt;titles&gt;&lt;title&gt;Traditional medicinal uses, phytochemistry, bioactivities and toxicity of the genus Maesa (Primulaceae): A comprehensive review&lt;/title&gt;&lt;secondary-title&gt;Journal of Herbal Medicine&lt;/secondary-title&gt;&lt;/titles&gt;&lt;periodical&gt;&lt;full-title&gt;Journal of Herbal Medicine&lt;/full-title&gt;&lt;/periodical&gt;&lt;pages&gt;100720&lt;/pages&gt;&lt;volume&gt;41&lt;/volume&gt;&lt;dates&gt;&lt;year&gt;2023&lt;/year&gt;&lt;/dates&gt;&lt;isbn&gt;2210-8033&lt;/isbn&gt;&lt;urls&gt;&lt;/urls&gt;&lt;/record&gt;&lt;/Cite&gt;&lt;Cite&gt;&lt;Author&gt;Itu&lt;/Author&gt;&lt;Year&gt;2019&lt;/Year&gt;&lt;RecNum&gt;215&lt;/RecNum&gt;&lt;record&gt;&lt;rec-number&gt;215&lt;/rec-number&gt;&lt;foreign-keys&gt;&lt;key app="EN" db-id="sdvx20t5qr0sf5e999ax5208e0ssvp992v05" timestamp="1745910079"&gt;215&lt;/key&gt;&lt;/foreign-keys&gt;&lt;ref-type name="Journal Article"&gt;17&lt;/ref-type&gt;&lt;contributors&gt;&lt;authors&gt;&lt;author&gt;Itu, Mahmudul Hasan&lt;/author&gt;&lt;author&gt;Islam, Mohidul&lt;/author&gt;&lt;author&gt;Repon, Azim Uddin&lt;/author&gt;&lt;author&gt;Mozumder, MOF&lt;/author&gt;&lt;author&gt;Aziz, AI&lt;/author&gt;&lt;author&gt;Barua, N&lt;/author&gt;&lt;author&gt;Ahfter, F&lt;/author&gt;&lt;author&gt;Khan, MF&lt;/author&gt;&lt;author&gt;Choudhury, KAA&lt;/author&gt;&lt;/authors&gt;&lt;/contributors&gt;&lt;titles&gt;&lt;title&gt;Investigation of phytochemicals and in vitro anti-arthritic activity of methanol extract of Maesa indica (Roxb.) leaves&lt;/title&gt;&lt;secondary-title&gt;J. Pharmacognosy Phytochem&lt;/secondary-title&gt;&lt;/titles&gt;&lt;periodical&gt;&lt;full-title&gt;J. Pharmacognosy Phytochem&lt;/full-title&gt;&lt;/periodical&gt;&lt;pages&gt;319-323&lt;/pages&gt;&lt;volume&gt;8&lt;/volume&gt;&lt;dates&gt;&lt;year&gt;2019&lt;/year&gt;&lt;/dates&gt;&lt;urls&gt;&lt;/urls&gt;&lt;/record&gt;&lt;/Cite&gt;&lt;/EndNote&gt;</w:instrText>
      </w:r>
      <w:r w:rsidR="001F5B6F">
        <w:rPr>
          <w:rFonts w:ascii="Arial" w:hAnsi="Arial" w:cs="Arial"/>
        </w:rPr>
        <w:fldChar w:fldCharType="separate"/>
      </w:r>
      <w:r w:rsidR="004E3F6A">
        <w:rPr>
          <w:rFonts w:ascii="Arial" w:hAnsi="Arial" w:cs="Arial"/>
          <w:noProof/>
        </w:rPr>
        <w:t>(Barman, Barman, Das, &amp; Ray, 2023; Itu et al., 2019)</w:t>
      </w:r>
      <w:r w:rsidR="001F5B6F">
        <w:rPr>
          <w:rFonts w:ascii="Arial" w:hAnsi="Arial" w:cs="Arial"/>
        </w:rPr>
        <w:fldChar w:fldCharType="end"/>
      </w:r>
      <w:r w:rsidRPr="00A65789">
        <w:rPr>
          <w:rFonts w:ascii="Arial" w:hAnsi="Arial" w:cs="Arial"/>
        </w:rPr>
        <w:t xml:space="preserve">. Characterized by its light green simple leaves, reddish-brown bark, and adaptability to both fallow lands and forests, </w:t>
      </w:r>
      <w:r w:rsidRPr="00A65789">
        <w:rPr>
          <w:rFonts w:ascii="Arial" w:hAnsi="Arial" w:cs="Arial"/>
          <w:i/>
          <w:iCs/>
        </w:rPr>
        <w:t>M. indica</w:t>
      </w:r>
      <w:r w:rsidRPr="00A65789">
        <w:rPr>
          <w:rFonts w:ascii="Arial" w:hAnsi="Arial" w:cs="Arial"/>
        </w:rPr>
        <w:t xml:space="preserve"> is rich in diverse phytochemicals, including alkaloids, glycosides, flavonoids, tannins, saponins</w:t>
      </w:r>
      <w:r w:rsidR="001F5B6F">
        <w:rPr>
          <w:rFonts w:ascii="Arial" w:hAnsi="Arial" w:cs="Arial"/>
        </w:rPr>
        <w:t xml:space="preserve">, phenols, and terpenes </w:t>
      </w:r>
      <w:r w:rsidR="001F5B6F">
        <w:rPr>
          <w:rFonts w:ascii="Arial" w:hAnsi="Arial" w:cs="Arial"/>
        </w:rPr>
        <w:fldChar w:fldCharType="begin"/>
      </w:r>
      <w:r w:rsidR="004E3F6A">
        <w:rPr>
          <w:rFonts w:ascii="Arial" w:hAnsi="Arial" w:cs="Arial"/>
        </w:rPr>
        <w:instrText xml:space="preserve"> ADDIN EN.CITE &lt;EndNote&gt;&lt;Cite&gt;&lt;Author&gt;Abdelgawad&lt;/Author&gt;&lt;Year&gt;2024&lt;/Year&gt;&lt;RecNum&gt;216&lt;/RecNum&gt;&lt;DisplayText&gt;(Abdelgawad et al., 2024; Barman et al., 2023)&lt;/DisplayText&gt;&lt;record&gt;&lt;rec-number&gt;216&lt;/rec-number&gt;&lt;foreign-keys&gt;&lt;key app="EN" db-id="sdvx20t5qr0sf5e999ax5208e0ssvp992v05" timestamp="1745910170"&gt;216&lt;/key&gt;&lt;/foreign-keys&gt;&lt;ref-type name="Journal Article"&gt;17&lt;/ref-type&gt;&lt;contributors&gt;&lt;authors&gt;&lt;author&gt;Abdelgawad, Fatma Alzahra M&lt;/author&gt;&lt;author&gt;El-Hawary, Seham S&lt;/author&gt;&lt;author&gt;El-Kader, Essam M Abd&lt;/author&gt;&lt;author&gt;Alshehri, Saad Ali&lt;/author&gt;&lt;author&gt;Rabeh, Mohamed Abdelaaty&lt;/author&gt;&lt;author&gt;El-Mosallamy, Aliaa EMK&lt;/author&gt;&lt;author&gt;Salama, Abeer&lt;/author&gt;&lt;author&gt;El Gedaily, Rania A&lt;/author&gt;&lt;/authors&gt;&lt;/contributors&gt;&lt;titles&gt;&lt;title&gt;Phytochemical Elucidation and Effect of Maesa indica (Roxb.) Sweet on Alleviation of Potassium Dichromate-Induced Pulmonary Damage in Rats&lt;/title&gt;&lt;secondary-title&gt;Plants&lt;/secondary-title&gt;&lt;/titles&gt;&lt;periodical&gt;&lt;full-title&gt;Plants&lt;/full-title&gt;&lt;/periodical&gt;&lt;pages&gt;338&lt;/pages&gt;&lt;volume&gt;13&lt;/volume&gt;&lt;number&gt;3&lt;/number&gt;&lt;dates&gt;&lt;year&gt;2024&lt;/year&gt;&lt;/dates&gt;&lt;isbn&gt;2223-7747&lt;/isbn&gt;&lt;urls&gt;&lt;/urls&gt;&lt;/record&gt;&lt;/Cite&gt;&lt;Cite&gt;&lt;Author&gt;Barman&lt;/Author&gt;&lt;Year&gt;2023&lt;/Year&gt;&lt;RecNum&gt;214&lt;/RecNum&gt;&lt;record&gt;&lt;rec-number&gt;214&lt;/rec-number&gt;&lt;foreign-keys&gt;&lt;key app="EN" db-id="sdvx20t5qr0sf5e999ax5208e0ssvp992v05" timestamp="1745910047"&gt;214&lt;/key&gt;&lt;/foreign-keys&gt;&lt;ref-type name="Journal Article"&gt;17&lt;/ref-type&gt;&lt;contributors&gt;&lt;authors&gt;&lt;author&gt;Barman, Anuva&lt;/author&gt;&lt;author&gt;Barman, Manabendu&lt;/author&gt;&lt;author&gt;Das, Ria&lt;/author&gt;&lt;author&gt;Ray, Sanjib&lt;/author&gt;&lt;/authors&gt;&lt;/contributors&gt;&lt;titles&gt;&lt;title&gt;Traditional medicinal uses, phytochemistry, bioactivities and toxicity of the genus Maesa (Primulaceae): A comprehensive review&lt;/title&gt;&lt;secondary-title&gt;Journal of Herbal Medicine&lt;/secondary-title&gt;&lt;/titles&gt;&lt;periodical&gt;&lt;full-title&gt;Journal of Herbal Medicine&lt;/full-title&gt;&lt;/periodical&gt;&lt;pages&gt;100720&lt;/pages&gt;&lt;volume&gt;41&lt;/volume&gt;&lt;dates&gt;&lt;year&gt;2023&lt;/year&gt;&lt;/dates&gt;&lt;isbn&gt;2210-8033&lt;/isbn&gt;&lt;urls&gt;&lt;/urls&gt;&lt;/record&gt;&lt;/Cite&gt;&lt;/EndNote&gt;</w:instrText>
      </w:r>
      <w:r w:rsidR="001F5B6F">
        <w:rPr>
          <w:rFonts w:ascii="Arial" w:hAnsi="Arial" w:cs="Arial"/>
        </w:rPr>
        <w:fldChar w:fldCharType="separate"/>
      </w:r>
      <w:r w:rsidR="004E3F6A">
        <w:rPr>
          <w:rFonts w:ascii="Arial" w:hAnsi="Arial" w:cs="Arial"/>
          <w:noProof/>
        </w:rPr>
        <w:t>(Abdelgawad et al., 2024; Barman et al., 2023)</w:t>
      </w:r>
      <w:r w:rsidR="001F5B6F">
        <w:rPr>
          <w:rFonts w:ascii="Arial" w:hAnsi="Arial" w:cs="Arial"/>
        </w:rPr>
        <w:fldChar w:fldCharType="end"/>
      </w:r>
      <w:r w:rsidRPr="00A65789">
        <w:rPr>
          <w:rFonts w:ascii="Arial" w:hAnsi="Arial" w:cs="Arial"/>
        </w:rPr>
        <w:t xml:space="preserve">. These constituents are believed to confer multiple pharmacological properties, making </w:t>
      </w:r>
      <w:r w:rsidRPr="00A65789">
        <w:rPr>
          <w:rFonts w:ascii="Arial" w:hAnsi="Arial" w:cs="Arial"/>
          <w:i/>
          <w:iCs/>
        </w:rPr>
        <w:t>M. indica</w:t>
      </w:r>
      <w:r w:rsidRPr="00A65789">
        <w:rPr>
          <w:rFonts w:ascii="Arial" w:hAnsi="Arial" w:cs="Arial"/>
        </w:rPr>
        <w:t xml:space="preserve"> a promising candidate for therapeutic evaluation. Previous research on </w:t>
      </w:r>
      <w:r w:rsidRPr="00A65789">
        <w:rPr>
          <w:rFonts w:ascii="Arial" w:hAnsi="Arial" w:cs="Arial"/>
          <w:i/>
          <w:iCs/>
        </w:rPr>
        <w:t>Maesa</w:t>
      </w:r>
      <w:r w:rsidRPr="00A65789">
        <w:rPr>
          <w:rFonts w:ascii="Arial" w:hAnsi="Arial" w:cs="Arial"/>
        </w:rPr>
        <w:t xml:space="preserve"> species has highlighted their antibacterial, anthelmintic, and immune-boosting properties </w:t>
      </w:r>
      <w:r w:rsidR="00790641">
        <w:rPr>
          <w:rFonts w:ascii="Arial" w:hAnsi="Arial" w:cs="Arial"/>
        </w:rPr>
        <w:fldChar w:fldCharType="begin"/>
      </w:r>
      <w:r w:rsidR="004E3F6A">
        <w:rPr>
          <w:rFonts w:ascii="Arial" w:hAnsi="Arial" w:cs="Arial"/>
        </w:rPr>
        <w:instrText xml:space="preserve"> ADDIN EN.CITE &lt;EndNote&gt;&lt;Cite&gt;&lt;Author&gt;Adamu&lt;/Author&gt;&lt;Year&gt;2014&lt;/Year&gt;&lt;RecNum&gt;217&lt;/RecNum&gt;&lt;DisplayText&gt;(Adamu, Naidoo, &amp;amp; Eloff, 2014; Elisha, Dzoyem, McGaw, Botha, &amp;amp; Eloff, 2016)&lt;/DisplayText&gt;&lt;record&gt;&lt;rec-number&gt;217&lt;/rec-number&gt;&lt;foreign-keys&gt;&lt;key app="EN" db-id="sdvx20t5qr0sf5e999ax5208e0ssvp992v05" timestamp="1745910262"&gt;217&lt;/key&gt;&lt;/foreign-keys&gt;&lt;ref-type name="Journal Article"&gt;17&lt;/ref-type&gt;&lt;contributors&gt;&lt;authors&gt;&lt;author&gt;Adamu, Mathew&lt;/author&gt;&lt;author&gt;Naidoo, Vinny&lt;/author&gt;&lt;author&gt;Eloff, Jacobus N&lt;/author&gt;&lt;/authors&gt;&lt;/contributors&gt;&lt;titles&gt;&lt;title&gt;The antibacterial activity, antioxidant activity and selectivity index of leaf extracts of thirteen South African tree species used in ethnoveterinary medicine to treat helminth infections&lt;/title&gt;&lt;secondary-title&gt;BMC veterinary research&lt;/secondary-title&gt;&lt;/titles&gt;&lt;periodical&gt;&lt;full-title&gt;BMC veterinary research&lt;/full-title&gt;&lt;/periodical&gt;&lt;pages&gt;1-7&lt;/pages&gt;&lt;volume&gt;10&lt;/volume&gt;&lt;dates&gt;&lt;year&gt;2014&lt;/year&gt;&lt;/dates&gt;&lt;urls&gt;&lt;/urls&gt;&lt;/record&gt;&lt;/Cite&gt;&lt;Cite&gt;&lt;Author&gt;Elisha&lt;/Author&gt;&lt;Year&gt;2016&lt;/Year&gt;&lt;RecNum&gt;218&lt;/RecNum&gt;&lt;record&gt;&lt;rec-number&gt;218&lt;/rec-number&gt;&lt;foreign-keys&gt;&lt;key app="EN" db-id="sdvx20t5qr0sf5e999ax5208e0ssvp992v05" timestamp="1745910290"&gt;218&lt;/key&gt;&lt;/foreign-keys&gt;&lt;ref-type name="Journal Article"&gt;17&lt;/ref-type&gt;&lt;contributors&gt;&lt;authors&gt;&lt;author&gt;Elisha, Ishaku Leo&lt;/author&gt;&lt;author&gt;Dzoyem, Jean-Paul&lt;/author&gt;&lt;author&gt;McGaw, Lyndy Joy&lt;/author&gt;&lt;author&gt;Botha, Francien S&lt;/author&gt;&lt;author&gt;Eloff, Jacobus Nicolaas&lt;/author&gt;&lt;/authors&gt;&lt;/contributors&gt;&lt;titles&gt;&lt;title&gt;The anti-arthritic, anti-inflammatory, antioxidant activity and relationships with total phenolics and total flavonoids of nine South African plants used traditionally to treat arthritis&lt;/title&gt;&lt;secondary-title&gt;BMC complementary and alternative medicine&lt;/secondary-title&gt;&lt;/titles&gt;&lt;periodical&gt;&lt;full-title&gt;BMC complementary and alternative medicine&lt;/full-title&gt;&lt;/periodical&gt;&lt;pages&gt;1-10&lt;/pages&gt;&lt;volume&gt;16&lt;/volume&gt;&lt;dates&gt;&lt;year&gt;2016&lt;/year&gt;&lt;/dates&gt;&lt;urls&gt;&lt;/urls&gt;&lt;/record&gt;&lt;/Cite&gt;&lt;/EndNote&gt;</w:instrText>
      </w:r>
      <w:r w:rsidR="00790641">
        <w:rPr>
          <w:rFonts w:ascii="Arial" w:hAnsi="Arial" w:cs="Arial"/>
        </w:rPr>
        <w:fldChar w:fldCharType="separate"/>
      </w:r>
      <w:r w:rsidR="004E3F6A">
        <w:rPr>
          <w:rFonts w:ascii="Arial" w:hAnsi="Arial" w:cs="Arial"/>
          <w:noProof/>
        </w:rPr>
        <w:t>(Adamu, Naidoo, &amp; Eloff, 2014; Elisha, Dzoyem, McGaw, Botha, &amp; Eloff, 2016)</w:t>
      </w:r>
      <w:r w:rsidR="00790641">
        <w:rPr>
          <w:rFonts w:ascii="Arial" w:hAnsi="Arial" w:cs="Arial"/>
        </w:rPr>
        <w:fldChar w:fldCharType="end"/>
      </w:r>
      <w:r w:rsidRPr="00A65789">
        <w:rPr>
          <w:rFonts w:ascii="Arial" w:hAnsi="Arial" w:cs="Arial"/>
        </w:rPr>
        <w:t xml:space="preserve">. Building on this background, the present study was designed to comprehensively assess the bioactive phytochemicals and the therapeutic activities of </w:t>
      </w:r>
      <w:r w:rsidRPr="00A65789">
        <w:rPr>
          <w:rFonts w:ascii="Arial" w:hAnsi="Arial" w:cs="Arial"/>
          <w:i/>
          <w:iCs/>
        </w:rPr>
        <w:t>Maesa indica</w:t>
      </w:r>
      <w:r w:rsidRPr="00A65789">
        <w:rPr>
          <w:rFonts w:ascii="Arial" w:hAnsi="Arial" w:cs="Arial"/>
        </w:rPr>
        <w:t xml:space="preserve">, focusing on its analgesic, antipyretic, anthelmintic, antioxidant, and neuropharmacological potentials. Pain (algesia) is a complex sensory and emotional experience typically resulting from tissue injury, </w:t>
      </w:r>
      <w:r w:rsidR="00790641">
        <w:rPr>
          <w:rFonts w:ascii="Arial" w:hAnsi="Arial" w:cs="Arial"/>
        </w:rPr>
        <w:t xml:space="preserve">inflammation, or malignancy </w:t>
      </w:r>
      <w:r w:rsidR="00790641">
        <w:rPr>
          <w:rFonts w:ascii="Arial" w:hAnsi="Arial" w:cs="Arial"/>
        </w:rPr>
        <w:fldChar w:fldCharType="begin"/>
      </w:r>
      <w:r w:rsidR="004E3F6A">
        <w:rPr>
          <w:rFonts w:ascii="Arial" w:hAnsi="Arial" w:cs="Arial"/>
        </w:rPr>
        <w:instrText xml:space="preserve"> ADDIN EN.CITE &lt;EndNote&gt;&lt;Cite&gt;&lt;Author&gt;Javed&lt;/Author&gt;&lt;Year&gt;2020&lt;/Year&gt;&lt;RecNum&gt;219&lt;/RecNum&gt;&lt;DisplayText&gt;(Javed, Jabeen, Aslam, &amp;amp; Awan, 2020)&lt;/DisplayText&gt;&lt;record&gt;&lt;rec-number&gt;219&lt;/rec-number&gt;&lt;foreign-keys&gt;&lt;key app="EN" db-id="sdvx20t5qr0sf5e999ax5208e0ssvp992v05" timestamp="1745910414"&gt;219&lt;/key&gt;&lt;/foreign-keys&gt;&lt;ref-type name="Journal Article"&gt;17&lt;/ref-type&gt;&lt;contributors&gt;&lt;authors&gt;&lt;author&gt;Javed, Faraza&lt;/author&gt;&lt;author&gt;Jabeen, Qaiser&lt;/author&gt;&lt;author&gt;Aslam, Naveed&lt;/author&gt;&lt;author&gt;Awan, Ambreen Mehmood&lt;/author&gt;&lt;/authors&gt;&lt;/contributors&gt;&lt;titles&gt;&lt;title&gt;Pharmacological evaluation of analgesic, anti-inflammatory and antipyretic activities of ethanolic extract of Indigofera argentea Burm. f&lt;/title&gt;&lt;secondary-title&gt;Journal of ethnopharmacology&lt;/secondary-title&gt;&lt;/titles&gt;&lt;periodical&gt;&lt;full-title&gt;Journal of ethnopharmacology&lt;/full-title&gt;&lt;/periodical&gt;&lt;pages&gt;112966&lt;/pages&gt;&lt;volume&gt;259&lt;/volume&gt;&lt;dates&gt;&lt;year&gt;2020&lt;/year&gt;&lt;/dates&gt;&lt;isbn&gt;0378-8741&lt;/isbn&gt;&lt;urls&gt;&lt;/urls&gt;&lt;/record&gt;&lt;/Cite&gt;&lt;/EndNote&gt;</w:instrText>
      </w:r>
      <w:r w:rsidR="00790641">
        <w:rPr>
          <w:rFonts w:ascii="Arial" w:hAnsi="Arial" w:cs="Arial"/>
        </w:rPr>
        <w:fldChar w:fldCharType="separate"/>
      </w:r>
      <w:r w:rsidR="004E3F6A">
        <w:rPr>
          <w:rFonts w:ascii="Arial" w:hAnsi="Arial" w:cs="Arial"/>
          <w:noProof/>
        </w:rPr>
        <w:t>(Javed, Jabeen, Aslam, &amp; Awan, 2020)</w:t>
      </w:r>
      <w:r w:rsidR="00790641">
        <w:rPr>
          <w:rFonts w:ascii="Arial" w:hAnsi="Arial" w:cs="Arial"/>
        </w:rPr>
        <w:fldChar w:fldCharType="end"/>
      </w:r>
      <w:r w:rsidRPr="00A65789">
        <w:rPr>
          <w:rFonts w:ascii="Arial" w:hAnsi="Arial" w:cs="Arial"/>
        </w:rPr>
        <w:t xml:space="preserve">. The analgesic activity of </w:t>
      </w:r>
      <w:r w:rsidRPr="00A65789">
        <w:rPr>
          <w:rFonts w:ascii="Arial" w:hAnsi="Arial" w:cs="Arial"/>
          <w:i/>
          <w:iCs/>
        </w:rPr>
        <w:t>M. indica</w:t>
      </w:r>
      <w:r w:rsidRPr="00A65789">
        <w:rPr>
          <w:rFonts w:ascii="Arial" w:hAnsi="Arial" w:cs="Arial"/>
        </w:rPr>
        <w:t xml:space="preserve"> was evaluated using established models such as the acetic acid-induced writhing test, the hot plate method, and the </w:t>
      </w:r>
      <w:r w:rsidR="00790641">
        <w:rPr>
          <w:rFonts w:ascii="Arial" w:hAnsi="Arial" w:cs="Arial"/>
        </w:rPr>
        <w:t xml:space="preserve">formalin-induced pain model </w:t>
      </w:r>
      <w:r w:rsidR="00790641">
        <w:rPr>
          <w:rFonts w:ascii="Arial" w:hAnsi="Arial" w:cs="Arial"/>
        </w:rPr>
        <w:fldChar w:fldCharType="begin"/>
      </w:r>
      <w:r w:rsidR="004E3F6A">
        <w:rPr>
          <w:rFonts w:ascii="Arial" w:hAnsi="Arial" w:cs="Arial"/>
        </w:rPr>
        <w:instrText xml:space="preserve"> ADDIN EN.CITE &lt;EndNote&gt;&lt;Cite&gt;&lt;Author&gt;Javed&lt;/Author&gt;&lt;Year&gt;2020&lt;/Year&gt;&lt;RecNum&gt;219&lt;/RecNum&gt;&lt;DisplayText&gt;(Javed et al., 2020)&lt;/DisplayText&gt;&lt;record&gt;&lt;rec-number&gt;219&lt;/rec-number&gt;&lt;foreign-keys&gt;&lt;key app="EN" db-id="sdvx20t5qr0sf5e999ax5208e0ssvp992v05" timestamp="1745910414"&gt;219&lt;/key&gt;&lt;/foreign-keys&gt;&lt;ref-type name="Journal Article"&gt;17&lt;/ref-type&gt;&lt;contributors&gt;&lt;authors&gt;&lt;author&gt;Javed, Faraza&lt;/author&gt;&lt;author&gt;Jabeen, Qaiser&lt;/author&gt;&lt;author&gt;Aslam, Naveed&lt;/author&gt;&lt;author&gt;Awan, Ambreen Mehmood&lt;/author&gt;&lt;/authors&gt;&lt;/contributors&gt;&lt;titles&gt;&lt;title&gt;Pharmacological evaluation of analgesic, anti-inflammatory and antipyretic activities of ethanolic extract of Indigofera argentea Burm. f&lt;/title&gt;&lt;secondary-title&gt;Journal of ethnopharmacology&lt;/secondary-title&gt;&lt;/titles&gt;&lt;periodical&gt;&lt;full-title&gt;Journal of ethnopharmacology&lt;/full-title&gt;&lt;/periodical&gt;&lt;pages&gt;112966&lt;/pages&gt;&lt;volume&gt;259&lt;/volume&gt;&lt;dates&gt;&lt;year&gt;2020&lt;/year&gt;&lt;/dates&gt;&lt;isbn&gt;0378-8741&lt;/isbn&gt;&lt;urls&gt;&lt;/urls&gt;&lt;/record&gt;&lt;/Cite&gt;&lt;/EndNote&gt;</w:instrText>
      </w:r>
      <w:r w:rsidR="00790641">
        <w:rPr>
          <w:rFonts w:ascii="Arial" w:hAnsi="Arial" w:cs="Arial"/>
        </w:rPr>
        <w:fldChar w:fldCharType="separate"/>
      </w:r>
      <w:r w:rsidR="004E3F6A">
        <w:rPr>
          <w:rFonts w:ascii="Arial" w:hAnsi="Arial" w:cs="Arial"/>
          <w:noProof/>
        </w:rPr>
        <w:t>(Javed et al., 2020)</w:t>
      </w:r>
      <w:r w:rsidR="00790641">
        <w:rPr>
          <w:rFonts w:ascii="Arial" w:hAnsi="Arial" w:cs="Arial"/>
        </w:rPr>
        <w:fldChar w:fldCharType="end"/>
      </w:r>
      <w:r w:rsidRPr="00A65789">
        <w:rPr>
          <w:rFonts w:ascii="Arial" w:hAnsi="Arial" w:cs="Arial"/>
        </w:rPr>
        <w:t xml:space="preserve">. Inflammation and infection can also trigger fever (pyrexia), a regulated elevation in body temperature mediated by </w:t>
      </w:r>
      <w:r w:rsidR="00790641">
        <w:rPr>
          <w:rFonts w:ascii="Arial" w:hAnsi="Arial" w:cs="Arial"/>
        </w:rPr>
        <w:t xml:space="preserve">pyrogenic cytokines </w:t>
      </w:r>
      <w:r w:rsidR="00790641">
        <w:rPr>
          <w:rFonts w:ascii="Arial" w:hAnsi="Arial" w:cs="Arial"/>
        </w:rPr>
        <w:fldChar w:fldCharType="begin"/>
      </w:r>
      <w:r w:rsidR="004E3F6A">
        <w:rPr>
          <w:rFonts w:ascii="Arial" w:hAnsi="Arial" w:cs="Arial"/>
        </w:rPr>
        <w:instrText xml:space="preserve"> ADDIN EN.CITE &lt;EndNote&gt;&lt;Cite&gt;&lt;Author&gt;Dhargawe&lt;/Author&gt;&lt;Year&gt;2021&lt;/Year&gt;&lt;RecNum&gt;220&lt;/RecNum&gt;&lt;DisplayText&gt;(Dhargawe, Mahakalkar, Mohod, &amp;amp; Raj, 2021)&lt;/DisplayText&gt;&lt;record&gt;&lt;rec-number&gt;220&lt;/rec-number&gt;&lt;foreign-keys&gt;&lt;key app="EN" db-id="sdvx20t5qr0sf5e999ax5208e0ssvp992v05" timestamp="1745910473"&gt;220&lt;/key&gt;&lt;/foreign-keys&gt;&lt;ref-type name="Journal Article"&gt;17&lt;/ref-type&gt;&lt;contributors&gt;&lt;authors&gt;&lt;author&gt;Dhargawe, Nikhil&lt;/author&gt;&lt;author&gt;Mahakalkar, Sunil&lt;/author&gt;&lt;author&gt;Mohod, Bhagyashree&lt;/author&gt;&lt;author&gt;Raj, Jeffrey Pradeep&lt;/author&gt;&lt;/authors&gt;&lt;/contributors&gt;&lt;titles&gt;&lt;title&gt;Evaluation of Analgesic, Anti</w:instrText>
      </w:r>
      <w:r w:rsidR="004E3F6A">
        <w:rPr>
          <w:rFonts w:ascii="Cambria Math" w:hAnsi="Cambria Math" w:cs="Cambria Math"/>
        </w:rPr>
        <w:instrText>‑</w:instrText>
      </w:r>
      <w:r w:rsidR="004E3F6A">
        <w:rPr>
          <w:rFonts w:ascii="Arial" w:hAnsi="Arial" w:cs="Arial"/>
        </w:rPr>
        <w:instrText>Inflammatory, and Antipyretic Activity of Piperine: An Experimental Study&lt;/title&gt;&lt;secondary-title&gt;Pharmacognosy Research&lt;/secondary-title&gt;&lt;/titles&gt;&lt;periodical&gt;&lt;full-title&gt;Pharmacognosy Research&lt;/full-title&gt;&lt;/periodical&gt;&lt;volume&gt;12&lt;/volume&gt;&lt;number&gt;2&lt;/number&gt;&lt;dates&gt;&lt;year&gt;2021&lt;/year&gt;&lt;/dates&gt;&lt;urls&gt;&lt;/urls&gt;&lt;/record&gt;&lt;/Cite&gt;&lt;/EndNote&gt;</w:instrText>
      </w:r>
      <w:r w:rsidR="00790641">
        <w:rPr>
          <w:rFonts w:ascii="Arial" w:hAnsi="Arial" w:cs="Arial"/>
        </w:rPr>
        <w:fldChar w:fldCharType="separate"/>
      </w:r>
      <w:r w:rsidR="004E3F6A">
        <w:rPr>
          <w:rFonts w:ascii="Arial" w:hAnsi="Arial" w:cs="Arial"/>
          <w:noProof/>
        </w:rPr>
        <w:t>(Dhargawe, Mahakalkar, Mohod, &amp; Raj, 2021)</w:t>
      </w:r>
      <w:r w:rsidR="00790641">
        <w:rPr>
          <w:rFonts w:ascii="Arial" w:hAnsi="Arial" w:cs="Arial"/>
        </w:rPr>
        <w:fldChar w:fldCharType="end"/>
      </w:r>
      <w:r w:rsidRPr="00A65789">
        <w:rPr>
          <w:rFonts w:ascii="Arial" w:hAnsi="Arial" w:cs="Arial"/>
        </w:rPr>
        <w:t xml:space="preserve">. To assess the antipyretic activity of </w:t>
      </w:r>
      <w:r w:rsidRPr="00A65789">
        <w:rPr>
          <w:rFonts w:ascii="Arial" w:hAnsi="Arial" w:cs="Arial"/>
          <w:i/>
          <w:iCs/>
        </w:rPr>
        <w:t>M. indica</w:t>
      </w:r>
      <w:r w:rsidRPr="00A65789">
        <w:rPr>
          <w:rFonts w:ascii="Arial" w:hAnsi="Arial" w:cs="Arial"/>
        </w:rPr>
        <w:t>, the Brewer’s yeast-induced</w:t>
      </w:r>
      <w:r w:rsidR="00790641">
        <w:rPr>
          <w:rFonts w:ascii="Arial" w:hAnsi="Arial" w:cs="Arial"/>
        </w:rPr>
        <w:t xml:space="preserve"> pyrexia model was employed </w:t>
      </w:r>
      <w:r w:rsidR="00790641">
        <w:rPr>
          <w:rFonts w:ascii="Arial" w:hAnsi="Arial" w:cs="Arial"/>
        </w:rPr>
        <w:fldChar w:fldCharType="begin"/>
      </w:r>
      <w:r w:rsidR="004E3F6A">
        <w:rPr>
          <w:rFonts w:ascii="Arial" w:hAnsi="Arial" w:cs="Arial"/>
        </w:rPr>
        <w:instrText xml:space="preserve"> ADDIN EN.CITE &lt;EndNote&gt;&lt;Cite&gt;&lt;Author&gt;Mohankumar&lt;/Author&gt;&lt;Year&gt;2022&lt;/Year&gt;&lt;RecNum&gt;221&lt;/RecNum&gt;&lt;DisplayText&gt;(Mohankumar, Prakash, Irfan, Mohanraj, &amp;amp; Kumarappan, 2022)&lt;/DisplayText&gt;&lt;record&gt;&lt;rec-number&gt;221&lt;/rec-number&gt;&lt;foreign-keys&gt;&lt;key app="EN" db-id="sdvx20t5qr0sf5e999ax5208e0ssvp992v05" timestamp="1745910545"&gt;221&lt;/key&gt;&lt;/foreign-keys&gt;&lt;ref-type name="Journal Article"&gt;17&lt;/ref-type&gt;&lt;contributors&gt;&lt;authors&gt;&lt;author&gt;Mohankumar, Ramar&lt;/author&gt;&lt;author&gt;Prakash, Soosai Eugine Leo&lt;/author&gt;&lt;author&gt;Irfan, Navabshan&lt;/author&gt;&lt;author&gt;Mohanraj, Subramanian&lt;/author&gt;&lt;author&gt;Kumarappan, Chidambaram&lt;/author&gt;&lt;/authors&gt;&lt;/contributors&gt;&lt;titles&gt;&lt;title&gt;Evaluation of analgesic, anti-inflammatory, and antipyretic activities of Ziziphus mauritania Lam leaves in animal models&lt;/title&gt;&lt;secondary-title&gt;Pharmacological Research-Modern Chinese Medicine&lt;/secondary-title&gt;&lt;/titles&gt;&lt;periodical&gt;&lt;full-title&gt;Pharmacological Research-Modern Chinese Medicine&lt;/full-title&gt;&lt;/periodical&gt;&lt;pages&gt;100153&lt;/pages&gt;&lt;volume&gt;4&lt;/volume&gt;&lt;dates&gt;&lt;year&gt;2022&lt;/year&gt;&lt;/dates&gt;&lt;isbn&gt;2667-1425&lt;/isbn&gt;&lt;urls&gt;&lt;/urls&gt;&lt;/record&gt;&lt;/Cite&gt;&lt;/EndNote&gt;</w:instrText>
      </w:r>
      <w:r w:rsidR="00790641">
        <w:rPr>
          <w:rFonts w:ascii="Arial" w:hAnsi="Arial" w:cs="Arial"/>
        </w:rPr>
        <w:fldChar w:fldCharType="separate"/>
      </w:r>
      <w:r w:rsidR="004E3F6A">
        <w:rPr>
          <w:rFonts w:ascii="Arial" w:hAnsi="Arial" w:cs="Arial"/>
          <w:noProof/>
        </w:rPr>
        <w:t>(Mohankumar, Prakash, Irfan, Mohanraj, &amp; Kumarappan, 2022)</w:t>
      </w:r>
      <w:r w:rsidR="00790641">
        <w:rPr>
          <w:rFonts w:ascii="Arial" w:hAnsi="Arial" w:cs="Arial"/>
        </w:rPr>
        <w:fldChar w:fldCharType="end"/>
      </w:r>
      <w:r w:rsidRPr="00A65789">
        <w:rPr>
          <w:rFonts w:ascii="Arial" w:hAnsi="Arial" w:cs="Arial"/>
        </w:rPr>
        <w:t xml:space="preserve">. Oxidative stress, resulting from an imbalance between reactive oxygen species and antioxidant defenses, is implicated in a wide range of diseases, including neurodegenerative disorders </w:t>
      </w:r>
      <w:r w:rsidR="00790641">
        <w:rPr>
          <w:rFonts w:ascii="Arial" w:hAnsi="Arial" w:cs="Arial"/>
        </w:rPr>
        <w:t xml:space="preserve">and inflammatory conditions </w:t>
      </w:r>
      <w:r w:rsidR="00790641">
        <w:rPr>
          <w:rFonts w:ascii="Arial" w:hAnsi="Arial" w:cs="Arial"/>
        </w:rPr>
        <w:fldChar w:fldCharType="begin"/>
      </w:r>
      <w:r w:rsidR="004E3F6A">
        <w:rPr>
          <w:rFonts w:ascii="Arial" w:hAnsi="Arial" w:cs="Arial"/>
        </w:rPr>
        <w:instrText xml:space="preserve"> ADDIN EN.CITE &lt;EndNote&gt;&lt;Cite&gt;&lt;Author&gt;Chakraborty&lt;/Author&gt;&lt;Year&gt;2021&lt;/Year&gt;&lt;RecNum&gt;222&lt;/RecNum&gt;&lt;DisplayText&gt;(Chakraborty et al., 2021)&lt;/DisplayText&gt;&lt;record&gt;&lt;rec-number&gt;222&lt;/rec-number&gt;&lt;foreign-keys&gt;&lt;key app="EN" db-id="sdvx20t5qr0sf5e999ax5208e0ssvp992v05" timestamp="1745910604"&gt;222&lt;/key&gt;&lt;/foreign-keys&gt;&lt;ref-type name="Journal Article"&gt;17&lt;/ref-type&gt;&lt;contributors&gt;&lt;authors&gt;&lt;author&gt;Chakraborty, Raja&lt;/author&gt;&lt;author&gt;Sen, Saikat&lt;/author&gt;&lt;author&gt;Chanu, Nongmaithem R&lt;/author&gt;&lt;author&gt;Singh, Akoijam Bishaljit&lt;/author&gt;&lt;author&gt;Lyngkhoi, Crescent&lt;/author&gt;&lt;author&gt;Kharlyngdoh, Sanwat&lt;/author&gt;&lt;author&gt;Kalita, Pratap&lt;/author&gt;&lt;/authors&gt;&lt;/contributors&gt;&lt;titles&gt;&lt;title&gt;An Ethnomedicinal Survey of Antidiabetic Plants and Preliminary Evaluation of Antioxidant, Hypoglycemic Activity Maesa indica Leaves, a Folk Antidiabetic Plant of Manipur, India&lt;/title&gt;&lt;secondary-title&gt;Current Traditional Medicine&lt;/secondary-title&gt;&lt;/titles&gt;&lt;periodical&gt;&lt;full-title&gt;Current Traditional Medicine&lt;/full-title&gt;&lt;/periodical&gt;&lt;pages&gt;286-294&lt;/pages&gt;&lt;volume&gt;7&lt;/volume&gt;&lt;number&gt;2&lt;/number&gt;&lt;dates&gt;&lt;year&gt;2021&lt;/year&gt;&lt;/dates&gt;&lt;isbn&gt;2215-0838&lt;/isbn&gt;&lt;urls&gt;&lt;/urls&gt;&lt;/record&gt;&lt;/Cite&gt;&lt;/EndNote&gt;</w:instrText>
      </w:r>
      <w:r w:rsidR="00790641">
        <w:rPr>
          <w:rFonts w:ascii="Arial" w:hAnsi="Arial" w:cs="Arial"/>
        </w:rPr>
        <w:fldChar w:fldCharType="separate"/>
      </w:r>
      <w:r w:rsidR="004E3F6A">
        <w:rPr>
          <w:rFonts w:ascii="Arial" w:hAnsi="Arial" w:cs="Arial"/>
          <w:noProof/>
        </w:rPr>
        <w:t>(Chakraborty et al., 2021)</w:t>
      </w:r>
      <w:r w:rsidR="00790641">
        <w:rPr>
          <w:rFonts w:ascii="Arial" w:hAnsi="Arial" w:cs="Arial"/>
        </w:rPr>
        <w:fldChar w:fldCharType="end"/>
      </w:r>
      <w:r w:rsidRPr="00A65789">
        <w:rPr>
          <w:rFonts w:ascii="Arial" w:hAnsi="Arial" w:cs="Arial"/>
        </w:rPr>
        <w:t xml:space="preserve">. The antioxidant potential of </w:t>
      </w:r>
      <w:r w:rsidRPr="00A65789">
        <w:rPr>
          <w:rFonts w:ascii="Arial" w:hAnsi="Arial" w:cs="Arial"/>
          <w:i/>
          <w:iCs/>
        </w:rPr>
        <w:t>M. indica</w:t>
      </w:r>
      <w:r w:rsidRPr="00A65789">
        <w:rPr>
          <w:rFonts w:ascii="Arial" w:hAnsi="Arial" w:cs="Arial"/>
        </w:rPr>
        <w:t xml:space="preserve"> was determined through DPPH free radical scavenging assays and lethality bioassays using brine shrimp models.</w:t>
      </w:r>
    </w:p>
    <w:p w14:paraId="126E7369" w14:textId="62F296B2" w:rsidR="00790ADA" w:rsidRPr="007F0B66" w:rsidRDefault="00A65789" w:rsidP="00A65789">
      <w:pPr>
        <w:pStyle w:val="Body"/>
        <w:rPr>
          <w:rFonts w:ascii="Arial" w:hAnsi="Arial" w:cs="Arial"/>
        </w:rPr>
      </w:pPr>
      <w:r w:rsidRPr="00A65789">
        <w:rPr>
          <w:rFonts w:ascii="Arial" w:hAnsi="Arial" w:cs="Arial"/>
        </w:rPr>
        <w:t xml:space="preserve">Moreover, considering the traditional use of </w:t>
      </w:r>
      <w:r w:rsidRPr="00A65789">
        <w:rPr>
          <w:rFonts w:ascii="Arial" w:hAnsi="Arial" w:cs="Arial"/>
          <w:i/>
          <w:iCs/>
        </w:rPr>
        <w:t>Maesa</w:t>
      </w:r>
      <w:r w:rsidRPr="00A65789">
        <w:rPr>
          <w:rFonts w:ascii="Arial" w:hAnsi="Arial" w:cs="Arial"/>
        </w:rPr>
        <w:t xml:space="preserve"> species in parasitic infections, the anthelmintic activity of </w:t>
      </w:r>
      <w:r w:rsidRPr="00A65789">
        <w:rPr>
          <w:rFonts w:ascii="Arial" w:hAnsi="Arial" w:cs="Arial"/>
          <w:i/>
          <w:iCs/>
        </w:rPr>
        <w:t>M. indica</w:t>
      </w:r>
      <w:r w:rsidRPr="00A65789">
        <w:rPr>
          <w:rFonts w:ascii="Arial" w:hAnsi="Arial" w:cs="Arial"/>
        </w:rPr>
        <w:t xml:space="preserve"> was investigated, providing scientific validation for its ethnomedicinal claims. The neuropharmacological effects, including sedative and anxiolytic potentials, were explored through in vivo models, given the presence of bioactive compounds that may interact with central nervous system receptors.</w:t>
      </w:r>
      <w:r w:rsidRPr="007F0B66">
        <w:rPr>
          <w:rFonts w:ascii="Arial" w:hAnsi="Arial" w:cs="Arial"/>
        </w:rPr>
        <w:t xml:space="preserve"> </w:t>
      </w:r>
      <w:r w:rsidRPr="00A65789">
        <w:rPr>
          <w:rFonts w:ascii="Arial" w:hAnsi="Arial" w:cs="Arial"/>
        </w:rPr>
        <w:t xml:space="preserve">Through this multidisciplinary approach, this study aims to establish a scientific basis for the traditional uses of </w:t>
      </w:r>
      <w:r w:rsidRPr="00A65789">
        <w:rPr>
          <w:rFonts w:ascii="Arial" w:hAnsi="Arial" w:cs="Arial"/>
          <w:i/>
          <w:iCs/>
        </w:rPr>
        <w:t>Maesa indica</w:t>
      </w:r>
      <w:r w:rsidRPr="00A65789">
        <w:rPr>
          <w:rFonts w:ascii="Arial" w:hAnsi="Arial" w:cs="Arial"/>
        </w:rPr>
        <w:t>, revealing its potential as a source of novel therapeutic agents.</w:t>
      </w:r>
    </w:p>
    <w:p w14:paraId="0100C457" w14:textId="77777777" w:rsidR="00A65789" w:rsidRPr="007F0B66" w:rsidRDefault="00902823" w:rsidP="00A65789">
      <w:pPr>
        <w:pStyle w:val="AbstHead"/>
        <w:spacing w:after="0"/>
        <w:jc w:val="both"/>
        <w:rPr>
          <w:rFonts w:ascii="Arial" w:hAnsi="Arial" w:cs="Arial"/>
        </w:rPr>
      </w:pPr>
      <w:r w:rsidRPr="007F0B66">
        <w:rPr>
          <w:rFonts w:ascii="Arial" w:hAnsi="Arial" w:cs="Arial"/>
        </w:rPr>
        <w:t>2. material and method</w:t>
      </w:r>
      <w:r w:rsidR="00000F8F" w:rsidRPr="007F0B66">
        <w:rPr>
          <w:rFonts w:ascii="Arial" w:hAnsi="Arial" w:cs="Arial"/>
        </w:rPr>
        <w:t>s</w:t>
      </w:r>
    </w:p>
    <w:p w14:paraId="1A0AE663" w14:textId="28813CA8" w:rsidR="00A65789" w:rsidRPr="00A65789" w:rsidRDefault="00000F8F" w:rsidP="00A65789">
      <w:pPr>
        <w:pStyle w:val="AbstHead"/>
        <w:spacing w:after="0"/>
        <w:jc w:val="both"/>
        <w:rPr>
          <w:rFonts w:ascii="Arial" w:hAnsi="Arial" w:cs="Arial"/>
        </w:rPr>
      </w:pPr>
      <w:r w:rsidRPr="007F0B66">
        <w:rPr>
          <w:rFonts w:ascii="Arial" w:hAnsi="Arial" w:cs="Arial"/>
        </w:rPr>
        <w:t xml:space="preserve"> </w:t>
      </w:r>
    </w:p>
    <w:p w14:paraId="2CBD4C32" w14:textId="77777777" w:rsidR="00A65789" w:rsidRPr="007F0B66" w:rsidRDefault="00A65789" w:rsidP="00A65789">
      <w:pPr>
        <w:pStyle w:val="Body"/>
        <w:spacing w:after="0"/>
        <w:rPr>
          <w:rFonts w:ascii="Arial" w:hAnsi="Arial" w:cs="Arial"/>
          <w:b/>
          <w:bCs/>
          <w:lang w:val="en-GB"/>
        </w:rPr>
      </w:pPr>
      <w:r w:rsidRPr="00A65789">
        <w:rPr>
          <w:rFonts w:ascii="Arial" w:hAnsi="Arial" w:cs="Arial"/>
          <w:b/>
          <w:bCs/>
          <w:lang w:val="en-GB"/>
        </w:rPr>
        <w:t>2.1. Chemicals</w:t>
      </w:r>
    </w:p>
    <w:p w14:paraId="34541291" w14:textId="04618879" w:rsidR="00A65789" w:rsidRDefault="00A65789" w:rsidP="00A65789">
      <w:pPr>
        <w:pStyle w:val="Body"/>
        <w:spacing w:after="0"/>
        <w:rPr>
          <w:rFonts w:ascii="Arial" w:hAnsi="Arial" w:cs="Arial"/>
          <w:lang w:val="en-IN"/>
        </w:rPr>
      </w:pPr>
      <w:r w:rsidRPr="00A65789">
        <w:rPr>
          <w:rFonts w:ascii="Arial" w:hAnsi="Arial" w:cs="Arial"/>
          <w:lang w:val="en-IN"/>
        </w:rPr>
        <w:t>Laboratory-grade chemicals such as methanol, n-hexane, dichloromethane, and ethyl acetate were utilized for plant material extraction, solvent–solvent partitioning, and in vitro and in vivo pharmacological testing.</w:t>
      </w:r>
    </w:p>
    <w:p w14:paraId="3FBCEA8C" w14:textId="77777777" w:rsidR="00F16027" w:rsidRPr="00A65789" w:rsidRDefault="00F16027" w:rsidP="00A65789">
      <w:pPr>
        <w:pStyle w:val="Body"/>
        <w:spacing w:after="0"/>
        <w:rPr>
          <w:rFonts w:ascii="Arial" w:hAnsi="Arial" w:cs="Arial"/>
          <w:b/>
          <w:bCs/>
          <w:lang w:val="en-GB"/>
        </w:rPr>
      </w:pPr>
    </w:p>
    <w:p w14:paraId="18590EEF"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2.2. Collection and identification of plants</w:t>
      </w:r>
    </w:p>
    <w:p w14:paraId="2B9E9A87" w14:textId="77777777" w:rsidR="00A65789" w:rsidRDefault="00A65789" w:rsidP="00A65789">
      <w:pPr>
        <w:pStyle w:val="Body"/>
        <w:spacing w:after="0"/>
        <w:rPr>
          <w:rFonts w:ascii="Arial" w:hAnsi="Arial" w:cs="Arial"/>
          <w:lang w:val="en-IN"/>
        </w:rPr>
      </w:pPr>
      <w:r w:rsidRPr="00A65789">
        <w:rPr>
          <w:rFonts w:ascii="Arial" w:hAnsi="Arial" w:cs="Arial"/>
          <w:lang w:val="en-IN"/>
        </w:rPr>
        <w:lastRenderedPageBreak/>
        <w:t xml:space="preserve">In November 2021, the mature plant leaves were gathered from Bangladesh's Rangamati hill district. Dr Shaikh </w:t>
      </w:r>
      <w:proofErr w:type="spellStart"/>
      <w:r w:rsidRPr="00A65789">
        <w:rPr>
          <w:rFonts w:ascii="Arial" w:hAnsi="Arial" w:cs="Arial"/>
          <w:lang w:val="en-IN"/>
        </w:rPr>
        <w:t>Bokhtear</w:t>
      </w:r>
      <w:proofErr w:type="spellEnd"/>
      <w:r w:rsidRPr="00A65789">
        <w:rPr>
          <w:rFonts w:ascii="Arial" w:hAnsi="Arial" w:cs="Arial"/>
          <w:lang w:val="en-IN"/>
        </w:rPr>
        <w:t xml:space="preserve"> Uddin, a taxonomist and associate professor in the Department of Botany at the University of Chittagong, Hathazari, Chattogram-4331, verified the plant's identity as Maesa indica.</w:t>
      </w:r>
    </w:p>
    <w:p w14:paraId="2BF3FF8D" w14:textId="77777777" w:rsidR="00F16027" w:rsidRPr="00A65789" w:rsidRDefault="00F16027" w:rsidP="00A65789">
      <w:pPr>
        <w:pStyle w:val="Body"/>
        <w:spacing w:after="0"/>
        <w:rPr>
          <w:rFonts w:ascii="Arial" w:hAnsi="Arial" w:cs="Arial"/>
          <w:lang w:val="en-IN"/>
        </w:rPr>
      </w:pPr>
    </w:p>
    <w:p w14:paraId="7E9AED41"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2.3. Preparation of crude extract</w:t>
      </w:r>
    </w:p>
    <w:p w14:paraId="188CCA01" w14:textId="77777777" w:rsidR="00A65789" w:rsidRDefault="00A65789" w:rsidP="00A65789">
      <w:pPr>
        <w:pStyle w:val="Body"/>
        <w:spacing w:after="0"/>
        <w:rPr>
          <w:rFonts w:ascii="Arial" w:hAnsi="Arial" w:cs="Arial"/>
          <w:lang w:val="en-IN"/>
        </w:rPr>
      </w:pPr>
      <w:r w:rsidRPr="00A65789">
        <w:rPr>
          <w:rFonts w:ascii="Arial" w:hAnsi="Arial" w:cs="Arial"/>
          <w:lang w:val="en-IN"/>
        </w:rPr>
        <w:t xml:space="preserve">Unwanted elements or plant parts were removed from the gathered plant parts (leaves). After a thorough water wash, they were left to dry for a week in partially shaded sunlight. Using a high capacity grinding machine, the leaves were processed into a coarse powder in the Phytochemical Research Laboratory of the University of Chittagong's Biological Faculty. After that, it is maintained in a dry, dark, and cool environment in an airtight container. 800 grams of the powdered substance were placed in a 5-liter flask with a clean circular bottom and soaked in 3.5 </w:t>
      </w:r>
      <w:proofErr w:type="spellStart"/>
      <w:r w:rsidRPr="00A65789">
        <w:rPr>
          <w:rFonts w:ascii="Arial" w:hAnsi="Arial" w:cs="Arial"/>
          <w:lang w:val="en-IN"/>
        </w:rPr>
        <w:t>liters</w:t>
      </w:r>
      <w:proofErr w:type="spellEnd"/>
      <w:r w:rsidRPr="00A65789">
        <w:rPr>
          <w:rFonts w:ascii="Arial" w:hAnsi="Arial" w:cs="Arial"/>
          <w:lang w:val="en-IN"/>
        </w:rPr>
        <w:t xml:space="preserve"> of methanol. After being covered with foil, the container and its contents were stored for 15 days with periodic shaking and stirring. After that, the entire combination was filtered using a new cotton plug and, lastly, Whitman No. 1 filter paper.</w:t>
      </w:r>
    </w:p>
    <w:p w14:paraId="505DA23B" w14:textId="77777777" w:rsidR="00F16027" w:rsidRPr="00A65789" w:rsidRDefault="00F16027" w:rsidP="00A65789">
      <w:pPr>
        <w:pStyle w:val="Body"/>
        <w:spacing w:after="0"/>
        <w:rPr>
          <w:rFonts w:ascii="Arial" w:hAnsi="Arial" w:cs="Arial"/>
          <w:lang w:val="en-IN"/>
        </w:rPr>
      </w:pPr>
    </w:p>
    <w:p w14:paraId="6C2E57B6"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2.4. Evaporation of the solvent</w:t>
      </w:r>
    </w:p>
    <w:p w14:paraId="48E7C8AB" w14:textId="77777777" w:rsidR="00A65789" w:rsidRDefault="00A65789" w:rsidP="00A65789">
      <w:pPr>
        <w:pStyle w:val="Body"/>
        <w:spacing w:after="0"/>
        <w:rPr>
          <w:rFonts w:ascii="Arial" w:hAnsi="Arial" w:cs="Arial"/>
          <w:lang w:val="en-IN"/>
        </w:rPr>
      </w:pPr>
      <w:r w:rsidRPr="00A65789">
        <w:rPr>
          <w:rFonts w:ascii="Arial" w:hAnsi="Arial" w:cs="Arial"/>
          <w:lang w:val="en-IN"/>
        </w:rPr>
        <w:t xml:space="preserve">A </w:t>
      </w:r>
      <w:proofErr w:type="spellStart"/>
      <w:r w:rsidRPr="00A65789">
        <w:rPr>
          <w:rFonts w:ascii="Arial" w:hAnsi="Arial" w:cs="Arial"/>
          <w:lang w:val="en-IN"/>
        </w:rPr>
        <w:t>Buchii</w:t>
      </w:r>
      <w:proofErr w:type="spellEnd"/>
      <w:r w:rsidRPr="00A65789">
        <w:rPr>
          <w:rFonts w:ascii="Arial" w:hAnsi="Arial" w:cs="Arial"/>
          <w:lang w:val="en-IN"/>
        </w:rPr>
        <w:t xml:space="preserve"> Rota evaporator set to 60°C was then used to decrease the filtrate's volume. The crude extract weighed fifteen grams. The yield is kept in the refrigerator in a foil-sealed beaker.</w:t>
      </w:r>
    </w:p>
    <w:p w14:paraId="563734D6" w14:textId="77777777" w:rsidR="00F16027" w:rsidRPr="00A65789" w:rsidRDefault="00F16027" w:rsidP="00A65789">
      <w:pPr>
        <w:pStyle w:val="Body"/>
        <w:spacing w:after="0"/>
        <w:rPr>
          <w:rFonts w:ascii="Arial" w:hAnsi="Arial" w:cs="Arial"/>
          <w:lang w:val="en-IN"/>
        </w:rPr>
      </w:pPr>
    </w:p>
    <w:p w14:paraId="18CC736D" w14:textId="36890CF5"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2.</w:t>
      </w:r>
      <w:r w:rsidR="00EF3B6A">
        <w:rPr>
          <w:rFonts w:ascii="Arial" w:hAnsi="Arial" w:cs="Arial"/>
          <w:b/>
          <w:bCs/>
          <w:lang w:val="en-IN"/>
        </w:rPr>
        <w:t>5</w:t>
      </w:r>
      <w:r w:rsidRPr="00A65789">
        <w:rPr>
          <w:rFonts w:ascii="Arial" w:hAnsi="Arial" w:cs="Arial"/>
          <w:b/>
          <w:bCs/>
          <w:lang w:val="en-IN"/>
        </w:rPr>
        <w:t>. Experimental Animal</w:t>
      </w:r>
    </w:p>
    <w:p w14:paraId="7674D863" w14:textId="77777777" w:rsidR="00A65789" w:rsidRDefault="00A65789" w:rsidP="00A65789">
      <w:pPr>
        <w:pStyle w:val="Body"/>
        <w:spacing w:after="0"/>
        <w:rPr>
          <w:rFonts w:ascii="Arial" w:hAnsi="Arial" w:cs="Arial"/>
          <w:lang w:val="en-IN"/>
        </w:rPr>
      </w:pPr>
      <w:r w:rsidRPr="00A65789">
        <w:rPr>
          <w:rFonts w:ascii="Arial" w:hAnsi="Arial" w:cs="Arial"/>
          <w:lang w:val="en-IN"/>
        </w:rPr>
        <w:t>Swiss-albino mice (Mus musculus) of either sex &amp; 4-5 weeks of age &amp; 25–35g in weight were employed from Chattogram's local suppliers of laboratory animals. Clean and dry polypropylene cages with a 12-hour light-dark cycle (temperature: 25±2°C &amp; 45–55% humidity) was used to house them. The mice were given unlimited access to water and a typical laboratory diet &amp; housed in the test environment at least 3-4 days before test. The ethical committee of the University of Chittagong's Department of Pharmacy, Faculty of Biological Sciences, reviewed and approved each experiment.</w:t>
      </w:r>
    </w:p>
    <w:p w14:paraId="6E5D478A" w14:textId="77777777" w:rsidR="00F16027" w:rsidRPr="00A65789" w:rsidRDefault="00F16027" w:rsidP="00A65789">
      <w:pPr>
        <w:pStyle w:val="Body"/>
        <w:spacing w:after="0"/>
        <w:rPr>
          <w:rFonts w:ascii="Arial" w:hAnsi="Arial" w:cs="Arial"/>
          <w:lang w:val="en-IN"/>
        </w:rPr>
      </w:pPr>
    </w:p>
    <w:p w14:paraId="7B9E4C37" w14:textId="77777777" w:rsidR="00A65789" w:rsidRDefault="00A65789" w:rsidP="00A65789">
      <w:pPr>
        <w:pStyle w:val="Body"/>
        <w:spacing w:after="0"/>
        <w:rPr>
          <w:rFonts w:ascii="Arial" w:hAnsi="Arial" w:cs="Arial"/>
          <w:b/>
          <w:bCs/>
          <w:lang w:val="en-IN"/>
        </w:rPr>
      </w:pPr>
      <w:r w:rsidRPr="00A65789">
        <w:rPr>
          <w:rFonts w:ascii="Arial" w:hAnsi="Arial" w:cs="Arial"/>
          <w:b/>
          <w:bCs/>
          <w:lang w:val="en-IN"/>
        </w:rPr>
        <w:t xml:space="preserve">3. IN VITRO TEST OF </w:t>
      </w:r>
      <w:r w:rsidRPr="00A65789">
        <w:rPr>
          <w:rFonts w:ascii="Arial" w:hAnsi="Arial" w:cs="Arial"/>
          <w:b/>
          <w:bCs/>
          <w:i/>
          <w:iCs/>
          <w:lang w:val="en-IN"/>
        </w:rPr>
        <w:t>MAESA INDICA</w:t>
      </w:r>
      <w:r w:rsidRPr="00A65789">
        <w:rPr>
          <w:rFonts w:ascii="Arial" w:hAnsi="Arial" w:cs="Arial"/>
          <w:b/>
          <w:bCs/>
          <w:lang w:val="en-IN"/>
        </w:rPr>
        <w:t xml:space="preserve"> </w:t>
      </w:r>
    </w:p>
    <w:p w14:paraId="2AF047B8" w14:textId="77777777" w:rsidR="00F16027" w:rsidRPr="00A65789" w:rsidRDefault="00F16027" w:rsidP="00A65789">
      <w:pPr>
        <w:pStyle w:val="Body"/>
        <w:spacing w:after="0"/>
        <w:rPr>
          <w:rFonts w:ascii="Arial" w:hAnsi="Arial" w:cs="Arial"/>
          <w:b/>
          <w:bCs/>
          <w:lang w:val="en-IN"/>
        </w:rPr>
      </w:pPr>
    </w:p>
    <w:p w14:paraId="02DEDCBC" w14:textId="77777777" w:rsidR="00A65789" w:rsidRPr="00A65789" w:rsidRDefault="00A65789" w:rsidP="00A65789">
      <w:pPr>
        <w:pStyle w:val="Body"/>
        <w:spacing w:after="0"/>
        <w:rPr>
          <w:rFonts w:ascii="Arial" w:hAnsi="Arial" w:cs="Arial"/>
          <w:lang w:val="en-IN"/>
        </w:rPr>
      </w:pPr>
      <w:r w:rsidRPr="00A65789">
        <w:rPr>
          <w:rFonts w:ascii="Arial" w:hAnsi="Arial" w:cs="Arial"/>
          <w:b/>
          <w:bCs/>
          <w:lang w:val="en-IN"/>
        </w:rPr>
        <w:t>3.1. Evaluation of Thrombolytic Effect</w:t>
      </w:r>
    </w:p>
    <w:p w14:paraId="69CA0213" w14:textId="0C443EC7" w:rsidR="00F16027" w:rsidRPr="00A65789" w:rsidRDefault="00A65789" w:rsidP="00A65789">
      <w:pPr>
        <w:pStyle w:val="Body"/>
        <w:spacing w:after="0"/>
        <w:rPr>
          <w:rFonts w:ascii="Arial" w:hAnsi="Arial" w:cs="Arial"/>
          <w:lang w:val="en-IN"/>
        </w:rPr>
      </w:pPr>
      <w:r w:rsidRPr="00A65789">
        <w:rPr>
          <w:rFonts w:ascii="Arial" w:hAnsi="Arial" w:cs="Arial"/>
          <w:lang w:val="en-IN"/>
        </w:rPr>
        <w:t>In vitro clot lysis test evaluates the thrombolytic activity of plant extract.7 ml of venous blood was extracted from five healthy volunteers, 0.5 ml blood was transferred to a pre-weighed, sterile microcentrifuge tube &amp; incubated at 37°C for 45mins. After extracting the serum, each tube containing a clot was weighed to ascertain the weight of the clot. Here,</w:t>
      </w:r>
    </w:p>
    <w:p w14:paraId="77507EEE" w14:textId="11779500" w:rsidR="00A65789" w:rsidRPr="00A65789" w:rsidRDefault="00DE7A0C" w:rsidP="00A65789">
      <w:pPr>
        <w:pStyle w:val="Body"/>
        <w:spacing w:after="0"/>
        <w:rPr>
          <w:rFonts w:ascii="Arial" w:hAnsi="Arial" w:cs="Arial"/>
          <w:i/>
          <w:sz w:val="22"/>
          <w:szCs w:val="22"/>
          <w:lang w:val="en-IN"/>
        </w:rPr>
      </w:pPr>
      <m:oMathPara>
        <m:oMath>
          <m:d>
            <m:dPr>
              <m:ctrlPr>
                <w:rPr>
                  <w:rFonts w:ascii="Cambria Math" w:hAnsi="Cambria Math" w:cs="Arial"/>
                  <w:i/>
                  <w:sz w:val="22"/>
                  <w:szCs w:val="22"/>
                  <w:lang w:val="en-IN"/>
                </w:rPr>
              </m:ctrlPr>
            </m:dPr>
            <m:e>
              <m:r>
                <w:rPr>
                  <w:rFonts w:ascii="Cambria Math" w:hAnsi="Cambria Math" w:cs="Arial"/>
                  <w:sz w:val="22"/>
                  <w:szCs w:val="22"/>
                  <w:lang w:val="en-IN"/>
                </w:rPr>
                <m:t>clot</m:t>
              </m:r>
              <m:r>
                <w:rPr>
                  <w:rFonts w:ascii="Cambria Math" w:hAnsi="Cambria Math" w:cs="Arial"/>
                  <w:sz w:val="22"/>
                  <w:szCs w:val="22"/>
                  <w:lang w:val="en-IN"/>
                </w:rPr>
                <m:t xml:space="preserve"> </m:t>
              </m:r>
              <m:r>
                <w:rPr>
                  <w:rFonts w:ascii="Cambria Math" w:hAnsi="Cambria Math" w:cs="Arial"/>
                  <w:sz w:val="22"/>
                  <w:szCs w:val="22"/>
                  <w:lang w:val="en-IN"/>
                </w:rPr>
                <m:t>weig</m:t>
              </m:r>
              <m:r>
                <w:rPr>
                  <w:rFonts w:ascii="Cambria Math" w:hAnsi="Cambria Math" w:cs="Arial"/>
                  <w:sz w:val="22"/>
                  <w:szCs w:val="22"/>
                  <w:lang w:val="en-IN"/>
                </w:rPr>
                <m:t>h</m:t>
              </m:r>
              <m:r>
                <w:rPr>
                  <w:rFonts w:ascii="Cambria Math" w:hAnsi="Cambria Math" w:cs="Arial"/>
                  <w:sz w:val="22"/>
                  <w:szCs w:val="22"/>
                  <w:lang w:val="en-IN"/>
                </w:rPr>
                <m:t>t</m:t>
              </m:r>
              <m:r>
                <w:rPr>
                  <w:rFonts w:ascii="Cambria Math" w:hAnsi="Cambria Math" w:cs="Arial"/>
                  <w:sz w:val="22"/>
                  <w:szCs w:val="22"/>
                  <w:lang w:val="en-IN"/>
                </w:rPr>
                <m:t xml:space="preserve"> = </m:t>
              </m:r>
              <m:r>
                <w:rPr>
                  <w:rFonts w:ascii="Cambria Math" w:hAnsi="Cambria Math" w:cs="Arial"/>
                  <w:sz w:val="22"/>
                  <w:szCs w:val="22"/>
                  <w:lang w:val="en-IN"/>
                </w:rPr>
                <m:t>weig</m:t>
              </m:r>
              <m:r>
                <w:rPr>
                  <w:rFonts w:ascii="Cambria Math" w:hAnsi="Cambria Math" w:cs="Arial"/>
                  <w:sz w:val="22"/>
                  <w:szCs w:val="22"/>
                  <w:lang w:val="en-IN"/>
                </w:rPr>
                <m:t>h</m:t>
              </m:r>
              <m:r>
                <w:rPr>
                  <w:rFonts w:ascii="Cambria Math" w:hAnsi="Cambria Math" w:cs="Arial"/>
                  <w:sz w:val="22"/>
                  <w:szCs w:val="22"/>
                  <w:lang w:val="en-IN"/>
                </w:rPr>
                <m:t>t</m:t>
              </m:r>
              <m:r>
                <w:rPr>
                  <w:rFonts w:ascii="Cambria Math" w:hAnsi="Cambria Math" w:cs="Arial"/>
                  <w:sz w:val="22"/>
                  <w:szCs w:val="22"/>
                  <w:lang w:val="en-IN"/>
                </w:rPr>
                <m:t xml:space="preserve"> </m:t>
              </m:r>
              <m:r>
                <w:rPr>
                  <w:rFonts w:ascii="Cambria Math" w:hAnsi="Cambria Math" w:cs="Arial"/>
                  <w:sz w:val="22"/>
                  <w:szCs w:val="22"/>
                  <w:lang w:val="en-IN"/>
                </w:rPr>
                <m:t>of</m:t>
              </m:r>
              <m:r>
                <w:rPr>
                  <w:rFonts w:ascii="Cambria Math" w:hAnsi="Cambria Math" w:cs="Arial"/>
                  <w:sz w:val="22"/>
                  <w:szCs w:val="22"/>
                  <w:lang w:val="en-IN"/>
                </w:rPr>
                <m:t xml:space="preserve"> </m:t>
              </m:r>
              <m:r>
                <w:rPr>
                  <w:rFonts w:ascii="Cambria Math" w:hAnsi="Cambria Math" w:cs="Arial"/>
                  <w:sz w:val="22"/>
                  <w:szCs w:val="22"/>
                  <w:lang w:val="en-IN"/>
                </w:rPr>
                <m:t>clot</m:t>
              </m:r>
              <m:r>
                <w:rPr>
                  <w:rFonts w:ascii="Cambria Math" w:hAnsi="Cambria Math" w:cs="Arial"/>
                  <w:sz w:val="22"/>
                  <w:szCs w:val="22"/>
                  <w:lang w:val="en-IN"/>
                </w:rPr>
                <m:t xml:space="preserve"> </m:t>
              </m:r>
              <m:r>
                <w:rPr>
                  <w:rFonts w:ascii="Cambria Math" w:hAnsi="Cambria Math" w:cs="Arial"/>
                  <w:sz w:val="22"/>
                  <w:szCs w:val="22"/>
                  <w:lang w:val="en-IN"/>
                </w:rPr>
                <m:t>containing</m:t>
              </m:r>
              <m:r>
                <w:rPr>
                  <w:rFonts w:ascii="Cambria Math" w:hAnsi="Cambria Math" w:cs="Arial"/>
                  <w:sz w:val="22"/>
                  <w:szCs w:val="22"/>
                  <w:lang w:val="en-IN"/>
                </w:rPr>
                <m:t xml:space="preserve"> </m:t>
              </m:r>
              <m:r>
                <w:rPr>
                  <w:rFonts w:ascii="Cambria Math" w:hAnsi="Cambria Math" w:cs="Arial"/>
                  <w:sz w:val="22"/>
                  <w:szCs w:val="22"/>
                  <w:lang w:val="en-IN"/>
                </w:rPr>
                <m:t>tube</m:t>
              </m:r>
              <m:r>
                <w:rPr>
                  <w:rFonts w:ascii="Cambria Math" w:hAnsi="Cambria Math" w:cs="Arial"/>
                  <w:sz w:val="22"/>
                  <w:szCs w:val="22"/>
                  <w:lang w:val="en-IN"/>
                </w:rPr>
                <m:t xml:space="preserve"> – </m:t>
              </m:r>
              <m:r>
                <w:rPr>
                  <w:rFonts w:ascii="Cambria Math" w:hAnsi="Cambria Math" w:cs="Arial"/>
                  <w:sz w:val="22"/>
                  <w:szCs w:val="22"/>
                  <w:lang w:val="en-IN"/>
                </w:rPr>
                <m:t>weig</m:t>
              </m:r>
              <m:r>
                <w:rPr>
                  <w:rFonts w:ascii="Cambria Math" w:hAnsi="Cambria Math" w:cs="Arial"/>
                  <w:sz w:val="22"/>
                  <w:szCs w:val="22"/>
                  <w:lang w:val="en-IN"/>
                </w:rPr>
                <m:t>h</m:t>
              </m:r>
              <m:r>
                <w:rPr>
                  <w:rFonts w:ascii="Cambria Math" w:hAnsi="Cambria Math" w:cs="Arial"/>
                  <w:sz w:val="22"/>
                  <w:szCs w:val="22"/>
                  <w:lang w:val="en-IN"/>
                </w:rPr>
                <m:t>t</m:t>
              </m:r>
              <m:r>
                <w:rPr>
                  <w:rFonts w:ascii="Cambria Math" w:hAnsi="Cambria Math" w:cs="Arial"/>
                  <w:sz w:val="22"/>
                  <w:szCs w:val="22"/>
                  <w:lang w:val="en-IN"/>
                </w:rPr>
                <m:t xml:space="preserve"> </m:t>
              </m:r>
              <m:r>
                <w:rPr>
                  <w:rFonts w:ascii="Cambria Math" w:hAnsi="Cambria Math" w:cs="Arial"/>
                  <w:sz w:val="22"/>
                  <w:szCs w:val="22"/>
                  <w:lang w:val="en-IN"/>
                </w:rPr>
                <m:t>of</m:t>
              </m:r>
              <m:r>
                <w:rPr>
                  <w:rFonts w:ascii="Cambria Math" w:hAnsi="Cambria Math" w:cs="Arial"/>
                  <w:sz w:val="22"/>
                  <w:szCs w:val="22"/>
                  <w:lang w:val="en-IN"/>
                </w:rPr>
                <m:t xml:space="preserve"> </m:t>
              </m:r>
              <m:r>
                <w:rPr>
                  <w:rFonts w:ascii="Cambria Math" w:hAnsi="Cambria Math" w:cs="Arial"/>
                  <w:sz w:val="22"/>
                  <w:szCs w:val="22"/>
                  <w:lang w:val="en-IN"/>
                </w:rPr>
                <m:t>tube</m:t>
              </m:r>
              <m:r>
                <w:rPr>
                  <w:rFonts w:ascii="Cambria Math" w:hAnsi="Cambria Math" w:cs="Arial"/>
                  <w:sz w:val="22"/>
                  <w:szCs w:val="22"/>
                  <w:lang w:val="en-IN"/>
                </w:rPr>
                <m:t xml:space="preserve"> </m:t>
              </m:r>
              <m:r>
                <w:rPr>
                  <w:rFonts w:ascii="Cambria Math" w:hAnsi="Cambria Math" w:cs="Arial"/>
                  <w:sz w:val="22"/>
                  <w:szCs w:val="22"/>
                  <w:lang w:val="en-IN"/>
                </w:rPr>
                <m:t>alone</m:t>
              </m:r>
            </m:e>
          </m:d>
        </m:oMath>
      </m:oMathPara>
    </w:p>
    <w:p w14:paraId="66225E4E" w14:textId="32A9C55D" w:rsidR="00A65789" w:rsidRPr="00A65789" w:rsidRDefault="00A65789" w:rsidP="00A65789">
      <w:pPr>
        <w:pStyle w:val="Body"/>
        <w:spacing w:after="0"/>
        <w:rPr>
          <w:rFonts w:ascii="Arial" w:hAnsi="Arial" w:cs="Arial"/>
          <w:lang w:val="en-IN"/>
        </w:rPr>
      </w:pPr>
      <w:r w:rsidRPr="00A65789">
        <w:rPr>
          <w:rFonts w:ascii="Arial" w:hAnsi="Arial" w:cs="Arial"/>
          <w:lang w:val="en-IN"/>
        </w:rPr>
        <w:t xml:space="preserve">100μl solutions of extracts (1 mg/mL) were added in each tube. A positive control of streptokinase (100 </w:t>
      </w:r>
      <w:proofErr w:type="spellStart"/>
      <w:r w:rsidRPr="00A65789">
        <w:rPr>
          <w:rFonts w:ascii="Arial" w:hAnsi="Arial" w:cs="Arial"/>
          <w:lang w:val="en-IN"/>
        </w:rPr>
        <w:t>μl</w:t>
      </w:r>
      <w:proofErr w:type="spellEnd"/>
      <w:r w:rsidRPr="00A65789">
        <w:rPr>
          <w:rFonts w:ascii="Arial" w:hAnsi="Arial" w:cs="Arial"/>
          <w:lang w:val="en-IN"/>
        </w:rPr>
        <w:t>) and a negative non-thrombolytic control(100μl) of distilled water were added to the tubes &amp; examined for clot lysis after incubation for 90min at 37°C. The collected fluid was removed, and the tubes were weighed again to determine the weight change. Finally, the weight difference was calculated, and the result was s</w:t>
      </w:r>
      <w:r w:rsidR="00FC54E2">
        <w:rPr>
          <w:rFonts w:ascii="Arial" w:hAnsi="Arial" w:cs="Arial"/>
          <w:lang w:val="en-IN"/>
        </w:rPr>
        <w:t xml:space="preserve">hown as % of clot lysis </w:t>
      </w:r>
      <w:r w:rsidR="00FC54E2">
        <w:rPr>
          <w:rFonts w:ascii="Arial" w:hAnsi="Arial" w:cs="Arial"/>
          <w:lang w:val="en-IN"/>
        </w:rPr>
        <w:fldChar w:fldCharType="begin">
          <w:fldData xml:space="preserve">PEVuZE5vdGU+PENpdGU+PEF1dGhvcj5UYWJhc3N1bTwvQXV0aG9yPjxZZWFyPjIwMTc8L1llYXI+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</w:fldData>
        </w:fldChar>
      </w:r>
      <w:r w:rsidR="004E3F6A">
        <w:rPr>
          <w:rFonts w:ascii="Arial" w:hAnsi="Arial" w:cs="Arial"/>
          <w:lang w:val="en-IN"/>
        </w:rPr>
        <w:instrText xml:space="preserve"> ADDIN EN.CITE </w:instrText>
      </w:r>
      <w:r w:rsidR="004E3F6A">
        <w:rPr>
          <w:rFonts w:ascii="Arial" w:hAnsi="Arial" w:cs="Arial"/>
          <w:lang w:val="en-IN"/>
        </w:rPr>
        <w:fldChar w:fldCharType="begin">
          <w:fldData xml:space="preserve">PEVuZE5vdGU+PENpdGU+PEF1dGhvcj5UYWJhc3N1bTwvQXV0aG9yPjxZZWFyPjIwMTc8L1llYXI+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</w:fldData>
        </w:fldChar>
      </w:r>
      <w:r w:rsidR="004E3F6A">
        <w:rPr>
          <w:rFonts w:ascii="Arial" w:hAnsi="Arial" w:cs="Arial"/>
          <w:lang w:val="en-IN"/>
        </w:rPr>
        <w:instrText xml:space="preserve"> ADDIN EN.CITE.DATA </w:instrText>
      </w:r>
      <w:r w:rsidR="004E3F6A">
        <w:rPr>
          <w:rFonts w:ascii="Arial" w:hAnsi="Arial" w:cs="Arial"/>
          <w:lang w:val="en-IN"/>
        </w:rPr>
      </w:r>
      <w:r w:rsidR="004E3F6A">
        <w:rPr>
          <w:rFonts w:ascii="Arial" w:hAnsi="Arial" w:cs="Arial"/>
          <w:lang w:val="en-IN"/>
        </w:rPr>
        <w:fldChar w:fldCharType="end"/>
      </w:r>
      <w:r w:rsidR="00FC54E2">
        <w:rPr>
          <w:rFonts w:ascii="Arial" w:hAnsi="Arial" w:cs="Arial"/>
          <w:lang w:val="en-IN"/>
        </w:rPr>
      </w:r>
      <w:r w:rsidR="00FC54E2">
        <w:rPr>
          <w:rFonts w:ascii="Arial" w:hAnsi="Arial" w:cs="Arial"/>
          <w:lang w:val="en-IN"/>
        </w:rPr>
        <w:fldChar w:fldCharType="separate"/>
      </w:r>
      <w:r w:rsidR="004E3F6A">
        <w:rPr>
          <w:rFonts w:ascii="Arial" w:hAnsi="Arial" w:cs="Arial"/>
          <w:noProof/>
          <w:lang w:val="en-IN"/>
        </w:rPr>
        <w:t>(Bhowmick et al., 2014; Tabassum et al., 2017)</w:t>
      </w:r>
      <w:r w:rsidR="00FC54E2">
        <w:rPr>
          <w:rFonts w:ascii="Arial" w:hAnsi="Arial" w:cs="Arial"/>
          <w:lang w:val="en-IN"/>
        </w:rPr>
        <w:fldChar w:fldCharType="end"/>
      </w:r>
    </w:p>
    <w:p w14:paraId="4F88BB44" w14:textId="0DAB37F6" w:rsidR="00A65789" w:rsidRPr="00A65789" w:rsidRDefault="00A65789" w:rsidP="00A65789">
      <w:pPr>
        <w:pStyle w:val="Body"/>
        <w:spacing w:after="0"/>
        <w:rPr>
          <w:rFonts w:ascii="Arial" w:hAnsi="Arial" w:cs="Arial"/>
          <w:lang w:val="en-IN"/>
        </w:rPr>
      </w:pPr>
      <m:oMathPara>
        <m:oMath>
          <m:r>
            <w:rPr>
              <w:rFonts w:ascii="Cambria Math" w:hAnsi="Cambria Math" w:cs="Arial"/>
              <w:lang w:val="en-IN"/>
            </w:rPr>
            <m:t xml:space="preserve">% of clot lysis= </m:t>
          </m:r>
          <m:d>
            <m:dPr>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weight of released clot</m:t>
                  </m:r>
                </m:num>
                <m:den>
                  <m:r>
                    <w:rPr>
                      <w:rFonts w:ascii="Cambria Math" w:hAnsi="Cambria Math" w:cs="Arial"/>
                      <w:lang w:val="en-IN"/>
                    </w:rPr>
                    <m:t>clot weight</m:t>
                  </m:r>
                </m:den>
              </m:f>
            </m:e>
          </m:d>
          <m:r>
            <w:rPr>
              <w:rFonts w:ascii="Cambria Math" w:hAnsi="Cambria Math" w:cs="Arial"/>
              <w:lang w:val="en-IN"/>
            </w:rPr>
            <m:t>×100</m:t>
          </m:r>
        </m:oMath>
      </m:oMathPara>
    </w:p>
    <w:p w14:paraId="4B84ECE1" w14:textId="77777777" w:rsidR="00A65789" w:rsidRPr="00A65789" w:rsidRDefault="00A65789" w:rsidP="00A65789">
      <w:pPr>
        <w:pStyle w:val="Body"/>
        <w:spacing w:after="0"/>
        <w:rPr>
          <w:rFonts w:ascii="Arial" w:hAnsi="Arial" w:cs="Arial"/>
          <w:lang w:val="en-IN"/>
        </w:rPr>
      </w:pPr>
      <w:r w:rsidRPr="00A65789">
        <w:rPr>
          <w:rFonts w:ascii="Arial" w:hAnsi="Arial" w:cs="Arial"/>
          <w:b/>
          <w:bCs/>
          <w:lang w:val="en-IN"/>
        </w:rPr>
        <w:t>3.2.</w:t>
      </w:r>
      <w:r w:rsidRPr="00A65789">
        <w:rPr>
          <w:rFonts w:ascii="Arial" w:hAnsi="Arial" w:cs="Arial"/>
          <w:lang w:val="en-IN"/>
        </w:rPr>
        <w:t xml:space="preserve"> </w:t>
      </w:r>
      <w:r w:rsidRPr="00A65789">
        <w:rPr>
          <w:rFonts w:ascii="Arial" w:hAnsi="Arial" w:cs="Arial"/>
          <w:b/>
          <w:bCs/>
          <w:lang w:val="en-IN"/>
        </w:rPr>
        <w:t>Evaluation of Cytotoxic activity</w:t>
      </w:r>
      <w:r w:rsidRPr="00A65789">
        <w:rPr>
          <w:rFonts w:ascii="Arial" w:hAnsi="Arial" w:cs="Arial"/>
          <w:lang w:val="en-IN"/>
        </w:rPr>
        <w:t xml:space="preserve"> </w:t>
      </w:r>
    </w:p>
    <w:p w14:paraId="45805106"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 xml:space="preserve">3.2.1. Brine Shrimp Lethality Bioassay </w:t>
      </w:r>
    </w:p>
    <w:p w14:paraId="66B1327D" w14:textId="1C0C970D" w:rsidR="00A65789" w:rsidRPr="00A65789" w:rsidRDefault="00A65789" w:rsidP="00A65789">
      <w:pPr>
        <w:pStyle w:val="Body"/>
        <w:spacing w:after="0"/>
        <w:rPr>
          <w:rFonts w:ascii="Arial" w:hAnsi="Arial" w:cs="Arial"/>
          <w:lang w:val="en-IN"/>
        </w:rPr>
      </w:pPr>
      <w:r w:rsidRPr="00A65789">
        <w:rPr>
          <w:rFonts w:ascii="Arial" w:hAnsi="Arial" w:cs="Arial"/>
          <w:lang w:val="en-IN"/>
        </w:rPr>
        <w:t xml:space="preserve">To produce nauplii, brine shrimp (Artemia salina leach) eggs are hatched in artificial seawater. The desired concentration of the test sample is prepared by dissolving the sample solutions in a calculated amount of 0.5% DMSO. After being visually inspected, ten nauplii are collected and placed in vials with 5mL of seawater simulation. Using a micropipette, the samples with varying concentrations (0.1–1.6 mg/ml) are added to the vials that have been previously </w:t>
      </w:r>
      <w:r w:rsidRPr="00A65789">
        <w:rPr>
          <w:rFonts w:ascii="Arial" w:hAnsi="Arial" w:cs="Arial"/>
          <w:lang w:val="en-IN"/>
        </w:rPr>
        <w:lastRenderedPageBreak/>
        <w:t>indicated. Survivors are then counted after the vials are left for a full day. To estimate LC50 va</w:t>
      </w:r>
      <w:r w:rsidR="00FC54E2">
        <w:rPr>
          <w:rFonts w:ascii="Arial" w:hAnsi="Arial" w:cs="Arial"/>
          <w:lang w:val="en-IN"/>
        </w:rPr>
        <w:t xml:space="preserve">lues, the data are analysed </w:t>
      </w:r>
      <w:r w:rsidR="00FC54E2">
        <w:rPr>
          <w:rFonts w:ascii="Arial" w:hAnsi="Arial" w:cs="Arial"/>
          <w:lang w:val="en-IN"/>
        </w:rPr>
        <w:fldChar w:fldCharType="begin"/>
      </w:r>
      <w:r w:rsidR="004E3F6A">
        <w:rPr>
          <w:rFonts w:ascii="Arial" w:hAnsi="Arial" w:cs="Arial"/>
          <w:lang w:val="en-IN"/>
        </w:rPr>
        <w:instrText xml:space="preserve"> ADDIN EN.CITE &lt;EndNote&gt;&lt;Cite&gt;&lt;Author&gt;Priyangaa Sathasivam&lt;/Author&gt;&lt;Year&gt;2017&lt;/Year&gt;&lt;RecNum&gt;227&lt;/RecNum&gt;&lt;DisplayText&gt;(Priyangaa Sathasivam &amp;amp; Lakshmi, 2017)&lt;/DisplayText&gt;&lt;record&gt;&lt;rec-number&gt;227&lt;/rec-number&gt;&lt;foreign-keys&gt;&lt;key app="EN" db-id="sdvx20t5qr0sf5e999ax5208e0ssvp992v05" timestamp="1745913863"&gt;227&lt;/key&gt;&lt;/foreign-keys&gt;&lt;ref-type name="Journal Article"&gt;17&lt;/ref-type&gt;&lt;contributors&gt;&lt;authors&gt;&lt;author&gt;Priyangaa Sathasivam, Priyangaa Sathasivam&lt;/author&gt;&lt;author&gt;Lakshmi, T&lt;/author&gt;&lt;/authors&gt;&lt;/contributors&gt;&lt;titles&gt;&lt;title&gt;Brine shrimp lethality assay of Sesbania grandiflora ethanolic extract-in vitro study&lt;/title&gt;&lt;/titles&gt;&lt;dates&gt;&lt;year&gt;2017&lt;/year&gt;&lt;/dates&gt;&lt;urls&gt;&lt;/urls&gt;&lt;/record&gt;&lt;/Cite&gt;&lt;/EndNote&gt;</w:instrText>
      </w:r>
      <w:r w:rsidR="00FC54E2">
        <w:rPr>
          <w:rFonts w:ascii="Arial" w:hAnsi="Arial" w:cs="Arial"/>
          <w:lang w:val="en-IN"/>
        </w:rPr>
        <w:fldChar w:fldCharType="separate"/>
      </w:r>
      <w:r w:rsidR="004E3F6A">
        <w:rPr>
          <w:rFonts w:ascii="Arial" w:hAnsi="Arial" w:cs="Arial"/>
          <w:noProof/>
          <w:lang w:val="en-IN"/>
        </w:rPr>
        <w:t>(Priyangaa Sathasivam &amp; Lakshmi, 2017)</w:t>
      </w:r>
      <w:r w:rsidR="00FC54E2">
        <w:rPr>
          <w:rFonts w:ascii="Arial" w:hAnsi="Arial" w:cs="Arial"/>
          <w:lang w:val="en-IN"/>
        </w:rPr>
        <w:fldChar w:fldCharType="end"/>
      </w:r>
      <w:r w:rsidR="00FC54E2">
        <w:rPr>
          <w:rFonts w:ascii="Arial" w:hAnsi="Arial" w:cs="Arial"/>
          <w:lang w:val="en-IN"/>
        </w:rPr>
        <w:t>.</w:t>
      </w:r>
    </w:p>
    <w:p w14:paraId="36EAC10C" w14:textId="77777777" w:rsidR="00A65789" w:rsidRPr="00A65789" w:rsidRDefault="00A65789" w:rsidP="00A65789">
      <w:pPr>
        <w:pStyle w:val="Body"/>
        <w:spacing w:after="0"/>
        <w:rPr>
          <w:rFonts w:ascii="Arial" w:hAnsi="Arial" w:cs="Arial"/>
          <w:lang w:val="en-IN"/>
        </w:rPr>
      </w:pPr>
      <w:r w:rsidRPr="00A65789">
        <w:rPr>
          <w:rFonts w:ascii="Arial" w:hAnsi="Arial" w:cs="Arial"/>
          <w:lang w:val="en-IN"/>
        </w:rPr>
        <w:t xml:space="preserve">% of mortality can be calculated by using following equation: </w:t>
      </w:r>
    </w:p>
    <w:p w14:paraId="66FCC8D1" w14:textId="2327A5B6" w:rsidR="00A65789" w:rsidRPr="00A65789" w:rsidRDefault="00A65789" w:rsidP="00A65789">
      <w:pPr>
        <w:pStyle w:val="Body"/>
        <w:spacing w:after="0"/>
        <w:rPr>
          <w:rFonts w:ascii="Arial" w:hAnsi="Arial" w:cs="Arial"/>
          <w:lang w:val="en-IN"/>
        </w:rPr>
      </w:pPr>
      <m:oMathPara>
        <m:oMath>
          <m:r>
            <w:rPr>
              <w:rFonts w:ascii="Cambria Math" w:hAnsi="Cambria Math" w:cs="Arial"/>
              <w:lang w:val="en-IN"/>
            </w:rPr>
            <m:t xml:space="preserve">% mortality= </m:t>
          </m:r>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t</m:t>
                  </m:r>
                </m:sub>
              </m:sSub>
            </m:num>
            <m:den>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den>
          </m:f>
          <m:r>
            <w:rPr>
              <w:rFonts w:ascii="Cambria Math" w:hAnsi="Cambria Math" w:cs="Arial"/>
              <w:lang w:val="en-IN"/>
            </w:rPr>
            <m:t>×100</m:t>
          </m:r>
        </m:oMath>
      </m:oMathPara>
    </w:p>
    <w:p w14:paraId="0AB0E381" w14:textId="77777777" w:rsidR="00A65789" w:rsidRPr="00A65789" w:rsidRDefault="00A65789" w:rsidP="00F16027">
      <w:pPr>
        <w:pStyle w:val="Body"/>
        <w:spacing w:after="0"/>
        <w:rPr>
          <w:rFonts w:ascii="Arial" w:hAnsi="Arial" w:cs="Arial"/>
          <w:lang w:val="en-IN"/>
        </w:rPr>
      </w:pPr>
      <w:r w:rsidRPr="00A65789">
        <w:rPr>
          <w:rFonts w:ascii="Arial" w:hAnsi="Arial" w:cs="Arial"/>
          <w:lang w:val="en-IN"/>
        </w:rPr>
        <w:t xml:space="preserve">Here, </w:t>
      </w:r>
    </w:p>
    <w:p w14:paraId="3F147CB8" w14:textId="03D7C53D" w:rsidR="00A65789" w:rsidRPr="00A65789" w:rsidRDefault="00DE7A0C" w:rsidP="00F16027">
      <w:pPr>
        <w:pStyle w:val="Body"/>
        <w:spacing w:after="0"/>
        <w:rPr>
          <w:rFonts w:ascii="Arial" w:hAnsi="Arial" w:cs="Arial"/>
          <w:lang w:val="en-IN"/>
        </w:rPr>
      </w:pP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t</m:t>
            </m:r>
          </m:sub>
        </m:sSub>
      </m:oMath>
      <w:r w:rsidR="00A65789" w:rsidRPr="00A65789">
        <w:rPr>
          <w:rFonts w:ascii="Arial" w:hAnsi="Arial" w:cs="Arial"/>
          <w:lang w:val="en-IN"/>
        </w:rPr>
        <w:t xml:space="preserve"> = Number of killed nauplii after 24 hrs of incubation,  </w:t>
      </w:r>
    </w:p>
    <w:p w14:paraId="100162CF" w14:textId="3C192D62" w:rsidR="00A65789" w:rsidRDefault="00DE7A0C" w:rsidP="00F16027">
      <w:pPr>
        <w:pStyle w:val="Body"/>
        <w:spacing w:after="0"/>
        <w:rPr>
          <w:rFonts w:ascii="Arial" w:hAnsi="Arial" w:cs="Arial"/>
          <w:lang w:val="en-IN"/>
        </w:rPr>
      </w:pP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oMath>
      <w:r w:rsidR="00A65789" w:rsidRPr="00A65789">
        <w:rPr>
          <w:rFonts w:ascii="Arial" w:hAnsi="Arial" w:cs="Arial"/>
          <w:lang w:val="en-IN"/>
        </w:rPr>
        <w:t xml:space="preserve"> = Number of total nauplii transferred </w:t>
      </w:r>
    </w:p>
    <w:p w14:paraId="3C542833" w14:textId="77777777" w:rsidR="00F16027" w:rsidRPr="00A65789" w:rsidRDefault="00F16027" w:rsidP="00A65789">
      <w:pPr>
        <w:pStyle w:val="Body"/>
        <w:spacing w:after="0"/>
        <w:rPr>
          <w:rFonts w:ascii="Arial" w:hAnsi="Arial" w:cs="Arial"/>
          <w:lang w:val="en-IN"/>
        </w:rPr>
      </w:pPr>
    </w:p>
    <w:p w14:paraId="20384903"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3.3. Evaluation of Antioxidant Scavenging Activity</w:t>
      </w:r>
    </w:p>
    <w:p w14:paraId="2A55B934"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3.3.1. Evaluation of In-vitro Antioxidant activity by DPPH Radical scavenging method</w:t>
      </w:r>
    </w:p>
    <w:p w14:paraId="35AED3D0" w14:textId="153255E7" w:rsidR="00A65789" w:rsidRDefault="00A65789" w:rsidP="00A65789">
      <w:pPr>
        <w:pStyle w:val="Body"/>
        <w:spacing w:after="0"/>
        <w:rPr>
          <w:rFonts w:ascii="Arial" w:hAnsi="Arial" w:cs="Arial"/>
          <w:lang w:val="en-IN"/>
        </w:rPr>
      </w:pPr>
      <w:r w:rsidRPr="00A65789">
        <w:rPr>
          <w:rFonts w:ascii="Arial" w:hAnsi="Arial" w:cs="Arial"/>
          <w:lang w:val="en-IN"/>
        </w:rPr>
        <w:t>DPPH (1,1-diphenyl-2-picrylhydrazyl) was used to access in vitro free radical scavenging activity of Maesa indica.3ml of DPPH methanol solution (20 µg/ml) was combined with 2ml of an extract solution at varying concentrations. By using a UV spectrophotometer (517 nm) to compare the plant extract's bleaching of a purple-coloured methanol solution of DPPH radical to that of ascorbic acid, the antioxi</w:t>
      </w:r>
      <w:r w:rsidR="00FC54E2">
        <w:rPr>
          <w:rFonts w:ascii="Arial" w:hAnsi="Arial" w:cs="Arial"/>
          <w:lang w:val="en-IN"/>
        </w:rPr>
        <w:t xml:space="preserve">dant capacity was evaluated </w:t>
      </w:r>
      <w:r w:rsidR="00FC54E2">
        <w:rPr>
          <w:rFonts w:ascii="Arial" w:hAnsi="Arial" w:cs="Arial"/>
          <w:lang w:val="en-IN"/>
        </w:rPr>
        <w:fldChar w:fldCharType="begin"/>
      </w:r>
      <w:r w:rsidR="004E3F6A">
        <w:rPr>
          <w:rFonts w:ascii="Arial" w:hAnsi="Arial" w:cs="Arial"/>
          <w:lang w:val="en-IN"/>
        </w:rPr>
        <w:instrText xml:space="preserve"> ADDIN EN.CITE &lt;EndNote&gt;&lt;Cite&gt;&lt;Author&gt;Blois&lt;/Author&gt;&lt;Year&gt;1958&lt;/Year&gt;&lt;RecNum&gt;179&lt;/RecNum&gt;&lt;DisplayText&gt;(Blois, 1958)&lt;/DisplayText&gt;&lt;record&gt;&lt;rec-number&gt;179&lt;/rec-number&gt;&lt;foreign-keys&gt;&lt;key app="EN" db-id="sdvx20t5qr0sf5e999ax5208e0ssvp992v05" timestamp="1745687996"&gt;179&lt;/key&gt;&lt;/foreign-keys&gt;&lt;ref-type name="Journal Article"&gt;17&lt;/ref-type&gt;&lt;contributors&gt;&lt;authors&gt;&lt;author&gt;Blois, Marsden S&lt;/author&gt;&lt;/authors&gt;&lt;/contributors&gt;&lt;titles&gt;&lt;title&gt;Antioxidant determinations by the use of a stable free radical&lt;/title&gt;&lt;secondary-title&gt;Nature&lt;/secondary-title&gt;&lt;/titles&gt;&lt;periodical&gt;&lt;full-title&gt;Nature&lt;/full-title&gt;&lt;/periodical&gt;&lt;pages&gt;1199-1200&lt;/pages&gt;&lt;volume&gt;181&lt;/volume&gt;&lt;number&gt;4617&lt;/number&gt;&lt;dates&gt;&lt;year&gt;1958&lt;/year&gt;&lt;/dates&gt;&lt;isbn&gt;0028-0836&lt;/isbn&gt;&lt;urls&gt;&lt;/urls&gt;&lt;/record&gt;&lt;/Cite&gt;&lt;/EndNote&gt;</w:instrText>
      </w:r>
      <w:r w:rsidR="00FC54E2">
        <w:rPr>
          <w:rFonts w:ascii="Arial" w:hAnsi="Arial" w:cs="Arial"/>
          <w:lang w:val="en-IN"/>
        </w:rPr>
        <w:fldChar w:fldCharType="separate"/>
      </w:r>
      <w:r w:rsidR="004E3F6A">
        <w:rPr>
          <w:rFonts w:ascii="Arial" w:hAnsi="Arial" w:cs="Arial"/>
          <w:noProof/>
          <w:lang w:val="en-IN"/>
        </w:rPr>
        <w:t>(Blois, 1958)</w:t>
      </w:r>
      <w:r w:rsidR="00FC54E2">
        <w:rPr>
          <w:rFonts w:ascii="Arial" w:hAnsi="Arial" w:cs="Arial"/>
          <w:lang w:val="en-IN"/>
        </w:rPr>
        <w:fldChar w:fldCharType="end"/>
      </w:r>
      <w:r w:rsidR="00FC54E2">
        <w:rPr>
          <w:rFonts w:ascii="Arial" w:hAnsi="Arial" w:cs="Arial"/>
          <w:lang w:val="en-IN"/>
        </w:rPr>
        <w:t>.</w:t>
      </w:r>
    </w:p>
    <w:p w14:paraId="05F718EE" w14:textId="77777777" w:rsidR="00F16027" w:rsidRPr="00A65789" w:rsidRDefault="00F16027" w:rsidP="00A65789">
      <w:pPr>
        <w:pStyle w:val="Body"/>
        <w:spacing w:after="0"/>
        <w:rPr>
          <w:rFonts w:ascii="Arial" w:hAnsi="Arial" w:cs="Arial"/>
          <w:lang w:val="en-IN"/>
        </w:rPr>
      </w:pPr>
    </w:p>
    <w:p w14:paraId="0F0096D3" w14:textId="77777777" w:rsidR="00A65789" w:rsidRPr="00A65789" w:rsidRDefault="00A65789" w:rsidP="00A65789">
      <w:pPr>
        <w:pStyle w:val="Body"/>
        <w:spacing w:after="0"/>
        <w:rPr>
          <w:rFonts w:ascii="Arial" w:hAnsi="Arial" w:cs="Arial"/>
          <w:lang w:val="en-IN"/>
        </w:rPr>
      </w:pPr>
      <w:r w:rsidRPr="00A65789">
        <w:rPr>
          <w:rFonts w:ascii="Arial" w:hAnsi="Arial" w:cs="Arial"/>
          <w:b/>
          <w:bCs/>
          <w:lang w:val="en-IN"/>
        </w:rPr>
        <w:t>3.4. Evaluation of Anthelmintic Activity</w:t>
      </w:r>
    </w:p>
    <w:p w14:paraId="24A6E256" w14:textId="55477ACC" w:rsidR="00A65789" w:rsidRDefault="00A65789" w:rsidP="00A65789">
      <w:pPr>
        <w:pStyle w:val="Body"/>
        <w:spacing w:after="0"/>
        <w:rPr>
          <w:rFonts w:ascii="Arial" w:hAnsi="Arial" w:cs="Arial"/>
          <w:lang w:val="en-IN"/>
        </w:rPr>
      </w:pPr>
      <w:r w:rsidRPr="00A65789">
        <w:rPr>
          <w:rFonts w:ascii="Arial" w:hAnsi="Arial" w:cs="Arial"/>
          <w:lang w:val="en-IN"/>
        </w:rPr>
        <w:t xml:space="preserve">Anthelmintics or endectocides or parasiticides are the drugs that can kill or resist parasitic worm and can expel them from the body. </w:t>
      </w:r>
      <w:proofErr w:type="spellStart"/>
      <w:r w:rsidRPr="00A65789">
        <w:rPr>
          <w:rFonts w:ascii="Arial" w:hAnsi="Arial" w:cs="Arial"/>
          <w:i/>
          <w:iCs/>
          <w:lang w:val="en-IN"/>
        </w:rPr>
        <w:t>Pheretima</w:t>
      </w:r>
      <w:proofErr w:type="spellEnd"/>
      <w:r w:rsidRPr="00A65789">
        <w:rPr>
          <w:rFonts w:ascii="Arial" w:hAnsi="Arial" w:cs="Arial"/>
          <w:i/>
          <w:iCs/>
          <w:lang w:val="en-IN"/>
        </w:rPr>
        <w:t xml:space="preserve"> </w:t>
      </w:r>
      <w:proofErr w:type="spellStart"/>
      <w:r w:rsidRPr="00A65789">
        <w:rPr>
          <w:rFonts w:ascii="Arial" w:hAnsi="Arial" w:cs="Arial"/>
          <w:i/>
          <w:iCs/>
          <w:lang w:val="en-IN"/>
        </w:rPr>
        <w:t>posthuma</w:t>
      </w:r>
      <w:proofErr w:type="spellEnd"/>
      <w:r w:rsidRPr="00A65789">
        <w:rPr>
          <w:rFonts w:ascii="Arial" w:hAnsi="Arial" w:cs="Arial"/>
          <w:lang w:val="en-IN"/>
        </w:rPr>
        <w:t xml:space="preserve"> can serve as an appropriate model as it contains morphological similarities to human intestinal parasitic roundworms. Five different concentrations(2.5mg/ml-20mg/ml) of extracts, chloroform soluble fractions and aqueous fractions of leaves were placed in different </w:t>
      </w:r>
      <w:proofErr w:type="spellStart"/>
      <w:r w:rsidRPr="00A65789">
        <w:rPr>
          <w:rFonts w:ascii="Arial" w:hAnsi="Arial" w:cs="Arial"/>
          <w:lang w:val="en-IN"/>
        </w:rPr>
        <w:t>petridish</w:t>
      </w:r>
      <w:proofErr w:type="spellEnd"/>
      <w:r w:rsidRPr="00A65789">
        <w:rPr>
          <w:rFonts w:ascii="Arial" w:hAnsi="Arial" w:cs="Arial"/>
          <w:lang w:val="en-IN"/>
        </w:rPr>
        <w:t>, each containing 5 roundworms. Mean time of paralysis was recorded &amp; the death time (approximately 200mins) was considered when the worm neither moved after vigorous shaking or external stimulus compared with reference sta</w:t>
      </w:r>
      <w:r w:rsidR="00FC54E2">
        <w:rPr>
          <w:rFonts w:ascii="Arial" w:hAnsi="Arial" w:cs="Arial"/>
          <w:lang w:val="en-IN"/>
        </w:rPr>
        <w:t xml:space="preserve">ndard Albendazole(15mg/ml) </w:t>
      </w:r>
      <w:r w:rsidR="00FC54E2">
        <w:rPr>
          <w:rFonts w:ascii="Arial" w:hAnsi="Arial" w:cs="Arial"/>
          <w:lang w:val="en-IN"/>
        </w:rPr>
        <w:fldChar w:fldCharType="begin"/>
      </w:r>
      <w:r w:rsidR="004E3F6A">
        <w:rPr>
          <w:rFonts w:ascii="Arial" w:hAnsi="Arial" w:cs="Arial"/>
          <w:lang w:val="en-IN"/>
        </w:rPr>
        <w:instrText xml:space="preserve"> ADDIN EN.CITE &lt;EndNote&gt;&lt;Cite&gt;&lt;Author&gt;Islam&lt;/Author&gt;&lt;Year&gt;2023&lt;/Year&gt;&lt;RecNum&gt;131&lt;/RecNum&gt;&lt;DisplayText&gt;(Islam et al., 2023)&lt;/DisplayText&gt;&lt;record&gt;&lt;rec-number&gt;131&lt;/rec-number&gt;&lt;foreign-keys&gt;&lt;key app="EN" db-id="sdvx20t5qr0sf5e999ax5208e0ssvp992v05" timestamp="1742583194"&gt;131&lt;/key&gt;&lt;/foreign-keys&gt;&lt;ref-type name="Journal Article"&gt;17&lt;/ref-type&gt;&lt;contributors&gt;&lt;authors&gt;&lt;author&gt;Islam, Mohammad Rashedul&lt;/author&gt;&lt;author&gt;Naima, Jannatul&lt;/author&gt;&lt;author&gt;Akter, Bakul&lt;/author&gt;&lt;author&gt;Jahan, Nusrat&lt;/author&gt;&lt;author&gt;Uddin, SM Naim&lt;/author&gt;&lt;author&gt;Hossain, Mohammed Kamrul&lt;/author&gt;&lt;/authors&gt;&lt;/contributors&gt;&lt;titles&gt;&lt;title&gt;Assessment of Pharmacological Properties of Mimosa diplotricha Leaf Extract&lt;/title&gt;&lt;secondary-title&gt;Chittagong University Journal of Biological Sciences&lt;/secondary-title&gt;&lt;/titles&gt;&lt;periodical&gt;&lt;full-title&gt;Chittagong University Journal of Biological Sciences&lt;/full-title&gt;&lt;/periodical&gt;&lt;pages&gt;42-51&lt;/pages&gt;&lt;dates&gt;&lt;year&gt;2023&lt;/year&gt;&lt;/dates&gt;&lt;isbn&gt;2408-8471&lt;/isbn&gt;&lt;urls&gt;&lt;/urls&gt;&lt;/record&gt;&lt;/Cite&gt;&lt;/EndNote&gt;</w:instrText>
      </w:r>
      <w:r w:rsidR="00FC54E2">
        <w:rPr>
          <w:rFonts w:ascii="Arial" w:hAnsi="Arial" w:cs="Arial"/>
          <w:lang w:val="en-IN"/>
        </w:rPr>
        <w:fldChar w:fldCharType="separate"/>
      </w:r>
      <w:r w:rsidR="004E3F6A">
        <w:rPr>
          <w:rFonts w:ascii="Arial" w:hAnsi="Arial" w:cs="Arial"/>
          <w:noProof/>
          <w:lang w:val="en-IN"/>
        </w:rPr>
        <w:t>(Islam et al., 2023)</w:t>
      </w:r>
      <w:r w:rsidR="00FC54E2">
        <w:rPr>
          <w:rFonts w:ascii="Arial" w:hAnsi="Arial" w:cs="Arial"/>
          <w:lang w:val="en-IN"/>
        </w:rPr>
        <w:fldChar w:fldCharType="end"/>
      </w:r>
      <w:r w:rsidR="00FC54E2">
        <w:rPr>
          <w:rFonts w:ascii="Arial" w:hAnsi="Arial" w:cs="Arial"/>
          <w:lang w:val="en-IN"/>
        </w:rPr>
        <w:t>.</w:t>
      </w:r>
    </w:p>
    <w:p w14:paraId="4450B85F" w14:textId="77777777" w:rsidR="00F16027" w:rsidRPr="00A65789" w:rsidRDefault="00F16027" w:rsidP="00A65789">
      <w:pPr>
        <w:pStyle w:val="Body"/>
        <w:spacing w:after="0"/>
        <w:rPr>
          <w:rFonts w:ascii="Arial" w:hAnsi="Arial" w:cs="Arial"/>
          <w:lang w:val="en-IN"/>
        </w:rPr>
      </w:pPr>
    </w:p>
    <w:p w14:paraId="3145D43C" w14:textId="77777777" w:rsidR="00A65789" w:rsidRDefault="00A65789" w:rsidP="00A65789">
      <w:pPr>
        <w:pStyle w:val="Body"/>
        <w:spacing w:after="0"/>
        <w:rPr>
          <w:rFonts w:ascii="Arial" w:hAnsi="Arial" w:cs="Arial"/>
          <w:b/>
          <w:bCs/>
          <w:lang w:val="en-IN"/>
        </w:rPr>
      </w:pPr>
      <w:bookmarkStart w:id="2" w:name="_Hlk196747778"/>
      <w:r w:rsidRPr="00A65789">
        <w:rPr>
          <w:rFonts w:ascii="Arial" w:hAnsi="Arial" w:cs="Arial"/>
          <w:b/>
          <w:bCs/>
          <w:lang w:val="en-IN"/>
        </w:rPr>
        <w:t xml:space="preserve">4. IN VIVO TEST OF </w:t>
      </w:r>
      <w:r w:rsidRPr="00A65789">
        <w:rPr>
          <w:rFonts w:ascii="Arial" w:hAnsi="Arial" w:cs="Arial"/>
          <w:b/>
          <w:bCs/>
          <w:i/>
          <w:iCs/>
          <w:lang w:val="en-IN"/>
        </w:rPr>
        <w:t>MAESA INDICA</w:t>
      </w:r>
      <w:r w:rsidRPr="00A65789">
        <w:rPr>
          <w:rFonts w:ascii="Arial" w:hAnsi="Arial" w:cs="Arial"/>
          <w:b/>
          <w:bCs/>
          <w:lang w:val="en-IN"/>
        </w:rPr>
        <w:t xml:space="preserve"> </w:t>
      </w:r>
    </w:p>
    <w:p w14:paraId="5E354839" w14:textId="77777777" w:rsidR="005262DA" w:rsidRPr="00A65789" w:rsidRDefault="005262DA" w:rsidP="00A65789">
      <w:pPr>
        <w:pStyle w:val="Body"/>
        <w:spacing w:after="0"/>
        <w:rPr>
          <w:rFonts w:ascii="Arial" w:hAnsi="Arial" w:cs="Arial"/>
          <w:b/>
          <w:bCs/>
          <w:lang w:val="en-IN"/>
        </w:rPr>
      </w:pPr>
    </w:p>
    <w:bookmarkEnd w:id="2"/>
    <w:p w14:paraId="5EEBD737"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4.1. Evaluation of Neuropharmacological Effect</w:t>
      </w:r>
    </w:p>
    <w:p w14:paraId="18AC3585"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4.1.1. By Hole cross test</w:t>
      </w:r>
    </w:p>
    <w:p w14:paraId="218DEF4F" w14:textId="66C5D0DE" w:rsidR="00A65789" w:rsidRDefault="00A65789" w:rsidP="00A65789">
      <w:pPr>
        <w:pStyle w:val="Body"/>
        <w:spacing w:after="0"/>
        <w:rPr>
          <w:rFonts w:ascii="Arial" w:hAnsi="Arial" w:cs="Arial"/>
          <w:lang w:val="en-IN"/>
        </w:rPr>
      </w:pPr>
      <w:r w:rsidRPr="00A65789">
        <w:rPr>
          <w:rFonts w:ascii="Arial" w:hAnsi="Arial" w:cs="Arial"/>
          <w:lang w:val="en-IN"/>
        </w:rPr>
        <w:t>Hole cross test is a method of observing the behavioural and exploratory or locomotor activity of mice reflecting the anxiolytic or angiogenic characteristics of a dose. Here a cage of 30 × 20 × 14 cm with a divider of a height 7.5 cm is used with a 3 cm diameter opening in the middle of the cage. On 0, 30, 60, 90, and 120 minutes after the oral administration of doses like control, standard (Diazepam), sample or plant extract, the number of crossings through the hole from one chamber to the next one wa</w:t>
      </w:r>
      <w:r w:rsidR="00FC54E2">
        <w:rPr>
          <w:rFonts w:ascii="Arial" w:hAnsi="Arial" w:cs="Arial"/>
          <w:lang w:val="en-IN"/>
        </w:rPr>
        <w:t xml:space="preserve">s counted for three minutes </w:t>
      </w:r>
      <w:r w:rsidR="00FC54E2">
        <w:rPr>
          <w:rFonts w:ascii="Arial" w:hAnsi="Arial" w:cs="Arial"/>
          <w:lang w:val="en-IN"/>
        </w:rPr>
        <w:fldChar w:fldCharType="begin"/>
      </w:r>
      <w:r w:rsidR="004E3F6A">
        <w:rPr>
          <w:rFonts w:ascii="Arial" w:hAnsi="Arial" w:cs="Arial"/>
          <w:lang w:val="en-IN"/>
        </w:rPr>
        <w:instrText xml:space="preserve"> ADDIN EN.CITE &lt;EndNote&gt;&lt;Cite&gt;&lt;Author&gt;Takagi&lt;/Author&gt;&lt;Year&gt;1971&lt;/Year&gt;&lt;RecNum&gt;228&lt;/RecNum&gt;&lt;DisplayText&gt;(Takagi, Watanabe, &amp;amp; SAITO, 1971)&lt;/DisplayText&gt;&lt;record&gt;&lt;rec-number&gt;228&lt;/rec-number&gt;&lt;foreign-keys&gt;&lt;key app="EN" db-id="sdvx20t5qr0sf5e999ax5208e0ssvp992v05" timestamp="1745914158"&gt;228&lt;/key&gt;&lt;/foreign-keys&gt;&lt;ref-type name="Journal Article"&gt;17&lt;/ref-type&gt;&lt;contributors&gt;&lt;authors&gt;&lt;author&gt;Takagi, Keijiro&lt;/author&gt;&lt;author&gt;Watanabe, Minoru&lt;/author&gt;&lt;author&gt;SAITO, Hiroshi&lt;/author&gt;&lt;/authors&gt;&lt;/contributors&gt;&lt;titles&gt;&lt;title&gt;Studies of the spontaneous movement of animals by the hole cross test; effect of 2-dimethyl-aminoethanol and its acyl esters on the central nervous system&lt;/title&gt;&lt;secondary-title&gt;The Japanese Journal of Pharmacology&lt;/secondary-title&gt;&lt;/titles&gt;&lt;periodical&gt;&lt;full-title&gt;The Japanese Journal of Pharmacology&lt;/full-title&gt;&lt;/periodical&gt;&lt;pages&gt;797-810&lt;/pages&gt;&lt;volume&gt;21&lt;/volume&gt;&lt;number&gt;6&lt;/number&gt;&lt;dates&gt;&lt;year&gt;1971&lt;/year&gt;&lt;/dates&gt;&lt;isbn&gt;0021-5198&lt;/isbn&gt;&lt;urls&gt;&lt;/urls&gt;&lt;/record&gt;&lt;/Cite&gt;&lt;/EndNote&gt;</w:instrText>
      </w:r>
      <w:r w:rsidR="00FC54E2">
        <w:rPr>
          <w:rFonts w:ascii="Arial" w:hAnsi="Arial" w:cs="Arial"/>
          <w:lang w:val="en-IN"/>
        </w:rPr>
        <w:fldChar w:fldCharType="separate"/>
      </w:r>
      <w:r w:rsidR="004E3F6A">
        <w:rPr>
          <w:rFonts w:ascii="Arial" w:hAnsi="Arial" w:cs="Arial"/>
          <w:noProof/>
          <w:lang w:val="en-IN"/>
        </w:rPr>
        <w:t>(Takagi, Watanabe, &amp; SAITO, 1971)</w:t>
      </w:r>
      <w:r w:rsidR="00FC54E2">
        <w:rPr>
          <w:rFonts w:ascii="Arial" w:hAnsi="Arial" w:cs="Arial"/>
          <w:lang w:val="en-IN"/>
        </w:rPr>
        <w:fldChar w:fldCharType="end"/>
      </w:r>
      <w:r w:rsidR="00FC54E2">
        <w:rPr>
          <w:rFonts w:ascii="Arial" w:hAnsi="Arial" w:cs="Arial"/>
          <w:lang w:val="en-IN"/>
        </w:rPr>
        <w:t>.</w:t>
      </w:r>
    </w:p>
    <w:p w14:paraId="5D8F0E04" w14:textId="77777777" w:rsidR="00F16027" w:rsidRPr="00A65789" w:rsidRDefault="00F16027" w:rsidP="00A65789">
      <w:pPr>
        <w:pStyle w:val="Body"/>
        <w:spacing w:after="0"/>
        <w:rPr>
          <w:rFonts w:ascii="Arial" w:hAnsi="Arial" w:cs="Arial"/>
          <w:lang w:val="en-IN"/>
        </w:rPr>
      </w:pPr>
    </w:p>
    <w:p w14:paraId="5D2261D2"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 xml:space="preserve">4.1.2. Elevated plus maze </w:t>
      </w:r>
    </w:p>
    <w:p w14:paraId="0B0F9101" w14:textId="78911F51" w:rsidR="00A65789" w:rsidRDefault="00A65789" w:rsidP="00A65789">
      <w:pPr>
        <w:pStyle w:val="Body"/>
        <w:spacing w:after="0"/>
        <w:rPr>
          <w:rFonts w:ascii="Arial" w:hAnsi="Arial" w:cs="Arial"/>
          <w:lang w:val="en-IN"/>
        </w:rPr>
      </w:pPr>
      <w:r w:rsidRPr="00A65789">
        <w:rPr>
          <w:rFonts w:ascii="Arial" w:hAnsi="Arial" w:cs="Arial"/>
          <w:lang w:val="en-IN"/>
        </w:rPr>
        <w:t>The elevated plus maze test links between fear and exploration depends on spontaneous behaviour. Its shape is like a plus sign, which is 40cm above from the ground, has two open arms (30 × 5 cm, enclosed by a 0.25 cm high border) &amp; two closed arms (30 × 5 cm, surrounded by 25 cm high walls). The mice were placed in the middle, facing one of the open arms and allowed to move freely. They’re treated with saline as placebo, the standard drug Diazepam &amp; several test samples.  If the number of total entries and time spent (for each 5-minute session) in open arms is more than closed one, it’s a proof that plant extract has proper an</w:t>
      </w:r>
      <w:r w:rsidR="00FC54E2">
        <w:rPr>
          <w:rFonts w:ascii="Arial" w:hAnsi="Arial" w:cs="Arial"/>
          <w:lang w:val="en-IN"/>
        </w:rPr>
        <w:t xml:space="preserve">xiolytic effect on them </w:t>
      </w:r>
      <w:r w:rsidR="00FC54E2">
        <w:rPr>
          <w:rFonts w:ascii="Arial" w:hAnsi="Arial" w:cs="Arial"/>
          <w:lang w:val="en-IN"/>
        </w:rPr>
        <w:fldChar w:fldCharType="begin"/>
      </w:r>
      <w:r w:rsidR="004E3F6A">
        <w:rPr>
          <w:rFonts w:ascii="Arial" w:hAnsi="Arial" w:cs="Arial"/>
          <w:lang w:val="en-IN"/>
        </w:rPr>
        <w:instrText xml:space="preserve"> ADDIN EN.CITE &lt;EndNote&gt;&lt;Cite&gt;&lt;Author&gt;Pellow&lt;/Author&gt;&lt;Year&gt;1985&lt;/Year&gt;&lt;RecNum&gt;229&lt;/RecNum&gt;&lt;DisplayText&gt;(Pellow, Chopin, File, &amp;amp; Briley, 1985)&lt;/DisplayText&gt;&lt;record&gt;&lt;rec-number&gt;229&lt;/rec-number&gt;&lt;foreign-keys&gt;&lt;key app="EN" db-id="sdvx20t5qr0sf5e999ax5208e0ssvp992v05" timestamp="1745914219"&gt;229&lt;/key&gt;&lt;/foreign-keys&gt;&lt;ref-type name="Journal Article"&gt;17&lt;/ref-type&gt;&lt;contributors&gt;&lt;authors&gt;&lt;author&gt;Pellow, Sharon&lt;/author&gt;&lt;author&gt;Chopin, Philippe&lt;/author&gt;&lt;author&gt;File, Sandra E&lt;/author&gt;&lt;author&gt;Briley, Mike&lt;/author&gt;&lt;/authors&gt;&lt;/contributors&gt;&lt;titles&gt;&lt;title&gt;Validation of open: closed arm entries in an elevated plus-maze as a measure of anxiety in the rat&lt;/title&gt;&lt;secondary-title&gt;Journal of neuroscience methods&lt;/secondary-title&gt;&lt;/titles&gt;&lt;periodical&gt;&lt;full-title&gt;Journal of neuroscience methods&lt;/full-title&gt;&lt;/periodical&gt;&lt;pages&gt;149-167&lt;/pages&gt;&lt;volume&gt;14&lt;/volume&gt;&lt;number&gt;3&lt;/number&gt;&lt;dates&gt;&lt;year&gt;1985&lt;/year&gt;&lt;/dates&gt;&lt;isbn&gt;0165-0270&lt;/isbn&gt;&lt;urls&gt;&lt;/urls&gt;&lt;/record&gt;&lt;/Cite&gt;&lt;/EndNote&gt;</w:instrText>
      </w:r>
      <w:r w:rsidR="00FC54E2">
        <w:rPr>
          <w:rFonts w:ascii="Arial" w:hAnsi="Arial" w:cs="Arial"/>
          <w:lang w:val="en-IN"/>
        </w:rPr>
        <w:fldChar w:fldCharType="separate"/>
      </w:r>
      <w:r w:rsidR="004E3F6A">
        <w:rPr>
          <w:rFonts w:ascii="Arial" w:hAnsi="Arial" w:cs="Arial"/>
          <w:noProof/>
          <w:lang w:val="en-IN"/>
        </w:rPr>
        <w:t>(Pellow, Chopin, File, &amp; Briley, 1985)</w:t>
      </w:r>
      <w:r w:rsidR="00FC54E2">
        <w:rPr>
          <w:rFonts w:ascii="Arial" w:hAnsi="Arial" w:cs="Arial"/>
          <w:lang w:val="en-IN"/>
        </w:rPr>
        <w:fldChar w:fldCharType="end"/>
      </w:r>
      <w:r w:rsidR="00FC54E2">
        <w:rPr>
          <w:rFonts w:ascii="Arial" w:hAnsi="Arial" w:cs="Arial"/>
          <w:lang w:val="en-IN"/>
        </w:rPr>
        <w:t xml:space="preserve">.  </w:t>
      </w:r>
    </w:p>
    <w:p w14:paraId="60DF6674" w14:textId="77777777" w:rsidR="00F16027" w:rsidRPr="00A65789" w:rsidRDefault="00F16027" w:rsidP="00A65789">
      <w:pPr>
        <w:pStyle w:val="Body"/>
        <w:spacing w:after="0"/>
        <w:rPr>
          <w:rFonts w:ascii="Arial" w:hAnsi="Arial" w:cs="Arial"/>
          <w:lang w:val="en-IN"/>
        </w:rPr>
      </w:pPr>
    </w:p>
    <w:p w14:paraId="6F3A936D"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4.1.3. Hole-board method</w:t>
      </w:r>
    </w:p>
    <w:p w14:paraId="3536A20D" w14:textId="4E4C64CF" w:rsidR="00A65789" w:rsidRDefault="00A65789" w:rsidP="00A65789">
      <w:pPr>
        <w:pStyle w:val="Body"/>
        <w:spacing w:after="0"/>
        <w:rPr>
          <w:rFonts w:ascii="Arial" w:hAnsi="Arial" w:cs="Arial"/>
          <w:lang w:val="en-IN"/>
        </w:rPr>
      </w:pPr>
      <w:r w:rsidRPr="00A65789">
        <w:rPr>
          <w:rFonts w:ascii="Arial" w:hAnsi="Arial" w:cs="Arial"/>
          <w:lang w:val="en-IN"/>
        </w:rPr>
        <w:t xml:space="preserve">The hole-board is a tool used to measure anxiety, fear or locomotor activity of mice after administration of a specific dose. A hardwood board of 20 cm × 40 cm used with 16 evenly placed holes consists of an enclosed arena where head-dipping occurs. Here, lower frequency </w:t>
      </w:r>
      <w:r w:rsidRPr="00A65789">
        <w:rPr>
          <w:rFonts w:ascii="Arial" w:hAnsi="Arial" w:cs="Arial"/>
          <w:lang w:val="en-IN"/>
        </w:rPr>
        <w:lastRenderedPageBreak/>
        <w:t>of head-dipping is a result of significant anxiety-like conditions. Thirty minutes after treatment, each mouse was placed on the board separately for a five-minute trial, the number of head dipping was counted using a tally counter that is inversely proportional to anxiety &amp; directly proportional to the an</w:t>
      </w:r>
      <w:r w:rsidR="00FC54E2">
        <w:rPr>
          <w:rFonts w:ascii="Arial" w:hAnsi="Arial" w:cs="Arial"/>
          <w:lang w:val="en-IN"/>
        </w:rPr>
        <w:t xml:space="preserve">xiolytic effect of the drug </w:t>
      </w:r>
      <w:r w:rsidR="00FC54E2">
        <w:rPr>
          <w:rFonts w:ascii="Arial" w:hAnsi="Arial" w:cs="Arial"/>
          <w:lang w:val="en-IN"/>
        </w:rPr>
        <w:fldChar w:fldCharType="begin"/>
      </w:r>
      <w:r w:rsidR="004E3F6A">
        <w:rPr>
          <w:rFonts w:ascii="Arial" w:hAnsi="Arial" w:cs="Arial"/>
          <w:lang w:val="en-IN"/>
        </w:rPr>
        <w:instrText xml:space="preserve"> ADDIN EN.CITE &lt;EndNote&gt;&lt;Cite&gt;&lt;Author&gt;Takeda H&lt;/Author&gt;&lt;Year&gt;1998&lt;/Year&gt;&lt;RecNum&gt;107&lt;/RecNum&gt;&lt;DisplayText&gt;(Takeda H, 1998)&lt;/DisplayText&gt;&lt;record&gt;&lt;rec-number&gt;107&lt;/rec-number&gt;&lt;foreign-keys&gt;&lt;key app="EN" db-id="sdvx20t5qr0sf5e999ax5208e0ssvp992v05" timestamp="1733561362"&gt;107&lt;/key&gt;&lt;/foreign-keys&gt;&lt;ref-type name="Journal Article"&gt;17&lt;/ref-type&gt;&lt;contributors&gt;&lt;authors&gt;&lt;author&gt;Takeda H, Tsuji M, Matsumiya T &lt;/author&gt;&lt;/authors&gt;&lt;/contributors&gt;&lt;titles&gt;&lt;title&gt;Changes in head-dipping behavior in the hole-board test reflect the anxiogenic and/or anxiolytic state in mice. &lt;/title&gt;&lt;secondary-title&gt;European journal of pharmacology&lt;/secondary-title&gt;&lt;/titles&gt;&lt;periodical&gt;&lt;full-title&gt;European Journal of Pharmacology&lt;/full-title&gt;&lt;/periodical&gt;&lt;pages&gt;21-29&lt;/pages&gt;&lt;volume&gt;350(1)&lt;/volume&gt;&lt;dates&gt;&lt;year&gt;1998&lt;/year&gt;&lt;/dates&gt;&lt;urls&gt;&lt;/urls&gt;&lt;/record&gt;&lt;/Cite&gt;&lt;/EndNote&gt;</w:instrText>
      </w:r>
      <w:r w:rsidR="00FC54E2">
        <w:rPr>
          <w:rFonts w:ascii="Arial" w:hAnsi="Arial" w:cs="Arial"/>
          <w:lang w:val="en-IN"/>
        </w:rPr>
        <w:fldChar w:fldCharType="separate"/>
      </w:r>
      <w:r w:rsidR="004E3F6A">
        <w:rPr>
          <w:rFonts w:ascii="Arial" w:hAnsi="Arial" w:cs="Arial"/>
          <w:noProof/>
          <w:lang w:val="en-IN"/>
        </w:rPr>
        <w:t>(Takeda H, 1998)</w:t>
      </w:r>
      <w:r w:rsidR="00FC54E2">
        <w:rPr>
          <w:rFonts w:ascii="Arial" w:hAnsi="Arial" w:cs="Arial"/>
          <w:lang w:val="en-IN"/>
        </w:rPr>
        <w:fldChar w:fldCharType="end"/>
      </w:r>
      <w:r w:rsidR="00FC54E2">
        <w:rPr>
          <w:rFonts w:ascii="Arial" w:hAnsi="Arial" w:cs="Arial"/>
          <w:lang w:val="en-IN"/>
        </w:rPr>
        <w:t>.</w:t>
      </w:r>
    </w:p>
    <w:p w14:paraId="55F44C88" w14:textId="77777777" w:rsidR="00F16027" w:rsidRPr="00A65789" w:rsidRDefault="00F16027" w:rsidP="00A65789">
      <w:pPr>
        <w:pStyle w:val="Body"/>
        <w:spacing w:after="0"/>
        <w:rPr>
          <w:rFonts w:ascii="Arial" w:hAnsi="Arial" w:cs="Arial"/>
          <w:lang w:val="en-IN"/>
        </w:rPr>
      </w:pPr>
    </w:p>
    <w:p w14:paraId="0BF3A478" w14:textId="67B5AC7C"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4.</w:t>
      </w:r>
      <w:r w:rsidR="00F16027">
        <w:rPr>
          <w:rFonts w:ascii="Arial" w:hAnsi="Arial" w:cs="Arial"/>
          <w:b/>
          <w:bCs/>
          <w:lang w:val="en-IN"/>
        </w:rPr>
        <w:t>2</w:t>
      </w:r>
      <w:r w:rsidRPr="00A65789">
        <w:rPr>
          <w:rFonts w:ascii="Arial" w:hAnsi="Arial" w:cs="Arial"/>
          <w:b/>
          <w:bCs/>
          <w:lang w:val="en-IN"/>
        </w:rPr>
        <w:t>. Evaluation of Peripheral Analgesic Effect</w:t>
      </w:r>
    </w:p>
    <w:p w14:paraId="1CF9379C" w14:textId="1F8F9A34" w:rsidR="00A65789" w:rsidRPr="00A65789" w:rsidRDefault="00A65789" w:rsidP="00A65789">
      <w:pPr>
        <w:pStyle w:val="Body"/>
        <w:spacing w:after="0"/>
        <w:rPr>
          <w:rFonts w:ascii="Arial" w:hAnsi="Arial" w:cs="Arial"/>
          <w:lang w:val="en-IN"/>
        </w:rPr>
      </w:pPr>
      <w:r w:rsidRPr="00A65789">
        <w:rPr>
          <w:rFonts w:ascii="Arial" w:hAnsi="Arial" w:cs="Arial"/>
          <w:b/>
          <w:bCs/>
          <w:lang w:val="en-IN"/>
        </w:rPr>
        <w:t>4.2.</w:t>
      </w:r>
      <w:r w:rsidR="00F16027">
        <w:rPr>
          <w:rFonts w:ascii="Arial" w:hAnsi="Arial" w:cs="Arial"/>
          <w:b/>
          <w:bCs/>
          <w:lang w:val="en-IN"/>
        </w:rPr>
        <w:t>1.</w:t>
      </w:r>
      <w:r w:rsidRPr="00A65789">
        <w:rPr>
          <w:rFonts w:ascii="Arial" w:hAnsi="Arial" w:cs="Arial"/>
          <w:b/>
          <w:bCs/>
          <w:lang w:val="en-IN"/>
        </w:rPr>
        <w:t xml:space="preserve"> Acetic acid induced writhing method</w:t>
      </w:r>
      <w:r w:rsidRPr="00A65789">
        <w:rPr>
          <w:rFonts w:ascii="Arial" w:hAnsi="Arial" w:cs="Arial"/>
          <w:lang w:val="en-IN"/>
        </w:rPr>
        <w:t xml:space="preserve">  </w:t>
      </w:r>
    </w:p>
    <w:p w14:paraId="1FD70F00" w14:textId="6B7E1B08" w:rsidR="00A65789" w:rsidRPr="00A65789" w:rsidRDefault="00A65789" w:rsidP="00A65789">
      <w:pPr>
        <w:pStyle w:val="Body"/>
        <w:spacing w:after="0"/>
        <w:rPr>
          <w:rFonts w:ascii="Arial" w:hAnsi="Arial" w:cs="Arial"/>
          <w:lang w:val="en-IN"/>
        </w:rPr>
      </w:pPr>
      <w:r w:rsidRPr="00A65789">
        <w:rPr>
          <w:rFonts w:ascii="Arial" w:hAnsi="Arial" w:cs="Arial"/>
          <w:lang w:val="en-IN"/>
        </w:rPr>
        <w:t xml:space="preserve">An experimental method to evaluate the analgesic or pain- relieving properties of administered doses where inducing pain perception is done first that is resulting in writhing responses. Diclofenac: a standard medication,15mins after administering it &amp;30mins after giving the extract,0.7% glacial acetic acid(10ml/kg) is injected intraperitonially to induce pain.[30] Writhing or stretching of hindlimb or abdominal contractions occurs. After 5mins, each mouse was carefully monitored for 20mins to count writhing. Percentage reduction in writhing denotes analgesia. The following formula was used to compute protection </w:t>
      </w:r>
      <w:r w:rsidR="00785820">
        <w:rPr>
          <w:rFonts w:ascii="Arial" w:hAnsi="Arial" w:cs="Arial"/>
          <w:lang w:val="en-IN"/>
        </w:rPr>
        <w:t xml:space="preserve">(%) against acetic acid: </w:t>
      </w:r>
      <w:r w:rsidR="00785820">
        <w:rPr>
          <w:rFonts w:ascii="Arial" w:hAnsi="Arial" w:cs="Arial"/>
          <w:lang w:val="en-IN"/>
        </w:rPr>
        <w:fldChar w:fldCharType="begin"/>
      </w:r>
      <w:r w:rsidR="004E3F6A">
        <w:rPr>
          <w:rFonts w:ascii="Arial" w:hAnsi="Arial" w:cs="Arial"/>
          <w:lang w:val="en-IN"/>
        </w:rPr>
        <w:instrText xml:space="preserve"> ADDIN EN.CITE &lt;EndNote&gt;&lt;Cite&gt;&lt;Author&gt;Koster&lt;/Author&gt;&lt;Year&gt;1959&lt;/Year&gt;&lt;RecNum&gt;86&lt;/RecNum&gt;&lt;DisplayText&gt;(Bachhav, Gulecha, &amp;amp; Upasani, 2009; Koster, Anderson, &amp;amp; De Beer, 1959)&lt;/DisplayText&gt;&lt;record&gt;&lt;rec-number&gt;86&lt;/rec-number&gt;&lt;foreign-keys&gt;&lt;key app="EN" db-id="sdvx20t5qr0sf5e999ax5208e0ssvp992v05" timestamp="1733557225"&gt;86&lt;/key&gt;&lt;/foreign-keys&gt;&lt;ref-type name="Conference Proceedings"&gt;10&lt;/ref-type&gt;&lt;contributors&gt;&lt;authors&gt;&lt;author&gt;Koster, R&lt;/author&gt;&lt;author&gt;Anderson, W&lt;/author&gt;&lt;author&gt;De Beer, EJ&lt;/author&gt;&lt;/authors&gt;&lt;/contributors&gt;&lt;titles&gt;&lt;title&gt;Acetic acid for analgesic screening&lt;/title&gt;&lt;/titles&gt;&lt;dates&gt;&lt;year&gt;1959&lt;/year&gt;&lt;/dates&gt;&lt;publisher&gt;FEDERATION PROCEEDINGS&lt;/publisher&gt;&lt;urls&gt;&lt;/urls&gt;&lt;/record&gt;&lt;/Cite&gt;&lt;Cite&gt;&lt;Author&gt;Bachhav&lt;/Author&gt;&lt;Year&gt;2009&lt;/Year&gt;&lt;RecNum&gt;99&lt;/RecNum&gt;&lt;record&gt;&lt;rec-number&gt;99&lt;/rec-number&gt;&lt;foreign-keys&gt;&lt;key app="EN" db-id="sdvx20t5qr0sf5e999ax5208e0ssvp992v05" timestamp="1733558112"&gt;99&lt;/key&gt;&lt;/foreign-keys&gt;&lt;ref-type name="Journal Article"&gt;17&lt;/ref-type&gt;&lt;contributors&gt;&lt;authors&gt;&lt;author&gt;Bachhav, RS&lt;/author&gt;&lt;author&gt;Gulecha, VS&lt;/author&gt;&lt;author&gt;Upasani, CD2875733&lt;/author&gt;&lt;/authors&gt;&lt;/contributors&gt;&lt;titles&gt;&lt;title&gt;Analgesic and anti-inflammatory activity of Argyreia speciosa root&lt;/title&gt;&lt;secondary-title&gt;Indian Journal of Pharmacology&lt;/secondary-title&gt;&lt;/titles&gt;&lt;periodical&gt;&lt;full-title&gt;Indian Journal of Pharmacology&lt;/full-title&gt;&lt;/periodical&gt;&lt;pages&gt;158-161&lt;/pages&gt;&lt;volume&gt;41&lt;/volume&gt;&lt;number&gt;4&lt;/number&gt;&lt;dates&gt;&lt;year&gt;2009&lt;/year&gt;&lt;/dates&gt;&lt;isbn&gt;0253-7613&lt;/isbn&gt;&lt;urls&gt;&lt;/urls&gt;&lt;/record&gt;&lt;/Cite&gt;&lt;/EndNote&gt;</w:instrText>
      </w:r>
      <w:r w:rsidR="00785820">
        <w:rPr>
          <w:rFonts w:ascii="Arial" w:hAnsi="Arial" w:cs="Arial"/>
          <w:lang w:val="en-IN"/>
        </w:rPr>
        <w:fldChar w:fldCharType="separate"/>
      </w:r>
      <w:r w:rsidR="004E3F6A">
        <w:rPr>
          <w:rFonts w:ascii="Arial" w:hAnsi="Arial" w:cs="Arial"/>
          <w:noProof/>
          <w:lang w:val="en-IN"/>
        </w:rPr>
        <w:t>(Bachhav, Gulecha, &amp; Upasani, 2009; Koster, Anderson, &amp; De Beer, 1959)</w:t>
      </w:r>
      <w:r w:rsidR="00785820">
        <w:rPr>
          <w:rFonts w:ascii="Arial" w:hAnsi="Arial" w:cs="Arial"/>
          <w:lang w:val="en-IN"/>
        </w:rPr>
        <w:fldChar w:fldCharType="end"/>
      </w:r>
    </w:p>
    <w:p w14:paraId="186736BD" w14:textId="45A5EA47" w:rsidR="00A65789" w:rsidRPr="00A65789" w:rsidRDefault="00A65789" w:rsidP="00A65789">
      <w:pPr>
        <w:pStyle w:val="Body"/>
        <w:spacing w:after="0"/>
        <w:rPr>
          <w:rFonts w:ascii="Arial" w:hAnsi="Arial" w:cs="Arial"/>
          <w:lang w:val="en-IN"/>
        </w:rPr>
      </w:pPr>
      <m:oMathPara>
        <m:oMath>
          <m:r>
            <w:rPr>
              <w:rFonts w:ascii="Cambria Math" w:hAnsi="Cambria Math" w:cs="Arial"/>
              <w:lang w:val="en-IN"/>
            </w:rPr>
            <m:t xml:space="preserve">% of inhibitation= </m:t>
          </m:r>
          <m:f>
            <m:fPr>
              <m:ctrlPr>
                <w:rPr>
                  <w:rFonts w:ascii="Cambria Math" w:hAnsi="Cambria Math" w:cs="Arial"/>
                  <w:i/>
                  <w:lang w:val="en-IN"/>
                </w:rPr>
              </m:ctrlPr>
            </m:fPr>
            <m:num>
              <m:d>
                <m:dPr>
                  <m:begChr m:val="{"/>
                  <m:endChr m:val="}"/>
                  <m:ctrlPr>
                    <w:rPr>
                      <w:rFonts w:ascii="Cambria Math" w:hAnsi="Cambria Math" w:cs="Arial"/>
                      <w:i/>
                      <w:lang w:val="en-IN"/>
                    </w:rPr>
                  </m:ctrlPr>
                </m:dPr>
                <m:e>
                  <m:d>
                    <m:dPr>
                      <m:ctrlPr>
                        <w:rPr>
                          <w:rFonts w:ascii="Cambria Math" w:hAnsi="Cambria Math" w:cs="Arial"/>
                          <w:i/>
                          <w:lang w:val="en-IN"/>
                        </w:rPr>
                      </m:ctrlPr>
                    </m:dPr>
                    <m:e>
                      <m:r>
                        <w:rPr>
                          <w:rFonts w:ascii="Cambria Math" w:hAnsi="Cambria Math" w:cs="Arial"/>
                          <w:lang w:val="en-IN"/>
                        </w:rPr>
                        <m:t>A-B</m:t>
                      </m:r>
                    </m:e>
                  </m:d>
                  <m:r>
                    <w:rPr>
                      <w:rFonts w:ascii="Cambria Math" w:hAnsi="Cambria Math" w:cs="Arial"/>
                      <w:lang w:val="en-IN"/>
                    </w:rPr>
                    <m:t>×100</m:t>
                  </m:r>
                </m:e>
              </m:d>
            </m:num>
            <m:den>
              <m:r>
                <w:rPr>
                  <w:rFonts w:ascii="Cambria Math" w:hAnsi="Cambria Math" w:cs="Arial"/>
                  <w:lang w:val="en-IN"/>
                </w:rPr>
                <m:t>A</m:t>
              </m:r>
            </m:den>
          </m:f>
        </m:oMath>
      </m:oMathPara>
    </w:p>
    <w:p w14:paraId="4AABABEE" w14:textId="77777777" w:rsidR="00A65789" w:rsidRPr="00A65789" w:rsidRDefault="00A65789" w:rsidP="00A65789">
      <w:pPr>
        <w:pStyle w:val="Body"/>
        <w:spacing w:after="0"/>
        <w:rPr>
          <w:rFonts w:ascii="Arial" w:hAnsi="Arial" w:cs="Arial"/>
          <w:lang w:val="en-IN"/>
        </w:rPr>
      </w:pPr>
      <w:r w:rsidRPr="00A65789">
        <w:rPr>
          <w:rFonts w:ascii="Arial" w:hAnsi="Arial" w:cs="Arial"/>
          <w:lang w:val="en-IN"/>
        </w:rPr>
        <w:t>Here,</w:t>
      </w:r>
    </w:p>
    <w:p w14:paraId="36EF96F0" w14:textId="77777777" w:rsidR="00A65789" w:rsidRPr="00A65789" w:rsidRDefault="00A65789" w:rsidP="00A65789">
      <w:pPr>
        <w:pStyle w:val="Body"/>
        <w:spacing w:after="0"/>
        <w:rPr>
          <w:rFonts w:ascii="Arial" w:hAnsi="Arial" w:cs="Arial"/>
          <w:lang w:val="en-IN"/>
        </w:rPr>
      </w:pPr>
      <w:r w:rsidRPr="00A65789">
        <w:rPr>
          <w:rFonts w:ascii="Arial" w:hAnsi="Arial" w:cs="Arial"/>
          <w:lang w:val="en-IN"/>
        </w:rPr>
        <w:t>A = Number of writhing in the control group</w:t>
      </w:r>
    </w:p>
    <w:p w14:paraId="207E47FC" w14:textId="77777777" w:rsidR="00A65789" w:rsidRDefault="00A65789" w:rsidP="00A65789">
      <w:pPr>
        <w:pStyle w:val="Body"/>
        <w:spacing w:after="0"/>
        <w:rPr>
          <w:rFonts w:ascii="Arial" w:hAnsi="Arial" w:cs="Arial"/>
          <w:lang w:val="en-IN"/>
        </w:rPr>
      </w:pPr>
      <w:r w:rsidRPr="00A65789">
        <w:rPr>
          <w:rFonts w:ascii="Arial" w:hAnsi="Arial" w:cs="Arial"/>
          <w:lang w:val="en-IN"/>
        </w:rPr>
        <w:t>B = Number of writhing in the test group</w:t>
      </w:r>
    </w:p>
    <w:p w14:paraId="47CA9AE2" w14:textId="77777777" w:rsidR="00F16027" w:rsidRPr="00A65789" w:rsidRDefault="00F16027" w:rsidP="00A65789">
      <w:pPr>
        <w:pStyle w:val="Body"/>
        <w:spacing w:after="0"/>
        <w:rPr>
          <w:rFonts w:ascii="Arial" w:hAnsi="Arial" w:cs="Arial"/>
          <w:lang w:val="en-IN"/>
        </w:rPr>
      </w:pPr>
    </w:p>
    <w:p w14:paraId="279C5D60" w14:textId="77777777" w:rsidR="00A65789" w:rsidRPr="00A65789" w:rsidRDefault="00A65789" w:rsidP="00A65789">
      <w:pPr>
        <w:pStyle w:val="Body"/>
        <w:spacing w:after="0"/>
        <w:rPr>
          <w:rFonts w:ascii="Arial" w:hAnsi="Arial" w:cs="Arial"/>
          <w:lang w:val="en-IN"/>
        </w:rPr>
      </w:pPr>
      <w:r w:rsidRPr="00A65789">
        <w:rPr>
          <w:rFonts w:ascii="Arial" w:hAnsi="Arial" w:cs="Arial"/>
          <w:b/>
          <w:bCs/>
          <w:lang w:val="en-IN"/>
        </w:rPr>
        <w:t>4.3. Evaluation of Antipyretic Activity</w:t>
      </w:r>
    </w:p>
    <w:p w14:paraId="34B6E2A6" w14:textId="131AB9F9" w:rsidR="00A65789" w:rsidRPr="00A65789" w:rsidRDefault="00A65789" w:rsidP="00A65789">
      <w:pPr>
        <w:pStyle w:val="Body"/>
        <w:spacing w:after="0"/>
        <w:rPr>
          <w:rFonts w:ascii="Arial" w:hAnsi="Arial" w:cs="Arial"/>
          <w:lang w:val="en-IN"/>
        </w:rPr>
      </w:pPr>
      <w:r w:rsidRPr="00A65789">
        <w:rPr>
          <w:rFonts w:ascii="Arial" w:hAnsi="Arial" w:cs="Arial"/>
          <w:lang w:val="en-IN"/>
        </w:rPr>
        <w:t>Brewer's yeast induced pyrexia method is used in evaluating antipyretic activity. Normal body temperature of each mouse is recorded. 20% aqueous Brewer's yeast suspension (10 ml/kg) was injected subcutaneously to produce pyrexia. The mice were fasted for at least 18-24 hours. A rise of at least 0.5°C than normal body temperature(36.8+0.7°C) wou</w:t>
      </w:r>
      <w:r w:rsidR="00785820">
        <w:rPr>
          <w:rFonts w:ascii="Arial" w:hAnsi="Arial" w:cs="Arial"/>
          <w:lang w:val="en-IN"/>
        </w:rPr>
        <w:t xml:space="preserve">ld be considered as pyrexia </w:t>
      </w:r>
      <w:r w:rsidR="00785820">
        <w:rPr>
          <w:rFonts w:ascii="Arial" w:hAnsi="Arial" w:cs="Arial"/>
          <w:lang w:val="en-IN"/>
        </w:rPr>
        <w:fldChar w:fldCharType="begin"/>
      </w:r>
      <w:r w:rsidR="004E3F6A">
        <w:rPr>
          <w:rFonts w:ascii="Arial" w:hAnsi="Arial" w:cs="Arial"/>
          <w:lang w:val="en-IN"/>
        </w:rPr>
        <w:instrText xml:space="preserve"> ADDIN EN.CITE &lt;EndNote&gt;&lt;Cite&gt;&lt;Author&gt;Bhowmick&lt;/Author&gt;&lt;Year&gt;2014&lt;/Year&gt;&lt;RecNum&gt;226&lt;/RecNum&gt;&lt;DisplayText&gt;(Bhowmick et al., 2014)&lt;/DisplayText&gt;&lt;record&gt;&lt;rec-number&gt;226&lt;/rec-number&gt;&lt;foreign-keys&gt;&lt;key app="EN" db-id="sdvx20t5qr0sf5e999ax5208e0ssvp992v05" timestamp="1745913791"&gt;226&lt;/key&gt;&lt;/foreign-keys&gt;&lt;ref-type name="Journal Article"&gt;17&lt;/ref-type&gt;&lt;contributors&gt;&lt;authors&gt;&lt;author&gt;Bhowmick, Rumpa&lt;/author&gt;&lt;author&gt;Sarwar, Md Shahid&lt;/author&gt;&lt;author&gt;RahmanDewan, Syed Masudur&lt;/author&gt;&lt;author&gt;Das, Abhijit&lt;/author&gt;&lt;author&gt;Das, Binayok&lt;/author&gt;&lt;author&gt;NasirUddin, Mir Muhammad&lt;/author&gt;&lt;author&gt;Islam, Md Siddiqul&lt;/author&gt;&lt;author&gt;Islam, Mohammad Safiqul&lt;/author&gt;&lt;/authors&gt;&lt;/contributors&gt;&lt;titles&gt;&lt;title&gt;In vivo analgesic, antipyretic, and anti-inflammatory potential in Swiss albino mice and in vitro thrombolytic activity of hydroalcoholic extract from Litsea glutinosa leaves&lt;/title&gt;&lt;secondary-title&gt;Biological research&lt;/secondary-title&gt;&lt;/titles&gt;&lt;periodical&gt;&lt;full-title&gt;Biological research&lt;/full-title&gt;&lt;/periodical&gt;&lt;pages&gt;1-8&lt;/pages&gt;&lt;volume&gt;47&lt;/volume&gt;&lt;dates&gt;&lt;year&gt;2014&lt;/year&gt;&lt;/dates&gt;&lt;urls&gt;&lt;/urls&gt;&lt;/record&gt;&lt;/Cite&gt;&lt;/EndNote&gt;</w:instrText>
      </w:r>
      <w:r w:rsidR="00785820">
        <w:rPr>
          <w:rFonts w:ascii="Arial" w:hAnsi="Arial" w:cs="Arial"/>
          <w:lang w:val="en-IN"/>
        </w:rPr>
        <w:fldChar w:fldCharType="separate"/>
      </w:r>
      <w:r w:rsidR="004E3F6A">
        <w:rPr>
          <w:rFonts w:ascii="Arial" w:hAnsi="Arial" w:cs="Arial"/>
          <w:noProof/>
          <w:lang w:val="en-IN"/>
        </w:rPr>
        <w:t>(Bhowmick et al., 2014)</w:t>
      </w:r>
      <w:r w:rsidR="00785820">
        <w:rPr>
          <w:rFonts w:ascii="Arial" w:hAnsi="Arial" w:cs="Arial"/>
          <w:lang w:val="en-IN"/>
        </w:rPr>
        <w:fldChar w:fldCharType="end"/>
      </w:r>
      <w:r w:rsidRPr="00A65789">
        <w:rPr>
          <w:rFonts w:ascii="Arial" w:hAnsi="Arial" w:cs="Arial"/>
          <w:lang w:val="en-IN"/>
        </w:rPr>
        <w:t>. Then test samples were administered to every mouse and rectal tempera</w:t>
      </w:r>
      <w:r w:rsidR="00785820">
        <w:rPr>
          <w:rFonts w:ascii="Arial" w:hAnsi="Arial" w:cs="Arial"/>
          <w:lang w:val="en-IN"/>
        </w:rPr>
        <w:t xml:space="preserve">ture was measured once more. </w:t>
      </w:r>
      <w:r w:rsidRPr="00A65789">
        <w:rPr>
          <w:rFonts w:ascii="Arial" w:hAnsi="Arial" w:cs="Arial"/>
          <w:lang w:val="en-IN"/>
        </w:rPr>
        <w:t>The following formula was then used to determine the % decrease in pyrexia:</w:t>
      </w:r>
      <w:r w:rsidR="00785820">
        <w:rPr>
          <w:rFonts w:ascii="Arial" w:hAnsi="Arial" w:cs="Arial"/>
          <w:lang w:val="en-IN"/>
        </w:rPr>
        <w:t xml:space="preserve"> </w:t>
      </w:r>
      <w:r w:rsidR="00785820">
        <w:rPr>
          <w:rFonts w:ascii="Arial" w:hAnsi="Arial" w:cs="Arial"/>
          <w:lang w:val="en-IN"/>
        </w:rPr>
        <w:fldChar w:fldCharType="begin"/>
      </w:r>
      <w:r w:rsidR="004E3F6A">
        <w:rPr>
          <w:rFonts w:ascii="Arial" w:hAnsi="Arial" w:cs="Arial"/>
          <w:lang w:val="en-IN"/>
        </w:rPr>
        <w:instrText xml:space="preserve"> ADDIN EN.CITE &lt;EndNote&gt;&lt;Cite&gt;&lt;Author&gt;Safari&lt;/Author&gt;&lt;Year&gt;2016&lt;/Year&gt;&lt;RecNum&gt;230&lt;/RecNum&gt;&lt;DisplayText&gt;(Safari, Ngugi, Orinda, &amp;amp; Njagi, 2016)&lt;/DisplayText&gt;&lt;record&gt;&lt;rec-number&gt;230&lt;/rec-number&gt;&lt;foreign-keys&gt;&lt;key app="EN" db-id="sdvx20t5qr0sf5e999ax5208e0ssvp992v05" timestamp="1745914596"&gt;230&lt;/key&gt;&lt;/foreign-keys&gt;&lt;ref-type name="Journal Article"&gt;17&lt;/ref-type&gt;&lt;contributors&gt;&lt;authors&gt;&lt;author&gt;Safari, VZ&lt;/author&gt;&lt;author&gt;Ngugi, MP&lt;/author&gt;&lt;author&gt;Orinda, G&lt;/author&gt;&lt;author&gt;Njagi, EM&lt;/author&gt;&lt;/authors&gt;&lt;/contributors&gt;&lt;titles&gt;&lt;title&gt;Anti-pyretic, anti-inflammatory and analgesic activities of aqueous leaf extract of Urtica dioica L. in albino mice&lt;/title&gt;&lt;secondary-title&gt;Med Aromat Plants&lt;/secondary-title&gt;&lt;/titles&gt;&lt;periodical&gt;&lt;full-title&gt;Med Aromat Plants&lt;/full-title&gt;&lt;/periodical&gt;&lt;pages&gt;2167-0412&lt;/pages&gt;&lt;volume&gt;5&lt;/volume&gt;&lt;number&gt;237&lt;/number&gt;&lt;dates&gt;&lt;year&gt;2016&lt;/year&gt;&lt;/dates&gt;&lt;urls&gt;&lt;/urls&gt;&lt;/record&gt;&lt;/Cite&gt;&lt;/EndNote&gt;</w:instrText>
      </w:r>
      <w:r w:rsidR="00785820">
        <w:rPr>
          <w:rFonts w:ascii="Arial" w:hAnsi="Arial" w:cs="Arial"/>
          <w:lang w:val="en-IN"/>
        </w:rPr>
        <w:fldChar w:fldCharType="separate"/>
      </w:r>
      <w:r w:rsidR="004E3F6A">
        <w:rPr>
          <w:rFonts w:ascii="Arial" w:hAnsi="Arial" w:cs="Arial"/>
          <w:noProof/>
          <w:lang w:val="en-IN"/>
        </w:rPr>
        <w:t>(Safari, Ngugi, Orinda, &amp; Njagi, 2016)</w:t>
      </w:r>
      <w:r w:rsidR="00785820">
        <w:rPr>
          <w:rFonts w:ascii="Arial" w:hAnsi="Arial" w:cs="Arial"/>
          <w:lang w:val="en-IN"/>
        </w:rPr>
        <w:fldChar w:fldCharType="end"/>
      </w:r>
    </w:p>
    <w:p w14:paraId="6721CBAD" w14:textId="4FA06472" w:rsidR="00A65789" w:rsidRPr="00A65789" w:rsidRDefault="00A65789" w:rsidP="00A65789">
      <w:pPr>
        <w:pStyle w:val="Body"/>
        <w:spacing w:after="0"/>
        <w:rPr>
          <w:rFonts w:ascii="Arial" w:hAnsi="Arial" w:cs="Arial"/>
          <w:lang w:val="en-IN"/>
        </w:rPr>
      </w:pPr>
      <w:r w:rsidRPr="00A65789">
        <w:rPr>
          <w:rFonts w:ascii="Arial" w:hAnsi="Arial" w:cs="Arial"/>
          <w:lang w:val="en-IN"/>
        </w:rPr>
        <w:t xml:space="preserve">                                                  </w:t>
      </w:r>
      <m:oMath>
        <m:r>
          <w:rPr>
            <w:rFonts w:ascii="Cambria Math" w:hAnsi="Cambria Math" w:cs="Arial"/>
            <w:lang w:val="en-IN"/>
          </w:rPr>
          <m:t>Reduction of pyrrexia</m:t>
        </m:r>
        <m:d>
          <m:dPr>
            <m:ctrlPr>
              <w:rPr>
                <w:rFonts w:ascii="Cambria Math" w:hAnsi="Cambria Math" w:cs="Arial"/>
                <w:i/>
                <w:lang w:val="en-IN"/>
              </w:rPr>
            </m:ctrlPr>
          </m:dPr>
          <m:e>
            <m:r>
              <w:rPr>
                <w:rFonts w:ascii="Cambria Math" w:hAnsi="Cambria Math" w:cs="Arial"/>
                <w:lang w:val="en-IN"/>
              </w:rPr>
              <m:t>%</m:t>
            </m:r>
          </m:e>
        </m:d>
        <m:r>
          <w:rPr>
            <w:rFonts w:ascii="Cambria Math" w:hAnsi="Cambria Math" w:cs="Arial"/>
            <w:lang w:val="en-IN"/>
          </w:rPr>
          <m:t xml:space="preserve"> = </m:t>
        </m:r>
        <m:d>
          <m:dPr>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B-C</m:t>
                </m:r>
              </m:num>
              <m:den>
                <m:r>
                  <w:rPr>
                    <w:rFonts w:ascii="Cambria Math" w:hAnsi="Cambria Math" w:cs="Arial"/>
                    <w:lang w:val="en-IN"/>
                  </w:rPr>
                  <m:t>B-A</m:t>
                </m:r>
              </m:den>
            </m:f>
          </m:e>
        </m:d>
        <m:r>
          <w:rPr>
            <w:rFonts w:ascii="Cambria Math" w:hAnsi="Cambria Math" w:cs="Arial"/>
            <w:lang w:val="en-IN"/>
          </w:rPr>
          <m:t>×100</m:t>
        </m:r>
      </m:oMath>
    </w:p>
    <w:p w14:paraId="168F8FBB" w14:textId="77777777" w:rsidR="00A65789" w:rsidRPr="00A65789" w:rsidRDefault="00A65789" w:rsidP="00A65789">
      <w:pPr>
        <w:pStyle w:val="Body"/>
        <w:spacing w:after="0"/>
        <w:rPr>
          <w:rFonts w:ascii="Arial" w:hAnsi="Arial" w:cs="Arial"/>
          <w:lang w:val="en-IN"/>
        </w:rPr>
      </w:pPr>
      <w:r w:rsidRPr="00A65789">
        <w:rPr>
          <w:rFonts w:ascii="Arial" w:hAnsi="Arial" w:cs="Arial"/>
          <w:lang w:val="en-IN"/>
        </w:rPr>
        <w:t xml:space="preserve">              Here,</w:t>
      </w:r>
    </w:p>
    <w:p w14:paraId="1C89B148" w14:textId="77777777" w:rsidR="00A65789" w:rsidRPr="00A65789" w:rsidRDefault="00A65789" w:rsidP="00F16027">
      <w:pPr>
        <w:pStyle w:val="Body"/>
        <w:spacing w:after="0"/>
        <w:rPr>
          <w:rFonts w:ascii="Arial" w:hAnsi="Arial" w:cs="Arial"/>
          <w:lang w:val="en-IN"/>
        </w:rPr>
      </w:pPr>
      <w:r w:rsidRPr="00A65789">
        <w:rPr>
          <w:rFonts w:ascii="Arial" w:hAnsi="Arial" w:cs="Arial"/>
          <w:lang w:val="en-IN"/>
        </w:rPr>
        <w:t xml:space="preserve">              A = Normal body temperature</w:t>
      </w:r>
    </w:p>
    <w:p w14:paraId="6962E168" w14:textId="77777777" w:rsidR="00A65789" w:rsidRPr="00A65789" w:rsidRDefault="00A65789" w:rsidP="00F16027">
      <w:pPr>
        <w:pStyle w:val="Body"/>
        <w:spacing w:after="0"/>
        <w:rPr>
          <w:rFonts w:ascii="Arial" w:hAnsi="Arial" w:cs="Arial"/>
          <w:lang w:val="en-IN"/>
        </w:rPr>
      </w:pPr>
      <w:r w:rsidRPr="00A65789">
        <w:rPr>
          <w:rFonts w:ascii="Arial" w:hAnsi="Arial" w:cs="Arial"/>
          <w:lang w:val="en-IN"/>
        </w:rPr>
        <w:t xml:space="preserve">              B = Rectal temperature at 18-24h after Brewer yeast administration</w:t>
      </w:r>
    </w:p>
    <w:p w14:paraId="116E5336" w14:textId="77777777" w:rsidR="00A65789" w:rsidRDefault="00A65789" w:rsidP="00F16027">
      <w:pPr>
        <w:pStyle w:val="Body"/>
        <w:spacing w:after="0"/>
        <w:rPr>
          <w:rFonts w:ascii="Arial" w:hAnsi="Arial" w:cs="Arial"/>
          <w:lang w:val="en-IN"/>
        </w:rPr>
      </w:pPr>
      <w:r w:rsidRPr="00A65789">
        <w:rPr>
          <w:rFonts w:ascii="Arial" w:hAnsi="Arial" w:cs="Arial"/>
          <w:lang w:val="en-IN"/>
        </w:rPr>
        <w:t xml:space="preserve">              C = Rectal temperature after administration of doses at the different time interval</w:t>
      </w:r>
    </w:p>
    <w:p w14:paraId="26F417FC" w14:textId="77777777" w:rsidR="00F16027" w:rsidRPr="00A65789" w:rsidRDefault="00F16027" w:rsidP="00F16027">
      <w:pPr>
        <w:pStyle w:val="Body"/>
        <w:spacing w:after="0"/>
        <w:rPr>
          <w:rFonts w:ascii="Arial" w:hAnsi="Arial" w:cs="Arial"/>
          <w:lang w:val="en-IN"/>
        </w:rPr>
      </w:pPr>
    </w:p>
    <w:p w14:paraId="507AFED4" w14:textId="4E4DE081" w:rsidR="00A65789" w:rsidRPr="00A65789" w:rsidRDefault="00F16027" w:rsidP="00A65789">
      <w:pPr>
        <w:pStyle w:val="Body"/>
        <w:spacing w:after="0"/>
        <w:rPr>
          <w:rFonts w:ascii="Arial" w:hAnsi="Arial" w:cs="Arial"/>
          <w:b/>
          <w:bCs/>
          <w:sz w:val="22"/>
          <w:szCs w:val="22"/>
          <w:lang w:val="en-IN"/>
        </w:rPr>
      </w:pPr>
      <w:r>
        <w:rPr>
          <w:rFonts w:ascii="Arial" w:hAnsi="Arial" w:cs="Arial"/>
          <w:b/>
          <w:bCs/>
          <w:sz w:val="22"/>
          <w:szCs w:val="22"/>
          <w:lang w:val="en-IN"/>
        </w:rPr>
        <w:t>4</w:t>
      </w:r>
      <w:r w:rsidR="00A65789" w:rsidRPr="00A65789">
        <w:rPr>
          <w:rFonts w:ascii="Arial" w:hAnsi="Arial" w:cs="Arial"/>
          <w:b/>
          <w:bCs/>
          <w:sz w:val="22"/>
          <w:szCs w:val="22"/>
          <w:lang w:val="en-IN"/>
        </w:rPr>
        <w:t>.</w:t>
      </w:r>
      <w:r>
        <w:rPr>
          <w:rFonts w:ascii="Arial" w:hAnsi="Arial" w:cs="Arial"/>
          <w:b/>
          <w:bCs/>
          <w:sz w:val="22"/>
          <w:szCs w:val="22"/>
          <w:lang w:val="en-IN"/>
        </w:rPr>
        <w:t>4</w:t>
      </w:r>
      <w:r w:rsidR="00A65789" w:rsidRPr="00A65789">
        <w:rPr>
          <w:rFonts w:ascii="Arial" w:hAnsi="Arial" w:cs="Arial"/>
          <w:b/>
          <w:bCs/>
          <w:sz w:val="22"/>
          <w:szCs w:val="22"/>
          <w:lang w:val="en-IN"/>
        </w:rPr>
        <w:t xml:space="preserve"> Statistical Analysis</w:t>
      </w:r>
    </w:p>
    <w:p w14:paraId="29FE69A9" w14:textId="0BEC0816" w:rsidR="00B72A21" w:rsidRDefault="00A65789" w:rsidP="00F16027">
      <w:pPr>
        <w:pStyle w:val="Body"/>
        <w:spacing w:after="0"/>
        <w:rPr>
          <w:rFonts w:ascii="Arial" w:hAnsi="Arial" w:cs="Arial"/>
          <w:lang w:val="en-IN"/>
        </w:rPr>
      </w:pPr>
      <w:r w:rsidRPr="00A65789">
        <w:rPr>
          <w:rFonts w:ascii="Arial" w:hAnsi="Arial" w:cs="Arial"/>
          <w:lang w:val="en-IN"/>
        </w:rPr>
        <w:t>The results of each study were displayed as mean ± SEM (Standard Error of Mean). The statistical software Statistical Package for Social Science (SPSS, version 16.0) was utilized to analyse the data using a post hoc Dunnett's t-test and a one-way ANOVA. When compared to the control, the p-values less than 0.05, 0.01, and 0.001 (p&lt;0.05, **p&lt;0.01, **p&lt;0.001) were deemed statistically significant. The graph has been created using Microsoft Excel.</w:t>
      </w:r>
    </w:p>
    <w:p w14:paraId="5DDB0427" w14:textId="77777777" w:rsidR="00B72A21" w:rsidRDefault="00B72A21" w:rsidP="00F16027">
      <w:pPr>
        <w:pStyle w:val="Body"/>
        <w:spacing w:after="0"/>
        <w:rPr>
          <w:rFonts w:ascii="Arial" w:hAnsi="Arial" w:cs="Arial"/>
          <w:noProof/>
          <w:lang w:val="en-IN"/>
        </w:rPr>
      </w:pPr>
    </w:p>
    <w:p w14:paraId="61302351" w14:textId="7BF4151D" w:rsidR="00A65789" w:rsidRDefault="00B72A21" w:rsidP="00B72A21">
      <w:pPr>
        <w:pStyle w:val="Body"/>
        <w:spacing w:after="0"/>
        <w:jc w:val="center"/>
        <w:rPr>
          <w:rFonts w:ascii="Arial" w:hAnsi="Arial" w:cs="Arial"/>
          <w:lang w:val="en-IN"/>
        </w:rPr>
      </w:pPr>
      <w:r>
        <w:rPr>
          <w:rFonts w:ascii="Arial" w:hAnsi="Arial" w:cs="Arial"/>
          <w:noProof/>
          <w:lang w:val="en-IN"/>
        </w:rPr>
        <w:lastRenderedPageBreak/>
        <w:drawing>
          <wp:inline distT="0" distB="0" distL="0" distR="0" wp14:anchorId="41FA32A3" wp14:editId="1925A94C">
            <wp:extent cx="3683000" cy="1930400"/>
            <wp:effectExtent l="19050" t="19050" r="12700" b="12700"/>
            <wp:docPr id="1796469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469919" name="Picture 1796469919"/>
                    <pic:cNvPicPr/>
                  </pic:nvPicPr>
                  <pic:blipFill rotWithShape="1">
                    <a:blip r:embed="rId14" cstate="print">
                      <a:extLst>
                        <a:ext uri="{28A0092B-C50C-407E-A947-70E740481C1C}">
                          <a14:useLocalDpi xmlns:a14="http://schemas.microsoft.com/office/drawing/2010/main" val="0"/>
                        </a:ext>
                      </a:extLst>
                    </a:blip>
                    <a:srcRect l="5988" r="7184" b="14246"/>
                    <a:stretch/>
                  </pic:blipFill>
                  <pic:spPr bwMode="auto">
                    <a:xfrm>
                      <a:off x="0" y="0"/>
                      <a:ext cx="3687910" cy="193297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F594BCC" w14:textId="77777777" w:rsidR="00B72A21" w:rsidRDefault="00B72A21" w:rsidP="00B72A21">
      <w:pPr>
        <w:pStyle w:val="Body"/>
        <w:spacing w:after="0"/>
        <w:jc w:val="center"/>
        <w:rPr>
          <w:rFonts w:ascii="Arial" w:hAnsi="Arial" w:cs="Arial"/>
          <w:lang w:val="en-IN"/>
        </w:rPr>
      </w:pPr>
    </w:p>
    <w:p w14:paraId="139D9447" w14:textId="5F031CCD" w:rsidR="00B72A21" w:rsidRPr="00B72A21" w:rsidRDefault="00B72A21" w:rsidP="00B72A21">
      <w:pPr>
        <w:pStyle w:val="Body"/>
        <w:spacing w:after="0"/>
        <w:rPr>
          <w:rFonts w:ascii="Arial" w:hAnsi="Arial" w:cs="Arial"/>
          <w:b/>
          <w:bCs/>
          <w:lang w:val="en-IN"/>
        </w:rPr>
      </w:pPr>
      <w:r w:rsidRPr="00B72A21">
        <w:rPr>
          <w:rFonts w:ascii="Arial" w:hAnsi="Arial" w:cs="Arial"/>
          <w:b/>
          <w:bCs/>
          <w:lang w:val="en-IN"/>
        </w:rPr>
        <w:t xml:space="preserve">Figure 1: </w:t>
      </w:r>
      <w:r w:rsidRPr="00B72A21">
        <w:rPr>
          <w:rFonts w:ascii="Arial" w:hAnsi="Arial" w:cs="Arial"/>
          <w:b/>
          <w:bCs/>
        </w:rPr>
        <w:t xml:space="preserve">Pharmacological activities of </w:t>
      </w:r>
      <w:r w:rsidRPr="00B72A21">
        <w:rPr>
          <w:rFonts w:ascii="Arial" w:hAnsi="Arial" w:cs="Arial"/>
          <w:b/>
          <w:bCs/>
          <w:i/>
          <w:iCs/>
        </w:rPr>
        <w:t>Maesa indica</w:t>
      </w:r>
      <w:r w:rsidRPr="00B72A21">
        <w:rPr>
          <w:rFonts w:ascii="Arial" w:hAnsi="Arial" w:cs="Arial"/>
          <w:b/>
          <w:bCs/>
        </w:rPr>
        <w:t xml:space="preserve"> leaves extract (In vivo, in vitro approaches)</w:t>
      </w:r>
    </w:p>
    <w:p w14:paraId="7EBC8411" w14:textId="77777777" w:rsidR="00F16027" w:rsidRDefault="00F16027" w:rsidP="00F16027">
      <w:pPr>
        <w:pStyle w:val="Body"/>
        <w:spacing w:after="0"/>
        <w:rPr>
          <w:rFonts w:ascii="Arial" w:hAnsi="Arial" w:cs="Arial"/>
          <w:lang w:val="en-IN"/>
        </w:rPr>
      </w:pPr>
    </w:p>
    <w:p w14:paraId="4279A883" w14:textId="36AFF348" w:rsidR="00F16027" w:rsidRDefault="00F16027" w:rsidP="00F16027">
      <w:pPr>
        <w:pStyle w:val="Body"/>
        <w:spacing w:after="0"/>
        <w:rPr>
          <w:rFonts w:ascii="Arial" w:hAnsi="Arial" w:cs="Arial"/>
          <w:b/>
          <w:bCs/>
          <w:sz w:val="22"/>
          <w:szCs w:val="22"/>
          <w:lang w:val="en-IN"/>
        </w:rPr>
      </w:pPr>
      <w:r w:rsidRPr="00F16027">
        <w:rPr>
          <w:rFonts w:ascii="Arial" w:hAnsi="Arial" w:cs="Arial"/>
          <w:b/>
          <w:bCs/>
          <w:sz w:val="22"/>
          <w:szCs w:val="22"/>
          <w:lang w:val="en-IN"/>
        </w:rPr>
        <w:t>5. RESULTS</w:t>
      </w:r>
    </w:p>
    <w:p w14:paraId="17B62092" w14:textId="77777777" w:rsidR="00F16027" w:rsidRPr="00A65789" w:rsidRDefault="00F16027" w:rsidP="00F16027">
      <w:pPr>
        <w:pStyle w:val="Body"/>
        <w:spacing w:after="0"/>
        <w:rPr>
          <w:rFonts w:ascii="Arial" w:hAnsi="Arial" w:cs="Arial"/>
          <w:b/>
          <w:bCs/>
          <w:sz w:val="22"/>
          <w:szCs w:val="22"/>
          <w:lang w:val="en-IN"/>
        </w:rPr>
      </w:pPr>
    </w:p>
    <w:p w14:paraId="0EC7C6DA" w14:textId="43E02ED2" w:rsidR="00A65789" w:rsidRPr="00A65789" w:rsidRDefault="00F16027" w:rsidP="00A65789">
      <w:pPr>
        <w:pStyle w:val="Body"/>
        <w:rPr>
          <w:rFonts w:ascii="Arial" w:hAnsi="Arial" w:cs="Arial"/>
          <w:b/>
          <w:bCs/>
          <w:lang w:val="en-IN"/>
        </w:rPr>
      </w:pPr>
      <w:r w:rsidRPr="00F16027">
        <w:rPr>
          <w:rFonts w:ascii="Arial" w:hAnsi="Arial" w:cs="Arial"/>
          <w:b/>
          <w:bCs/>
          <w:lang w:val="en-IN"/>
        </w:rPr>
        <w:t>5</w:t>
      </w:r>
      <w:r w:rsidR="00A65789" w:rsidRPr="00A65789">
        <w:rPr>
          <w:rFonts w:ascii="Arial" w:hAnsi="Arial" w:cs="Arial"/>
          <w:b/>
          <w:bCs/>
          <w:lang w:val="en-IN"/>
        </w:rPr>
        <w:t>.1 Preliminary Phytochemical Screening</w:t>
      </w:r>
    </w:p>
    <w:p w14:paraId="2124464E" w14:textId="77777777" w:rsidR="00A65789" w:rsidRPr="007F0B66" w:rsidRDefault="00A65789" w:rsidP="00A65789">
      <w:pPr>
        <w:pStyle w:val="Body"/>
        <w:rPr>
          <w:rFonts w:ascii="Arial" w:hAnsi="Arial" w:cs="Arial"/>
          <w:lang w:val="en-IN"/>
        </w:rPr>
      </w:pPr>
      <w:r w:rsidRPr="00A65789">
        <w:rPr>
          <w:rFonts w:ascii="Arial" w:hAnsi="Arial" w:cs="Arial"/>
          <w:lang w:val="en-IN"/>
        </w:rPr>
        <w:t xml:space="preserve">The preliminary phytochemical evaluation of methanolic extract of </w:t>
      </w:r>
      <w:r w:rsidRPr="00A65789">
        <w:rPr>
          <w:rFonts w:ascii="Arial" w:hAnsi="Arial" w:cs="Arial"/>
          <w:i/>
          <w:iCs/>
          <w:lang w:val="en-IN"/>
        </w:rPr>
        <w:t>Maesa indica</w:t>
      </w:r>
      <w:r w:rsidRPr="00A65789">
        <w:rPr>
          <w:rFonts w:ascii="Arial" w:hAnsi="Arial" w:cs="Arial"/>
          <w:lang w:val="en-IN"/>
        </w:rPr>
        <w:t xml:space="preserve"> confirmed the presence of alkaloids, carbohydrate, glycosides, tannins, phenols, flavonoids, phytosterols on the other hand, it showed protein is absent in here.</w:t>
      </w:r>
    </w:p>
    <w:p w14:paraId="7C5B1470" w14:textId="097D9015" w:rsidR="00A65789" w:rsidRPr="007F0B66" w:rsidRDefault="00A65789" w:rsidP="00A65789">
      <w:pPr>
        <w:pStyle w:val="Body"/>
        <w:rPr>
          <w:rFonts w:ascii="Arial" w:hAnsi="Arial" w:cs="Arial"/>
          <w:b/>
        </w:rPr>
      </w:pPr>
      <w:r w:rsidRPr="00A65789">
        <w:rPr>
          <w:rFonts w:ascii="Arial" w:hAnsi="Arial" w:cs="Arial"/>
          <w:b/>
        </w:rPr>
        <w:t xml:space="preserve">Table 1: Phytochemical screening of methanolic extracts of </w:t>
      </w:r>
      <w:r w:rsidRPr="00A65789">
        <w:rPr>
          <w:rFonts w:ascii="Arial" w:hAnsi="Arial" w:cs="Arial"/>
          <w:b/>
          <w:i/>
        </w:rPr>
        <w:t xml:space="preserve">Maesa indica </w:t>
      </w:r>
      <w:r w:rsidRPr="00A65789">
        <w:rPr>
          <w:rFonts w:ascii="Arial" w:hAnsi="Arial" w:cs="Arial"/>
          <w:b/>
        </w:rPr>
        <w:t>leaves extracts</w:t>
      </w:r>
    </w:p>
    <w:tbl>
      <w:tblPr>
        <w:tblStyle w:val="TableGrid"/>
        <w:tblW w:w="82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4"/>
        <w:gridCol w:w="1963"/>
        <w:gridCol w:w="3803"/>
        <w:gridCol w:w="1080"/>
      </w:tblGrid>
      <w:tr w:rsidR="00A65789" w:rsidRPr="007F0B66" w14:paraId="354733E7" w14:textId="77777777" w:rsidTr="00F16027">
        <w:tc>
          <w:tcPr>
            <w:tcW w:w="1434" w:type="dxa"/>
            <w:tcBorders>
              <w:top w:val="single" w:sz="4" w:space="0" w:color="auto"/>
              <w:bottom w:val="single" w:sz="4" w:space="0" w:color="auto"/>
            </w:tcBorders>
          </w:tcPr>
          <w:p w14:paraId="53029808" w14:textId="77777777" w:rsidR="00A65789" w:rsidRPr="007F0B66" w:rsidRDefault="00A65789" w:rsidP="001F5B6F">
            <w:pPr>
              <w:pStyle w:val="BodyText"/>
              <w:tabs>
                <w:tab w:val="left" w:pos="166"/>
              </w:tabs>
              <w:spacing w:after="0"/>
              <w:ind w:left="-11" w:right="49"/>
              <w:rPr>
                <w:b/>
                <w:bCs/>
              </w:rPr>
            </w:pPr>
            <w:r w:rsidRPr="007F0B66">
              <w:rPr>
                <w:b/>
                <w:bCs/>
              </w:rPr>
              <w:t>Serial No.</w:t>
            </w:r>
          </w:p>
        </w:tc>
        <w:tc>
          <w:tcPr>
            <w:tcW w:w="1963" w:type="dxa"/>
            <w:tcBorders>
              <w:top w:val="single" w:sz="4" w:space="0" w:color="auto"/>
              <w:bottom w:val="single" w:sz="4" w:space="0" w:color="auto"/>
            </w:tcBorders>
          </w:tcPr>
          <w:p w14:paraId="258F59A7" w14:textId="77777777" w:rsidR="00A65789" w:rsidRPr="007F0B66" w:rsidRDefault="00A65789" w:rsidP="001F5B6F">
            <w:pPr>
              <w:pStyle w:val="BodyText"/>
              <w:spacing w:after="0"/>
              <w:ind w:right="32"/>
              <w:rPr>
                <w:b/>
                <w:bCs/>
              </w:rPr>
            </w:pPr>
            <w:r w:rsidRPr="007F0B66">
              <w:rPr>
                <w:b/>
                <w:bCs/>
              </w:rPr>
              <w:t>Secondary metabolites</w:t>
            </w:r>
          </w:p>
        </w:tc>
        <w:tc>
          <w:tcPr>
            <w:tcW w:w="3803" w:type="dxa"/>
            <w:tcBorders>
              <w:top w:val="single" w:sz="4" w:space="0" w:color="auto"/>
              <w:bottom w:val="single" w:sz="4" w:space="0" w:color="auto"/>
            </w:tcBorders>
          </w:tcPr>
          <w:p w14:paraId="076F20FB" w14:textId="77777777" w:rsidR="00A65789" w:rsidRPr="007F0B66" w:rsidRDefault="00A65789" w:rsidP="001F5B6F">
            <w:pPr>
              <w:pStyle w:val="BodyText"/>
              <w:spacing w:after="0"/>
              <w:rPr>
                <w:b/>
                <w:bCs/>
              </w:rPr>
            </w:pPr>
            <w:r w:rsidRPr="007F0B66">
              <w:rPr>
                <w:b/>
                <w:bCs/>
              </w:rPr>
              <w:t>Name of the tests</w:t>
            </w:r>
          </w:p>
        </w:tc>
        <w:tc>
          <w:tcPr>
            <w:tcW w:w="1080" w:type="dxa"/>
            <w:tcBorders>
              <w:top w:val="single" w:sz="4" w:space="0" w:color="auto"/>
              <w:bottom w:val="single" w:sz="4" w:space="0" w:color="auto"/>
            </w:tcBorders>
          </w:tcPr>
          <w:p w14:paraId="4D50F155" w14:textId="77777777" w:rsidR="00A65789" w:rsidRPr="007F0B66" w:rsidRDefault="00A65789" w:rsidP="001F5B6F">
            <w:pPr>
              <w:pStyle w:val="BodyText"/>
              <w:spacing w:after="0"/>
              <w:ind w:right="-47"/>
              <w:rPr>
                <w:b/>
                <w:bCs/>
              </w:rPr>
            </w:pPr>
            <w:r w:rsidRPr="007F0B66">
              <w:rPr>
                <w:b/>
                <w:bCs/>
              </w:rPr>
              <w:t>Result</w:t>
            </w:r>
          </w:p>
        </w:tc>
      </w:tr>
      <w:tr w:rsidR="00A65789" w:rsidRPr="007F0B66" w14:paraId="5605CAE4" w14:textId="77777777" w:rsidTr="00F16027">
        <w:tc>
          <w:tcPr>
            <w:tcW w:w="1434" w:type="dxa"/>
            <w:tcBorders>
              <w:top w:val="single" w:sz="4" w:space="0" w:color="auto"/>
            </w:tcBorders>
          </w:tcPr>
          <w:p w14:paraId="079EFF96" w14:textId="77777777" w:rsidR="00A65789" w:rsidRPr="007F0B66" w:rsidRDefault="00A65789" w:rsidP="001F5B6F">
            <w:pPr>
              <w:pStyle w:val="BodyText"/>
              <w:spacing w:after="0"/>
              <w:ind w:right="49"/>
            </w:pPr>
            <w:r w:rsidRPr="007F0B66">
              <w:rPr>
                <w:spacing w:val="-10"/>
              </w:rPr>
              <w:t>1</w:t>
            </w:r>
          </w:p>
        </w:tc>
        <w:tc>
          <w:tcPr>
            <w:tcW w:w="1963" w:type="dxa"/>
            <w:tcBorders>
              <w:top w:val="single" w:sz="4" w:space="0" w:color="auto"/>
            </w:tcBorders>
          </w:tcPr>
          <w:p w14:paraId="79BFC8B9" w14:textId="77777777" w:rsidR="00A65789" w:rsidRPr="007F0B66" w:rsidRDefault="00A65789" w:rsidP="001F5B6F">
            <w:pPr>
              <w:pStyle w:val="BodyText"/>
              <w:spacing w:after="0"/>
              <w:ind w:right="32"/>
            </w:pPr>
            <w:r w:rsidRPr="007F0B66">
              <w:rPr>
                <w:spacing w:val="-2"/>
              </w:rPr>
              <w:t>Alkaloid</w:t>
            </w:r>
          </w:p>
        </w:tc>
        <w:tc>
          <w:tcPr>
            <w:tcW w:w="3803" w:type="dxa"/>
            <w:tcBorders>
              <w:top w:val="single" w:sz="4" w:space="0" w:color="auto"/>
            </w:tcBorders>
          </w:tcPr>
          <w:p w14:paraId="4D8459FE" w14:textId="77777777" w:rsidR="00A65789" w:rsidRPr="007F0B66" w:rsidRDefault="00A65789" w:rsidP="001F5B6F">
            <w:pPr>
              <w:pStyle w:val="BodyText"/>
              <w:spacing w:after="0"/>
            </w:pPr>
            <w:r w:rsidRPr="007F0B66">
              <w:t>Wagner's test</w:t>
            </w:r>
          </w:p>
          <w:p w14:paraId="697D379E" w14:textId="77777777" w:rsidR="00A65789" w:rsidRPr="007F0B66" w:rsidRDefault="00A65789" w:rsidP="001F5B6F">
            <w:pPr>
              <w:pStyle w:val="BodyText"/>
              <w:spacing w:after="0"/>
            </w:pPr>
            <w:r w:rsidRPr="007F0B66">
              <w:t>Mayer's test</w:t>
            </w:r>
          </w:p>
        </w:tc>
        <w:tc>
          <w:tcPr>
            <w:tcW w:w="1080" w:type="dxa"/>
            <w:tcBorders>
              <w:top w:val="single" w:sz="4" w:space="0" w:color="auto"/>
            </w:tcBorders>
          </w:tcPr>
          <w:p w14:paraId="03CB9A25" w14:textId="77777777" w:rsidR="00A65789" w:rsidRPr="007F0B66" w:rsidRDefault="00A65789" w:rsidP="001F5B6F">
            <w:pPr>
              <w:pStyle w:val="BodyText"/>
              <w:spacing w:after="0"/>
              <w:ind w:right="-47"/>
            </w:pPr>
            <w:r w:rsidRPr="007F0B66">
              <w:t>+</w:t>
            </w:r>
          </w:p>
          <w:p w14:paraId="34E52694" w14:textId="77777777" w:rsidR="00A65789" w:rsidRPr="007F0B66" w:rsidRDefault="00A65789" w:rsidP="001F5B6F">
            <w:pPr>
              <w:pStyle w:val="BodyText"/>
              <w:spacing w:after="0"/>
              <w:ind w:right="-47"/>
            </w:pPr>
            <w:r w:rsidRPr="007F0B66">
              <w:t>+</w:t>
            </w:r>
          </w:p>
        </w:tc>
      </w:tr>
      <w:tr w:rsidR="00A65789" w:rsidRPr="007F0B66" w14:paraId="6B604051" w14:textId="77777777" w:rsidTr="00F16027">
        <w:tc>
          <w:tcPr>
            <w:tcW w:w="1434" w:type="dxa"/>
          </w:tcPr>
          <w:p w14:paraId="37455F7A" w14:textId="77777777" w:rsidR="00A65789" w:rsidRPr="007F0B66" w:rsidRDefault="00A65789" w:rsidP="001F5B6F">
            <w:pPr>
              <w:pStyle w:val="BodyText"/>
              <w:spacing w:after="0"/>
              <w:ind w:right="49"/>
            </w:pPr>
            <w:r w:rsidRPr="007F0B66">
              <w:rPr>
                <w:spacing w:val="-10"/>
              </w:rPr>
              <w:t>2</w:t>
            </w:r>
          </w:p>
        </w:tc>
        <w:tc>
          <w:tcPr>
            <w:tcW w:w="1963" w:type="dxa"/>
          </w:tcPr>
          <w:p w14:paraId="7B6C8C34" w14:textId="77777777" w:rsidR="00A65789" w:rsidRPr="007F0B66" w:rsidRDefault="00A65789" w:rsidP="001F5B6F">
            <w:pPr>
              <w:pStyle w:val="BodyText"/>
              <w:spacing w:after="0"/>
              <w:ind w:right="32"/>
            </w:pPr>
            <w:r w:rsidRPr="007F0B66">
              <w:rPr>
                <w:spacing w:val="-2"/>
              </w:rPr>
              <w:t>Tannin</w:t>
            </w:r>
          </w:p>
        </w:tc>
        <w:tc>
          <w:tcPr>
            <w:tcW w:w="3803" w:type="dxa"/>
          </w:tcPr>
          <w:p w14:paraId="0E4BB2A3" w14:textId="77777777" w:rsidR="00A65789" w:rsidRPr="007F0B66" w:rsidRDefault="00A65789" w:rsidP="001F5B6F">
            <w:pPr>
              <w:pStyle w:val="BodyText"/>
              <w:spacing w:after="0"/>
            </w:pPr>
            <w:r w:rsidRPr="007F0B66">
              <w:t>Ferric chloride test</w:t>
            </w:r>
          </w:p>
          <w:p w14:paraId="0910C18E" w14:textId="77777777" w:rsidR="00A65789" w:rsidRPr="007F0B66" w:rsidRDefault="00A65789" w:rsidP="001F5B6F">
            <w:pPr>
              <w:pStyle w:val="BodyText"/>
              <w:spacing w:after="0"/>
            </w:pPr>
            <w:r w:rsidRPr="007F0B66">
              <w:t>Lead subacetate test</w:t>
            </w:r>
          </w:p>
        </w:tc>
        <w:tc>
          <w:tcPr>
            <w:tcW w:w="1080" w:type="dxa"/>
          </w:tcPr>
          <w:p w14:paraId="62DE09C0" w14:textId="77777777" w:rsidR="00A65789" w:rsidRPr="007F0B66" w:rsidRDefault="00A65789" w:rsidP="001F5B6F">
            <w:pPr>
              <w:pStyle w:val="BodyText"/>
              <w:spacing w:after="0"/>
              <w:ind w:right="-47"/>
            </w:pPr>
            <w:r w:rsidRPr="007F0B66">
              <w:t>+</w:t>
            </w:r>
          </w:p>
          <w:p w14:paraId="7B28E82F" w14:textId="77777777" w:rsidR="00A65789" w:rsidRPr="007F0B66" w:rsidRDefault="00A65789" w:rsidP="001F5B6F">
            <w:pPr>
              <w:pStyle w:val="BodyText"/>
              <w:spacing w:after="0"/>
              <w:ind w:right="-47"/>
            </w:pPr>
            <w:r w:rsidRPr="007F0B66">
              <w:t>+</w:t>
            </w:r>
          </w:p>
        </w:tc>
      </w:tr>
      <w:tr w:rsidR="00A65789" w:rsidRPr="007F0B66" w14:paraId="751BC8E6" w14:textId="77777777" w:rsidTr="00F16027">
        <w:tc>
          <w:tcPr>
            <w:tcW w:w="1434" w:type="dxa"/>
          </w:tcPr>
          <w:p w14:paraId="66905D55" w14:textId="77777777" w:rsidR="00A65789" w:rsidRPr="007F0B66" w:rsidRDefault="00A65789" w:rsidP="001F5B6F">
            <w:pPr>
              <w:pStyle w:val="BodyText"/>
              <w:spacing w:after="0"/>
              <w:ind w:right="49"/>
            </w:pPr>
            <w:r w:rsidRPr="007F0B66">
              <w:rPr>
                <w:spacing w:val="-10"/>
              </w:rPr>
              <w:t>3</w:t>
            </w:r>
          </w:p>
        </w:tc>
        <w:tc>
          <w:tcPr>
            <w:tcW w:w="1963" w:type="dxa"/>
          </w:tcPr>
          <w:p w14:paraId="4B597419" w14:textId="77777777" w:rsidR="00A65789" w:rsidRPr="007F0B66" w:rsidRDefault="00A65789" w:rsidP="001F5B6F">
            <w:pPr>
              <w:pStyle w:val="BodyText"/>
              <w:spacing w:after="0"/>
              <w:ind w:right="32"/>
            </w:pPr>
            <w:r w:rsidRPr="007F0B66">
              <w:rPr>
                <w:spacing w:val="-2"/>
              </w:rPr>
              <w:t>Steroid</w:t>
            </w:r>
          </w:p>
        </w:tc>
        <w:tc>
          <w:tcPr>
            <w:tcW w:w="3803" w:type="dxa"/>
          </w:tcPr>
          <w:p w14:paraId="41C7C457" w14:textId="77777777" w:rsidR="00A65789" w:rsidRPr="007F0B66" w:rsidRDefault="00A65789" w:rsidP="001F5B6F">
            <w:pPr>
              <w:pStyle w:val="BodyText"/>
              <w:spacing w:after="0"/>
              <w:rPr>
                <w:lang w:val="en-IN"/>
              </w:rPr>
            </w:pPr>
            <w:r w:rsidRPr="007F0B66">
              <w:rPr>
                <w:lang w:val="en-IN"/>
              </w:rPr>
              <w:t>Salkowski reaction test</w:t>
            </w:r>
          </w:p>
          <w:p w14:paraId="27C40E9B" w14:textId="77777777" w:rsidR="00A65789" w:rsidRPr="007F0B66" w:rsidRDefault="00A65789" w:rsidP="001F5B6F">
            <w:pPr>
              <w:pStyle w:val="BodyText"/>
              <w:spacing w:after="0"/>
            </w:pPr>
            <w:proofErr w:type="spellStart"/>
            <w:r w:rsidRPr="007F0B66">
              <w:rPr>
                <w:lang w:val="en-IN"/>
              </w:rPr>
              <w:t>Libermann</w:t>
            </w:r>
            <w:proofErr w:type="spellEnd"/>
            <w:r w:rsidRPr="007F0B66">
              <w:rPr>
                <w:lang w:val="en-IN"/>
              </w:rPr>
              <w:t>–Burchard's test</w:t>
            </w:r>
          </w:p>
        </w:tc>
        <w:tc>
          <w:tcPr>
            <w:tcW w:w="1080" w:type="dxa"/>
          </w:tcPr>
          <w:p w14:paraId="27711159" w14:textId="77777777" w:rsidR="00A65789" w:rsidRPr="007F0B66" w:rsidRDefault="00A65789" w:rsidP="001F5B6F">
            <w:pPr>
              <w:pStyle w:val="BodyText"/>
              <w:spacing w:after="0"/>
              <w:ind w:right="-47"/>
            </w:pPr>
            <w:r w:rsidRPr="007F0B66">
              <w:t>+</w:t>
            </w:r>
          </w:p>
          <w:p w14:paraId="37B35049" w14:textId="77777777" w:rsidR="00A65789" w:rsidRPr="007F0B66" w:rsidRDefault="00A65789" w:rsidP="001F5B6F">
            <w:pPr>
              <w:pStyle w:val="BodyText"/>
              <w:spacing w:after="0"/>
              <w:ind w:right="-47"/>
            </w:pPr>
            <w:r w:rsidRPr="007F0B66">
              <w:t>+</w:t>
            </w:r>
          </w:p>
        </w:tc>
      </w:tr>
      <w:tr w:rsidR="00A65789" w:rsidRPr="007F0B66" w14:paraId="6EC31A84" w14:textId="77777777" w:rsidTr="00F16027">
        <w:tc>
          <w:tcPr>
            <w:tcW w:w="1434" w:type="dxa"/>
          </w:tcPr>
          <w:p w14:paraId="45F70B3A" w14:textId="77777777" w:rsidR="00A65789" w:rsidRPr="007F0B66" w:rsidRDefault="00A65789" w:rsidP="001F5B6F">
            <w:pPr>
              <w:pStyle w:val="BodyText"/>
              <w:spacing w:after="0"/>
              <w:ind w:right="49"/>
            </w:pPr>
            <w:r w:rsidRPr="007F0B66">
              <w:rPr>
                <w:spacing w:val="-10"/>
              </w:rPr>
              <w:t>4</w:t>
            </w:r>
          </w:p>
        </w:tc>
        <w:tc>
          <w:tcPr>
            <w:tcW w:w="1963" w:type="dxa"/>
          </w:tcPr>
          <w:p w14:paraId="31768AA9" w14:textId="77777777" w:rsidR="00A65789" w:rsidRPr="007F0B66" w:rsidRDefault="00A65789" w:rsidP="001F5B6F">
            <w:pPr>
              <w:pStyle w:val="BodyText"/>
              <w:spacing w:after="0"/>
              <w:ind w:right="32"/>
            </w:pPr>
            <w:r w:rsidRPr="007F0B66">
              <w:rPr>
                <w:spacing w:val="-2"/>
              </w:rPr>
              <w:t>Flavonoids</w:t>
            </w:r>
          </w:p>
        </w:tc>
        <w:tc>
          <w:tcPr>
            <w:tcW w:w="3803" w:type="dxa"/>
          </w:tcPr>
          <w:p w14:paraId="2BB24006" w14:textId="77777777" w:rsidR="00A65789" w:rsidRPr="007F0B66" w:rsidRDefault="00A65789" w:rsidP="001F5B6F">
            <w:pPr>
              <w:pStyle w:val="BodyText"/>
              <w:spacing w:after="0"/>
              <w:rPr>
                <w:lang w:val="en-IN"/>
              </w:rPr>
            </w:pPr>
            <w:r w:rsidRPr="007F0B66">
              <w:rPr>
                <w:lang w:val="en-IN"/>
              </w:rPr>
              <w:t>Zinc hydrochloric acid reduction test</w:t>
            </w:r>
          </w:p>
          <w:p w14:paraId="704EFCB8" w14:textId="77777777" w:rsidR="00A65789" w:rsidRPr="007F0B66" w:rsidRDefault="00A65789" w:rsidP="001F5B6F">
            <w:pPr>
              <w:pStyle w:val="BodyText"/>
              <w:spacing w:after="0"/>
            </w:pPr>
            <w:r w:rsidRPr="007F0B66">
              <w:rPr>
                <w:lang w:val="en-IN"/>
              </w:rPr>
              <w:t>Lead acetate test</w:t>
            </w:r>
          </w:p>
        </w:tc>
        <w:tc>
          <w:tcPr>
            <w:tcW w:w="1080" w:type="dxa"/>
          </w:tcPr>
          <w:p w14:paraId="2142172E" w14:textId="77777777" w:rsidR="00A65789" w:rsidRPr="007F0B66" w:rsidRDefault="00A65789" w:rsidP="001F5B6F">
            <w:pPr>
              <w:pStyle w:val="BodyText"/>
              <w:spacing w:after="0"/>
              <w:ind w:right="-47"/>
            </w:pPr>
            <w:r w:rsidRPr="007F0B66">
              <w:t>+</w:t>
            </w:r>
          </w:p>
          <w:p w14:paraId="7F800EC2" w14:textId="77777777" w:rsidR="00A65789" w:rsidRPr="007F0B66" w:rsidRDefault="00A65789" w:rsidP="001F5B6F">
            <w:pPr>
              <w:pStyle w:val="BodyText"/>
              <w:spacing w:after="0"/>
              <w:ind w:right="-47"/>
            </w:pPr>
            <w:r w:rsidRPr="007F0B66">
              <w:t>+</w:t>
            </w:r>
          </w:p>
        </w:tc>
      </w:tr>
      <w:tr w:rsidR="00A65789" w:rsidRPr="007F0B66" w14:paraId="327D4E6E" w14:textId="77777777" w:rsidTr="00F16027">
        <w:tc>
          <w:tcPr>
            <w:tcW w:w="1434" w:type="dxa"/>
          </w:tcPr>
          <w:p w14:paraId="4DDD257A" w14:textId="77777777" w:rsidR="00A65789" w:rsidRPr="007F0B66" w:rsidRDefault="00A65789" w:rsidP="001F5B6F">
            <w:pPr>
              <w:pStyle w:val="BodyText"/>
              <w:spacing w:after="0"/>
              <w:ind w:right="49"/>
            </w:pPr>
            <w:r w:rsidRPr="007F0B66">
              <w:rPr>
                <w:spacing w:val="-10"/>
              </w:rPr>
              <w:t>5</w:t>
            </w:r>
          </w:p>
        </w:tc>
        <w:tc>
          <w:tcPr>
            <w:tcW w:w="1963" w:type="dxa"/>
          </w:tcPr>
          <w:p w14:paraId="37F385F9" w14:textId="77777777" w:rsidR="00A65789" w:rsidRPr="007F0B66" w:rsidRDefault="00A65789" w:rsidP="001F5B6F">
            <w:pPr>
              <w:pStyle w:val="BodyText"/>
              <w:tabs>
                <w:tab w:val="left" w:pos="1087"/>
              </w:tabs>
              <w:spacing w:after="0"/>
              <w:ind w:right="32"/>
            </w:pPr>
            <w:r w:rsidRPr="007F0B66">
              <w:rPr>
                <w:spacing w:val="-2"/>
              </w:rPr>
              <w:t>Saponins</w:t>
            </w:r>
          </w:p>
        </w:tc>
        <w:tc>
          <w:tcPr>
            <w:tcW w:w="3803" w:type="dxa"/>
          </w:tcPr>
          <w:p w14:paraId="14677455" w14:textId="77777777" w:rsidR="00A65789" w:rsidRPr="007F0B66" w:rsidRDefault="00A65789" w:rsidP="001F5B6F">
            <w:pPr>
              <w:pStyle w:val="BodyText"/>
              <w:spacing w:after="0"/>
              <w:rPr>
                <w:lang w:val="en-IN"/>
              </w:rPr>
            </w:pPr>
            <w:r w:rsidRPr="007F0B66">
              <w:rPr>
                <w:lang w:val="en-IN"/>
              </w:rPr>
              <w:t>Shake or foam test</w:t>
            </w:r>
          </w:p>
          <w:p w14:paraId="5FE6904F" w14:textId="77777777" w:rsidR="00A65789" w:rsidRPr="007F0B66" w:rsidRDefault="00A65789" w:rsidP="001F5B6F">
            <w:pPr>
              <w:pStyle w:val="BodyText"/>
              <w:spacing w:after="0"/>
            </w:pPr>
            <w:r w:rsidRPr="007F0B66">
              <w:rPr>
                <w:lang w:val="en-IN"/>
              </w:rPr>
              <w:t>Foam test</w:t>
            </w:r>
          </w:p>
        </w:tc>
        <w:tc>
          <w:tcPr>
            <w:tcW w:w="1080" w:type="dxa"/>
          </w:tcPr>
          <w:p w14:paraId="2B3AFFB7" w14:textId="77777777" w:rsidR="00A65789" w:rsidRPr="007F0B66" w:rsidRDefault="00A65789" w:rsidP="001F5B6F">
            <w:pPr>
              <w:pStyle w:val="BodyText"/>
              <w:spacing w:after="0"/>
              <w:ind w:right="-47"/>
            </w:pPr>
            <w:r w:rsidRPr="007F0B66">
              <w:t>+</w:t>
            </w:r>
          </w:p>
          <w:p w14:paraId="1170E13B" w14:textId="77777777" w:rsidR="00A65789" w:rsidRPr="007F0B66" w:rsidRDefault="00A65789" w:rsidP="001F5B6F">
            <w:pPr>
              <w:pStyle w:val="BodyText"/>
              <w:spacing w:after="0"/>
              <w:ind w:right="-47"/>
            </w:pPr>
            <w:r w:rsidRPr="007F0B66">
              <w:t>+</w:t>
            </w:r>
          </w:p>
        </w:tc>
      </w:tr>
      <w:tr w:rsidR="00A65789" w:rsidRPr="007F0B66" w14:paraId="4096C271" w14:textId="77777777" w:rsidTr="00F16027">
        <w:tc>
          <w:tcPr>
            <w:tcW w:w="1434" w:type="dxa"/>
          </w:tcPr>
          <w:p w14:paraId="0C369C12" w14:textId="77777777" w:rsidR="00A65789" w:rsidRPr="007F0B66" w:rsidRDefault="00A65789" w:rsidP="001F5B6F">
            <w:pPr>
              <w:pStyle w:val="BodyText"/>
              <w:spacing w:after="0"/>
              <w:ind w:right="49"/>
            </w:pPr>
            <w:r w:rsidRPr="007F0B66">
              <w:rPr>
                <w:spacing w:val="-10"/>
              </w:rPr>
              <w:t>6</w:t>
            </w:r>
          </w:p>
        </w:tc>
        <w:tc>
          <w:tcPr>
            <w:tcW w:w="1963" w:type="dxa"/>
          </w:tcPr>
          <w:p w14:paraId="260E044E" w14:textId="77777777" w:rsidR="00A65789" w:rsidRPr="007F0B66" w:rsidRDefault="00A65789" w:rsidP="001F5B6F">
            <w:pPr>
              <w:pStyle w:val="BodyText"/>
              <w:spacing w:after="0"/>
              <w:ind w:right="32"/>
            </w:pPr>
            <w:r w:rsidRPr="007F0B66">
              <w:rPr>
                <w:spacing w:val="-2"/>
              </w:rPr>
              <w:t>Glycosides</w:t>
            </w:r>
          </w:p>
        </w:tc>
        <w:tc>
          <w:tcPr>
            <w:tcW w:w="3803" w:type="dxa"/>
          </w:tcPr>
          <w:p w14:paraId="02C7ECCC" w14:textId="77777777" w:rsidR="00A65789" w:rsidRPr="007F0B66" w:rsidRDefault="00A65789" w:rsidP="001F5B6F">
            <w:pPr>
              <w:pStyle w:val="BodyText"/>
              <w:spacing w:after="0"/>
            </w:pPr>
            <w:r w:rsidRPr="007F0B66">
              <w:t>Sodium hydroxide reagent test</w:t>
            </w:r>
          </w:p>
          <w:p w14:paraId="4AD3F406" w14:textId="77777777" w:rsidR="00A65789" w:rsidRPr="007F0B66" w:rsidRDefault="00A65789" w:rsidP="001F5B6F">
            <w:pPr>
              <w:pStyle w:val="BodyText"/>
              <w:spacing w:after="0"/>
            </w:pPr>
          </w:p>
        </w:tc>
        <w:tc>
          <w:tcPr>
            <w:tcW w:w="1080" w:type="dxa"/>
          </w:tcPr>
          <w:p w14:paraId="40456093" w14:textId="77777777" w:rsidR="00A65789" w:rsidRPr="007F0B66" w:rsidRDefault="00A65789" w:rsidP="001F5B6F">
            <w:pPr>
              <w:pStyle w:val="BodyText"/>
              <w:spacing w:after="0"/>
              <w:ind w:right="-47"/>
            </w:pPr>
            <w:r w:rsidRPr="007F0B66">
              <w:t>+</w:t>
            </w:r>
          </w:p>
        </w:tc>
      </w:tr>
      <w:tr w:rsidR="00A65789" w:rsidRPr="007F0B66" w14:paraId="708BCFA1" w14:textId="77777777" w:rsidTr="00F16027">
        <w:tc>
          <w:tcPr>
            <w:tcW w:w="1434" w:type="dxa"/>
          </w:tcPr>
          <w:p w14:paraId="72AE3720" w14:textId="77777777" w:rsidR="00A65789" w:rsidRPr="007F0B66" w:rsidRDefault="00A65789" w:rsidP="001F5B6F">
            <w:pPr>
              <w:pStyle w:val="BodyText"/>
              <w:spacing w:after="0"/>
              <w:ind w:right="49"/>
            </w:pPr>
            <w:r w:rsidRPr="007F0B66">
              <w:rPr>
                <w:spacing w:val="-10"/>
              </w:rPr>
              <w:t>7</w:t>
            </w:r>
          </w:p>
        </w:tc>
        <w:tc>
          <w:tcPr>
            <w:tcW w:w="1963" w:type="dxa"/>
          </w:tcPr>
          <w:p w14:paraId="2085AACE" w14:textId="77777777" w:rsidR="00A65789" w:rsidRPr="007F0B66" w:rsidRDefault="00A65789" w:rsidP="001F5B6F">
            <w:pPr>
              <w:pStyle w:val="BodyText"/>
              <w:spacing w:after="0"/>
              <w:ind w:right="32"/>
            </w:pPr>
            <w:r w:rsidRPr="007F0B66">
              <w:rPr>
                <w:spacing w:val="-2"/>
              </w:rPr>
              <w:t>Phenol</w:t>
            </w:r>
          </w:p>
        </w:tc>
        <w:tc>
          <w:tcPr>
            <w:tcW w:w="3803" w:type="dxa"/>
          </w:tcPr>
          <w:p w14:paraId="42F67521" w14:textId="77777777" w:rsidR="00A65789" w:rsidRPr="007F0B66" w:rsidRDefault="00A65789" w:rsidP="001F5B6F">
            <w:pPr>
              <w:pStyle w:val="BodyText"/>
              <w:spacing w:after="0"/>
              <w:rPr>
                <w:lang w:val="en-IN"/>
              </w:rPr>
            </w:pPr>
            <w:r w:rsidRPr="007F0B66">
              <w:rPr>
                <w:lang w:val="en-IN"/>
              </w:rPr>
              <w:t>Ferric chloride test</w:t>
            </w:r>
          </w:p>
          <w:p w14:paraId="03F85A18" w14:textId="77777777" w:rsidR="00A65789" w:rsidRPr="007F0B66" w:rsidRDefault="00A65789" w:rsidP="001F5B6F">
            <w:pPr>
              <w:pStyle w:val="BodyText"/>
              <w:spacing w:after="0"/>
            </w:pPr>
            <w:r w:rsidRPr="007F0B66">
              <w:rPr>
                <w:lang w:val="en-IN"/>
              </w:rPr>
              <w:t>Lead acetate test</w:t>
            </w:r>
          </w:p>
        </w:tc>
        <w:tc>
          <w:tcPr>
            <w:tcW w:w="1080" w:type="dxa"/>
          </w:tcPr>
          <w:p w14:paraId="69A4FBCB" w14:textId="77777777" w:rsidR="00A65789" w:rsidRPr="007F0B66" w:rsidRDefault="00A65789" w:rsidP="001F5B6F">
            <w:pPr>
              <w:pStyle w:val="BodyText"/>
              <w:spacing w:after="0"/>
              <w:ind w:right="-47"/>
            </w:pPr>
            <w:r w:rsidRPr="007F0B66">
              <w:t>+</w:t>
            </w:r>
          </w:p>
          <w:p w14:paraId="795C99F9" w14:textId="77777777" w:rsidR="00A65789" w:rsidRPr="007F0B66" w:rsidRDefault="00A65789" w:rsidP="001F5B6F">
            <w:pPr>
              <w:pStyle w:val="BodyText"/>
              <w:spacing w:after="0"/>
              <w:ind w:right="-47"/>
            </w:pPr>
            <w:r w:rsidRPr="007F0B66">
              <w:t>+</w:t>
            </w:r>
          </w:p>
        </w:tc>
      </w:tr>
      <w:tr w:rsidR="00A65789" w:rsidRPr="007F0B66" w14:paraId="4615329E" w14:textId="77777777" w:rsidTr="00F16027">
        <w:tc>
          <w:tcPr>
            <w:tcW w:w="1434" w:type="dxa"/>
          </w:tcPr>
          <w:p w14:paraId="3EA93C2A" w14:textId="77777777" w:rsidR="00A65789" w:rsidRPr="007F0B66" w:rsidRDefault="00A65789" w:rsidP="001F5B6F">
            <w:pPr>
              <w:pStyle w:val="BodyText"/>
              <w:spacing w:after="0"/>
              <w:ind w:right="49"/>
            </w:pPr>
            <w:r w:rsidRPr="007F0B66">
              <w:rPr>
                <w:spacing w:val="-10"/>
              </w:rPr>
              <w:t>8</w:t>
            </w:r>
          </w:p>
        </w:tc>
        <w:tc>
          <w:tcPr>
            <w:tcW w:w="1963" w:type="dxa"/>
          </w:tcPr>
          <w:p w14:paraId="7D75E7A7" w14:textId="77777777" w:rsidR="00A65789" w:rsidRPr="007F0B66" w:rsidRDefault="00A65789" w:rsidP="001F5B6F">
            <w:pPr>
              <w:pStyle w:val="BodyText"/>
              <w:spacing w:after="0"/>
              <w:ind w:right="32"/>
            </w:pPr>
            <w:r w:rsidRPr="007F0B66">
              <w:rPr>
                <w:spacing w:val="-2"/>
              </w:rPr>
              <w:t>Carbohydrate</w:t>
            </w:r>
          </w:p>
        </w:tc>
        <w:tc>
          <w:tcPr>
            <w:tcW w:w="3803" w:type="dxa"/>
          </w:tcPr>
          <w:p w14:paraId="2F44EE0D" w14:textId="77777777" w:rsidR="00A65789" w:rsidRPr="007F0B66" w:rsidRDefault="00A65789" w:rsidP="001F5B6F">
            <w:pPr>
              <w:pStyle w:val="BodyText"/>
              <w:spacing w:after="0"/>
              <w:rPr>
                <w:lang w:val="en-IN"/>
              </w:rPr>
            </w:pPr>
            <w:r w:rsidRPr="007F0B66">
              <w:rPr>
                <w:lang w:val="en-IN"/>
              </w:rPr>
              <w:t>Molisch's test</w:t>
            </w:r>
          </w:p>
          <w:p w14:paraId="026D3049" w14:textId="77777777" w:rsidR="00A65789" w:rsidRPr="007F0B66" w:rsidRDefault="00A65789" w:rsidP="001F5B6F">
            <w:pPr>
              <w:pStyle w:val="BodyText"/>
              <w:spacing w:after="0"/>
            </w:pPr>
          </w:p>
        </w:tc>
        <w:tc>
          <w:tcPr>
            <w:tcW w:w="1080" w:type="dxa"/>
          </w:tcPr>
          <w:p w14:paraId="31E1FF8B" w14:textId="77777777" w:rsidR="00A65789" w:rsidRPr="007F0B66" w:rsidRDefault="00A65789" w:rsidP="001F5B6F">
            <w:pPr>
              <w:pStyle w:val="BodyText"/>
              <w:spacing w:after="0"/>
              <w:ind w:right="-47"/>
            </w:pPr>
            <w:r w:rsidRPr="007F0B66">
              <w:t>+</w:t>
            </w:r>
          </w:p>
        </w:tc>
      </w:tr>
      <w:tr w:rsidR="00A65789" w:rsidRPr="007F0B66" w14:paraId="0190E069" w14:textId="77777777" w:rsidTr="00F16027">
        <w:tc>
          <w:tcPr>
            <w:tcW w:w="1434" w:type="dxa"/>
          </w:tcPr>
          <w:p w14:paraId="3643ADF1" w14:textId="77777777" w:rsidR="00A65789" w:rsidRPr="007F0B66" w:rsidRDefault="00A65789" w:rsidP="001F5B6F">
            <w:pPr>
              <w:pStyle w:val="BodyText"/>
              <w:spacing w:after="0"/>
              <w:ind w:right="49"/>
            </w:pPr>
            <w:r w:rsidRPr="007F0B66">
              <w:rPr>
                <w:spacing w:val="-10"/>
              </w:rPr>
              <w:t>9</w:t>
            </w:r>
          </w:p>
        </w:tc>
        <w:tc>
          <w:tcPr>
            <w:tcW w:w="1963" w:type="dxa"/>
          </w:tcPr>
          <w:p w14:paraId="5D74C885" w14:textId="77777777" w:rsidR="00A65789" w:rsidRPr="007F0B66" w:rsidRDefault="00A65789" w:rsidP="001F5B6F">
            <w:pPr>
              <w:pStyle w:val="BodyText"/>
              <w:spacing w:after="0"/>
              <w:ind w:right="32"/>
            </w:pPr>
            <w:r w:rsidRPr="007F0B66">
              <w:rPr>
                <w:spacing w:val="-2"/>
              </w:rPr>
              <w:t>Protein</w:t>
            </w:r>
          </w:p>
        </w:tc>
        <w:tc>
          <w:tcPr>
            <w:tcW w:w="3803" w:type="dxa"/>
          </w:tcPr>
          <w:p w14:paraId="643D8B94" w14:textId="77777777" w:rsidR="00A65789" w:rsidRPr="007F0B66" w:rsidRDefault="00A65789" w:rsidP="001F5B6F">
            <w:pPr>
              <w:pStyle w:val="BodyText"/>
              <w:spacing w:after="0"/>
              <w:rPr>
                <w:lang w:val="en-IN"/>
              </w:rPr>
            </w:pPr>
            <w:r w:rsidRPr="007F0B66">
              <w:rPr>
                <w:lang w:val="en-IN"/>
              </w:rPr>
              <w:t>Biuret test</w:t>
            </w:r>
          </w:p>
          <w:p w14:paraId="282090DF" w14:textId="77777777" w:rsidR="00A65789" w:rsidRPr="007F0B66" w:rsidRDefault="00A65789" w:rsidP="001F5B6F">
            <w:pPr>
              <w:pStyle w:val="BodyText"/>
              <w:spacing w:after="0"/>
            </w:pPr>
            <w:r w:rsidRPr="007F0B66">
              <w:rPr>
                <w:lang w:val="en-IN"/>
              </w:rPr>
              <w:t>Xanthoproteic test</w:t>
            </w:r>
          </w:p>
        </w:tc>
        <w:tc>
          <w:tcPr>
            <w:tcW w:w="1080" w:type="dxa"/>
          </w:tcPr>
          <w:p w14:paraId="04628844" w14:textId="77777777" w:rsidR="00A65789" w:rsidRPr="007F0B66" w:rsidRDefault="00A65789" w:rsidP="001F5B6F">
            <w:pPr>
              <w:pStyle w:val="BodyText"/>
              <w:spacing w:after="0"/>
              <w:ind w:right="-47"/>
            </w:pPr>
            <w:r w:rsidRPr="007F0B66">
              <w:t>-</w:t>
            </w:r>
          </w:p>
          <w:p w14:paraId="53125698" w14:textId="77777777" w:rsidR="00A65789" w:rsidRPr="007F0B66" w:rsidRDefault="00A65789" w:rsidP="001F5B6F">
            <w:pPr>
              <w:pStyle w:val="BodyText"/>
              <w:spacing w:after="0"/>
              <w:ind w:right="-47"/>
            </w:pPr>
            <w:r w:rsidRPr="007F0B66">
              <w:t>-</w:t>
            </w:r>
          </w:p>
        </w:tc>
      </w:tr>
    </w:tbl>
    <w:p w14:paraId="2EA80E7F" w14:textId="6CCC75DE" w:rsidR="00A65789" w:rsidRPr="00A65789" w:rsidRDefault="00A65789" w:rsidP="005262DA">
      <w:pPr>
        <w:pStyle w:val="Body"/>
        <w:jc w:val="left"/>
        <w:rPr>
          <w:rFonts w:ascii="Arial" w:hAnsi="Arial" w:cs="Arial"/>
        </w:rPr>
      </w:pPr>
      <w:r w:rsidRPr="00A65789">
        <w:rPr>
          <w:rFonts w:ascii="Arial" w:hAnsi="Arial" w:cs="Arial"/>
          <w:iCs/>
        </w:rPr>
        <w:t xml:space="preserve">Bioavailability key: (+) </w:t>
      </w:r>
      <w:proofErr w:type="spellStart"/>
      <w:r w:rsidRPr="00A65789">
        <w:rPr>
          <w:rFonts w:ascii="Arial" w:hAnsi="Arial" w:cs="Arial"/>
          <w:iCs/>
        </w:rPr>
        <w:t>ve</w:t>
      </w:r>
      <w:proofErr w:type="spellEnd"/>
      <w:r w:rsidRPr="00A65789">
        <w:rPr>
          <w:rFonts w:ascii="Arial" w:hAnsi="Arial" w:cs="Arial"/>
          <w:iCs/>
        </w:rPr>
        <w:t xml:space="preserve"> = Presence, (-) </w:t>
      </w:r>
      <w:proofErr w:type="spellStart"/>
      <w:r w:rsidRPr="00A65789">
        <w:rPr>
          <w:rFonts w:ascii="Arial" w:hAnsi="Arial" w:cs="Arial"/>
          <w:iCs/>
        </w:rPr>
        <w:t>ve</w:t>
      </w:r>
      <w:proofErr w:type="spellEnd"/>
      <w:r w:rsidRPr="00A65789">
        <w:rPr>
          <w:rFonts w:ascii="Arial" w:hAnsi="Arial" w:cs="Arial"/>
          <w:iCs/>
        </w:rPr>
        <w:t xml:space="preserve"> = Absence</w:t>
      </w:r>
    </w:p>
    <w:p w14:paraId="3C144B10" w14:textId="617F1696" w:rsidR="00A65789" w:rsidRDefault="00F16027" w:rsidP="00A65789">
      <w:pPr>
        <w:pStyle w:val="Body"/>
        <w:spacing w:after="0"/>
        <w:rPr>
          <w:rFonts w:ascii="Arial" w:hAnsi="Arial" w:cs="Arial"/>
          <w:b/>
          <w:bCs/>
          <w:lang w:val="en-IN"/>
        </w:rPr>
      </w:pPr>
      <w:r>
        <w:rPr>
          <w:rFonts w:ascii="Arial" w:hAnsi="Arial" w:cs="Arial"/>
          <w:b/>
          <w:bCs/>
          <w:lang w:val="en-IN"/>
        </w:rPr>
        <w:lastRenderedPageBreak/>
        <w:t xml:space="preserve">5.2. </w:t>
      </w:r>
      <w:r w:rsidR="00A65789" w:rsidRPr="00A65789">
        <w:rPr>
          <w:rFonts w:ascii="Arial" w:hAnsi="Arial" w:cs="Arial"/>
          <w:b/>
          <w:bCs/>
          <w:lang w:val="en-IN"/>
        </w:rPr>
        <w:t>Thrombolytic Activity:</w:t>
      </w:r>
    </w:p>
    <w:p w14:paraId="776AFAA6" w14:textId="77777777" w:rsidR="00F16027" w:rsidRPr="00A65789" w:rsidRDefault="00F16027" w:rsidP="00A65789">
      <w:pPr>
        <w:pStyle w:val="Body"/>
        <w:spacing w:after="0"/>
        <w:rPr>
          <w:rFonts w:ascii="Arial" w:hAnsi="Arial" w:cs="Arial"/>
          <w:b/>
          <w:bCs/>
          <w:lang w:val="en-IN"/>
        </w:rPr>
      </w:pPr>
    </w:p>
    <w:p w14:paraId="0E8A43F0" w14:textId="77777777" w:rsidR="00204B5E" w:rsidRDefault="00204B5E" w:rsidP="00204B5E">
      <w:pPr>
        <w:pStyle w:val="Body"/>
        <w:spacing w:after="0"/>
        <w:rPr>
          <w:rFonts w:ascii="Arial" w:hAnsi="Arial" w:cs="Arial"/>
        </w:rPr>
      </w:pPr>
      <w:r w:rsidRPr="00204B5E">
        <w:rPr>
          <w:rFonts w:ascii="Arial" w:hAnsi="Arial" w:cs="Arial"/>
        </w:rPr>
        <w:t xml:space="preserve">The methanolic extract of </w:t>
      </w:r>
      <w:r w:rsidRPr="00204B5E">
        <w:rPr>
          <w:rFonts w:ascii="Arial" w:hAnsi="Arial" w:cs="Arial"/>
          <w:i/>
          <w:iCs/>
        </w:rPr>
        <w:t>Maesa indica</w:t>
      </w:r>
      <w:r w:rsidRPr="00204B5E">
        <w:rPr>
          <w:rFonts w:ascii="Arial" w:hAnsi="Arial" w:cs="Arial"/>
        </w:rPr>
        <w:t xml:space="preserve"> significantly enhanced clot lysis compared to the control. The extract showed 42.09% (</w:t>
      </w:r>
      <w:r w:rsidRPr="00204B5E">
        <w:rPr>
          <w:rFonts w:ascii="Arial" w:hAnsi="Arial" w:cs="Arial"/>
          <w:b/>
          <w:bCs/>
        </w:rPr>
        <w:t>P&lt;0.001</w:t>
      </w:r>
      <w:r w:rsidRPr="00204B5E">
        <w:rPr>
          <w:rFonts w:ascii="Arial" w:hAnsi="Arial" w:cs="Arial"/>
        </w:rPr>
        <w:t>) clot lysis, while the standard streptokinase produced 68.82% (</w:t>
      </w:r>
      <w:r w:rsidRPr="00204B5E">
        <w:rPr>
          <w:rFonts w:ascii="Arial" w:hAnsi="Arial" w:cs="Arial"/>
          <w:b/>
          <w:bCs/>
        </w:rPr>
        <w:t>P&lt;0.001</w:t>
      </w:r>
      <w:r w:rsidRPr="00204B5E">
        <w:rPr>
          <w:rFonts w:ascii="Arial" w:hAnsi="Arial" w:cs="Arial"/>
        </w:rPr>
        <w:t>) clot lysis, as shown in Table 1. This indicates that the extract possesses moderate thrombolytic activity compared to the standard.</w:t>
      </w:r>
    </w:p>
    <w:p w14:paraId="500A8BB1" w14:textId="77777777" w:rsidR="00F16027" w:rsidRPr="00204B5E" w:rsidRDefault="00F16027" w:rsidP="00204B5E">
      <w:pPr>
        <w:pStyle w:val="Body"/>
        <w:spacing w:after="0"/>
        <w:rPr>
          <w:rFonts w:ascii="Arial" w:hAnsi="Arial" w:cs="Arial"/>
          <w:b/>
          <w:bCs/>
          <w:lang w:val="en-IN"/>
        </w:rPr>
      </w:pPr>
    </w:p>
    <w:p w14:paraId="66877B8E" w14:textId="37966E22" w:rsidR="002E0D56" w:rsidRPr="00F16027" w:rsidRDefault="00204B5E" w:rsidP="00204B5E">
      <w:pPr>
        <w:pStyle w:val="Body"/>
        <w:rPr>
          <w:rFonts w:ascii="Arial" w:hAnsi="Arial" w:cs="Arial"/>
          <w:b/>
          <w:bCs/>
          <w:lang w:val="en-IN"/>
        </w:rPr>
      </w:pPr>
      <w:r w:rsidRPr="00204B5E">
        <w:rPr>
          <w:rFonts w:ascii="Arial" w:hAnsi="Arial" w:cs="Arial"/>
          <w:b/>
          <w:bCs/>
          <w:lang w:val="en-IN"/>
        </w:rPr>
        <w:t xml:space="preserve">Table </w:t>
      </w:r>
      <w:r w:rsidR="00F16027">
        <w:rPr>
          <w:rFonts w:ascii="Arial" w:hAnsi="Arial" w:cs="Arial"/>
          <w:b/>
          <w:bCs/>
          <w:lang w:val="en-IN"/>
        </w:rPr>
        <w:t>2</w:t>
      </w:r>
      <w:r w:rsidRPr="00204B5E">
        <w:rPr>
          <w:rFonts w:ascii="Arial" w:hAnsi="Arial" w:cs="Arial"/>
          <w:b/>
          <w:bCs/>
          <w:lang w:val="en-IN"/>
        </w:rPr>
        <w:t xml:space="preserve">: Effect of methanolic extract of </w:t>
      </w:r>
      <w:r w:rsidRPr="00204B5E">
        <w:rPr>
          <w:rFonts w:ascii="Arial" w:hAnsi="Arial" w:cs="Arial"/>
          <w:b/>
          <w:bCs/>
          <w:i/>
          <w:lang w:val="en-IN"/>
        </w:rPr>
        <w:t xml:space="preserve">Maesa indica </w:t>
      </w:r>
      <w:r w:rsidRPr="00204B5E">
        <w:rPr>
          <w:rFonts w:ascii="Arial" w:hAnsi="Arial" w:cs="Arial"/>
          <w:b/>
          <w:bCs/>
          <w:lang w:val="en-IN"/>
        </w:rPr>
        <w:t>in clot lysis of human blood in vitro</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053"/>
        <w:gridCol w:w="2777"/>
      </w:tblGrid>
      <w:tr w:rsidR="00204B5E" w:rsidRPr="007F0B66" w14:paraId="7957157D" w14:textId="77777777" w:rsidTr="005262DA">
        <w:trPr>
          <w:trHeight w:val="703"/>
          <w:jc w:val="center"/>
        </w:trPr>
        <w:tc>
          <w:tcPr>
            <w:tcW w:w="3053" w:type="dxa"/>
            <w:tcBorders>
              <w:bottom w:val="single" w:sz="4" w:space="0" w:color="auto"/>
            </w:tcBorders>
            <w:hideMark/>
          </w:tcPr>
          <w:p w14:paraId="530A3A9C" w14:textId="77777777" w:rsidR="00204B5E" w:rsidRPr="007F0B66" w:rsidRDefault="00204B5E" w:rsidP="005262DA">
            <w:pPr>
              <w:pStyle w:val="Body"/>
              <w:spacing w:after="0"/>
              <w:rPr>
                <w:rFonts w:ascii="Arial" w:hAnsi="Arial" w:cs="Arial"/>
                <w:b/>
                <w:lang w:val="en-IN"/>
              </w:rPr>
            </w:pPr>
            <w:r w:rsidRPr="007F0B66">
              <w:rPr>
                <w:rFonts w:ascii="Arial" w:hAnsi="Arial" w:cs="Arial"/>
                <w:b/>
                <w:lang w:val="en-IN"/>
              </w:rPr>
              <w:t>Sample</w:t>
            </w:r>
          </w:p>
        </w:tc>
        <w:tc>
          <w:tcPr>
            <w:tcW w:w="2777" w:type="dxa"/>
            <w:tcBorders>
              <w:bottom w:val="single" w:sz="4" w:space="0" w:color="auto"/>
            </w:tcBorders>
            <w:hideMark/>
          </w:tcPr>
          <w:p w14:paraId="4A77634A" w14:textId="77777777" w:rsidR="00204B5E" w:rsidRPr="007F0B66" w:rsidRDefault="00204B5E" w:rsidP="005262DA">
            <w:pPr>
              <w:pStyle w:val="Body"/>
              <w:spacing w:after="0"/>
              <w:rPr>
                <w:rFonts w:ascii="Arial" w:hAnsi="Arial" w:cs="Arial"/>
                <w:b/>
                <w:lang w:val="en-IN"/>
              </w:rPr>
            </w:pPr>
            <w:r w:rsidRPr="007F0B66">
              <w:rPr>
                <w:rFonts w:ascii="Arial" w:hAnsi="Arial" w:cs="Arial"/>
                <w:b/>
                <w:lang w:val="en-IN"/>
              </w:rPr>
              <w:t>% of clot lysis</w:t>
            </w:r>
          </w:p>
          <w:p w14:paraId="6128E7F2" w14:textId="77777777" w:rsidR="00204B5E" w:rsidRPr="007F0B66" w:rsidRDefault="00204B5E" w:rsidP="005262DA">
            <w:pPr>
              <w:pStyle w:val="Body"/>
              <w:spacing w:after="0"/>
              <w:rPr>
                <w:rFonts w:ascii="Arial" w:hAnsi="Arial" w:cs="Arial"/>
                <w:b/>
                <w:lang w:val="en-IN"/>
              </w:rPr>
            </w:pPr>
            <w:r w:rsidRPr="007F0B66">
              <w:rPr>
                <w:rFonts w:ascii="Arial" w:hAnsi="Arial" w:cs="Arial"/>
                <w:b/>
                <w:lang w:val="en-IN"/>
              </w:rPr>
              <w:t>(Mean ± SEM)</w:t>
            </w:r>
          </w:p>
        </w:tc>
      </w:tr>
      <w:tr w:rsidR="00204B5E" w:rsidRPr="007F0B66" w14:paraId="277771D7" w14:textId="77777777" w:rsidTr="005262DA">
        <w:trPr>
          <w:trHeight w:val="398"/>
          <w:jc w:val="center"/>
        </w:trPr>
        <w:tc>
          <w:tcPr>
            <w:tcW w:w="3053" w:type="dxa"/>
            <w:tcBorders>
              <w:top w:val="single" w:sz="4" w:space="0" w:color="auto"/>
              <w:bottom w:val="nil"/>
            </w:tcBorders>
            <w:hideMark/>
          </w:tcPr>
          <w:p w14:paraId="1CE04FCD" w14:textId="77777777" w:rsidR="00204B5E" w:rsidRPr="007F0B66" w:rsidRDefault="00204B5E" w:rsidP="005262DA">
            <w:pPr>
              <w:pStyle w:val="Body"/>
              <w:spacing w:after="0"/>
              <w:rPr>
                <w:rFonts w:ascii="Arial" w:hAnsi="Arial" w:cs="Arial"/>
                <w:lang w:val="en-IN"/>
              </w:rPr>
            </w:pPr>
            <w:r w:rsidRPr="007F0B66">
              <w:rPr>
                <w:rFonts w:ascii="Arial" w:hAnsi="Arial" w:cs="Arial"/>
                <w:lang w:val="en-IN"/>
              </w:rPr>
              <w:t>Control</w:t>
            </w:r>
          </w:p>
        </w:tc>
        <w:tc>
          <w:tcPr>
            <w:tcW w:w="2777" w:type="dxa"/>
            <w:tcBorders>
              <w:top w:val="single" w:sz="4" w:space="0" w:color="auto"/>
              <w:bottom w:val="nil"/>
            </w:tcBorders>
            <w:hideMark/>
          </w:tcPr>
          <w:p w14:paraId="64623AD2" w14:textId="77777777" w:rsidR="00204B5E" w:rsidRPr="007F0B66" w:rsidRDefault="00204B5E" w:rsidP="005262DA">
            <w:pPr>
              <w:pStyle w:val="Body"/>
              <w:spacing w:after="0"/>
              <w:rPr>
                <w:rFonts w:ascii="Arial" w:hAnsi="Arial" w:cs="Arial"/>
                <w:lang w:val="en-IN"/>
              </w:rPr>
            </w:pPr>
            <w:r w:rsidRPr="007F0B66">
              <w:rPr>
                <w:rFonts w:ascii="Arial" w:hAnsi="Arial" w:cs="Arial"/>
                <w:lang w:val="en-IN"/>
              </w:rPr>
              <w:t>12.25 ±4.74</w:t>
            </w:r>
          </w:p>
        </w:tc>
      </w:tr>
      <w:tr w:rsidR="00204B5E" w:rsidRPr="007F0B66" w14:paraId="507C4D5A" w14:textId="77777777" w:rsidTr="005262DA">
        <w:trPr>
          <w:trHeight w:val="439"/>
          <w:jc w:val="center"/>
        </w:trPr>
        <w:tc>
          <w:tcPr>
            <w:tcW w:w="3053" w:type="dxa"/>
            <w:tcBorders>
              <w:top w:val="nil"/>
            </w:tcBorders>
            <w:hideMark/>
          </w:tcPr>
          <w:p w14:paraId="2C571FFF" w14:textId="77777777" w:rsidR="00204B5E" w:rsidRPr="007F0B66" w:rsidRDefault="00204B5E" w:rsidP="005262DA">
            <w:pPr>
              <w:pStyle w:val="Body"/>
              <w:spacing w:after="0"/>
              <w:rPr>
                <w:rFonts w:ascii="Arial" w:hAnsi="Arial" w:cs="Arial"/>
                <w:lang w:val="en-IN"/>
              </w:rPr>
            </w:pPr>
            <w:r w:rsidRPr="007F0B66">
              <w:rPr>
                <w:rFonts w:ascii="Arial" w:hAnsi="Arial" w:cs="Arial"/>
                <w:lang w:val="en-IN"/>
              </w:rPr>
              <w:t>Streptokinase (30,000 I.U.)</w:t>
            </w:r>
          </w:p>
        </w:tc>
        <w:tc>
          <w:tcPr>
            <w:tcW w:w="2777" w:type="dxa"/>
            <w:tcBorders>
              <w:top w:val="nil"/>
            </w:tcBorders>
            <w:hideMark/>
          </w:tcPr>
          <w:p w14:paraId="257339C7" w14:textId="2A0A9B2A" w:rsidR="00204B5E" w:rsidRPr="005262DA" w:rsidRDefault="00204B5E" w:rsidP="005262DA">
            <w:pPr>
              <w:pStyle w:val="Body"/>
              <w:spacing w:after="0"/>
              <w:rPr>
                <w:rFonts w:ascii="Arial" w:hAnsi="Arial" w:cs="Arial"/>
                <w:vertAlign w:val="superscript"/>
                <w:lang w:val="en-IN"/>
              </w:rPr>
            </w:pPr>
            <w:r w:rsidRPr="007F0B66">
              <w:rPr>
                <w:rFonts w:ascii="Arial" w:hAnsi="Arial" w:cs="Arial"/>
                <w:lang w:val="en-IN"/>
              </w:rPr>
              <w:t>68.82±5.53</w:t>
            </w:r>
            <w:r w:rsidR="005262DA">
              <w:rPr>
                <w:rFonts w:ascii="Arial" w:hAnsi="Arial" w:cs="Arial"/>
                <w:vertAlign w:val="superscript"/>
                <w:lang w:val="en-IN"/>
              </w:rPr>
              <w:t>***</w:t>
            </w:r>
          </w:p>
        </w:tc>
      </w:tr>
      <w:tr w:rsidR="00204B5E" w:rsidRPr="007F0B66" w14:paraId="54D0FBBC" w14:textId="77777777" w:rsidTr="005262DA">
        <w:trPr>
          <w:trHeight w:val="442"/>
          <w:jc w:val="center"/>
        </w:trPr>
        <w:tc>
          <w:tcPr>
            <w:tcW w:w="3053" w:type="dxa"/>
            <w:hideMark/>
          </w:tcPr>
          <w:p w14:paraId="4BB0492A" w14:textId="77777777" w:rsidR="00204B5E" w:rsidRPr="007F0B66" w:rsidRDefault="00204B5E" w:rsidP="005262DA">
            <w:pPr>
              <w:pStyle w:val="Body"/>
              <w:spacing w:after="0"/>
              <w:rPr>
                <w:rFonts w:ascii="Arial" w:hAnsi="Arial" w:cs="Arial"/>
                <w:lang w:val="en-IN"/>
              </w:rPr>
            </w:pPr>
            <w:r w:rsidRPr="007F0B66">
              <w:rPr>
                <w:rFonts w:ascii="Arial" w:hAnsi="Arial" w:cs="Arial"/>
                <w:lang w:val="en-IN"/>
              </w:rPr>
              <w:t>ME</w:t>
            </w:r>
          </w:p>
        </w:tc>
        <w:tc>
          <w:tcPr>
            <w:tcW w:w="2777" w:type="dxa"/>
            <w:hideMark/>
          </w:tcPr>
          <w:p w14:paraId="44F3B76F" w14:textId="6F0395DD" w:rsidR="00204B5E" w:rsidRPr="005262DA" w:rsidRDefault="00204B5E" w:rsidP="005262DA">
            <w:pPr>
              <w:pStyle w:val="Body"/>
              <w:spacing w:after="0"/>
              <w:rPr>
                <w:rFonts w:ascii="Arial" w:hAnsi="Arial" w:cs="Arial"/>
                <w:vertAlign w:val="superscript"/>
                <w:lang w:val="en-IN"/>
              </w:rPr>
            </w:pPr>
            <w:r w:rsidRPr="007F0B66">
              <w:rPr>
                <w:rFonts w:ascii="Arial" w:hAnsi="Arial" w:cs="Arial"/>
                <w:lang w:val="en-IN"/>
              </w:rPr>
              <w:t>42.09±4.74</w:t>
            </w:r>
            <w:r w:rsidR="005262DA">
              <w:rPr>
                <w:rFonts w:ascii="Arial" w:hAnsi="Arial" w:cs="Arial"/>
                <w:vertAlign w:val="superscript"/>
                <w:lang w:val="en-IN"/>
              </w:rPr>
              <w:t>***</w:t>
            </w:r>
          </w:p>
        </w:tc>
      </w:tr>
    </w:tbl>
    <w:p w14:paraId="2407722B" w14:textId="4495F031" w:rsidR="00204B5E" w:rsidRPr="007F0B66" w:rsidRDefault="00204B5E" w:rsidP="00204B5E">
      <w:pPr>
        <w:pStyle w:val="Body"/>
        <w:rPr>
          <w:rFonts w:ascii="Arial" w:hAnsi="Arial" w:cs="Arial"/>
          <w:lang w:val="en-IN"/>
        </w:rPr>
      </w:pPr>
      <w:r w:rsidRPr="00204B5E">
        <w:rPr>
          <w:rFonts w:ascii="Arial" w:hAnsi="Arial" w:cs="Arial"/>
          <w:lang w:val="en-IN"/>
        </w:rPr>
        <w:t>Note: Each value represents the mean ± SEM. (n=5). One- way ANOVA followed by Dunnett’s t test. ****P&lt;0.0001, ***P&lt;0.001, **P&lt;0.01 compared with control and standard. ME = Methanolic Extract.</w:t>
      </w:r>
    </w:p>
    <w:p w14:paraId="485CD825" w14:textId="405AD99B" w:rsidR="00204B5E" w:rsidRPr="00204B5E" w:rsidRDefault="00F16027" w:rsidP="00204B5E">
      <w:pPr>
        <w:pStyle w:val="Body"/>
        <w:rPr>
          <w:rFonts w:ascii="Arial" w:hAnsi="Arial" w:cs="Arial"/>
          <w:b/>
          <w:bCs/>
          <w:lang w:val="en-IN"/>
        </w:rPr>
      </w:pPr>
      <w:r>
        <w:rPr>
          <w:rFonts w:ascii="Arial" w:hAnsi="Arial" w:cs="Arial"/>
          <w:b/>
          <w:bCs/>
          <w:lang w:val="en-IN"/>
        </w:rPr>
        <w:t xml:space="preserve">5.3. </w:t>
      </w:r>
      <w:r w:rsidR="00204B5E" w:rsidRPr="00204B5E">
        <w:rPr>
          <w:rFonts w:ascii="Arial" w:hAnsi="Arial" w:cs="Arial"/>
          <w:b/>
          <w:bCs/>
          <w:lang w:val="en-IN"/>
        </w:rPr>
        <w:t>Cytotoxicity:</w:t>
      </w:r>
    </w:p>
    <w:p w14:paraId="2CDCCF0C" w14:textId="77777777" w:rsidR="00204B5E" w:rsidRPr="00204B5E" w:rsidRDefault="00204B5E" w:rsidP="00204B5E">
      <w:pPr>
        <w:pStyle w:val="Body"/>
        <w:rPr>
          <w:rFonts w:ascii="Arial" w:hAnsi="Arial" w:cs="Arial"/>
          <w:bCs/>
        </w:rPr>
      </w:pPr>
      <w:r w:rsidRPr="00204B5E">
        <w:rPr>
          <w:rFonts w:ascii="Arial" w:hAnsi="Arial" w:cs="Arial"/>
          <w:bCs/>
        </w:rPr>
        <w:t xml:space="preserve">The brine shrimp lethality assay demonstrated that the methanolic extract of </w:t>
      </w:r>
      <w:r w:rsidRPr="00204B5E">
        <w:rPr>
          <w:rFonts w:ascii="Arial" w:hAnsi="Arial" w:cs="Arial"/>
          <w:bCs/>
          <w:i/>
          <w:iCs/>
        </w:rPr>
        <w:t>Maesa indica</w:t>
      </w:r>
      <w:r w:rsidRPr="00204B5E">
        <w:rPr>
          <w:rFonts w:ascii="Arial" w:hAnsi="Arial" w:cs="Arial"/>
          <w:bCs/>
        </w:rPr>
        <w:t xml:space="preserve"> exhibited cytotoxic activity with an LC</w:t>
      </w:r>
      <w:r w:rsidRPr="00204B5E">
        <w:rPr>
          <w:rFonts w:ascii="Cambria Math" w:hAnsi="Cambria Math" w:cs="Cambria Math"/>
          <w:bCs/>
        </w:rPr>
        <w:t>₅₀</w:t>
      </w:r>
      <w:r w:rsidRPr="00204B5E">
        <w:rPr>
          <w:rFonts w:ascii="Arial" w:hAnsi="Arial" w:cs="Arial"/>
          <w:bCs/>
        </w:rPr>
        <w:t xml:space="preserve"> value of 707.95 µg/ml, whereas the standard vincristine sulfate showed a significantly lower LC</w:t>
      </w:r>
      <w:r w:rsidRPr="00204B5E">
        <w:rPr>
          <w:rFonts w:ascii="Cambria Math" w:hAnsi="Cambria Math" w:cs="Cambria Math"/>
          <w:bCs/>
        </w:rPr>
        <w:t>₅₀</w:t>
      </w:r>
      <w:r w:rsidRPr="00204B5E">
        <w:rPr>
          <w:rFonts w:ascii="Arial" w:hAnsi="Arial" w:cs="Arial"/>
          <w:bCs/>
        </w:rPr>
        <w:t xml:space="preserve"> value of 1.83 µg/ml (Table 2), indicating that the extract has mild cytotoxic potential.</w:t>
      </w:r>
    </w:p>
    <w:p w14:paraId="2DFFBD67" w14:textId="4F89B174" w:rsidR="00204B5E" w:rsidRPr="00204B5E" w:rsidRDefault="00204B5E" w:rsidP="00204B5E">
      <w:pPr>
        <w:pStyle w:val="Body"/>
        <w:rPr>
          <w:rFonts w:ascii="Arial" w:hAnsi="Arial" w:cs="Arial"/>
          <w:b/>
          <w:lang w:val="en-IN"/>
        </w:rPr>
      </w:pPr>
      <w:r w:rsidRPr="00204B5E">
        <w:rPr>
          <w:rFonts w:ascii="Arial" w:hAnsi="Arial" w:cs="Arial"/>
          <w:b/>
          <w:lang w:val="en-IN"/>
        </w:rPr>
        <w:t xml:space="preserve">Table </w:t>
      </w:r>
      <w:r w:rsidR="00F16027" w:rsidRPr="00FD0FEF">
        <w:rPr>
          <w:rFonts w:ascii="Arial" w:hAnsi="Arial" w:cs="Arial"/>
          <w:b/>
          <w:lang w:val="en-IN"/>
        </w:rPr>
        <w:t>3</w:t>
      </w:r>
      <w:r w:rsidRPr="00204B5E">
        <w:rPr>
          <w:rFonts w:ascii="Arial" w:hAnsi="Arial" w:cs="Arial"/>
          <w:b/>
          <w:lang w:val="en-IN"/>
        </w:rPr>
        <w:t xml:space="preserve">: Effect of methanolic extract of </w:t>
      </w:r>
      <w:r w:rsidRPr="00204B5E">
        <w:rPr>
          <w:rFonts w:ascii="Arial" w:hAnsi="Arial" w:cs="Arial"/>
          <w:b/>
          <w:i/>
          <w:lang w:val="en-IN"/>
        </w:rPr>
        <w:t xml:space="preserve">Maesa indica </w:t>
      </w:r>
      <w:r w:rsidRPr="00204B5E">
        <w:rPr>
          <w:rFonts w:ascii="Arial" w:hAnsi="Arial" w:cs="Arial"/>
          <w:b/>
          <w:lang w:val="en-IN"/>
        </w:rPr>
        <w:t>on Brine Shrimp Nauplii</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2540"/>
      </w:tblGrid>
      <w:tr w:rsidR="00204B5E" w:rsidRPr="007F0B66" w14:paraId="1263C2C8" w14:textId="77777777" w:rsidTr="005262DA">
        <w:trPr>
          <w:trHeight w:val="453"/>
          <w:jc w:val="center"/>
        </w:trPr>
        <w:tc>
          <w:tcPr>
            <w:tcW w:w="2539" w:type="dxa"/>
            <w:tcBorders>
              <w:top w:val="single" w:sz="4" w:space="0" w:color="auto"/>
              <w:bottom w:val="single" w:sz="4" w:space="0" w:color="auto"/>
            </w:tcBorders>
            <w:hideMark/>
          </w:tcPr>
          <w:p w14:paraId="6A00DBC7" w14:textId="77777777" w:rsidR="00204B5E" w:rsidRPr="007F0B66" w:rsidRDefault="00204B5E" w:rsidP="001F5B6F">
            <w:pPr>
              <w:pStyle w:val="Body"/>
              <w:spacing w:after="0"/>
              <w:rPr>
                <w:rFonts w:ascii="Arial" w:eastAsia="Times New Roman" w:hAnsi="Arial" w:cs="Arial"/>
                <w:b/>
                <w:bCs/>
                <w:sz w:val="20"/>
              </w:rPr>
            </w:pPr>
            <w:bookmarkStart w:id="3" w:name="_Hlk188532807"/>
            <w:r w:rsidRPr="007F0B66">
              <w:rPr>
                <w:rFonts w:ascii="Arial" w:eastAsia="Times New Roman" w:hAnsi="Arial" w:cs="Arial"/>
                <w:b/>
                <w:bCs/>
                <w:sz w:val="20"/>
              </w:rPr>
              <w:t>Group</w:t>
            </w:r>
          </w:p>
        </w:tc>
        <w:tc>
          <w:tcPr>
            <w:tcW w:w="2540" w:type="dxa"/>
            <w:tcBorders>
              <w:top w:val="single" w:sz="4" w:space="0" w:color="auto"/>
              <w:bottom w:val="single" w:sz="4" w:space="0" w:color="auto"/>
            </w:tcBorders>
            <w:hideMark/>
          </w:tcPr>
          <w:p w14:paraId="3DFC4805" w14:textId="77777777" w:rsidR="00204B5E" w:rsidRPr="007F0B66" w:rsidRDefault="00204B5E" w:rsidP="001F5B6F">
            <w:pPr>
              <w:pStyle w:val="Body"/>
              <w:spacing w:after="0"/>
              <w:rPr>
                <w:rFonts w:ascii="Arial" w:eastAsia="Times New Roman" w:hAnsi="Arial" w:cs="Arial"/>
                <w:b/>
                <w:bCs/>
                <w:sz w:val="20"/>
              </w:rPr>
            </w:pPr>
            <w:r w:rsidRPr="007F0B66">
              <w:rPr>
                <w:rFonts w:ascii="Arial" w:eastAsia="Times New Roman" w:hAnsi="Arial" w:cs="Arial"/>
                <w:b/>
                <w:bCs/>
                <w:sz w:val="20"/>
              </w:rPr>
              <w:t>LC</w:t>
            </w:r>
            <w:r w:rsidRPr="007F0B66">
              <w:rPr>
                <w:rFonts w:ascii="Arial" w:eastAsia="Times New Roman" w:hAnsi="Arial" w:cs="Arial"/>
                <w:b/>
                <w:bCs/>
                <w:sz w:val="20"/>
                <w:vertAlign w:val="subscript"/>
              </w:rPr>
              <w:t>50</w:t>
            </w:r>
            <w:r w:rsidRPr="00B63A7D">
              <w:rPr>
                <w:rFonts w:ascii="Arial" w:hAnsi="Arial" w:cs="Arial"/>
                <w:b/>
                <w:bCs/>
                <w:sz w:val="20"/>
              </w:rPr>
              <w:t xml:space="preserve"> (</w:t>
            </w:r>
            <w:proofErr w:type="spellStart"/>
            <w:r w:rsidRPr="007F0B66">
              <w:rPr>
                <w:rFonts w:ascii="Arial" w:eastAsia="Times New Roman" w:hAnsi="Arial" w:cs="Arial"/>
                <w:b/>
                <w:bCs/>
                <w:sz w:val="20"/>
              </w:rPr>
              <w:t>μg</w:t>
            </w:r>
            <w:proofErr w:type="spellEnd"/>
            <w:r w:rsidRPr="007F0B66">
              <w:rPr>
                <w:rFonts w:ascii="Arial" w:eastAsia="Times New Roman" w:hAnsi="Arial" w:cs="Arial"/>
                <w:b/>
                <w:bCs/>
                <w:sz w:val="20"/>
              </w:rPr>
              <w:t>/ml)</w:t>
            </w:r>
          </w:p>
        </w:tc>
      </w:tr>
      <w:tr w:rsidR="00204B5E" w:rsidRPr="007F0B66" w14:paraId="505BF6EC" w14:textId="77777777" w:rsidTr="005262DA">
        <w:trPr>
          <w:trHeight w:val="453"/>
          <w:jc w:val="center"/>
        </w:trPr>
        <w:tc>
          <w:tcPr>
            <w:tcW w:w="2539" w:type="dxa"/>
            <w:tcBorders>
              <w:top w:val="single" w:sz="4" w:space="0" w:color="auto"/>
            </w:tcBorders>
          </w:tcPr>
          <w:p w14:paraId="183439C4" w14:textId="77777777" w:rsidR="00204B5E" w:rsidRPr="007F0B66" w:rsidRDefault="00204B5E" w:rsidP="001F5B6F">
            <w:pPr>
              <w:pStyle w:val="Body"/>
              <w:spacing w:after="0"/>
              <w:rPr>
                <w:rFonts w:ascii="Arial" w:eastAsia="Times New Roman" w:hAnsi="Arial" w:cs="Arial"/>
                <w:sz w:val="20"/>
              </w:rPr>
            </w:pPr>
            <w:r w:rsidRPr="007F0B66">
              <w:rPr>
                <w:rFonts w:ascii="Arial" w:eastAsia="Times New Roman" w:hAnsi="Arial" w:cs="Arial"/>
                <w:sz w:val="20"/>
              </w:rPr>
              <w:t>Vincristine sulfate</w:t>
            </w:r>
          </w:p>
        </w:tc>
        <w:tc>
          <w:tcPr>
            <w:tcW w:w="2540" w:type="dxa"/>
            <w:tcBorders>
              <w:top w:val="single" w:sz="4" w:space="0" w:color="auto"/>
            </w:tcBorders>
          </w:tcPr>
          <w:p w14:paraId="2698D624" w14:textId="77777777" w:rsidR="00204B5E" w:rsidRPr="007F0B66" w:rsidRDefault="00204B5E" w:rsidP="001F5B6F">
            <w:pPr>
              <w:pStyle w:val="Body"/>
              <w:spacing w:after="0"/>
              <w:rPr>
                <w:rFonts w:ascii="Arial" w:eastAsia="Times New Roman" w:hAnsi="Arial" w:cs="Arial"/>
                <w:sz w:val="20"/>
              </w:rPr>
            </w:pPr>
            <w:r w:rsidRPr="007F0B66">
              <w:rPr>
                <w:rFonts w:ascii="Arial" w:eastAsia="Times New Roman" w:hAnsi="Arial" w:cs="Arial"/>
                <w:sz w:val="20"/>
              </w:rPr>
              <w:t>1.83</w:t>
            </w:r>
          </w:p>
        </w:tc>
      </w:tr>
      <w:tr w:rsidR="00204B5E" w:rsidRPr="007F0B66" w14:paraId="3768B40B" w14:textId="77777777" w:rsidTr="005262DA">
        <w:trPr>
          <w:trHeight w:val="453"/>
          <w:jc w:val="center"/>
        </w:trPr>
        <w:tc>
          <w:tcPr>
            <w:tcW w:w="2539" w:type="dxa"/>
            <w:hideMark/>
          </w:tcPr>
          <w:p w14:paraId="731C9F63" w14:textId="77777777" w:rsidR="00204B5E" w:rsidRPr="007F0B66" w:rsidRDefault="00204B5E" w:rsidP="001F5B6F">
            <w:pPr>
              <w:pStyle w:val="Body"/>
              <w:spacing w:after="0"/>
              <w:rPr>
                <w:rFonts w:ascii="Arial" w:eastAsia="Times New Roman" w:hAnsi="Arial" w:cs="Arial"/>
                <w:sz w:val="20"/>
              </w:rPr>
            </w:pPr>
            <w:r w:rsidRPr="007F0B66">
              <w:rPr>
                <w:rFonts w:ascii="Arial" w:eastAsia="Times New Roman" w:hAnsi="Arial" w:cs="Arial"/>
                <w:sz w:val="20"/>
              </w:rPr>
              <w:t>Methanolic extract</w:t>
            </w:r>
          </w:p>
        </w:tc>
        <w:tc>
          <w:tcPr>
            <w:tcW w:w="2540" w:type="dxa"/>
            <w:hideMark/>
          </w:tcPr>
          <w:p w14:paraId="2C1B8922" w14:textId="77777777" w:rsidR="00204B5E" w:rsidRPr="007F0B66" w:rsidRDefault="00204B5E" w:rsidP="001F5B6F">
            <w:pPr>
              <w:pStyle w:val="Body"/>
              <w:spacing w:after="0"/>
              <w:rPr>
                <w:rFonts w:ascii="Arial" w:eastAsia="Times New Roman" w:hAnsi="Arial" w:cs="Arial"/>
                <w:sz w:val="20"/>
              </w:rPr>
            </w:pPr>
            <w:r w:rsidRPr="007F0B66">
              <w:rPr>
                <w:rFonts w:ascii="Arial" w:eastAsia="Times New Roman" w:hAnsi="Arial" w:cs="Arial"/>
                <w:sz w:val="20"/>
              </w:rPr>
              <w:t>707.95</w:t>
            </w:r>
          </w:p>
        </w:tc>
      </w:tr>
      <w:tr w:rsidR="00204B5E" w:rsidRPr="007F0B66" w14:paraId="7934EF0A" w14:textId="77777777" w:rsidTr="005262DA">
        <w:trPr>
          <w:jc w:val="center"/>
        </w:trPr>
        <w:tc>
          <w:tcPr>
            <w:tcW w:w="2539" w:type="dxa"/>
            <w:hideMark/>
          </w:tcPr>
          <w:p w14:paraId="46CFE9E7" w14:textId="77777777" w:rsidR="00204B5E" w:rsidRPr="007F0B66" w:rsidRDefault="00204B5E" w:rsidP="001F5B6F">
            <w:pPr>
              <w:pStyle w:val="Body"/>
              <w:spacing w:after="0"/>
              <w:rPr>
                <w:rFonts w:ascii="Arial" w:eastAsia="Times New Roman" w:hAnsi="Arial" w:cs="Arial"/>
                <w:sz w:val="20"/>
              </w:rPr>
            </w:pPr>
          </w:p>
        </w:tc>
        <w:tc>
          <w:tcPr>
            <w:tcW w:w="2540" w:type="dxa"/>
            <w:hideMark/>
          </w:tcPr>
          <w:p w14:paraId="314D2FF1" w14:textId="77777777" w:rsidR="00204B5E" w:rsidRPr="007F0B66" w:rsidRDefault="00204B5E" w:rsidP="001F5B6F">
            <w:pPr>
              <w:pStyle w:val="Body"/>
              <w:spacing w:after="0"/>
              <w:rPr>
                <w:rFonts w:ascii="Arial" w:eastAsia="Times New Roman" w:hAnsi="Arial" w:cs="Arial"/>
                <w:sz w:val="20"/>
              </w:rPr>
            </w:pPr>
          </w:p>
        </w:tc>
      </w:tr>
      <w:tr w:rsidR="00204B5E" w:rsidRPr="007F0B66" w14:paraId="30F5157E" w14:textId="77777777" w:rsidTr="005262DA">
        <w:trPr>
          <w:jc w:val="center"/>
        </w:trPr>
        <w:tc>
          <w:tcPr>
            <w:tcW w:w="2539" w:type="dxa"/>
            <w:hideMark/>
          </w:tcPr>
          <w:p w14:paraId="7EC33F33" w14:textId="77777777" w:rsidR="00204B5E" w:rsidRPr="007F0B66" w:rsidRDefault="00204B5E" w:rsidP="001F5B6F">
            <w:pPr>
              <w:pStyle w:val="Body"/>
              <w:spacing w:after="0"/>
              <w:rPr>
                <w:rFonts w:ascii="Arial" w:eastAsia="Times New Roman" w:hAnsi="Arial" w:cs="Arial"/>
                <w:sz w:val="20"/>
              </w:rPr>
            </w:pPr>
          </w:p>
        </w:tc>
        <w:tc>
          <w:tcPr>
            <w:tcW w:w="2540" w:type="dxa"/>
            <w:hideMark/>
          </w:tcPr>
          <w:p w14:paraId="235C8F60" w14:textId="77777777" w:rsidR="00204B5E" w:rsidRPr="007F0B66" w:rsidRDefault="00204B5E" w:rsidP="001F5B6F">
            <w:pPr>
              <w:pStyle w:val="Body"/>
              <w:spacing w:after="0"/>
              <w:rPr>
                <w:rFonts w:ascii="Arial" w:eastAsia="Times New Roman" w:hAnsi="Arial" w:cs="Arial"/>
                <w:sz w:val="20"/>
              </w:rPr>
            </w:pPr>
          </w:p>
        </w:tc>
      </w:tr>
      <w:tr w:rsidR="00204B5E" w:rsidRPr="007F0B66" w14:paraId="3DBD7B35" w14:textId="77777777" w:rsidTr="005262DA">
        <w:trPr>
          <w:trHeight w:val="60"/>
          <w:jc w:val="center"/>
        </w:trPr>
        <w:tc>
          <w:tcPr>
            <w:tcW w:w="2539" w:type="dxa"/>
            <w:hideMark/>
          </w:tcPr>
          <w:p w14:paraId="45463E6B" w14:textId="77777777" w:rsidR="00204B5E" w:rsidRPr="007F0B66" w:rsidRDefault="00204B5E" w:rsidP="001F5B6F">
            <w:pPr>
              <w:pStyle w:val="Body"/>
              <w:spacing w:after="0"/>
              <w:rPr>
                <w:rFonts w:ascii="Arial" w:eastAsia="Times New Roman" w:hAnsi="Arial" w:cs="Arial"/>
                <w:sz w:val="20"/>
              </w:rPr>
            </w:pPr>
          </w:p>
        </w:tc>
        <w:tc>
          <w:tcPr>
            <w:tcW w:w="2540" w:type="dxa"/>
            <w:hideMark/>
          </w:tcPr>
          <w:p w14:paraId="32D558D4" w14:textId="77777777" w:rsidR="00204B5E" w:rsidRPr="007F0B66" w:rsidRDefault="00204B5E" w:rsidP="001F5B6F">
            <w:pPr>
              <w:pStyle w:val="Body"/>
              <w:spacing w:after="0"/>
              <w:rPr>
                <w:rFonts w:ascii="Arial" w:eastAsia="Times New Roman" w:hAnsi="Arial" w:cs="Arial"/>
                <w:sz w:val="20"/>
              </w:rPr>
            </w:pPr>
          </w:p>
        </w:tc>
      </w:tr>
      <w:bookmarkEnd w:id="3"/>
    </w:tbl>
    <w:p w14:paraId="01159286" w14:textId="77777777" w:rsidR="00FD0FEF" w:rsidRDefault="00FD0FEF" w:rsidP="00204B5E">
      <w:pPr>
        <w:pStyle w:val="Body"/>
        <w:rPr>
          <w:rFonts w:ascii="Arial" w:hAnsi="Arial" w:cs="Arial"/>
          <w:b/>
          <w:bCs/>
          <w:lang w:val="en-IN"/>
        </w:rPr>
      </w:pPr>
    </w:p>
    <w:p w14:paraId="07C93571" w14:textId="77777777" w:rsidR="00FD0FEF" w:rsidRDefault="00FD0FEF" w:rsidP="00FD0FEF">
      <w:pPr>
        <w:pStyle w:val="Body"/>
        <w:spacing w:after="0"/>
        <w:rPr>
          <w:rFonts w:ascii="Arial" w:hAnsi="Arial" w:cs="Arial"/>
          <w:b/>
          <w:bCs/>
          <w:lang w:val="en-IN"/>
        </w:rPr>
      </w:pPr>
      <w:r>
        <w:rPr>
          <w:rFonts w:ascii="Arial" w:hAnsi="Arial" w:cs="Arial"/>
          <w:b/>
          <w:bCs/>
          <w:lang w:val="en-IN"/>
        </w:rPr>
        <w:t xml:space="preserve">5.4. </w:t>
      </w:r>
      <w:r w:rsidR="00204B5E" w:rsidRPr="00204B5E">
        <w:rPr>
          <w:rFonts w:ascii="Arial" w:hAnsi="Arial" w:cs="Arial"/>
          <w:b/>
          <w:bCs/>
          <w:lang w:val="en-IN"/>
        </w:rPr>
        <w:t>Analgesic:</w:t>
      </w:r>
    </w:p>
    <w:p w14:paraId="127CFE10" w14:textId="1205E906" w:rsidR="00204B5E" w:rsidRDefault="00204B5E" w:rsidP="00FD0FEF">
      <w:pPr>
        <w:pStyle w:val="Body"/>
        <w:spacing w:after="0"/>
        <w:rPr>
          <w:rFonts w:ascii="Arial" w:hAnsi="Arial" w:cs="Arial"/>
        </w:rPr>
      </w:pPr>
      <w:r w:rsidRPr="00204B5E">
        <w:rPr>
          <w:rFonts w:ascii="Arial" w:hAnsi="Arial" w:cs="Arial"/>
        </w:rPr>
        <w:t xml:space="preserve">The methanolic extract of </w:t>
      </w:r>
      <w:r w:rsidRPr="00204B5E">
        <w:rPr>
          <w:rFonts w:ascii="Arial" w:hAnsi="Arial" w:cs="Arial"/>
          <w:i/>
          <w:iCs/>
        </w:rPr>
        <w:t>Maesa indica</w:t>
      </w:r>
      <w:r w:rsidRPr="00204B5E">
        <w:rPr>
          <w:rFonts w:ascii="Arial" w:hAnsi="Arial" w:cs="Arial"/>
        </w:rPr>
        <w:t xml:space="preserve"> demonstrated significant analgesic activity in the acetic acid-induced writhing model. At doses of 200 mg/kg and 400 mg/kg, the extract produced 38.5% and 53.4% inhibition of writhing respectively (</w:t>
      </w:r>
      <w:r w:rsidRPr="00204B5E">
        <w:rPr>
          <w:rFonts w:ascii="Arial" w:hAnsi="Arial" w:cs="Arial"/>
          <w:b/>
          <w:bCs/>
        </w:rPr>
        <w:t>P&lt;0.001</w:t>
      </w:r>
      <w:r w:rsidRPr="00204B5E">
        <w:rPr>
          <w:rFonts w:ascii="Arial" w:hAnsi="Arial" w:cs="Arial"/>
        </w:rPr>
        <w:t>), compared to 81.95% inhibition by the standard drug (Table 3). The effect was dose-dependent, with higher doses showing greater analgesic effects.</w:t>
      </w:r>
    </w:p>
    <w:p w14:paraId="6A24930C" w14:textId="77777777" w:rsidR="005262DA" w:rsidRPr="00204B5E" w:rsidRDefault="005262DA" w:rsidP="00FD0FEF">
      <w:pPr>
        <w:pStyle w:val="Body"/>
        <w:spacing w:after="0"/>
        <w:rPr>
          <w:rFonts w:ascii="Arial" w:hAnsi="Arial" w:cs="Arial"/>
          <w:b/>
          <w:bCs/>
          <w:lang w:val="en-IN"/>
        </w:rPr>
      </w:pPr>
    </w:p>
    <w:p w14:paraId="7BAB6346" w14:textId="4B32DA6D" w:rsidR="00204B5E" w:rsidRPr="00204B5E" w:rsidRDefault="00204B5E" w:rsidP="00204B5E">
      <w:pPr>
        <w:pStyle w:val="Body"/>
        <w:rPr>
          <w:rFonts w:ascii="Arial" w:hAnsi="Arial" w:cs="Arial"/>
          <w:b/>
          <w:i/>
          <w:lang w:val="en-IN"/>
        </w:rPr>
      </w:pPr>
      <w:r w:rsidRPr="00204B5E">
        <w:rPr>
          <w:rFonts w:ascii="Arial" w:hAnsi="Arial" w:cs="Arial"/>
          <w:b/>
          <w:lang w:val="en-IN"/>
        </w:rPr>
        <w:t xml:space="preserve">Table </w:t>
      </w:r>
      <w:r w:rsidR="00FD0FEF" w:rsidRPr="00FD0FEF">
        <w:rPr>
          <w:rFonts w:ascii="Arial" w:hAnsi="Arial" w:cs="Arial"/>
          <w:b/>
          <w:lang w:val="en-IN"/>
        </w:rPr>
        <w:t>4</w:t>
      </w:r>
      <w:r w:rsidRPr="00204B5E">
        <w:rPr>
          <w:rFonts w:ascii="Arial" w:hAnsi="Arial" w:cs="Arial"/>
          <w:b/>
          <w:lang w:val="en-IN"/>
        </w:rPr>
        <w:t xml:space="preserve">: Analgesic activity of methanolic extract of </w:t>
      </w:r>
      <w:r w:rsidRPr="00204B5E">
        <w:rPr>
          <w:rFonts w:ascii="Arial" w:hAnsi="Arial" w:cs="Arial"/>
          <w:b/>
          <w:i/>
          <w:lang w:val="en-IN"/>
        </w:rPr>
        <w:t xml:space="preserve">Maesa indica </w:t>
      </w:r>
    </w:p>
    <w:tbl>
      <w:tblPr>
        <w:tblW w:w="6390" w:type="dxa"/>
        <w:jc w:val="center"/>
        <w:tblBorders>
          <w:top w:val="single" w:sz="4" w:space="0" w:color="auto"/>
          <w:bottom w:val="single" w:sz="4" w:space="0" w:color="auto"/>
        </w:tblBorders>
        <w:tblLayout w:type="fixed"/>
        <w:tblLook w:val="0600" w:firstRow="0" w:lastRow="0" w:firstColumn="0" w:lastColumn="0" w:noHBand="1" w:noVBand="1"/>
      </w:tblPr>
      <w:tblGrid>
        <w:gridCol w:w="1890"/>
        <w:gridCol w:w="2610"/>
        <w:gridCol w:w="1890"/>
      </w:tblGrid>
      <w:tr w:rsidR="0097388D" w:rsidRPr="007F0B66" w14:paraId="403BA294" w14:textId="77777777" w:rsidTr="0097388D">
        <w:trPr>
          <w:trHeight w:val="466"/>
          <w:jc w:val="center"/>
        </w:trPr>
        <w:tc>
          <w:tcPr>
            <w:tcW w:w="1890" w:type="dxa"/>
            <w:tcBorders>
              <w:top w:val="single" w:sz="4" w:space="0" w:color="auto"/>
              <w:bottom w:val="single" w:sz="4" w:space="0" w:color="auto"/>
            </w:tcBorders>
            <w:tcMar>
              <w:top w:w="100" w:type="dxa"/>
              <w:left w:w="100" w:type="dxa"/>
              <w:bottom w:w="100" w:type="dxa"/>
              <w:right w:w="100" w:type="dxa"/>
            </w:tcMar>
            <w:hideMark/>
          </w:tcPr>
          <w:p w14:paraId="68BFCEC2" w14:textId="77777777" w:rsidR="00204B5E" w:rsidRPr="007F0B66" w:rsidRDefault="00204B5E" w:rsidP="001F5B6F">
            <w:pPr>
              <w:pStyle w:val="Body"/>
              <w:spacing w:after="0"/>
              <w:rPr>
                <w:rFonts w:ascii="Arial" w:hAnsi="Arial" w:cs="Arial"/>
                <w:b/>
                <w:bCs/>
                <w:iCs/>
                <w:lang w:val="en-IN"/>
              </w:rPr>
            </w:pPr>
            <w:r w:rsidRPr="007F0B66">
              <w:rPr>
                <w:rFonts w:ascii="Arial" w:hAnsi="Arial" w:cs="Arial"/>
                <w:b/>
                <w:bCs/>
                <w:iCs/>
                <w:lang w:val="en-IN"/>
              </w:rPr>
              <w:t xml:space="preserve">Animal </w:t>
            </w:r>
          </w:p>
          <w:p w14:paraId="216BC7F0" w14:textId="77777777" w:rsidR="00204B5E" w:rsidRPr="007F0B66" w:rsidRDefault="00204B5E" w:rsidP="001F5B6F">
            <w:pPr>
              <w:pStyle w:val="Body"/>
              <w:spacing w:after="0"/>
              <w:rPr>
                <w:rFonts w:ascii="Arial" w:hAnsi="Arial" w:cs="Arial"/>
                <w:b/>
                <w:bCs/>
                <w:iCs/>
                <w:lang w:val="en-IN"/>
              </w:rPr>
            </w:pPr>
            <w:r w:rsidRPr="007F0B66">
              <w:rPr>
                <w:rFonts w:ascii="Arial" w:hAnsi="Arial" w:cs="Arial"/>
                <w:b/>
                <w:bCs/>
                <w:iCs/>
                <w:lang w:val="en-IN"/>
              </w:rPr>
              <w:t>Group</w:t>
            </w:r>
          </w:p>
        </w:tc>
        <w:tc>
          <w:tcPr>
            <w:tcW w:w="2610" w:type="dxa"/>
            <w:tcBorders>
              <w:top w:val="single" w:sz="4" w:space="0" w:color="auto"/>
              <w:bottom w:val="single" w:sz="4" w:space="0" w:color="auto"/>
            </w:tcBorders>
            <w:tcMar>
              <w:top w:w="100" w:type="dxa"/>
              <w:left w:w="100" w:type="dxa"/>
              <w:bottom w:w="100" w:type="dxa"/>
              <w:right w:w="100" w:type="dxa"/>
            </w:tcMar>
            <w:hideMark/>
          </w:tcPr>
          <w:p w14:paraId="7D09327C" w14:textId="77777777" w:rsidR="0097388D" w:rsidRDefault="00204B5E" w:rsidP="001F5B6F">
            <w:pPr>
              <w:pStyle w:val="Body"/>
              <w:spacing w:after="0"/>
              <w:rPr>
                <w:rFonts w:ascii="Arial" w:hAnsi="Arial" w:cs="Arial"/>
                <w:b/>
                <w:bCs/>
                <w:iCs/>
                <w:lang w:val="en-IN"/>
              </w:rPr>
            </w:pPr>
            <w:r w:rsidRPr="007F0B66">
              <w:rPr>
                <w:rFonts w:ascii="Arial" w:hAnsi="Arial" w:cs="Arial"/>
                <w:b/>
                <w:bCs/>
                <w:iCs/>
                <w:lang w:val="en-IN"/>
              </w:rPr>
              <w:t xml:space="preserve">Number of Writhing </w:t>
            </w:r>
          </w:p>
          <w:p w14:paraId="3EE20566" w14:textId="4894518C" w:rsidR="00204B5E" w:rsidRPr="007F0B66" w:rsidRDefault="00204B5E" w:rsidP="001F5B6F">
            <w:pPr>
              <w:pStyle w:val="Body"/>
              <w:spacing w:after="0"/>
              <w:rPr>
                <w:rFonts w:ascii="Arial" w:hAnsi="Arial" w:cs="Arial"/>
                <w:b/>
                <w:bCs/>
                <w:iCs/>
                <w:lang w:val="en-IN"/>
              </w:rPr>
            </w:pPr>
            <w:r w:rsidRPr="007F0B66">
              <w:rPr>
                <w:rFonts w:ascii="Arial" w:hAnsi="Arial" w:cs="Arial"/>
                <w:b/>
                <w:bCs/>
                <w:iCs/>
                <w:lang w:val="en-IN"/>
              </w:rPr>
              <w:t>(Mean ± SEM)</w:t>
            </w:r>
          </w:p>
        </w:tc>
        <w:tc>
          <w:tcPr>
            <w:tcW w:w="1890" w:type="dxa"/>
            <w:tcBorders>
              <w:top w:val="single" w:sz="4" w:space="0" w:color="auto"/>
              <w:bottom w:val="single" w:sz="4" w:space="0" w:color="auto"/>
            </w:tcBorders>
            <w:tcMar>
              <w:top w:w="100" w:type="dxa"/>
              <w:left w:w="100" w:type="dxa"/>
              <w:bottom w:w="100" w:type="dxa"/>
              <w:right w:w="100" w:type="dxa"/>
            </w:tcMar>
            <w:hideMark/>
          </w:tcPr>
          <w:p w14:paraId="7FF5F145" w14:textId="77777777" w:rsidR="00204B5E" w:rsidRPr="007F0B66" w:rsidRDefault="00204B5E" w:rsidP="001F5B6F">
            <w:pPr>
              <w:pStyle w:val="Body"/>
              <w:spacing w:after="0"/>
              <w:rPr>
                <w:rFonts w:ascii="Arial" w:hAnsi="Arial" w:cs="Arial"/>
                <w:b/>
                <w:bCs/>
                <w:iCs/>
                <w:lang w:val="en-IN"/>
              </w:rPr>
            </w:pPr>
            <w:r w:rsidRPr="007F0B66">
              <w:rPr>
                <w:rFonts w:ascii="Arial" w:hAnsi="Arial" w:cs="Arial"/>
                <w:b/>
                <w:bCs/>
                <w:iCs/>
                <w:lang w:val="en-IN"/>
              </w:rPr>
              <w:t xml:space="preserve">% of Inhibition of </w:t>
            </w:r>
          </w:p>
          <w:p w14:paraId="1935CE64" w14:textId="77777777" w:rsidR="00204B5E" w:rsidRPr="007F0B66" w:rsidRDefault="00204B5E" w:rsidP="001F5B6F">
            <w:pPr>
              <w:pStyle w:val="Body"/>
              <w:spacing w:after="0"/>
              <w:rPr>
                <w:rFonts w:ascii="Arial" w:hAnsi="Arial" w:cs="Arial"/>
                <w:b/>
                <w:bCs/>
                <w:iCs/>
                <w:lang w:val="en-IN"/>
              </w:rPr>
            </w:pPr>
            <w:r w:rsidRPr="007F0B66">
              <w:rPr>
                <w:rFonts w:ascii="Arial" w:hAnsi="Arial" w:cs="Arial"/>
                <w:b/>
                <w:bCs/>
                <w:iCs/>
                <w:lang w:val="en-IN"/>
              </w:rPr>
              <w:t>Writhing</w:t>
            </w:r>
          </w:p>
        </w:tc>
      </w:tr>
      <w:tr w:rsidR="0097388D" w:rsidRPr="007F0B66" w14:paraId="65C57B92" w14:textId="77777777" w:rsidTr="0097388D">
        <w:trPr>
          <w:trHeight w:val="20"/>
          <w:jc w:val="center"/>
        </w:trPr>
        <w:tc>
          <w:tcPr>
            <w:tcW w:w="1890" w:type="dxa"/>
            <w:tcBorders>
              <w:top w:val="single" w:sz="4" w:space="0" w:color="auto"/>
            </w:tcBorders>
            <w:tcMar>
              <w:top w:w="100" w:type="dxa"/>
              <w:left w:w="100" w:type="dxa"/>
              <w:bottom w:w="100" w:type="dxa"/>
              <w:right w:w="100" w:type="dxa"/>
            </w:tcMar>
            <w:hideMark/>
          </w:tcPr>
          <w:p w14:paraId="4AD8CFD9"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lastRenderedPageBreak/>
              <w:t xml:space="preserve">Control </w:t>
            </w:r>
          </w:p>
        </w:tc>
        <w:tc>
          <w:tcPr>
            <w:tcW w:w="2610" w:type="dxa"/>
            <w:tcBorders>
              <w:top w:val="single" w:sz="4" w:space="0" w:color="auto"/>
            </w:tcBorders>
            <w:tcMar>
              <w:top w:w="100" w:type="dxa"/>
              <w:left w:w="100" w:type="dxa"/>
              <w:bottom w:w="100" w:type="dxa"/>
              <w:right w:w="100" w:type="dxa"/>
            </w:tcMar>
            <w:hideMark/>
          </w:tcPr>
          <w:p w14:paraId="7AAA87A1"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41±2.81 </w:t>
            </w:r>
          </w:p>
        </w:tc>
        <w:tc>
          <w:tcPr>
            <w:tcW w:w="1890" w:type="dxa"/>
            <w:tcBorders>
              <w:top w:val="single" w:sz="4" w:space="0" w:color="auto"/>
            </w:tcBorders>
            <w:tcMar>
              <w:top w:w="100" w:type="dxa"/>
              <w:left w:w="100" w:type="dxa"/>
              <w:bottom w:w="100" w:type="dxa"/>
              <w:right w:w="100" w:type="dxa"/>
            </w:tcMar>
            <w:hideMark/>
          </w:tcPr>
          <w:p w14:paraId="7B22167C"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0</w:t>
            </w:r>
          </w:p>
        </w:tc>
      </w:tr>
      <w:tr w:rsidR="0097388D" w:rsidRPr="007F0B66" w14:paraId="11A2BD8D" w14:textId="77777777" w:rsidTr="0097388D">
        <w:trPr>
          <w:trHeight w:val="20"/>
          <w:jc w:val="center"/>
        </w:trPr>
        <w:tc>
          <w:tcPr>
            <w:tcW w:w="1890" w:type="dxa"/>
            <w:tcMar>
              <w:top w:w="100" w:type="dxa"/>
              <w:left w:w="100" w:type="dxa"/>
              <w:bottom w:w="100" w:type="dxa"/>
              <w:right w:w="100" w:type="dxa"/>
            </w:tcMar>
            <w:hideMark/>
          </w:tcPr>
          <w:p w14:paraId="642278DD"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Standard </w:t>
            </w:r>
          </w:p>
        </w:tc>
        <w:tc>
          <w:tcPr>
            <w:tcW w:w="2610" w:type="dxa"/>
            <w:tcMar>
              <w:top w:w="100" w:type="dxa"/>
              <w:left w:w="100" w:type="dxa"/>
              <w:bottom w:w="100" w:type="dxa"/>
              <w:right w:w="100" w:type="dxa"/>
            </w:tcMar>
            <w:hideMark/>
          </w:tcPr>
          <w:p w14:paraId="1983948C"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7.4±0.43** </w:t>
            </w:r>
          </w:p>
        </w:tc>
        <w:tc>
          <w:tcPr>
            <w:tcW w:w="1890" w:type="dxa"/>
            <w:tcMar>
              <w:top w:w="100" w:type="dxa"/>
              <w:left w:w="100" w:type="dxa"/>
              <w:bottom w:w="100" w:type="dxa"/>
              <w:right w:w="100" w:type="dxa"/>
            </w:tcMar>
            <w:hideMark/>
          </w:tcPr>
          <w:p w14:paraId="67E685AA"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81.95</w:t>
            </w:r>
          </w:p>
        </w:tc>
      </w:tr>
      <w:tr w:rsidR="0097388D" w:rsidRPr="007F0B66" w14:paraId="4D2E648F" w14:textId="77777777" w:rsidTr="0097388D">
        <w:trPr>
          <w:trHeight w:val="20"/>
          <w:jc w:val="center"/>
        </w:trPr>
        <w:tc>
          <w:tcPr>
            <w:tcW w:w="1890" w:type="dxa"/>
            <w:tcMar>
              <w:top w:w="100" w:type="dxa"/>
              <w:left w:w="100" w:type="dxa"/>
              <w:bottom w:w="100" w:type="dxa"/>
              <w:right w:w="100" w:type="dxa"/>
            </w:tcMar>
            <w:hideMark/>
          </w:tcPr>
          <w:p w14:paraId="2B4E8831"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ME-200 </w:t>
            </w:r>
          </w:p>
        </w:tc>
        <w:tc>
          <w:tcPr>
            <w:tcW w:w="2610" w:type="dxa"/>
            <w:tcMar>
              <w:top w:w="100" w:type="dxa"/>
              <w:left w:w="100" w:type="dxa"/>
              <w:bottom w:w="100" w:type="dxa"/>
              <w:right w:w="100" w:type="dxa"/>
            </w:tcMar>
            <w:hideMark/>
          </w:tcPr>
          <w:p w14:paraId="7ECB7B97"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25.2±0.90** </w:t>
            </w:r>
          </w:p>
        </w:tc>
        <w:tc>
          <w:tcPr>
            <w:tcW w:w="1890" w:type="dxa"/>
            <w:tcMar>
              <w:top w:w="100" w:type="dxa"/>
              <w:left w:w="100" w:type="dxa"/>
              <w:bottom w:w="100" w:type="dxa"/>
              <w:right w:w="100" w:type="dxa"/>
            </w:tcMar>
            <w:hideMark/>
          </w:tcPr>
          <w:p w14:paraId="5F514E1C"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38.5</w:t>
            </w:r>
          </w:p>
        </w:tc>
      </w:tr>
      <w:tr w:rsidR="0097388D" w:rsidRPr="007F0B66" w14:paraId="37DE22B2" w14:textId="77777777" w:rsidTr="0097388D">
        <w:trPr>
          <w:trHeight w:val="359"/>
          <w:jc w:val="center"/>
        </w:trPr>
        <w:tc>
          <w:tcPr>
            <w:tcW w:w="1890" w:type="dxa"/>
            <w:tcMar>
              <w:top w:w="100" w:type="dxa"/>
              <w:left w:w="100" w:type="dxa"/>
              <w:bottom w:w="100" w:type="dxa"/>
              <w:right w:w="100" w:type="dxa"/>
            </w:tcMar>
            <w:hideMark/>
          </w:tcPr>
          <w:p w14:paraId="07D49A5E"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ME-400 </w:t>
            </w:r>
          </w:p>
        </w:tc>
        <w:tc>
          <w:tcPr>
            <w:tcW w:w="2610" w:type="dxa"/>
            <w:tcMar>
              <w:top w:w="100" w:type="dxa"/>
              <w:left w:w="100" w:type="dxa"/>
              <w:bottom w:w="100" w:type="dxa"/>
              <w:right w:w="100" w:type="dxa"/>
            </w:tcMar>
            <w:hideMark/>
          </w:tcPr>
          <w:p w14:paraId="0232C884"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19.1±1.01** </w:t>
            </w:r>
          </w:p>
        </w:tc>
        <w:tc>
          <w:tcPr>
            <w:tcW w:w="1890" w:type="dxa"/>
            <w:tcMar>
              <w:top w:w="100" w:type="dxa"/>
              <w:left w:w="100" w:type="dxa"/>
              <w:bottom w:w="100" w:type="dxa"/>
              <w:right w:w="100" w:type="dxa"/>
            </w:tcMar>
            <w:hideMark/>
          </w:tcPr>
          <w:p w14:paraId="7143248D"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53.4</w:t>
            </w:r>
          </w:p>
        </w:tc>
      </w:tr>
    </w:tbl>
    <w:p w14:paraId="17DD3DDD" w14:textId="77777777" w:rsidR="00204B5E" w:rsidRPr="007F0B66" w:rsidRDefault="00204B5E" w:rsidP="00204B5E">
      <w:pPr>
        <w:pStyle w:val="Body"/>
        <w:spacing w:after="0"/>
        <w:rPr>
          <w:rFonts w:ascii="Arial" w:hAnsi="Arial" w:cs="Arial"/>
          <w:bCs/>
          <w:iCs/>
          <w:lang w:val="en-IN"/>
        </w:rPr>
      </w:pPr>
      <w:r w:rsidRPr="007F0B66">
        <w:rPr>
          <w:rFonts w:ascii="Arial" w:hAnsi="Arial" w:cs="Arial"/>
          <w:bCs/>
          <w:iCs/>
          <w:lang w:val="en-IN"/>
        </w:rPr>
        <w:t>Note: Each value represents the mean ± SEM. (n= 5). One- way ANOVA followed by Dunnett’s t test. **P&lt;0.001, *P&lt;0.05 compared with control. ME = Methanolic Extract.</w:t>
      </w:r>
    </w:p>
    <w:p w14:paraId="7E32DC4F" w14:textId="77777777" w:rsidR="00FD0FEF" w:rsidRDefault="00FD0FEF" w:rsidP="00204B5E">
      <w:pPr>
        <w:pStyle w:val="Body"/>
        <w:spacing w:after="0"/>
        <w:rPr>
          <w:rFonts w:ascii="Arial" w:hAnsi="Arial" w:cs="Arial"/>
          <w:b/>
          <w:bCs/>
          <w:lang w:val="en-IN"/>
        </w:rPr>
      </w:pPr>
    </w:p>
    <w:p w14:paraId="1D9B06E7" w14:textId="77979438" w:rsidR="00204B5E" w:rsidRPr="007F0B66" w:rsidRDefault="00FD0FEF" w:rsidP="00204B5E">
      <w:pPr>
        <w:pStyle w:val="Body"/>
        <w:spacing w:after="0"/>
        <w:rPr>
          <w:rFonts w:ascii="Arial" w:hAnsi="Arial" w:cs="Arial"/>
          <w:b/>
          <w:bCs/>
          <w:iCs/>
          <w:lang w:val="en-IN"/>
        </w:rPr>
      </w:pPr>
      <w:r>
        <w:rPr>
          <w:rFonts w:ascii="Arial" w:hAnsi="Arial" w:cs="Arial"/>
          <w:b/>
          <w:bCs/>
          <w:lang w:val="en-IN"/>
        </w:rPr>
        <w:t xml:space="preserve">5.5. </w:t>
      </w:r>
      <w:r w:rsidR="00204B5E" w:rsidRPr="007F0B66">
        <w:rPr>
          <w:rFonts w:ascii="Arial" w:hAnsi="Arial" w:cs="Arial"/>
          <w:b/>
          <w:bCs/>
          <w:lang w:val="en-IN"/>
        </w:rPr>
        <w:t>Elevated plus maze:</w:t>
      </w:r>
    </w:p>
    <w:p w14:paraId="5F64878F" w14:textId="77777777" w:rsidR="00204B5E" w:rsidRDefault="00204B5E" w:rsidP="00204B5E">
      <w:pPr>
        <w:pStyle w:val="Body"/>
        <w:spacing w:after="0"/>
        <w:rPr>
          <w:rFonts w:ascii="Arial" w:hAnsi="Arial" w:cs="Arial"/>
        </w:rPr>
      </w:pPr>
      <w:r w:rsidRPr="007F0B66">
        <w:rPr>
          <w:rFonts w:ascii="Arial" w:hAnsi="Arial" w:cs="Arial"/>
        </w:rPr>
        <w:t xml:space="preserve">The methanolic extract of </w:t>
      </w:r>
      <w:r w:rsidRPr="007F0B66">
        <w:rPr>
          <w:rFonts w:ascii="Arial" w:hAnsi="Arial" w:cs="Arial"/>
          <w:i/>
          <w:iCs/>
        </w:rPr>
        <w:t>Maesa indica</w:t>
      </w:r>
      <w:r w:rsidRPr="007F0B66">
        <w:rPr>
          <w:rFonts w:ascii="Arial" w:hAnsi="Arial" w:cs="Arial"/>
        </w:rPr>
        <w:t xml:space="preserve"> significantly increased the time spent and the number of entries into the open arms in a dose-dependent manner (Table 4). At 400 mg/kg, there was a highly significant increase (</w:t>
      </w:r>
      <w:r w:rsidRPr="007F0B66">
        <w:rPr>
          <w:rFonts w:ascii="Arial" w:hAnsi="Arial" w:cs="Arial"/>
          <w:b/>
          <w:bCs/>
        </w:rPr>
        <w:t>P&lt;0.001</w:t>
      </w:r>
      <w:r w:rsidRPr="007F0B66">
        <w:rPr>
          <w:rFonts w:ascii="Arial" w:hAnsi="Arial" w:cs="Arial"/>
        </w:rPr>
        <w:t>) compared to the control group. This suggests anxiolytic activity, although the effects were lower than those produced by the standard drug.</w:t>
      </w:r>
    </w:p>
    <w:p w14:paraId="27751C19" w14:textId="77777777" w:rsidR="00FD0FEF" w:rsidRPr="007F0B66" w:rsidRDefault="00FD0FEF" w:rsidP="00204B5E">
      <w:pPr>
        <w:pStyle w:val="Body"/>
        <w:spacing w:after="0"/>
        <w:rPr>
          <w:rFonts w:ascii="Arial" w:hAnsi="Arial" w:cs="Arial"/>
        </w:rPr>
      </w:pPr>
    </w:p>
    <w:p w14:paraId="2EB16945" w14:textId="1CAC0089" w:rsidR="00204B5E" w:rsidRPr="00FD0FEF" w:rsidRDefault="00204B5E" w:rsidP="00204B5E">
      <w:pPr>
        <w:pStyle w:val="Body"/>
        <w:spacing w:after="0"/>
        <w:rPr>
          <w:rFonts w:ascii="Arial" w:hAnsi="Arial" w:cs="Arial"/>
          <w:b/>
          <w:bCs/>
        </w:rPr>
      </w:pPr>
      <w:r w:rsidRPr="00FD0FEF">
        <w:rPr>
          <w:rFonts w:ascii="Arial" w:hAnsi="Arial" w:cs="Arial"/>
          <w:b/>
          <w:bCs/>
          <w:lang w:val="en-IN"/>
        </w:rPr>
        <w:t xml:space="preserve">Table </w:t>
      </w:r>
      <w:r w:rsidR="00FD0FEF" w:rsidRPr="00FD0FEF">
        <w:rPr>
          <w:rFonts w:ascii="Arial" w:hAnsi="Arial" w:cs="Arial"/>
          <w:b/>
          <w:bCs/>
          <w:lang w:val="en-IN"/>
        </w:rPr>
        <w:t>5</w:t>
      </w:r>
      <w:r w:rsidRPr="00FD0FEF">
        <w:rPr>
          <w:rFonts w:ascii="Arial" w:hAnsi="Arial" w:cs="Arial"/>
          <w:b/>
          <w:bCs/>
          <w:lang w:val="en-IN"/>
        </w:rPr>
        <w:t xml:space="preserve">: Data obtained from elevated plus maze (EPM) test </w:t>
      </w:r>
    </w:p>
    <w:tbl>
      <w:tblPr>
        <w:tblW w:w="9345" w:type="dxa"/>
        <w:tblBorders>
          <w:top w:val="single" w:sz="4" w:space="0" w:color="auto"/>
          <w:bottom w:val="single" w:sz="4" w:space="0" w:color="auto"/>
        </w:tblBorders>
        <w:tblLayout w:type="fixed"/>
        <w:tblLook w:val="0600" w:firstRow="0" w:lastRow="0" w:firstColumn="0" w:lastColumn="0" w:noHBand="1" w:noVBand="1"/>
      </w:tblPr>
      <w:tblGrid>
        <w:gridCol w:w="1253"/>
        <w:gridCol w:w="2021"/>
        <w:gridCol w:w="2022"/>
        <w:gridCol w:w="2027"/>
        <w:gridCol w:w="2022"/>
      </w:tblGrid>
      <w:tr w:rsidR="00204B5E" w:rsidRPr="007F0B66" w14:paraId="3B87D3DB" w14:textId="77777777" w:rsidTr="00204B5E">
        <w:trPr>
          <w:trHeight w:val="160"/>
        </w:trPr>
        <w:tc>
          <w:tcPr>
            <w:tcW w:w="1253" w:type="dxa"/>
            <w:vMerge w:val="restart"/>
            <w:tcBorders>
              <w:top w:val="single" w:sz="4" w:space="0" w:color="auto"/>
              <w:bottom w:val="nil"/>
            </w:tcBorders>
            <w:tcMar>
              <w:top w:w="100" w:type="dxa"/>
              <w:left w:w="100" w:type="dxa"/>
              <w:bottom w:w="100" w:type="dxa"/>
              <w:right w:w="100" w:type="dxa"/>
            </w:tcMar>
          </w:tcPr>
          <w:p w14:paraId="2FA9F174" w14:textId="77777777" w:rsidR="00204B5E" w:rsidRPr="007F0B66" w:rsidRDefault="00204B5E" w:rsidP="001F5B6F">
            <w:pPr>
              <w:pStyle w:val="Body"/>
              <w:spacing w:after="0"/>
              <w:rPr>
                <w:rFonts w:ascii="Arial" w:hAnsi="Arial" w:cs="Arial"/>
                <w:b/>
                <w:bCs/>
                <w:lang w:val="en-IN"/>
              </w:rPr>
            </w:pPr>
          </w:p>
          <w:p w14:paraId="25A0ACA9" w14:textId="77777777" w:rsidR="00204B5E" w:rsidRPr="007F0B66" w:rsidRDefault="00204B5E" w:rsidP="001F5B6F">
            <w:pPr>
              <w:pStyle w:val="Body"/>
              <w:spacing w:after="0"/>
              <w:rPr>
                <w:rFonts w:ascii="Arial" w:hAnsi="Arial" w:cs="Arial"/>
                <w:b/>
                <w:bCs/>
                <w:lang w:val="en-IN"/>
              </w:rPr>
            </w:pPr>
          </w:p>
          <w:p w14:paraId="200C87BE"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 xml:space="preserve">Group </w:t>
            </w:r>
          </w:p>
        </w:tc>
        <w:tc>
          <w:tcPr>
            <w:tcW w:w="8092" w:type="dxa"/>
            <w:gridSpan w:val="4"/>
            <w:tcBorders>
              <w:top w:val="single" w:sz="4" w:space="0" w:color="auto"/>
              <w:bottom w:val="single" w:sz="4" w:space="0" w:color="auto"/>
            </w:tcBorders>
            <w:tcMar>
              <w:top w:w="100" w:type="dxa"/>
              <w:left w:w="100" w:type="dxa"/>
              <w:bottom w:w="100" w:type="dxa"/>
              <w:right w:w="100" w:type="dxa"/>
            </w:tcMar>
            <w:hideMark/>
          </w:tcPr>
          <w:p w14:paraId="1BC04E48" w14:textId="77777777" w:rsidR="00204B5E" w:rsidRPr="007F0B66" w:rsidRDefault="00204B5E" w:rsidP="001F5B6F">
            <w:pPr>
              <w:pStyle w:val="Body"/>
              <w:spacing w:after="0"/>
              <w:jc w:val="center"/>
              <w:rPr>
                <w:rFonts w:ascii="Arial" w:hAnsi="Arial" w:cs="Arial"/>
                <w:b/>
                <w:bCs/>
                <w:lang w:val="en-IN"/>
              </w:rPr>
            </w:pPr>
            <w:r w:rsidRPr="007F0B66">
              <w:rPr>
                <w:rFonts w:ascii="Arial" w:hAnsi="Arial" w:cs="Arial"/>
                <w:b/>
                <w:bCs/>
                <w:lang w:val="en-IN"/>
              </w:rPr>
              <w:t>(Mean ± SEM)</w:t>
            </w:r>
          </w:p>
        </w:tc>
      </w:tr>
      <w:tr w:rsidR="00204B5E" w:rsidRPr="007F0B66" w14:paraId="6980CA0F" w14:textId="77777777" w:rsidTr="00204B5E">
        <w:trPr>
          <w:trHeight w:val="124"/>
        </w:trPr>
        <w:tc>
          <w:tcPr>
            <w:tcW w:w="1253" w:type="dxa"/>
            <w:vMerge/>
            <w:tcBorders>
              <w:top w:val="nil"/>
              <w:bottom w:val="single" w:sz="4" w:space="0" w:color="auto"/>
            </w:tcBorders>
            <w:vAlign w:val="center"/>
            <w:hideMark/>
          </w:tcPr>
          <w:p w14:paraId="64D75F22" w14:textId="77777777" w:rsidR="00204B5E" w:rsidRPr="007F0B66" w:rsidRDefault="00204B5E" w:rsidP="001F5B6F">
            <w:pPr>
              <w:pStyle w:val="Body"/>
              <w:spacing w:after="0"/>
              <w:rPr>
                <w:rFonts w:ascii="Arial" w:hAnsi="Arial" w:cs="Arial"/>
                <w:b/>
                <w:bCs/>
                <w:lang w:val="en-IN"/>
              </w:rPr>
            </w:pPr>
          </w:p>
        </w:tc>
        <w:tc>
          <w:tcPr>
            <w:tcW w:w="4043" w:type="dxa"/>
            <w:gridSpan w:val="2"/>
            <w:tcBorders>
              <w:top w:val="single" w:sz="4" w:space="0" w:color="auto"/>
              <w:bottom w:val="single" w:sz="4" w:space="0" w:color="auto"/>
            </w:tcBorders>
            <w:tcMar>
              <w:top w:w="100" w:type="dxa"/>
              <w:left w:w="100" w:type="dxa"/>
              <w:bottom w:w="100" w:type="dxa"/>
              <w:right w:w="100" w:type="dxa"/>
            </w:tcMar>
            <w:hideMark/>
          </w:tcPr>
          <w:p w14:paraId="35698EBE"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Open arm</w:t>
            </w:r>
          </w:p>
        </w:tc>
        <w:tc>
          <w:tcPr>
            <w:tcW w:w="4049" w:type="dxa"/>
            <w:gridSpan w:val="2"/>
            <w:tcBorders>
              <w:top w:val="single" w:sz="4" w:space="0" w:color="auto"/>
              <w:bottom w:val="single" w:sz="4" w:space="0" w:color="auto"/>
            </w:tcBorders>
            <w:tcMar>
              <w:top w:w="100" w:type="dxa"/>
              <w:left w:w="100" w:type="dxa"/>
              <w:bottom w:w="100" w:type="dxa"/>
              <w:right w:w="100" w:type="dxa"/>
            </w:tcMar>
            <w:hideMark/>
          </w:tcPr>
          <w:p w14:paraId="2D95DE60"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Closed arm</w:t>
            </w:r>
          </w:p>
        </w:tc>
      </w:tr>
      <w:tr w:rsidR="00204B5E" w:rsidRPr="007F0B66" w14:paraId="20E5D7EC" w14:textId="77777777" w:rsidTr="00204B5E">
        <w:trPr>
          <w:trHeight w:val="529"/>
        </w:trPr>
        <w:tc>
          <w:tcPr>
            <w:tcW w:w="1253" w:type="dxa"/>
            <w:vMerge/>
            <w:tcBorders>
              <w:top w:val="single" w:sz="4" w:space="0" w:color="auto"/>
              <w:bottom w:val="single" w:sz="4" w:space="0" w:color="auto"/>
            </w:tcBorders>
            <w:vAlign w:val="center"/>
            <w:hideMark/>
          </w:tcPr>
          <w:p w14:paraId="0CD4A2B4" w14:textId="77777777" w:rsidR="00204B5E" w:rsidRPr="007F0B66" w:rsidRDefault="00204B5E" w:rsidP="001F5B6F">
            <w:pPr>
              <w:pStyle w:val="Body"/>
              <w:spacing w:after="0"/>
              <w:rPr>
                <w:rFonts w:ascii="Arial" w:hAnsi="Arial" w:cs="Arial"/>
                <w:b/>
                <w:bCs/>
                <w:lang w:val="en-IN"/>
              </w:rPr>
            </w:pPr>
          </w:p>
        </w:tc>
        <w:tc>
          <w:tcPr>
            <w:tcW w:w="2021" w:type="dxa"/>
            <w:tcBorders>
              <w:top w:val="single" w:sz="4" w:space="0" w:color="auto"/>
              <w:bottom w:val="single" w:sz="4" w:space="0" w:color="auto"/>
            </w:tcBorders>
            <w:tcMar>
              <w:top w:w="100" w:type="dxa"/>
              <w:left w:w="100" w:type="dxa"/>
              <w:bottom w:w="100" w:type="dxa"/>
              <w:right w:w="100" w:type="dxa"/>
            </w:tcMar>
            <w:hideMark/>
          </w:tcPr>
          <w:p w14:paraId="54729387"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 xml:space="preserve">Time spent (sec) </w:t>
            </w:r>
          </w:p>
        </w:tc>
        <w:tc>
          <w:tcPr>
            <w:tcW w:w="2022" w:type="dxa"/>
            <w:tcBorders>
              <w:top w:val="single" w:sz="4" w:space="0" w:color="auto"/>
              <w:bottom w:val="single" w:sz="4" w:space="0" w:color="auto"/>
            </w:tcBorders>
            <w:tcMar>
              <w:top w:w="100" w:type="dxa"/>
              <w:left w:w="100" w:type="dxa"/>
              <w:bottom w:w="100" w:type="dxa"/>
              <w:right w:w="100" w:type="dxa"/>
            </w:tcMar>
            <w:hideMark/>
          </w:tcPr>
          <w:p w14:paraId="4A928E77"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 xml:space="preserve">Number of </w:t>
            </w:r>
          </w:p>
          <w:p w14:paraId="73703EB3"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entries</w:t>
            </w:r>
          </w:p>
        </w:tc>
        <w:tc>
          <w:tcPr>
            <w:tcW w:w="2027" w:type="dxa"/>
            <w:tcBorders>
              <w:top w:val="single" w:sz="4" w:space="0" w:color="auto"/>
              <w:bottom w:val="single" w:sz="4" w:space="0" w:color="auto"/>
            </w:tcBorders>
            <w:tcMar>
              <w:top w:w="100" w:type="dxa"/>
              <w:left w:w="100" w:type="dxa"/>
              <w:bottom w:w="100" w:type="dxa"/>
              <w:right w:w="100" w:type="dxa"/>
            </w:tcMar>
            <w:hideMark/>
          </w:tcPr>
          <w:p w14:paraId="34224034"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 xml:space="preserve">Time spent (sec) </w:t>
            </w:r>
          </w:p>
        </w:tc>
        <w:tc>
          <w:tcPr>
            <w:tcW w:w="2022" w:type="dxa"/>
            <w:tcBorders>
              <w:top w:val="single" w:sz="4" w:space="0" w:color="auto"/>
              <w:bottom w:val="single" w:sz="4" w:space="0" w:color="auto"/>
            </w:tcBorders>
            <w:tcMar>
              <w:top w:w="100" w:type="dxa"/>
              <w:left w:w="100" w:type="dxa"/>
              <w:bottom w:w="100" w:type="dxa"/>
              <w:right w:w="100" w:type="dxa"/>
            </w:tcMar>
            <w:hideMark/>
          </w:tcPr>
          <w:p w14:paraId="2105E961"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 xml:space="preserve">Number of </w:t>
            </w:r>
          </w:p>
          <w:p w14:paraId="7AD6E395"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entries</w:t>
            </w:r>
          </w:p>
        </w:tc>
      </w:tr>
      <w:tr w:rsidR="00204B5E" w:rsidRPr="007F0B66" w14:paraId="04A65068" w14:textId="77777777" w:rsidTr="00204B5E">
        <w:trPr>
          <w:trHeight w:val="424"/>
        </w:trPr>
        <w:tc>
          <w:tcPr>
            <w:tcW w:w="1253" w:type="dxa"/>
            <w:tcBorders>
              <w:top w:val="single" w:sz="4" w:space="0" w:color="auto"/>
            </w:tcBorders>
            <w:tcMar>
              <w:top w:w="100" w:type="dxa"/>
              <w:left w:w="100" w:type="dxa"/>
              <w:bottom w:w="100" w:type="dxa"/>
              <w:right w:w="100" w:type="dxa"/>
            </w:tcMar>
            <w:hideMark/>
          </w:tcPr>
          <w:p w14:paraId="2C9937E7"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Control </w:t>
            </w:r>
          </w:p>
        </w:tc>
        <w:tc>
          <w:tcPr>
            <w:tcW w:w="2021" w:type="dxa"/>
            <w:tcBorders>
              <w:top w:val="single" w:sz="4" w:space="0" w:color="auto"/>
            </w:tcBorders>
            <w:tcMar>
              <w:top w:w="100" w:type="dxa"/>
              <w:left w:w="100" w:type="dxa"/>
              <w:bottom w:w="100" w:type="dxa"/>
              <w:right w:w="100" w:type="dxa"/>
            </w:tcMar>
            <w:hideMark/>
          </w:tcPr>
          <w:p w14:paraId="0D02511E"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10.79±2.62 </w:t>
            </w:r>
          </w:p>
        </w:tc>
        <w:tc>
          <w:tcPr>
            <w:tcW w:w="2022" w:type="dxa"/>
            <w:tcBorders>
              <w:top w:val="single" w:sz="4" w:space="0" w:color="auto"/>
            </w:tcBorders>
            <w:tcMar>
              <w:top w:w="100" w:type="dxa"/>
              <w:left w:w="100" w:type="dxa"/>
              <w:bottom w:w="100" w:type="dxa"/>
              <w:right w:w="100" w:type="dxa"/>
            </w:tcMar>
            <w:hideMark/>
          </w:tcPr>
          <w:p w14:paraId="2CEEA838"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3.8±0.66 </w:t>
            </w:r>
          </w:p>
        </w:tc>
        <w:tc>
          <w:tcPr>
            <w:tcW w:w="2027" w:type="dxa"/>
            <w:tcBorders>
              <w:top w:val="single" w:sz="4" w:space="0" w:color="auto"/>
            </w:tcBorders>
            <w:tcMar>
              <w:top w:w="100" w:type="dxa"/>
              <w:left w:w="100" w:type="dxa"/>
              <w:bottom w:w="100" w:type="dxa"/>
              <w:right w:w="100" w:type="dxa"/>
            </w:tcMar>
            <w:hideMark/>
          </w:tcPr>
          <w:p w14:paraId="5AB82849"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289.21±2.68 </w:t>
            </w:r>
          </w:p>
        </w:tc>
        <w:tc>
          <w:tcPr>
            <w:tcW w:w="2022" w:type="dxa"/>
            <w:tcBorders>
              <w:top w:val="single" w:sz="4" w:space="0" w:color="auto"/>
            </w:tcBorders>
            <w:tcMar>
              <w:top w:w="100" w:type="dxa"/>
              <w:left w:w="100" w:type="dxa"/>
              <w:bottom w:w="100" w:type="dxa"/>
              <w:right w:w="100" w:type="dxa"/>
            </w:tcMar>
            <w:hideMark/>
          </w:tcPr>
          <w:p w14:paraId="65EE5E58"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12.4±1.50</w:t>
            </w:r>
          </w:p>
        </w:tc>
      </w:tr>
      <w:tr w:rsidR="00204B5E" w:rsidRPr="007F0B66" w14:paraId="15B92665" w14:textId="77777777" w:rsidTr="00204B5E">
        <w:trPr>
          <w:trHeight w:val="424"/>
        </w:trPr>
        <w:tc>
          <w:tcPr>
            <w:tcW w:w="1253" w:type="dxa"/>
            <w:tcMar>
              <w:top w:w="100" w:type="dxa"/>
              <w:left w:w="100" w:type="dxa"/>
              <w:bottom w:w="100" w:type="dxa"/>
              <w:right w:w="100" w:type="dxa"/>
            </w:tcMar>
            <w:hideMark/>
          </w:tcPr>
          <w:p w14:paraId="7B67519C"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Standard </w:t>
            </w:r>
          </w:p>
        </w:tc>
        <w:tc>
          <w:tcPr>
            <w:tcW w:w="2021" w:type="dxa"/>
            <w:tcMar>
              <w:top w:w="100" w:type="dxa"/>
              <w:left w:w="100" w:type="dxa"/>
              <w:bottom w:w="100" w:type="dxa"/>
              <w:right w:w="100" w:type="dxa"/>
            </w:tcMar>
            <w:hideMark/>
          </w:tcPr>
          <w:p w14:paraId="45B2D7D7"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68.12±5.38*** </w:t>
            </w:r>
          </w:p>
        </w:tc>
        <w:tc>
          <w:tcPr>
            <w:tcW w:w="2022" w:type="dxa"/>
            <w:tcMar>
              <w:top w:w="100" w:type="dxa"/>
              <w:left w:w="100" w:type="dxa"/>
              <w:bottom w:w="100" w:type="dxa"/>
              <w:right w:w="100" w:type="dxa"/>
            </w:tcMar>
            <w:hideMark/>
          </w:tcPr>
          <w:p w14:paraId="790F2AD8"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13.2±1.15*** </w:t>
            </w:r>
          </w:p>
        </w:tc>
        <w:tc>
          <w:tcPr>
            <w:tcW w:w="2027" w:type="dxa"/>
            <w:tcMar>
              <w:top w:w="100" w:type="dxa"/>
              <w:left w:w="100" w:type="dxa"/>
              <w:bottom w:w="100" w:type="dxa"/>
              <w:right w:w="100" w:type="dxa"/>
            </w:tcMar>
            <w:hideMark/>
          </w:tcPr>
          <w:p w14:paraId="55EB9535"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231.88±3.74*** </w:t>
            </w:r>
          </w:p>
        </w:tc>
        <w:tc>
          <w:tcPr>
            <w:tcW w:w="2022" w:type="dxa"/>
            <w:tcMar>
              <w:top w:w="100" w:type="dxa"/>
              <w:left w:w="100" w:type="dxa"/>
              <w:bottom w:w="100" w:type="dxa"/>
              <w:right w:w="100" w:type="dxa"/>
            </w:tcMar>
            <w:hideMark/>
          </w:tcPr>
          <w:p w14:paraId="49C7EC18"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8.6±0.75***</w:t>
            </w:r>
          </w:p>
        </w:tc>
      </w:tr>
      <w:tr w:rsidR="00204B5E" w:rsidRPr="007F0B66" w14:paraId="7D31F35F" w14:textId="77777777" w:rsidTr="00204B5E">
        <w:trPr>
          <w:trHeight w:val="422"/>
        </w:trPr>
        <w:tc>
          <w:tcPr>
            <w:tcW w:w="1253" w:type="dxa"/>
            <w:tcMar>
              <w:top w:w="100" w:type="dxa"/>
              <w:left w:w="100" w:type="dxa"/>
              <w:bottom w:w="100" w:type="dxa"/>
              <w:right w:w="100" w:type="dxa"/>
            </w:tcMar>
            <w:hideMark/>
          </w:tcPr>
          <w:p w14:paraId="7B02A3B7"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ME-200 </w:t>
            </w:r>
          </w:p>
        </w:tc>
        <w:tc>
          <w:tcPr>
            <w:tcW w:w="2021" w:type="dxa"/>
            <w:tcMar>
              <w:top w:w="100" w:type="dxa"/>
              <w:left w:w="100" w:type="dxa"/>
              <w:bottom w:w="100" w:type="dxa"/>
              <w:right w:w="100" w:type="dxa"/>
            </w:tcMar>
            <w:hideMark/>
          </w:tcPr>
          <w:p w14:paraId="2F4F9812"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27.41±6.65 </w:t>
            </w:r>
          </w:p>
        </w:tc>
        <w:tc>
          <w:tcPr>
            <w:tcW w:w="2022" w:type="dxa"/>
            <w:tcMar>
              <w:top w:w="100" w:type="dxa"/>
              <w:left w:w="100" w:type="dxa"/>
              <w:bottom w:w="100" w:type="dxa"/>
              <w:right w:w="100" w:type="dxa"/>
            </w:tcMar>
            <w:hideMark/>
          </w:tcPr>
          <w:p w14:paraId="1B89B64B"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5.6±0.98 </w:t>
            </w:r>
          </w:p>
        </w:tc>
        <w:tc>
          <w:tcPr>
            <w:tcW w:w="2027" w:type="dxa"/>
            <w:tcMar>
              <w:top w:w="100" w:type="dxa"/>
              <w:left w:w="100" w:type="dxa"/>
              <w:bottom w:w="100" w:type="dxa"/>
              <w:right w:w="100" w:type="dxa"/>
            </w:tcMar>
            <w:hideMark/>
          </w:tcPr>
          <w:p w14:paraId="0D23273A"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272.56±6.65 </w:t>
            </w:r>
          </w:p>
        </w:tc>
        <w:tc>
          <w:tcPr>
            <w:tcW w:w="2022" w:type="dxa"/>
            <w:tcMar>
              <w:top w:w="100" w:type="dxa"/>
              <w:left w:w="100" w:type="dxa"/>
              <w:bottom w:w="100" w:type="dxa"/>
              <w:right w:w="100" w:type="dxa"/>
            </w:tcMar>
            <w:hideMark/>
          </w:tcPr>
          <w:p w14:paraId="18A49698"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13±0.71</w:t>
            </w:r>
          </w:p>
        </w:tc>
      </w:tr>
      <w:tr w:rsidR="00204B5E" w:rsidRPr="007F0B66" w14:paraId="24EDE90A" w14:textId="77777777" w:rsidTr="00204B5E">
        <w:trPr>
          <w:trHeight w:val="422"/>
        </w:trPr>
        <w:tc>
          <w:tcPr>
            <w:tcW w:w="1253" w:type="dxa"/>
            <w:tcMar>
              <w:top w:w="100" w:type="dxa"/>
              <w:left w:w="100" w:type="dxa"/>
              <w:bottom w:w="100" w:type="dxa"/>
              <w:right w:w="100" w:type="dxa"/>
            </w:tcMar>
            <w:hideMark/>
          </w:tcPr>
          <w:p w14:paraId="00527F86"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ME-400 </w:t>
            </w:r>
          </w:p>
        </w:tc>
        <w:tc>
          <w:tcPr>
            <w:tcW w:w="2021" w:type="dxa"/>
            <w:tcMar>
              <w:top w:w="100" w:type="dxa"/>
              <w:left w:w="100" w:type="dxa"/>
              <w:bottom w:w="100" w:type="dxa"/>
              <w:right w:w="100" w:type="dxa"/>
            </w:tcMar>
            <w:hideMark/>
          </w:tcPr>
          <w:p w14:paraId="77F2DC77"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49.62±4.26*** </w:t>
            </w:r>
          </w:p>
        </w:tc>
        <w:tc>
          <w:tcPr>
            <w:tcW w:w="2022" w:type="dxa"/>
            <w:tcMar>
              <w:top w:w="100" w:type="dxa"/>
              <w:left w:w="100" w:type="dxa"/>
              <w:bottom w:w="100" w:type="dxa"/>
              <w:right w:w="100" w:type="dxa"/>
            </w:tcMar>
            <w:hideMark/>
          </w:tcPr>
          <w:p w14:paraId="3B00C88E"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7.4±1.02** </w:t>
            </w:r>
          </w:p>
        </w:tc>
        <w:tc>
          <w:tcPr>
            <w:tcW w:w="2027" w:type="dxa"/>
            <w:tcMar>
              <w:top w:w="100" w:type="dxa"/>
              <w:left w:w="100" w:type="dxa"/>
              <w:bottom w:w="100" w:type="dxa"/>
              <w:right w:w="100" w:type="dxa"/>
            </w:tcMar>
            <w:hideMark/>
          </w:tcPr>
          <w:p w14:paraId="281AB319"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250.58±4.15*** </w:t>
            </w:r>
          </w:p>
        </w:tc>
        <w:tc>
          <w:tcPr>
            <w:tcW w:w="2022" w:type="dxa"/>
            <w:tcMar>
              <w:top w:w="100" w:type="dxa"/>
              <w:left w:w="100" w:type="dxa"/>
              <w:bottom w:w="100" w:type="dxa"/>
              <w:right w:w="100" w:type="dxa"/>
            </w:tcMar>
            <w:hideMark/>
          </w:tcPr>
          <w:p w14:paraId="235592D0"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12.2±0.86**</w:t>
            </w:r>
          </w:p>
        </w:tc>
      </w:tr>
    </w:tbl>
    <w:p w14:paraId="139E5039" w14:textId="77777777" w:rsidR="00204B5E" w:rsidRPr="007F0B66" w:rsidRDefault="00204B5E" w:rsidP="00204B5E">
      <w:pPr>
        <w:pStyle w:val="Body"/>
        <w:spacing w:after="0"/>
        <w:rPr>
          <w:rFonts w:ascii="Arial" w:hAnsi="Arial" w:cs="Arial"/>
          <w:bCs/>
          <w:lang w:val="en-IN"/>
        </w:rPr>
      </w:pPr>
      <w:r w:rsidRPr="007F0B66">
        <w:rPr>
          <w:rFonts w:ascii="Arial" w:hAnsi="Arial" w:cs="Arial"/>
          <w:b/>
          <w:bCs/>
          <w:lang w:val="en-IN"/>
        </w:rPr>
        <w:t xml:space="preserve">Note: </w:t>
      </w:r>
      <w:r w:rsidRPr="007F0B66">
        <w:rPr>
          <w:rFonts w:ascii="Arial" w:hAnsi="Arial" w:cs="Arial"/>
          <w:lang w:val="en-IN"/>
        </w:rPr>
        <w:t>ME: Methanolic</w:t>
      </w:r>
      <w:r w:rsidRPr="007F0B66">
        <w:rPr>
          <w:rFonts w:ascii="Arial" w:hAnsi="Arial" w:cs="Arial"/>
          <w:bCs/>
          <w:lang w:val="en-IN"/>
        </w:rPr>
        <w:t xml:space="preserve"> Extract. Results were expressed as Mean ± SEM; *P&lt;0.05, **P&lt;0.01, ***P&lt;0.001 were considered statistically significant compared to control.</w:t>
      </w:r>
    </w:p>
    <w:p w14:paraId="3B7843FE" w14:textId="77777777" w:rsidR="00204B5E" w:rsidRPr="007F0B66" w:rsidRDefault="00204B5E" w:rsidP="00204B5E">
      <w:pPr>
        <w:pStyle w:val="Body"/>
        <w:spacing w:after="0"/>
        <w:rPr>
          <w:rFonts w:ascii="Arial" w:hAnsi="Arial" w:cs="Arial"/>
          <w:bCs/>
          <w:lang w:val="en-IN"/>
        </w:rPr>
      </w:pPr>
    </w:p>
    <w:p w14:paraId="0FD54456" w14:textId="63352CD1" w:rsidR="00204B5E" w:rsidRPr="007F0B66" w:rsidRDefault="00FD0FEF" w:rsidP="00204B5E">
      <w:pPr>
        <w:pStyle w:val="Body"/>
        <w:spacing w:after="0"/>
        <w:rPr>
          <w:rFonts w:ascii="Arial" w:hAnsi="Arial" w:cs="Arial"/>
          <w:b/>
          <w:bCs/>
          <w:lang w:val="en-IN"/>
        </w:rPr>
      </w:pPr>
      <w:r>
        <w:rPr>
          <w:rFonts w:ascii="Arial" w:hAnsi="Arial" w:cs="Arial"/>
          <w:b/>
          <w:bCs/>
          <w:lang w:val="en-IN"/>
        </w:rPr>
        <w:t xml:space="preserve">5.6. </w:t>
      </w:r>
      <w:r w:rsidR="00204B5E" w:rsidRPr="007F0B66">
        <w:rPr>
          <w:rFonts w:ascii="Arial" w:hAnsi="Arial" w:cs="Arial"/>
          <w:b/>
          <w:bCs/>
          <w:lang w:val="en-IN"/>
        </w:rPr>
        <w:t>Hole board test</w:t>
      </w:r>
    </w:p>
    <w:p w14:paraId="03AB61A6" w14:textId="77777777" w:rsidR="00204B5E" w:rsidRPr="007F0B66" w:rsidRDefault="00204B5E" w:rsidP="00204B5E">
      <w:pPr>
        <w:pStyle w:val="Body"/>
        <w:spacing w:after="0"/>
        <w:rPr>
          <w:rFonts w:ascii="Arial" w:hAnsi="Arial" w:cs="Arial"/>
        </w:rPr>
      </w:pPr>
      <w:r w:rsidRPr="007F0B66">
        <w:rPr>
          <w:rFonts w:ascii="Arial" w:hAnsi="Arial" w:cs="Arial"/>
        </w:rPr>
        <w:t>The methanolic extract increased the frequency of head dipping in a dose-dependent manner (Table 5). A significant increase (</w:t>
      </w:r>
      <w:r w:rsidRPr="007F0B66">
        <w:rPr>
          <w:rFonts w:ascii="Arial" w:hAnsi="Arial" w:cs="Arial"/>
          <w:b/>
          <w:bCs/>
        </w:rPr>
        <w:t>P&lt;0.05</w:t>
      </w:r>
      <w:r w:rsidRPr="007F0B66">
        <w:rPr>
          <w:rFonts w:ascii="Arial" w:hAnsi="Arial" w:cs="Arial"/>
        </w:rPr>
        <w:t>) was observed for both doses, with ME-400 showing a stronger effect, though slightly less than the standard drug. This behavior is indicative of anxiolytic properties.</w:t>
      </w:r>
    </w:p>
    <w:p w14:paraId="60CDDEF1" w14:textId="77777777" w:rsidR="00204B5E" w:rsidRPr="007F0B66" w:rsidRDefault="00204B5E" w:rsidP="00204B5E">
      <w:pPr>
        <w:pStyle w:val="Body"/>
        <w:spacing w:after="0"/>
        <w:rPr>
          <w:rFonts w:ascii="Arial" w:hAnsi="Arial" w:cs="Arial"/>
        </w:rPr>
      </w:pPr>
    </w:p>
    <w:p w14:paraId="54EEA1E2" w14:textId="0BF7C732" w:rsidR="00204B5E" w:rsidRPr="00FD0FEF" w:rsidRDefault="00204B5E" w:rsidP="00204B5E">
      <w:pPr>
        <w:pStyle w:val="Body"/>
        <w:spacing w:after="0"/>
        <w:rPr>
          <w:rFonts w:ascii="Arial" w:hAnsi="Arial" w:cs="Arial"/>
          <w:b/>
          <w:bCs/>
          <w:lang w:val="en-IN"/>
        </w:rPr>
      </w:pPr>
      <w:r w:rsidRPr="00FD0FEF">
        <w:rPr>
          <w:rFonts w:ascii="Arial" w:hAnsi="Arial" w:cs="Arial"/>
          <w:b/>
          <w:bCs/>
          <w:lang w:val="en-IN"/>
        </w:rPr>
        <w:t xml:space="preserve">Table </w:t>
      </w:r>
      <w:r w:rsidR="00FD0FEF" w:rsidRPr="00FD0FEF">
        <w:rPr>
          <w:rFonts w:ascii="Arial" w:hAnsi="Arial" w:cs="Arial"/>
          <w:b/>
          <w:bCs/>
          <w:lang w:val="en-IN"/>
        </w:rPr>
        <w:t>6</w:t>
      </w:r>
      <w:r w:rsidRPr="00FD0FEF">
        <w:rPr>
          <w:rFonts w:ascii="Arial" w:hAnsi="Arial" w:cs="Arial"/>
          <w:b/>
          <w:bCs/>
          <w:lang w:val="en-IN"/>
        </w:rPr>
        <w:t xml:space="preserve">: Data obtained from hole-board experiment </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142"/>
      </w:tblGrid>
      <w:tr w:rsidR="0097388D" w:rsidRPr="007F0B66" w14:paraId="4E91355C" w14:textId="77777777" w:rsidTr="0097388D">
        <w:trPr>
          <w:trHeight w:val="217"/>
          <w:jc w:val="center"/>
        </w:trPr>
        <w:tc>
          <w:tcPr>
            <w:tcW w:w="3102" w:type="dxa"/>
            <w:tcBorders>
              <w:top w:val="single" w:sz="4" w:space="0" w:color="auto"/>
              <w:bottom w:val="single" w:sz="4" w:space="0" w:color="auto"/>
            </w:tcBorders>
            <w:hideMark/>
          </w:tcPr>
          <w:p w14:paraId="408793B4" w14:textId="77777777" w:rsidR="00204B5E" w:rsidRPr="0097388D" w:rsidRDefault="00204B5E" w:rsidP="001F5B6F">
            <w:pPr>
              <w:pStyle w:val="Body"/>
              <w:spacing w:after="0"/>
              <w:rPr>
                <w:rFonts w:ascii="Arial" w:eastAsia="Times New Roman" w:hAnsi="Arial" w:cs="Arial"/>
                <w:b/>
                <w:bCs/>
                <w:sz w:val="20"/>
              </w:rPr>
            </w:pPr>
            <w:r w:rsidRPr="0097388D">
              <w:rPr>
                <w:rFonts w:ascii="Arial" w:eastAsia="Times New Roman" w:hAnsi="Arial" w:cs="Arial"/>
                <w:b/>
                <w:bCs/>
                <w:sz w:val="20"/>
              </w:rPr>
              <w:t>Animal Group</w:t>
            </w:r>
          </w:p>
        </w:tc>
        <w:tc>
          <w:tcPr>
            <w:tcW w:w="3142" w:type="dxa"/>
            <w:tcBorders>
              <w:top w:val="single" w:sz="4" w:space="0" w:color="auto"/>
              <w:bottom w:val="single" w:sz="4" w:space="0" w:color="auto"/>
            </w:tcBorders>
            <w:hideMark/>
          </w:tcPr>
          <w:p w14:paraId="0E4B2D92" w14:textId="77777777" w:rsidR="0097388D" w:rsidRDefault="00204B5E" w:rsidP="001F5B6F">
            <w:pPr>
              <w:pStyle w:val="Body"/>
              <w:spacing w:after="0"/>
              <w:rPr>
                <w:rFonts w:ascii="Arial" w:eastAsia="Times New Roman" w:hAnsi="Arial" w:cs="Arial"/>
                <w:b/>
                <w:bCs/>
                <w:sz w:val="20"/>
              </w:rPr>
            </w:pPr>
            <w:r w:rsidRPr="0097388D">
              <w:rPr>
                <w:rFonts w:ascii="Arial" w:eastAsia="Times New Roman" w:hAnsi="Arial" w:cs="Arial"/>
                <w:b/>
                <w:bCs/>
                <w:sz w:val="20"/>
              </w:rPr>
              <w:t xml:space="preserve">Frequency of Dipping </w:t>
            </w:r>
          </w:p>
          <w:p w14:paraId="2C3A2B05" w14:textId="1D959393" w:rsidR="00204B5E" w:rsidRPr="0097388D" w:rsidRDefault="00204B5E" w:rsidP="001F5B6F">
            <w:pPr>
              <w:pStyle w:val="Body"/>
              <w:spacing w:after="0"/>
              <w:rPr>
                <w:rFonts w:ascii="Arial" w:eastAsia="Times New Roman" w:hAnsi="Arial" w:cs="Arial"/>
                <w:b/>
                <w:bCs/>
                <w:sz w:val="20"/>
              </w:rPr>
            </w:pPr>
            <w:r w:rsidRPr="0097388D">
              <w:rPr>
                <w:rFonts w:ascii="Arial" w:eastAsia="Times New Roman" w:hAnsi="Arial" w:cs="Arial"/>
                <w:b/>
                <w:bCs/>
                <w:sz w:val="20"/>
              </w:rPr>
              <w:t>(Mean ± SEM)</w:t>
            </w:r>
          </w:p>
        </w:tc>
      </w:tr>
      <w:tr w:rsidR="0097388D" w:rsidRPr="007F0B66" w14:paraId="54A0CDF5" w14:textId="77777777" w:rsidTr="0097388D">
        <w:trPr>
          <w:trHeight w:val="444"/>
          <w:jc w:val="center"/>
        </w:trPr>
        <w:tc>
          <w:tcPr>
            <w:tcW w:w="3102" w:type="dxa"/>
            <w:tcBorders>
              <w:top w:val="single" w:sz="4" w:space="0" w:color="auto"/>
            </w:tcBorders>
            <w:hideMark/>
          </w:tcPr>
          <w:p w14:paraId="33B8DC65"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Control</w:t>
            </w:r>
          </w:p>
        </w:tc>
        <w:tc>
          <w:tcPr>
            <w:tcW w:w="3142" w:type="dxa"/>
            <w:tcBorders>
              <w:top w:val="single" w:sz="4" w:space="0" w:color="auto"/>
            </w:tcBorders>
            <w:hideMark/>
          </w:tcPr>
          <w:p w14:paraId="55EBDD97"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30.6±2.93</w:t>
            </w:r>
          </w:p>
        </w:tc>
      </w:tr>
      <w:tr w:rsidR="0097388D" w:rsidRPr="007F0B66" w14:paraId="7DC109DA" w14:textId="77777777" w:rsidTr="0097388D">
        <w:trPr>
          <w:trHeight w:val="444"/>
          <w:jc w:val="center"/>
        </w:trPr>
        <w:tc>
          <w:tcPr>
            <w:tcW w:w="3102" w:type="dxa"/>
            <w:hideMark/>
          </w:tcPr>
          <w:p w14:paraId="380A239E"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Standard</w:t>
            </w:r>
          </w:p>
        </w:tc>
        <w:tc>
          <w:tcPr>
            <w:tcW w:w="3142" w:type="dxa"/>
            <w:hideMark/>
          </w:tcPr>
          <w:p w14:paraId="780548A6"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73.4±2.03***</w:t>
            </w:r>
          </w:p>
        </w:tc>
      </w:tr>
      <w:tr w:rsidR="0097388D" w:rsidRPr="007F0B66" w14:paraId="5E64E3A0" w14:textId="77777777" w:rsidTr="0097388D">
        <w:trPr>
          <w:trHeight w:val="444"/>
          <w:jc w:val="center"/>
        </w:trPr>
        <w:tc>
          <w:tcPr>
            <w:tcW w:w="3102" w:type="dxa"/>
            <w:hideMark/>
          </w:tcPr>
          <w:p w14:paraId="71A3F2A5"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lastRenderedPageBreak/>
              <w:t>ME-200</w:t>
            </w:r>
          </w:p>
        </w:tc>
        <w:tc>
          <w:tcPr>
            <w:tcW w:w="3142" w:type="dxa"/>
            <w:hideMark/>
          </w:tcPr>
          <w:p w14:paraId="39A086EC"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55.6±3.53*</w:t>
            </w:r>
          </w:p>
        </w:tc>
      </w:tr>
      <w:tr w:rsidR="0097388D" w:rsidRPr="007F0B66" w14:paraId="47E96A33" w14:textId="77777777" w:rsidTr="0097388D">
        <w:trPr>
          <w:trHeight w:val="444"/>
          <w:jc w:val="center"/>
        </w:trPr>
        <w:tc>
          <w:tcPr>
            <w:tcW w:w="3102" w:type="dxa"/>
            <w:hideMark/>
          </w:tcPr>
          <w:p w14:paraId="5F7D4D6F"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ME-400</w:t>
            </w:r>
          </w:p>
        </w:tc>
        <w:tc>
          <w:tcPr>
            <w:tcW w:w="3142" w:type="dxa"/>
            <w:hideMark/>
          </w:tcPr>
          <w:p w14:paraId="65109322"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69.2±4.83*</w:t>
            </w:r>
          </w:p>
        </w:tc>
      </w:tr>
    </w:tbl>
    <w:p w14:paraId="6DEA4CE8" w14:textId="77777777" w:rsidR="00204B5E" w:rsidRPr="007F0B66" w:rsidRDefault="00204B5E" w:rsidP="00204B5E">
      <w:pPr>
        <w:pStyle w:val="Body"/>
        <w:spacing w:after="0"/>
        <w:rPr>
          <w:rFonts w:ascii="Arial" w:hAnsi="Arial" w:cs="Arial"/>
          <w:lang w:val="en-IN"/>
        </w:rPr>
      </w:pPr>
      <w:r w:rsidRPr="007F0B66">
        <w:rPr>
          <w:rFonts w:ascii="Arial" w:hAnsi="Arial" w:cs="Arial"/>
          <w:lang w:val="en-IN"/>
        </w:rPr>
        <w:t xml:space="preserve">Note: ME: methanolic extract. Result was expressed as Mean ± SEM; *P&lt;0.05, **P&lt;0.01,  </w:t>
      </w:r>
    </w:p>
    <w:p w14:paraId="50954223" w14:textId="77777777" w:rsidR="00204B5E" w:rsidRDefault="00204B5E" w:rsidP="00204B5E">
      <w:pPr>
        <w:pStyle w:val="Body"/>
        <w:spacing w:after="0"/>
        <w:rPr>
          <w:rFonts w:ascii="Arial" w:hAnsi="Arial" w:cs="Arial"/>
          <w:lang w:val="en-IN"/>
        </w:rPr>
      </w:pPr>
      <w:r w:rsidRPr="007F0B66">
        <w:rPr>
          <w:rFonts w:ascii="Arial" w:hAnsi="Arial" w:cs="Arial"/>
          <w:lang w:val="en-IN"/>
        </w:rPr>
        <w:t>***P&lt;0.001 were considered statistically significant compared to control.</w:t>
      </w:r>
    </w:p>
    <w:p w14:paraId="54F29BD3" w14:textId="77777777" w:rsidR="0097388D" w:rsidRPr="007F0B66" w:rsidRDefault="0097388D" w:rsidP="00204B5E">
      <w:pPr>
        <w:pStyle w:val="Body"/>
        <w:spacing w:after="0"/>
        <w:rPr>
          <w:rFonts w:ascii="Arial" w:hAnsi="Arial" w:cs="Arial"/>
          <w:lang w:val="en-IN"/>
        </w:rPr>
      </w:pPr>
    </w:p>
    <w:p w14:paraId="09171B40" w14:textId="0FFF515C" w:rsidR="00204B5E" w:rsidRPr="007F0B66" w:rsidRDefault="00FD0FEF" w:rsidP="00FD0FEF">
      <w:pPr>
        <w:pStyle w:val="Body"/>
        <w:spacing w:after="0"/>
        <w:rPr>
          <w:rFonts w:ascii="Arial" w:hAnsi="Arial" w:cs="Arial"/>
          <w:b/>
          <w:bCs/>
          <w:lang w:val="en-IN"/>
        </w:rPr>
      </w:pPr>
      <w:r>
        <w:rPr>
          <w:rFonts w:ascii="Arial" w:hAnsi="Arial" w:cs="Arial"/>
          <w:b/>
          <w:bCs/>
          <w:lang w:val="en-IN"/>
        </w:rPr>
        <w:t xml:space="preserve">5.7. </w:t>
      </w:r>
      <w:r w:rsidR="00204B5E" w:rsidRPr="007F0B66">
        <w:rPr>
          <w:rFonts w:ascii="Arial" w:hAnsi="Arial" w:cs="Arial"/>
          <w:b/>
          <w:bCs/>
          <w:lang w:val="en-IN"/>
        </w:rPr>
        <w:t>Antipyretic</w:t>
      </w:r>
    </w:p>
    <w:p w14:paraId="567D1441" w14:textId="77777777" w:rsidR="00204B5E" w:rsidRDefault="00204B5E" w:rsidP="00FD0FEF">
      <w:pPr>
        <w:pStyle w:val="Body"/>
        <w:spacing w:after="0"/>
        <w:rPr>
          <w:rFonts w:ascii="Arial" w:hAnsi="Arial" w:cs="Arial"/>
        </w:rPr>
      </w:pPr>
      <w:r w:rsidRPr="00B63A7D">
        <w:rPr>
          <w:rFonts w:ascii="Arial" w:hAnsi="Arial" w:cs="Arial"/>
        </w:rPr>
        <w:t xml:space="preserve">The methanolic extract of </w:t>
      </w:r>
      <w:r w:rsidRPr="00B63A7D">
        <w:rPr>
          <w:rFonts w:ascii="Arial" w:hAnsi="Arial" w:cs="Arial"/>
          <w:i/>
          <w:iCs/>
        </w:rPr>
        <w:t>Maesa indica</w:t>
      </w:r>
      <w:r w:rsidRPr="00B63A7D">
        <w:rPr>
          <w:rFonts w:ascii="Arial" w:hAnsi="Arial" w:cs="Arial"/>
        </w:rPr>
        <w:t xml:space="preserve"> significantly reduced yeast-induced hyperthermia in rats in a dose-dependent manner (Table 6). At 200 mg/kg, the extract produced 30.17% inhibition at the 1st hour and 80.17% inhibition by the 4th hour (</w:t>
      </w:r>
      <w:r w:rsidRPr="00B63A7D">
        <w:rPr>
          <w:rFonts w:ascii="Arial" w:hAnsi="Arial" w:cs="Arial"/>
          <w:b/>
          <w:bCs/>
        </w:rPr>
        <w:t>P&lt;0.01</w:t>
      </w:r>
      <w:r w:rsidRPr="00B63A7D">
        <w:rPr>
          <w:rFonts w:ascii="Arial" w:hAnsi="Arial" w:cs="Arial"/>
        </w:rPr>
        <w:t>). The 400 mg/kg dose exhibited even stronger activity, with 39.32% inhibition at the 1st hour and 90.17% inhibition at the 4th hour (</w:t>
      </w:r>
      <w:r w:rsidRPr="00B63A7D">
        <w:rPr>
          <w:rFonts w:ascii="Arial" w:hAnsi="Arial" w:cs="Arial"/>
          <w:b/>
          <w:bCs/>
        </w:rPr>
        <w:t>P&lt;0.001</w:t>
      </w:r>
      <w:r w:rsidRPr="00B63A7D">
        <w:rPr>
          <w:rFonts w:ascii="Arial" w:hAnsi="Arial" w:cs="Arial"/>
        </w:rPr>
        <w:t>). These effects were comparable to the standard drug paracetamol, which showed 50.96% and 96.15% inhibition at the corresponding time points. The findings indicate that the methanolic extract has significant, dose-dependent antipyretic activity.</w:t>
      </w:r>
    </w:p>
    <w:p w14:paraId="533EA992" w14:textId="77777777" w:rsidR="00FD0FEF" w:rsidRPr="00B63A7D" w:rsidRDefault="00FD0FEF" w:rsidP="00FD0FEF">
      <w:pPr>
        <w:pStyle w:val="Body"/>
        <w:spacing w:after="0"/>
        <w:rPr>
          <w:rFonts w:ascii="Arial" w:hAnsi="Arial" w:cs="Arial"/>
        </w:rPr>
      </w:pPr>
    </w:p>
    <w:p w14:paraId="177EEFB0" w14:textId="43B73256" w:rsidR="00204B5E" w:rsidRPr="00B63A7D" w:rsidRDefault="00204B5E" w:rsidP="00204B5E">
      <w:pPr>
        <w:pStyle w:val="Body"/>
        <w:rPr>
          <w:rFonts w:ascii="Arial" w:hAnsi="Arial" w:cs="Arial"/>
          <w:b/>
        </w:rPr>
      </w:pPr>
      <w:r w:rsidRPr="00B63A7D">
        <w:rPr>
          <w:rFonts w:ascii="Arial" w:hAnsi="Arial" w:cs="Arial"/>
          <w:b/>
        </w:rPr>
        <w:t xml:space="preserve">Table </w:t>
      </w:r>
      <w:r w:rsidR="00FD0FEF" w:rsidRPr="00FD0FEF">
        <w:rPr>
          <w:rFonts w:ascii="Arial" w:hAnsi="Arial" w:cs="Arial"/>
          <w:b/>
        </w:rPr>
        <w:t>7</w:t>
      </w:r>
      <w:r w:rsidRPr="00B63A7D">
        <w:rPr>
          <w:rFonts w:ascii="Arial" w:hAnsi="Arial" w:cs="Arial"/>
          <w:b/>
        </w:rPr>
        <w:t xml:space="preserve">: Antipyretic activity of methanolic extract of </w:t>
      </w:r>
      <w:r w:rsidRPr="00B63A7D">
        <w:rPr>
          <w:rFonts w:ascii="Arial" w:hAnsi="Arial" w:cs="Arial"/>
          <w:b/>
          <w:i/>
        </w:rPr>
        <w:t xml:space="preserve">Maesa indica </w:t>
      </w:r>
    </w:p>
    <w:tbl>
      <w:tblPr>
        <w:tblW w:w="9660"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929"/>
        <w:gridCol w:w="1219"/>
        <w:gridCol w:w="1658"/>
        <w:gridCol w:w="1441"/>
        <w:gridCol w:w="1621"/>
        <w:gridCol w:w="1446"/>
        <w:gridCol w:w="1346"/>
      </w:tblGrid>
      <w:tr w:rsidR="00204B5E" w:rsidRPr="007F0B66" w14:paraId="26B6176E" w14:textId="77777777" w:rsidTr="005331DB">
        <w:trPr>
          <w:trHeight w:val="729"/>
          <w:jc w:val="center"/>
        </w:trPr>
        <w:tc>
          <w:tcPr>
            <w:tcW w:w="929" w:type="dxa"/>
            <w:tcBorders>
              <w:top w:val="single" w:sz="4" w:space="0" w:color="auto"/>
              <w:bottom w:val="single" w:sz="4" w:space="0" w:color="auto"/>
            </w:tcBorders>
            <w:hideMark/>
          </w:tcPr>
          <w:p w14:paraId="77A788E3" w14:textId="77777777" w:rsidR="00204B5E" w:rsidRPr="0097388D" w:rsidRDefault="00204B5E" w:rsidP="001F5B6F">
            <w:pPr>
              <w:pStyle w:val="Body"/>
              <w:spacing w:after="0"/>
              <w:rPr>
                <w:rFonts w:ascii="Arial" w:hAnsi="Arial" w:cs="Arial"/>
                <w:b/>
                <w:bCs/>
              </w:rPr>
            </w:pPr>
            <w:r w:rsidRPr="0097388D">
              <w:rPr>
                <w:rFonts w:ascii="Arial" w:hAnsi="Arial" w:cs="Arial"/>
                <w:b/>
                <w:bCs/>
              </w:rPr>
              <w:t>Group</w:t>
            </w:r>
          </w:p>
        </w:tc>
        <w:tc>
          <w:tcPr>
            <w:tcW w:w="2877" w:type="dxa"/>
            <w:gridSpan w:val="2"/>
            <w:tcBorders>
              <w:top w:val="single" w:sz="4" w:space="0" w:color="auto"/>
              <w:bottom w:val="single" w:sz="4" w:space="0" w:color="auto"/>
            </w:tcBorders>
            <w:hideMark/>
          </w:tcPr>
          <w:p w14:paraId="713B6AB7" w14:textId="77777777" w:rsidR="00204B5E" w:rsidRPr="0097388D" w:rsidRDefault="00204B5E" w:rsidP="001F5B6F">
            <w:pPr>
              <w:pStyle w:val="Body"/>
              <w:spacing w:after="0"/>
              <w:rPr>
                <w:rFonts w:ascii="Arial" w:hAnsi="Arial" w:cs="Arial"/>
                <w:b/>
                <w:bCs/>
              </w:rPr>
            </w:pPr>
            <w:r w:rsidRPr="0097388D">
              <w:rPr>
                <w:rFonts w:ascii="Arial" w:hAnsi="Arial" w:cs="Arial"/>
                <w:b/>
                <w:bCs/>
              </w:rPr>
              <w:t>Pretreatment</w:t>
            </w:r>
          </w:p>
          <w:p w14:paraId="0F79F13C" w14:textId="77777777" w:rsidR="00204B5E" w:rsidRPr="0097388D" w:rsidRDefault="00204B5E" w:rsidP="001F5B6F">
            <w:pPr>
              <w:pStyle w:val="Body"/>
              <w:spacing w:after="0"/>
              <w:rPr>
                <w:rFonts w:ascii="Arial" w:hAnsi="Arial" w:cs="Arial"/>
                <w:b/>
                <w:bCs/>
              </w:rPr>
            </w:pPr>
            <w:r w:rsidRPr="0097388D">
              <w:rPr>
                <w:rFonts w:ascii="Arial" w:hAnsi="Arial" w:cs="Arial"/>
                <w:b/>
                <w:bCs/>
              </w:rPr>
              <w:t>temperature(◦F)</w:t>
            </w:r>
          </w:p>
        </w:tc>
        <w:tc>
          <w:tcPr>
            <w:tcW w:w="5854" w:type="dxa"/>
            <w:gridSpan w:val="4"/>
            <w:tcBorders>
              <w:top w:val="single" w:sz="4" w:space="0" w:color="auto"/>
              <w:bottom w:val="single" w:sz="4" w:space="0" w:color="auto"/>
            </w:tcBorders>
            <w:hideMark/>
          </w:tcPr>
          <w:p w14:paraId="54283CEC" w14:textId="77777777" w:rsidR="00204B5E" w:rsidRPr="0097388D" w:rsidRDefault="00204B5E" w:rsidP="001F5B6F">
            <w:pPr>
              <w:pStyle w:val="Body"/>
              <w:spacing w:after="0"/>
              <w:rPr>
                <w:rFonts w:ascii="Arial" w:hAnsi="Arial" w:cs="Arial"/>
                <w:b/>
                <w:bCs/>
              </w:rPr>
            </w:pPr>
            <w:r w:rsidRPr="0097388D">
              <w:rPr>
                <w:rFonts w:ascii="Arial" w:hAnsi="Arial" w:cs="Arial"/>
                <w:b/>
                <w:bCs/>
              </w:rPr>
              <w:t>Post-treatment temperature (◦F)</w:t>
            </w:r>
          </w:p>
        </w:tc>
      </w:tr>
      <w:tr w:rsidR="00204B5E" w:rsidRPr="007F0B66" w14:paraId="1CCBEC4D" w14:textId="77777777" w:rsidTr="005331DB">
        <w:trPr>
          <w:trHeight w:val="692"/>
          <w:jc w:val="center"/>
        </w:trPr>
        <w:tc>
          <w:tcPr>
            <w:tcW w:w="929" w:type="dxa"/>
            <w:tcBorders>
              <w:top w:val="single" w:sz="4" w:space="0" w:color="auto"/>
              <w:bottom w:val="single" w:sz="4" w:space="0" w:color="auto"/>
            </w:tcBorders>
          </w:tcPr>
          <w:p w14:paraId="32ADADCE" w14:textId="77777777" w:rsidR="00204B5E" w:rsidRPr="007F0B66" w:rsidRDefault="00204B5E" w:rsidP="001F5B6F">
            <w:pPr>
              <w:pStyle w:val="Body"/>
              <w:spacing w:after="0"/>
              <w:rPr>
                <w:rFonts w:ascii="Arial" w:hAnsi="Arial" w:cs="Arial"/>
              </w:rPr>
            </w:pPr>
          </w:p>
        </w:tc>
        <w:tc>
          <w:tcPr>
            <w:tcW w:w="1219" w:type="dxa"/>
            <w:tcBorders>
              <w:top w:val="single" w:sz="4" w:space="0" w:color="auto"/>
              <w:bottom w:val="single" w:sz="4" w:space="0" w:color="auto"/>
            </w:tcBorders>
            <w:hideMark/>
          </w:tcPr>
          <w:p w14:paraId="4BF17F51" w14:textId="77777777" w:rsidR="00204B5E" w:rsidRPr="007F0B66" w:rsidRDefault="00204B5E" w:rsidP="001F5B6F">
            <w:pPr>
              <w:pStyle w:val="Body"/>
              <w:spacing w:after="0"/>
              <w:rPr>
                <w:rFonts w:ascii="Arial" w:hAnsi="Arial" w:cs="Arial"/>
              </w:rPr>
            </w:pPr>
            <w:r w:rsidRPr="007F0B66">
              <w:rPr>
                <w:rFonts w:ascii="Arial" w:hAnsi="Arial" w:cs="Arial"/>
              </w:rPr>
              <w:t>Normal</w:t>
            </w:r>
          </w:p>
        </w:tc>
        <w:tc>
          <w:tcPr>
            <w:tcW w:w="1658" w:type="dxa"/>
            <w:tcBorders>
              <w:top w:val="single" w:sz="4" w:space="0" w:color="auto"/>
              <w:bottom w:val="single" w:sz="4" w:space="0" w:color="auto"/>
            </w:tcBorders>
            <w:hideMark/>
          </w:tcPr>
          <w:p w14:paraId="0AAE2B35" w14:textId="77777777" w:rsidR="00204B5E" w:rsidRPr="007F0B66" w:rsidRDefault="00204B5E" w:rsidP="003B14EB">
            <w:pPr>
              <w:pStyle w:val="Body"/>
              <w:spacing w:after="0"/>
              <w:jc w:val="left"/>
              <w:rPr>
                <w:rFonts w:ascii="Arial" w:hAnsi="Arial" w:cs="Arial"/>
              </w:rPr>
            </w:pPr>
            <w:r w:rsidRPr="007F0B66">
              <w:rPr>
                <w:rFonts w:ascii="Arial" w:hAnsi="Arial" w:cs="Arial"/>
              </w:rPr>
              <w:t>After yeast administration</w:t>
            </w:r>
          </w:p>
        </w:tc>
        <w:tc>
          <w:tcPr>
            <w:tcW w:w="1441" w:type="dxa"/>
            <w:tcBorders>
              <w:top w:val="single" w:sz="4" w:space="0" w:color="auto"/>
              <w:bottom w:val="single" w:sz="4" w:space="0" w:color="auto"/>
            </w:tcBorders>
            <w:hideMark/>
          </w:tcPr>
          <w:p w14:paraId="56BC4F7E" w14:textId="77777777" w:rsidR="00204B5E" w:rsidRPr="007F0B66" w:rsidRDefault="00204B5E" w:rsidP="001F5B6F">
            <w:pPr>
              <w:pStyle w:val="Body"/>
              <w:spacing w:after="0"/>
              <w:rPr>
                <w:rFonts w:ascii="Arial" w:hAnsi="Arial" w:cs="Arial"/>
              </w:rPr>
            </w:pPr>
            <w:r w:rsidRPr="007F0B66">
              <w:rPr>
                <w:rFonts w:ascii="Arial" w:hAnsi="Arial" w:cs="Arial"/>
              </w:rPr>
              <w:t>1 hour</w:t>
            </w:r>
          </w:p>
        </w:tc>
        <w:tc>
          <w:tcPr>
            <w:tcW w:w="1621" w:type="dxa"/>
            <w:tcBorders>
              <w:top w:val="single" w:sz="4" w:space="0" w:color="auto"/>
              <w:bottom w:val="single" w:sz="4" w:space="0" w:color="auto"/>
            </w:tcBorders>
            <w:hideMark/>
          </w:tcPr>
          <w:p w14:paraId="11427A4E" w14:textId="77777777" w:rsidR="00204B5E" w:rsidRPr="007F0B66" w:rsidRDefault="00204B5E" w:rsidP="001F5B6F">
            <w:pPr>
              <w:pStyle w:val="Body"/>
              <w:spacing w:after="0"/>
              <w:rPr>
                <w:rFonts w:ascii="Arial" w:hAnsi="Arial" w:cs="Arial"/>
              </w:rPr>
            </w:pPr>
            <w:r w:rsidRPr="007F0B66">
              <w:rPr>
                <w:rFonts w:ascii="Arial" w:hAnsi="Arial" w:cs="Arial"/>
              </w:rPr>
              <w:t>2 hours</w:t>
            </w:r>
          </w:p>
        </w:tc>
        <w:tc>
          <w:tcPr>
            <w:tcW w:w="1446" w:type="dxa"/>
            <w:tcBorders>
              <w:top w:val="single" w:sz="4" w:space="0" w:color="auto"/>
              <w:bottom w:val="single" w:sz="4" w:space="0" w:color="auto"/>
            </w:tcBorders>
            <w:hideMark/>
          </w:tcPr>
          <w:p w14:paraId="3E5ABA88" w14:textId="77777777" w:rsidR="00204B5E" w:rsidRPr="007F0B66" w:rsidRDefault="00204B5E" w:rsidP="001F5B6F">
            <w:pPr>
              <w:pStyle w:val="Body"/>
              <w:spacing w:after="0"/>
              <w:rPr>
                <w:rFonts w:ascii="Arial" w:hAnsi="Arial" w:cs="Arial"/>
              </w:rPr>
            </w:pPr>
            <w:r w:rsidRPr="007F0B66">
              <w:rPr>
                <w:rFonts w:ascii="Arial" w:hAnsi="Arial" w:cs="Arial"/>
              </w:rPr>
              <w:t>3 hours</w:t>
            </w:r>
          </w:p>
        </w:tc>
        <w:tc>
          <w:tcPr>
            <w:tcW w:w="1346" w:type="dxa"/>
            <w:tcBorders>
              <w:top w:val="single" w:sz="4" w:space="0" w:color="auto"/>
              <w:bottom w:val="single" w:sz="4" w:space="0" w:color="auto"/>
            </w:tcBorders>
            <w:hideMark/>
          </w:tcPr>
          <w:p w14:paraId="39B2D616" w14:textId="77777777" w:rsidR="00204B5E" w:rsidRPr="007F0B66" w:rsidRDefault="00204B5E" w:rsidP="001F5B6F">
            <w:pPr>
              <w:pStyle w:val="Body"/>
              <w:spacing w:after="0"/>
              <w:rPr>
                <w:rFonts w:ascii="Arial" w:hAnsi="Arial" w:cs="Arial"/>
              </w:rPr>
            </w:pPr>
            <w:r w:rsidRPr="007F0B66">
              <w:rPr>
                <w:rFonts w:ascii="Arial" w:hAnsi="Arial" w:cs="Arial"/>
              </w:rPr>
              <w:t>4 hours</w:t>
            </w:r>
          </w:p>
        </w:tc>
      </w:tr>
      <w:tr w:rsidR="00204B5E" w:rsidRPr="007F0B66" w14:paraId="41D59E6D" w14:textId="77777777" w:rsidTr="005331DB">
        <w:trPr>
          <w:trHeight w:val="280"/>
          <w:jc w:val="center"/>
        </w:trPr>
        <w:tc>
          <w:tcPr>
            <w:tcW w:w="929" w:type="dxa"/>
            <w:tcBorders>
              <w:top w:val="single" w:sz="4" w:space="0" w:color="auto"/>
              <w:bottom w:val="nil"/>
            </w:tcBorders>
            <w:hideMark/>
          </w:tcPr>
          <w:p w14:paraId="56350570" w14:textId="77777777" w:rsidR="00204B5E" w:rsidRPr="007F0B66" w:rsidRDefault="00204B5E" w:rsidP="001F5B6F">
            <w:pPr>
              <w:pStyle w:val="Body"/>
              <w:spacing w:after="0"/>
              <w:rPr>
                <w:rFonts w:ascii="Arial" w:hAnsi="Arial" w:cs="Arial"/>
              </w:rPr>
            </w:pPr>
            <w:r w:rsidRPr="007F0B66">
              <w:rPr>
                <w:rFonts w:ascii="Arial" w:hAnsi="Arial" w:cs="Arial"/>
              </w:rPr>
              <w:t>Control</w:t>
            </w:r>
          </w:p>
        </w:tc>
        <w:tc>
          <w:tcPr>
            <w:tcW w:w="1219" w:type="dxa"/>
            <w:tcBorders>
              <w:top w:val="single" w:sz="4" w:space="0" w:color="auto"/>
              <w:bottom w:val="nil"/>
            </w:tcBorders>
            <w:hideMark/>
          </w:tcPr>
          <w:p w14:paraId="4B1E6DC2" w14:textId="77777777" w:rsidR="00204B5E" w:rsidRPr="007F0B66" w:rsidRDefault="00204B5E" w:rsidP="001F5B6F">
            <w:pPr>
              <w:pStyle w:val="Body"/>
              <w:spacing w:after="0"/>
              <w:rPr>
                <w:rFonts w:ascii="Arial" w:hAnsi="Arial" w:cs="Arial"/>
              </w:rPr>
            </w:pPr>
            <w:r w:rsidRPr="007F0B66">
              <w:rPr>
                <w:rFonts w:ascii="Arial" w:hAnsi="Arial" w:cs="Arial"/>
              </w:rPr>
              <w:t>98.06±0.10</w:t>
            </w:r>
          </w:p>
        </w:tc>
        <w:tc>
          <w:tcPr>
            <w:tcW w:w="1658" w:type="dxa"/>
            <w:tcBorders>
              <w:top w:val="single" w:sz="4" w:space="0" w:color="auto"/>
              <w:bottom w:val="nil"/>
            </w:tcBorders>
            <w:hideMark/>
          </w:tcPr>
          <w:p w14:paraId="69657DAC" w14:textId="77777777" w:rsidR="00204B5E" w:rsidRPr="007F0B66" w:rsidRDefault="00204B5E" w:rsidP="001F5B6F">
            <w:pPr>
              <w:pStyle w:val="Body"/>
              <w:spacing w:after="0"/>
              <w:rPr>
                <w:rFonts w:ascii="Arial" w:hAnsi="Arial" w:cs="Arial"/>
              </w:rPr>
            </w:pPr>
            <w:r w:rsidRPr="007F0B66">
              <w:rPr>
                <w:rFonts w:ascii="Arial" w:hAnsi="Arial" w:cs="Arial"/>
              </w:rPr>
              <w:t>100.30±0.10</w:t>
            </w:r>
          </w:p>
        </w:tc>
        <w:tc>
          <w:tcPr>
            <w:tcW w:w="1441" w:type="dxa"/>
            <w:tcBorders>
              <w:top w:val="single" w:sz="4" w:space="0" w:color="auto"/>
              <w:bottom w:val="nil"/>
            </w:tcBorders>
            <w:hideMark/>
          </w:tcPr>
          <w:p w14:paraId="75931349" w14:textId="77777777" w:rsidR="00204B5E" w:rsidRPr="007F0B66" w:rsidRDefault="00204B5E" w:rsidP="001F5B6F">
            <w:pPr>
              <w:pStyle w:val="Body"/>
              <w:spacing w:after="0"/>
              <w:rPr>
                <w:rFonts w:ascii="Arial" w:hAnsi="Arial" w:cs="Arial"/>
              </w:rPr>
            </w:pPr>
            <w:r w:rsidRPr="007F0B66">
              <w:rPr>
                <w:rFonts w:ascii="Arial" w:hAnsi="Arial" w:cs="Arial"/>
              </w:rPr>
              <w:t>100.04±0.10</w:t>
            </w:r>
          </w:p>
        </w:tc>
        <w:tc>
          <w:tcPr>
            <w:tcW w:w="1621" w:type="dxa"/>
            <w:tcBorders>
              <w:top w:val="single" w:sz="4" w:space="0" w:color="auto"/>
              <w:bottom w:val="nil"/>
            </w:tcBorders>
            <w:hideMark/>
          </w:tcPr>
          <w:p w14:paraId="2657D5A0" w14:textId="77777777" w:rsidR="00204B5E" w:rsidRPr="007F0B66" w:rsidRDefault="00204B5E" w:rsidP="001F5B6F">
            <w:pPr>
              <w:pStyle w:val="Body"/>
              <w:spacing w:after="0"/>
              <w:rPr>
                <w:rFonts w:ascii="Arial" w:hAnsi="Arial" w:cs="Arial"/>
              </w:rPr>
            </w:pPr>
            <w:r w:rsidRPr="007F0B66">
              <w:rPr>
                <w:rFonts w:ascii="Arial" w:hAnsi="Arial" w:cs="Arial"/>
              </w:rPr>
              <w:t>99.82±0.14</w:t>
            </w:r>
          </w:p>
        </w:tc>
        <w:tc>
          <w:tcPr>
            <w:tcW w:w="1446" w:type="dxa"/>
            <w:tcBorders>
              <w:top w:val="single" w:sz="4" w:space="0" w:color="auto"/>
              <w:bottom w:val="nil"/>
            </w:tcBorders>
            <w:hideMark/>
          </w:tcPr>
          <w:p w14:paraId="12AB2994" w14:textId="77777777" w:rsidR="00204B5E" w:rsidRPr="007F0B66" w:rsidRDefault="00204B5E" w:rsidP="001F5B6F">
            <w:pPr>
              <w:pStyle w:val="Body"/>
              <w:spacing w:after="0"/>
              <w:rPr>
                <w:rFonts w:ascii="Arial" w:hAnsi="Arial" w:cs="Arial"/>
              </w:rPr>
            </w:pPr>
            <w:r w:rsidRPr="007F0B66">
              <w:rPr>
                <w:rFonts w:ascii="Arial" w:hAnsi="Arial" w:cs="Arial"/>
              </w:rPr>
              <w:t>99.58±0.17</w:t>
            </w:r>
          </w:p>
        </w:tc>
        <w:tc>
          <w:tcPr>
            <w:tcW w:w="1346" w:type="dxa"/>
            <w:tcBorders>
              <w:top w:val="single" w:sz="4" w:space="0" w:color="auto"/>
              <w:bottom w:val="nil"/>
            </w:tcBorders>
            <w:hideMark/>
          </w:tcPr>
          <w:p w14:paraId="4B66CD0F" w14:textId="77777777" w:rsidR="00204B5E" w:rsidRPr="007F0B66" w:rsidRDefault="00204B5E" w:rsidP="001F5B6F">
            <w:pPr>
              <w:pStyle w:val="Body"/>
              <w:spacing w:after="0"/>
              <w:rPr>
                <w:rFonts w:ascii="Arial" w:hAnsi="Arial" w:cs="Arial"/>
              </w:rPr>
            </w:pPr>
            <w:r w:rsidRPr="007F0B66">
              <w:rPr>
                <w:rFonts w:ascii="Arial" w:hAnsi="Arial" w:cs="Arial"/>
              </w:rPr>
              <w:t>99.49±0.16</w:t>
            </w:r>
          </w:p>
        </w:tc>
      </w:tr>
      <w:tr w:rsidR="00204B5E" w:rsidRPr="007F0B66" w14:paraId="454DA05D" w14:textId="77777777" w:rsidTr="005331DB">
        <w:trPr>
          <w:trHeight w:val="441"/>
          <w:jc w:val="center"/>
        </w:trPr>
        <w:tc>
          <w:tcPr>
            <w:tcW w:w="929" w:type="dxa"/>
            <w:tcBorders>
              <w:top w:val="nil"/>
            </w:tcBorders>
          </w:tcPr>
          <w:p w14:paraId="3B2B9D9B" w14:textId="77777777" w:rsidR="00204B5E" w:rsidRPr="007F0B66" w:rsidRDefault="00204B5E" w:rsidP="001F5B6F">
            <w:pPr>
              <w:pStyle w:val="Body"/>
              <w:spacing w:after="0"/>
              <w:rPr>
                <w:rFonts w:ascii="Arial" w:hAnsi="Arial" w:cs="Arial"/>
              </w:rPr>
            </w:pPr>
          </w:p>
        </w:tc>
        <w:tc>
          <w:tcPr>
            <w:tcW w:w="1219" w:type="dxa"/>
            <w:tcBorders>
              <w:top w:val="nil"/>
            </w:tcBorders>
            <w:hideMark/>
          </w:tcPr>
          <w:p w14:paraId="134A0D44" w14:textId="77777777" w:rsidR="00204B5E" w:rsidRPr="007F0B66" w:rsidRDefault="00204B5E" w:rsidP="001F5B6F">
            <w:pPr>
              <w:pStyle w:val="Body"/>
              <w:spacing w:after="0"/>
              <w:rPr>
                <w:rFonts w:ascii="Arial" w:hAnsi="Arial" w:cs="Arial"/>
                <w:lang w:val="en-IN"/>
              </w:rPr>
            </w:pPr>
          </w:p>
        </w:tc>
        <w:tc>
          <w:tcPr>
            <w:tcW w:w="1658" w:type="dxa"/>
            <w:tcBorders>
              <w:top w:val="nil"/>
            </w:tcBorders>
          </w:tcPr>
          <w:p w14:paraId="1AEBA7E5" w14:textId="77777777" w:rsidR="00204B5E" w:rsidRPr="007F0B66" w:rsidRDefault="00204B5E" w:rsidP="001F5B6F">
            <w:pPr>
              <w:pStyle w:val="Body"/>
              <w:spacing w:after="0"/>
              <w:rPr>
                <w:rFonts w:ascii="Arial" w:hAnsi="Arial" w:cs="Arial"/>
              </w:rPr>
            </w:pPr>
          </w:p>
        </w:tc>
        <w:tc>
          <w:tcPr>
            <w:tcW w:w="1441" w:type="dxa"/>
            <w:tcBorders>
              <w:top w:val="nil"/>
            </w:tcBorders>
            <w:hideMark/>
          </w:tcPr>
          <w:p w14:paraId="5D94CCE3" w14:textId="77777777" w:rsidR="00204B5E" w:rsidRPr="007F0B66" w:rsidRDefault="00204B5E" w:rsidP="001F5B6F">
            <w:pPr>
              <w:pStyle w:val="Body"/>
              <w:spacing w:after="0"/>
              <w:rPr>
                <w:rFonts w:ascii="Arial" w:hAnsi="Arial" w:cs="Arial"/>
              </w:rPr>
            </w:pPr>
            <w:r w:rsidRPr="007F0B66">
              <w:rPr>
                <w:rFonts w:ascii="Arial" w:hAnsi="Arial" w:cs="Arial"/>
              </w:rPr>
              <w:t>(11.61%)</w:t>
            </w:r>
          </w:p>
        </w:tc>
        <w:tc>
          <w:tcPr>
            <w:tcW w:w="1621" w:type="dxa"/>
            <w:tcBorders>
              <w:top w:val="nil"/>
            </w:tcBorders>
            <w:hideMark/>
          </w:tcPr>
          <w:p w14:paraId="3085125B" w14:textId="77777777" w:rsidR="00204B5E" w:rsidRPr="007F0B66" w:rsidRDefault="00204B5E" w:rsidP="001F5B6F">
            <w:pPr>
              <w:pStyle w:val="Body"/>
              <w:spacing w:after="0"/>
              <w:rPr>
                <w:rFonts w:ascii="Arial" w:hAnsi="Arial" w:cs="Arial"/>
              </w:rPr>
            </w:pPr>
            <w:r w:rsidRPr="007F0B66">
              <w:rPr>
                <w:rFonts w:ascii="Arial" w:hAnsi="Arial" w:cs="Arial"/>
              </w:rPr>
              <w:t>(21.43%)</w:t>
            </w:r>
          </w:p>
        </w:tc>
        <w:tc>
          <w:tcPr>
            <w:tcW w:w="1446" w:type="dxa"/>
            <w:tcBorders>
              <w:top w:val="nil"/>
            </w:tcBorders>
            <w:hideMark/>
          </w:tcPr>
          <w:p w14:paraId="7C1E0A7E" w14:textId="77777777" w:rsidR="00204B5E" w:rsidRPr="007F0B66" w:rsidRDefault="00204B5E" w:rsidP="001F5B6F">
            <w:pPr>
              <w:pStyle w:val="Body"/>
              <w:spacing w:after="0"/>
              <w:rPr>
                <w:rFonts w:ascii="Arial" w:hAnsi="Arial" w:cs="Arial"/>
              </w:rPr>
            </w:pPr>
            <w:r w:rsidRPr="007F0B66">
              <w:rPr>
                <w:rFonts w:ascii="Arial" w:hAnsi="Arial" w:cs="Arial"/>
              </w:rPr>
              <w:t>(32.14%)</w:t>
            </w:r>
          </w:p>
        </w:tc>
        <w:tc>
          <w:tcPr>
            <w:tcW w:w="1346" w:type="dxa"/>
            <w:tcBorders>
              <w:top w:val="nil"/>
            </w:tcBorders>
            <w:hideMark/>
          </w:tcPr>
          <w:p w14:paraId="27857105" w14:textId="77777777" w:rsidR="00204B5E" w:rsidRPr="007F0B66" w:rsidRDefault="00204B5E" w:rsidP="001F5B6F">
            <w:pPr>
              <w:pStyle w:val="Body"/>
              <w:spacing w:after="0"/>
              <w:rPr>
                <w:rFonts w:ascii="Arial" w:hAnsi="Arial" w:cs="Arial"/>
              </w:rPr>
            </w:pPr>
            <w:r w:rsidRPr="007F0B66">
              <w:rPr>
                <w:rFonts w:ascii="Arial" w:hAnsi="Arial" w:cs="Arial"/>
              </w:rPr>
              <w:t>(36.16%)</w:t>
            </w:r>
          </w:p>
        </w:tc>
      </w:tr>
      <w:tr w:rsidR="00204B5E" w:rsidRPr="007F0B66" w14:paraId="4FC7196F" w14:textId="77777777" w:rsidTr="005331DB">
        <w:trPr>
          <w:trHeight w:val="291"/>
          <w:jc w:val="center"/>
        </w:trPr>
        <w:tc>
          <w:tcPr>
            <w:tcW w:w="929" w:type="dxa"/>
            <w:hideMark/>
          </w:tcPr>
          <w:p w14:paraId="4E0DD791" w14:textId="77777777" w:rsidR="00204B5E" w:rsidRPr="007F0B66" w:rsidRDefault="00204B5E" w:rsidP="001F5B6F">
            <w:pPr>
              <w:pStyle w:val="Body"/>
              <w:spacing w:after="0"/>
              <w:rPr>
                <w:rFonts w:ascii="Arial" w:hAnsi="Arial" w:cs="Arial"/>
              </w:rPr>
            </w:pPr>
            <w:r w:rsidRPr="007F0B66">
              <w:rPr>
                <w:rFonts w:ascii="Arial" w:hAnsi="Arial" w:cs="Arial"/>
              </w:rPr>
              <w:t>Standard</w:t>
            </w:r>
          </w:p>
        </w:tc>
        <w:tc>
          <w:tcPr>
            <w:tcW w:w="1219" w:type="dxa"/>
            <w:hideMark/>
          </w:tcPr>
          <w:p w14:paraId="0413AFF8" w14:textId="77777777" w:rsidR="00204B5E" w:rsidRPr="007F0B66" w:rsidRDefault="00204B5E" w:rsidP="001F5B6F">
            <w:pPr>
              <w:pStyle w:val="Body"/>
              <w:spacing w:after="0"/>
              <w:rPr>
                <w:rFonts w:ascii="Arial" w:hAnsi="Arial" w:cs="Arial"/>
              </w:rPr>
            </w:pPr>
            <w:r w:rsidRPr="007F0B66">
              <w:rPr>
                <w:rFonts w:ascii="Arial" w:hAnsi="Arial" w:cs="Arial"/>
              </w:rPr>
              <w:t>98.2±0.06</w:t>
            </w:r>
          </w:p>
        </w:tc>
        <w:tc>
          <w:tcPr>
            <w:tcW w:w="1658" w:type="dxa"/>
            <w:hideMark/>
          </w:tcPr>
          <w:p w14:paraId="02526BDA" w14:textId="77777777" w:rsidR="00204B5E" w:rsidRPr="007F0B66" w:rsidRDefault="00204B5E" w:rsidP="001F5B6F">
            <w:pPr>
              <w:pStyle w:val="Body"/>
              <w:spacing w:after="0"/>
              <w:rPr>
                <w:rFonts w:ascii="Arial" w:hAnsi="Arial" w:cs="Arial"/>
              </w:rPr>
            </w:pPr>
            <w:r w:rsidRPr="007F0B66">
              <w:rPr>
                <w:rFonts w:ascii="Arial" w:hAnsi="Arial" w:cs="Arial"/>
              </w:rPr>
              <w:t>100.28±0.12</w:t>
            </w:r>
          </w:p>
        </w:tc>
        <w:tc>
          <w:tcPr>
            <w:tcW w:w="1441" w:type="dxa"/>
            <w:hideMark/>
          </w:tcPr>
          <w:p w14:paraId="2F004ADC"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99.22±0.31</w:t>
            </w:r>
            <w:r w:rsidRPr="007F0B66">
              <w:rPr>
                <w:rFonts w:ascii="Arial" w:hAnsi="Arial" w:cs="Arial"/>
                <w:vertAlign w:val="superscript"/>
              </w:rPr>
              <w:t>***</w:t>
            </w:r>
          </w:p>
          <w:p w14:paraId="3944AA66" w14:textId="77777777" w:rsidR="00204B5E" w:rsidRPr="007F0B66" w:rsidRDefault="00204B5E" w:rsidP="001F5B6F">
            <w:pPr>
              <w:pStyle w:val="Body"/>
              <w:spacing w:after="0"/>
              <w:rPr>
                <w:rFonts w:ascii="Arial" w:hAnsi="Arial" w:cs="Arial"/>
              </w:rPr>
            </w:pPr>
            <w:r w:rsidRPr="007F0B66">
              <w:rPr>
                <w:rFonts w:ascii="Arial" w:hAnsi="Arial" w:cs="Arial"/>
              </w:rPr>
              <w:t>(50.96%)</w:t>
            </w:r>
          </w:p>
        </w:tc>
        <w:tc>
          <w:tcPr>
            <w:tcW w:w="1621" w:type="dxa"/>
            <w:hideMark/>
          </w:tcPr>
          <w:p w14:paraId="1A49D8AF"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98.78±0.23</w:t>
            </w:r>
            <w:r w:rsidRPr="007F0B66">
              <w:rPr>
                <w:rFonts w:ascii="Arial" w:hAnsi="Arial" w:cs="Arial"/>
                <w:vertAlign w:val="superscript"/>
              </w:rPr>
              <w:t>**</w:t>
            </w:r>
          </w:p>
          <w:p w14:paraId="1E0A6BF2" w14:textId="77777777" w:rsidR="00204B5E" w:rsidRPr="007F0B66" w:rsidRDefault="00204B5E" w:rsidP="001F5B6F">
            <w:pPr>
              <w:pStyle w:val="Body"/>
              <w:spacing w:after="0"/>
              <w:rPr>
                <w:rFonts w:ascii="Arial" w:hAnsi="Arial" w:cs="Arial"/>
              </w:rPr>
            </w:pPr>
            <w:r w:rsidRPr="007F0B66">
              <w:rPr>
                <w:rFonts w:ascii="Arial" w:hAnsi="Arial" w:cs="Arial"/>
              </w:rPr>
              <w:t>(72.11%</w:t>
            </w:r>
          </w:p>
        </w:tc>
        <w:tc>
          <w:tcPr>
            <w:tcW w:w="1446" w:type="dxa"/>
            <w:hideMark/>
          </w:tcPr>
          <w:p w14:paraId="10DBE980"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98.58±0.20</w:t>
            </w:r>
            <w:r w:rsidRPr="007F0B66">
              <w:rPr>
                <w:rFonts w:ascii="Arial" w:hAnsi="Arial" w:cs="Arial"/>
                <w:vertAlign w:val="superscript"/>
              </w:rPr>
              <w:t>***</w:t>
            </w:r>
          </w:p>
          <w:p w14:paraId="5F998B05" w14:textId="77777777" w:rsidR="00204B5E" w:rsidRPr="007F0B66" w:rsidRDefault="00204B5E" w:rsidP="001F5B6F">
            <w:pPr>
              <w:pStyle w:val="Body"/>
              <w:spacing w:after="0"/>
              <w:rPr>
                <w:rFonts w:ascii="Arial" w:hAnsi="Arial" w:cs="Arial"/>
              </w:rPr>
            </w:pPr>
            <w:r w:rsidRPr="007F0B66">
              <w:rPr>
                <w:rFonts w:ascii="Arial" w:hAnsi="Arial" w:cs="Arial"/>
              </w:rPr>
              <w:t>(81.73%)</w:t>
            </w:r>
          </w:p>
        </w:tc>
        <w:tc>
          <w:tcPr>
            <w:tcW w:w="1346" w:type="dxa"/>
            <w:hideMark/>
          </w:tcPr>
          <w:p w14:paraId="20772F83"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98.28±0.13</w:t>
            </w:r>
            <w:r w:rsidRPr="007F0B66">
              <w:rPr>
                <w:rFonts w:ascii="Arial" w:hAnsi="Arial" w:cs="Arial"/>
                <w:vertAlign w:val="superscript"/>
              </w:rPr>
              <w:t>***</w:t>
            </w:r>
          </w:p>
          <w:p w14:paraId="17666F43" w14:textId="77777777" w:rsidR="00204B5E" w:rsidRPr="007F0B66" w:rsidRDefault="00204B5E" w:rsidP="001F5B6F">
            <w:pPr>
              <w:pStyle w:val="Body"/>
              <w:spacing w:after="0"/>
              <w:rPr>
                <w:rFonts w:ascii="Arial" w:hAnsi="Arial" w:cs="Arial"/>
              </w:rPr>
            </w:pPr>
            <w:r w:rsidRPr="007F0B66">
              <w:rPr>
                <w:rFonts w:ascii="Arial" w:hAnsi="Arial" w:cs="Arial"/>
              </w:rPr>
              <w:t>(96.15%)</w:t>
            </w:r>
          </w:p>
        </w:tc>
      </w:tr>
      <w:tr w:rsidR="00204B5E" w:rsidRPr="007F0B66" w14:paraId="181A3461" w14:textId="77777777" w:rsidTr="005331DB">
        <w:trPr>
          <w:trHeight w:val="60"/>
          <w:jc w:val="center"/>
        </w:trPr>
        <w:tc>
          <w:tcPr>
            <w:tcW w:w="929" w:type="dxa"/>
          </w:tcPr>
          <w:p w14:paraId="242784BA" w14:textId="77777777" w:rsidR="00204B5E" w:rsidRPr="007F0B66" w:rsidRDefault="00204B5E" w:rsidP="001F5B6F">
            <w:pPr>
              <w:pStyle w:val="Body"/>
              <w:spacing w:after="0"/>
              <w:rPr>
                <w:rFonts w:ascii="Arial" w:hAnsi="Arial" w:cs="Arial"/>
              </w:rPr>
            </w:pPr>
          </w:p>
        </w:tc>
        <w:tc>
          <w:tcPr>
            <w:tcW w:w="1219" w:type="dxa"/>
            <w:hideMark/>
          </w:tcPr>
          <w:p w14:paraId="1B1B9F66" w14:textId="77777777" w:rsidR="00204B5E" w:rsidRPr="007F0B66" w:rsidRDefault="00204B5E" w:rsidP="001F5B6F">
            <w:pPr>
              <w:pStyle w:val="Body"/>
              <w:spacing w:after="0"/>
              <w:rPr>
                <w:rFonts w:ascii="Arial" w:hAnsi="Arial" w:cs="Arial"/>
                <w:lang w:val="en-IN"/>
              </w:rPr>
            </w:pPr>
          </w:p>
        </w:tc>
        <w:tc>
          <w:tcPr>
            <w:tcW w:w="1658" w:type="dxa"/>
          </w:tcPr>
          <w:p w14:paraId="0DBEDF01" w14:textId="77777777" w:rsidR="00204B5E" w:rsidRPr="007F0B66" w:rsidRDefault="00204B5E" w:rsidP="001F5B6F">
            <w:pPr>
              <w:pStyle w:val="Body"/>
              <w:spacing w:after="0"/>
              <w:rPr>
                <w:rFonts w:ascii="Arial" w:hAnsi="Arial" w:cs="Arial"/>
              </w:rPr>
            </w:pPr>
          </w:p>
        </w:tc>
        <w:tc>
          <w:tcPr>
            <w:tcW w:w="1441" w:type="dxa"/>
            <w:hideMark/>
          </w:tcPr>
          <w:p w14:paraId="6E7DDFC2" w14:textId="77777777" w:rsidR="00204B5E" w:rsidRPr="007F0B66" w:rsidRDefault="00204B5E" w:rsidP="001F5B6F">
            <w:pPr>
              <w:pStyle w:val="Body"/>
              <w:spacing w:after="0"/>
              <w:rPr>
                <w:rFonts w:ascii="Arial" w:hAnsi="Arial" w:cs="Arial"/>
                <w:lang w:val="en-IN"/>
              </w:rPr>
            </w:pPr>
          </w:p>
        </w:tc>
        <w:tc>
          <w:tcPr>
            <w:tcW w:w="1621" w:type="dxa"/>
            <w:hideMark/>
          </w:tcPr>
          <w:p w14:paraId="6DFE10BB" w14:textId="77777777" w:rsidR="00204B5E" w:rsidRPr="00B63A7D" w:rsidRDefault="00204B5E" w:rsidP="001F5B6F">
            <w:pPr>
              <w:pStyle w:val="Body"/>
              <w:spacing w:after="0"/>
              <w:rPr>
                <w:rFonts w:ascii="Arial" w:hAnsi="Arial" w:cs="Arial"/>
                <w:lang w:val="en-IN"/>
              </w:rPr>
            </w:pPr>
          </w:p>
        </w:tc>
        <w:tc>
          <w:tcPr>
            <w:tcW w:w="1446" w:type="dxa"/>
            <w:hideMark/>
          </w:tcPr>
          <w:p w14:paraId="46D4CE7E" w14:textId="77777777" w:rsidR="00204B5E" w:rsidRPr="00B63A7D" w:rsidRDefault="00204B5E" w:rsidP="001F5B6F">
            <w:pPr>
              <w:pStyle w:val="Body"/>
              <w:spacing w:after="0"/>
              <w:rPr>
                <w:rFonts w:ascii="Arial" w:hAnsi="Arial" w:cs="Arial"/>
                <w:lang w:val="en-IN"/>
              </w:rPr>
            </w:pPr>
          </w:p>
        </w:tc>
        <w:tc>
          <w:tcPr>
            <w:tcW w:w="1346" w:type="dxa"/>
            <w:hideMark/>
          </w:tcPr>
          <w:p w14:paraId="6D029BA7" w14:textId="77777777" w:rsidR="00204B5E" w:rsidRPr="00B63A7D" w:rsidRDefault="00204B5E" w:rsidP="001F5B6F">
            <w:pPr>
              <w:pStyle w:val="Body"/>
              <w:spacing w:after="0"/>
              <w:rPr>
                <w:rFonts w:ascii="Arial" w:hAnsi="Arial" w:cs="Arial"/>
                <w:lang w:val="en-IN"/>
              </w:rPr>
            </w:pPr>
          </w:p>
        </w:tc>
      </w:tr>
      <w:tr w:rsidR="00204B5E" w:rsidRPr="007F0B66" w14:paraId="2060AE0B" w14:textId="77777777" w:rsidTr="005331DB">
        <w:trPr>
          <w:trHeight w:val="293"/>
          <w:jc w:val="center"/>
        </w:trPr>
        <w:tc>
          <w:tcPr>
            <w:tcW w:w="929" w:type="dxa"/>
            <w:hideMark/>
          </w:tcPr>
          <w:p w14:paraId="4058377E" w14:textId="77777777" w:rsidR="00204B5E" w:rsidRPr="007F0B66" w:rsidRDefault="00204B5E" w:rsidP="001F5B6F">
            <w:pPr>
              <w:pStyle w:val="Body"/>
              <w:spacing w:after="0"/>
              <w:rPr>
                <w:rFonts w:ascii="Arial" w:hAnsi="Arial" w:cs="Arial"/>
              </w:rPr>
            </w:pPr>
            <w:r w:rsidRPr="007F0B66">
              <w:rPr>
                <w:rFonts w:ascii="Arial" w:hAnsi="Arial" w:cs="Arial"/>
              </w:rPr>
              <w:t>ME-200</w:t>
            </w:r>
          </w:p>
        </w:tc>
        <w:tc>
          <w:tcPr>
            <w:tcW w:w="1219" w:type="dxa"/>
            <w:hideMark/>
          </w:tcPr>
          <w:p w14:paraId="1355B6D7" w14:textId="77777777" w:rsidR="00204B5E" w:rsidRPr="007F0B66" w:rsidRDefault="00204B5E" w:rsidP="001F5B6F">
            <w:pPr>
              <w:pStyle w:val="Body"/>
              <w:spacing w:after="0"/>
              <w:rPr>
                <w:rFonts w:ascii="Arial" w:hAnsi="Arial" w:cs="Arial"/>
              </w:rPr>
            </w:pPr>
            <w:r w:rsidRPr="007F0B66">
              <w:rPr>
                <w:rFonts w:ascii="Arial" w:hAnsi="Arial" w:cs="Arial"/>
              </w:rPr>
              <w:t>97.8±0.44</w:t>
            </w:r>
          </w:p>
        </w:tc>
        <w:tc>
          <w:tcPr>
            <w:tcW w:w="1658" w:type="dxa"/>
            <w:hideMark/>
          </w:tcPr>
          <w:p w14:paraId="5A541651" w14:textId="77777777" w:rsidR="00204B5E" w:rsidRPr="007F0B66" w:rsidRDefault="00204B5E" w:rsidP="001F5B6F">
            <w:pPr>
              <w:pStyle w:val="Body"/>
              <w:spacing w:after="0"/>
              <w:rPr>
                <w:rFonts w:ascii="Arial" w:hAnsi="Arial" w:cs="Arial"/>
              </w:rPr>
            </w:pPr>
            <w:r w:rsidRPr="007F0B66">
              <w:rPr>
                <w:rFonts w:ascii="Arial" w:hAnsi="Arial" w:cs="Arial"/>
              </w:rPr>
              <w:t>100.22±0.11</w:t>
            </w:r>
          </w:p>
        </w:tc>
        <w:tc>
          <w:tcPr>
            <w:tcW w:w="1441" w:type="dxa"/>
            <w:hideMark/>
          </w:tcPr>
          <w:p w14:paraId="66E914D0"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99.49±0.27</w:t>
            </w:r>
            <w:r w:rsidRPr="007F0B66">
              <w:rPr>
                <w:rFonts w:ascii="Arial" w:hAnsi="Arial" w:cs="Arial"/>
                <w:vertAlign w:val="superscript"/>
              </w:rPr>
              <w:t>**</w:t>
            </w:r>
          </w:p>
        </w:tc>
        <w:tc>
          <w:tcPr>
            <w:tcW w:w="1621" w:type="dxa"/>
            <w:hideMark/>
          </w:tcPr>
          <w:p w14:paraId="16D06547"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98.92±0.29</w:t>
            </w:r>
            <w:r w:rsidRPr="007F0B66">
              <w:rPr>
                <w:rFonts w:ascii="Arial" w:hAnsi="Arial" w:cs="Arial"/>
                <w:vertAlign w:val="superscript"/>
              </w:rPr>
              <w:t>**</w:t>
            </w:r>
          </w:p>
        </w:tc>
        <w:tc>
          <w:tcPr>
            <w:tcW w:w="1446" w:type="dxa"/>
            <w:hideMark/>
          </w:tcPr>
          <w:p w14:paraId="53CA15FB"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98.45±0.30</w:t>
            </w:r>
            <w:r w:rsidRPr="007F0B66">
              <w:rPr>
                <w:rFonts w:ascii="Arial" w:hAnsi="Arial" w:cs="Arial"/>
                <w:vertAlign w:val="superscript"/>
              </w:rPr>
              <w:t>*</w:t>
            </w:r>
          </w:p>
        </w:tc>
        <w:tc>
          <w:tcPr>
            <w:tcW w:w="1346" w:type="dxa"/>
            <w:hideMark/>
          </w:tcPr>
          <w:p w14:paraId="0ABA1913"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98.28±0.31</w:t>
            </w:r>
            <w:r w:rsidRPr="007F0B66">
              <w:rPr>
                <w:rFonts w:ascii="Arial" w:hAnsi="Arial" w:cs="Arial"/>
                <w:vertAlign w:val="superscript"/>
              </w:rPr>
              <w:t>**</w:t>
            </w:r>
          </w:p>
        </w:tc>
      </w:tr>
      <w:tr w:rsidR="00204B5E" w:rsidRPr="007F0B66" w14:paraId="1A23B563" w14:textId="77777777" w:rsidTr="005331DB">
        <w:trPr>
          <w:trHeight w:val="297"/>
          <w:jc w:val="center"/>
        </w:trPr>
        <w:tc>
          <w:tcPr>
            <w:tcW w:w="929" w:type="dxa"/>
          </w:tcPr>
          <w:p w14:paraId="3801A20E" w14:textId="77777777" w:rsidR="00204B5E" w:rsidRPr="007F0B66" w:rsidRDefault="00204B5E" w:rsidP="001F5B6F">
            <w:pPr>
              <w:pStyle w:val="Body"/>
              <w:spacing w:after="0"/>
              <w:rPr>
                <w:rFonts w:ascii="Arial" w:hAnsi="Arial" w:cs="Arial"/>
              </w:rPr>
            </w:pPr>
          </w:p>
        </w:tc>
        <w:tc>
          <w:tcPr>
            <w:tcW w:w="1219" w:type="dxa"/>
            <w:hideMark/>
          </w:tcPr>
          <w:p w14:paraId="31B2C68F" w14:textId="77777777" w:rsidR="00204B5E" w:rsidRPr="007F0B66" w:rsidRDefault="00204B5E" w:rsidP="001F5B6F">
            <w:pPr>
              <w:pStyle w:val="Body"/>
              <w:spacing w:after="0"/>
              <w:rPr>
                <w:rFonts w:ascii="Arial" w:hAnsi="Arial" w:cs="Arial"/>
                <w:lang w:val="en-IN"/>
              </w:rPr>
            </w:pPr>
          </w:p>
        </w:tc>
        <w:tc>
          <w:tcPr>
            <w:tcW w:w="1658" w:type="dxa"/>
          </w:tcPr>
          <w:p w14:paraId="32781CC3" w14:textId="77777777" w:rsidR="00204B5E" w:rsidRPr="007F0B66" w:rsidRDefault="00204B5E" w:rsidP="001F5B6F">
            <w:pPr>
              <w:pStyle w:val="Body"/>
              <w:spacing w:after="0"/>
              <w:rPr>
                <w:rFonts w:ascii="Arial" w:hAnsi="Arial" w:cs="Arial"/>
              </w:rPr>
            </w:pPr>
          </w:p>
        </w:tc>
        <w:tc>
          <w:tcPr>
            <w:tcW w:w="1441" w:type="dxa"/>
          </w:tcPr>
          <w:p w14:paraId="44F44340" w14:textId="77777777" w:rsidR="00204B5E" w:rsidRPr="007F0B66" w:rsidRDefault="00204B5E" w:rsidP="001F5B6F">
            <w:pPr>
              <w:pStyle w:val="Body"/>
              <w:spacing w:after="0"/>
              <w:rPr>
                <w:rFonts w:ascii="Arial" w:hAnsi="Arial" w:cs="Arial"/>
              </w:rPr>
            </w:pPr>
            <w:r w:rsidRPr="007F0B66">
              <w:rPr>
                <w:rFonts w:ascii="Arial" w:hAnsi="Arial" w:cs="Arial"/>
              </w:rPr>
              <w:t>(30.17%)</w:t>
            </w:r>
          </w:p>
          <w:p w14:paraId="69C4C2FE" w14:textId="77777777" w:rsidR="00204B5E" w:rsidRPr="007F0B66" w:rsidRDefault="00204B5E" w:rsidP="001F5B6F">
            <w:pPr>
              <w:pStyle w:val="Body"/>
              <w:spacing w:after="0"/>
              <w:rPr>
                <w:rFonts w:ascii="Arial" w:hAnsi="Arial" w:cs="Arial"/>
              </w:rPr>
            </w:pPr>
          </w:p>
        </w:tc>
        <w:tc>
          <w:tcPr>
            <w:tcW w:w="1621" w:type="dxa"/>
            <w:hideMark/>
          </w:tcPr>
          <w:p w14:paraId="3C7974D2" w14:textId="77777777" w:rsidR="00204B5E" w:rsidRPr="007F0B66" w:rsidRDefault="00204B5E" w:rsidP="001F5B6F">
            <w:pPr>
              <w:pStyle w:val="Body"/>
              <w:spacing w:after="0"/>
              <w:rPr>
                <w:rFonts w:ascii="Arial" w:hAnsi="Arial" w:cs="Arial"/>
              </w:rPr>
            </w:pPr>
            <w:r w:rsidRPr="007F0B66">
              <w:rPr>
                <w:rFonts w:ascii="Arial" w:hAnsi="Arial" w:cs="Arial"/>
              </w:rPr>
              <w:t>(54.55%)</w:t>
            </w:r>
          </w:p>
        </w:tc>
        <w:tc>
          <w:tcPr>
            <w:tcW w:w="1446" w:type="dxa"/>
            <w:hideMark/>
          </w:tcPr>
          <w:p w14:paraId="1A83815F" w14:textId="77777777" w:rsidR="00204B5E" w:rsidRPr="007F0B66" w:rsidRDefault="00204B5E" w:rsidP="001F5B6F">
            <w:pPr>
              <w:pStyle w:val="Body"/>
              <w:spacing w:after="0"/>
              <w:rPr>
                <w:rFonts w:ascii="Arial" w:hAnsi="Arial" w:cs="Arial"/>
              </w:rPr>
            </w:pPr>
            <w:r w:rsidRPr="007F0B66">
              <w:rPr>
                <w:rFonts w:ascii="Arial" w:hAnsi="Arial" w:cs="Arial"/>
              </w:rPr>
              <w:t>(73.14%)</w:t>
            </w:r>
          </w:p>
        </w:tc>
        <w:tc>
          <w:tcPr>
            <w:tcW w:w="1346" w:type="dxa"/>
            <w:hideMark/>
          </w:tcPr>
          <w:p w14:paraId="4206CE43" w14:textId="77777777" w:rsidR="00204B5E" w:rsidRPr="007F0B66" w:rsidRDefault="00204B5E" w:rsidP="001F5B6F">
            <w:pPr>
              <w:pStyle w:val="Body"/>
              <w:spacing w:after="0"/>
              <w:rPr>
                <w:rFonts w:ascii="Arial" w:hAnsi="Arial" w:cs="Arial"/>
              </w:rPr>
            </w:pPr>
            <w:r w:rsidRPr="007F0B66">
              <w:rPr>
                <w:rFonts w:ascii="Arial" w:hAnsi="Arial" w:cs="Arial"/>
              </w:rPr>
              <w:t>(80.17%)</w:t>
            </w:r>
          </w:p>
        </w:tc>
      </w:tr>
      <w:tr w:rsidR="00204B5E" w:rsidRPr="007F0B66" w14:paraId="3861182A" w14:textId="77777777" w:rsidTr="005331DB">
        <w:trPr>
          <w:trHeight w:val="290"/>
          <w:jc w:val="center"/>
        </w:trPr>
        <w:tc>
          <w:tcPr>
            <w:tcW w:w="929" w:type="dxa"/>
            <w:hideMark/>
          </w:tcPr>
          <w:p w14:paraId="66F250A8" w14:textId="77777777" w:rsidR="00204B5E" w:rsidRPr="007F0B66" w:rsidRDefault="00204B5E" w:rsidP="001F5B6F">
            <w:pPr>
              <w:pStyle w:val="Body"/>
              <w:spacing w:after="0"/>
              <w:rPr>
                <w:rFonts w:ascii="Arial" w:hAnsi="Arial" w:cs="Arial"/>
              </w:rPr>
            </w:pPr>
            <w:r w:rsidRPr="007F0B66">
              <w:rPr>
                <w:rFonts w:ascii="Arial" w:hAnsi="Arial" w:cs="Arial"/>
              </w:rPr>
              <w:t>ME-400</w:t>
            </w:r>
          </w:p>
        </w:tc>
        <w:tc>
          <w:tcPr>
            <w:tcW w:w="1219" w:type="dxa"/>
            <w:hideMark/>
          </w:tcPr>
          <w:p w14:paraId="790D37FC" w14:textId="77777777" w:rsidR="00204B5E" w:rsidRPr="007F0B66" w:rsidRDefault="00204B5E" w:rsidP="001F5B6F">
            <w:pPr>
              <w:pStyle w:val="Body"/>
              <w:spacing w:after="0"/>
              <w:rPr>
                <w:rFonts w:ascii="Arial" w:hAnsi="Arial" w:cs="Arial"/>
              </w:rPr>
            </w:pPr>
            <w:r w:rsidRPr="007F0B66">
              <w:rPr>
                <w:rFonts w:ascii="Arial" w:hAnsi="Arial" w:cs="Arial"/>
              </w:rPr>
              <w:t>97.96±0.30</w:t>
            </w:r>
          </w:p>
        </w:tc>
        <w:tc>
          <w:tcPr>
            <w:tcW w:w="1658" w:type="dxa"/>
            <w:hideMark/>
          </w:tcPr>
          <w:p w14:paraId="0B29C186" w14:textId="77777777" w:rsidR="00204B5E" w:rsidRPr="007F0B66" w:rsidRDefault="00204B5E" w:rsidP="001F5B6F">
            <w:pPr>
              <w:pStyle w:val="Body"/>
              <w:spacing w:after="0"/>
              <w:rPr>
                <w:rFonts w:ascii="Arial" w:hAnsi="Arial" w:cs="Arial"/>
              </w:rPr>
            </w:pPr>
            <w:r w:rsidRPr="007F0B66">
              <w:rPr>
                <w:rFonts w:ascii="Arial" w:hAnsi="Arial" w:cs="Arial"/>
              </w:rPr>
              <w:t>100.30±0.12</w:t>
            </w:r>
          </w:p>
        </w:tc>
        <w:tc>
          <w:tcPr>
            <w:tcW w:w="1441" w:type="dxa"/>
            <w:hideMark/>
          </w:tcPr>
          <w:p w14:paraId="5BF1F8A3"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99.38±0.08</w:t>
            </w:r>
            <w:r w:rsidRPr="007F0B66">
              <w:rPr>
                <w:rFonts w:ascii="Arial" w:hAnsi="Arial" w:cs="Arial"/>
                <w:vertAlign w:val="superscript"/>
              </w:rPr>
              <w:t>***</w:t>
            </w:r>
          </w:p>
        </w:tc>
        <w:tc>
          <w:tcPr>
            <w:tcW w:w="1621" w:type="dxa"/>
            <w:hideMark/>
          </w:tcPr>
          <w:p w14:paraId="6CDC5F93"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98.70±0.06</w:t>
            </w:r>
            <w:r w:rsidRPr="007F0B66">
              <w:rPr>
                <w:rFonts w:ascii="Arial" w:hAnsi="Arial" w:cs="Arial"/>
                <w:vertAlign w:val="superscript"/>
              </w:rPr>
              <w:t>**</w:t>
            </w:r>
          </w:p>
        </w:tc>
        <w:tc>
          <w:tcPr>
            <w:tcW w:w="1446" w:type="dxa"/>
            <w:hideMark/>
          </w:tcPr>
          <w:p w14:paraId="5D4B8CDA"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98.4±0.26</w:t>
            </w:r>
            <w:r w:rsidRPr="007F0B66">
              <w:rPr>
                <w:rFonts w:ascii="Arial" w:hAnsi="Arial" w:cs="Arial"/>
                <w:vertAlign w:val="superscript"/>
              </w:rPr>
              <w:t>**</w:t>
            </w:r>
          </w:p>
        </w:tc>
        <w:tc>
          <w:tcPr>
            <w:tcW w:w="1346" w:type="dxa"/>
            <w:hideMark/>
          </w:tcPr>
          <w:p w14:paraId="36676A2D"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98.19±0.29</w:t>
            </w:r>
            <w:r w:rsidRPr="007F0B66">
              <w:rPr>
                <w:rFonts w:ascii="Arial" w:hAnsi="Arial" w:cs="Arial"/>
                <w:vertAlign w:val="superscript"/>
              </w:rPr>
              <w:t>**</w:t>
            </w:r>
          </w:p>
        </w:tc>
      </w:tr>
      <w:tr w:rsidR="00204B5E" w:rsidRPr="007F0B66" w14:paraId="3AE505F5" w14:textId="77777777" w:rsidTr="005331DB">
        <w:trPr>
          <w:trHeight w:val="423"/>
          <w:jc w:val="center"/>
        </w:trPr>
        <w:tc>
          <w:tcPr>
            <w:tcW w:w="929" w:type="dxa"/>
          </w:tcPr>
          <w:p w14:paraId="7FE8D899" w14:textId="77777777" w:rsidR="00204B5E" w:rsidRPr="007F0B66" w:rsidRDefault="00204B5E" w:rsidP="001F5B6F">
            <w:pPr>
              <w:pStyle w:val="Body"/>
              <w:spacing w:after="0"/>
              <w:rPr>
                <w:rFonts w:ascii="Arial" w:hAnsi="Arial" w:cs="Arial"/>
              </w:rPr>
            </w:pPr>
          </w:p>
        </w:tc>
        <w:tc>
          <w:tcPr>
            <w:tcW w:w="1219" w:type="dxa"/>
            <w:hideMark/>
          </w:tcPr>
          <w:p w14:paraId="22CA6184" w14:textId="77777777" w:rsidR="00204B5E" w:rsidRPr="007F0B66" w:rsidRDefault="00204B5E" w:rsidP="001F5B6F">
            <w:pPr>
              <w:pStyle w:val="Body"/>
              <w:spacing w:after="0"/>
              <w:rPr>
                <w:rFonts w:ascii="Arial" w:hAnsi="Arial" w:cs="Arial"/>
                <w:lang w:val="en-IN"/>
              </w:rPr>
            </w:pPr>
          </w:p>
        </w:tc>
        <w:tc>
          <w:tcPr>
            <w:tcW w:w="1658" w:type="dxa"/>
          </w:tcPr>
          <w:p w14:paraId="490BC936" w14:textId="77777777" w:rsidR="00204B5E" w:rsidRPr="007F0B66" w:rsidRDefault="00204B5E" w:rsidP="001F5B6F">
            <w:pPr>
              <w:pStyle w:val="Body"/>
              <w:spacing w:after="0"/>
              <w:rPr>
                <w:rFonts w:ascii="Arial" w:hAnsi="Arial" w:cs="Arial"/>
              </w:rPr>
            </w:pPr>
          </w:p>
        </w:tc>
        <w:tc>
          <w:tcPr>
            <w:tcW w:w="1441" w:type="dxa"/>
            <w:hideMark/>
          </w:tcPr>
          <w:p w14:paraId="643308A9" w14:textId="77777777" w:rsidR="00204B5E" w:rsidRPr="007F0B66" w:rsidRDefault="00204B5E" w:rsidP="001F5B6F">
            <w:pPr>
              <w:pStyle w:val="Body"/>
              <w:spacing w:after="0"/>
              <w:rPr>
                <w:rFonts w:ascii="Arial" w:hAnsi="Arial" w:cs="Arial"/>
              </w:rPr>
            </w:pPr>
            <w:r w:rsidRPr="007F0B66">
              <w:rPr>
                <w:rFonts w:ascii="Arial" w:hAnsi="Arial" w:cs="Arial"/>
              </w:rPr>
              <w:t>(39.32%)</w:t>
            </w:r>
          </w:p>
        </w:tc>
        <w:tc>
          <w:tcPr>
            <w:tcW w:w="1621" w:type="dxa"/>
            <w:hideMark/>
          </w:tcPr>
          <w:p w14:paraId="14E038C1" w14:textId="77777777" w:rsidR="00204B5E" w:rsidRPr="007F0B66" w:rsidRDefault="00204B5E" w:rsidP="001F5B6F">
            <w:pPr>
              <w:pStyle w:val="Body"/>
              <w:spacing w:after="0"/>
              <w:rPr>
                <w:rFonts w:ascii="Arial" w:hAnsi="Arial" w:cs="Arial"/>
              </w:rPr>
            </w:pPr>
            <w:r w:rsidRPr="007F0B66">
              <w:rPr>
                <w:rFonts w:ascii="Arial" w:hAnsi="Arial" w:cs="Arial"/>
              </w:rPr>
              <w:t>(68.37%)</w:t>
            </w:r>
          </w:p>
        </w:tc>
        <w:tc>
          <w:tcPr>
            <w:tcW w:w="1446" w:type="dxa"/>
            <w:hideMark/>
          </w:tcPr>
          <w:p w14:paraId="78EDF32A" w14:textId="77777777" w:rsidR="00204B5E" w:rsidRPr="007F0B66" w:rsidRDefault="00204B5E" w:rsidP="001F5B6F">
            <w:pPr>
              <w:pStyle w:val="Body"/>
              <w:spacing w:after="0"/>
              <w:rPr>
                <w:rFonts w:ascii="Arial" w:hAnsi="Arial" w:cs="Arial"/>
              </w:rPr>
            </w:pPr>
            <w:r w:rsidRPr="007F0B66">
              <w:rPr>
                <w:rFonts w:ascii="Arial" w:hAnsi="Arial" w:cs="Arial"/>
              </w:rPr>
              <w:t>(81.20%)</w:t>
            </w:r>
          </w:p>
        </w:tc>
        <w:tc>
          <w:tcPr>
            <w:tcW w:w="1346" w:type="dxa"/>
            <w:hideMark/>
          </w:tcPr>
          <w:p w14:paraId="5B969528" w14:textId="77777777" w:rsidR="00204B5E" w:rsidRPr="007F0B66" w:rsidRDefault="00204B5E" w:rsidP="001F5B6F">
            <w:pPr>
              <w:pStyle w:val="Body"/>
              <w:spacing w:after="0"/>
              <w:rPr>
                <w:rFonts w:ascii="Arial" w:hAnsi="Arial" w:cs="Arial"/>
              </w:rPr>
            </w:pPr>
            <w:r w:rsidRPr="007F0B66">
              <w:rPr>
                <w:rFonts w:ascii="Arial" w:hAnsi="Arial" w:cs="Arial"/>
              </w:rPr>
              <w:t>(90.17%)</w:t>
            </w:r>
          </w:p>
        </w:tc>
      </w:tr>
    </w:tbl>
    <w:p w14:paraId="32613C13" w14:textId="77777777" w:rsidR="00204B5E" w:rsidRPr="007F0B66" w:rsidRDefault="00204B5E" w:rsidP="00204B5E">
      <w:pPr>
        <w:pStyle w:val="Body"/>
        <w:spacing w:after="0"/>
        <w:rPr>
          <w:rFonts w:ascii="Arial" w:hAnsi="Arial" w:cs="Arial"/>
          <w:lang w:val="en-IN"/>
        </w:rPr>
      </w:pPr>
      <w:bookmarkStart w:id="4" w:name="_Hlk196810568"/>
      <w:r w:rsidRPr="007F0B66">
        <w:rPr>
          <w:rFonts w:ascii="Arial" w:hAnsi="Arial" w:cs="Arial"/>
          <w:lang w:val="en-IN"/>
        </w:rPr>
        <w:t>Note: ME= Methanolic extract of leaves</w:t>
      </w:r>
      <w:bookmarkEnd w:id="4"/>
      <w:r w:rsidRPr="007F0B66">
        <w:rPr>
          <w:rFonts w:ascii="Arial" w:hAnsi="Arial" w:cs="Arial"/>
          <w:lang w:val="en-IN"/>
        </w:rPr>
        <w:t>. All values are expressed as mean ± SEM (N=5),</w:t>
      </w:r>
    </w:p>
    <w:p w14:paraId="574A7A3F" w14:textId="77777777" w:rsidR="00204B5E" w:rsidRDefault="00204B5E" w:rsidP="00204B5E">
      <w:pPr>
        <w:pStyle w:val="Body"/>
        <w:spacing w:after="0"/>
        <w:rPr>
          <w:rFonts w:ascii="Arial" w:hAnsi="Arial" w:cs="Arial"/>
          <w:lang w:val="en-IN"/>
        </w:rPr>
      </w:pPr>
      <w:r w:rsidRPr="007F0B66">
        <w:rPr>
          <w:rFonts w:ascii="Arial" w:hAnsi="Arial" w:cs="Arial"/>
          <w:lang w:val="en-IN"/>
        </w:rPr>
        <w:t>*P&lt; 0.05, **P&lt;0.01, ***P&lt;0.001 were considered statistically significant compared to control.</w:t>
      </w:r>
    </w:p>
    <w:p w14:paraId="16FA3C7C" w14:textId="77777777" w:rsidR="00FD0FEF" w:rsidRPr="007F0B66" w:rsidRDefault="00FD0FEF" w:rsidP="00204B5E">
      <w:pPr>
        <w:pStyle w:val="Body"/>
        <w:spacing w:after="0"/>
        <w:rPr>
          <w:rFonts w:ascii="Arial" w:hAnsi="Arial" w:cs="Arial"/>
          <w:lang w:val="en-IN"/>
        </w:rPr>
      </w:pPr>
    </w:p>
    <w:p w14:paraId="5F409874" w14:textId="703E152C" w:rsidR="00204B5E" w:rsidRPr="007F0B66" w:rsidRDefault="00FD0FEF" w:rsidP="00FD0FEF">
      <w:pPr>
        <w:pStyle w:val="Body"/>
        <w:spacing w:after="0"/>
        <w:rPr>
          <w:rFonts w:ascii="Arial" w:hAnsi="Arial" w:cs="Arial"/>
          <w:b/>
          <w:bCs/>
          <w:lang w:val="en-IN"/>
        </w:rPr>
      </w:pPr>
      <w:r>
        <w:rPr>
          <w:rFonts w:ascii="Arial" w:hAnsi="Arial" w:cs="Arial"/>
          <w:b/>
          <w:bCs/>
          <w:lang w:val="en-IN"/>
        </w:rPr>
        <w:t xml:space="preserve">5.8. </w:t>
      </w:r>
      <w:r w:rsidR="00204B5E" w:rsidRPr="007F0B66">
        <w:rPr>
          <w:rFonts w:ascii="Arial" w:hAnsi="Arial" w:cs="Arial"/>
          <w:b/>
          <w:bCs/>
          <w:lang w:val="en-IN"/>
        </w:rPr>
        <w:t>Antioxidant activity</w:t>
      </w:r>
    </w:p>
    <w:p w14:paraId="4C25849D" w14:textId="77777777" w:rsidR="00204B5E" w:rsidRDefault="00204B5E" w:rsidP="00FD0FEF">
      <w:pPr>
        <w:pStyle w:val="Body"/>
        <w:spacing w:after="0"/>
        <w:rPr>
          <w:rFonts w:ascii="Arial" w:hAnsi="Arial" w:cs="Arial"/>
        </w:rPr>
      </w:pPr>
      <w:r w:rsidRPr="007F0B66">
        <w:rPr>
          <w:rFonts w:ascii="Arial" w:hAnsi="Arial" w:cs="Arial"/>
        </w:rPr>
        <w:t xml:space="preserve">In the DPPH free radical scavenging assay, the methanolic extract of </w:t>
      </w:r>
      <w:r w:rsidRPr="007F0B66">
        <w:rPr>
          <w:rFonts w:ascii="Arial" w:hAnsi="Arial" w:cs="Arial"/>
          <w:i/>
          <w:iCs/>
        </w:rPr>
        <w:t>Maesa indica</w:t>
      </w:r>
      <w:r w:rsidRPr="007F0B66">
        <w:rPr>
          <w:rFonts w:ascii="Arial" w:hAnsi="Arial" w:cs="Arial"/>
        </w:rPr>
        <w:t xml:space="preserve"> showed antioxidant activity with an IC</w:t>
      </w:r>
      <w:r w:rsidRPr="007F0B66">
        <w:rPr>
          <w:rFonts w:ascii="Cambria Math" w:hAnsi="Cambria Math" w:cs="Cambria Math"/>
        </w:rPr>
        <w:t>₅₀</w:t>
      </w:r>
      <w:r w:rsidRPr="007F0B66">
        <w:rPr>
          <w:rFonts w:ascii="Arial" w:hAnsi="Arial" w:cs="Arial"/>
        </w:rPr>
        <w:t xml:space="preserve"> value of 91.15 µg/ml, compared to 3.60 µg/ml for the standard ascorbic acid (Table 6). Although less potent than the standard, the extract exhibited notable free radical scavenging potential.</w:t>
      </w:r>
    </w:p>
    <w:p w14:paraId="45A09EE0" w14:textId="77777777" w:rsidR="00FD0FEF" w:rsidRPr="007F0B66" w:rsidRDefault="00FD0FEF" w:rsidP="00FD0FEF">
      <w:pPr>
        <w:pStyle w:val="Body"/>
        <w:spacing w:after="0"/>
        <w:rPr>
          <w:rFonts w:ascii="Arial" w:hAnsi="Arial" w:cs="Arial"/>
        </w:rPr>
      </w:pPr>
    </w:p>
    <w:p w14:paraId="565D5925" w14:textId="3FB0452B" w:rsidR="00204B5E" w:rsidRPr="00FD0FEF" w:rsidRDefault="00204B5E" w:rsidP="00FD0FEF">
      <w:pPr>
        <w:pStyle w:val="Body"/>
        <w:spacing w:after="0"/>
        <w:rPr>
          <w:rFonts w:ascii="Arial" w:hAnsi="Arial" w:cs="Arial"/>
          <w:b/>
          <w:bCs/>
          <w:lang w:val="en-IN"/>
        </w:rPr>
      </w:pPr>
      <w:r w:rsidRPr="00FD0FEF">
        <w:rPr>
          <w:rFonts w:ascii="Arial" w:hAnsi="Arial" w:cs="Arial"/>
          <w:b/>
          <w:bCs/>
          <w:lang w:val="en-IN"/>
        </w:rPr>
        <w:t xml:space="preserve">Table </w:t>
      </w:r>
      <w:r w:rsidR="00FD0FEF">
        <w:rPr>
          <w:rFonts w:ascii="Arial" w:hAnsi="Arial" w:cs="Arial"/>
          <w:b/>
          <w:bCs/>
          <w:lang w:val="en-IN"/>
        </w:rPr>
        <w:t>8</w:t>
      </w:r>
      <w:r w:rsidRPr="00FD0FEF">
        <w:rPr>
          <w:rFonts w:ascii="Arial" w:hAnsi="Arial" w:cs="Arial"/>
          <w:b/>
          <w:bCs/>
          <w:lang w:val="en-IN"/>
        </w:rPr>
        <w:t>: Determination of Antioxidant activity of Ascorbic Acid (AA) by calculating</w:t>
      </w:r>
    </w:p>
    <w:p w14:paraId="5631BFAD" w14:textId="77777777" w:rsidR="00204B5E" w:rsidRPr="00FD0FEF" w:rsidRDefault="00204B5E" w:rsidP="00FD0FEF">
      <w:pPr>
        <w:pStyle w:val="Body"/>
        <w:spacing w:after="0"/>
        <w:rPr>
          <w:rFonts w:ascii="Arial" w:hAnsi="Arial" w:cs="Arial"/>
          <w:b/>
          <w:bCs/>
          <w:lang w:val="en-IN"/>
        </w:rPr>
      </w:pPr>
      <w:r w:rsidRPr="00FD0FEF">
        <w:rPr>
          <w:rFonts w:ascii="Arial" w:hAnsi="Arial" w:cs="Arial"/>
          <w:b/>
          <w:bCs/>
          <w:lang w:val="en-IN"/>
        </w:rPr>
        <w:t>% of scavenging effect and IC50 value using DPPH free radical scavenging assay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204B5E" w:rsidRPr="007F0B66" w14:paraId="1A491213" w14:textId="77777777" w:rsidTr="001F5B6F">
        <w:trPr>
          <w:jc w:val="center"/>
        </w:trPr>
        <w:tc>
          <w:tcPr>
            <w:tcW w:w="3116" w:type="dxa"/>
            <w:tcBorders>
              <w:top w:val="single" w:sz="4" w:space="0" w:color="auto"/>
              <w:bottom w:val="single" w:sz="4" w:space="0" w:color="auto"/>
            </w:tcBorders>
            <w:hideMark/>
          </w:tcPr>
          <w:p w14:paraId="134F4469" w14:textId="77777777" w:rsidR="00204B5E" w:rsidRPr="007F0B66" w:rsidRDefault="00204B5E" w:rsidP="001F5B6F">
            <w:pPr>
              <w:pStyle w:val="Body"/>
              <w:spacing w:after="0"/>
              <w:rPr>
                <w:rFonts w:ascii="Arial" w:eastAsia="Times New Roman" w:hAnsi="Arial" w:cs="Arial"/>
                <w:b/>
                <w:bCs/>
                <w:sz w:val="20"/>
              </w:rPr>
            </w:pPr>
            <w:r w:rsidRPr="007F0B66">
              <w:rPr>
                <w:rFonts w:ascii="Arial" w:eastAsia="Times New Roman" w:hAnsi="Arial" w:cs="Arial"/>
                <w:b/>
                <w:bCs/>
                <w:sz w:val="20"/>
              </w:rPr>
              <w:t>Group</w:t>
            </w:r>
          </w:p>
        </w:tc>
        <w:tc>
          <w:tcPr>
            <w:tcW w:w="3117" w:type="dxa"/>
            <w:tcBorders>
              <w:top w:val="single" w:sz="4" w:space="0" w:color="auto"/>
              <w:bottom w:val="single" w:sz="4" w:space="0" w:color="auto"/>
            </w:tcBorders>
            <w:hideMark/>
          </w:tcPr>
          <w:p w14:paraId="630036F4" w14:textId="77777777" w:rsidR="00204B5E" w:rsidRPr="007F0B66" w:rsidRDefault="00204B5E" w:rsidP="001F5B6F">
            <w:pPr>
              <w:pStyle w:val="Body"/>
              <w:spacing w:after="0"/>
              <w:rPr>
                <w:rFonts w:ascii="Arial" w:eastAsia="Times New Roman" w:hAnsi="Arial" w:cs="Arial"/>
                <w:b/>
                <w:bCs/>
                <w:sz w:val="20"/>
              </w:rPr>
            </w:pPr>
            <w:r w:rsidRPr="007F0B66">
              <w:rPr>
                <w:rFonts w:ascii="Arial" w:eastAsia="Times New Roman" w:hAnsi="Arial" w:cs="Arial"/>
                <w:b/>
                <w:bCs/>
                <w:sz w:val="20"/>
              </w:rPr>
              <w:t>IC</w:t>
            </w:r>
            <w:r w:rsidRPr="007F0B66">
              <w:rPr>
                <w:rFonts w:ascii="Arial" w:eastAsia="Times New Roman" w:hAnsi="Arial" w:cs="Arial"/>
                <w:b/>
                <w:bCs/>
                <w:sz w:val="20"/>
                <w:vertAlign w:val="subscript"/>
              </w:rPr>
              <w:t>50</w:t>
            </w:r>
            <w:r w:rsidRPr="007F0B66">
              <w:rPr>
                <w:rFonts w:ascii="Arial" w:eastAsia="Times New Roman" w:hAnsi="Arial" w:cs="Arial"/>
                <w:b/>
                <w:bCs/>
                <w:sz w:val="20"/>
              </w:rPr>
              <w:t xml:space="preserve"> (</w:t>
            </w:r>
            <w:proofErr w:type="spellStart"/>
            <w:r w:rsidRPr="007F0B66">
              <w:rPr>
                <w:rFonts w:ascii="Arial" w:eastAsia="Times New Roman" w:hAnsi="Arial" w:cs="Arial"/>
                <w:b/>
                <w:bCs/>
                <w:sz w:val="20"/>
              </w:rPr>
              <w:t>μg</w:t>
            </w:r>
            <w:proofErr w:type="spellEnd"/>
            <w:r w:rsidRPr="007F0B66">
              <w:rPr>
                <w:rFonts w:ascii="Arial" w:eastAsia="Times New Roman" w:hAnsi="Arial" w:cs="Arial"/>
                <w:b/>
                <w:bCs/>
                <w:sz w:val="20"/>
              </w:rPr>
              <w:t>/ml)</w:t>
            </w:r>
          </w:p>
        </w:tc>
      </w:tr>
      <w:tr w:rsidR="00204B5E" w:rsidRPr="007F0B66" w14:paraId="4FC397F5" w14:textId="77777777" w:rsidTr="001F5B6F">
        <w:trPr>
          <w:jc w:val="center"/>
        </w:trPr>
        <w:tc>
          <w:tcPr>
            <w:tcW w:w="3116" w:type="dxa"/>
            <w:tcBorders>
              <w:top w:val="single" w:sz="4" w:space="0" w:color="auto"/>
            </w:tcBorders>
            <w:hideMark/>
          </w:tcPr>
          <w:p w14:paraId="004717CE" w14:textId="77777777" w:rsidR="00204B5E" w:rsidRPr="007F0B66" w:rsidRDefault="00204B5E" w:rsidP="001F5B6F">
            <w:pPr>
              <w:pStyle w:val="Body"/>
              <w:spacing w:after="0"/>
              <w:rPr>
                <w:rFonts w:ascii="Arial" w:eastAsia="Times New Roman" w:hAnsi="Arial" w:cs="Arial"/>
                <w:sz w:val="20"/>
              </w:rPr>
            </w:pPr>
            <w:r w:rsidRPr="007F0B66">
              <w:rPr>
                <w:rFonts w:ascii="Arial" w:eastAsia="Times New Roman" w:hAnsi="Arial" w:cs="Arial"/>
                <w:sz w:val="20"/>
              </w:rPr>
              <w:t>Standard</w:t>
            </w:r>
          </w:p>
        </w:tc>
        <w:tc>
          <w:tcPr>
            <w:tcW w:w="3117" w:type="dxa"/>
            <w:tcBorders>
              <w:top w:val="single" w:sz="4" w:space="0" w:color="auto"/>
            </w:tcBorders>
            <w:hideMark/>
          </w:tcPr>
          <w:p w14:paraId="4268F674" w14:textId="77777777" w:rsidR="00204B5E" w:rsidRPr="007F0B66" w:rsidRDefault="00204B5E" w:rsidP="001F5B6F">
            <w:pPr>
              <w:pStyle w:val="Body"/>
              <w:spacing w:after="0"/>
              <w:rPr>
                <w:rFonts w:ascii="Arial" w:eastAsia="Times New Roman" w:hAnsi="Arial" w:cs="Arial"/>
                <w:sz w:val="20"/>
              </w:rPr>
            </w:pPr>
            <w:r w:rsidRPr="007F0B66">
              <w:rPr>
                <w:rFonts w:ascii="Arial" w:eastAsia="Times New Roman" w:hAnsi="Arial" w:cs="Arial"/>
                <w:sz w:val="20"/>
              </w:rPr>
              <w:t>3.60</w:t>
            </w:r>
          </w:p>
        </w:tc>
      </w:tr>
      <w:tr w:rsidR="00204B5E" w:rsidRPr="007F0B66" w14:paraId="3EEF4B09" w14:textId="77777777" w:rsidTr="001F5B6F">
        <w:trPr>
          <w:jc w:val="center"/>
        </w:trPr>
        <w:tc>
          <w:tcPr>
            <w:tcW w:w="3116" w:type="dxa"/>
            <w:hideMark/>
          </w:tcPr>
          <w:p w14:paraId="1DA975BC" w14:textId="77777777" w:rsidR="00204B5E" w:rsidRPr="007F0B66" w:rsidRDefault="00204B5E" w:rsidP="001F5B6F">
            <w:pPr>
              <w:pStyle w:val="Body"/>
              <w:spacing w:after="0"/>
              <w:rPr>
                <w:rFonts w:ascii="Arial" w:eastAsia="Times New Roman" w:hAnsi="Arial" w:cs="Arial"/>
                <w:sz w:val="20"/>
              </w:rPr>
            </w:pPr>
            <w:r w:rsidRPr="007F0B66">
              <w:rPr>
                <w:rFonts w:ascii="Arial" w:eastAsia="Times New Roman" w:hAnsi="Arial" w:cs="Arial"/>
                <w:sz w:val="20"/>
              </w:rPr>
              <w:t>ME extract</w:t>
            </w:r>
          </w:p>
        </w:tc>
        <w:tc>
          <w:tcPr>
            <w:tcW w:w="3117" w:type="dxa"/>
            <w:hideMark/>
          </w:tcPr>
          <w:p w14:paraId="09167E13" w14:textId="77777777" w:rsidR="00204B5E" w:rsidRPr="007F0B66" w:rsidRDefault="00204B5E" w:rsidP="001F5B6F">
            <w:pPr>
              <w:pStyle w:val="Body"/>
              <w:spacing w:after="0"/>
              <w:rPr>
                <w:rFonts w:ascii="Arial" w:eastAsia="Times New Roman" w:hAnsi="Arial" w:cs="Arial"/>
                <w:bCs/>
                <w:sz w:val="20"/>
              </w:rPr>
            </w:pPr>
            <w:r w:rsidRPr="007F0B66">
              <w:rPr>
                <w:rFonts w:ascii="Arial" w:eastAsia="Times New Roman" w:hAnsi="Arial" w:cs="Arial"/>
                <w:bCs/>
                <w:sz w:val="20"/>
              </w:rPr>
              <w:t>91.15</w:t>
            </w:r>
          </w:p>
        </w:tc>
      </w:tr>
    </w:tbl>
    <w:p w14:paraId="051B1CC5" w14:textId="77777777" w:rsidR="00204B5E" w:rsidRDefault="00204B5E" w:rsidP="0097388D">
      <w:pPr>
        <w:pStyle w:val="Body"/>
        <w:spacing w:after="0"/>
        <w:jc w:val="center"/>
        <w:rPr>
          <w:rFonts w:ascii="Arial" w:hAnsi="Arial" w:cs="Arial"/>
          <w:lang w:val="en-IN"/>
        </w:rPr>
      </w:pPr>
      <w:r w:rsidRPr="007F0B66">
        <w:rPr>
          <w:rFonts w:ascii="Arial" w:hAnsi="Arial" w:cs="Arial"/>
          <w:lang w:val="en-IN"/>
        </w:rPr>
        <w:t>Note: ME= Methanolic extract of leaves</w:t>
      </w:r>
    </w:p>
    <w:p w14:paraId="1B35BA40" w14:textId="77777777" w:rsidR="0097388D" w:rsidRPr="007F0B66" w:rsidRDefault="0097388D" w:rsidP="0097388D">
      <w:pPr>
        <w:pStyle w:val="Body"/>
        <w:spacing w:after="0"/>
        <w:jc w:val="center"/>
        <w:rPr>
          <w:rFonts w:ascii="Arial" w:hAnsi="Arial" w:cs="Arial"/>
          <w:lang w:val="en-IN"/>
        </w:rPr>
      </w:pPr>
    </w:p>
    <w:p w14:paraId="7E866FA4" w14:textId="051F4BCE" w:rsidR="00204B5E" w:rsidRPr="007F0B66" w:rsidRDefault="00FD0FEF" w:rsidP="00204B5E">
      <w:pPr>
        <w:pStyle w:val="Body"/>
        <w:spacing w:after="0"/>
        <w:rPr>
          <w:rFonts w:ascii="Arial" w:hAnsi="Arial" w:cs="Arial"/>
          <w:b/>
          <w:bCs/>
          <w:lang w:val="en-IN"/>
        </w:rPr>
      </w:pPr>
      <w:r>
        <w:rPr>
          <w:rFonts w:ascii="Arial" w:hAnsi="Arial" w:cs="Arial"/>
          <w:b/>
          <w:bCs/>
          <w:lang w:val="en-IN"/>
        </w:rPr>
        <w:lastRenderedPageBreak/>
        <w:t xml:space="preserve">5.9. </w:t>
      </w:r>
      <w:r w:rsidR="00204B5E" w:rsidRPr="007F0B66">
        <w:rPr>
          <w:rFonts w:ascii="Arial" w:hAnsi="Arial" w:cs="Arial"/>
          <w:b/>
          <w:bCs/>
          <w:lang w:val="en-IN"/>
        </w:rPr>
        <w:t>Anthelminthic activity:</w:t>
      </w:r>
    </w:p>
    <w:p w14:paraId="0675F29F" w14:textId="77777777" w:rsidR="00204B5E" w:rsidRPr="007F0B66" w:rsidRDefault="00204B5E" w:rsidP="00204B5E">
      <w:pPr>
        <w:pStyle w:val="Body"/>
        <w:spacing w:after="0"/>
        <w:rPr>
          <w:rFonts w:ascii="Arial" w:hAnsi="Arial" w:cs="Arial"/>
        </w:rPr>
      </w:pPr>
      <w:r w:rsidRPr="007F0B66">
        <w:rPr>
          <w:rFonts w:ascii="Arial" w:hAnsi="Arial" w:cs="Arial"/>
        </w:rPr>
        <w:t xml:space="preserve">The methanolic extract of </w:t>
      </w:r>
      <w:r w:rsidRPr="007F0B66">
        <w:rPr>
          <w:rFonts w:ascii="Arial" w:hAnsi="Arial" w:cs="Arial"/>
          <w:i/>
          <w:iCs/>
        </w:rPr>
        <w:t>Maesa indica</w:t>
      </w:r>
      <w:r w:rsidRPr="007F0B66">
        <w:rPr>
          <w:rFonts w:ascii="Arial" w:hAnsi="Arial" w:cs="Arial"/>
        </w:rPr>
        <w:t xml:space="preserve"> demonstrated dose-dependent anthelmintic activity against </w:t>
      </w:r>
      <w:proofErr w:type="spellStart"/>
      <w:r w:rsidRPr="007F0B66">
        <w:rPr>
          <w:rFonts w:ascii="Arial" w:hAnsi="Arial" w:cs="Arial"/>
          <w:i/>
          <w:iCs/>
        </w:rPr>
        <w:t>Pheretima</w:t>
      </w:r>
      <w:proofErr w:type="spellEnd"/>
      <w:r w:rsidRPr="007F0B66">
        <w:rPr>
          <w:rFonts w:ascii="Arial" w:hAnsi="Arial" w:cs="Arial"/>
          <w:i/>
          <w:iCs/>
        </w:rPr>
        <w:t xml:space="preserve"> </w:t>
      </w:r>
      <w:proofErr w:type="spellStart"/>
      <w:r w:rsidRPr="007F0B66">
        <w:rPr>
          <w:rFonts w:ascii="Arial" w:hAnsi="Arial" w:cs="Arial"/>
          <w:i/>
          <w:iCs/>
        </w:rPr>
        <w:t>posthuma</w:t>
      </w:r>
      <w:proofErr w:type="spellEnd"/>
      <w:r w:rsidRPr="007F0B66">
        <w:rPr>
          <w:rFonts w:ascii="Arial" w:hAnsi="Arial" w:cs="Arial"/>
        </w:rPr>
        <w:t xml:space="preserve"> (Table 7). The time taken for death decreased with increased concentration, with the extract showing comparable activity to the standard albendazole at certain doses (</w:t>
      </w:r>
      <w:r w:rsidRPr="007F0B66">
        <w:rPr>
          <w:rFonts w:ascii="Arial" w:hAnsi="Arial" w:cs="Arial"/>
          <w:b/>
          <w:bCs/>
        </w:rPr>
        <w:t>P&lt;0.001</w:t>
      </w:r>
      <w:r w:rsidRPr="007F0B66">
        <w:rPr>
          <w:rFonts w:ascii="Arial" w:hAnsi="Arial" w:cs="Arial"/>
        </w:rPr>
        <w:t>), indicating potent anthelmintic effects.</w:t>
      </w:r>
    </w:p>
    <w:p w14:paraId="75E983F7" w14:textId="77777777" w:rsidR="00204B5E" w:rsidRPr="007F0B66" w:rsidRDefault="00204B5E" w:rsidP="00204B5E">
      <w:pPr>
        <w:pStyle w:val="Body"/>
        <w:spacing w:after="0"/>
        <w:rPr>
          <w:rFonts w:ascii="Arial" w:hAnsi="Arial" w:cs="Arial"/>
        </w:rPr>
      </w:pPr>
    </w:p>
    <w:p w14:paraId="38C4BA77" w14:textId="1E35D666" w:rsidR="00204B5E" w:rsidRPr="00FD0FEF" w:rsidRDefault="00204B5E" w:rsidP="00204B5E">
      <w:pPr>
        <w:pStyle w:val="Body"/>
        <w:spacing w:after="0"/>
        <w:rPr>
          <w:rFonts w:ascii="Arial" w:hAnsi="Arial" w:cs="Arial"/>
          <w:b/>
          <w:bCs/>
          <w:lang w:val="en-IN"/>
        </w:rPr>
      </w:pPr>
      <w:r w:rsidRPr="00FD0FEF">
        <w:rPr>
          <w:rFonts w:ascii="Arial" w:hAnsi="Arial" w:cs="Arial"/>
          <w:b/>
          <w:bCs/>
          <w:lang w:val="en-IN"/>
        </w:rPr>
        <w:t xml:space="preserve">Table </w:t>
      </w:r>
      <w:r w:rsidR="00FD0FEF" w:rsidRPr="00FD0FEF">
        <w:rPr>
          <w:rFonts w:ascii="Arial" w:hAnsi="Arial" w:cs="Arial"/>
          <w:b/>
          <w:bCs/>
          <w:lang w:val="en-IN"/>
        </w:rPr>
        <w:t>9</w:t>
      </w:r>
      <w:r w:rsidRPr="00FD0FEF">
        <w:rPr>
          <w:rFonts w:ascii="Arial" w:hAnsi="Arial" w:cs="Arial"/>
          <w:b/>
          <w:bCs/>
          <w:lang w:val="en-IN"/>
        </w:rPr>
        <w:t xml:space="preserve">: Dead Time of </w:t>
      </w:r>
      <w:proofErr w:type="spellStart"/>
      <w:r w:rsidRPr="00FD0FEF">
        <w:rPr>
          <w:rFonts w:ascii="Arial" w:hAnsi="Arial" w:cs="Arial"/>
          <w:b/>
          <w:bCs/>
          <w:i/>
          <w:lang w:val="en-IN"/>
        </w:rPr>
        <w:t>Pheretima</w:t>
      </w:r>
      <w:proofErr w:type="spellEnd"/>
      <w:r w:rsidRPr="00FD0FEF">
        <w:rPr>
          <w:rFonts w:ascii="Arial" w:hAnsi="Arial" w:cs="Arial"/>
          <w:b/>
          <w:bCs/>
          <w:i/>
          <w:lang w:val="en-IN"/>
        </w:rPr>
        <w:t xml:space="preserve"> </w:t>
      </w:r>
      <w:proofErr w:type="spellStart"/>
      <w:r w:rsidRPr="00FD0FEF">
        <w:rPr>
          <w:rFonts w:ascii="Arial" w:hAnsi="Arial" w:cs="Arial"/>
          <w:b/>
          <w:bCs/>
          <w:i/>
          <w:lang w:val="en-IN"/>
        </w:rPr>
        <w:t>posthuma</w:t>
      </w:r>
      <w:proofErr w:type="spellEnd"/>
      <w:r w:rsidRPr="00FD0FEF">
        <w:rPr>
          <w:rFonts w:ascii="Arial" w:hAnsi="Arial" w:cs="Arial"/>
          <w:b/>
          <w:bCs/>
          <w:i/>
          <w:lang w:val="en-IN"/>
        </w:rPr>
        <w:t xml:space="preserve"> </w:t>
      </w:r>
      <w:r w:rsidRPr="00FD0FEF">
        <w:rPr>
          <w:rFonts w:ascii="Arial" w:hAnsi="Arial" w:cs="Arial"/>
          <w:b/>
          <w:bCs/>
          <w:lang w:val="en-IN"/>
        </w:rPr>
        <w:t xml:space="preserve">for crude </w:t>
      </w:r>
      <w:r w:rsidRPr="00FD0FEF">
        <w:rPr>
          <w:rFonts w:ascii="Arial" w:hAnsi="Arial" w:cs="Arial"/>
          <w:b/>
          <w:bCs/>
          <w:i/>
          <w:lang w:val="en-IN"/>
        </w:rPr>
        <w:t xml:space="preserve">M. indica </w:t>
      </w:r>
      <w:r w:rsidRPr="00FD0FEF">
        <w:rPr>
          <w:rFonts w:ascii="Arial" w:hAnsi="Arial" w:cs="Arial"/>
          <w:b/>
          <w:bCs/>
          <w:lang w:val="en-IN"/>
        </w:rPr>
        <w:t>extract</w:t>
      </w:r>
    </w:p>
    <w:tbl>
      <w:tblPr>
        <w:tblW w:w="7050"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610"/>
        <w:gridCol w:w="1980"/>
        <w:gridCol w:w="2460"/>
      </w:tblGrid>
      <w:tr w:rsidR="00204B5E" w:rsidRPr="00204B5E" w14:paraId="41FE6029" w14:textId="77777777" w:rsidTr="001F5B6F">
        <w:trPr>
          <w:trHeight w:val="656"/>
          <w:jc w:val="center"/>
        </w:trPr>
        <w:tc>
          <w:tcPr>
            <w:tcW w:w="2610" w:type="dxa"/>
            <w:tcBorders>
              <w:bottom w:val="single" w:sz="4" w:space="0" w:color="auto"/>
            </w:tcBorders>
            <w:hideMark/>
          </w:tcPr>
          <w:p w14:paraId="18619A75" w14:textId="77777777" w:rsidR="00204B5E" w:rsidRPr="00204B5E" w:rsidRDefault="00204B5E" w:rsidP="00FD0FEF">
            <w:pPr>
              <w:pStyle w:val="Body"/>
              <w:spacing w:after="0"/>
              <w:rPr>
                <w:rFonts w:ascii="Arial" w:hAnsi="Arial" w:cs="Arial"/>
                <w:b/>
                <w:bCs/>
                <w:lang w:val="en-IN"/>
              </w:rPr>
            </w:pPr>
            <w:r w:rsidRPr="00204B5E">
              <w:rPr>
                <w:rFonts w:ascii="Arial" w:hAnsi="Arial" w:cs="Arial"/>
                <w:b/>
                <w:bCs/>
                <w:lang w:val="en-IN"/>
              </w:rPr>
              <w:t>Sample</w:t>
            </w:r>
          </w:p>
        </w:tc>
        <w:tc>
          <w:tcPr>
            <w:tcW w:w="1980" w:type="dxa"/>
            <w:tcBorders>
              <w:bottom w:val="single" w:sz="4" w:space="0" w:color="auto"/>
            </w:tcBorders>
            <w:hideMark/>
          </w:tcPr>
          <w:p w14:paraId="736F30C0" w14:textId="77777777" w:rsidR="00204B5E" w:rsidRPr="00204B5E" w:rsidRDefault="00204B5E" w:rsidP="00FD0FEF">
            <w:pPr>
              <w:pStyle w:val="Body"/>
              <w:spacing w:after="0"/>
              <w:rPr>
                <w:rFonts w:ascii="Arial" w:hAnsi="Arial" w:cs="Arial"/>
                <w:b/>
                <w:bCs/>
                <w:lang w:val="en-IN"/>
              </w:rPr>
            </w:pPr>
            <w:r w:rsidRPr="00204B5E">
              <w:rPr>
                <w:rFonts w:ascii="Arial" w:hAnsi="Arial" w:cs="Arial"/>
                <w:b/>
                <w:bCs/>
                <w:lang w:val="en-IN"/>
              </w:rPr>
              <w:t>Concentration</w:t>
            </w:r>
          </w:p>
          <w:p w14:paraId="0BAE2313" w14:textId="77777777" w:rsidR="00204B5E" w:rsidRPr="00204B5E" w:rsidRDefault="00204B5E" w:rsidP="00FD0FEF">
            <w:pPr>
              <w:pStyle w:val="Body"/>
              <w:spacing w:after="0"/>
              <w:rPr>
                <w:rFonts w:ascii="Arial" w:hAnsi="Arial" w:cs="Arial"/>
                <w:b/>
                <w:bCs/>
                <w:lang w:val="en-IN"/>
              </w:rPr>
            </w:pPr>
            <w:r w:rsidRPr="00204B5E">
              <w:rPr>
                <w:rFonts w:ascii="Arial" w:hAnsi="Arial" w:cs="Arial"/>
                <w:b/>
                <w:bCs/>
                <w:lang w:val="en-IN"/>
              </w:rPr>
              <w:t>(mg/ml)</w:t>
            </w:r>
          </w:p>
        </w:tc>
        <w:tc>
          <w:tcPr>
            <w:tcW w:w="2460" w:type="dxa"/>
            <w:tcBorders>
              <w:bottom w:val="single" w:sz="4" w:space="0" w:color="auto"/>
            </w:tcBorders>
            <w:hideMark/>
          </w:tcPr>
          <w:p w14:paraId="328443FB" w14:textId="77777777" w:rsidR="00204B5E" w:rsidRPr="00204B5E" w:rsidRDefault="00204B5E" w:rsidP="00FD0FEF">
            <w:pPr>
              <w:pStyle w:val="Body"/>
              <w:spacing w:after="0"/>
              <w:rPr>
                <w:rFonts w:ascii="Arial" w:hAnsi="Arial" w:cs="Arial"/>
                <w:b/>
                <w:bCs/>
                <w:lang w:val="en-IN"/>
              </w:rPr>
            </w:pPr>
            <w:r w:rsidRPr="00204B5E">
              <w:rPr>
                <w:rFonts w:ascii="Arial" w:hAnsi="Arial" w:cs="Arial"/>
                <w:b/>
                <w:bCs/>
                <w:lang w:val="en-IN"/>
              </w:rPr>
              <w:t>Time taken for death (min)</w:t>
            </w:r>
          </w:p>
          <w:p w14:paraId="1730B0E1" w14:textId="77777777" w:rsidR="00204B5E" w:rsidRPr="00204B5E" w:rsidRDefault="00204B5E" w:rsidP="00FD0FEF">
            <w:pPr>
              <w:pStyle w:val="Body"/>
              <w:spacing w:after="0"/>
              <w:rPr>
                <w:rFonts w:ascii="Arial" w:hAnsi="Arial" w:cs="Arial"/>
                <w:b/>
                <w:bCs/>
                <w:lang w:val="en-IN"/>
              </w:rPr>
            </w:pPr>
            <w:r w:rsidRPr="00204B5E">
              <w:rPr>
                <w:rFonts w:ascii="Arial" w:hAnsi="Arial" w:cs="Arial"/>
                <w:b/>
                <w:bCs/>
                <w:lang w:val="en-IN"/>
              </w:rPr>
              <w:t>(Mean ± SEM)</w:t>
            </w:r>
          </w:p>
        </w:tc>
      </w:tr>
      <w:tr w:rsidR="00204B5E" w:rsidRPr="00204B5E" w14:paraId="37876E1B" w14:textId="77777777" w:rsidTr="001F5B6F">
        <w:trPr>
          <w:trHeight w:val="350"/>
          <w:jc w:val="center"/>
        </w:trPr>
        <w:tc>
          <w:tcPr>
            <w:tcW w:w="2610" w:type="dxa"/>
            <w:tcBorders>
              <w:top w:val="single" w:sz="4" w:space="0" w:color="auto"/>
              <w:bottom w:val="nil"/>
            </w:tcBorders>
            <w:hideMark/>
          </w:tcPr>
          <w:p w14:paraId="56BBD61E"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Control (Normal saline)</w:t>
            </w:r>
          </w:p>
        </w:tc>
        <w:tc>
          <w:tcPr>
            <w:tcW w:w="1980" w:type="dxa"/>
            <w:tcBorders>
              <w:top w:val="single" w:sz="4" w:space="0" w:color="auto"/>
              <w:bottom w:val="nil"/>
            </w:tcBorders>
            <w:hideMark/>
          </w:tcPr>
          <w:p w14:paraId="7F1212D6"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w:t>
            </w:r>
          </w:p>
        </w:tc>
        <w:tc>
          <w:tcPr>
            <w:tcW w:w="2460" w:type="dxa"/>
            <w:tcBorders>
              <w:top w:val="single" w:sz="4" w:space="0" w:color="auto"/>
              <w:bottom w:val="nil"/>
            </w:tcBorders>
            <w:hideMark/>
          </w:tcPr>
          <w:p w14:paraId="7369A90E"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w:t>
            </w:r>
          </w:p>
        </w:tc>
      </w:tr>
      <w:tr w:rsidR="00204B5E" w:rsidRPr="00204B5E" w14:paraId="4398C79D" w14:textId="77777777" w:rsidTr="001F5B6F">
        <w:trPr>
          <w:trHeight w:val="270"/>
          <w:jc w:val="center"/>
        </w:trPr>
        <w:tc>
          <w:tcPr>
            <w:tcW w:w="2610" w:type="dxa"/>
            <w:tcBorders>
              <w:top w:val="nil"/>
            </w:tcBorders>
            <w:hideMark/>
          </w:tcPr>
          <w:p w14:paraId="6197CA90"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Standard (Albendazole)</w:t>
            </w:r>
          </w:p>
        </w:tc>
        <w:tc>
          <w:tcPr>
            <w:tcW w:w="1980" w:type="dxa"/>
            <w:tcBorders>
              <w:top w:val="nil"/>
            </w:tcBorders>
            <w:hideMark/>
          </w:tcPr>
          <w:p w14:paraId="1742DE77"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20</w:t>
            </w:r>
          </w:p>
        </w:tc>
        <w:tc>
          <w:tcPr>
            <w:tcW w:w="2460" w:type="dxa"/>
            <w:tcBorders>
              <w:top w:val="nil"/>
            </w:tcBorders>
            <w:hideMark/>
          </w:tcPr>
          <w:p w14:paraId="7B5D4123"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29 ± 0.05***</w:t>
            </w:r>
          </w:p>
        </w:tc>
      </w:tr>
      <w:tr w:rsidR="00204B5E" w:rsidRPr="00204B5E" w14:paraId="4737698E" w14:textId="77777777" w:rsidTr="001F5B6F">
        <w:trPr>
          <w:trHeight w:val="412"/>
          <w:jc w:val="center"/>
        </w:trPr>
        <w:tc>
          <w:tcPr>
            <w:tcW w:w="2610" w:type="dxa"/>
            <w:hideMark/>
          </w:tcPr>
          <w:p w14:paraId="572E9B17"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ME-Sample 01</w:t>
            </w:r>
          </w:p>
        </w:tc>
        <w:tc>
          <w:tcPr>
            <w:tcW w:w="1980" w:type="dxa"/>
            <w:hideMark/>
          </w:tcPr>
          <w:p w14:paraId="32009F04"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2.5</w:t>
            </w:r>
          </w:p>
        </w:tc>
        <w:tc>
          <w:tcPr>
            <w:tcW w:w="2460" w:type="dxa"/>
            <w:hideMark/>
          </w:tcPr>
          <w:p w14:paraId="5CE1383D"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37 ± 3.71***</w:t>
            </w:r>
          </w:p>
        </w:tc>
      </w:tr>
      <w:tr w:rsidR="00204B5E" w:rsidRPr="00204B5E" w14:paraId="0A171802" w14:textId="77777777" w:rsidTr="001F5B6F">
        <w:trPr>
          <w:trHeight w:val="412"/>
          <w:jc w:val="center"/>
        </w:trPr>
        <w:tc>
          <w:tcPr>
            <w:tcW w:w="2610" w:type="dxa"/>
            <w:hideMark/>
          </w:tcPr>
          <w:p w14:paraId="33D94DEB"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ME-Sample 02</w:t>
            </w:r>
          </w:p>
        </w:tc>
        <w:tc>
          <w:tcPr>
            <w:tcW w:w="1980" w:type="dxa"/>
            <w:hideMark/>
          </w:tcPr>
          <w:p w14:paraId="328F0857"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5</w:t>
            </w:r>
          </w:p>
        </w:tc>
        <w:tc>
          <w:tcPr>
            <w:tcW w:w="2460" w:type="dxa"/>
            <w:hideMark/>
          </w:tcPr>
          <w:p w14:paraId="343FAE86"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104.33 ± 1.45***</w:t>
            </w:r>
          </w:p>
        </w:tc>
      </w:tr>
      <w:tr w:rsidR="00204B5E" w:rsidRPr="00204B5E" w14:paraId="251E23A9" w14:textId="77777777" w:rsidTr="001F5B6F">
        <w:trPr>
          <w:trHeight w:val="414"/>
          <w:jc w:val="center"/>
        </w:trPr>
        <w:tc>
          <w:tcPr>
            <w:tcW w:w="2610" w:type="dxa"/>
            <w:hideMark/>
          </w:tcPr>
          <w:p w14:paraId="3300C996"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ME-Sample 03</w:t>
            </w:r>
          </w:p>
        </w:tc>
        <w:tc>
          <w:tcPr>
            <w:tcW w:w="1980" w:type="dxa"/>
            <w:hideMark/>
          </w:tcPr>
          <w:p w14:paraId="4042568F"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10</w:t>
            </w:r>
          </w:p>
        </w:tc>
        <w:tc>
          <w:tcPr>
            <w:tcW w:w="2460" w:type="dxa"/>
            <w:hideMark/>
          </w:tcPr>
          <w:p w14:paraId="4BFF8856"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45.33 ± 3.93***</w:t>
            </w:r>
          </w:p>
        </w:tc>
      </w:tr>
      <w:tr w:rsidR="00204B5E" w:rsidRPr="00204B5E" w14:paraId="360C0BD5" w14:textId="77777777" w:rsidTr="001F5B6F">
        <w:trPr>
          <w:trHeight w:val="412"/>
          <w:jc w:val="center"/>
        </w:trPr>
        <w:tc>
          <w:tcPr>
            <w:tcW w:w="2610" w:type="dxa"/>
            <w:hideMark/>
          </w:tcPr>
          <w:p w14:paraId="104ACAC3"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ME-Sample 04</w:t>
            </w:r>
          </w:p>
        </w:tc>
        <w:tc>
          <w:tcPr>
            <w:tcW w:w="1980" w:type="dxa"/>
            <w:hideMark/>
          </w:tcPr>
          <w:p w14:paraId="20514F71"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20</w:t>
            </w:r>
          </w:p>
        </w:tc>
        <w:tc>
          <w:tcPr>
            <w:tcW w:w="2460" w:type="dxa"/>
            <w:hideMark/>
          </w:tcPr>
          <w:p w14:paraId="6A616928"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37±0.057***</w:t>
            </w:r>
          </w:p>
        </w:tc>
      </w:tr>
    </w:tbl>
    <w:p w14:paraId="37CE0A3B" w14:textId="77777777" w:rsidR="00204B5E" w:rsidRPr="007F0B66" w:rsidRDefault="00204B5E" w:rsidP="00204B5E">
      <w:pPr>
        <w:pStyle w:val="Body"/>
        <w:spacing w:after="0"/>
        <w:rPr>
          <w:rFonts w:ascii="Arial" w:hAnsi="Arial" w:cs="Arial"/>
          <w:bCs/>
          <w:lang w:val="en-IN"/>
        </w:rPr>
      </w:pPr>
      <w:r w:rsidRPr="007F0B66">
        <w:rPr>
          <w:rFonts w:ascii="Arial" w:hAnsi="Arial" w:cs="Arial"/>
          <w:bCs/>
          <w:lang w:val="en-IN"/>
        </w:rPr>
        <w:t>Note: Each value represents the mean ± SEM. (n= 5). One- way ANOVA followed by Dunnett’s t test. ***P&lt;0.001, P&lt;0.01, *P&lt;0.05 compared with control. ME = Methanolic Extract</w:t>
      </w:r>
    </w:p>
    <w:p w14:paraId="766B3838" w14:textId="77777777" w:rsidR="00204B5E" w:rsidRPr="007F0B66" w:rsidRDefault="00204B5E" w:rsidP="00204B5E">
      <w:pPr>
        <w:pStyle w:val="Body"/>
        <w:spacing w:after="0"/>
        <w:rPr>
          <w:rFonts w:ascii="Arial" w:hAnsi="Arial" w:cs="Arial"/>
        </w:rPr>
      </w:pPr>
    </w:p>
    <w:p w14:paraId="0A58C4CB" w14:textId="4FFC59AE" w:rsidR="00204B5E" w:rsidRPr="007F0B66" w:rsidRDefault="00FD0FEF" w:rsidP="00204B5E">
      <w:pPr>
        <w:pStyle w:val="ConcHead"/>
        <w:spacing w:after="0"/>
        <w:jc w:val="both"/>
        <w:rPr>
          <w:rFonts w:ascii="Arial" w:hAnsi="Arial" w:cs="Arial"/>
          <w:sz w:val="20"/>
        </w:rPr>
      </w:pPr>
      <w:r>
        <w:rPr>
          <w:rFonts w:ascii="Arial" w:hAnsi="Arial" w:cs="Arial"/>
          <w:sz w:val="20"/>
        </w:rPr>
        <w:t>6</w:t>
      </w:r>
      <w:r w:rsidR="00204B5E" w:rsidRPr="007F0B66">
        <w:rPr>
          <w:rFonts w:ascii="Arial" w:hAnsi="Arial" w:cs="Arial"/>
          <w:sz w:val="20"/>
        </w:rPr>
        <w:t>. DISCUSSION</w:t>
      </w:r>
      <w:r>
        <w:rPr>
          <w:rFonts w:ascii="Arial" w:hAnsi="Arial" w:cs="Arial"/>
          <w:sz w:val="20"/>
        </w:rPr>
        <w:t xml:space="preserve"> </w:t>
      </w:r>
    </w:p>
    <w:p w14:paraId="0A824A62" w14:textId="77777777" w:rsidR="00204B5E" w:rsidRPr="007F0B66" w:rsidRDefault="00204B5E" w:rsidP="00204B5E">
      <w:pPr>
        <w:pStyle w:val="ConcHead"/>
        <w:spacing w:after="0"/>
        <w:jc w:val="both"/>
        <w:rPr>
          <w:rFonts w:ascii="Arial" w:hAnsi="Arial" w:cs="Arial"/>
          <w:b w:val="0"/>
          <w:bCs/>
          <w:sz w:val="20"/>
        </w:rPr>
      </w:pPr>
    </w:p>
    <w:p w14:paraId="436C52A4" w14:textId="735ECF8D" w:rsidR="00204B5E" w:rsidRPr="007F0B66" w:rsidRDefault="00204B5E" w:rsidP="00204B5E">
      <w:pPr>
        <w:spacing w:after="160" w:line="259" w:lineRule="auto"/>
        <w:jc w:val="both"/>
        <w:rPr>
          <w:rFonts w:ascii="Arial" w:eastAsia="Calibri" w:hAnsi="Arial" w:cs="Arial"/>
          <w:kern w:val="2"/>
          <w:lang w:val="en-IN"/>
        </w:rPr>
      </w:pPr>
      <w:r w:rsidRPr="007F0B66">
        <w:rPr>
          <w:rFonts w:ascii="Arial" w:eastAsia="Calibri" w:hAnsi="Arial" w:cs="Arial"/>
          <w:kern w:val="2"/>
          <w:lang w:val="en-IN"/>
        </w:rPr>
        <w:t xml:space="preserve">The present study on </w:t>
      </w:r>
      <w:r w:rsidRPr="007F0B66">
        <w:rPr>
          <w:rFonts w:ascii="Arial" w:eastAsia="Calibri" w:hAnsi="Arial" w:cs="Arial"/>
          <w:i/>
          <w:iCs/>
          <w:kern w:val="2"/>
          <w:lang w:val="en-IN"/>
        </w:rPr>
        <w:t>Maesa indica</w:t>
      </w:r>
      <w:r w:rsidRPr="007F0B66">
        <w:rPr>
          <w:rFonts w:ascii="Arial" w:eastAsia="Calibri" w:hAnsi="Arial" w:cs="Arial"/>
          <w:kern w:val="2"/>
          <w:lang w:val="en-IN"/>
        </w:rPr>
        <w:t xml:space="preserve"> highlights the pharmacological potential of its methanolic extract, demonstrating significant thrombolytic, antioxidant, antipyretic, analgesic, anthelmintic and neuropharmacological effects. These activities are likely driven by various bioactive compounds including alkaloids, tannins, flavonoids, phenols, carbohydrates and steroids, identified through phytochemical screening. The interrelation of these compounds suggests a synergistic effect contributing to the plant’s broad therapeutic potential</w:t>
      </w:r>
      <w:r w:rsidR="00E95DC8">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&lt;EndNote&gt;&lt;Cite&gt;&lt;Author&gt;Nisat&lt;/Author&gt;&lt;Year&gt;2024&lt;/Year&gt;&lt;RecNum&gt;134&lt;/RecNum&gt;&lt;DisplayText&gt;(Nisat et al., 2024)&lt;/DisplayText&gt;&lt;record&gt;&lt;rec-number&gt;134&lt;/rec-number&gt;&lt;foreign-keys&gt;&lt;key app="EN" db-id="sdvx20t5qr0sf5e999ax5208e0ssvp992v05" timestamp="1742584399"&gt;134&lt;/key&gt;&lt;/foreign-keys&gt;&lt;ref-type name="Journal Article"&gt;17&lt;/ref-type&gt;&lt;contributors&gt;&lt;authors&gt;&lt;author&gt;Nisat, Ummah Tasnim&lt;/author&gt;&lt;author&gt;Jahan, Nusrat&lt;/author&gt;&lt;author&gt;Afrin, Syeda Rubaiya&lt;/author&gt;&lt;author&gt;Akter, Bakul&lt;/author&gt;&lt;author&gt;Nahar, Ainun&lt;/author&gt;&lt;author&gt;Islam, Mohammad Rashedul&lt;/author&gt;&lt;author&gt;Hossain, Mohammed Kamrul&lt;/author&gt;&lt;/authors&gt;&lt;/contributors&gt;&lt;titles&gt;&lt;title&gt;Phytochemical, ethnopharmacological, and medicinal importance of Catharanthus roseus (Apocyanaceae): a mini</w:instrText>
      </w:r>
      <w:r w:rsidR="004E3F6A">
        <w:rPr>
          <w:rFonts w:ascii="Cambria Math" w:eastAsia="Calibri" w:hAnsi="Cambria Math" w:cs="Cambria Math"/>
          <w:kern w:val="2"/>
          <w:lang w:val="en-IN"/>
        </w:rPr>
        <w:instrText>‐</w:instrText>
      </w:r>
      <w:r w:rsidR="004E3F6A">
        <w:rPr>
          <w:rFonts w:ascii="Arial" w:eastAsia="Calibri" w:hAnsi="Arial" w:cs="Arial"/>
          <w:kern w:val="2"/>
          <w:lang w:val="en-IN"/>
        </w:rPr>
        <w:instrText>review&lt;/title&gt;&lt;secondary-title&gt;South Asian Res J Nat Prod&lt;/secondary-title&gt;&lt;/titles&gt;&lt;periodical&gt;&lt;full-title&gt;South Asian Res J Nat Prod&lt;/full-title&gt;&lt;/periodical&gt;&lt;pages&gt;87-101&lt;/pages&gt;&lt;volume&gt;7&lt;/volume&gt;&lt;dates&gt;&lt;year&gt;2024&lt;/year&gt;&lt;/dates&gt;&lt;urls&gt;&lt;/urls&gt;&lt;/record&gt;&lt;/Cite&gt;&lt;/EndNote&gt;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(Nisat et al., 2024)</w:t>
      </w:r>
      <w:r w:rsidR="00E95DC8">
        <w:rPr>
          <w:rFonts w:ascii="Arial" w:eastAsia="Calibri" w:hAnsi="Arial" w:cs="Arial"/>
          <w:kern w:val="2"/>
          <w:lang w:val="en-IN"/>
        </w:rPr>
        <w:fldChar w:fldCharType="end"/>
      </w:r>
      <w:r w:rsidRPr="007F0B66">
        <w:rPr>
          <w:rFonts w:ascii="Arial" w:eastAsia="Calibri" w:hAnsi="Arial" w:cs="Arial"/>
          <w:kern w:val="2"/>
          <w:lang w:val="en-IN"/>
        </w:rPr>
        <w:t>.</w:t>
      </w:r>
    </w:p>
    <w:p w14:paraId="2DAB2A88" w14:textId="4143B2CB" w:rsidR="00204B5E" w:rsidRPr="007F0B66" w:rsidRDefault="00204B5E" w:rsidP="00204B5E">
      <w:pPr>
        <w:spacing w:after="160" w:line="259" w:lineRule="auto"/>
        <w:jc w:val="both"/>
        <w:rPr>
          <w:rFonts w:ascii="Arial" w:eastAsia="Calibri" w:hAnsi="Arial" w:cs="Arial"/>
          <w:kern w:val="2"/>
          <w:lang w:val="en-IN"/>
        </w:rPr>
      </w:pPr>
      <w:r w:rsidRPr="007F0B66">
        <w:rPr>
          <w:rFonts w:ascii="Arial" w:eastAsia="Calibri" w:hAnsi="Arial" w:cs="Arial"/>
          <w:kern w:val="2"/>
          <w:lang w:val="en-IN"/>
        </w:rPr>
        <w:t>The methanolic extract exhibited thrombolytic activity, with 42.09% clot lysis, slightly lower than streptokinase (68%), attributed to saponins and alkaloids. Saponins interact with cellular membranes, promoting fibrin breakdown, while alkaloids may enhance plasminogen activation, facilitating clot dissolution</w:t>
      </w:r>
      <w:r w:rsidR="00785820">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&lt;EndNote&gt;&lt;Cite&gt;&lt;Author&gt;Tabassum&lt;/Author&gt;&lt;Year&gt;2017&lt;/Year&gt;&lt;RecNum&gt;224&lt;/RecNum&gt;&lt;DisplayText&gt;(Tabassum et al., 2017)&lt;/DisplayText&gt;&lt;record&gt;&lt;rec-number&gt;224&lt;/rec-number&gt;&lt;foreign-keys&gt;&lt;key app="EN" db-id="sdvx20t5qr0sf5e999ax5208e0ssvp992v05" timestamp="1745913699"&gt;224&lt;/key&gt;&lt;/foreign-keys&gt;&lt;ref-type name="Journal Article"&gt;17&lt;/ref-type&gt;&lt;contributors&gt;&lt;authors&gt;&lt;author&gt;Tabassum, Fatema&lt;/author&gt;&lt;author&gt;Chadni, Somaia Haque&lt;/author&gt;&lt;author&gt;Mou, Kamrun Nahar&lt;/author&gt;&lt;author&gt;Hasif, KM Imrul&lt;/author&gt;&lt;author&gt;Ahmed, Tareque&lt;/author&gt;&lt;author&gt;Akter, Mahbuba&lt;/author&gt;&lt;/authors&gt;&lt;/contributors&gt;&lt;titles&gt;&lt;title&gt;In-vitro thrombolytic activity and phytochemical evaluation of leaf extracts of four medicinal plants of Asteraceae family&lt;/title&gt;&lt;secondary-title&gt;Journal of Pharmacognosy and Phytochemistry&lt;/secondary-title&gt;&lt;/titles&gt;&lt;periodical&gt;&lt;full-title&gt;Journal of pharmacognosy and phytochemistry&lt;/full-title&gt;&lt;/periodical&gt;&lt;pages&gt;1166-1169&lt;/pages&gt;&lt;volume&gt;6&lt;/volume&gt;&lt;number&gt;4&lt;/number&gt;&lt;dates&gt;&lt;year&gt;2017&lt;/year&gt;&lt;/dates&gt;&lt;urls&gt;&lt;/urls&gt;&lt;/record&gt;&lt;/Cite&gt;&lt;/EndNote&gt;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(Tabassum et al., 2017)</w:t>
      </w:r>
      <w:r w:rsidR="00E95DC8">
        <w:rPr>
          <w:rFonts w:ascii="Arial" w:eastAsia="Calibri" w:hAnsi="Arial" w:cs="Arial"/>
          <w:kern w:val="2"/>
          <w:lang w:val="en-IN"/>
        </w:rPr>
        <w:fldChar w:fldCharType="end"/>
      </w:r>
      <w:r w:rsidRPr="007F0B66">
        <w:rPr>
          <w:rFonts w:ascii="Arial" w:eastAsia="Calibri" w:hAnsi="Arial" w:cs="Arial"/>
          <w:kern w:val="2"/>
          <w:lang w:val="en-IN"/>
        </w:rPr>
        <w:t xml:space="preserve">. This thrombolytic activity, in conjunction with the antioxidant effects observed (74.75% DPPH scavenging and an IC50 value of 91.15 µg/ml), underscores the potential of </w:t>
      </w:r>
      <w:r w:rsidRPr="007F0B66">
        <w:rPr>
          <w:rFonts w:ascii="Arial" w:eastAsia="Calibri" w:hAnsi="Arial" w:cs="Arial"/>
          <w:i/>
          <w:iCs/>
          <w:kern w:val="2"/>
          <w:lang w:val="en-IN"/>
        </w:rPr>
        <w:t>Maesa indica</w:t>
      </w:r>
      <w:r w:rsidRPr="007F0B66">
        <w:rPr>
          <w:rFonts w:ascii="Arial" w:eastAsia="Calibri" w:hAnsi="Arial" w:cs="Arial"/>
          <w:kern w:val="2"/>
          <w:lang w:val="en-IN"/>
        </w:rPr>
        <w:t xml:space="preserve"> in maintaining vascular health by preventing oxidative stress-induced damage and enhancing clot dissolution</w:t>
      </w:r>
      <w:r w:rsidR="00E95DC8">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&lt;EndNote&gt;&lt;Cite&gt;&lt;Author&gt;Maria&lt;/Author&gt;&lt;Year&gt;2025&lt;/Year&gt;&lt;RecNum&gt;129&lt;/RecNum&gt;&lt;DisplayText&gt;(Maria, Jannat, Nisat, Jahan, &amp;amp; Dash, 2025)&lt;/DisplayText&gt;&lt;record&gt;&lt;rec-number&gt;129&lt;/rec-number&gt;&lt;foreign-keys&gt;&lt;key app="EN" db-id="sdvx20t5qr0sf5e999ax5208e0ssvp992v05" timestamp="1742581814"&gt;129&lt;/key&gt;&lt;/foreign-keys&gt;&lt;ref-type name="Journal Article"&gt;17&lt;/ref-type&gt;&lt;contributors&gt;&lt;authors&gt;&lt;author&gt;Maria, NN&lt;/author&gt;&lt;author&gt;Jannat, N&lt;/author&gt;&lt;author&gt;Nisat, UT&lt;/author&gt;&lt;author&gt;Jahan, N&lt;/author&gt;&lt;author&gt;Dash, PR&lt;/author&gt;&lt;/authors&gt;&lt;/contributors&gt;&lt;titles&gt;&lt;title&gt;Assessment of Analgesic, Antioxidant, and Antiinflammatory potential of Citrus maxima (Burm.) Merr&lt;/title&gt;&lt;secondary-title&gt;Seed solvent fractions on Swiss albino Animal Model. Trop J Nat Prod Res&lt;/secondary-title&gt;&lt;/titles&gt;&lt;periodical&gt;&lt;full-title&gt;Seed solvent fractions on Swiss albino Animal Model. Trop J Nat Prod Res&lt;/full-title&gt;&lt;/periodical&gt;&lt;pages&gt;561-567&lt;/pages&gt;&lt;volume&gt;9&lt;/volume&gt;&lt;number&gt;2&lt;/number&gt;&lt;dates&gt;&lt;year&gt;2025&lt;/year&gt;&lt;/dates&gt;&lt;urls&gt;&lt;/urls&gt;&lt;/record&gt;&lt;/Cite&gt;&lt;/EndNote&gt;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(Maria, Jannat, Nisat, Jahan, &amp; Dash, 2025)</w:t>
      </w:r>
      <w:r w:rsidR="00E95DC8">
        <w:rPr>
          <w:rFonts w:ascii="Arial" w:eastAsia="Calibri" w:hAnsi="Arial" w:cs="Arial"/>
          <w:kern w:val="2"/>
          <w:lang w:val="en-IN"/>
        </w:rPr>
        <w:fldChar w:fldCharType="end"/>
      </w:r>
      <w:r w:rsidRPr="007F0B66">
        <w:rPr>
          <w:rFonts w:ascii="Arial" w:eastAsia="Calibri" w:hAnsi="Arial" w:cs="Arial"/>
          <w:kern w:val="2"/>
          <w:lang w:val="en-IN"/>
        </w:rPr>
        <w:t>. The antipyretic activity, demonstrated by a dose-dependent reduction in yeast-induced hyperthermia, points to the inhibition of prostaglandin synthesis, a mechanism shared by antipyretic drugs like paracetamol</w:t>
      </w:r>
      <w:r w:rsidR="00E95DC8">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&lt;EndNote&gt;&lt;Cite&gt;&lt;Author&gt;Ullah&lt;/Author&gt;&lt;Year&gt;2014&lt;/Year&gt;&lt;RecNum&gt;96&lt;/RecNum&gt;&lt;DisplayText&gt;(Ullah et al., 2014)&lt;/DisplayText&gt;&lt;record&gt;&lt;rec-number&gt;96&lt;/rec-number&gt;&lt;foreign-keys&gt;&lt;key app="EN" db-id="sdvx20t5qr0sf5e999ax5208e0ssvp992v05" timestamp="1733557936"&gt;96&lt;/key&gt;&lt;/foreign-keys&gt;&lt;ref-type name="Journal Article"&gt;17&lt;/ref-type&gt;&lt;contributors&gt;&lt;authors&gt;&lt;author&gt;Ullah, HM Arif&lt;/author&gt;&lt;author&gt;Zaman, Sayera&lt;/author&gt;&lt;author&gt;Juhara, Fatematuj&lt;/author&gt;&lt;author&gt;Akter, Lucky&lt;/author&gt;&lt;author&gt;Tareq, Syed Mohammed&lt;/author&gt;&lt;author&gt;Masum, Emranul Haque&lt;/author&gt;&lt;author&gt;Bhattacharjee, Rajib&lt;/author&gt;&lt;/authors&gt;&lt;/contributors&gt;&lt;titles&gt;&lt;title&gt;Evaluation of antinociceptive, in-vivo &amp;amp; in-vitro anti-inflammatory activity of ethanolic extract of Curcuma zedoaria rhizome&lt;/title&gt;&lt;secondary-title&gt;BMC complementary and alternative medicine&lt;/secondary-title&gt;&lt;/titles&gt;&lt;periodical&gt;&lt;full-title&gt;BMC complementary and alternative medicine&lt;/full-title&gt;&lt;/periodical&gt;&lt;pages&gt;1-12&lt;/pages&gt;&lt;volume&gt;14&lt;/volume&gt;&lt;dates&gt;&lt;year&gt;2014&lt;/year&gt;&lt;/dates&gt;&lt;urls&gt;&lt;/urls&gt;&lt;/record&gt;&lt;/Cite&gt;&lt;/EndNote&gt;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(Ullah et al., 2014)</w:t>
      </w:r>
      <w:r w:rsidR="00E95DC8">
        <w:rPr>
          <w:rFonts w:ascii="Arial" w:eastAsia="Calibri" w:hAnsi="Arial" w:cs="Arial"/>
          <w:kern w:val="2"/>
          <w:lang w:val="en-IN"/>
        </w:rPr>
        <w:fldChar w:fldCharType="end"/>
      </w:r>
      <w:r w:rsidRPr="007F0B66">
        <w:rPr>
          <w:rFonts w:ascii="Arial" w:eastAsia="Calibri" w:hAnsi="Arial" w:cs="Arial"/>
          <w:kern w:val="2"/>
          <w:lang w:val="en-IN"/>
        </w:rPr>
        <w:t>. Flavonoids and tannins, which inhibit cyclooxygenase (COX) enzymes, likely contribute to this effect. The analgesic activity, shown by significant inhibition of acetic acid-induced writhing (53.4% at 400 mg/kg), is similarly attributed to alkaloids and flavonoids. These compounds modulate pain and inflammation through inhibition of eicosanoid synthesis, which is also involved in fever regulation</w:t>
      </w:r>
      <w:r w:rsidR="00E95DC8">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&lt;EndNote&gt;&lt;Cite&gt;&lt;Author&gt;Ezeja&lt;/Author&gt;&lt;Year&gt;2011&lt;/Year&gt;&lt;RecNum&gt;122&lt;/RecNum&gt;&lt;DisplayText&gt;(Ezeja, Omeh, Ezeigbo, &amp;amp; Ekechukwu, 2011)&lt;/DisplayText&gt;&lt;record&gt;&lt;rec-number&gt;122&lt;/rec-number&gt;&lt;foreign-keys&gt;&lt;key app="EN" db-id="sdvx20t5qr0sf5e999ax5208e0ssvp992v05" timestamp="1742580905"&gt;122&lt;/key&gt;&lt;/foreign-keys&gt;&lt;ref-type name="Journal Article"&gt;17&lt;/ref-type&gt;&lt;contributors&gt;&lt;authors&gt;&lt;author&gt;Ezeja, MI&lt;/author&gt;&lt;author&gt;Omeh, YS&lt;/author&gt;&lt;author&gt;Ezeigbo, II&lt;/author&gt;&lt;author&gt;Ekechukwu, A&lt;/author&gt;&lt;/authors&gt;&lt;/contributors&gt;&lt;titles&gt;&lt;title&gt;Evaluation of the analgesic activity of the methanolic stem bark extract of Dialium guineense (Wild)&lt;/title&gt;&lt;secondary-title&gt;Annals of medical and health sciences research&lt;/secondary-title&gt;&lt;/titles&gt;&lt;periodical&gt;&lt;full-title&gt;Annals of medical and health sciences research&lt;/full-title&gt;&lt;/periodical&gt;&lt;pages&gt;55-62&lt;/pages&gt;&lt;volume&gt;1&lt;/volume&gt;&lt;number&gt;1&lt;/number&gt;&lt;dates&gt;&lt;year&gt;2011&lt;/year&gt;&lt;/dates&gt;&lt;isbn&gt;2141-9248&lt;/isbn&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(Ezeja, Omeh, Ezeigbo, &amp; Ekechukwu, 2011)</w:t>
      </w:r>
      <w:r w:rsidR="00E95DC8">
        <w:rPr>
          <w:rFonts w:ascii="Arial" w:eastAsia="Calibri" w:hAnsi="Arial" w:cs="Arial"/>
          <w:kern w:val="2"/>
          <w:lang w:val="en-IN"/>
        </w:rPr>
        <w:fldChar w:fldCharType="end"/>
      </w:r>
      <w:r w:rsidRPr="007F0B66">
        <w:rPr>
          <w:rFonts w:ascii="Arial" w:eastAsia="Calibri" w:hAnsi="Arial" w:cs="Arial"/>
          <w:kern w:val="2"/>
          <w:lang w:val="en-IN"/>
        </w:rPr>
        <w:t xml:space="preserve">. Thus, both the antipyretic and analgesic activities of </w:t>
      </w:r>
      <w:r w:rsidRPr="007F0B66">
        <w:rPr>
          <w:rFonts w:ascii="Arial" w:eastAsia="Calibri" w:hAnsi="Arial" w:cs="Arial"/>
          <w:i/>
          <w:iCs/>
          <w:kern w:val="2"/>
          <w:lang w:val="en-IN"/>
        </w:rPr>
        <w:t>Maesa indica</w:t>
      </w:r>
      <w:r w:rsidRPr="007F0B66">
        <w:rPr>
          <w:rFonts w:ascii="Arial" w:eastAsia="Calibri" w:hAnsi="Arial" w:cs="Arial"/>
          <w:kern w:val="2"/>
          <w:lang w:val="en-IN"/>
        </w:rPr>
        <w:t xml:space="preserve"> appear to result from the same biochemical pathways, highlighting the plant’s potential in managing pain and fever</w:t>
      </w:r>
      <w:r w:rsidR="00E95DC8">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&lt;EndNote&gt;&lt;Cite&gt;&lt;Author&gt;Javed&lt;/Author&gt;&lt;Year&gt;2020&lt;/Year&gt;&lt;RecNum&gt;219&lt;/RecNum&gt;&lt;DisplayText&gt;(Javed et al., 2020)&lt;/DisplayText&gt;&lt;record&gt;&lt;rec-number&gt;219&lt;/rec-number&gt;&lt;foreign-keys&gt;&lt;key app="EN" db-id="sdvx20t5qr0sf5e999ax5208e0ssvp992v05" timestamp="1745910414"&gt;219&lt;/key&gt;&lt;/foreign-keys&gt;&lt;ref-type name="Journal Article"&gt;17&lt;/ref-type&gt;&lt;contributors&gt;&lt;authors&gt;&lt;author&gt;Javed, Faraza&lt;/author&gt;&lt;author&gt;Jabeen, Qaiser&lt;/author&gt;&lt;author&gt;Aslam, Naveed&lt;/author&gt;&lt;author&gt;Awan, Ambreen Mehmood&lt;/author&gt;&lt;/authors&gt;&lt;/contributors&gt;&lt;titles&gt;&lt;title&gt;Pharmacological evaluation of analgesic, anti-inflammatory and antipyretic activities of ethanolic extract of Indigofera argentea Burm. f&lt;/title&gt;&lt;secondary-title&gt;Journal of ethnopharmacology&lt;/secondary-title&gt;&lt;/titles&gt;&lt;periodical&gt;&lt;full-title&gt;Journal of ethnopharmacology&lt;/full-title&gt;&lt;/periodical&gt;&lt;pages&gt;112966&lt;/pages&gt;&lt;volume&gt;259&lt;/volume&gt;&lt;dates&gt;&lt;year&gt;2020&lt;/year&gt;&lt;/dates&gt;&lt;isbn&gt;0378-8741&lt;/isbn&gt;&lt;urls&gt;&lt;/urls&gt;&lt;/record&gt;&lt;/Cite&gt;&lt;/EndNote&gt;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(Javed et al., 2020)</w:t>
      </w:r>
      <w:r w:rsidR="00E95DC8">
        <w:rPr>
          <w:rFonts w:ascii="Arial" w:eastAsia="Calibri" w:hAnsi="Arial" w:cs="Arial"/>
          <w:kern w:val="2"/>
          <w:lang w:val="en-IN"/>
        </w:rPr>
        <w:fldChar w:fldCharType="end"/>
      </w:r>
      <w:r w:rsidRPr="007F0B66">
        <w:rPr>
          <w:rFonts w:ascii="Arial" w:eastAsia="Calibri" w:hAnsi="Arial" w:cs="Arial"/>
          <w:kern w:val="2"/>
          <w:lang w:val="en-IN"/>
        </w:rPr>
        <w:t>. Furthermore, the anxiolytic effects observed in the Elevated Plus-Maze (EPM) and Hole Board tests suggest that flavonoids and alkaloids also interact with the central nervous system to modulate anxiety</w:t>
      </w:r>
      <w:r w:rsidR="00E95DC8">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&lt;EndNote&gt;&lt;Cite&gt;&lt;Author&gt;Shajib&lt;/Author&gt;&lt;Year&gt;2015&lt;/Year&gt;&lt;RecNum&gt;95&lt;/RecNum&gt;&lt;DisplayText&gt;(Shajib, Akter, Ahmed, &amp;amp; Imam, 2015)&lt;/DisplayText&gt;&lt;record&gt;&lt;rec-number&gt;95&lt;/rec-number&gt;&lt;foreign-keys&gt;&lt;key app="EN" db-id="sdvx20t5qr0sf5e999ax5208e0ssvp992v05" timestamp="1733557842"&gt;95&lt;/key&gt;&lt;/foreign-keys&gt;&lt;ref-type name="Journal Article"&gt;17&lt;/ref-type&gt;&lt;contributors&gt;&lt;authors&gt;&lt;author&gt;Shajib, Md Shafiullah&lt;/author&gt;&lt;author&gt;Akter, Saleha&lt;/author&gt;&lt;author&gt;Ahmed, Tajnin&lt;/author&gt;&lt;author&gt;Imam, Mohammad Zafar&lt;/author&gt;&lt;/authors&gt;&lt;/contributors&gt;&lt;titles&gt;&lt;title&gt;Antinociceptive and neuropharmacological activities of methanol extract of Phoenix sylvestris fruit pulp&lt;/title&gt;&lt;secondary-title&gt;Frontiers in Pharmacology&lt;/secondary-title&gt;&lt;/titles&gt;&lt;periodical&gt;&lt;full-title&gt;Frontiers in Pharmacology&lt;/full-title&gt;&lt;/periodical&gt;&lt;pages&gt;212&lt;/pages&gt;&lt;volume&gt;6&lt;/volume&gt;&lt;dates&gt;&lt;year&gt;2015&lt;/year&gt;&lt;/dates&gt;&lt;isbn&gt;1663-9812&lt;/isbn&gt;&lt;urls&gt;&lt;/urls&gt;&lt;/record&gt;&lt;/Cite&gt;&lt;/EndNote&gt;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(Shajib, Akter, Ahmed, &amp; Imam, 2015)</w:t>
      </w:r>
      <w:r w:rsidR="00E95DC8">
        <w:rPr>
          <w:rFonts w:ascii="Arial" w:eastAsia="Calibri" w:hAnsi="Arial" w:cs="Arial"/>
          <w:kern w:val="2"/>
          <w:lang w:val="en-IN"/>
        </w:rPr>
        <w:fldChar w:fldCharType="end"/>
      </w:r>
      <w:r w:rsidRPr="007F0B66">
        <w:rPr>
          <w:rFonts w:ascii="Arial" w:eastAsia="Calibri" w:hAnsi="Arial" w:cs="Arial"/>
          <w:kern w:val="2"/>
          <w:lang w:val="en-IN"/>
        </w:rPr>
        <w:t xml:space="preserve">. The presence of tannins further contributes to the </w:t>
      </w:r>
      <w:r w:rsidRPr="007F0B66">
        <w:rPr>
          <w:rFonts w:ascii="Arial" w:eastAsia="Calibri" w:hAnsi="Arial" w:cs="Arial"/>
          <w:kern w:val="2"/>
          <w:lang w:val="en-IN"/>
        </w:rPr>
        <w:lastRenderedPageBreak/>
        <w:t>observed anthelmintic activity, which may involve binding to proteins or glycoproteins in both the host and parasite</w:t>
      </w:r>
      <w:r w:rsidR="00E95DC8">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&lt;EndNote&gt;&lt;Cite&gt;&lt;Author&gt;De&lt;/Author&gt;&lt;Year&gt;2016&lt;/Year&gt;&lt;RecNum&gt;191&lt;/RecNum&gt;&lt;DisplayText&gt;(De, Das, &amp;amp; Mandal, 2016)&lt;/DisplayText&gt;&lt;record&gt;&lt;rec-number&gt;191&lt;/rec-number&gt;&lt;foreign-keys&gt;&lt;key app="EN" db-id="sdvx20t5qr0sf5e999ax5208e0ssvp992v05" timestamp="1745689555"&gt;191&lt;/key&gt;&lt;/foreign-keys&gt;&lt;ref-type name="Journal Article"&gt;17&lt;/ref-type&gt;&lt;contributors&gt;&lt;authors&gt;&lt;author&gt;De, Somnath&lt;/author&gt;&lt;author&gt;Das, Dulal Chandra&lt;/author&gt;&lt;author&gt;Mandal, Tanusri&lt;/author&gt;&lt;/authors&gt;&lt;/contributors&gt;&lt;titles&gt;&lt;title&gt;In-vitro anthelmintic activity of Cardanthera difformis Druce whole plant methanolic extract in Indian adult earthworm&lt;/title&gt;&lt;secondary-title&gt;Journal of Pharmacognosy and Phytochemistry&lt;/secondary-title&gt;&lt;/titles&gt;&lt;periodical&gt;&lt;full-title&gt;Journal of pharmacognosy and phytochemistry&lt;/full-title&gt;&lt;/periodical&gt;&lt;pages&gt;203&lt;/pages&gt;&lt;volume&gt;5&lt;/volume&gt;&lt;number&gt;1&lt;/number&gt;&lt;dates&gt;&lt;year&gt;2016&lt;/year&gt;&lt;/dates&gt;&lt;isbn&gt;2278-4136&lt;/isbn&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(De, Das, &amp; Mandal, 2016)</w:t>
      </w:r>
      <w:r w:rsidR="00E95DC8">
        <w:rPr>
          <w:rFonts w:ascii="Arial" w:eastAsia="Calibri" w:hAnsi="Arial" w:cs="Arial"/>
          <w:kern w:val="2"/>
          <w:lang w:val="en-IN"/>
        </w:rPr>
        <w:fldChar w:fldCharType="end"/>
      </w:r>
      <w:r w:rsidRPr="007F0B66">
        <w:rPr>
          <w:rFonts w:ascii="Arial" w:eastAsia="Calibri" w:hAnsi="Arial" w:cs="Arial"/>
          <w:kern w:val="2"/>
          <w:lang w:val="en-IN"/>
        </w:rPr>
        <w:t>.</w:t>
      </w:r>
    </w:p>
    <w:p w14:paraId="18BE765E" w14:textId="53AFF04A" w:rsidR="00FD0FEF" w:rsidRDefault="00FD0FEF" w:rsidP="00204B5E">
      <w:pPr>
        <w:pStyle w:val="ConcHead"/>
        <w:spacing w:after="0"/>
        <w:jc w:val="both"/>
        <w:rPr>
          <w:rFonts w:ascii="Arial" w:eastAsia="Calibri" w:hAnsi="Arial" w:cs="Arial"/>
          <w:bCs/>
          <w:caps w:val="0"/>
          <w:kern w:val="2"/>
          <w:szCs w:val="22"/>
          <w:lang w:val="en-IN"/>
        </w:rPr>
      </w:pPr>
      <w:r w:rsidRPr="00FD0FEF">
        <w:rPr>
          <w:rFonts w:ascii="Arial" w:eastAsia="Calibri" w:hAnsi="Arial" w:cs="Arial"/>
          <w:bCs/>
          <w:caps w:val="0"/>
          <w:kern w:val="2"/>
          <w:szCs w:val="22"/>
        </w:rPr>
        <w:t>CONCLUSION</w:t>
      </w:r>
      <w:r w:rsidRPr="00FD0FEF">
        <w:rPr>
          <w:rFonts w:ascii="Arial" w:eastAsia="Calibri" w:hAnsi="Arial" w:cs="Arial"/>
          <w:bCs/>
          <w:caps w:val="0"/>
          <w:kern w:val="2"/>
          <w:szCs w:val="22"/>
          <w:lang w:val="en-IN"/>
        </w:rPr>
        <w:t xml:space="preserve"> </w:t>
      </w:r>
    </w:p>
    <w:p w14:paraId="7A848149" w14:textId="77777777" w:rsidR="0097388D" w:rsidRPr="00FD0FEF" w:rsidRDefault="0097388D" w:rsidP="00204B5E">
      <w:pPr>
        <w:pStyle w:val="ConcHead"/>
        <w:spacing w:after="0"/>
        <w:jc w:val="both"/>
        <w:rPr>
          <w:rFonts w:ascii="Arial" w:eastAsia="Calibri" w:hAnsi="Arial" w:cs="Arial"/>
          <w:bCs/>
          <w:caps w:val="0"/>
          <w:kern w:val="2"/>
          <w:szCs w:val="22"/>
          <w:lang w:val="en-IN"/>
        </w:rPr>
      </w:pPr>
    </w:p>
    <w:p w14:paraId="1A8B6BCA" w14:textId="63289C38" w:rsidR="00204B5E" w:rsidRPr="007F0B66" w:rsidRDefault="00FD0FEF" w:rsidP="00204B5E">
      <w:pPr>
        <w:pStyle w:val="ConcHead"/>
        <w:spacing w:after="0"/>
        <w:jc w:val="both"/>
        <w:rPr>
          <w:rFonts w:ascii="Arial" w:hAnsi="Arial" w:cs="Arial"/>
          <w:b w:val="0"/>
          <w:bCs/>
          <w:sz w:val="20"/>
        </w:rPr>
      </w:pPr>
      <w:r>
        <w:rPr>
          <w:rFonts w:ascii="Arial" w:eastAsia="Calibri" w:hAnsi="Arial" w:cs="Arial"/>
          <w:b w:val="0"/>
          <w:caps w:val="0"/>
          <w:kern w:val="2"/>
          <w:sz w:val="20"/>
          <w:lang w:val="en-IN"/>
        </w:rPr>
        <w:t>T</w:t>
      </w:r>
      <w:r w:rsidR="00204B5E" w:rsidRPr="007F0B66">
        <w:rPr>
          <w:rFonts w:ascii="Arial" w:eastAsia="Calibri" w:hAnsi="Arial" w:cs="Arial"/>
          <w:b w:val="0"/>
          <w:caps w:val="0"/>
          <w:kern w:val="2"/>
          <w:sz w:val="20"/>
          <w:lang w:val="en-IN"/>
        </w:rPr>
        <w:t xml:space="preserve">he diverse pharmacological activities of </w:t>
      </w:r>
      <w:r w:rsidR="00204B5E" w:rsidRPr="007F0B66">
        <w:rPr>
          <w:rFonts w:ascii="Arial" w:eastAsia="Calibri" w:hAnsi="Arial" w:cs="Arial"/>
          <w:b w:val="0"/>
          <w:i/>
          <w:iCs/>
          <w:caps w:val="0"/>
          <w:kern w:val="2"/>
          <w:sz w:val="20"/>
          <w:lang w:val="en-IN"/>
        </w:rPr>
        <w:t>Maesa indica</w:t>
      </w:r>
      <w:r w:rsidR="00204B5E" w:rsidRPr="007F0B66">
        <w:rPr>
          <w:rFonts w:ascii="Arial" w:eastAsia="Calibri" w:hAnsi="Arial" w:cs="Arial"/>
          <w:b w:val="0"/>
          <w:caps w:val="0"/>
          <w:kern w:val="2"/>
          <w:sz w:val="20"/>
          <w:lang w:val="en-IN"/>
        </w:rPr>
        <w:t xml:space="preserve"> can be attributed to its rich bioactive compound profile, particularly alkaloids, tannins, and flavonoids. These compounds synergistically contribute to thrombolytic, antioxidant, antipyretic, analgesic, anxiolytic, and anthelmintic effects, offering a promising natural therapeutic agent for a range of conditions. Future studies on the isolation of specific bioactive compounds and mechanistic investigations are necessary to fully realize its medicinal potential.</w:t>
      </w:r>
    </w:p>
    <w:p w14:paraId="71B2E9B0" w14:textId="77777777" w:rsidR="00204B5E" w:rsidRPr="007F0B66" w:rsidRDefault="00204B5E" w:rsidP="00204B5E">
      <w:pPr>
        <w:pStyle w:val="Body"/>
        <w:spacing w:after="0"/>
        <w:rPr>
          <w:rFonts w:ascii="Arial" w:hAnsi="Arial" w:cs="Arial"/>
        </w:rPr>
      </w:pPr>
    </w:p>
    <w:p w14:paraId="4E653A6C" w14:textId="77777777" w:rsidR="00204B5E" w:rsidRPr="007F0B66" w:rsidRDefault="00204B5E" w:rsidP="00204B5E">
      <w:pPr>
        <w:pStyle w:val="ReferHead"/>
        <w:spacing w:after="0"/>
        <w:jc w:val="both"/>
        <w:rPr>
          <w:rFonts w:ascii="Arial" w:hAnsi="Arial" w:cs="Arial"/>
          <w:bCs/>
        </w:rPr>
      </w:pPr>
      <w:r w:rsidRPr="007F0B66">
        <w:rPr>
          <w:rFonts w:ascii="Arial" w:hAnsi="Arial" w:cs="Arial"/>
          <w:bCs/>
        </w:rPr>
        <w:t xml:space="preserve">Ethical approval </w:t>
      </w:r>
    </w:p>
    <w:p w14:paraId="1C7F2484" w14:textId="77777777" w:rsidR="00204B5E" w:rsidRPr="007F0B66" w:rsidRDefault="00204B5E" w:rsidP="00204B5E">
      <w:pPr>
        <w:pStyle w:val="ReferHead"/>
        <w:spacing w:after="0"/>
        <w:jc w:val="both"/>
        <w:rPr>
          <w:rFonts w:ascii="Arial" w:hAnsi="Arial" w:cs="Arial"/>
          <w:bCs/>
        </w:rPr>
      </w:pPr>
    </w:p>
    <w:p w14:paraId="54A8A947" w14:textId="77777777" w:rsidR="00204B5E" w:rsidRPr="007F0B66" w:rsidRDefault="00204B5E" w:rsidP="00204B5E">
      <w:pPr>
        <w:pStyle w:val="ReferHead"/>
        <w:spacing w:after="0"/>
        <w:jc w:val="both"/>
        <w:rPr>
          <w:rFonts w:ascii="Arial" w:hAnsi="Arial" w:cs="Arial"/>
          <w:b w:val="0"/>
          <w:caps w:val="0"/>
          <w:sz w:val="20"/>
        </w:rPr>
      </w:pPr>
      <w:r w:rsidRPr="007F0B66">
        <w:rPr>
          <w:rFonts w:ascii="Arial" w:hAnsi="Arial" w:cs="Arial"/>
          <w:b w:val="0"/>
          <w:caps w:val="0"/>
          <w:sz w:val="20"/>
        </w:rPr>
        <w:t xml:space="preserve">The human-related experiment was conducted following the ethical morals laid down in the 1964 Declaration of Helsinki. All authors officially affirm that the "Principle of Laboratory Animal Care" (NIH publication No. 85-23, revised 1985) and any applicable local or national legislation were adhered to. All experiments have been examined and approved by the appropriate ethics committee. </w:t>
      </w:r>
    </w:p>
    <w:p w14:paraId="6572F403" w14:textId="77777777" w:rsidR="00204B5E" w:rsidRPr="007F0B66" w:rsidRDefault="00204B5E" w:rsidP="00204B5E">
      <w:pPr>
        <w:pStyle w:val="ReferHead"/>
        <w:spacing w:after="0"/>
        <w:jc w:val="both"/>
        <w:rPr>
          <w:rFonts w:ascii="Arial" w:hAnsi="Arial" w:cs="Arial"/>
        </w:rPr>
      </w:pPr>
    </w:p>
    <w:p w14:paraId="06081486" w14:textId="77777777" w:rsidR="00204B5E" w:rsidRPr="007F0B66" w:rsidRDefault="00204B5E" w:rsidP="00204B5E">
      <w:pPr>
        <w:pStyle w:val="ReferHead"/>
        <w:spacing w:after="0"/>
        <w:jc w:val="both"/>
        <w:rPr>
          <w:rFonts w:ascii="Arial" w:hAnsi="Arial" w:cs="Arial"/>
        </w:rPr>
      </w:pPr>
      <w:r w:rsidRPr="007F0B66">
        <w:rPr>
          <w:rFonts w:ascii="Arial" w:hAnsi="Arial" w:cs="Arial"/>
        </w:rPr>
        <w:t>References</w:t>
      </w:r>
    </w:p>
    <w:p w14:paraId="684EC793" w14:textId="1C70622B" w:rsidR="004D4277" w:rsidRPr="00FB3A86" w:rsidRDefault="004D4277" w:rsidP="00441B6F">
      <w:pPr>
        <w:pStyle w:val="Appendix"/>
        <w:spacing w:after="0"/>
        <w:jc w:val="both"/>
        <w:rPr>
          <w:rFonts w:ascii="Arial" w:hAnsi="Arial" w:cs="Arial"/>
          <w:b w:val="0"/>
        </w:rPr>
        <w:sectPr w:rsidR="004D4277" w:rsidRPr="00FB3A86" w:rsidSect="00A7530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67238F67" w14:textId="77777777" w:rsidR="00FD3B51" w:rsidRDefault="00FD3B51" w:rsidP="00441B6F">
      <w:pPr>
        <w:pStyle w:val="Appendix"/>
        <w:spacing w:after="0"/>
        <w:jc w:val="both"/>
        <w:rPr>
          <w:rFonts w:ascii="Arial" w:hAnsi="Arial" w:cs="Arial"/>
          <w:b w:val="0"/>
        </w:rPr>
      </w:pPr>
    </w:p>
    <w:p w14:paraId="2310E44F" w14:textId="77777777" w:rsidR="004E3F6A" w:rsidRPr="00321FF2" w:rsidRDefault="00FD3B51" w:rsidP="004E3F6A">
      <w:pPr>
        <w:pStyle w:val="EndNoteBibliography"/>
        <w:ind w:left="720" w:hanging="720"/>
        <w:rPr>
          <w:rFonts w:ascii="Arial" w:hAnsi="Arial" w:cs="Arial"/>
          <w:sz w:val="20"/>
        </w:rPr>
      </w:pPr>
      <w:r w:rsidRPr="00321FF2">
        <w:rPr>
          <w:rFonts w:ascii="Arial" w:hAnsi="Arial" w:cs="Arial"/>
          <w:sz w:val="20"/>
        </w:rPr>
        <w:fldChar w:fldCharType="begin"/>
      </w:r>
      <w:r w:rsidRPr="00321FF2">
        <w:rPr>
          <w:rFonts w:ascii="Arial" w:hAnsi="Arial" w:cs="Arial"/>
          <w:sz w:val="20"/>
        </w:rPr>
        <w:instrText xml:space="preserve"> ADDIN EN.REFLIST </w:instrText>
      </w:r>
      <w:r w:rsidRPr="00321FF2">
        <w:rPr>
          <w:rFonts w:ascii="Arial" w:hAnsi="Arial" w:cs="Arial"/>
          <w:sz w:val="20"/>
        </w:rPr>
        <w:fldChar w:fldCharType="separate"/>
      </w:r>
      <w:r w:rsidR="004E3F6A" w:rsidRPr="00321FF2">
        <w:rPr>
          <w:rFonts w:ascii="Arial" w:hAnsi="Arial" w:cs="Arial"/>
          <w:sz w:val="20"/>
        </w:rPr>
        <w:t xml:space="preserve">Abdelgawad, F. A. M., El-Hawary, S. S., El-Kader, E. M. A., Alshehri, S. A., Rabeh, M. A., El-Mosallamy, A. E., . . . El Gedaily, R. A. (2024). Phytochemical Elucidation and Effect of Maesa indica (Roxb.) Sweet on Alleviation of Potassium Dichromate-Induced Pulmonary Damage in Rats. </w:t>
      </w:r>
      <w:r w:rsidR="004E3F6A" w:rsidRPr="00321FF2">
        <w:rPr>
          <w:rFonts w:ascii="Arial" w:hAnsi="Arial" w:cs="Arial"/>
          <w:i/>
          <w:sz w:val="20"/>
        </w:rPr>
        <w:t>Plants, 13</w:t>
      </w:r>
      <w:r w:rsidR="004E3F6A" w:rsidRPr="00321FF2">
        <w:rPr>
          <w:rFonts w:ascii="Arial" w:hAnsi="Arial" w:cs="Arial"/>
          <w:sz w:val="20"/>
        </w:rPr>
        <w:t xml:space="preserve">(3), 338. </w:t>
      </w:r>
    </w:p>
    <w:p w14:paraId="03A3B69C"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Adamu, M., Naidoo, V., &amp; Eloff, J. N. (2014). The antibacterial activity, antioxidant activity and selectivity index of leaf extracts of thirteen South African tree species used in ethnoveterinary medicine to treat helminth infections. </w:t>
      </w:r>
      <w:r w:rsidRPr="00321FF2">
        <w:rPr>
          <w:rFonts w:ascii="Arial" w:hAnsi="Arial" w:cs="Arial"/>
          <w:i/>
          <w:sz w:val="20"/>
        </w:rPr>
        <w:t>BMC veterinary research, 10</w:t>
      </w:r>
      <w:r w:rsidRPr="00321FF2">
        <w:rPr>
          <w:rFonts w:ascii="Arial" w:hAnsi="Arial" w:cs="Arial"/>
          <w:sz w:val="20"/>
        </w:rPr>
        <w:t xml:space="preserve">, 1-7. </w:t>
      </w:r>
    </w:p>
    <w:p w14:paraId="7D5BA253"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Alabri, T. H. A., Al Musalami, A. H. S., Hossain, M. A., Weli, A. M., &amp; Al-Riyami, Q. (2014). Comparative study of phytochemical screening, antioxidant and antimicrobial capacities of fresh and dry leaves crude plant extracts of Datura metel L. </w:t>
      </w:r>
      <w:r w:rsidRPr="00321FF2">
        <w:rPr>
          <w:rFonts w:ascii="Arial" w:hAnsi="Arial" w:cs="Arial"/>
          <w:i/>
          <w:sz w:val="20"/>
        </w:rPr>
        <w:t>Journal of King Saud University-Science, 26</w:t>
      </w:r>
      <w:r w:rsidRPr="00321FF2">
        <w:rPr>
          <w:rFonts w:ascii="Arial" w:hAnsi="Arial" w:cs="Arial"/>
          <w:sz w:val="20"/>
        </w:rPr>
        <w:t xml:space="preserve">(3), 237-243. </w:t>
      </w:r>
    </w:p>
    <w:p w14:paraId="2AF6D665"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Azmir, J., Zaidul, I. S. M., Rahman, M. M., Sharif, K., Mohamed, A., Sahena, F., . . . Omar, A. (2013). Techniques for extraction of bioactive compounds from plant materials: A review. </w:t>
      </w:r>
      <w:r w:rsidRPr="00321FF2">
        <w:rPr>
          <w:rFonts w:ascii="Arial" w:hAnsi="Arial" w:cs="Arial"/>
          <w:i/>
          <w:sz w:val="20"/>
        </w:rPr>
        <w:t>Journal of food engineering, 117</w:t>
      </w:r>
      <w:r w:rsidRPr="00321FF2">
        <w:rPr>
          <w:rFonts w:ascii="Arial" w:hAnsi="Arial" w:cs="Arial"/>
          <w:sz w:val="20"/>
        </w:rPr>
        <w:t xml:space="preserve">(4), 426-436. </w:t>
      </w:r>
    </w:p>
    <w:p w14:paraId="4A8F79FE"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Bachhav, R., Gulecha, V., &amp; Upasani, C. (2009). Analgesic and anti-inflammatory activity of Argyreia speciosa root. </w:t>
      </w:r>
      <w:r w:rsidRPr="00321FF2">
        <w:rPr>
          <w:rFonts w:ascii="Arial" w:hAnsi="Arial" w:cs="Arial"/>
          <w:i/>
          <w:sz w:val="20"/>
        </w:rPr>
        <w:t>Indian Journal of Pharmacology, 41</w:t>
      </w:r>
      <w:r w:rsidRPr="00321FF2">
        <w:rPr>
          <w:rFonts w:ascii="Arial" w:hAnsi="Arial" w:cs="Arial"/>
          <w:sz w:val="20"/>
        </w:rPr>
        <w:t xml:space="preserve">(4), 158-161. </w:t>
      </w:r>
    </w:p>
    <w:p w14:paraId="4897D518"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Barman, A., Barman, M., Das, R., &amp; Ray, S. (2023). Traditional medicinal uses, phytochemistry, bioactivities and toxicity of the genus Maesa (Primulaceae): A comprehensive review. </w:t>
      </w:r>
      <w:r w:rsidRPr="00321FF2">
        <w:rPr>
          <w:rFonts w:ascii="Arial" w:hAnsi="Arial" w:cs="Arial"/>
          <w:i/>
          <w:sz w:val="20"/>
        </w:rPr>
        <w:t>Journal of Herbal Medicine, 41</w:t>
      </w:r>
      <w:r w:rsidRPr="00321FF2">
        <w:rPr>
          <w:rFonts w:ascii="Arial" w:hAnsi="Arial" w:cs="Arial"/>
          <w:sz w:val="20"/>
        </w:rPr>
        <w:t xml:space="preserve">, 100720. </w:t>
      </w:r>
    </w:p>
    <w:p w14:paraId="66632DC3"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Bhowmick, R., Sarwar, M. S., RahmanDewan, S. M., Das, A., Das, B., NasirUddin, M. M., . . . Islam, M. S. (2014). In vivo analgesic, antipyretic, and anti-inflammatory potential in Swiss albino mice and in vitro thrombolytic activity of hydroalcoholic extract from Litsea glutinosa leaves. </w:t>
      </w:r>
      <w:r w:rsidRPr="00321FF2">
        <w:rPr>
          <w:rFonts w:ascii="Arial" w:hAnsi="Arial" w:cs="Arial"/>
          <w:i/>
          <w:sz w:val="20"/>
        </w:rPr>
        <w:t>Biological research, 47</w:t>
      </w:r>
      <w:r w:rsidRPr="00321FF2">
        <w:rPr>
          <w:rFonts w:ascii="Arial" w:hAnsi="Arial" w:cs="Arial"/>
          <w:sz w:val="20"/>
        </w:rPr>
        <w:t xml:space="preserve">, 1-8. </w:t>
      </w:r>
    </w:p>
    <w:p w14:paraId="67D97C61"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Blois, M. S. (1958). Antioxidant determinations by the use of a stable free radical. </w:t>
      </w:r>
      <w:r w:rsidRPr="00321FF2">
        <w:rPr>
          <w:rFonts w:ascii="Arial" w:hAnsi="Arial" w:cs="Arial"/>
          <w:i/>
          <w:sz w:val="20"/>
        </w:rPr>
        <w:t>Nature, 181</w:t>
      </w:r>
      <w:r w:rsidRPr="00321FF2">
        <w:rPr>
          <w:rFonts w:ascii="Arial" w:hAnsi="Arial" w:cs="Arial"/>
          <w:sz w:val="20"/>
        </w:rPr>
        <w:t xml:space="preserve">(4617), 1199-1200. </w:t>
      </w:r>
    </w:p>
    <w:p w14:paraId="6D3F0527"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Chakraborty, R., Sen, S., Chanu, N. R., Singh, A. B., Lyngkhoi, C., Kharlyngdoh, S., &amp; Kalita, P. (2021). An Ethnomedicinal Survey of Antidiabetic Plants and Preliminary Evaluation of Antioxidant, Hypoglycemic Activity Maesa indica Leaves, a Folk Antidiabetic Plant of Manipur, India. </w:t>
      </w:r>
      <w:r w:rsidRPr="00321FF2">
        <w:rPr>
          <w:rFonts w:ascii="Arial" w:hAnsi="Arial" w:cs="Arial"/>
          <w:i/>
          <w:sz w:val="20"/>
        </w:rPr>
        <w:t>Current Traditional Medicine, 7</w:t>
      </w:r>
      <w:r w:rsidRPr="00321FF2">
        <w:rPr>
          <w:rFonts w:ascii="Arial" w:hAnsi="Arial" w:cs="Arial"/>
          <w:sz w:val="20"/>
        </w:rPr>
        <w:t xml:space="preserve">(2), 286-294. </w:t>
      </w:r>
    </w:p>
    <w:p w14:paraId="7E0BE237"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lastRenderedPageBreak/>
        <w:t xml:space="preserve">De, S., Das, D. C., &amp; Mandal, T. (2016). In-vitro anthelmintic activity of Cardanthera difformis Druce whole plant methanolic extract in Indian adult earthworm. </w:t>
      </w:r>
      <w:r w:rsidRPr="00321FF2">
        <w:rPr>
          <w:rFonts w:ascii="Arial" w:hAnsi="Arial" w:cs="Arial"/>
          <w:i/>
          <w:sz w:val="20"/>
        </w:rPr>
        <w:t>Journal of pharmacognosy and phytochemistry, 5</w:t>
      </w:r>
      <w:r w:rsidRPr="00321FF2">
        <w:rPr>
          <w:rFonts w:ascii="Arial" w:hAnsi="Arial" w:cs="Arial"/>
          <w:sz w:val="20"/>
        </w:rPr>
        <w:t xml:space="preserve">(1), 203. </w:t>
      </w:r>
    </w:p>
    <w:p w14:paraId="0B71A96F"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Dhargawe, N., Mahakalkar, S., Mohod, B., &amp; Raj, J. P. (2021). Evaluation of Analgesic, Anti</w:t>
      </w:r>
      <w:r w:rsidRPr="00321FF2">
        <w:rPr>
          <w:rFonts w:ascii="Cambria Math" w:hAnsi="Cambria Math" w:cs="Cambria Math"/>
          <w:sz w:val="20"/>
        </w:rPr>
        <w:t>‑</w:t>
      </w:r>
      <w:r w:rsidRPr="00321FF2">
        <w:rPr>
          <w:rFonts w:ascii="Arial" w:hAnsi="Arial" w:cs="Arial"/>
          <w:sz w:val="20"/>
        </w:rPr>
        <w:t xml:space="preserve">Inflammatory, and Antipyretic Activity of Piperine: An Experimental Study. </w:t>
      </w:r>
      <w:r w:rsidRPr="00321FF2">
        <w:rPr>
          <w:rFonts w:ascii="Arial" w:hAnsi="Arial" w:cs="Arial"/>
          <w:i/>
          <w:sz w:val="20"/>
        </w:rPr>
        <w:t>Pharmacognosy Research, 12</w:t>
      </w:r>
      <w:r w:rsidRPr="00321FF2">
        <w:rPr>
          <w:rFonts w:ascii="Arial" w:hAnsi="Arial" w:cs="Arial"/>
          <w:sz w:val="20"/>
        </w:rPr>
        <w:t xml:space="preserve">(2). </w:t>
      </w:r>
    </w:p>
    <w:p w14:paraId="4E6A33B6"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Elisha, I. L., Dzoyem, J.-P., McGaw, L. J., Botha, F. S., &amp; Eloff, J. N. (2016). The anti-arthritic, anti-inflammatory, antioxidant activity and relationships with total phenolics and total flavonoids of nine South African plants used traditionally to treat arthritis. </w:t>
      </w:r>
      <w:r w:rsidRPr="00321FF2">
        <w:rPr>
          <w:rFonts w:ascii="Arial" w:hAnsi="Arial" w:cs="Arial"/>
          <w:i/>
          <w:sz w:val="20"/>
        </w:rPr>
        <w:t>BMC complementary and alternative medicine, 16</w:t>
      </w:r>
      <w:r w:rsidRPr="00321FF2">
        <w:rPr>
          <w:rFonts w:ascii="Arial" w:hAnsi="Arial" w:cs="Arial"/>
          <w:sz w:val="20"/>
        </w:rPr>
        <w:t xml:space="preserve">, 1-10. </w:t>
      </w:r>
    </w:p>
    <w:p w14:paraId="1535CD91"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Ezeja, M., Omeh, Y., Ezeigbo, I., &amp; Ekechukwu, A. (2011). Evaluation of the analgesic activity of the methanolic stem bark extract of Dialium guineense (Wild). </w:t>
      </w:r>
      <w:r w:rsidRPr="00321FF2">
        <w:rPr>
          <w:rFonts w:ascii="Arial" w:hAnsi="Arial" w:cs="Arial"/>
          <w:i/>
          <w:sz w:val="20"/>
        </w:rPr>
        <w:t>Annals of medical and health sciences research, 1</w:t>
      </w:r>
      <w:r w:rsidRPr="00321FF2">
        <w:rPr>
          <w:rFonts w:ascii="Arial" w:hAnsi="Arial" w:cs="Arial"/>
          <w:sz w:val="20"/>
        </w:rPr>
        <w:t xml:space="preserve">(1), 55-62. </w:t>
      </w:r>
    </w:p>
    <w:p w14:paraId="4117C2DF"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Farnsworth, N. R., &amp; Soejarto, D. D. (1991). Global importance of medicinal plants. </w:t>
      </w:r>
      <w:r w:rsidRPr="00321FF2">
        <w:rPr>
          <w:rFonts w:ascii="Arial" w:hAnsi="Arial" w:cs="Arial"/>
          <w:i/>
          <w:sz w:val="20"/>
        </w:rPr>
        <w:t>The conservation of medicinal plants, 26</w:t>
      </w:r>
      <w:r w:rsidRPr="00321FF2">
        <w:rPr>
          <w:rFonts w:ascii="Arial" w:hAnsi="Arial" w:cs="Arial"/>
          <w:sz w:val="20"/>
        </w:rPr>
        <w:t xml:space="preserve">(26), 25-51. </w:t>
      </w:r>
    </w:p>
    <w:p w14:paraId="3C90E765"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Greenwell, M., &amp; Rahman, P. (2015). Medicinal plants: their use in anticancer treatment. </w:t>
      </w:r>
      <w:r w:rsidRPr="00321FF2">
        <w:rPr>
          <w:rFonts w:ascii="Arial" w:hAnsi="Arial" w:cs="Arial"/>
          <w:i/>
          <w:sz w:val="20"/>
        </w:rPr>
        <w:t>International journal of pharmaceutical sciences and research, 6</w:t>
      </w:r>
      <w:r w:rsidRPr="00321FF2">
        <w:rPr>
          <w:rFonts w:ascii="Arial" w:hAnsi="Arial" w:cs="Arial"/>
          <w:sz w:val="20"/>
        </w:rPr>
        <w:t xml:space="preserve">(10), 4103. </w:t>
      </w:r>
    </w:p>
    <w:p w14:paraId="108762C3"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Hasan, M. M., Hossain, S. A., Ali, M. A., &amp; Alamgir, A. (2014). Medicinal plant diversity in Chittagong, Bangladesh: A database of 100 medicinal plants. </w:t>
      </w:r>
      <w:r w:rsidRPr="00321FF2">
        <w:rPr>
          <w:rFonts w:ascii="Arial" w:hAnsi="Arial" w:cs="Arial"/>
          <w:i/>
          <w:sz w:val="20"/>
        </w:rPr>
        <w:t>Journal of Scientific and Innovative research, 3</w:t>
      </w:r>
      <w:r w:rsidRPr="00321FF2">
        <w:rPr>
          <w:rFonts w:ascii="Arial" w:hAnsi="Arial" w:cs="Arial"/>
          <w:sz w:val="20"/>
        </w:rPr>
        <w:t xml:space="preserve">(5), 500-514. </w:t>
      </w:r>
    </w:p>
    <w:p w14:paraId="5D7776FB"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Islam, M. R., Naima, J., Akter, B., Jahan, N., Uddin, S. N., &amp; Hossain, M. K. (2023). Assessment of Pharmacological Properties of Mimosa diplotricha Leaf Extract. </w:t>
      </w:r>
      <w:r w:rsidRPr="00321FF2">
        <w:rPr>
          <w:rFonts w:ascii="Arial" w:hAnsi="Arial" w:cs="Arial"/>
          <w:i/>
          <w:sz w:val="20"/>
        </w:rPr>
        <w:t>Chittagong University Journal of Biological Sciences</w:t>
      </w:r>
      <w:r w:rsidRPr="00321FF2">
        <w:rPr>
          <w:rFonts w:ascii="Arial" w:hAnsi="Arial" w:cs="Arial"/>
          <w:sz w:val="20"/>
        </w:rPr>
        <w:t xml:space="preserve">, 42-51. </w:t>
      </w:r>
    </w:p>
    <w:p w14:paraId="5D185509"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Itu, M. H., Islam, M., Repon, A. U., Mozumder, M., Aziz, A., Barua, N., . . . Choudhury, K. (2019). Investigation of phytochemicals and in vitro anti-arthritic activity of methanol extract of Maesa indica (Roxb.) leaves. </w:t>
      </w:r>
      <w:r w:rsidRPr="00321FF2">
        <w:rPr>
          <w:rFonts w:ascii="Arial" w:hAnsi="Arial" w:cs="Arial"/>
          <w:i/>
          <w:sz w:val="20"/>
        </w:rPr>
        <w:t>J. Pharmacognosy Phytochem, 8</w:t>
      </w:r>
      <w:r w:rsidRPr="00321FF2">
        <w:rPr>
          <w:rFonts w:ascii="Arial" w:hAnsi="Arial" w:cs="Arial"/>
          <w:sz w:val="20"/>
        </w:rPr>
        <w:t xml:space="preserve">, 319-323. </w:t>
      </w:r>
    </w:p>
    <w:p w14:paraId="5589A814"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Javed, F., Jabeen, Q., Aslam, N., &amp; Awan, A. M. (2020). Pharmacological evaluation of analgesic, anti-inflammatory and antipyretic activities of ethanolic extract of Indigofera argentea Burm. f. </w:t>
      </w:r>
      <w:r w:rsidRPr="00321FF2">
        <w:rPr>
          <w:rFonts w:ascii="Arial" w:hAnsi="Arial" w:cs="Arial"/>
          <w:i/>
          <w:sz w:val="20"/>
        </w:rPr>
        <w:t>Journal of ethnopharmacology, 259</w:t>
      </w:r>
      <w:r w:rsidRPr="00321FF2">
        <w:rPr>
          <w:rFonts w:ascii="Arial" w:hAnsi="Arial" w:cs="Arial"/>
          <w:sz w:val="20"/>
        </w:rPr>
        <w:t xml:space="preserve">, 112966. </w:t>
      </w:r>
    </w:p>
    <w:p w14:paraId="6DE3266F"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Joy, P., Thomas, J., Mathew, S., &amp; Skaria, B. P. (1998). Medicinal plants. </w:t>
      </w:r>
      <w:r w:rsidRPr="00321FF2">
        <w:rPr>
          <w:rFonts w:ascii="Arial" w:hAnsi="Arial" w:cs="Arial"/>
          <w:i/>
          <w:sz w:val="20"/>
        </w:rPr>
        <w:t>Tropical horticulture, 2</w:t>
      </w:r>
      <w:r w:rsidRPr="00321FF2">
        <w:rPr>
          <w:rFonts w:ascii="Arial" w:hAnsi="Arial" w:cs="Arial"/>
          <w:sz w:val="20"/>
        </w:rPr>
        <w:t xml:space="preserve">, 449-632. </w:t>
      </w:r>
    </w:p>
    <w:p w14:paraId="4CB158EF"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Koster, R., Anderson, W., &amp; De Beer, E. (1959). </w:t>
      </w:r>
      <w:r w:rsidRPr="00321FF2">
        <w:rPr>
          <w:rFonts w:ascii="Arial" w:hAnsi="Arial" w:cs="Arial"/>
          <w:i/>
          <w:sz w:val="20"/>
        </w:rPr>
        <w:t>Acetic acid for analgesic screening</w:t>
      </w:r>
      <w:r w:rsidRPr="00321FF2">
        <w:rPr>
          <w:rFonts w:ascii="Arial" w:hAnsi="Arial" w:cs="Arial"/>
          <w:sz w:val="20"/>
        </w:rPr>
        <w:t>.</w:t>
      </w:r>
    </w:p>
    <w:p w14:paraId="228CACB4"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Maria, N., Jannat, N., Nisat, U., Jahan, N., &amp; Dash, P. (2025). Assessment of Analgesic, Antioxidant, and Antiinflammatory potential of Citrus maxima (Burm.) Merr. </w:t>
      </w:r>
      <w:r w:rsidRPr="00321FF2">
        <w:rPr>
          <w:rFonts w:ascii="Arial" w:hAnsi="Arial" w:cs="Arial"/>
          <w:i/>
          <w:sz w:val="20"/>
        </w:rPr>
        <w:t>Seed solvent fractions on Swiss albino Animal Model. Trop J Nat Prod Res, 9</w:t>
      </w:r>
      <w:r w:rsidRPr="00321FF2">
        <w:rPr>
          <w:rFonts w:ascii="Arial" w:hAnsi="Arial" w:cs="Arial"/>
          <w:sz w:val="20"/>
        </w:rPr>
        <w:t xml:space="preserve">(2), 561-567. </w:t>
      </w:r>
    </w:p>
    <w:p w14:paraId="3C3423DD"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Mohankumar, R., Prakash, S. E. L., Irfan, N., Mohanraj, S., &amp; Kumarappan, C. (2022). Evaluation of analgesic, anti-inflammatory, and antipyretic activities of Ziziphus mauritania Lam leaves in animal models. </w:t>
      </w:r>
      <w:r w:rsidRPr="00321FF2">
        <w:rPr>
          <w:rFonts w:ascii="Arial" w:hAnsi="Arial" w:cs="Arial"/>
          <w:i/>
          <w:sz w:val="20"/>
        </w:rPr>
        <w:t>Pharmacological Research-Modern Chinese Medicine, 4</w:t>
      </w:r>
      <w:r w:rsidRPr="00321FF2">
        <w:rPr>
          <w:rFonts w:ascii="Arial" w:hAnsi="Arial" w:cs="Arial"/>
          <w:sz w:val="20"/>
        </w:rPr>
        <w:t xml:space="preserve">, 100153. </w:t>
      </w:r>
    </w:p>
    <w:p w14:paraId="61713D4F"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Nisat, U. T., Jahan, N., Afrin, S. R., Akter, B., Nahar, A., Islam, M. R., &amp; Hossain, M. K. (2024). Phytochemical, ethnopharmacological, and medicinal importance of Catharanthus roseus (Apocyanaceae): a mini</w:t>
      </w:r>
      <w:r w:rsidRPr="00321FF2">
        <w:rPr>
          <w:rFonts w:ascii="Cambria Math" w:hAnsi="Cambria Math" w:cs="Cambria Math"/>
          <w:sz w:val="20"/>
        </w:rPr>
        <w:t>‐</w:t>
      </w:r>
      <w:r w:rsidRPr="00321FF2">
        <w:rPr>
          <w:rFonts w:ascii="Arial" w:hAnsi="Arial" w:cs="Arial"/>
          <w:sz w:val="20"/>
        </w:rPr>
        <w:t xml:space="preserve">review. </w:t>
      </w:r>
      <w:r w:rsidRPr="00321FF2">
        <w:rPr>
          <w:rFonts w:ascii="Arial" w:hAnsi="Arial" w:cs="Arial"/>
          <w:i/>
          <w:sz w:val="20"/>
        </w:rPr>
        <w:t>South Asian Res J Nat Prod, 7</w:t>
      </w:r>
      <w:r w:rsidRPr="00321FF2">
        <w:rPr>
          <w:rFonts w:ascii="Arial" w:hAnsi="Arial" w:cs="Arial"/>
          <w:sz w:val="20"/>
        </w:rPr>
        <w:t xml:space="preserve">, 87-101. </w:t>
      </w:r>
    </w:p>
    <w:p w14:paraId="7D0DB8BD"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Pellow, S., Chopin, P., File, S. E., &amp; Briley, M. (1985). Validation of open: closed arm entries in an elevated plus-maze as a measure of anxiety in the rat. </w:t>
      </w:r>
      <w:r w:rsidRPr="00321FF2">
        <w:rPr>
          <w:rFonts w:ascii="Arial" w:hAnsi="Arial" w:cs="Arial"/>
          <w:i/>
          <w:sz w:val="20"/>
        </w:rPr>
        <w:t>Journal of neuroscience methods, 14</w:t>
      </w:r>
      <w:r w:rsidRPr="00321FF2">
        <w:rPr>
          <w:rFonts w:ascii="Arial" w:hAnsi="Arial" w:cs="Arial"/>
          <w:sz w:val="20"/>
        </w:rPr>
        <w:t xml:space="preserve">(3), 149-167. </w:t>
      </w:r>
    </w:p>
    <w:p w14:paraId="30F214F3"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Petrovska, B. B. (2012). Historical review of medicinal plants’ usage. </w:t>
      </w:r>
      <w:r w:rsidRPr="00321FF2">
        <w:rPr>
          <w:rFonts w:ascii="Arial" w:hAnsi="Arial" w:cs="Arial"/>
          <w:i/>
          <w:sz w:val="20"/>
        </w:rPr>
        <w:t>Pharmacognosy reviews, 6</w:t>
      </w:r>
      <w:r w:rsidRPr="00321FF2">
        <w:rPr>
          <w:rFonts w:ascii="Arial" w:hAnsi="Arial" w:cs="Arial"/>
          <w:sz w:val="20"/>
        </w:rPr>
        <w:t xml:space="preserve">(11), 1. </w:t>
      </w:r>
    </w:p>
    <w:p w14:paraId="5E0462B2"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Priyangaa Sathasivam, P. S., &amp; Lakshmi, T. (2017). Brine shrimp lethality assay of Sesbania grandiflora ethanolic extract-in vitro study. </w:t>
      </w:r>
    </w:p>
    <w:p w14:paraId="056C6109"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Safari, V., Ngugi, M., Orinda, G., &amp; Njagi, E. (2016). Anti-pyretic, anti-inflammatory and analgesic activities of aqueous leaf extract of Urtica dioica L. in albino mice. </w:t>
      </w:r>
      <w:r w:rsidRPr="00321FF2">
        <w:rPr>
          <w:rFonts w:ascii="Arial" w:hAnsi="Arial" w:cs="Arial"/>
          <w:i/>
          <w:sz w:val="20"/>
        </w:rPr>
        <w:t>Med Aromat Plants, 5</w:t>
      </w:r>
      <w:r w:rsidRPr="00321FF2">
        <w:rPr>
          <w:rFonts w:ascii="Arial" w:hAnsi="Arial" w:cs="Arial"/>
          <w:sz w:val="20"/>
        </w:rPr>
        <w:t xml:space="preserve">(237), 2167-0412. </w:t>
      </w:r>
    </w:p>
    <w:p w14:paraId="3B91B806"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Shajib, M. S., Akter, S., Ahmed, T., &amp; Imam, M. Z. (2015). Antinociceptive and neuropharmacological activities of methanol extract of Phoenix sylvestris fruit pulp. </w:t>
      </w:r>
      <w:r w:rsidRPr="00321FF2">
        <w:rPr>
          <w:rFonts w:ascii="Arial" w:hAnsi="Arial" w:cs="Arial"/>
          <w:i/>
          <w:sz w:val="20"/>
        </w:rPr>
        <w:t>Frontiers in Pharmacology, 6</w:t>
      </w:r>
      <w:r w:rsidRPr="00321FF2">
        <w:rPr>
          <w:rFonts w:ascii="Arial" w:hAnsi="Arial" w:cs="Arial"/>
          <w:sz w:val="20"/>
        </w:rPr>
        <w:t xml:space="preserve">, 212. </w:t>
      </w:r>
    </w:p>
    <w:p w14:paraId="1D638AB1"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lastRenderedPageBreak/>
        <w:t xml:space="preserve">Srivastava, J., Lambert, J., &amp; Vietmeyer, N. (1996). </w:t>
      </w:r>
      <w:r w:rsidRPr="00321FF2">
        <w:rPr>
          <w:rFonts w:ascii="Arial" w:hAnsi="Arial" w:cs="Arial"/>
          <w:i/>
          <w:sz w:val="20"/>
        </w:rPr>
        <w:t>Medicinal plants: An expanding role in development</w:t>
      </w:r>
      <w:r w:rsidRPr="00321FF2">
        <w:rPr>
          <w:rFonts w:ascii="Arial" w:hAnsi="Arial" w:cs="Arial"/>
          <w:sz w:val="20"/>
        </w:rPr>
        <w:t xml:space="preserve"> (Vol. 320): World Bank Publications.</w:t>
      </w:r>
    </w:p>
    <w:p w14:paraId="4810E687"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Tabassum, F., Chadni, S. H., Mou, K. N., Hasif, K. I., Ahmed, T., &amp; Akter, M. (2017). In-vitro thrombolytic activity and phytochemical evaluation of leaf extracts of four medicinal plants of Asteraceae family. </w:t>
      </w:r>
      <w:r w:rsidRPr="00321FF2">
        <w:rPr>
          <w:rFonts w:ascii="Arial" w:hAnsi="Arial" w:cs="Arial"/>
          <w:i/>
          <w:sz w:val="20"/>
        </w:rPr>
        <w:t>Journal of pharmacognosy and phytochemistry, 6</w:t>
      </w:r>
      <w:r w:rsidRPr="00321FF2">
        <w:rPr>
          <w:rFonts w:ascii="Arial" w:hAnsi="Arial" w:cs="Arial"/>
          <w:sz w:val="20"/>
        </w:rPr>
        <w:t xml:space="preserve">(4), 1166-1169. </w:t>
      </w:r>
    </w:p>
    <w:p w14:paraId="6CFC0A4E"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Takagi, K., Watanabe, M., &amp; SAITO, H. (1971). Studies of the spontaneous movement of animals by the hole cross test; effect of 2-dimethyl-aminoethanol and its acyl esters on the central nervous system. </w:t>
      </w:r>
      <w:r w:rsidRPr="00321FF2">
        <w:rPr>
          <w:rFonts w:ascii="Arial" w:hAnsi="Arial" w:cs="Arial"/>
          <w:i/>
          <w:sz w:val="20"/>
        </w:rPr>
        <w:t>The Japanese Journal of Pharmacology, 21</w:t>
      </w:r>
      <w:r w:rsidRPr="00321FF2">
        <w:rPr>
          <w:rFonts w:ascii="Arial" w:hAnsi="Arial" w:cs="Arial"/>
          <w:sz w:val="20"/>
        </w:rPr>
        <w:t xml:space="preserve">(6), 797-810. </w:t>
      </w:r>
    </w:p>
    <w:p w14:paraId="2A6FF7F5"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Takeda H, T. M., Matsumiya T (1998). Changes in head-dipping behavior in the hole-board test reflect the anxiogenic and/or anxiolytic state in mice. . </w:t>
      </w:r>
      <w:r w:rsidRPr="00321FF2">
        <w:rPr>
          <w:rFonts w:ascii="Arial" w:hAnsi="Arial" w:cs="Arial"/>
          <w:i/>
          <w:sz w:val="20"/>
        </w:rPr>
        <w:t>European Journal of Pharmacology, 350(1)</w:t>
      </w:r>
      <w:r w:rsidRPr="00321FF2">
        <w:rPr>
          <w:rFonts w:ascii="Arial" w:hAnsi="Arial" w:cs="Arial"/>
          <w:sz w:val="20"/>
        </w:rPr>
        <w:t xml:space="preserve">, 21-29. </w:t>
      </w:r>
    </w:p>
    <w:p w14:paraId="65701ACE"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Ullah, H. A., Zaman, S., Juhara, F., Akter, L., Tareq, S. M., Masum, E. H., &amp; Bhattacharjee, R. (2014). Evaluation of antinociceptive, in-vivo &amp; in-vitro anti-inflammatory activity of ethanolic extract of Curcuma zedoaria rhizome. </w:t>
      </w:r>
      <w:r w:rsidRPr="00321FF2">
        <w:rPr>
          <w:rFonts w:ascii="Arial" w:hAnsi="Arial" w:cs="Arial"/>
          <w:i/>
          <w:sz w:val="20"/>
        </w:rPr>
        <w:t>BMC complementary and alternative medicine, 14</w:t>
      </w:r>
      <w:r w:rsidRPr="00321FF2">
        <w:rPr>
          <w:rFonts w:ascii="Arial" w:hAnsi="Arial" w:cs="Arial"/>
          <w:sz w:val="20"/>
        </w:rPr>
        <w:t xml:space="preserve">, 1-12. </w:t>
      </w:r>
    </w:p>
    <w:p w14:paraId="314B3B27" w14:textId="1A73BEEC" w:rsidR="00B01FCD" w:rsidRPr="00FB3A86" w:rsidRDefault="00FD3B51" w:rsidP="00441B6F">
      <w:pPr>
        <w:pStyle w:val="Appendix"/>
        <w:spacing w:after="0"/>
        <w:jc w:val="both"/>
        <w:rPr>
          <w:rFonts w:ascii="Arial" w:hAnsi="Arial" w:cs="Arial"/>
          <w:b w:val="0"/>
        </w:rPr>
      </w:pPr>
      <w:r w:rsidRPr="00321FF2">
        <w:rPr>
          <w:rFonts w:ascii="Arial" w:hAnsi="Arial" w:cs="Arial"/>
          <w:b w:val="0"/>
          <w:sz w:val="20"/>
        </w:rPr>
        <w:fldChar w:fldCharType="end"/>
      </w:r>
    </w:p>
    <w:sectPr w:rsidR="00B01FCD" w:rsidRPr="00FB3A86" w:rsidSect="00A7530F">
      <w:type w:val="continuous"/>
      <w:pgSz w:w="12240" w:h="15840"/>
      <w:pgMar w:top="1440" w:right="2016" w:bottom="144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CC7D4" w14:textId="77777777" w:rsidR="00DE7A0C" w:rsidRDefault="00DE7A0C" w:rsidP="00C37E61">
      <w:r>
        <w:separator/>
      </w:r>
    </w:p>
  </w:endnote>
  <w:endnote w:type="continuationSeparator" w:id="0">
    <w:p w14:paraId="51F3F74E" w14:textId="77777777" w:rsidR="00DE7A0C" w:rsidRDefault="00DE7A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D6AF" w14:textId="77777777" w:rsidR="003F6A29" w:rsidRDefault="003F6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DD5C" w14:textId="77777777" w:rsidR="003F6A29" w:rsidRDefault="003F6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0CAFC" w14:textId="77777777" w:rsidR="001F5B6F" w:rsidRDefault="001F5B6F">
    <w:pPr>
      <w:pStyle w:val="Footer"/>
      <w:rPr>
        <w:rFonts w:ascii="Arial" w:hAnsi="Arial" w:cs="Arial"/>
        <w:sz w:val="16"/>
      </w:rPr>
    </w:pPr>
  </w:p>
  <w:p w14:paraId="7527D14D" w14:textId="77777777" w:rsidR="001F5B6F" w:rsidRDefault="001F5B6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3957A2D" w14:textId="77777777" w:rsidR="001F5B6F" w:rsidRDefault="001F5B6F">
    <w:pPr>
      <w:pStyle w:val="Footer"/>
      <w:rPr>
        <w:rFonts w:ascii="Arial" w:hAnsi="Arial" w:cs="Arial"/>
        <w:sz w:val="16"/>
      </w:rPr>
    </w:pPr>
  </w:p>
  <w:p w14:paraId="687CC5EB" w14:textId="77777777" w:rsidR="001F5B6F" w:rsidRPr="009E048A" w:rsidRDefault="001F5B6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A97B" w14:textId="77777777" w:rsidR="001F5B6F" w:rsidRPr="00C37E61" w:rsidRDefault="001F5B6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9F41C" w14:textId="77777777" w:rsidR="00DE7A0C" w:rsidRDefault="00DE7A0C" w:rsidP="00C37E61">
      <w:r>
        <w:separator/>
      </w:r>
    </w:p>
  </w:footnote>
  <w:footnote w:type="continuationSeparator" w:id="0">
    <w:p w14:paraId="4FE734E0" w14:textId="77777777" w:rsidR="00DE7A0C" w:rsidRDefault="00DE7A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7C180" w14:textId="1695EE88" w:rsidR="003F6A29" w:rsidRDefault="003F6A29">
    <w:pPr>
      <w:pStyle w:val="Header"/>
    </w:pPr>
    <w:r>
      <w:rPr>
        <w:noProof/>
      </w:rPr>
      <w:pict w14:anchorId="29AE1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1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36E5D" w14:textId="135D0C41" w:rsidR="003F6A29" w:rsidRDefault="003F6A29">
    <w:pPr>
      <w:pStyle w:val="Header"/>
    </w:pPr>
    <w:r>
      <w:rPr>
        <w:noProof/>
      </w:rPr>
      <w:pict w14:anchorId="56BFB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1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7CE4" w14:textId="1F2798E8" w:rsidR="001F5B6F" w:rsidRPr="00296529" w:rsidRDefault="003F6A29" w:rsidP="00296529">
    <w:pPr>
      <w:ind w:left="2160"/>
      <w:jc w:val="center"/>
      <w:rPr>
        <w:rFonts w:ascii="Times New Roman" w:eastAsia="Calibri" w:hAnsi="Times New Roman"/>
        <w:i/>
        <w:sz w:val="18"/>
        <w:szCs w:val="22"/>
      </w:rPr>
    </w:pPr>
    <w:r>
      <w:rPr>
        <w:noProof/>
      </w:rPr>
      <w:pict w14:anchorId="51254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14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FC0534" w14:textId="77777777" w:rsidR="001F5B6F" w:rsidRPr="00296529" w:rsidRDefault="001F5B6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6607594" w14:textId="77777777" w:rsidR="001F5B6F" w:rsidRPr="00296529" w:rsidRDefault="001F5B6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8B98DD" w14:textId="77777777" w:rsidR="001F5B6F" w:rsidRPr="00296529" w:rsidRDefault="001F5B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7437EA" w14:textId="77777777" w:rsidR="001F5B6F" w:rsidRDefault="001F5B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91FFD9" w14:textId="77777777" w:rsidR="001F5B6F" w:rsidRDefault="001F5B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10FAC8" w14:textId="77777777" w:rsidR="001F5B6F" w:rsidRDefault="001F5B6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AFA8" w14:textId="14C523DA" w:rsidR="003F6A29" w:rsidRDefault="003F6A29">
    <w:pPr>
      <w:pStyle w:val="Header"/>
    </w:pPr>
    <w:r>
      <w:rPr>
        <w:noProof/>
      </w:rPr>
      <w:pict w14:anchorId="65EEC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14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2360" w14:textId="1E22CFFA" w:rsidR="003F6A29" w:rsidRDefault="003F6A29">
    <w:pPr>
      <w:pStyle w:val="Header"/>
    </w:pPr>
    <w:r>
      <w:rPr>
        <w:noProof/>
      </w:rPr>
      <w:pict w14:anchorId="789F9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14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5EC4" w14:textId="3890BF65" w:rsidR="003F6A29" w:rsidRDefault="003F6A29">
    <w:pPr>
      <w:pStyle w:val="Header"/>
    </w:pPr>
    <w:r>
      <w:rPr>
        <w:noProof/>
      </w:rPr>
      <w:pict w14:anchorId="00578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14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421CD8"/>
    <w:multiLevelType w:val="hybridMultilevel"/>
    <w:tmpl w:val="626C45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vx20t5qr0sf5e999ax5208e0ssvp992v05&quot;&gt;Nasir_Library&lt;record-ids&gt;&lt;item&gt;86&lt;/item&gt;&lt;item&gt;95&lt;/item&gt;&lt;item&gt;96&lt;/item&gt;&lt;item&gt;99&lt;/item&gt;&lt;item&gt;107&lt;/item&gt;&lt;item&gt;122&lt;/item&gt;&lt;item&gt;129&lt;/item&gt;&lt;item&gt;131&lt;/item&gt;&lt;item&gt;134&lt;/item&gt;&lt;item&gt;179&lt;/item&gt;&lt;item&gt;191&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2&lt;/item&gt;&lt;item&gt;224&lt;/item&gt;&lt;item&gt;226&lt;/item&gt;&lt;item&gt;227&lt;/item&gt;&lt;item&gt;228&lt;/item&gt;&lt;item&gt;229&lt;/item&gt;&lt;item&gt;230&lt;/item&gt;&lt;/record-ids&gt;&lt;/item&gt;&lt;/Libraries&gt;"/>
  </w:docVars>
  <w:rsids>
    <w:rsidRoot w:val="00AA6219"/>
    <w:rsid w:val="00000F8F"/>
    <w:rsid w:val="00030174"/>
    <w:rsid w:val="0004579C"/>
    <w:rsid w:val="000871F7"/>
    <w:rsid w:val="00095235"/>
    <w:rsid w:val="000A47FA"/>
    <w:rsid w:val="000A65D3"/>
    <w:rsid w:val="000B1E33"/>
    <w:rsid w:val="000D689F"/>
    <w:rsid w:val="000E7B7B"/>
    <w:rsid w:val="000E7D62"/>
    <w:rsid w:val="00103357"/>
    <w:rsid w:val="001224D8"/>
    <w:rsid w:val="00122EE5"/>
    <w:rsid w:val="00123C9F"/>
    <w:rsid w:val="00126190"/>
    <w:rsid w:val="00130F17"/>
    <w:rsid w:val="001320BF"/>
    <w:rsid w:val="00163BC4"/>
    <w:rsid w:val="001723C2"/>
    <w:rsid w:val="00177110"/>
    <w:rsid w:val="00191062"/>
    <w:rsid w:val="00192B72"/>
    <w:rsid w:val="001A29D8"/>
    <w:rsid w:val="001A5CAA"/>
    <w:rsid w:val="001B0427"/>
    <w:rsid w:val="001D3A51"/>
    <w:rsid w:val="001E10D2"/>
    <w:rsid w:val="001E25B4"/>
    <w:rsid w:val="001E44FE"/>
    <w:rsid w:val="001F3F85"/>
    <w:rsid w:val="001F5B6F"/>
    <w:rsid w:val="00200595"/>
    <w:rsid w:val="00204835"/>
    <w:rsid w:val="00204B5E"/>
    <w:rsid w:val="00222C65"/>
    <w:rsid w:val="00231920"/>
    <w:rsid w:val="0023195C"/>
    <w:rsid w:val="0024282C"/>
    <w:rsid w:val="002460DC"/>
    <w:rsid w:val="00250985"/>
    <w:rsid w:val="002556F6"/>
    <w:rsid w:val="00283105"/>
    <w:rsid w:val="00284C4C"/>
    <w:rsid w:val="00287E68"/>
    <w:rsid w:val="00296529"/>
    <w:rsid w:val="002B27FB"/>
    <w:rsid w:val="002B67BA"/>
    <w:rsid w:val="002B685A"/>
    <w:rsid w:val="002C57D2"/>
    <w:rsid w:val="002E0D56"/>
    <w:rsid w:val="00315186"/>
    <w:rsid w:val="00321FF2"/>
    <w:rsid w:val="0033343E"/>
    <w:rsid w:val="003512C2"/>
    <w:rsid w:val="00371FB6"/>
    <w:rsid w:val="003763C1"/>
    <w:rsid w:val="00376BBE"/>
    <w:rsid w:val="0039224F"/>
    <w:rsid w:val="003946FA"/>
    <w:rsid w:val="003A43A4"/>
    <w:rsid w:val="003A7E18"/>
    <w:rsid w:val="003B14EB"/>
    <w:rsid w:val="003C4C86"/>
    <w:rsid w:val="003C6258"/>
    <w:rsid w:val="003D5ACF"/>
    <w:rsid w:val="003E2904"/>
    <w:rsid w:val="003F6A29"/>
    <w:rsid w:val="00401927"/>
    <w:rsid w:val="0041027F"/>
    <w:rsid w:val="00412475"/>
    <w:rsid w:val="00423789"/>
    <w:rsid w:val="00440F43"/>
    <w:rsid w:val="00441B6F"/>
    <w:rsid w:val="00446221"/>
    <w:rsid w:val="00450E62"/>
    <w:rsid w:val="004539DB"/>
    <w:rsid w:val="00471A80"/>
    <w:rsid w:val="004B55D4"/>
    <w:rsid w:val="004D305E"/>
    <w:rsid w:val="004D4277"/>
    <w:rsid w:val="004E3F6A"/>
    <w:rsid w:val="00502516"/>
    <w:rsid w:val="00505F06"/>
    <w:rsid w:val="00506828"/>
    <w:rsid w:val="005262DA"/>
    <w:rsid w:val="0053056E"/>
    <w:rsid w:val="005331DB"/>
    <w:rsid w:val="00554FDA"/>
    <w:rsid w:val="00583116"/>
    <w:rsid w:val="005C784C"/>
    <w:rsid w:val="005D17F6"/>
    <w:rsid w:val="005E5539"/>
    <w:rsid w:val="00602BF5"/>
    <w:rsid w:val="00617FDD"/>
    <w:rsid w:val="00633614"/>
    <w:rsid w:val="00633F68"/>
    <w:rsid w:val="00636EB2"/>
    <w:rsid w:val="006375B8"/>
    <w:rsid w:val="0066510A"/>
    <w:rsid w:val="00673F9F"/>
    <w:rsid w:val="006764F3"/>
    <w:rsid w:val="00686953"/>
    <w:rsid w:val="00687DEA"/>
    <w:rsid w:val="00687E67"/>
    <w:rsid w:val="006967F7"/>
    <w:rsid w:val="006A250C"/>
    <w:rsid w:val="006B21D3"/>
    <w:rsid w:val="006B57D0"/>
    <w:rsid w:val="006C27D8"/>
    <w:rsid w:val="006D30FF"/>
    <w:rsid w:val="006D6940"/>
    <w:rsid w:val="006E4E2C"/>
    <w:rsid w:val="006F11EC"/>
    <w:rsid w:val="0070082C"/>
    <w:rsid w:val="007369E6"/>
    <w:rsid w:val="00746E59"/>
    <w:rsid w:val="00754C9A"/>
    <w:rsid w:val="0075599A"/>
    <w:rsid w:val="00761D52"/>
    <w:rsid w:val="0077749E"/>
    <w:rsid w:val="00785820"/>
    <w:rsid w:val="00790641"/>
    <w:rsid w:val="00790ADA"/>
    <w:rsid w:val="007D2288"/>
    <w:rsid w:val="007E088F"/>
    <w:rsid w:val="007F0B66"/>
    <w:rsid w:val="007F7B32"/>
    <w:rsid w:val="00804BC2"/>
    <w:rsid w:val="00812611"/>
    <w:rsid w:val="0081431A"/>
    <w:rsid w:val="0083216F"/>
    <w:rsid w:val="00860000"/>
    <w:rsid w:val="0086218E"/>
    <w:rsid w:val="00863BD3"/>
    <w:rsid w:val="008641ED"/>
    <w:rsid w:val="00866D66"/>
    <w:rsid w:val="008671C6"/>
    <w:rsid w:val="00875803"/>
    <w:rsid w:val="008B459E"/>
    <w:rsid w:val="008C4AC0"/>
    <w:rsid w:val="008D4797"/>
    <w:rsid w:val="008E13AE"/>
    <w:rsid w:val="008E1506"/>
    <w:rsid w:val="008E710C"/>
    <w:rsid w:val="008F69D6"/>
    <w:rsid w:val="00902823"/>
    <w:rsid w:val="00915CA6"/>
    <w:rsid w:val="00926A71"/>
    <w:rsid w:val="00927834"/>
    <w:rsid w:val="009500A6"/>
    <w:rsid w:val="00957C18"/>
    <w:rsid w:val="009647BD"/>
    <w:rsid w:val="009659BA"/>
    <w:rsid w:val="0097388D"/>
    <w:rsid w:val="00983040"/>
    <w:rsid w:val="009B2A62"/>
    <w:rsid w:val="009B3FB9"/>
    <w:rsid w:val="009C2465"/>
    <w:rsid w:val="009D35A0"/>
    <w:rsid w:val="009D7EB7"/>
    <w:rsid w:val="009E048A"/>
    <w:rsid w:val="009E08E9"/>
    <w:rsid w:val="009E3DB9"/>
    <w:rsid w:val="009E6E35"/>
    <w:rsid w:val="009F0EDA"/>
    <w:rsid w:val="00A03B96"/>
    <w:rsid w:val="00A05B19"/>
    <w:rsid w:val="00A1134E"/>
    <w:rsid w:val="00A21B1C"/>
    <w:rsid w:val="00A24E7E"/>
    <w:rsid w:val="00A258C3"/>
    <w:rsid w:val="00A347C0"/>
    <w:rsid w:val="00A46029"/>
    <w:rsid w:val="00A51431"/>
    <w:rsid w:val="00A539AD"/>
    <w:rsid w:val="00A60CCC"/>
    <w:rsid w:val="00A65789"/>
    <w:rsid w:val="00A7530F"/>
    <w:rsid w:val="00A94063"/>
    <w:rsid w:val="00AA6219"/>
    <w:rsid w:val="00AA74E0"/>
    <w:rsid w:val="00AB703F"/>
    <w:rsid w:val="00AC6BB8"/>
    <w:rsid w:val="00AE008F"/>
    <w:rsid w:val="00B01FCD"/>
    <w:rsid w:val="00B1776C"/>
    <w:rsid w:val="00B52583"/>
    <w:rsid w:val="00B52896"/>
    <w:rsid w:val="00B72A2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A96"/>
    <w:rsid w:val="00C70F1B"/>
    <w:rsid w:val="00C71A47"/>
    <w:rsid w:val="00C7464C"/>
    <w:rsid w:val="00C77210"/>
    <w:rsid w:val="00C85588"/>
    <w:rsid w:val="00CD6755"/>
    <w:rsid w:val="00CD6856"/>
    <w:rsid w:val="00CE0089"/>
    <w:rsid w:val="00CE793C"/>
    <w:rsid w:val="00CF193C"/>
    <w:rsid w:val="00D173F1"/>
    <w:rsid w:val="00D74CB0"/>
    <w:rsid w:val="00D8295D"/>
    <w:rsid w:val="00DC2A65"/>
    <w:rsid w:val="00DE15F0"/>
    <w:rsid w:val="00DE5663"/>
    <w:rsid w:val="00DE78AA"/>
    <w:rsid w:val="00DE7A0C"/>
    <w:rsid w:val="00E053D0"/>
    <w:rsid w:val="00E131D2"/>
    <w:rsid w:val="00E15994"/>
    <w:rsid w:val="00E3114E"/>
    <w:rsid w:val="00E31A70"/>
    <w:rsid w:val="00E35B02"/>
    <w:rsid w:val="00E66496"/>
    <w:rsid w:val="00E66B35"/>
    <w:rsid w:val="00E66E10"/>
    <w:rsid w:val="00E75FB1"/>
    <w:rsid w:val="00E769F6"/>
    <w:rsid w:val="00E8407C"/>
    <w:rsid w:val="00E84F3C"/>
    <w:rsid w:val="00E95DC8"/>
    <w:rsid w:val="00EA012C"/>
    <w:rsid w:val="00EC6A55"/>
    <w:rsid w:val="00ED0288"/>
    <w:rsid w:val="00EE52CB"/>
    <w:rsid w:val="00EF3B6A"/>
    <w:rsid w:val="00EF581D"/>
    <w:rsid w:val="00EF7FD8"/>
    <w:rsid w:val="00F06F59"/>
    <w:rsid w:val="00F16027"/>
    <w:rsid w:val="00F17988"/>
    <w:rsid w:val="00F469F0"/>
    <w:rsid w:val="00F53273"/>
    <w:rsid w:val="00F54873"/>
    <w:rsid w:val="00F712F1"/>
    <w:rsid w:val="00F755E4"/>
    <w:rsid w:val="00F77D02"/>
    <w:rsid w:val="00FB3A86"/>
    <w:rsid w:val="00FB43E3"/>
    <w:rsid w:val="00FC54E2"/>
    <w:rsid w:val="00FD0FEF"/>
    <w:rsid w:val="00FD36C8"/>
    <w:rsid w:val="00FD3B51"/>
    <w:rsid w:val="00FD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01A7AD"/>
  <w15:docId w15:val="{ABE80294-9B20-45CB-BE43-6389AC14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A65789"/>
    <w:pPr>
      <w:spacing w:after="120"/>
    </w:pPr>
  </w:style>
  <w:style w:type="character" w:customStyle="1" w:styleId="BodyTextChar">
    <w:name w:val="Body Text Char"/>
    <w:basedOn w:val="DefaultParagraphFont"/>
    <w:link w:val="BodyText"/>
    <w:semiHidden/>
    <w:rsid w:val="00A65789"/>
    <w:rPr>
      <w:rFonts w:ascii="Helvetica" w:hAnsi="Helvetica"/>
    </w:rPr>
  </w:style>
  <w:style w:type="paragraph" w:customStyle="1" w:styleId="EndNoteBibliographyTitle">
    <w:name w:val="EndNote Bibliography Title"/>
    <w:basedOn w:val="Normal"/>
    <w:link w:val="EndNoteBibliographyTitleChar"/>
    <w:rsid w:val="00FD3B51"/>
    <w:pPr>
      <w:jc w:val="center"/>
    </w:pPr>
    <w:rPr>
      <w:rFonts w:cs="Helvetica"/>
      <w:noProof/>
      <w:sz w:val="22"/>
    </w:rPr>
  </w:style>
  <w:style w:type="character" w:customStyle="1" w:styleId="BodyChar">
    <w:name w:val="Body Char"/>
    <w:basedOn w:val="DefaultParagraphFont"/>
    <w:link w:val="Body"/>
    <w:rsid w:val="00FD3B51"/>
    <w:rPr>
      <w:rFonts w:ascii="Helvetica" w:hAnsi="Helvetica"/>
    </w:rPr>
  </w:style>
  <w:style w:type="character" w:customStyle="1" w:styleId="EndNoteBibliographyTitleChar">
    <w:name w:val="EndNote Bibliography Title Char"/>
    <w:basedOn w:val="BodyChar"/>
    <w:link w:val="EndNoteBibliographyTitle"/>
    <w:rsid w:val="00FD3B51"/>
    <w:rPr>
      <w:rFonts w:ascii="Helvetica" w:hAnsi="Helvetica" w:cs="Helvetica"/>
      <w:noProof/>
      <w:sz w:val="22"/>
    </w:rPr>
  </w:style>
  <w:style w:type="paragraph" w:customStyle="1" w:styleId="EndNoteBibliography">
    <w:name w:val="EndNote Bibliography"/>
    <w:basedOn w:val="Normal"/>
    <w:link w:val="EndNoteBibliographyChar"/>
    <w:rsid w:val="00FD3B51"/>
    <w:pPr>
      <w:jc w:val="both"/>
    </w:pPr>
    <w:rPr>
      <w:rFonts w:cs="Helvetica"/>
      <w:noProof/>
      <w:sz w:val="22"/>
    </w:rPr>
  </w:style>
  <w:style w:type="character" w:customStyle="1" w:styleId="EndNoteBibliographyChar">
    <w:name w:val="EndNote Bibliography Char"/>
    <w:basedOn w:val="BodyChar"/>
    <w:link w:val="EndNoteBibliography"/>
    <w:rsid w:val="00FD3B51"/>
    <w:rPr>
      <w:rFonts w:ascii="Helvetica" w:hAnsi="Helvetica" w:cs="Helvetica"/>
      <w:noProof/>
      <w:sz w:val="22"/>
    </w:rPr>
  </w:style>
  <w:style w:type="paragraph" w:styleId="ListParagraph">
    <w:name w:val="List Paragraph"/>
    <w:basedOn w:val="Normal"/>
    <w:uiPriority w:val="34"/>
    <w:qFormat/>
    <w:rsid w:val="00E131D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C933E-E54A-4FC1-B704-34E3B349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177</TotalTime>
  <Pages>13</Pages>
  <Words>10172</Words>
  <Characters>57983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68019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2025-04-30T04:16:00Z</dcterms:created>
  <dcterms:modified xsi:type="dcterms:W3CDTF">2025-05-08T09:05:00Z</dcterms:modified>
</cp:coreProperties>
</file>