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7D3E4F" w14:textId="77777777" w:rsidR="00A258C3" w:rsidRDefault="001B4B74" w:rsidP="00441B6F">
      <w:pPr>
        <w:pStyle w:val="Author"/>
        <w:spacing w:line="240" w:lineRule="auto"/>
        <w:jc w:val="both"/>
        <w:rPr>
          <w:rFonts w:ascii="Arial" w:hAnsi="Arial" w:cs="Arial"/>
          <w:bCs/>
          <w:iCs/>
          <w:kern w:val="28"/>
          <w:sz w:val="36"/>
        </w:rPr>
      </w:pPr>
      <w:r w:rsidRPr="001B4B74">
        <w:rPr>
          <w:rFonts w:ascii="Arial" w:hAnsi="Arial" w:cs="Arial"/>
          <w:bCs/>
          <w:iCs/>
          <w:kern w:val="28"/>
          <w:sz w:val="36"/>
        </w:rPr>
        <w:t xml:space="preserve">Evaluation Of </w:t>
      </w:r>
      <w:r w:rsidR="00605699" w:rsidRPr="001B4B74">
        <w:rPr>
          <w:rFonts w:ascii="Arial" w:hAnsi="Arial" w:cs="Arial"/>
          <w:bCs/>
          <w:iCs/>
          <w:kern w:val="28"/>
          <w:sz w:val="36"/>
        </w:rPr>
        <w:t>the</w:t>
      </w:r>
      <w:r w:rsidRPr="001B4B74">
        <w:rPr>
          <w:rFonts w:ascii="Arial" w:hAnsi="Arial" w:cs="Arial"/>
          <w:bCs/>
          <w:iCs/>
          <w:kern w:val="28"/>
          <w:sz w:val="36"/>
        </w:rPr>
        <w:t xml:space="preserve"> Risk Of Contamination Of Lactate Preparations In Neonatology In An Ivorian Hospital Case Of The University Hospital Of Treichville And Resistance To Antibiotics Of Bacterial Flora</w:t>
      </w:r>
    </w:p>
    <w:p w14:paraId="29BCCCD0" w14:textId="77777777" w:rsidR="00065FA0" w:rsidRDefault="00065FA0" w:rsidP="00441B6F">
      <w:pPr>
        <w:pStyle w:val="AbstHead"/>
        <w:spacing w:after="0"/>
        <w:jc w:val="both"/>
        <w:rPr>
          <w:rFonts w:ascii="Arial" w:hAnsi="Arial" w:cs="Arial"/>
        </w:rPr>
      </w:pPr>
    </w:p>
    <w:p w14:paraId="548FAEC7" w14:textId="7662073E" w:rsidR="00790ADA" w:rsidRPr="00FB3A86" w:rsidRDefault="001B29F0" w:rsidP="00441B6F">
      <w:pPr>
        <w:pStyle w:val="AbstHead"/>
        <w:spacing w:after="0"/>
        <w:jc w:val="both"/>
        <w:rPr>
          <w:rFonts w:ascii="Arial" w:hAnsi="Arial" w:cs="Arial"/>
        </w:rPr>
      </w:pPr>
      <w:r>
        <w:rPr>
          <w:rFonts w:ascii="Arial" w:hAnsi="Arial" w:cs="Arial"/>
        </w:rPr>
        <w:t>ABSTRACT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212"/>
      </w:tblGrid>
      <w:tr w:rsidR="00296529" w:rsidRPr="001E44FE" w14:paraId="37EF896D" w14:textId="77777777" w:rsidTr="001E44FE">
        <w:tc>
          <w:tcPr>
            <w:tcW w:w="9576" w:type="dxa"/>
            <w:shd w:val="clear" w:color="auto" w:fill="F2F2F2"/>
          </w:tcPr>
          <w:p w14:paraId="2730E4D5" w14:textId="77777777" w:rsidR="00E3114E" w:rsidRPr="00132B91" w:rsidRDefault="00324FAA" w:rsidP="00441B6F">
            <w:pPr>
              <w:pStyle w:val="Body"/>
              <w:spacing w:after="0"/>
              <w:rPr>
                <w:rFonts w:ascii="Arial" w:eastAsia="Calibri" w:hAnsi="Arial" w:cs="Arial"/>
                <w:szCs w:val="22"/>
              </w:rPr>
            </w:pPr>
            <w:r>
              <w:rPr>
                <w:rFonts w:ascii="Arial" w:eastAsia="Calibri" w:hAnsi="Arial" w:cs="Arial"/>
                <w:szCs w:val="22"/>
              </w:rPr>
              <w:t>B</w:t>
            </w:r>
            <w:r w:rsidRPr="00324FAA">
              <w:rPr>
                <w:rFonts w:ascii="Arial" w:eastAsia="Calibri" w:hAnsi="Arial" w:cs="Arial"/>
                <w:b/>
                <w:bCs/>
                <w:szCs w:val="22"/>
              </w:rPr>
              <w:t xml:space="preserve">ackground </w:t>
            </w:r>
            <w:r>
              <w:rPr>
                <w:rFonts w:ascii="Arial" w:eastAsia="Calibri" w:hAnsi="Arial" w:cs="Arial"/>
                <w:szCs w:val="22"/>
              </w:rPr>
              <w:t xml:space="preserve">: </w:t>
            </w:r>
            <w:r w:rsidRPr="00324FAA">
              <w:rPr>
                <w:rFonts w:ascii="Arial" w:eastAsia="Calibri" w:hAnsi="Arial" w:cs="Arial"/>
                <w:szCs w:val="22"/>
              </w:rPr>
              <w:t>Breastfeeding is, and always has been, the normal mode of feeding for infants, enabling them to achieve an optimal level of health, growth and development (AMS, 2001). For the mother, it leads to faster weight loss and fat reduction in the postpartum period, a lower incidence of breast cancer, ovarian cancer and postpartum depression, and a reduced risk of metabolic and cardiovascular pathologies.</w:t>
            </w:r>
            <w:r>
              <w:rPr>
                <w:rFonts w:ascii="Arial" w:eastAsia="Calibri" w:hAnsi="Arial" w:cs="Arial"/>
                <w:szCs w:val="22"/>
              </w:rPr>
              <w:t xml:space="preserve"> </w:t>
            </w:r>
            <w:r w:rsidRPr="001B4B74">
              <w:rPr>
                <w:rFonts w:ascii="Arial" w:eastAsia="Calibri" w:hAnsi="Arial" w:cs="Arial"/>
                <w:szCs w:val="22"/>
              </w:rPr>
              <w:t xml:space="preserve">Milk preparation systems and the hospital environment in the neonatal unit were evaluated. The risk of contamination linked to milk preparation was assessed using a questionnaire. </w:t>
            </w:r>
          </w:p>
          <w:p w14:paraId="19C77F5F" w14:textId="77777777" w:rsidR="004522CF"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4522CF" w:rsidRPr="004522CF">
              <w:rPr>
                <w:rFonts w:ascii="Arial" w:eastAsia="Calibri" w:hAnsi="Arial" w:cs="Arial"/>
                <w:szCs w:val="22"/>
              </w:rPr>
              <w:t>The aim of our work is to ensure the safety of milk formulas used for newborn nutrition in the neonatal department of Treichville University Hospital.</w:t>
            </w:r>
          </w:p>
          <w:p w14:paraId="156E17A3"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6B21D3">
              <w:rPr>
                <w:rFonts w:ascii="Arial" w:eastAsia="Calibri" w:hAnsi="Arial" w:cs="Arial"/>
                <w:szCs w:val="22"/>
              </w:rPr>
              <w:t>Mention the design of the study here</w:t>
            </w:r>
            <w:r w:rsidRPr="00BA1B01">
              <w:rPr>
                <w:rFonts w:ascii="Arial" w:eastAsia="Calibri" w:hAnsi="Arial" w:cs="Arial"/>
                <w:szCs w:val="22"/>
              </w:rPr>
              <w:t>.</w:t>
            </w:r>
          </w:p>
          <w:p w14:paraId="3B8D7D90" w14:textId="77777777" w:rsidR="004522CF" w:rsidRPr="00543716"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315186">
              <w:rPr>
                <w:rFonts w:ascii="Arial" w:eastAsia="Calibri" w:hAnsi="Arial" w:cs="Arial"/>
                <w:szCs w:val="22"/>
              </w:rPr>
              <w:t xml:space="preserve">Sample: </w:t>
            </w:r>
            <w:r w:rsidRPr="00BA1B01">
              <w:rPr>
                <w:rFonts w:ascii="Arial" w:eastAsia="Calibri" w:hAnsi="Arial" w:cs="Arial"/>
                <w:szCs w:val="22"/>
              </w:rPr>
              <w:t>Department of Medicine (Medical Unit IV) and Department of Radiology, Services Institute of Medical Sciences (SIMS), Services Hospital Lahore, between June 2009 and July 2010.</w:t>
            </w:r>
          </w:p>
          <w:p w14:paraId="3E16E3BD"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4522CF" w:rsidRPr="001B4B74">
              <w:rPr>
                <w:rFonts w:ascii="Arial" w:eastAsia="Calibri" w:hAnsi="Arial" w:cs="Arial"/>
                <w:szCs w:val="22"/>
              </w:rPr>
              <w:t xml:space="preserve">Out of a total of 59 samples, 36 milk preparation samples grouped into 6 batches and 23 samples from hands, nostrils and ambient air were collected and analyzed in accordance with microbiological standards for foodstuffs. </w:t>
            </w:r>
            <w:r w:rsidR="004522CF" w:rsidRPr="006B785F">
              <w:rPr>
                <w:rFonts w:ascii="Arial" w:eastAsia="Calibri" w:hAnsi="Arial" w:cs="Arial"/>
                <w:b/>
                <w:bCs/>
                <w:szCs w:val="22"/>
              </w:rPr>
              <w:t>An</w:t>
            </w:r>
            <w:r w:rsidR="004522CF" w:rsidRPr="001B4B74">
              <w:rPr>
                <w:rFonts w:ascii="Arial" w:eastAsia="Calibri" w:hAnsi="Arial" w:cs="Arial"/>
                <w:szCs w:val="22"/>
              </w:rPr>
              <w:t xml:space="preserve">alysis of the batches showed a predominance of </w:t>
            </w:r>
            <w:r w:rsidR="004522CF" w:rsidRPr="004522CF">
              <w:rPr>
                <w:rFonts w:ascii="Arial" w:eastAsia="Calibri" w:hAnsi="Arial" w:cs="Arial"/>
                <w:i/>
                <w:iCs/>
                <w:szCs w:val="22"/>
              </w:rPr>
              <w:t>S. aureus</w:t>
            </w:r>
            <w:r w:rsidR="004522CF" w:rsidRPr="001B4B74">
              <w:rPr>
                <w:rFonts w:ascii="Arial" w:eastAsia="Calibri" w:hAnsi="Arial" w:cs="Arial"/>
                <w:szCs w:val="22"/>
              </w:rPr>
              <w:t xml:space="preserve">, followed by </w:t>
            </w:r>
            <w:r w:rsidR="004522CF" w:rsidRPr="004522CF">
              <w:rPr>
                <w:rFonts w:ascii="Arial" w:eastAsia="Calibri" w:hAnsi="Arial" w:cs="Arial"/>
                <w:i/>
                <w:iCs/>
                <w:szCs w:val="22"/>
              </w:rPr>
              <w:t xml:space="preserve">E. coli </w:t>
            </w:r>
            <w:r w:rsidR="004522CF" w:rsidRPr="001B4B74">
              <w:rPr>
                <w:rFonts w:ascii="Arial" w:eastAsia="Calibri" w:hAnsi="Arial" w:cs="Arial"/>
                <w:szCs w:val="22"/>
              </w:rPr>
              <w:t xml:space="preserve">and finally </w:t>
            </w:r>
            <w:r w:rsidR="004522CF" w:rsidRPr="004522CF">
              <w:rPr>
                <w:rFonts w:ascii="Arial" w:eastAsia="Calibri" w:hAnsi="Arial" w:cs="Arial"/>
                <w:i/>
                <w:iCs/>
                <w:szCs w:val="22"/>
              </w:rPr>
              <w:t>P. aeruginosa</w:t>
            </w:r>
            <w:r w:rsidR="004522CF" w:rsidRPr="001B4B74">
              <w:rPr>
                <w:rFonts w:ascii="Arial" w:eastAsia="Calibri" w:hAnsi="Arial" w:cs="Arial"/>
                <w:szCs w:val="22"/>
              </w:rPr>
              <w:t xml:space="preserve">. Presumptive isolates were identified by biochemical tests, and antibiotic susceptibility tests were carried out in accordance with the recommendations of the Antibiogram Committee of the </w:t>
            </w:r>
            <w:r w:rsidR="004522CF">
              <w:rPr>
                <w:rFonts w:ascii="Arial" w:eastAsia="Calibri" w:hAnsi="Arial" w:cs="Arial"/>
                <w:szCs w:val="22"/>
              </w:rPr>
              <w:t>French society of Microbiology</w:t>
            </w:r>
            <w:r w:rsidR="004522CF" w:rsidRPr="001B4B74">
              <w:rPr>
                <w:rFonts w:ascii="Arial" w:eastAsia="Calibri" w:hAnsi="Arial" w:cs="Arial"/>
                <w:szCs w:val="22"/>
              </w:rPr>
              <w:t xml:space="preserve">. </w:t>
            </w:r>
            <w:r w:rsidRPr="00BA1B01">
              <w:rPr>
                <w:rFonts w:ascii="Arial" w:eastAsia="Calibri" w:hAnsi="Arial" w:cs="Arial"/>
                <w:szCs w:val="22"/>
              </w:rPr>
              <w:t>.</w:t>
            </w:r>
          </w:p>
          <w:p w14:paraId="0F2BAF1E" w14:textId="77777777" w:rsidR="00543716" w:rsidRDefault="00BA1B01" w:rsidP="00441B6F">
            <w:pPr>
              <w:pStyle w:val="Body"/>
              <w:spacing w:after="0"/>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6B785F" w:rsidRPr="004522CF">
              <w:rPr>
                <w:rFonts w:ascii="Arial" w:eastAsia="Calibri" w:hAnsi="Arial" w:cs="Arial"/>
                <w:szCs w:val="22"/>
              </w:rPr>
              <w:t>The</w:t>
            </w:r>
            <w:r w:rsidR="006B785F" w:rsidRPr="001B4B74">
              <w:rPr>
                <w:rFonts w:ascii="Arial" w:eastAsia="Calibri" w:hAnsi="Arial" w:cs="Arial"/>
                <w:szCs w:val="22"/>
              </w:rPr>
              <w:t xml:space="preserve"> results of the microbiological analyses revealed high loads of E. coli (3.6.10</w:t>
            </w:r>
            <w:r w:rsidR="006B785F" w:rsidRPr="00543716">
              <w:rPr>
                <w:rFonts w:ascii="Arial" w:eastAsia="Calibri" w:hAnsi="Arial" w:cs="Arial"/>
                <w:szCs w:val="22"/>
                <w:vertAlign w:val="superscript"/>
              </w:rPr>
              <w:t>4</w:t>
            </w:r>
            <w:r w:rsidR="006B785F" w:rsidRPr="001B4B74">
              <w:rPr>
                <w:rFonts w:ascii="Arial" w:eastAsia="Calibri" w:hAnsi="Arial" w:cs="Arial"/>
                <w:szCs w:val="22"/>
              </w:rPr>
              <w:t xml:space="preserve"> cfu/ml), P. aeruginosa (7.95.10</w:t>
            </w:r>
            <w:r w:rsidR="006B785F" w:rsidRPr="004522CF">
              <w:rPr>
                <w:rFonts w:ascii="Arial" w:eastAsia="Calibri" w:hAnsi="Arial" w:cs="Arial"/>
                <w:szCs w:val="22"/>
                <w:vertAlign w:val="superscript"/>
              </w:rPr>
              <w:t>3</w:t>
            </w:r>
            <w:r w:rsidR="006B785F" w:rsidRPr="001B4B74">
              <w:rPr>
                <w:rFonts w:ascii="Arial" w:eastAsia="Calibri" w:hAnsi="Arial" w:cs="Arial"/>
                <w:szCs w:val="22"/>
              </w:rPr>
              <w:t xml:space="preserve"> cfu/ml) and S. aureus (3.7.10</w:t>
            </w:r>
            <w:r w:rsidR="006B785F" w:rsidRPr="00543716">
              <w:rPr>
                <w:rFonts w:ascii="Arial" w:eastAsia="Calibri" w:hAnsi="Arial" w:cs="Arial"/>
                <w:szCs w:val="22"/>
                <w:vertAlign w:val="superscript"/>
              </w:rPr>
              <w:t>3</w:t>
            </w:r>
            <w:r w:rsidR="006B785F" w:rsidRPr="001B4B74">
              <w:rPr>
                <w:rFonts w:ascii="Arial" w:eastAsia="Calibri" w:hAnsi="Arial" w:cs="Arial"/>
                <w:szCs w:val="22"/>
              </w:rPr>
              <w:t xml:space="preserve"> cfu/ml) in the milk formula. E. faecalis was not present. Sensitivity tests revealed a high level of resistance to most of the antibiotics tested, mainly to â-lactamins. </w:t>
            </w:r>
            <w:r w:rsidR="006B785F" w:rsidRPr="004522CF">
              <w:rPr>
                <w:rFonts w:ascii="Arial" w:eastAsia="Calibri" w:hAnsi="Arial" w:cs="Arial"/>
                <w:szCs w:val="22"/>
              </w:rPr>
              <w:t>The</w:t>
            </w:r>
            <w:r w:rsidR="006B785F" w:rsidRPr="001B4B74">
              <w:rPr>
                <w:rFonts w:ascii="Arial" w:eastAsia="Calibri" w:hAnsi="Arial" w:cs="Arial"/>
                <w:szCs w:val="22"/>
              </w:rPr>
              <w:t xml:space="preserve"> majority of </w:t>
            </w:r>
            <w:r w:rsidR="006B785F" w:rsidRPr="001B4B74">
              <w:rPr>
                <w:rFonts w:ascii="Arial" w:eastAsia="Calibri" w:hAnsi="Arial" w:cs="Arial"/>
                <w:i/>
                <w:iCs/>
                <w:szCs w:val="22"/>
              </w:rPr>
              <w:t>E. coli</w:t>
            </w:r>
            <w:r w:rsidR="006B785F" w:rsidRPr="001B4B74">
              <w:rPr>
                <w:rFonts w:ascii="Arial" w:eastAsia="Calibri" w:hAnsi="Arial" w:cs="Arial"/>
                <w:szCs w:val="22"/>
              </w:rPr>
              <w:t xml:space="preserve"> showed an ESBL-producing phenotype (35%). S. aureus showed 44.4% resistance to aminoglycosides, giving a KTG phenotype. Other ESBL phenotypes were found in </w:t>
            </w:r>
            <w:r w:rsidR="006B785F" w:rsidRPr="00605699">
              <w:rPr>
                <w:rFonts w:ascii="Arial" w:eastAsia="Calibri" w:hAnsi="Arial" w:cs="Arial"/>
                <w:i/>
                <w:iCs/>
                <w:szCs w:val="22"/>
              </w:rPr>
              <w:t>P. aeruginosa</w:t>
            </w:r>
            <w:r w:rsidR="006B785F" w:rsidRPr="001B4B74">
              <w:rPr>
                <w:rFonts w:ascii="Arial" w:eastAsia="Calibri" w:hAnsi="Arial" w:cs="Arial"/>
                <w:szCs w:val="22"/>
              </w:rPr>
              <w:t>.</w:t>
            </w:r>
            <w:r w:rsidR="00EC3C60">
              <w:rPr>
                <w:rFonts w:ascii="Arial" w:eastAsia="Calibri" w:hAnsi="Arial" w:cs="Arial"/>
                <w:szCs w:val="22"/>
              </w:rPr>
              <w:t xml:space="preserve"> </w:t>
            </w:r>
            <w:r w:rsidR="004522CF" w:rsidRPr="004522CF">
              <w:rPr>
                <w:rFonts w:ascii="Arial" w:eastAsia="Calibri" w:hAnsi="Arial" w:cs="Arial"/>
                <w:szCs w:val="22"/>
              </w:rPr>
              <w:t>In</w:t>
            </w:r>
            <w:r w:rsidR="004522CF" w:rsidRPr="001B4B74">
              <w:rPr>
                <w:rFonts w:ascii="Arial" w:eastAsia="Calibri" w:hAnsi="Arial" w:cs="Arial"/>
                <w:szCs w:val="22"/>
              </w:rPr>
              <w:t xml:space="preserve"> general, these strains are highly resistant to a variety of antibiotics, presenting a real risk for human antibiotic therapy</w:t>
            </w:r>
          </w:p>
          <w:p w14:paraId="19E9C321" w14:textId="77777777" w:rsidR="00543716" w:rsidRPr="00BA1B01" w:rsidRDefault="00543716"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Pr="00543716">
              <w:rPr>
                <w:rFonts w:ascii="Arial" w:eastAsia="Calibri" w:hAnsi="Arial" w:cs="Arial"/>
                <w:szCs w:val="22"/>
              </w:rPr>
              <w:t xml:space="preserve">The results obtained showed a predominance of </w:t>
            </w:r>
            <w:r w:rsidRPr="00543716">
              <w:rPr>
                <w:rFonts w:ascii="Arial" w:eastAsia="Calibri" w:hAnsi="Arial" w:cs="Arial"/>
                <w:i/>
                <w:iCs/>
                <w:szCs w:val="22"/>
              </w:rPr>
              <w:t>E. coli</w:t>
            </w:r>
            <w:r w:rsidRPr="00543716">
              <w:rPr>
                <w:rFonts w:ascii="Arial" w:eastAsia="Calibri" w:hAnsi="Arial" w:cs="Arial"/>
                <w:szCs w:val="22"/>
              </w:rPr>
              <w:t xml:space="preserve"> with an average microbial load of 3.6.10</w:t>
            </w:r>
            <w:r w:rsidRPr="00543716">
              <w:rPr>
                <w:rFonts w:ascii="Arial" w:eastAsia="Calibri" w:hAnsi="Arial" w:cs="Arial"/>
                <w:szCs w:val="22"/>
                <w:vertAlign w:val="superscript"/>
              </w:rPr>
              <w:t>4</w:t>
            </w:r>
            <w:r w:rsidRPr="00543716">
              <w:rPr>
                <w:rFonts w:ascii="Arial" w:eastAsia="Calibri" w:hAnsi="Arial" w:cs="Arial"/>
                <w:szCs w:val="22"/>
              </w:rPr>
              <w:t xml:space="preserve"> cfu/ml, followed by </w:t>
            </w:r>
            <w:r w:rsidRPr="00543716">
              <w:rPr>
                <w:rFonts w:ascii="Arial" w:eastAsia="Calibri" w:hAnsi="Arial" w:cs="Arial"/>
                <w:i/>
                <w:iCs/>
                <w:szCs w:val="22"/>
              </w:rPr>
              <w:t>S. aureus</w:t>
            </w:r>
            <w:r w:rsidRPr="00543716">
              <w:rPr>
                <w:rFonts w:ascii="Arial" w:eastAsia="Calibri" w:hAnsi="Arial" w:cs="Arial"/>
                <w:szCs w:val="22"/>
              </w:rPr>
              <w:t xml:space="preserve"> (3.7.10</w:t>
            </w:r>
            <w:r w:rsidRPr="00543716">
              <w:rPr>
                <w:rFonts w:ascii="Arial" w:eastAsia="Calibri" w:hAnsi="Arial" w:cs="Arial"/>
                <w:szCs w:val="22"/>
                <w:vertAlign w:val="superscript"/>
              </w:rPr>
              <w:t>3</w:t>
            </w:r>
            <w:r w:rsidRPr="00543716">
              <w:rPr>
                <w:rFonts w:ascii="Arial" w:eastAsia="Calibri" w:hAnsi="Arial" w:cs="Arial"/>
                <w:szCs w:val="22"/>
              </w:rPr>
              <w:t xml:space="preserve"> cfu/ml) and finally P. aeruginosa (7.95.10</w:t>
            </w:r>
            <w:r w:rsidRPr="00543716">
              <w:rPr>
                <w:rFonts w:ascii="Arial" w:eastAsia="Calibri" w:hAnsi="Arial" w:cs="Arial"/>
                <w:szCs w:val="22"/>
                <w:vertAlign w:val="superscript"/>
              </w:rPr>
              <w:t>3</w:t>
            </w:r>
            <w:r w:rsidRPr="00543716">
              <w:rPr>
                <w:rFonts w:ascii="Arial" w:eastAsia="Calibri" w:hAnsi="Arial" w:cs="Arial"/>
                <w:szCs w:val="22"/>
              </w:rPr>
              <w:t xml:space="preserve"> cfu/ml). However, a diversity of bacterial strains in the environment was observed. Given the high microbial load of the strains compared with food microbiology standards, milk intended for newborns is judged to be of unsatisfactory sanitary quality.</w:t>
            </w:r>
          </w:p>
        </w:tc>
      </w:tr>
    </w:tbl>
    <w:p w14:paraId="7B77FC87" w14:textId="77777777" w:rsidR="00636EB2" w:rsidRDefault="00636EB2" w:rsidP="00441B6F">
      <w:pPr>
        <w:pStyle w:val="Body"/>
        <w:spacing w:after="0"/>
        <w:rPr>
          <w:rFonts w:ascii="Arial" w:hAnsi="Arial" w:cs="Arial"/>
          <w:i/>
        </w:rPr>
      </w:pPr>
    </w:p>
    <w:p w14:paraId="451FB064" w14:textId="77777777" w:rsidR="00505F06" w:rsidRPr="008B2975" w:rsidRDefault="00A24E7E" w:rsidP="008B2975">
      <w:pPr>
        <w:pStyle w:val="NormalWeb"/>
        <w:jc w:val="both"/>
        <w:rPr>
          <w:lang w:val="en-US"/>
        </w:rPr>
      </w:pPr>
      <w:r w:rsidRPr="00132B91">
        <w:rPr>
          <w:rFonts w:ascii="Arial" w:hAnsi="Arial" w:cs="Arial"/>
          <w:i/>
          <w:lang w:val="en-US"/>
        </w:rPr>
        <w:t xml:space="preserve">Keywords: </w:t>
      </w:r>
      <w:r w:rsidR="00132B91" w:rsidRPr="00132B91">
        <w:rPr>
          <w:rFonts w:ascii="Arial" w:hAnsi="Arial" w:cs="Arial"/>
          <w:i/>
          <w:iCs/>
          <w:sz w:val="20"/>
          <w:szCs w:val="20"/>
          <w:lang w:val="en-US"/>
        </w:rPr>
        <w:t>Milky preparations, bacterial contamination flora, antibiotic resistance, neonatology</w:t>
      </w:r>
      <w:r w:rsidR="00132B91" w:rsidRPr="00132B91">
        <w:rPr>
          <w:rFonts w:ascii="Arial" w:hAnsi="Arial" w:cs="Arial"/>
          <w:sz w:val="18"/>
          <w:szCs w:val="18"/>
          <w:lang w:val="en-US"/>
        </w:rPr>
        <w:t xml:space="preserve">. </w:t>
      </w:r>
    </w:p>
    <w:p w14:paraId="6BBED527" w14:textId="77777777" w:rsidR="007F7B32"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r w:rsidR="007F7B32">
        <w:rPr>
          <w:rFonts w:ascii="Arial" w:hAnsi="Arial" w:cs="Arial"/>
        </w:rPr>
        <w:t xml:space="preserve"> </w:t>
      </w:r>
    </w:p>
    <w:p w14:paraId="1304176E" w14:textId="77777777" w:rsidR="00790ADA" w:rsidRPr="00FB3A86" w:rsidRDefault="00790ADA" w:rsidP="00441B6F">
      <w:pPr>
        <w:pStyle w:val="AbstHead"/>
        <w:spacing w:after="0"/>
        <w:jc w:val="both"/>
        <w:rPr>
          <w:rFonts w:ascii="Arial" w:hAnsi="Arial" w:cs="Arial"/>
        </w:rPr>
      </w:pPr>
    </w:p>
    <w:p w14:paraId="1F039DEC" w14:textId="77777777" w:rsidR="00790ADA" w:rsidRPr="00FB3A86" w:rsidRDefault="00132B91" w:rsidP="00132DEE">
      <w:pPr>
        <w:pStyle w:val="Body"/>
        <w:rPr>
          <w:rFonts w:ascii="Arial" w:hAnsi="Arial" w:cs="Arial"/>
        </w:rPr>
      </w:pPr>
      <w:r w:rsidRPr="00132B91">
        <w:rPr>
          <w:rFonts w:ascii="Arial" w:hAnsi="Arial" w:cs="Arial"/>
        </w:rPr>
        <w:t>Breastfeeding is, and always has been, the normal mode of feeding for infants, enabling them to achieve an optimal level of health, growth and development (AMS, 2001). For the mother, it leads to faster weight loss and fat reduction in the postpartum period, a lower incidence of breast cancer, ovarian cancer and postpartum depression, and a reduced risk of metabolic and cardiovascular pathologies (Thirion, 1999). This is why, since 2002, national and international recommendations have called for its initiation and continuation exclusively during the first 6 months post-partum (WHO, 2004). Nevertheless, alternatives to breastfeeding have always been sought. This has led to proposals for substitute foods, based on infant formula (Lokombe &amp; Mullie, 2005). Although often presented as an alternative to breast milk, infant formulas can present contamination risks to which newborns are exposed. These contamination risks are most often linked to a lack of hygiene at several levels, both in terms of preparation equipment and personnel, and also in terms of the hospital environment</w:t>
      </w:r>
      <w:r w:rsidR="00C036A0">
        <w:rPr>
          <w:rFonts w:ascii="Arial" w:hAnsi="Arial" w:cs="Arial"/>
        </w:rPr>
        <w:t xml:space="preserve">. </w:t>
      </w:r>
      <w:r w:rsidR="00C036A0" w:rsidRPr="00C036A0">
        <w:rPr>
          <w:rFonts w:ascii="Arial" w:hAnsi="Arial" w:cs="Arial"/>
        </w:rPr>
        <w:t xml:space="preserve"> Among the bacterial strains circulating in hospitals, Escherichia coli (</w:t>
      </w:r>
      <w:r w:rsidR="00C036A0" w:rsidRPr="00C036A0">
        <w:rPr>
          <w:rFonts w:ascii="Arial" w:hAnsi="Arial" w:cs="Arial"/>
          <w:i/>
          <w:iCs/>
        </w:rPr>
        <w:t>E. coli</w:t>
      </w:r>
      <w:r w:rsidR="00C036A0" w:rsidRPr="00C036A0">
        <w:rPr>
          <w:rFonts w:ascii="Arial" w:hAnsi="Arial" w:cs="Arial"/>
        </w:rPr>
        <w:t xml:space="preserve">), </w:t>
      </w:r>
      <w:r w:rsidR="00C036A0" w:rsidRPr="00C036A0">
        <w:rPr>
          <w:rFonts w:ascii="Arial" w:hAnsi="Arial" w:cs="Arial"/>
          <w:i/>
          <w:iCs/>
        </w:rPr>
        <w:t>Staphylococcus aureus</w:t>
      </w:r>
      <w:r w:rsidR="00C036A0" w:rsidRPr="00C036A0">
        <w:rPr>
          <w:rFonts w:ascii="Arial" w:hAnsi="Arial" w:cs="Arial"/>
        </w:rPr>
        <w:t xml:space="preserve"> (</w:t>
      </w:r>
      <w:r w:rsidR="00C036A0" w:rsidRPr="00C036A0">
        <w:rPr>
          <w:rFonts w:ascii="Arial" w:hAnsi="Arial" w:cs="Arial"/>
          <w:i/>
          <w:iCs/>
        </w:rPr>
        <w:t>S. aureus</w:t>
      </w:r>
      <w:r w:rsidR="00C036A0" w:rsidRPr="00C036A0">
        <w:rPr>
          <w:rFonts w:ascii="Arial" w:hAnsi="Arial" w:cs="Arial"/>
        </w:rPr>
        <w:t xml:space="preserve">), </w:t>
      </w:r>
      <w:r w:rsidR="00C036A0" w:rsidRPr="00C036A0">
        <w:rPr>
          <w:rFonts w:ascii="Arial" w:hAnsi="Arial" w:cs="Arial"/>
          <w:i/>
          <w:iCs/>
        </w:rPr>
        <w:t>Pseudomonas aeruginosa</w:t>
      </w:r>
      <w:r w:rsidR="00C036A0" w:rsidRPr="00C036A0">
        <w:rPr>
          <w:rFonts w:ascii="Arial" w:hAnsi="Arial" w:cs="Arial"/>
        </w:rPr>
        <w:t xml:space="preserve"> (</w:t>
      </w:r>
      <w:r w:rsidR="00C036A0" w:rsidRPr="00C036A0">
        <w:rPr>
          <w:rFonts w:ascii="Arial" w:hAnsi="Arial" w:cs="Arial"/>
          <w:i/>
          <w:iCs/>
        </w:rPr>
        <w:t>P. aeruginosa</w:t>
      </w:r>
      <w:r w:rsidR="00C036A0" w:rsidRPr="00C036A0">
        <w:rPr>
          <w:rFonts w:ascii="Arial" w:hAnsi="Arial" w:cs="Arial"/>
        </w:rPr>
        <w:t xml:space="preserve">) and </w:t>
      </w:r>
      <w:r w:rsidR="00C036A0" w:rsidRPr="00C036A0">
        <w:rPr>
          <w:rFonts w:ascii="Arial" w:hAnsi="Arial" w:cs="Arial"/>
          <w:i/>
          <w:iCs/>
        </w:rPr>
        <w:t>Enterococcus faecalis</w:t>
      </w:r>
      <w:r w:rsidR="00C036A0" w:rsidRPr="00C036A0">
        <w:rPr>
          <w:rFonts w:ascii="Arial" w:hAnsi="Arial" w:cs="Arial"/>
        </w:rPr>
        <w:t xml:space="preserve"> (</w:t>
      </w:r>
      <w:r w:rsidR="00C036A0" w:rsidRPr="00C036A0">
        <w:rPr>
          <w:rFonts w:ascii="Arial" w:hAnsi="Arial" w:cs="Arial"/>
          <w:i/>
          <w:iCs/>
        </w:rPr>
        <w:t>E. faecalis</w:t>
      </w:r>
      <w:r w:rsidR="00C036A0" w:rsidRPr="00C036A0">
        <w:rPr>
          <w:rFonts w:ascii="Arial" w:hAnsi="Arial" w:cs="Arial"/>
        </w:rPr>
        <w:t>) are the major agents of nosocomial and community-acquired infections (Kirat, 2007). Indeed, most of these bacteria are responsible for food poisoning, proliferating in the body and producing disorders such as diarrhea, nausea, abdominal cramps, muscular pains, migraines and fevers. These bacteria also have deleterious effects on the human organism, causing illnesses such as meningitis, urinary tract infections,</w:t>
      </w:r>
      <w:r w:rsidR="00C036A0">
        <w:rPr>
          <w:rFonts w:ascii="Arial" w:hAnsi="Arial" w:cs="Arial"/>
        </w:rPr>
        <w:t xml:space="preserve"> </w:t>
      </w:r>
      <w:r w:rsidR="00C036A0" w:rsidRPr="00C036A0">
        <w:rPr>
          <w:rFonts w:ascii="Arial" w:hAnsi="Arial" w:cs="Arial"/>
        </w:rPr>
        <w:t>skin infections and many others (Abhijit, 2013). To alleviate this problem, medicine resorts to antibiotics, which often control epidemics caused by these bacteria (Ashish &amp; Rajesh, 2017). The routine and abusive use of antibiotics not only leads to bacterial resistance, but is also costly for society. It is therefore imperative to study the phenomenon in order to better understand the origin, functioning and mechanisms of antibiotic resistance (Tremblay, 2007). The aim of our work is to ensure the safety of milk preparations intended for newborn nutrition in the neonatology department of Treichville University Hospital.</w:t>
      </w:r>
    </w:p>
    <w:p w14:paraId="68CE1ABC" w14:textId="77777777"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45E47A62" w14:textId="77777777" w:rsidR="00790ADA" w:rsidRPr="00FB3A86" w:rsidRDefault="00790ADA" w:rsidP="00441B6F">
      <w:pPr>
        <w:pStyle w:val="AbstHead"/>
        <w:spacing w:after="0"/>
        <w:jc w:val="both"/>
        <w:rPr>
          <w:rFonts w:ascii="Arial" w:hAnsi="Arial" w:cs="Arial"/>
        </w:rPr>
      </w:pPr>
    </w:p>
    <w:p w14:paraId="6937E481" w14:textId="77777777" w:rsidR="00C036A0" w:rsidRPr="002D448C" w:rsidRDefault="00C036A0" w:rsidP="002D448C">
      <w:pPr>
        <w:pStyle w:val="Body"/>
        <w:ind w:firstLine="284"/>
        <w:rPr>
          <w:rFonts w:ascii="Arial" w:hAnsi="Arial" w:cs="Arial"/>
          <w:b/>
          <w:bCs/>
          <w:sz w:val="21"/>
          <w:szCs w:val="21"/>
        </w:rPr>
      </w:pPr>
      <w:r w:rsidRPr="002D448C">
        <w:rPr>
          <w:rFonts w:ascii="Arial" w:hAnsi="Arial" w:cs="Arial"/>
          <w:b/>
          <w:bCs/>
          <w:sz w:val="21"/>
          <w:szCs w:val="21"/>
        </w:rPr>
        <w:t xml:space="preserve">2.1. </w:t>
      </w:r>
      <w:r w:rsidR="002D448C" w:rsidRPr="002D448C">
        <w:rPr>
          <w:rFonts w:ascii="Arial" w:hAnsi="Arial" w:cs="Arial"/>
          <w:b/>
          <w:bCs/>
          <w:sz w:val="21"/>
          <w:szCs w:val="21"/>
        </w:rPr>
        <w:t>Biological material</w:t>
      </w:r>
    </w:p>
    <w:p w14:paraId="20462014" w14:textId="77777777" w:rsidR="00790ADA" w:rsidRDefault="00C036A0" w:rsidP="00441B6F">
      <w:pPr>
        <w:pStyle w:val="Body"/>
        <w:spacing w:after="0"/>
        <w:rPr>
          <w:rFonts w:ascii="Arial" w:hAnsi="Arial" w:cs="Arial"/>
        </w:rPr>
      </w:pPr>
      <w:r w:rsidRPr="00C036A0">
        <w:rPr>
          <w:rFonts w:ascii="Arial" w:hAnsi="Arial" w:cs="Arial"/>
        </w:rPr>
        <w:t xml:space="preserve">This experimental study consisted of searching for four (4) bacteria in milk preparations, hands, nostrils and the ambient environment during a period from November 2017 to May 2018. These bacteria are </w:t>
      </w:r>
      <w:r w:rsidRPr="00C036A0">
        <w:rPr>
          <w:rFonts w:ascii="Arial" w:hAnsi="Arial" w:cs="Arial"/>
          <w:i/>
          <w:iCs/>
        </w:rPr>
        <w:t>S. aureus</w:t>
      </w:r>
      <w:r w:rsidRPr="00C036A0">
        <w:rPr>
          <w:rFonts w:ascii="Arial" w:hAnsi="Arial" w:cs="Arial"/>
        </w:rPr>
        <w:t xml:space="preserve">, </w:t>
      </w:r>
      <w:r w:rsidRPr="00C036A0">
        <w:rPr>
          <w:rFonts w:ascii="Arial" w:hAnsi="Arial" w:cs="Arial"/>
          <w:i/>
          <w:iCs/>
        </w:rPr>
        <w:t>E. coli</w:t>
      </w:r>
      <w:r w:rsidRPr="00C036A0">
        <w:rPr>
          <w:rFonts w:ascii="Arial" w:hAnsi="Arial" w:cs="Arial"/>
        </w:rPr>
        <w:t xml:space="preserve">, </w:t>
      </w:r>
      <w:r w:rsidRPr="00C036A0">
        <w:rPr>
          <w:rFonts w:ascii="Arial" w:hAnsi="Arial" w:cs="Arial"/>
          <w:i/>
          <w:iCs/>
        </w:rPr>
        <w:t>P. aeruginosa</w:t>
      </w:r>
      <w:r w:rsidRPr="00C036A0">
        <w:rPr>
          <w:rFonts w:ascii="Arial" w:hAnsi="Arial" w:cs="Arial"/>
        </w:rPr>
        <w:t xml:space="preserve"> and </w:t>
      </w:r>
      <w:r w:rsidRPr="00C036A0">
        <w:rPr>
          <w:rFonts w:ascii="Arial" w:hAnsi="Arial" w:cs="Arial"/>
          <w:i/>
          <w:iCs/>
        </w:rPr>
        <w:t>E. faecalis.</w:t>
      </w:r>
    </w:p>
    <w:p w14:paraId="3D49525E" w14:textId="77777777" w:rsidR="00C036A0" w:rsidRDefault="00C036A0" w:rsidP="00441B6F">
      <w:pPr>
        <w:pStyle w:val="Body"/>
        <w:spacing w:after="0"/>
        <w:rPr>
          <w:rFonts w:ascii="Arial" w:hAnsi="Arial" w:cs="Arial"/>
        </w:rPr>
      </w:pPr>
    </w:p>
    <w:p w14:paraId="40E9B558" w14:textId="77777777" w:rsidR="00C036A0" w:rsidRPr="002736E2" w:rsidRDefault="00C036A0" w:rsidP="002736E2">
      <w:pPr>
        <w:pStyle w:val="Body"/>
        <w:ind w:firstLine="567"/>
        <w:rPr>
          <w:rFonts w:ascii="Arial" w:hAnsi="Arial" w:cs="Arial"/>
          <w:i/>
          <w:iCs/>
        </w:rPr>
      </w:pPr>
      <w:r w:rsidRPr="002736E2">
        <w:rPr>
          <w:rFonts w:ascii="Arial" w:hAnsi="Arial" w:cs="Arial"/>
          <w:i/>
          <w:iCs/>
        </w:rPr>
        <w:t>2.</w:t>
      </w:r>
      <w:r w:rsidR="002736E2" w:rsidRPr="002736E2">
        <w:rPr>
          <w:rFonts w:ascii="Arial" w:hAnsi="Arial" w:cs="Arial"/>
          <w:i/>
          <w:iCs/>
        </w:rPr>
        <w:t>1.1</w:t>
      </w:r>
      <w:r w:rsidRPr="002736E2">
        <w:rPr>
          <w:rFonts w:ascii="Arial" w:hAnsi="Arial" w:cs="Arial"/>
          <w:i/>
          <w:iCs/>
        </w:rPr>
        <w:t>. S</w:t>
      </w:r>
      <w:r w:rsidR="002736E2" w:rsidRPr="002736E2">
        <w:rPr>
          <w:rFonts w:ascii="Arial" w:hAnsi="Arial" w:cs="Arial"/>
          <w:i/>
          <w:iCs/>
        </w:rPr>
        <w:t>ampling</w:t>
      </w:r>
    </w:p>
    <w:p w14:paraId="60DEB899" w14:textId="77777777" w:rsidR="00C036A0" w:rsidRDefault="00C036A0" w:rsidP="002D448C">
      <w:pPr>
        <w:pStyle w:val="Body"/>
        <w:rPr>
          <w:rFonts w:ascii="Arial" w:hAnsi="Arial" w:cs="Arial"/>
        </w:rPr>
      </w:pPr>
      <w:r w:rsidRPr="00C036A0">
        <w:rPr>
          <w:rFonts w:ascii="Arial" w:hAnsi="Arial" w:cs="Arial"/>
        </w:rPr>
        <w:t>Sampling was carried out at Treichville University Hospital in the mornings at preparation times (8am-10am), from March 2018 to April 2018. In order to assess the bacteriological quality of milk collected in the neonatal department, samples of milk preparations were taken, as well as samples from the hands, nostrils of kitchen staff and ambient air. Milk samples were collected aseptically in 30 mL sterile conical centrifuge tubes. Each conical centrifuge tube constituted a batch. Six (6) batches of milk were collected, and sub-batches of 5 mL were made from the six batches.  Each batch consisted of 6 x 5-mL conical centrifuge tubes containing milk</w:t>
      </w:r>
      <w:r>
        <w:rPr>
          <w:rFonts w:ascii="Arial" w:hAnsi="Arial" w:cs="Arial"/>
        </w:rPr>
        <w:t xml:space="preserve"> </w:t>
      </w:r>
      <w:r w:rsidRPr="00C036A0">
        <w:rPr>
          <w:rFonts w:ascii="Arial" w:hAnsi="Arial" w:cs="Arial"/>
        </w:rPr>
        <w:t xml:space="preserve">containing milk, with one 5 mL conical centrifuge tube constituting a sub-batch. Samples were then taken from the hands and nostrils of kitchen staff by swabbing, and from ambient air by exposing plates containing ordinary agar to air. To do this, open Petri dishes previously filled with ordinary agar were placed in the preparation kitchen near the preparation area for 30 minutes to 1 hour. A total of 59 samples were collected. Immediately after collection, all samples were stored at low temperature (4°C), in a cooler containing cold accumulators, and transported to the Institute Pasteur </w:t>
      </w:r>
      <w:r>
        <w:rPr>
          <w:rFonts w:ascii="Arial" w:hAnsi="Arial" w:cs="Arial"/>
        </w:rPr>
        <w:t>of</w:t>
      </w:r>
      <w:r w:rsidRPr="00C036A0">
        <w:rPr>
          <w:rFonts w:ascii="Arial" w:hAnsi="Arial" w:cs="Arial"/>
        </w:rPr>
        <w:t xml:space="preserve"> </w:t>
      </w:r>
      <w:r>
        <w:rPr>
          <w:rFonts w:ascii="Arial" w:hAnsi="Arial" w:cs="Arial"/>
        </w:rPr>
        <w:t>Ivory Coast</w:t>
      </w:r>
      <w:r w:rsidRPr="00C036A0">
        <w:rPr>
          <w:rFonts w:ascii="Arial" w:hAnsi="Arial" w:cs="Arial"/>
        </w:rPr>
        <w:t xml:space="preserve"> for bacteriological analysis.</w:t>
      </w:r>
    </w:p>
    <w:p w14:paraId="5B5CB84C" w14:textId="77777777" w:rsidR="002736E2" w:rsidRPr="002736E2" w:rsidRDefault="002736E2" w:rsidP="002736E2">
      <w:pPr>
        <w:pStyle w:val="Body"/>
        <w:ind w:firstLine="567"/>
        <w:rPr>
          <w:rFonts w:ascii="Arial" w:hAnsi="Arial" w:cs="Arial"/>
          <w:i/>
          <w:iCs/>
        </w:rPr>
      </w:pPr>
      <w:r w:rsidRPr="002736E2">
        <w:rPr>
          <w:rFonts w:ascii="Arial" w:hAnsi="Arial" w:cs="Arial"/>
          <w:i/>
          <w:iCs/>
        </w:rPr>
        <w:lastRenderedPageBreak/>
        <w:t>2.1.2. Identification and enumeration of contaminating germs</w:t>
      </w:r>
    </w:p>
    <w:p w14:paraId="0F1718F9" w14:textId="77777777" w:rsidR="002F1304" w:rsidRPr="00FB3A86" w:rsidRDefault="002736E2" w:rsidP="002D448C">
      <w:pPr>
        <w:pStyle w:val="Body"/>
        <w:rPr>
          <w:rFonts w:ascii="Arial" w:hAnsi="Arial" w:cs="Arial"/>
        </w:rPr>
      </w:pPr>
      <w:r w:rsidRPr="002736E2">
        <w:rPr>
          <w:rFonts w:ascii="Arial" w:hAnsi="Arial" w:cs="Arial"/>
        </w:rPr>
        <w:t xml:space="preserve">Different dilutions with tryptone salt solution (TSE) were used, depending on the nature of the sample; they varied between 10-1 and 10-3. For each sample, four bacteria were tested: </w:t>
      </w:r>
      <w:r w:rsidRPr="002736E2">
        <w:rPr>
          <w:rFonts w:ascii="Arial" w:hAnsi="Arial" w:cs="Arial"/>
          <w:i/>
          <w:iCs/>
        </w:rPr>
        <w:t>Escherichia coli</w:t>
      </w:r>
      <w:r w:rsidRPr="002736E2">
        <w:rPr>
          <w:rFonts w:ascii="Arial" w:hAnsi="Arial" w:cs="Arial"/>
        </w:rPr>
        <w:t xml:space="preserve">, Staphylococcus aureus, </w:t>
      </w:r>
      <w:r w:rsidRPr="002736E2">
        <w:rPr>
          <w:rFonts w:ascii="Arial" w:hAnsi="Arial" w:cs="Arial"/>
          <w:i/>
          <w:iCs/>
        </w:rPr>
        <w:t>Pseudomonas aeruginosa</w:t>
      </w:r>
      <w:r w:rsidRPr="002736E2">
        <w:rPr>
          <w:rFonts w:ascii="Arial" w:hAnsi="Arial" w:cs="Arial"/>
        </w:rPr>
        <w:t xml:space="preserve"> and </w:t>
      </w:r>
      <w:r w:rsidRPr="002736E2">
        <w:rPr>
          <w:rFonts w:ascii="Arial" w:hAnsi="Arial" w:cs="Arial"/>
          <w:i/>
          <w:iCs/>
        </w:rPr>
        <w:t>Enterococcus faecalis</w:t>
      </w:r>
      <w:r w:rsidRPr="002736E2">
        <w:rPr>
          <w:rFonts w:ascii="Arial" w:hAnsi="Arial" w:cs="Arial"/>
        </w:rPr>
        <w:t>.</w:t>
      </w:r>
      <w:r>
        <w:rPr>
          <w:rFonts w:ascii="Arial" w:hAnsi="Arial" w:cs="Arial"/>
        </w:rPr>
        <w:t xml:space="preserve"> </w:t>
      </w:r>
      <w:r w:rsidRPr="002736E2">
        <w:rPr>
          <w:rFonts w:ascii="Arial" w:hAnsi="Arial" w:cs="Arial"/>
          <w:i/>
          <w:iCs/>
        </w:rPr>
        <w:t>Escherichia coli</w:t>
      </w:r>
      <w:r w:rsidRPr="002736E2">
        <w:rPr>
          <w:rFonts w:ascii="Arial" w:hAnsi="Arial" w:cs="Arial"/>
        </w:rPr>
        <w:t xml:space="preserve"> </w:t>
      </w:r>
      <w:r w:rsidR="00EC3C60" w:rsidRPr="002736E2">
        <w:rPr>
          <w:rFonts w:ascii="Arial" w:hAnsi="Arial" w:cs="Arial"/>
        </w:rPr>
        <w:t>was</w:t>
      </w:r>
      <w:r w:rsidRPr="002736E2">
        <w:rPr>
          <w:rFonts w:ascii="Arial" w:hAnsi="Arial" w:cs="Arial"/>
        </w:rPr>
        <w:t xml:space="preserve"> detected and counted on Tryptone bile X-glucuronide (TBX) agar after incubation at 44°C for 24 h</w:t>
      </w:r>
      <w:r w:rsidRPr="002736E2">
        <w:rPr>
          <w:rFonts w:ascii="Arial" w:hAnsi="Arial" w:cs="Arial"/>
          <w:i/>
          <w:iCs/>
        </w:rPr>
        <w:t>. E. coli</w:t>
      </w:r>
      <w:r w:rsidRPr="002736E2">
        <w:rPr>
          <w:rFonts w:ascii="Arial" w:hAnsi="Arial" w:cs="Arial"/>
        </w:rPr>
        <w:t xml:space="preserve"> germs are characterized by blue colonies (Marchal et al., 1982).</w:t>
      </w:r>
      <w:r>
        <w:rPr>
          <w:rFonts w:ascii="Arial" w:hAnsi="Arial" w:cs="Arial"/>
        </w:rPr>
        <w:t xml:space="preserve"> </w:t>
      </w:r>
      <w:r w:rsidRPr="00C77988">
        <w:rPr>
          <w:rFonts w:ascii="Arial" w:hAnsi="Arial" w:cs="Arial"/>
          <w:i/>
          <w:iCs/>
        </w:rPr>
        <w:t>Staphylococcus aureus</w:t>
      </w:r>
      <w:r w:rsidRPr="002736E2">
        <w:rPr>
          <w:rFonts w:ascii="Arial" w:hAnsi="Arial" w:cs="Arial"/>
        </w:rPr>
        <w:t xml:space="preserve"> </w:t>
      </w:r>
      <w:r w:rsidR="00EC3C60" w:rsidRPr="002736E2">
        <w:rPr>
          <w:rFonts w:ascii="Arial" w:hAnsi="Arial" w:cs="Arial"/>
        </w:rPr>
        <w:t>was</w:t>
      </w:r>
      <w:r w:rsidRPr="002736E2">
        <w:rPr>
          <w:rFonts w:ascii="Arial" w:hAnsi="Arial" w:cs="Arial"/>
        </w:rPr>
        <w:t xml:space="preserve"> tested and counted on Baird Parker agar supplemented with egg yolk and potassium tellurite and incubated at 37°C for 24 to 48 h. Colonies appeared black, shiny, convex and surrounded by a clear halo about 2 to 5 mm in diameter. Confirmation was performed by Gram staining (+) and testing for catalase (+) and DNAase (+) (AFNOR, 2004).</w:t>
      </w:r>
      <w:r>
        <w:rPr>
          <w:rFonts w:ascii="Arial" w:hAnsi="Arial" w:cs="Arial"/>
        </w:rPr>
        <w:t xml:space="preserve"> </w:t>
      </w:r>
      <w:r w:rsidRPr="002736E2">
        <w:rPr>
          <w:rFonts w:ascii="Arial" w:hAnsi="Arial" w:cs="Arial"/>
        </w:rPr>
        <w:t>Pseudomonas aeruginosa were detected and counted on cetrimide agar incubated at 37°C for 24 to 48 h. Colonies are 1.5 to 2 mm in diameter, circular in outline, smooth and shiny on the surface, mucous in appearance and sometimes accompanied by the production of blue-green pigment (Marchal et al., 1982).</w:t>
      </w:r>
    </w:p>
    <w:p w14:paraId="0425C860" w14:textId="77777777" w:rsidR="002F1304" w:rsidRPr="002D448C" w:rsidRDefault="002F1304" w:rsidP="002D448C">
      <w:pPr>
        <w:pStyle w:val="Body"/>
        <w:ind w:firstLine="284"/>
        <w:rPr>
          <w:rFonts w:ascii="Arial" w:hAnsi="Arial" w:cs="Arial"/>
          <w:b/>
          <w:bCs/>
          <w:sz w:val="21"/>
          <w:szCs w:val="21"/>
        </w:rPr>
      </w:pPr>
      <w:r w:rsidRPr="002D448C">
        <w:rPr>
          <w:rFonts w:ascii="Arial" w:hAnsi="Arial" w:cs="Arial"/>
          <w:b/>
          <w:bCs/>
          <w:sz w:val="21"/>
          <w:szCs w:val="21"/>
        </w:rPr>
        <w:t>2.2. A</w:t>
      </w:r>
      <w:r w:rsidR="002D448C" w:rsidRPr="002D448C">
        <w:rPr>
          <w:rFonts w:ascii="Arial" w:hAnsi="Arial" w:cs="Arial"/>
          <w:b/>
          <w:bCs/>
          <w:sz w:val="21"/>
          <w:szCs w:val="21"/>
        </w:rPr>
        <w:t>nalysis</w:t>
      </w:r>
      <w:r w:rsidRPr="002D448C">
        <w:rPr>
          <w:rFonts w:ascii="Arial" w:hAnsi="Arial" w:cs="Arial"/>
          <w:b/>
          <w:bCs/>
          <w:sz w:val="21"/>
          <w:szCs w:val="21"/>
        </w:rPr>
        <w:t xml:space="preserve"> </w:t>
      </w:r>
      <w:r w:rsidR="002D448C" w:rsidRPr="002D448C">
        <w:rPr>
          <w:rFonts w:ascii="Arial" w:hAnsi="Arial" w:cs="Arial"/>
          <w:b/>
          <w:bCs/>
          <w:sz w:val="21"/>
          <w:szCs w:val="21"/>
        </w:rPr>
        <w:t>methods</w:t>
      </w:r>
      <w:r w:rsidRPr="002D448C">
        <w:rPr>
          <w:rFonts w:ascii="Arial" w:hAnsi="Arial" w:cs="Arial"/>
          <w:b/>
          <w:bCs/>
          <w:sz w:val="21"/>
          <w:szCs w:val="21"/>
        </w:rPr>
        <w:t xml:space="preserve"> </w:t>
      </w:r>
    </w:p>
    <w:p w14:paraId="3884BC07" w14:textId="77777777" w:rsidR="00C77988" w:rsidRPr="00760337" w:rsidRDefault="00760337" w:rsidP="00760337">
      <w:pPr>
        <w:pStyle w:val="Body"/>
        <w:ind w:firstLine="567"/>
        <w:rPr>
          <w:rFonts w:ascii="Arial" w:hAnsi="Arial" w:cs="Arial"/>
          <w:i/>
          <w:iCs/>
        </w:rPr>
      </w:pPr>
      <w:r w:rsidRPr="00760337">
        <w:rPr>
          <w:rFonts w:ascii="Arial" w:hAnsi="Arial" w:cs="Arial"/>
          <w:i/>
          <w:iCs/>
        </w:rPr>
        <w:t>2.</w:t>
      </w:r>
      <w:r w:rsidR="002F1304">
        <w:rPr>
          <w:rFonts w:ascii="Arial" w:hAnsi="Arial" w:cs="Arial"/>
          <w:i/>
          <w:iCs/>
        </w:rPr>
        <w:t>2</w:t>
      </w:r>
      <w:r w:rsidRPr="00760337">
        <w:rPr>
          <w:rFonts w:ascii="Arial" w:hAnsi="Arial" w:cs="Arial"/>
          <w:i/>
          <w:iCs/>
        </w:rPr>
        <w:t>.</w:t>
      </w:r>
      <w:r w:rsidR="002F1304">
        <w:rPr>
          <w:rFonts w:ascii="Arial" w:hAnsi="Arial" w:cs="Arial"/>
          <w:i/>
          <w:iCs/>
        </w:rPr>
        <w:t>1</w:t>
      </w:r>
      <w:r w:rsidRPr="00760337">
        <w:rPr>
          <w:rFonts w:ascii="Arial" w:hAnsi="Arial" w:cs="Arial"/>
          <w:i/>
          <w:iCs/>
        </w:rPr>
        <w:t xml:space="preserve">. </w:t>
      </w:r>
      <w:r w:rsidR="00C77988" w:rsidRPr="00760337">
        <w:rPr>
          <w:rFonts w:ascii="Arial" w:hAnsi="Arial" w:cs="Arial"/>
          <w:i/>
          <w:iCs/>
        </w:rPr>
        <w:t>Enterococcus faecalis were enumerated</w:t>
      </w:r>
    </w:p>
    <w:p w14:paraId="572E3860" w14:textId="77777777" w:rsidR="00C77988" w:rsidRPr="00C77988" w:rsidRDefault="00C77988" w:rsidP="00C77988">
      <w:pPr>
        <w:pStyle w:val="Body"/>
        <w:rPr>
          <w:rFonts w:ascii="Arial" w:hAnsi="Arial" w:cs="Arial"/>
        </w:rPr>
      </w:pPr>
      <w:r w:rsidRPr="00C77988">
        <w:rPr>
          <w:rFonts w:ascii="Arial" w:hAnsi="Arial" w:cs="Arial"/>
        </w:rPr>
        <w:t xml:space="preserve">on BEA (Bile, Esculin and Sodium Azide) medium at 37°C for 24 to 48 h. </w:t>
      </w:r>
      <w:r w:rsidRPr="00EC3C60">
        <w:rPr>
          <w:rFonts w:ascii="Arial" w:hAnsi="Arial" w:cs="Arial"/>
          <w:i/>
          <w:iCs/>
        </w:rPr>
        <w:t xml:space="preserve">E. faecalis </w:t>
      </w:r>
      <w:r w:rsidRPr="00C77988">
        <w:rPr>
          <w:rFonts w:ascii="Arial" w:hAnsi="Arial" w:cs="Arial"/>
        </w:rPr>
        <w:t>colonies appear as small translucent colonies surrounded by a black halo derived from the action of esculin (Marchal et al., 1982).</w:t>
      </w:r>
    </w:p>
    <w:p w14:paraId="2335A0EE" w14:textId="77777777" w:rsidR="00C77988" w:rsidRPr="00C77988" w:rsidRDefault="00C77988" w:rsidP="00760337">
      <w:pPr>
        <w:pStyle w:val="Body"/>
        <w:snapToGrid w:val="0"/>
        <w:spacing w:after="0"/>
        <w:ind w:right="-11"/>
        <w:rPr>
          <w:rFonts w:ascii="Arial" w:hAnsi="Arial" w:cs="Arial"/>
        </w:rPr>
      </w:pPr>
      <w:r w:rsidRPr="00C77988">
        <w:rPr>
          <w:rFonts w:ascii="Arial" w:hAnsi="Arial" w:cs="Arial"/>
        </w:rPr>
        <w:t>Presumptive colonies were purified on ordinary agar, followed by gram staining and Leminor's reduced carriage for E. coli, and other biochemical tests (catalase, oxidase, mobility and DNAase tests) for the other bacteria (Delarras C, 2007). The results obtained from the enumeration of the various bacteria were interpreted according to a two-class plan. These results were expressed as follows:</w:t>
      </w:r>
    </w:p>
    <w:p w14:paraId="5B6B8D12" w14:textId="77777777" w:rsidR="00760337" w:rsidRPr="00760337" w:rsidRDefault="00EC3C60" w:rsidP="00EC3C60">
      <w:pPr>
        <w:pStyle w:val="Body"/>
        <w:numPr>
          <w:ilvl w:val="0"/>
          <w:numId w:val="31"/>
        </w:numPr>
        <w:snapToGrid w:val="0"/>
        <w:spacing w:after="0"/>
        <w:ind w:right="-11"/>
        <w:rPr>
          <w:rFonts w:ascii="Arial" w:hAnsi="Arial" w:cs="Arial"/>
        </w:rPr>
      </w:pPr>
      <w:r>
        <w:rPr>
          <w:rFonts w:ascii="Arial" w:hAnsi="Arial" w:cs="Arial"/>
          <w:b/>
          <w:bCs/>
        </w:rPr>
        <w:t>F</w:t>
      </w:r>
      <w:r w:rsidR="00760337" w:rsidRPr="00760337">
        <w:rPr>
          <w:rFonts w:ascii="Arial" w:hAnsi="Arial" w:cs="Arial"/>
          <w:b/>
          <w:bCs/>
        </w:rPr>
        <w:t>or milk preparations</w:t>
      </w:r>
      <w:r w:rsidR="00760337" w:rsidRPr="00760337">
        <w:rPr>
          <w:rFonts w:ascii="Arial" w:hAnsi="Arial" w:cs="Arial"/>
        </w:rPr>
        <w:t>;</w:t>
      </w:r>
    </w:p>
    <w:p w14:paraId="480FD7BC" w14:textId="77777777" w:rsidR="00760337" w:rsidRPr="00760337" w:rsidRDefault="00760337" w:rsidP="00760337">
      <w:pPr>
        <w:pStyle w:val="Body"/>
        <w:snapToGrid w:val="0"/>
        <w:spacing w:after="0"/>
        <w:ind w:right="-11"/>
        <w:rPr>
          <w:rFonts w:ascii="Arial" w:hAnsi="Arial" w:cs="Arial"/>
        </w:rPr>
      </w:pPr>
      <w:r w:rsidRPr="00760337">
        <w:rPr>
          <w:rFonts w:ascii="Arial" w:hAnsi="Arial" w:cs="Arial"/>
        </w:rPr>
        <w:t>Satisfactory: i.e. in compliance with the standards imposed by legislation.</w:t>
      </w:r>
    </w:p>
    <w:p w14:paraId="22D42C3A" w14:textId="77777777" w:rsidR="00760337" w:rsidRPr="00760337" w:rsidRDefault="00760337" w:rsidP="00760337">
      <w:pPr>
        <w:pStyle w:val="Body"/>
        <w:snapToGrid w:val="0"/>
        <w:spacing w:after="0"/>
        <w:ind w:right="-11"/>
        <w:rPr>
          <w:rFonts w:ascii="Arial" w:hAnsi="Arial" w:cs="Arial"/>
        </w:rPr>
      </w:pPr>
      <w:r w:rsidRPr="00760337">
        <w:rPr>
          <w:rFonts w:ascii="Arial" w:hAnsi="Arial" w:cs="Arial"/>
        </w:rPr>
        <w:t>Non-satisfactory: i.e. exceeding the acceptability threshold.</w:t>
      </w:r>
    </w:p>
    <w:p w14:paraId="40B17A3F" w14:textId="77777777" w:rsidR="00760337" w:rsidRPr="00760337" w:rsidRDefault="00760337" w:rsidP="00760337">
      <w:pPr>
        <w:pStyle w:val="Body"/>
        <w:snapToGrid w:val="0"/>
        <w:spacing w:after="0"/>
        <w:ind w:right="-11"/>
        <w:rPr>
          <w:rFonts w:ascii="Arial" w:hAnsi="Arial" w:cs="Arial"/>
        </w:rPr>
      </w:pPr>
      <w:r w:rsidRPr="00760337">
        <w:rPr>
          <w:rFonts w:ascii="Arial" w:hAnsi="Arial" w:cs="Arial"/>
        </w:rPr>
        <w:t>Bacteriological analyses were interpreted to assess the hygiene and sanitary quality of the formula.</w:t>
      </w:r>
    </w:p>
    <w:p w14:paraId="73ABA02B" w14:textId="77777777" w:rsidR="00760337" w:rsidRPr="00760337" w:rsidRDefault="00760337" w:rsidP="00EC3C60">
      <w:pPr>
        <w:pStyle w:val="Body"/>
        <w:numPr>
          <w:ilvl w:val="0"/>
          <w:numId w:val="31"/>
        </w:numPr>
        <w:snapToGrid w:val="0"/>
        <w:spacing w:after="0"/>
        <w:ind w:right="-11"/>
        <w:rPr>
          <w:rFonts w:ascii="Arial" w:hAnsi="Arial" w:cs="Arial"/>
        </w:rPr>
      </w:pPr>
      <w:r w:rsidRPr="00760337">
        <w:rPr>
          <w:rFonts w:ascii="Arial" w:hAnsi="Arial" w:cs="Arial"/>
          <w:b/>
          <w:bCs/>
        </w:rPr>
        <w:t>For hands, nostrils and ambient air</w:t>
      </w:r>
      <w:r w:rsidRPr="00760337">
        <w:rPr>
          <w:rFonts w:ascii="Arial" w:hAnsi="Arial" w:cs="Arial"/>
        </w:rPr>
        <w:t>;</w:t>
      </w:r>
    </w:p>
    <w:p w14:paraId="1A2C974C" w14:textId="77777777" w:rsidR="00760337" w:rsidRPr="00760337" w:rsidRDefault="00760337" w:rsidP="00760337">
      <w:pPr>
        <w:pStyle w:val="Body"/>
        <w:snapToGrid w:val="0"/>
        <w:spacing w:after="0"/>
        <w:ind w:right="-11"/>
        <w:rPr>
          <w:rFonts w:ascii="Arial" w:hAnsi="Arial" w:cs="Arial"/>
        </w:rPr>
      </w:pPr>
      <w:r w:rsidRPr="00760337">
        <w:rPr>
          <w:rFonts w:ascii="Arial" w:hAnsi="Arial" w:cs="Arial"/>
        </w:rPr>
        <w:t>Presence: when the germs tested for were found.</w:t>
      </w:r>
    </w:p>
    <w:p w14:paraId="3BB4F3E2" w14:textId="77777777" w:rsidR="00C77988" w:rsidRPr="00C77988" w:rsidRDefault="00760337" w:rsidP="00760337">
      <w:pPr>
        <w:pStyle w:val="Body"/>
        <w:snapToGrid w:val="0"/>
        <w:spacing w:after="0"/>
        <w:ind w:right="-11"/>
        <w:rPr>
          <w:rFonts w:ascii="Arial" w:hAnsi="Arial" w:cs="Arial"/>
        </w:rPr>
      </w:pPr>
      <w:r w:rsidRPr="00760337">
        <w:rPr>
          <w:rFonts w:ascii="Arial" w:hAnsi="Arial" w:cs="Arial"/>
        </w:rPr>
        <w:t>Absence: when the germs tested for were not found.</w:t>
      </w:r>
    </w:p>
    <w:p w14:paraId="27FD0490" w14:textId="77777777" w:rsidR="00760337" w:rsidRPr="00760337" w:rsidRDefault="00760337" w:rsidP="00760337">
      <w:pPr>
        <w:pStyle w:val="Body"/>
        <w:spacing w:before="100" w:beforeAutospacing="1" w:after="100" w:afterAutospacing="1"/>
        <w:ind w:right="-11" w:firstLine="567"/>
        <w:rPr>
          <w:rFonts w:ascii="Arial" w:hAnsi="Arial" w:cs="Arial"/>
          <w:i/>
          <w:iCs/>
        </w:rPr>
      </w:pPr>
      <w:r>
        <w:rPr>
          <w:rFonts w:ascii="Arial" w:hAnsi="Arial" w:cs="Arial"/>
          <w:i/>
          <w:iCs/>
        </w:rPr>
        <w:t>2.</w:t>
      </w:r>
      <w:r w:rsidR="002F1304">
        <w:rPr>
          <w:rFonts w:ascii="Arial" w:hAnsi="Arial" w:cs="Arial"/>
          <w:i/>
          <w:iCs/>
        </w:rPr>
        <w:t>2</w:t>
      </w:r>
      <w:r>
        <w:rPr>
          <w:rFonts w:ascii="Arial" w:hAnsi="Arial" w:cs="Arial"/>
          <w:i/>
          <w:iCs/>
        </w:rPr>
        <w:t>.</w:t>
      </w:r>
      <w:r w:rsidR="002F1304">
        <w:rPr>
          <w:rFonts w:ascii="Arial" w:hAnsi="Arial" w:cs="Arial"/>
          <w:i/>
          <w:iCs/>
        </w:rPr>
        <w:t>2</w:t>
      </w:r>
      <w:r>
        <w:rPr>
          <w:rFonts w:ascii="Arial" w:hAnsi="Arial" w:cs="Arial"/>
          <w:i/>
          <w:iCs/>
        </w:rPr>
        <w:t xml:space="preserve">. </w:t>
      </w:r>
      <w:r w:rsidRPr="00760337">
        <w:rPr>
          <w:rFonts w:ascii="Arial" w:hAnsi="Arial" w:cs="Arial"/>
          <w:i/>
          <w:iCs/>
        </w:rPr>
        <w:t>Determination of antibiotic susceptibility</w:t>
      </w:r>
    </w:p>
    <w:p w14:paraId="30A4CB86" w14:textId="77777777" w:rsidR="00760337" w:rsidRPr="00760337" w:rsidRDefault="00760337" w:rsidP="00760337">
      <w:pPr>
        <w:pStyle w:val="Body"/>
        <w:rPr>
          <w:rFonts w:ascii="Arial" w:hAnsi="Arial" w:cs="Arial"/>
        </w:rPr>
      </w:pPr>
      <w:r w:rsidRPr="00760337">
        <w:rPr>
          <w:rFonts w:ascii="Arial" w:hAnsi="Arial" w:cs="Arial"/>
        </w:rPr>
        <w:t xml:space="preserve">Determination of antibiotic susceptibility was carried out using the diffusion method on Mueller-Hinton agar medium in accordance with the standards and recommendations of the Antibiogram Committee of the French Society of Microbiology (EUCAST /CASFM, 2017). Briefly, microorganisms were grown on nutrient agar for 24 hours. These cultures were used to prepare bacterial suspensions in saline water (NaCl 0.85%) equivalent to the turbidity of Mac </w:t>
      </w:r>
      <w:r w:rsidR="00EC3C60" w:rsidRPr="00760337">
        <w:rPr>
          <w:rFonts w:ascii="Arial" w:hAnsi="Arial" w:cs="Arial"/>
        </w:rPr>
        <w:t>Forland</w:t>
      </w:r>
      <w:r w:rsidRPr="00760337">
        <w:rPr>
          <w:rFonts w:ascii="Arial" w:hAnsi="Arial" w:cs="Arial"/>
        </w:rPr>
        <w:t xml:space="preserve"> 0.5. The suspensions were then used to inoculate 90 mm-diameter Petri dishes by swabbing. The ATB discs were then deposited directly onto the cultures, and the dishes incubated at 37°C. Readings were taken after 24 hours. Antimicrobial activity was assessed by measuring the inhibition diameters around the discs, and interpretation was made using the critical values defined by the Antibiogram Committee of the Société Française de Microbiologie.</w:t>
      </w:r>
    </w:p>
    <w:p w14:paraId="3D20AAE6" w14:textId="77777777" w:rsidR="00760337" w:rsidRPr="00760337" w:rsidRDefault="00760337" w:rsidP="00760337">
      <w:pPr>
        <w:pStyle w:val="Body"/>
        <w:ind w:firstLine="567"/>
        <w:rPr>
          <w:rFonts w:ascii="Arial" w:hAnsi="Arial" w:cs="Arial"/>
          <w:i/>
          <w:iCs/>
        </w:rPr>
      </w:pPr>
      <w:r w:rsidRPr="00760337">
        <w:rPr>
          <w:rFonts w:ascii="Arial" w:hAnsi="Arial" w:cs="Arial"/>
          <w:i/>
          <w:iCs/>
        </w:rPr>
        <w:t>2.</w:t>
      </w:r>
      <w:r w:rsidR="002F1304">
        <w:rPr>
          <w:rFonts w:ascii="Arial" w:hAnsi="Arial" w:cs="Arial"/>
          <w:i/>
          <w:iCs/>
        </w:rPr>
        <w:t>2</w:t>
      </w:r>
      <w:r w:rsidRPr="00760337">
        <w:rPr>
          <w:rFonts w:ascii="Arial" w:hAnsi="Arial" w:cs="Arial"/>
          <w:i/>
          <w:iCs/>
        </w:rPr>
        <w:t>.</w:t>
      </w:r>
      <w:r w:rsidR="002F1304">
        <w:rPr>
          <w:rFonts w:ascii="Arial" w:hAnsi="Arial" w:cs="Arial"/>
          <w:i/>
          <w:iCs/>
        </w:rPr>
        <w:t>3</w:t>
      </w:r>
      <w:r w:rsidRPr="00760337">
        <w:rPr>
          <w:rFonts w:ascii="Arial" w:hAnsi="Arial" w:cs="Arial"/>
          <w:i/>
          <w:iCs/>
        </w:rPr>
        <w:t>. Data analysis</w:t>
      </w:r>
    </w:p>
    <w:p w14:paraId="2948FD84" w14:textId="77777777" w:rsidR="00760337" w:rsidRDefault="00760337" w:rsidP="00760337">
      <w:pPr>
        <w:pStyle w:val="Body"/>
        <w:rPr>
          <w:rFonts w:ascii="Arial" w:hAnsi="Arial" w:cs="Arial"/>
        </w:rPr>
      </w:pPr>
      <w:r w:rsidRPr="00760337">
        <w:rPr>
          <w:rFonts w:ascii="Arial" w:hAnsi="Arial" w:cs="Arial"/>
        </w:rPr>
        <w:lastRenderedPageBreak/>
        <w:t>The various data collected after the antibiogram was performed were processed using an automated ADAGIO system. The result obtained is categorized as sensitive (S) if the diameter of the zone of inhibition obtained around the disc is greater than the critical diameter, or resistant (R) if the diameter of the zone of inhibition obtained around the disc is greater than the critical diameter.</w:t>
      </w:r>
    </w:p>
    <w:p w14:paraId="70328120" w14:textId="77777777" w:rsidR="00760337" w:rsidRPr="002F1304" w:rsidRDefault="002F1304" w:rsidP="00760337">
      <w:pPr>
        <w:pStyle w:val="Body"/>
        <w:rPr>
          <w:rFonts w:ascii="Arial" w:hAnsi="Arial" w:cs="Arial"/>
          <w:b/>
          <w:bCs/>
          <w:sz w:val="21"/>
          <w:szCs w:val="21"/>
        </w:rPr>
      </w:pPr>
      <w:r w:rsidRPr="002F1304">
        <w:rPr>
          <w:rFonts w:ascii="Arial" w:hAnsi="Arial" w:cs="Arial"/>
          <w:b/>
          <w:bCs/>
          <w:sz w:val="21"/>
          <w:szCs w:val="21"/>
        </w:rPr>
        <w:t>3</w:t>
      </w:r>
      <w:r w:rsidR="00760337" w:rsidRPr="002F1304">
        <w:rPr>
          <w:rFonts w:ascii="Arial" w:hAnsi="Arial" w:cs="Arial"/>
          <w:b/>
          <w:bCs/>
          <w:sz w:val="21"/>
          <w:szCs w:val="21"/>
        </w:rPr>
        <w:t>. RESULTS</w:t>
      </w:r>
    </w:p>
    <w:p w14:paraId="5C909019" w14:textId="77777777" w:rsidR="00760337" w:rsidRPr="002D448C" w:rsidRDefault="002F1304" w:rsidP="002D448C">
      <w:pPr>
        <w:pStyle w:val="Body"/>
        <w:ind w:firstLine="284"/>
        <w:rPr>
          <w:rFonts w:ascii="Arial" w:hAnsi="Arial" w:cs="Arial"/>
          <w:b/>
          <w:bCs/>
          <w:sz w:val="21"/>
          <w:szCs w:val="21"/>
        </w:rPr>
      </w:pPr>
      <w:r w:rsidRPr="002D448C">
        <w:rPr>
          <w:rFonts w:ascii="Arial" w:hAnsi="Arial" w:cs="Arial"/>
          <w:b/>
          <w:bCs/>
          <w:sz w:val="21"/>
          <w:szCs w:val="21"/>
        </w:rPr>
        <w:t>3.1. Description of milk preparation practices</w:t>
      </w:r>
    </w:p>
    <w:p w14:paraId="30F50971" w14:textId="77777777" w:rsidR="00760337" w:rsidRPr="00760337" w:rsidRDefault="00FA16F9" w:rsidP="00760337">
      <w:pPr>
        <w:pStyle w:val="Body"/>
        <w:rPr>
          <w:rFonts w:ascii="Arial" w:hAnsi="Arial" w:cs="Arial"/>
        </w:rPr>
      </w:pPr>
      <w:r>
        <w:rPr>
          <w:rFonts w:ascii="Arial" w:hAnsi="Arial" w:cs="Arial"/>
          <w:noProof/>
        </w:rPr>
        <mc:AlternateContent>
          <mc:Choice Requires="wpg">
            <w:drawing>
              <wp:anchor distT="0" distB="0" distL="114300" distR="114300" simplePos="0" relativeHeight="251666432" behindDoc="0" locked="0" layoutInCell="1" allowOverlap="1" wp14:anchorId="61286837" wp14:editId="05B79BFA">
                <wp:simplePos x="0" y="0"/>
                <wp:positionH relativeFrom="column">
                  <wp:posOffset>-149517</wp:posOffset>
                </wp:positionH>
                <wp:positionV relativeFrom="paragraph">
                  <wp:posOffset>1154121</wp:posOffset>
                </wp:positionV>
                <wp:extent cx="5418438" cy="666613"/>
                <wp:effectExtent l="0" t="0" r="5080" b="0"/>
                <wp:wrapNone/>
                <wp:docPr id="35045776" name="Groupe 4"/>
                <wp:cNvGraphicFramePr/>
                <a:graphic xmlns:a="http://schemas.openxmlformats.org/drawingml/2006/main">
                  <a:graphicData uri="http://schemas.microsoft.com/office/word/2010/wordprocessingGroup">
                    <wpg:wgp>
                      <wpg:cNvGrpSpPr/>
                      <wpg:grpSpPr>
                        <a:xfrm>
                          <a:off x="0" y="0"/>
                          <a:ext cx="5418438" cy="666613"/>
                          <a:chOff x="0" y="0"/>
                          <a:chExt cx="5418438" cy="666613"/>
                        </a:xfrm>
                      </wpg:grpSpPr>
                      <wps:wsp>
                        <wps:cNvPr id="146101494" name="Zone de texte 2"/>
                        <wps:cNvSpPr txBox="1"/>
                        <wps:spPr>
                          <a:xfrm>
                            <a:off x="0" y="259492"/>
                            <a:ext cx="5310934" cy="407121"/>
                          </a:xfrm>
                          <a:prstGeom prst="rect">
                            <a:avLst/>
                          </a:prstGeom>
                          <a:solidFill>
                            <a:schemeClr val="lt1"/>
                          </a:solidFill>
                          <a:ln w="6350">
                            <a:noFill/>
                          </a:ln>
                        </wps:spPr>
                        <wps:txbx>
                          <w:txbxContent>
                            <w:p w14:paraId="0350B669" w14:textId="07507823" w:rsidR="00FA16F9" w:rsidRPr="00B954FC" w:rsidRDefault="00FA16F9" w:rsidP="00FA16F9">
                              <w:pPr>
                                <w:rPr>
                                  <w:sz w:val="18"/>
                                  <w:szCs w:val="18"/>
                                </w:rPr>
                              </w:pPr>
                              <w:r w:rsidRPr="00B954FC">
                                <w:rPr>
                                  <w:rFonts w:ascii="Arial" w:hAnsi="Arial" w:cs="Arial"/>
                                  <w:b/>
                                  <w:bCs/>
                                  <w:sz w:val="18"/>
                                  <w:szCs w:val="18"/>
                                </w:rPr>
                                <w:t xml:space="preserve">Table </w:t>
                              </w:r>
                              <w:r>
                                <w:rPr>
                                  <w:rFonts w:ascii="Arial" w:hAnsi="Arial" w:cs="Arial"/>
                                  <w:b/>
                                  <w:bCs/>
                                  <w:sz w:val="18"/>
                                  <w:szCs w:val="18"/>
                                </w:rPr>
                                <w:t>1</w:t>
                              </w:r>
                              <w:r w:rsidRPr="00B954FC">
                                <w:rPr>
                                  <w:rFonts w:ascii="Arial" w:hAnsi="Arial" w:cs="Arial"/>
                                  <w:sz w:val="18"/>
                                  <w:szCs w:val="18"/>
                                </w:rPr>
                                <w:t xml:space="preserve">. </w:t>
                              </w:r>
                              <w:r>
                                <w:rPr>
                                  <w:rFonts w:ascii="Arial" w:hAnsi="Arial" w:cs="Arial"/>
                                  <w:sz w:val="18"/>
                                  <w:szCs w:val="18"/>
                                </w:rPr>
                                <w:t>Distribution of samples obtained in neonatology department of Treichville’s Center University Hospital (CUH) products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7847490" name="Zone de texte 2"/>
                        <wps:cNvSpPr txBox="1"/>
                        <wps:spPr>
                          <a:xfrm>
                            <a:off x="0" y="0"/>
                            <a:ext cx="5418438" cy="284079"/>
                          </a:xfrm>
                          <a:prstGeom prst="rect">
                            <a:avLst/>
                          </a:prstGeom>
                          <a:solidFill>
                            <a:schemeClr val="lt1"/>
                          </a:solidFill>
                          <a:ln w="6350">
                            <a:noFill/>
                          </a:ln>
                        </wps:spPr>
                        <wps:txbx>
                          <w:txbxContent>
                            <w:p w14:paraId="2673ACAA" w14:textId="77777777" w:rsidR="00FA16F9" w:rsidRPr="00FA16F9" w:rsidRDefault="00FA16F9" w:rsidP="00FA16F9">
                              <w:pPr>
                                <w:rPr>
                                  <w:sz w:val="18"/>
                                  <w:szCs w:val="18"/>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1286837" id="Groupe 4" o:spid="_x0000_s1026" style="position:absolute;left:0;text-align:left;margin-left:-11.75pt;margin-top:90.9pt;width:426.65pt;height:52.5pt;z-index:251666432" coordsize="54184,6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">
                <v:shapetype id="_x0000_t202" coordsize="21600,21600" o:spt="202" path="m,l,21600r21600,l21600,xe">
                  <v:stroke joinstyle="miter"/>
                  <v:path gradientshapeok="t" o:connecttype="rect"/>
                </v:shapetype>
                <v:shape id="_x0000_s1027" type="#_x0000_t202" style="position:absolute;top:2594;width:53109;height:4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" fillcolor="white [3201]" stroked="f" strokeweight=".5pt">
                  <v:textbox>
                    <w:txbxContent>
                      <w:p w14:paraId="0350B669" w14:textId="07507823" w:rsidR="00FA16F9" w:rsidRPr="00B954FC" w:rsidRDefault="00FA16F9" w:rsidP="00FA16F9">
                        <w:pPr>
                          <w:rPr>
                            <w:sz w:val="18"/>
                            <w:szCs w:val="18"/>
                          </w:rPr>
                        </w:pPr>
                        <w:r w:rsidRPr="00B954FC">
                          <w:rPr>
                            <w:rFonts w:ascii="Arial" w:hAnsi="Arial" w:cs="Arial"/>
                            <w:b/>
                            <w:bCs/>
                            <w:sz w:val="18"/>
                            <w:szCs w:val="18"/>
                          </w:rPr>
                          <w:t xml:space="preserve">Table </w:t>
                        </w:r>
                        <w:r>
                          <w:rPr>
                            <w:rFonts w:ascii="Arial" w:hAnsi="Arial" w:cs="Arial"/>
                            <w:b/>
                            <w:bCs/>
                            <w:sz w:val="18"/>
                            <w:szCs w:val="18"/>
                          </w:rPr>
                          <w:t>1</w:t>
                        </w:r>
                        <w:r w:rsidRPr="00B954FC">
                          <w:rPr>
                            <w:rFonts w:ascii="Arial" w:hAnsi="Arial" w:cs="Arial"/>
                            <w:sz w:val="18"/>
                            <w:szCs w:val="18"/>
                          </w:rPr>
                          <w:t xml:space="preserve">. </w:t>
                        </w:r>
                        <w:r>
                          <w:rPr>
                            <w:rFonts w:ascii="Arial" w:hAnsi="Arial" w:cs="Arial"/>
                            <w:sz w:val="18"/>
                            <w:szCs w:val="18"/>
                          </w:rPr>
                          <w:t>Distribution of samples obtained in neonatology department of Treichville’s Center University Hospital (CUH) products</w:t>
                        </w:r>
                      </w:p>
                    </w:txbxContent>
                  </v:textbox>
                </v:shape>
                <v:shape id="_x0000_s1028" type="#_x0000_t202" style="position:absolute;width:54184;height:2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" fillcolor="white [3201]" stroked="f" strokeweight=".5pt">
                  <v:textbox>
                    <w:txbxContent>
                      <w:p w14:paraId="2673ACAA" w14:textId="77777777" w:rsidR="00FA16F9" w:rsidRPr="00FA16F9" w:rsidRDefault="00FA16F9" w:rsidP="00FA16F9">
                        <w:pPr>
                          <w:rPr>
                            <w:sz w:val="18"/>
                            <w:szCs w:val="18"/>
                            <w:lang w:val="nl-NL"/>
                          </w:rPr>
                        </w:pPr>
                      </w:p>
                    </w:txbxContent>
                  </v:textbox>
                </v:shape>
              </v:group>
            </w:pict>
          </mc:Fallback>
        </mc:AlternateContent>
      </w:r>
      <w:r w:rsidR="00760337" w:rsidRPr="00760337">
        <w:rPr>
          <w:rFonts w:ascii="Arial" w:hAnsi="Arial" w:cs="Arial"/>
        </w:rPr>
        <w:t>The results of the survey carried out on the milk preparation system and the hygiene of the milk preparers reveal that only 83% of women wash their hands with soapy water before feeding their infants.</w:t>
      </w:r>
      <w:r w:rsidR="002F1304">
        <w:rPr>
          <w:rFonts w:ascii="Arial" w:hAnsi="Arial" w:cs="Arial"/>
        </w:rPr>
        <w:t xml:space="preserve"> C</w:t>
      </w:r>
      <w:r w:rsidR="00760337" w:rsidRPr="00760337">
        <w:rPr>
          <w:rFonts w:ascii="Arial" w:hAnsi="Arial" w:cs="Arial"/>
        </w:rPr>
        <w:t>ompared with 17% who use plain water. In general, women rinse cups with plain water before and after feeding. They also wash preparation equipment with plain water. As for the preparation areas, they are only disinfected just before and after milk preparation. Infant preparation and feeding staff wear gowns, but no gloves or nose coverings. A single storage area for milk preparations.</w:t>
      </w:r>
    </w:p>
    <w:p w14:paraId="4377FF47" w14:textId="77777777" w:rsidR="002736E2" w:rsidRDefault="00760337" w:rsidP="00441B6F">
      <w:pPr>
        <w:pStyle w:val="Body"/>
        <w:spacing w:after="0"/>
        <w:rPr>
          <w:rFonts w:ascii="Arial" w:hAnsi="Arial" w:cs="Arial"/>
        </w:rPr>
      </w:pPr>
      <w:r w:rsidRPr="00760337">
        <w:rPr>
          <w:rFonts w:ascii="Arial" w:hAnsi="Arial" w:cs="Arial"/>
          <w:noProof/>
        </w:rPr>
        <w:drawing>
          <wp:inline distT="0" distB="0" distL="0" distR="0" wp14:anchorId="4A427BA2" wp14:editId="738DC01A">
            <wp:extent cx="5212080" cy="1573530"/>
            <wp:effectExtent l="0" t="0" r="0" b="0"/>
            <wp:docPr id="6088979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897993" name=""/>
                    <pic:cNvPicPr/>
                  </pic:nvPicPr>
                  <pic:blipFill>
                    <a:blip r:embed="rId8"/>
                    <a:stretch>
                      <a:fillRect/>
                    </a:stretch>
                  </pic:blipFill>
                  <pic:spPr>
                    <a:xfrm>
                      <a:off x="0" y="0"/>
                      <a:ext cx="5212080" cy="1573530"/>
                    </a:xfrm>
                    <a:prstGeom prst="rect">
                      <a:avLst/>
                    </a:prstGeom>
                  </pic:spPr>
                </pic:pic>
              </a:graphicData>
            </a:graphic>
          </wp:inline>
        </w:drawing>
      </w:r>
    </w:p>
    <w:p w14:paraId="6D892EB7" w14:textId="77777777" w:rsidR="002736E2" w:rsidRDefault="002736E2" w:rsidP="00441B6F">
      <w:pPr>
        <w:pStyle w:val="Body"/>
        <w:spacing w:after="0"/>
        <w:rPr>
          <w:rFonts w:ascii="Arial" w:hAnsi="Arial" w:cs="Arial"/>
        </w:rPr>
      </w:pPr>
    </w:p>
    <w:p w14:paraId="42D22036" w14:textId="77777777" w:rsidR="002F1304" w:rsidRPr="002D448C" w:rsidRDefault="002F1304" w:rsidP="002D448C">
      <w:pPr>
        <w:pStyle w:val="Body"/>
        <w:ind w:firstLine="284"/>
        <w:rPr>
          <w:rFonts w:ascii="Arial" w:hAnsi="Arial" w:cs="Arial"/>
          <w:b/>
          <w:bCs/>
          <w:sz w:val="21"/>
          <w:szCs w:val="21"/>
        </w:rPr>
      </w:pPr>
      <w:r w:rsidRPr="002D448C">
        <w:rPr>
          <w:rFonts w:ascii="Arial" w:hAnsi="Arial" w:cs="Arial"/>
          <w:b/>
          <w:bCs/>
          <w:sz w:val="21"/>
          <w:szCs w:val="21"/>
        </w:rPr>
        <w:t>3.2. Distribution of samples according to sampling type</w:t>
      </w:r>
    </w:p>
    <w:p w14:paraId="122A89AB" w14:textId="77777777" w:rsidR="002736E2" w:rsidRDefault="002F1304" w:rsidP="002F1304">
      <w:pPr>
        <w:pStyle w:val="Body"/>
        <w:spacing w:after="0"/>
        <w:rPr>
          <w:rFonts w:ascii="Arial" w:hAnsi="Arial" w:cs="Arial"/>
        </w:rPr>
      </w:pPr>
      <w:r w:rsidRPr="002F1304">
        <w:rPr>
          <w:rFonts w:ascii="Arial" w:hAnsi="Arial" w:cs="Arial"/>
        </w:rPr>
        <w:t>The distribution of samples obtained in the neonatal department of Treichville University Hospital is shown in Table 1. A non-homogeneous distribution of samples was noted between the different types of sampling. The number of samples for premature babies was higher (24) than for the other parameters. The number of samples for term babies was similar to that for hand samples. The lowest number of samples was recorded for ambient air, with 4 samples.</w:t>
      </w:r>
    </w:p>
    <w:p w14:paraId="04F014A1" w14:textId="77777777" w:rsidR="002736E2" w:rsidRDefault="002736E2" w:rsidP="00441B6F">
      <w:pPr>
        <w:pStyle w:val="Body"/>
        <w:spacing w:after="0"/>
        <w:rPr>
          <w:rFonts w:ascii="Arial" w:hAnsi="Arial" w:cs="Arial"/>
        </w:rPr>
      </w:pPr>
    </w:p>
    <w:p w14:paraId="09541E1D" w14:textId="77777777" w:rsidR="002D448C" w:rsidRPr="002D448C" w:rsidRDefault="002D448C" w:rsidP="002D448C">
      <w:pPr>
        <w:pStyle w:val="Body"/>
        <w:ind w:firstLine="284"/>
        <w:rPr>
          <w:rFonts w:ascii="Arial" w:hAnsi="Arial" w:cs="Arial"/>
          <w:b/>
          <w:bCs/>
          <w:sz w:val="21"/>
          <w:szCs w:val="21"/>
        </w:rPr>
      </w:pPr>
      <w:r w:rsidRPr="002D448C">
        <w:rPr>
          <w:rFonts w:ascii="Arial" w:hAnsi="Arial" w:cs="Arial"/>
          <w:b/>
          <w:bCs/>
          <w:sz w:val="21"/>
          <w:szCs w:val="21"/>
        </w:rPr>
        <w:t>3.3. Prevalence of microorganisms isolated from samples taken</w:t>
      </w:r>
    </w:p>
    <w:p w14:paraId="7B13E5CB" w14:textId="77777777" w:rsidR="002736E2" w:rsidRDefault="002D448C" w:rsidP="002D448C">
      <w:pPr>
        <w:pStyle w:val="Body"/>
        <w:spacing w:after="0"/>
        <w:rPr>
          <w:rFonts w:ascii="Arial" w:hAnsi="Arial" w:cs="Arial"/>
        </w:rPr>
      </w:pPr>
      <w:r w:rsidRPr="002D448C">
        <w:rPr>
          <w:rFonts w:ascii="Arial" w:hAnsi="Arial" w:cs="Arial"/>
        </w:rPr>
        <w:t>Figure 1 shows the prevalence of microorganisms isolated from the various</w:t>
      </w:r>
      <w:r>
        <w:rPr>
          <w:rFonts w:ascii="Arial" w:hAnsi="Arial" w:cs="Arial"/>
        </w:rPr>
        <w:t xml:space="preserve"> </w:t>
      </w:r>
      <w:r w:rsidRPr="002D448C">
        <w:rPr>
          <w:rFonts w:ascii="Arial" w:hAnsi="Arial" w:cs="Arial"/>
        </w:rPr>
        <w:t xml:space="preserve">samples collected. Out of 59 samples collected, 8 strains of </w:t>
      </w:r>
      <w:r w:rsidRPr="002D448C">
        <w:rPr>
          <w:rFonts w:ascii="Arial" w:hAnsi="Arial" w:cs="Arial"/>
          <w:i/>
          <w:iCs/>
        </w:rPr>
        <w:t>E. coli</w:t>
      </w:r>
      <w:r w:rsidRPr="002D448C">
        <w:rPr>
          <w:rFonts w:ascii="Arial" w:hAnsi="Arial" w:cs="Arial"/>
        </w:rPr>
        <w:t xml:space="preserve"> were isolated, with a prevalence of 13.56%, 3 strains of </w:t>
      </w:r>
      <w:r w:rsidRPr="002D448C">
        <w:rPr>
          <w:rFonts w:ascii="Arial" w:hAnsi="Arial" w:cs="Arial"/>
          <w:i/>
          <w:iCs/>
        </w:rPr>
        <w:t>P. aeruginosa</w:t>
      </w:r>
      <w:r w:rsidRPr="002D448C">
        <w:rPr>
          <w:rFonts w:ascii="Arial" w:hAnsi="Arial" w:cs="Arial"/>
        </w:rPr>
        <w:t xml:space="preserve">, with a prevalence of 5.08%, and 16 strains of </w:t>
      </w:r>
      <w:r w:rsidRPr="002D448C">
        <w:rPr>
          <w:rFonts w:ascii="Arial" w:hAnsi="Arial" w:cs="Arial"/>
          <w:i/>
          <w:iCs/>
        </w:rPr>
        <w:t>S. aureus</w:t>
      </w:r>
      <w:r w:rsidRPr="002D448C">
        <w:rPr>
          <w:rFonts w:ascii="Arial" w:hAnsi="Arial" w:cs="Arial"/>
        </w:rPr>
        <w:t>, i.e. 27.11%.</w:t>
      </w:r>
    </w:p>
    <w:p w14:paraId="4563A3D8" w14:textId="77777777" w:rsidR="002D448C" w:rsidRDefault="002D448C" w:rsidP="00441B6F">
      <w:pPr>
        <w:pStyle w:val="Body"/>
        <w:spacing w:after="0"/>
        <w:rPr>
          <w:rFonts w:ascii="Arial" w:hAnsi="Arial" w:cs="Arial"/>
        </w:rPr>
      </w:pPr>
    </w:p>
    <w:p w14:paraId="1A915C21" w14:textId="77777777" w:rsidR="002D448C" w:rsidRDefault="00513381" w:rsidP="007A4A0B">
      <w:pPr>
        <w:pStyle w:val="Body"/>
        <w:spacing w:after="0"/>
        <w:jc w:val="center"/>
        <w:rPr>
          <w:rFonts w:ascii="Arial" w:hAnsi="Arial" w:cs="Arial"/>
        </w:rPr>
      </w:pPr>
      <w:r w:rsidRPr="00513381">
        <w:rPr>
          <w:rFonts w:ascii="Arial" w:hAnsi="Arial" w:cs="Arial"/>
          <w:noProof/>
        </w:rPr>
        <w:lastRenderedPageBreak/>
        <w:drawing>
          <wp:inline distT="0" distB="0" distL="0" distR="0" wp14:anchorId="200FA5E0" wp14:editId="135B42BE">
            <wp:extent cx="3888000" cy="2243104"/>
            <wp:effectExtent l="0" t="0" r="0" b="5080"/>
            <wp:docPr id="8535738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573847" name=""/>
                    <pic:cNvPicPr/>
                  </pic:nvPicPr>
                  <pic:blipFill>
                    <a:blip r:embed="rId9"/>
                    <a:stretch>
                      <a:fillRect/>
                    </a:stretch>
                  </pic:blipFill>
                  <pic:spPr>
                    <a:xfrm>
                      <a:off x="0" y="0"/>
                      <a:ext cx="3888000" cy="2243104"/>
                    </a:xfrm>
                    <a:prstGeom prst="rect">
                      <a:avLst/>
                    </a:prstGeom>
                  </pic:spPr>
                </pic:pic>
              </a:graphicData>
            </a:graphic>
          </wp:inline>
        </w:drawing>
      </w:r>
    </w:p>
    <w:p w14:paraId="55881C7A" w14:textId="77777777" w:rsidR="002D448C" w:rsidRDefault="002D448C" w:rsidP="00441B6F">
      <w:pPr>
        <w:pStyle w:val="Body"/>
        <w:spacing w:after="0"/>
        <w:rPr>
          <w:rFonts w:ascii="Arial" w:hAnsi="Arial" w:cs="Arial"/>
        </w:rPr>
      </w:pPr>
    </w:p>
    <w:p w14:paraId="61B960E4" w14:textId="77777777" w:rsidR="00A03B96" w:rsidRDefault="002D448C" w:rsidP="00441B6F">
      <w:pPr>
        <w:pStyle w:val="Body"/>
        <w:spacing w:after="0"/>
        <w:rPr>
          <w:rFonts w:ascii="Arial" w:hAnsi="Arial" w:cs="Arial"/>
        </w:rPr>
      </w:pPr>
      <w:r w:rsidRPr="002D448C">
        <w:rPr>
          <w:rFonts w:ascii="Arial" w:hAnsi="Arial" w:cs="Arial"/>
          <w:b/>
          <w:bCs/>
        </w:rPr>
        <w:t>Fig</w:t>
      </w:r>
      <w:r>
        <w:rPr>
          <w:rFonts w:ascii="Arial" w:hAnsi="Arial" w:cs="Arial"/>
          <w:b/>
          <w:bCs/>
        </w:rPr>
        <w:t>.</w:t>
      </w:r>
      <w:r w:rsidRPr="002D448C">
        <w:rPr>
          <w:rFonts w:ascii="Arial" w:hAnsi="Arial" w:cs="Arial"/>
          <w:b/>
          <w:bCs/>
        </w:rPr>
        <w:t xml:space="preserve"> 1</w:t>
      </w:r>
      <w:r>
        <w:rPr>
          <w:rFonts w:ascii="Arial" w:hAnsi="Arial" w:cs="Arial"/>
          <w:b/>
          <w:bCs/>
        </w:rPr>
        <w:t>.</w:t>
      </w:r>
      <w:r w:rsidRPr="002D448C">
        <w:rPr>
          <w:rFonts w:ascii="Arial" w:hAnsi="Arial" w:cs="Arial"/>
        </w:rPr>
        <w:t xml:space="preserve"> </w:t>
      </w:r>
      <w:r w:rsidRPr="002D448C">
        <w:rPr>
          <w:rFonts w:ascii="Arial" w:hAnsi="Arial" w:cs="Arial"/>
          <w:b/>
          <w:bCs/>
        </w:rPr>
        <w:t>Prevalence of microorganisms isolated from prepared-milk samples. Prevalence of three microorganisms isolated from prepared-milk samples</w:t>
      </w:r>
      <w:r w:rsidRPr="002D448C">
        <w:rPr>
          <w:rFonts w:ascii="Arial" w:hAnsi="Arial" w:cs="Arial"/>
        </w:rPr>
        <w:t>.</w:t>
      </w:r>
    </w:p>
    <w:p w14:paraId="1FC6EC3D" w14:textId="77777777" w:rsidR="0079018A" w:rsidRPr="0079018A" w:rsidRDefault="0079018A" w:rsidP="008B2975">
      <w:pPr>
        <w:pStyle w:val="Body"/>
        <w:spacing w:before="240"/>
        <w:ind w:right="-11" w:firstLine="284"/>
        <w:rPr>
          <w:rFonts w:ascii="Arial" w:eastAsia="Calibri" w:hAnsi="Arial" w:cs="Arial"/>
          <w:b/>
          <w:bCs/>
          <w:sz w:val="21"/>
          <w:szCs w:val="24"/>
        </w:rPr>
      </w:pPr>
      <w:r w:rsidRPr="0079018A">
        <w:rPr>
          <w:rFonts w:ascii="Arial" w:eastAsia="Calibri" w:hAnsi="Arial" w:cs="Arial"/>
          <w:b/>
          <w:bCs/>
          <w:sz w:val="21"/>
          <w:szCs w:val="24"/>
        </w:rPr>
        <w:t>3.4. Distribution of microorganisms according to different milk batches analyzed</w:t>
      </w:r>
    </w:p>
    <w:p w14:paraId="2D6198BC" w14:textId="48D1708B" w:rsidR="002D448C" w:rsidRDefault="0079018A" w:rsidP="00FA16F9">
      <w:pPr>
        <w:pStyle w:val="Body"/>
        <w:spacing w:after="0"/>
        <w:rPr>
          <w:rFonts w:ascii="Arial" w:eastAsia="Calibri" w:hAnsi="Arial" w:cs="Arial"/>
          <w:szCs w:val="22"/>
        </w:rPr>
      </w:pPr>
      <w:r w:rsidRPr="0079018A">
        <w:rPr>
          <w:rFonts w:ascii="Arial" w:eastAsia="Calibri" w:hAnsi="Arial" w:cs="Arial"/>
          <w:szCs w:val="22"/>
        </w:rPr>
        <w:t>Microbiological analysis of milk preparation samples revealed the presence of E. coli, P. aeruginosa and S. aureus strains with high loads. A non-homogeneous distribution of germs was noted between the different</w:t>
      </w:r>
      <w:r>
        <w:rPr>
          <w:rFonts w:ascii="Arial" w:eastAsia="Calibri" w:hAnsi="Arial" w:cs="Arial"/>
          <w:szCs w:val="22"/>
        </w:rPr>
        <w:t xml:space="preserve"> </w:t>
      </w:r>
      <w:r w:rsidRPr="0079018A">
        <w:rPr>
          <w:rFonts w:ascii="Arial" w:eastAsia="Calibri" w:hAnsi="Arial" w:cs="Arial"/>
          <w:szCs w:val="22"/>
        </w:rPr>
        <w:t xml:space="preserve">milk batches. The number of E. coli isolated from milk preparations was higher than that of </w:t>
      </w:r>
      <w:r w:rsidRPr="0079018A">
        <w:rPr>
          <w:rFonts w:ascii="Arial" w:eastAsia="Calibri" w:hAnsi="Arial" w:cs="Arial"/>
          <w:i/>
          <w:iCs/>
          <w:szCs w:val="22"/>
        </w:rPr>
        <w:t>S. aureus</w:t>
      </w:r>
      <w:r w:rsidRPr="0079018A">
        <w:rPr>
          <w:rFonts w:ascii="Arial" w:eastAsia="Calibri" w:hAnsi="Arial" w:cs="Arial"/>
          <w:szCs w:val="22"/>
        </w:rPr>
        <w:t xml:space="preserve"> and </w:t>
      </w:r>
      <w:r w:rsidRPr="0079018A">
        <w:rPr>
          <w:rFonts w:ascii="Arial" w:eastAsia="Calibri" w:hAnsi="Arial" w:cs="Arial"/>
          <w:i/>
          <w:iCs/>
          <w:szCs w:val="22"/>
        </w:rPr>
        <w:t>P. aeruginosa.</w:t>
      </w:r>
      <w:r w:rsidRPr="0079018A">
        <w:rPr>
          <w:rFonts w:ascii="Arial" w:eastAsia="Calibri" w:hAnsi="Arial" w:cs="Arial"/>
          <w:szCs w:val="22"/>
        </w:rPr>
        <w:t xml:space="preserve"> </w:t>
      </w:r>
      <w:r w:rsidRPr="0079018A">
        <w:rPr>
          <w:rFonts w:ascii="Arial" w:eastAsia="Calibri" w:hAnsi="Arial" w:cs="Arial"/>
          <w:i/>
          <w:iCs/>
          <w:szCs w:val="22"/>
        </w:rPr>
        <w:t>P. aeruginosa</w:t>
      </w:r>
      <w:r w:rsidRPr="0079018A">
        <w:rPr>
          <w:rFonts w:ascii="Arial" w:eastAsia="Calibri" w:hAnsi="Arial" w:cs="Arial"/>
          <w:szCs w:val="22"/>
        </w:rPr>
        <w:t xml:space="preserve"> strains were only present in batches 2 and 4. However, S. aureus was present in batches 4, 5 and 6 and absent in batches 1, 2 and 3. The load distribution (cfu/mL) of microorganisms isolated from milk preparation samples is summarized in Table 2.</w:t>
      </w:r>
    </w:p>
    <w:p w14:paraId="142D1D18" w14:textId="3195579B" w:rsidR="00FA16F9" w:rsidRDefault="00FA16F9" w:rsidP="00FA16F9">
      <w:pPr>
        <w:pStyle w:val="Body"/>
        <w:spacing w:after="0"/>
        <w:rPr>
          <w:rFonts w:ascii="Arial" w:eastAsia="Calibri" w:hAnsi="Arial" w:cs="Arial"/>
          <w:szCs w:val="22"/>
        </w:rPr>
      </w:pPr>
    </w:p>
    <w:p w14:paraId="21C1EF6C" w14:textId="06663AEB" w:rsidR="00FA16F9" w:rsidRDefault="00FA16F9" w:rsidP="00FA16F9">
      <w:pPr>
        <w:pStyle w:val="Body"/>
        <w:snapToGrid w:val="0"/>
        <w:spacing w:after="0"/>
        <w:rPr>
          <w:rFonts w:ascii="Arial" w:eastAsia="Calibri" w:hAnsi="Arial" w:cs="Arial"/>
          <w:color w:val="FF0000"/>
          <w:szCs w:val="22"/>
        </w:rPr>
      </w:pPr>
      <w:r w:rsidRPr="0079018A">
        <w:rPr>
          <w:rFonts w:ascii="Arial" w:eastAsia="Calibri" w:hAnsi="Arial" w:cs="Arial"/>
          <w:noProof/>
          <w:color w:val="FF0000"/>
          <w:szCs w:val="22"/>
        </w:rPr>
        <w:drawing>
          <wp:inline distT="0" distB="0" distL="0" distR="0" wp14:anchorId="4AFB7BBC" wp14:editId="113DC9D9">
            <wp:extent cx="5089585" cy="1233577"/>
            <wp:effectExtent l="0" t="0" r="0" b="5080"/>
            <wp:docPr id="1295445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672054" name=""/>
                    <pic:cNvPicPr/>
                  </pic:nvPicPr>
                  <pic:blipFill rotWithShape="1">
                    <a:blip r:embed="rId10"/>
                    <a:srcRect t="11752" r="878" b="2957"/>
                    <a:stretch/>
                  </pic:blipFill>
                  <pic:spPr bwMode="auto">
                    <a:xfrm>
                      <a:off x="0" y="0"/>
                      <a:ext cx="5109212" cy="1238334"/>
                    </a:xfrm>
                    <a:prstGeom prst="rect">
                      <a:avLst/>
                    </a:prstGeom>
                    <a:ln>
                      <a:noFill/>
                    </a:ln>
                    <a:extLst>
                      <a:ext uri="{53640926-AAD7-44D8-BBD7-CCE9431645EC}">
                        <a14:shadowObscured xmlns:a14="http://schemas.microsoft.com/office/drawing/2010/main"/>
                      </a:ext>
                    </a:extLst>
                  </pic:spPr>
                </pic:pic>
              </a:graphicData>
            </a:graphic>
          </wp:inline>
        </w:drawing>
      </w:r>
    </w:p>
    <w:p w14:paraId="280AC393" w14:textId="77777777" w:rsidR="002D448C" w:rsidRDefault="002D448C" w:rsidP="00FA16F9">
      <w:pPr>
        <w:pStyle w:val="Body"/>
        <w:snapToGrid w:val="0"/>
        <w:spacing w:after="0"/>
        <w:rPr>
          <w:rFonts w:ascii="Arial" w:eastAsia="Calibri" w:hAnsi="Arial" w:cs="Arial"/>
          <w:color w:val="FF0000"/>
          <w:szCs w:val="22"/>
        </w:rPr>
      </w:pPr>
    </w:p>
    <w:p w14:paraId="3FFDA0DD" w14:textId="77777777" w:rsidR="0079018A" w:rsidRDefault="0079018A" w:rsidP="00441B6F">
      <w:pPr>
        <w:pStyle w:val="Body"/>
        <w:spacing w:after="0"/>
        <w:rPr>
          <w:rFonts w:ascii="Arial" w:eastAsia="Calibri" w:hAnsi="Arial" w:cs="Arial"/>
          <w:color w:val="FF0000"/>
          <w:szCs w:val="22"/>
        </w:rPr>
      </w:pPr>
    </w:p>
    <w:p w14:paraId="09222118" w14:textId="77777777" w:rsidR="00535B59" w:rsidRDefault="00535B59" w:rsidP="0079018A">
      <w:pPr>
        <w:pStyle w:val="Body"/>
        <w:ind w:firstLine="284"/>
        <w:rPr>
          <w:rFonts w:ascii="Arial" w:eastAsia="Calibri" w:hAnsi="Arial" w:cs="Arial"/>
          <w:b/>
          <w:bCs/>
          <w:szCs w:val="22"/>
        </w:rPr>
      </w:pPr>
    </w:p>
    <w:p w14:paraId="65DA742A" w14:textId="77777777" w:rsidR="00535B59" w:rsidRDefault="00535B59" w:rsidP="0079018A">
      <w:pPr>
        <w:pStyle w:val="Body"/>
        <w:ind w:firstLine="284"/>
        <w:rPr>
          <w:rFonts w:ascii="Arial" w:eastAsia="Calibri" w:hAnsi="Arial" w:cs="Arial"/>
          <w:b/>
          <w:bCs/>
          <w:szCs w:val="22"/>
        </w:rPr>
      </w:pPr>
    </w:p>
    <w:p w14:paraId="739A9335" w14:textId="77777777" w:rsidR="00535B59" w:rsidRPr="00B954FC" w:rsidRDefault="00535B59" w:rsidP="00535B59">
      <w:pPr>
        <w:rPr>
          <w:sz w:val="18"/>
          <w:szCs w:val="18"/>
        </w:rPr>
      </w:pPr>
      <w:r w:rsidRPr="00B954FC">
        <w:rPr>
          <w:rFonts w:ascii="Arial" w:hAnsi="Arial" w:cs="Arial"/>
          <w:b/>
          <w:bCs/>
          <w:sz w:val="18"/>
          <w:szCs w:val="18"/>
        </w:rPr>
        <w:t xml:space="preserve">Table </w:t>
      </w:r>
      <w:r>
        <w:rPr>
          <w:rFonts w:ascii="Arial" w:hAnsi="Arial" w:cs="Arial"/>
          <w:b/>
          <w:bCs/>
          <w:sz w:val="18"/>
          <w:szCs w:val="18"/>
        </w:rPr>
        <w:t>2</w:t>
      </w:r>
      <w:r w:rsidRPr="00B954FC">
        <w:rPr>
          <w:rFonts w:ascii="Arial" w:hAnsi="Arial" w:cs="Arial"/>
          <w:sz w:val="18"/>
          <w:szCs w:val="18"/>
        </w:rPr>
        <w:t xml:space="preserve">. </w:t>
      </w:r>
      <w:r>
        <w:rPr>
          <w:rFonts w:ascii="Arial" w:hAnsi="Arial" w:cs="Arial"/>
          <w:sz w:val="18"/>
          <w:szCs w:val="18"/>
        </w:rPr>
        <w:t>Survival rate (CFU/mL) of microorganisms isolated from milk products</w:t>
      </w:r>
    </w:p>
    <w:p w14:paraId="17A34A72" w14:textId="77777777" w:rsidR="00535B59" w:rsidRDefault="00535B59" w:rsidP="0079018A">
      <w:pPr>
        <w:pStyle w:val="Body"/>
        <w:ind w:firstLine="284"/>
        <w:rPr>
          <w:rFonts w:ascii="Arial" w:eastAsia="Calibri" w:hAnsi="Arial" w:cs="Arial"/>
          <w:b/>
          <w:bCs/>
          <w:szCs w:val="22"/>
        </w:rPr>
      </w:pPr>
    </w:p>
    <w:p w14:paraId="6D866509" w14:textId="77777777" w:rsidR="00535B59" w:rsidRDefault="00535B59" w:rsidP="0079018A">
      <w:pPr>
        <w:pStyle w:val="Body"/>
        <w:ind w:firstLine="284"/>
        <w:rPr>
          <w:rFonts w:ascii="Arial" w:eastAsia="Calibri" w:hAnsi="Arial" w:cs="Arial"/>
          <w:b/>
          <w:bCs/>
          <w:szCs w:val="22"/>
        </w:rPr>
      </w:pPr>
    </w:p>
    <w:p w14:paraId="00111C8D" w14:textId="71A54CF6" w:rsidR="0079018A" w:rsidRPr="0079018A" w:rsidRDefault="0079018A" w:rsidP="0079018A">
      <w:pPr>
        <w:pStyle w:val="Body"/>
        <w:ind w:firstLine="284"/>
        <w:rPr>
          <w:rFonts w:ascii="Arial" w:eastAsia="Calibri" w:hAnsi="Arial" w:cs="Arial"/>
          <w:b/>
          <w:bCs/>
          <w:szCs w:val="22"/>
        </w:rPr>
      </w:pPr>
      <w:r w:rsidRPr="0079018A">
        <w:rPr>
          <w:rFonts w:ascii="Arial" w:eastAsia="Calibri" w:hAnsi="Arial" w:cs="Arial"/>
          <w:b/>
          <w:bCs/>
          <w:szCs w:val="22"/>
        </w:rPr>
        <w:t>3.5. Interpretation of milk batch analysis results</w:t>
      </w:r>
    </w:p>
    <w:p w14:paraId="2B80EDAB" w14:textId="77777777" w:rsidR="0079018A" w:rsidRPr="0079018A" w:rsidRDefault="00B954FC" w:rsidP="0079018A">
      <w:pPr>
        <w:pStyle w:val="Body"/>
        <w:rPr>
          <w:rFonts w:ascii="Arial" w:eastAsia="Calibri" w:hAnsi="Arial" w:cs="Arial"/>
          <w:szCs w:val="22"/>
        </w:rPr>
      </w:pPr>
      <w:r>
        <w:rPr>
          <w:rFonts w:ascii="Arial" w:eastAsia="Calibri" w:hAnsi="Arial" w:cs="Arial"/>
          <w:b/>
          <w:bCs/>
          <w:noProof/>
          <w:szCs w:val="22"/>
        </w:rPr>
        <mc:AlternateContent>
          <mc:Choice Requires="wps">
            <w:drawing>
              <wp:anchor distT="0" distB="0" distL="114300" distR="114300" simplePos="0" relativeHeight="251656192" behindDoc="0" locked="0" layoutInCell="1" allowOverlap="1" wp14:anchorId="5D39DBBB" wp14:editId="26402426">
                <wp:simplePos x="0" y="0"/>
                <wp:positionH relativeFrom="column">
                  <wp:posOffset>-635</wp:posOffset>
                </wp:positionH>
                <wp:positionV relativeFrom="paragraph">
                  <wp:posOffset>1290492</wp:posOffset>
                </wp:positionV>
                <wp:extent cx="4108450" cy="252730"/>
                <wp:effectExtent l="0" t="0" r="6350" b="1270"/>
                <wp:wrapNone/>
                <wp:docPr id="1699012770" name="Zone de texte 2"/>
                <wp:cNvGraphicFramePr/>
                <a:graphic xmlns:a="http://schemas.openxmlformats.org/drawingml/2006/main">
                  <a:graphicData uri="http://schemas.microsoft.com/office/word/2010/wordprocessingShape">
                    <wps:wsp>
                      <wps:cNvSpPr txBox="1"/>
                      <wps:spPr>
                        <a:xfrm>
                          <a:off x="0" y="0"/>
                          <a:ext cx="4108450" cy="252730"/>
                        </a:xfrm>
                        <a:prstGeom prst="rect">
                          <a:avLst/>
                        </a:prstGeom>
                        <a:solidFill>
                          <a:schemeClr val="lt1"/>
                        </a:solidFill>
                        <a:ln w="6350">
                          <a:noFill/>
                        </a:ln>
                      </wps:spPr>
                      <wps:txbx>
                        <w:txbxContent>
                          <w:p w14:paraId="276FCB30" w14:textId="77777777" w:rsidR="00B954FC" w:rsidRPr="00B954FC" w:rsidRDefault="00B954FC" w:rsidP="00B954FC">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9DBBB" id="Zone de texte 2" o:spid="_x0000_s1029" type="#_x0000_t202" style="position:absolute;left:0;text-align:left;margin-left:-.05pt;margin-top:101.6pt;width:323.5pt;height:19.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" fillcolor="white [3201]" stroked="f" strokeweight=".5pt">
                <v:textbox>
                  <w:txbxContent>
                    <w:p w14:paraId="276FCB30" w14:textId="77777777" w:rsidR="00B954FC" w:rsidRPr="00B954FC" w:rsidRDefault="00B954FC" w:rsidP="00B954FC">
                      <w:pPr>
                        <w:rPr>
                          <w:sz w:val="18"/>
                          <w:szCs w:val="18"/>
                        </w:rPr>
                      </w:pPr>
                    </w:p>
                  </w:txbxContent>
                </v:textbox>
              </v:shape>
            </w:pict>
          </mc:Fallback>
        </mc:AlternateContent>
      </w:r>
      <w:r w:rsidR="0079018A" w:rsidRPr="0079018A">
        <w:rPr>
          <w:rFonts w:ascii="Arial" w:eastAsia="Calibri" w:hAnsi="Arial" w:cs="Arial"/>
          <w:szCs w:val="22"/>
        </w:rPr>
        <w:t>The results in Table 3 show that lots 1, 3, 4 and 5 were characterized by the presence of E. coli, with loads of 70; 2.59.10</w:t>
      </w:r>
      <w:r w:rsidR="0079018A" w:rsidRPr="0079018A">
        <w:rPr>
          <w:rFonts w:ascii="Arial" w:eastAsia="Calibri" w:hAnsi="Arial" w:cs="Arial"/>
          <w:szCs w:val="22"/>
          <w:vertAlign w:val="superscript"/>
        </w:rPr>
        <w:t>4</w:t>
      </w:r>
      <w:r w:rsidR="0079018A" w:rsidRPr="0079018A">
        <w:rPr>
          <w:rFonts w:ascii="Arial" w:eastAsia="Calibri" w:hAnsi="Arial" w:cs="Arial"/>
          <w:szCs w:val="22"/>
        </w:rPr>
        <w:t>; 2.95.10</w:t>
      </w:r>
      <w:r w:rsidR="0079018A" w:rsidRPr="0079018A">
        <w:rPr>
          <w:rFonts w:ascii="Arial" w:eastAsia="Calibri" w:hAnsi="Arial" w:cs="Arial"/>
          <w:szCs w:val="22"/>
          <w:vertAlign w:val="superscript"/>
        </w:rPr>
        <w:t>4</w:t>
      </w:r>
      <w:r w:rsidR="0079018A" w:rsidRPr="0079018A">
        <w:rPr>
          <w:rFonts w:ascii="Arial" w:eastAsia="Calibri" w:hAnsi="Arial" w:cs="Arial"/>
          <w:szCs w:val="22"/>
        </w:rPr>
        <w:t xml:space="preserve"> and 9.10</w:t>
      </w:r>
      <w:r w:rsidR="0079018A" w:rsidRPr="0079018A">
        <w:rPr>
          <w:rFonts w:ascii="Arial" w:eastAsia="Calibri" w:hAnsi="Arial" w:cs="Arial"/>
          <w:szCs w:val="22"/>
          <w:vertAlign w:val="superscript"/>
        </w:rPr>
        <w:t>4</w:t>
      </w:r>
      <w:r w:rsidR="0079018A" w:rsidRPr="0079018A">
        <w:rPr>
          <w:rFonts w:ascii="Arial" w:eastAsia="Calibri" w:hAnsi="Arial" w:cs="Arial"/>
          <w:szCs w:val="22"/>
        </w:rPr>
        <w:t xml:space="preserve"> CFU/mL respectively. Lots 1 and 3 were </w:t>
      </w:r>
      <w:r w:rsidR="0079018A" w:rsidRPr="0079018A">
        <w:rPr>
          <w:rFonts w:ascii="Arial" w:eastAsia="Calibri" w:hAnsi="Arial" w:cs="Arial"/>
          <w:szCs w:val="22"/>
        </w:rPr>
        <w:lastRenderedPageBreak/>
        <w:t>found to be free of S. aureus and P. aeruginosa, while lot 4 was characterized by the presence of S. aureus and P. aeruginosa.</w:t>
      </w:r>
      <w:r w:rsidR="0079018A">
        <w:rPr>
          <w:rFonts w:ascii="Arial" w:eastAsia="Calibri" w:hAnsi="Arial" w:cs="Arial"/>
          <w:szCs w:val="22"/>
        </w:rPr>
        <w:t xml:space="preserve"> </w:t>
      </w:r>
      <w:r w:rsidR="0079018A" w:rsidRPr="0079018A">
        <w:rPr>
          <w:rFonts w:ascii="Arial" w:eastAsia="Calibri" w:hAnsi="Arial" w:cs="Arial"/>
          <w:i/>
          <w:iCs/>
          <w:szCs w:val="22"/>
        </w:rPr>
        <w:t>S. aureus</w:t>
      </w:r>
      <w:r w:rsidR="0079018A" w:rsidRPr="0079018A">
        <w:rPr>
          <w:rFonts w:ascii="Arial" w:eastAsia="Calibri" w:hAnsi="Arial" w:cs="Arial"/>
          <w:szCs w:val="22"/>
        </w:rPr>
        <w:t xml:space="preserve"> and </w:t>
      </w:r>
      <w:r w:rsidR="0079018A" w:rsidRPr="0079018A">
        <w:rPr>
          <w:rFonts w:ascii="Arial" w:eastAsia="Calibri" w:hAnsi="Arial" w:cs="Arial"/>
          <w:i/>
          <w:iCs/>
          <w:szCs w:val="22"/>
        </w:rPr>
        <w:t>P. aeruginosa</w:t>
      </w:r>
      <w:r w:rsidR="0079018A" w:rsidRPr="0079018A">
        <w:rPr>
          <w:rFonts w:ascii="Arial" w:eastAsia="Calibri" w:hAnsi="Arial" w:cs="Arial"/>
          <w:szCs w:val="22"/>
        </w:rPr>
        <w:t xml:space="preserve"> with successive loads of 5818 and 5.5.10</w:t>
      </w:r>
      <w:r w:rsidR="0079018A" w:rsidRPr="0079018A">
        <w:rPr>
          <w:rFonts w:ascii="Arial" w:eastAsia="Calibri" w:hAnsi="Arial" w:cs="Arial"/>
          <w:szCs w:val="22"/>
          <w:vertAlign w:val="superscript"/>
        </w:rPr>
        <w:t>3</w:t>
      </w:r>
      <w:r w:rsidR="0079018A" w:rsidRPr="0079018A">
        <w:rPr>
          <w:rFonts w:ascii="Arial" w:eastAsia="Calibri" w:hAnsi="Arial" w:cs="Arial"/>
          <w:szCs w:val="22"/>
        </w:rPr>
        <w:t xml:space="preserve"> CFU/mL, and lot 5 with the presence of </w:t>
      </w:r>
      <w:r w:rsidR="0079018A" w:rsidRPr="0079018A">
        <w:rPr>
          <w:rFonts w:ascii="Arial" w:eastAsia="Calibri" w:hAnsi="Arial" w:cs="Arial"/>
          <w:i/>
          <w:iCs/>
          <w:szCs w:val="22"/>
        </w:rPr>
        <w:t>S. aureus</w:t>
      </w:r>
      <w:r w:rsidR="0079018A" w:rsidRPr="0079018A">
        <w:rPr>
          <w:rFonts w:ascii="Arial" w:eastAsia="Calibri" w:hAnsi="Arial" w:cs="Arial"/>
          <w:szCs w:val="22"/>
        </w:rPr>
        <w:t xml:space="preserve"> with a load of 7.5.10</w:t>
      </w:r>
      <w:r w:rsidR="0079018A" w:rsidRPr="0079018A">
        <w:rPr>
          <w:rFonts w:ascii="Arial" w:eastAsia="Calibri" w:hAnsi="Arial" w:cs="Arial"/>
          <w:szCs w:val="22"/>
          <w:vertAlign w:val="superscript"/>
        </w:rPr>
        <w:t>2</w:t>
      </w:r>
      <w:r w:rsidR="0079018A" w:rsidRPr="0079018A">
        <w:rPr>
          <w:rFonts w:ascii="Arial" w:eastAsia="Calibri" w:hAnsi="Arial" w:cs="Arial"/>
          <w:szCs w:val="22"/>
        </w:rPr>
        <w:t xml:space="preserve"> CFU/mL and an absence of </w:t>
      </w:r>
      <w:r w:rsidR="0079018A" w:rsidRPr="0079018A">
        <w:rPr>
          <w:rFonts w:ascii="Arial" w:eastAsia="Calibri" w:hAnsi="Arial" w:cs="Arial"/>
          <w:i/>
          <w:iCs/>
          <w:szCs w:val="22"/>
        </w:rPr>
        <w:t>P. aeruginosa</w:t>
      </w:r>
      <w:r w:rsidR="0079018A" w:rsidRPr="0079018A">
        <w:rPr>
          <w:rFonts w:ascii="Arial" w:eastAsia="Calibri" w:hAnsi="Arial" w:cs="Arial"/>
          <w:szCs w:val="22"/>
        </w:rPr>
        <w:t xml:space="preserve">. Batch 2 showed the presence of </w:t>
      </w:r>
      <w:r w:rsidR="0079018A" w:rsidRPr="0079018A">
        <w:rPr>
          <w:rFonts w:ascii="Arial" w:eastAsia="Calibri" w:hAnsi="Arial" w:cs="Arial"/>
          <w:i/>
          <w:iCs/>
          <w:szCs w:val="22"/>
        </w:rPr>
        <w:t xml:space="preserve">P. aeruginosa </w:t>
      </w:r>
      <w:r w:rsidR="0079018A" w:rsidRPr="0079018A">
        <w:rPr>
          <w:rFonts w:ascii="Arial" w:eastAsia="Calibri" w:hAnsi="Arial" w:cs="Arial"/>
          <w:szCs w:val="22"/>
        </w:rPr>
        <w:t>with a load of 1.04.10</w:t>
      </w:r>
      <w:r w:rsidR="0079018A" w:rsidRPr="0079018A">
        <w:rPr>
          <w:rFonts w:ascii="Arial" w:eastAsia="Calibri" w:hAnsi="Arial" w:cs="Arial"/>
          <w:szCs w:val="22"/>
          <w:vertAlign w:val="superscript"/>
        </w:rPr>
        <w:t>4</w:t>
      </w:r>
      <w:r w:rsidR="0079018A" w:rsidRPr="0079018A">
        <w:rPr>
          <w:rFonts w:ascii="Arial" w:eastAsia="Calibri" w:hAnsi="Arial" w:cs="Arial"/>
          <w:szCs w:val="22"/>
        </w:rPr>
        <w:t xml:space="preserve"> CFU/mL, and an absence of </w:t>
      </w:r>
      <w:r w:rsidR="0079018A" w:rsidRPr="0079018A">
        <w:rPr>
          <w:rFonts w:ascii="Arial" w:eastAsia="Calibri" w:hAnsi="Arial" w:cs="Arial"/>
          <w:i/>
          <w:iCs/>
          <w:szCs w:val="22"/>
        </w:rPr>
        <w:t>E. coli</w:t>
      </w:r>
      <w:r w:rsidR="0079018A" w:rsidRPr="0079018A">
        <w:rPr>
          <w:rFonts w:ascii="Arial" w:eastAsia="Calibri" w:hAnsi="Arial" w:cs="Arial"/>
          <w:szCs w:val="22"/>
        </w:rPr>
        <w:t xml:space="preserve"> and </w:t>
      </w:r>
      <w:r w:rsidR="0079018A" w:rsidRPr="0079018A">
        <w:rPr>
          <w:rFonts w:ascii="Arial" w:eastAsia="Calibri" w:hAnsi="Arial" w:cs="Arial"/>
          <w:i/>
          <w:iCs/>
          <w:szCs w:val="22"/>
        </w:rPr>
        <w:t>S. aureus</w:t>
      </w:r>
      <w:r w:rsidR="0079018A" w:rsidRPr="0079018A">
        <w:rPr>
          <w:rFonts w:ascii="Arial" w:eastAsia="Calibri" w:hAnsi="Arial" w:cs="Arial"/>
          <w:szCs w:val="22"/>
        </w:rPr>
        <w:t xml:space="preserve">. Batch 6 showed the presence of </w:t>
      </w:r>
      <w:r w:rsidR="0079018A" w:rsidRPr="0079018A">
        <w:rPr>
          <w:rFonts w:ascii="Arial" w:eastAsia="Calibri" w:hAnsi="Arial" w:cs="Arial"/>
          <w:i/>
          <w:iCs/>
          <w:szCs w:val="22"/>
        </w:rPr>
        <w:t>S. aureus</w:t>
      </w:r>
      <w:r w:rsidR="0079018A" w:rsidRPr="0079018A">
        <w:rPr>
          <w:rFonts w:ascii="Arial" w:eastAsia="Calibri" w:hAnsi="Arial" w:cs="Arial"/>
          <w:szCs w:val="22"/>
        </w:rPr>
        <w:t xml:space="preserve"> with a load of 9.8.10</w:t>
      </w:r>
      <w:r w:rsidR="0079018A" w:rsidRPr="0079018A">
        <w:rPr>
          <w:rFonts w:ascii="Arial" w:eastAsia="Calibri" w:hAnsi="Arial" w:cs="Arial"/>
          <w:szCs w:val="22"/>
          <w:vertAlign w:val="superscript"/>
        </w:rPr>
        <w:t xml:space="preserve">2 </w:t>
      </w:r>
      <w:r w:rsidR="0079018A" w:rsidRPr="0079018A">
        <w:rPr>
          <w:rFonts w:ascii="Arial" w:eastAsia="Calibri" w:hAnsi="Arial" w:cs="Arial"/>
          <w:szCs w:val="22"/>
        </w:rPr>
        <w:t xml:space="preserve">CFU/mL, and an absence of </w:t>
      </w:r>
      <w:r w:rsidR="0079018A" w:rsidRPr="0079018A">
        <w:rPr>
          <w:rFonts w:ascii="Arial" w:eastAsia="Calibri" w:hAnsi="Arial" w:cs="Arial"/>
          <w:i/>
          <w:iCs/>
          <w:szCs w:val="22"/>
        </w:rPr>
        <w:t>E. coli</w:t>
      </w:r>
      <w:r w:rsidR="0079018A" w:rsidRPr="0079018A">
        <w:rPr>
          <w:rFonts w:ascii="Arial" w:eastAsia="Calibri" w:hAnsi="Arial" w:cs="Arial"/>
          <w:szCs w:val="22"/>
        </w:rPr>
        <w:t xml:space="preserve"> and </w:t>
      </w:r>
      <w:r w:rsidR="0079018A" w:rsidRPr="0079018A">
        <w:rPr>
          <w:rFonts w:ascii="Arial" w:eastAsia="Calibri" w:hAnsi="Arial" w:cs="Arial"/>
          <w:i/>
          <w:iCs/>
          <w:szCs w:val="22"/>
        </w:rPr>
        <w:t>P. aeruginosa</w:t>
      </w:r>
      <w:r w:rsidR="0079018A" w:rsidRPr="0079018A">
        <w:rPr>
          <w:rFonts w:ascii="Arial" w:eastAsia="Calibri" w:hAnsi="Arial" w:cs="Arial"/>
          <w:szCs w:val="22"/>
        </w:rPr>
        <w:t>.</w:t>
      </w:r>
    </w:p>
    <w:p w14:paraId="0C2A858E" w14:textId="77777777" w:rsidR="0079018A" w:rsidRDefault="00B954FC" w:rsidP="00441B6F">
      <w:pPr>
        <w:pStyle w:val="Body"/>
        <w:spacing w:after="0"/>
        <w:rPr>
          <w:rFonts w:ascii="Arial" w:eastAsia="Calibri" w:hAnsi="Arial" w:cs="Arial"/>
          <w:color w:val="FF0000"/>
          <w:szCs w:val="22"/>
        </w:rPr>
      </w:pPr>
      <w:r>
        <w:rPr>
          <w:rFonts w:ascii="Arial" w:eastAsia="Calibri" w:hAnsi="Arial" w:cs="Arial"/>
          <w:b/>
          <w:bCs/>
          <w:noProof/>
          <w:szCs w:val="22"/>
        </w:rPr>
        <mc:AlternateContent>
          <mc:Choice Requires="wps">
            <w:drawing>
              <wp:anchor distT="0" distB="0" distL="114300" distR="114300" simplePos="0" relativeHeight="251654144" behindDoc="0" locked="0" layoutInCell="1" allowOverlap="1" wp14:anchorId="5B920D10" wp14:editId="1D5DA688">
                <wp:simplePos x="0" y="0"/>
                <wp:positionH relativeFrom="column">
                  <wp:posOffset>154005</wp:posOffset>
                </wp:positionH>
                <wp:positionV relativeFrom="paragraph">
                  <wp:posOffset>-378735</wp:posOffset>
                </wp:positionV>
                <wp:extent cx="4108450" cy="252730"/>
                <wp:effectExtent l="0" t="0" r="6350" b="1270"/>
                <wp:wrapNone/>
                <wp:docPr id="2015732066" name="Zone de texte 2"/>
                <wp:cNvGraphicFramePr/>
                <a:graphic xmlns:a="http://schemas.openxmlformats.org/drawingml/2006/main">
                  <a:graphicData uri="http://schemas.microsoft.com/office/word/2010/wordprocessingShape">
                    <wps:wsp>
                      <wps:cNvSpPr txBox="1"/>
                      <wps:spPr>
                        <a:xfrm>
                          <a:off x="0" y="0"/>
                          <a:ext cx="4108450" cy="252730"/>
                        </a:xfrm>
                        <a:prstGeom prst="rect">
                          <a:avLst/>
                        </a:prstGeom>
                        <a:solidFill>
                          <a:schemeClr val="lt1"/>
                        </a:solidFill>
                        <a:ln w="6350">
                          <a:noFill/>
                        </a:ln>
                      </wps:spPr>
                      <wps:txbx>
                        <w:txbxContent>
                          <w:p w14:paraId="5B936669" w14:textId="20753EE7" w:rsidR="00B954FC" w:rsidRPr="00B954FC" w:rsidRDefault="00B954FC">
                            <w:pPr>
                              <w:rPr>
                                <w:rFonts w:ascii="Arial" w:hAnsi="Arial" w:cs="Arial"/>
                                <w:sz w:val="18"/>
                                <w:szCs w:val="18"/>
                              </w:rPr>
                            </w:pPr>
                            <w:r w:rsidRPr="00B954FC">
                              <w:rPr>
                                <w:rFonts w:ascii="Arial" w:hAnsi="Arial" w:cs="Arial"/>
                                <w:b/>
                                <w:bCs/>
                                <w:sz w:val="18"/>
                                <w:szCs w:val="18"/>
                              </w:rPr>
                              <w:t>Table 3</w:t>
                            </w:r>
                            <w:r w:rsidRPr="00B954FC">
                              <w:rPr>
                                <w:rFonts w:ascii="Arial" w:hAnsi="Arial" w:cs="Arial"/>
                                <w:sz w:val="18"/>
                                <w:szCs w:val="18"/>
                              </w:rPr>
                              <w:t>. Interpretation of results of bacteriological analysis</w:t>
                            </w:r>
                          </w:p>
                          <w:p w14:paraId="40CCA34F" w14:textId="77777777" w:rsidR="00B954FC" w:rsidRPr="00B954FC" w:rsidRDefault="00B954FC">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20D10" id="_x0000_s1030" type="#_x0000_t202" style="position:absolute;left:0;text-align:left;margin-left:12.15pt;margin-top:-29.8pt;width:323.5pt;height:19.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" fillcolor="white [3201]" stroked="f" strokeweight=".5pt">
                <v:textbox>
                  <w:txbxContent>
                    <w:p w14:paraId="5B936669" w14:textId="20753EE7" w:rsidR="00B954FC" w:rsidRPr="00B954FC" w:rsidRDefault="00B954FC">
                      <w:pPr>
                        <w:rPr>
                          <w:rFonts w:ascii="Arial" w:hAnsi="Arial" w:cs="Arial"/>
                          <w:sz w:val="18"/>
                          <w:szCs w:val="18"/>
                        </w:rPr>
                      </w:pPr>
                      <w:r w:rsidRPr="00B954FC">
                        <w:rPr>
                          <w:rFonts w:ascii="Arial" w:hAnsi="Arial" w:cs="Arial"/>
                          <w:b/>
                          <w:bCs/>
                          <w:sz w:val="18"/>
                          <w:szCs w:val="18"/>
                        </w:rPr>
                        <w:t>Table 3</w:t>
                      </w:r>
                      <w:r w:rsidRPr="00B954FC">
                        <w:rPr>
                          <w:rFonts w:ascii="Arial" w:hAnsi="Arial" w:cs="Arial"/>
                          <w:sz w:val="18"/>
                          <w:szCs w:val="18"/>
                        </w:rPr>
                        <w:t>. Interpretation of results of bacteriological analysis</w:t>
                      </w:r>
                    </w:p>
                    <w:p w14:paraId="40CCA34F" w14:textId="77777777" w:rsidR="00B954FC" w:rsidRPr="00B954FC" w:rsidRDefault="00B954FC">
                      <w:pPr>
                        <w:rPr>
                          <w:sz w:val="18"/>
                          <w:szCs w:val="18"/>
                        </w:rPr>
                      </w:pPr>
                    </w:p>
                  </w:txbxContent>
                </v:textbox>
              </v:shape>
            </w:pict>
          </mc:Fallback>
        </mc:AlternateContent>
      </w:r>
      <w:r w:rsidR="0079018A" w:rsidRPr="0079018A">
        <w:rPr>
          <w:rFonts w:ascii="Arial" w:eastAsia="Calibri" w:hAnsi="Arial" w:cs="Arial"/>
          <w:noProof/>
          <w:color w:val="FF0000"/>
          <w:szCs w:val="22"/>
        </w:rPr>
        <w:drawing>
          <wp:inline distT="0" distB="0" distL="0" distR="0" wp14:anchorId="1F2C71E5" wp14:editId="04952815">
            <wp:extent cx="5124091" cy="2967918"/>
            <wp:effectExtent l="0" t="0" r="635" b="4445"/>
            <wp:docPr id="1256713469"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6713469" name=""/>
                    <pic:cNvPicPr/>
                  </pic:nvPicPr>
                  <pic:blipFill rotWithShape="1">
                    <a:blip r:embed="rId11"/>
                    <a:srcRect t="5233" r="-243"/>
                    <a:stretch/>
                  </pic:blipFill>
                  <pic:spPr bwMode="auto">
                    <a:xfrm>
                      <a:off x="0" y="0"/>
                      <a:ext cx="5124091" cy="2967918"/>
                    </a:xfrm>
                    <a:prstGeom prst="rect">
                      <a:avLst/>
                    </a:prstGeom>
                    <a:ln>
                      <a:noFill/>
                    </a:ln>
                    <a:extLst>
                      <a:ext uri="{53640926-AAD7-44D8-BBD7-CCE9431645EC}">
                        <a14:shadowObscured xmlns:a14="http://schemas.microsoft.com/office/drawing/2010/main"/>
                      </a:ext>
                    </a:extLst>
                  </pic:spPr>
                </pic:pic>
              </a:graphicData>
            </a:graphic>
          </wp:inline>
        </w:drawing>
      </w:r>
    </w:p>
    <w:p w14:paraId="56523DD3" w14:textId="77777777" w:rsidR="00F85B0F" w:rsidRPr="00F85B0F" w:rsidRDefault="00F85B0F" w:rsidP="00B954FC">
      <w:pPr>
        <w:pStyle w:val="Body"/>
        <w:spacing w:before="240"/>
        <w:ind w:right="-11" w:firstLine="284"/>
        <w:rPr>
          <w:rFonts w:ascii="Arial" w:eastAsia="Calibri" w:hAnsi="Arial" w:cs="Arial"/>
          <w:b/>
          <w:bCs/>
          <w:szCs w:val="22"/>
        </w:rPr>
      </w:pPr>
      <w:r>
        <w:rPr>
          <w:rFonts w:ascii="Arial" w:eastAsia="Calibri" w:hAnsi="Arial" w:cs="Arial"/>
          <w:b/>
          <w:bCs/>
          <w:szCs w:val="22"/>
        </w:rPr>
        <w:t xml:space="preserve">3.6. </w:t>
      </w:r>
      <w:r w:rsidRPr="00F85B0F">
        <w:rPr>
          <w:rFonts w:ascii="Arial" w:eastAsia="Calibri" w:hAnsi="Arial" w:cs="Arial"/>
          <w:b/>
          <w:bCs/>
          <w:szCs w:val="22"/>
        </w:rPr>
        <w:t>Determining the sensitivity of isolated bacterial strains</w:t>
      </w:r>
    </w:p>
    <w:p w14:paraId="2C1AAC0F" w14:textId="77777777" w:rsidR="00F85B0F" w:rsidRPr="00F85B0F" w:rsidRDefault="00F85B0F" w:rsidP="00F85B0F">
      <w:pPr>
        <w:pStyle w:val="Body"/>
        <w:ind w:firstLine="567"/>
        <w:rPr>
          <w:rFonts w:ascii="Arial" w:eastAsia="Calibri" w:hAnsi="Arial" w:cs="Arial"/>
          <w:i/>
          <w:iCs/>
          <w:szCs w:val="22"/>
        </w:rPr>
      </w:pPr>
      <w:r w:rsidRPr="00F85B0F">
        <w:rPr>
          <w:rFonts w:ascii="Arial" w:eastAsia="Calibri" w:hAnsi="Arial" w:cs="Arial"/>
          <w:i/>
          <w:iCs/>
          <w:szCs w:val="22"/>
        </w:rPr>
        <w:t>3.6.1. Antibiotic susceptibility of E. coli</w:t>
      </w:r>
    </w:p>
    <w:p w14:paraId="16477E37" w14:textId="77777777" w:rsidR="0079018A" w:rsidRDefault="00F85B0F" w:rsidP="00F85B0F">
      <w:pPr>
        <w:pStyle w:val="Body"/>
        <w:rPr>
          <w:rFonts w:ascii="Arial" w:eastAsia="Calibri" w:hAnsi="Arial" w:cs="Arial"/>
          <w:szCs w:val="22"/>
        </w:rPr>
      </w:pPr>
      <w:r w:rsidRPr="00F85B0F">
        <w:rPr>
          <w:rFonts w:ascii="Arial" w:eastAsia="Calibri" w:hAnsi="Arial" w:cs="Arial"/>
          <w:szCs w:val="22"/>
        </w:rPr>
        <w:t>Following TBA sensitivity testing, the highest rates of resistance were recorded with antibiotic molecules belonging to the beta-lactam family, notably C3G (Cefotaxime, Ceftazidime, Cefixime and Cefepime) with a resistance rate of 87.5</w:t>
      </w:r>
      <w:r>
        <w:rPr>
          <w:rFonts w:ascii="Arial" w:eastAsia="Calibri" w:hAnsi="Arial" w:cs="Arial"/>
          <w:szCs w:val="22"/>
        </w:rPr>
        <w:t xml:space="preserve"> </w:t>
      </w:r>
      <w:r w:rsidRPr="00F85B0F">
        <w:rPr>
          <w:rFonts w:ascii="Arial" w:eastAsia="Calibri" w:hAnsi="Arial" w:cs="Arial"/>
          <w:szCs w:val="22"/>
        </w:rPr>
        <w:t xml:space="preserve">%, to Cefuroxime with a resistance rate of 100% and to </w:t>
      </w:r>
      <w:r w:rsidR="00EC3C60" w:rsidRPr="00F85B0F">
        <w:rPr>
          <w:rFonts w:ascii="Arial" w:eastAsia="Calibri" w:hAnsi="Arial" w:cs="Arial"/>
          <w:szCs w:val="22"/>
        </w:rPr>
        <w:t>penicillin</w:t>
      </w:r>
      <w:r w:rsidRPr="00F85B0F">
        <w:rPr>
          <w:rFonts w:ascii="Arial" w:eastAsia="Calibri" w:hAnsi="Arial" w:cs="Arial"/>
          <w:szCs w:val="22"/>
        </w:rPr>
        <w:t xml:space="preserve"> (Ticarcillin, Ticarcillin + clavulanic acid, ampicillin, Aztreonam and Piperacillin) where a resistance rate of 100% was noted. A resistance rate of 87.5% was observed for trimethoprim, trimethoprim/sulfamethoxazole and gentamycin. Any sensitivity to imipenem, meropenem, norfloxacin, furantoin, tigecycline and chloramphenicol.</w:t>
      </w:r>
    </w:p>
    <w:p w14:paraId="4FC1B163" w14:textId="77777777" w:rsidR="00F85B0F" w:rsidRDefault="00F85B0F" w:rsidP="00EF200E">
      <w:pPr>
        <w:pStyle w:val="Body"/>
        <w:jc w:val="center"/>
        <w:rPr>
          <w:rFonts w:ascii="Arial" w:eastAsia="Calibri" w:hAnsi="Arial" w:cs="Arial"/>
          <w:szCs w:val="22"/>
        </w:rPr>
      </w:pPr>
      <w:r w:rsidRPr="00F85B0F">
        <w:rPr>
          <w:rFonts w:ascii="Arial" w:eastAsia="Calibri" w:hAnsi="Arial" w:cs="Arial"/>
          <w:noProof/>
          <w:szCs w:val="22"/>
        </w:rPr>
        <w:lastRenderedPageBreak/>
        <w:drawing>
          <wp:inline distT="0" distB="0" distL="0" distR="0" wp14:anchorId="0FBCCC6F" wp14:editId="58FB679C">
            <wp:extent cx="3908775" cy="2133600"/>
            <wp:effectExtent l="0" t="0" r="3175" b="0"/>
            <wp:docPr id="7148982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898266" name=""/>
                    <pic:cNvPicPr/>
                  </pic:nvPicPr>
                  <pic:blipFill>
                    <a:blip r:embed="rId12"/>
                    <a:stretch>
                      <a:fillRect/>
                    </a:stretch>
                  </pic:blipFill>
                  <pic:spPr>
                    <a:xfrm>
                      <a:off x="0" y="0"/>
                      <a:ext cx="3939882" cy="2150580"/>
                    </a:xfrm>
                    <a:prstGeom prst="rect">
                      <a:avLst/>
                    </a:prstGeom>
                  </pic:spPr>
                </pic:pic>
              </a:graphicData>
            </a:graphic>
          </wp:inline>
        </w:drawing>
      </w:r>
    </w:p>
    <w:p w14:paraId="54BEFFA6" w14:textId="77777777" w:rsidR="00F85B0F" w:rsidRDefault="00F85B0F" w:rsidP="00F85B0F">
      <w:pPr>
        <w:pStyle w:val="Body"/>
        <w:rPr>
          <w:rFonts w:ascii="Arial" w:eastAsia="Calibri" w:hAnsi="Arial" w:cs="Arial"/>
          <w:b/>
          <w:bCs/>
          <w:szCs w:val="22"/>
        </w:rPr>
      </w:pPr>
      <w:r w:rsidRPr="00F85B0F">
        <w:rPr>
          <w:rFonts w:ascii="Arial" w:eastAsia="Calibri" w:hAnsi="Arial" w:cs="Arial"/>
          <w:b/>
          <w:bCs/>
          <w:szCs w:val="22"/>
        </w:rPr>
        <w:t>Fig. 2. Antibiotic resistance rate of Escherichia coli strains isolated from milk products.</w:t>
      </w:r>
    </w:p>
    <w:p w14:paraId="3E627798" w14:textId="77777777" w:rsidR="00F85B0F" w:rsidRPr="00F85B0F" w:rsidRDefault="00F85B0F" w:rsidP="00F85B0F">
      <w:pPr>
        <w:pStyle w:val="Body"/>
        <w:ind w:firstLine="567"/>
        <w:rPr>
          <w:rFonts w:ascii="Arial" w:eastAsia="Calibri" w:hAnsi="Arial" w:cs="Arial"/>
          <w:i/>
          <w:iCs/>
          <w:szCs w:val="22"/>
        </w:rPr>
      </w:pPr>
      <w:r w:rsidRPr="00F85B0F">
        <w:rPr>
          <w:rFonts w:ascii="Arial" w:eastAsia="Calibri" w:hAnsi="Arial" w:cs="Arial"/>
          <w:i/>
          <w:iCs/>
          <w:szCs w:val="22"/>
        </w:rPr>
        <w:t>3.6.2. Antibiotic susceptibility of P. aeruginosa</w:t>
      </w:r>
    </w:p>
    <w:p w14:paraId="6292D876" w14:textId="77777777" w:rsidR="00F85B0F" w:rsidRDefault="00F85B0F" w:rsidP="00F85B0F">
      <w:pPr>
        <w:pStyle w:val="Body"/>
        <w:rPr>
          <w:rFonts w:ascii="Arial" w:eastAsia="Calibri" w:hAnsi="Arial" w:cs="Arial"/>
          <w:szCs w:val="22"/>
        </w:rPr>
      </w:pPr>
      <w:r w:rsidRPr="00F85B0F">
        <w:rPr>
          <w:rFonts w:ascii="Arial" w:eastAsia="Calibri" w:hAnsi="Arial" w:cs="Arial"/>
          <w:szCs w:val="22"/>
        </w:rPr>
        <w:t>Figure 3 shows the antibiotic resistance profile of P. aeruginosa. This resistance reflects the emergence of the ESBL phenotype. A study of the sensitivity of P. aeruginosa isolated from milk</w:t>
      </w:r>
      <w:r>
        <w:rPr>
          <w:rFonts w:ascii="Arial" w:eastAsia="Calibri" w:hAnsi="Arial" w:cs="Arial"/>
          <w:szCs w:val="22"/>
        </w:rPr>
        <w:t xml:space="preserve"> r</w:t>
      </w:r>
      <w:r w:rsidRPr="00F85B0F">
        <w:rPr>
          <w:rFonts w:ascii="Arial" w:eastAsia="Calibri" w:hAnsi="Arial" w:cs="Arial"/>
          <w:szCs w:val="22"/>
        </w:rPr>
        <w:t xml:space="preserve">evealed a resistance rate of 100% for Tigecycline and 66% for Cefepime, </w:t>
      </w:r>
      <w:r w:rsidR="00EC3C60" w:rsidRPr="00F85B0F">
        <w:rPr>
          <w:rFonts w:ascii="Arial" w:eastAsia="Calibri" w:hAnsi="Arial" w:cs="Arial"/>
          <w:szCs w:val="22"/>
        </w:rPr>
        <w:t>Ticarcillin</w:t>
      </w:r>
      <w:r w:rsidRPr="00F85B0F">
        <w:rPr>
          <w:rFonts w:ascii="Arial" w:eastAsia="Calibri" w:hAnsi="Arial" w:cs="Arial"/>
          <w:szCs w:val="22"/>
        </w:rPr>
        <w:t xml:space="preserve">, </w:t>
      </w:r>
      <w:r w:rsidR="00EC3C60" w:rsidRPr="00F85B0F">
        <w:rPr>
          <w:rFonts w:ascii="Arial" w:eastAsia="Calibri" w:hAnsi="Arial" w:cs="Arial"/>
          <w:szCs w:val="22"/>
        </w:rPr>
        <w:t>Ticarcillin</w:t>
      </w:r>
      <w:r w:rsidRPr="00F85B0F">
        <w:rPr>
          <w:rFonts w:ascii="Arial" w:eastAsia="Calibri" w:hAnsi="Arial" w:cs="Arial"/>
          <w:szCs w:val="22"/>
        </w:rPr>
        <w:t xml:space="preserve"> + Clavulanic Acid and Piperacillin. A lower rate of 33.3% for Ceftazidime, </w:t>
      </w:r>
      <w:r w:rsidR="00EC3C60" w:rsidRPr="00F85B0F">
        <w:rPr>
          <w:rFonts w:ascii="Arial" w:eastAsia="Calibri" w:hAnsi="Arial" w:cs="Arial"/>
          <w:szCs w:val="22"/>
        </w:rPr>
        <w:t>gentamycin</w:t>
      </w:r>
      <w:r w:rsidRPr="00F85B0F">
        <w:rPr>
          <w:rFonts w:ascii="Arial" w:eastAsia="Calibri" w:hAnsi="Arial" w:cs="Arial"/>
          <w:szCs w:val="22"/>
        </w:rPr>
        <w:t xml:space="preserve"> and colistin, and 100% sensitivity for Tazobactam + Piperacillin and imipenem.</w:t>
      </w:r>
    </w:p>
    <w:p w14:paraId="36870354" w14:textId="77777777" w:rsidR="007A4A0B" w:rsidRPr="00FA16F9" w:rsidRDefault="007A4A0B" w:rsidP="00FA16F9">
      <w:pPr>
        <w:pStyle w:val="Body"/>
        <w:jc w:val="center"/>
        <w:rPr>
          <w:rFonts w:ascii="Arial" w:eastAsia="Calibri" w:hAnsi="Arial" w:cs="Arial"/>
          <w:szCs w:val="22"/>
        </w:rPr>
      </w:pPr>
      <w:r w:rsidRPr="007A4A0B">
        <w:rPr>
          <w:rFonts w:ascii="Arial" w:eastAsia="Calibri" w:hAnsi="Arial" w:cs="Arial"/>
          <w:noProof/>
          <w:color w:val="FF0000"/>
          <w:szCs w:val="22"/>
        </w:rPr>
        <w:drawing>
          <wp:inline distT="0" distB="0" distL="0" distR="0" wp14:anchorId="3FC2A8BC" wp14:editId="29CFFEB4">
            <wp:extent cx="3976165" cy="2196000"/>
            <wp:effectExtent l="0" t="0" r="0" b="1270"/>
            <wp:docPr id="2802883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288351" name=""/>
                    <pic:cNvPicPr/>
                  </pic:nvPicPr>
                  <pic:blipFill>
                    <a:blip r:embed="rId13"/>
                    <a:stretch>
                      <a:fillRect/>
                    </a:stretch>
                  </pic:blipFill>
                  <pic:spPr>
                    <a:xfrm>
                      <a:off x="0" y="0"/>
                      <a:ext cx="3976165" cy="2196000"/>
                    </a:xfrm>
                    <a:prstGeom prst="rect">
                      <a:avLst/>
                    </a:prstGeom>
                  </pic:spPr>
                </pic:pic>
              </a:graphicData>
            </a:graphic>
          </wp:inline>
        </w:drawing>
      </w:r>
    </w:p>
    <w:p w14:paraId="74978CE5" w14:textId="77777777" w:rsidR="00FA16F9" w:rsidRPr="00FA16F9" w:rsidRDefault="00F85B0F" w:rsidP="00F85B0F">
      <w:pPr>
        <w:pStyle w:val="NormalWeb"/>
        <w:rPr>
          <w:rFonts w:ascii="Arial" w:hAnsi="Arial" w:cs="Arial"/>
          <w:b/>
          <w:bCs/>
          <w:sz w:val="20"/>
          <w:szCs w:val="20"/>
          <w:lang w:val="en-US"/>
        </w:rPr>
      </w:pPr>
      <w:r w:rsidRPr="00F85B0F">
        <w:rPr>
          <w:rFonts w:ascii="Arial" w:hAnsi="Arial" w:cs="Arial"/>
          <w:b/>
          <w:bCs/>
          <w:sz w:val="20"/>
          <w:szCs w:val="20"/>
          <w:lang w:val="en-US"/>
        </w:rPr>
        <w:t xml:space="preserve">Fig. 3. Antibiotic resistance rate of Pseudomonas aeruginosa strains isolated from milk products. </w:t>
      </w:r>
    </w:p>
    <w:p w14:paraId="75053628" w14:textId="77777777" w:rsidR="00F85B0F" w:rsidRPr="00F85B0F" w:rsidRDefault="00F85B0F" w:rsidP="00F85B0F">
      <w:pPr>
        <w:pStyle w:val="Body"/>
        <w:ind w:firstLine="567"/>
        <w:rPr>
          <w:rFonts w:ascii="Arial" w:eastAsia="Calibri" w:hAnsi="Arial" w:cs="Arial"/>
          <w:i/>
          <w:iCs/>
          <w:szCs w:val="22"/>
        </w:rPr>
      </w:pPr>
      <w:r w:rsidRPr="00F85B0F">
        <w:rPr>
          <w:rFonts w:ascii="Arial" w:eastAsia="Calibri" w:hAnsi="Arial" w:cs="Arial"/>
          <w:i/>
          <w:iCs/>
          <w:szCs w:val="22"/>
        </w:rPr>
        <w:t>3.6.3. Susceptibility of S. aureus to antibiotics</w:t>
      </w:r>
    </w:p>
    <w:p w14:paraId="63FB9E3B" w14:textId="77777777" w:rsidR="0079018A" w:rsidRPr="00F85B0F" w:rsidRDefault="00F85B0F" w:rsidP="00F85B0F">
      <w:pPr>
        <w:pStyle w:val="Body"/>
        <w:rPr>
          <w:rFonts w:ascii="Arial" w:eastAsia="Calibri" w:hAnsi="Arial" w:cs="Arial"/>
          <w:szCs w:val="22"/>
        </w:rPr>
      </w:pPr>
      <w:r w:rsidRPr="00F85B0F">
        <w:rPr>
          <w:rFonts w:ascii="Arial" w:eastAsia="Calibri" w:hAnsi="Arial" w:cs="Arial"/>
          <w:szCs w:val="22"/>
        </w:rPr>
        <w:t>An analysis of the antibiotic resistance profile of S. aureus is shown in Figure 4, revealing a resistance rate of 100% for penicillin, 77.7% for kanamycin and Norfloxacin. Resistance rates of 66.6% for Cefoxitin, Gentamycin and Ofloxacin</w:t>
      </w:r>
      <w:r>
        <w:rPr>
          <w:rFonts w:ascii="Arial" w:eastAsia="Calibri" w:hAnsi="Arial" w:cs="Arial"/>
          <w:szCs w:val="22"/>
        </w:rPr>
        <w:t xml:space="preserve"> </w:t>
      </w:r>
      <w:r w:rsidRPr="00F85B0F">
        <w:rPr>
          <w:rFonts w:ascii="Arial" w:eastAsia="Calibri" w:hAnsi="Arial" w:cs="Arial"/>
          <w:szCs w:val="22"/>
        </w:rPr>
        <w:t xml:space="preserve">observed. Resistance to Cefoxitin and gentamicin reflects the Meti R and KTG phenotypes respectively. Resistance rates of 55.5% for trimethoprim/sulfamethoxazole, 44.4% for erythromycin and clindamycin and 11.1% for </w:t>
      </w:r>
      <w:r w:rsidRPr="00F85B0F">
        <w:rPr>
          <w:rFonts w:ascii="Arial" w:eastAsia="Calibri" w:hAnsi="Arial" w:cs="Arial"/>
          <w:szCs w:val="22"/>
        </w:rPr>
        <w:lastRenderedPageBreak/>
        <w:t>teicoplanin and fusidic acid were also noted. However, a sensitivity rate of 100% for vancomycin and chloramphenicol was noted.</w:t>
      </w:r>
    </w:p>
    <w:p w14:paraId="46F22775" w14:textId="77777777" w:rsidR="00F85B0F" w:rsidRPr="00F85B0F" w:rsidRDefault="00F85B0F" w:rsidP="00441B6F">
      <w:pPr>
        <w:pStyle w:val="Body"/>
        <w:spacing w:after="0"/>
        <w:rPr>
          <w:rFonts w:ascii="Arial" w:eastAsia="Calibri" w:hAnsi="Arial" w:cs="Arial"/>
          <w:szCs w:val="22"/>
        </w:rPr>
      </w:pPr>
    </w:p>
    <w:p w14:paraId="52E08E2B" w14:textId="77777777" w:rsidR="00F85B0F" w:rsidRDefault="00F85B0F" w:rsidP="00441B6F">
      <w:pPr>
        <w:pStyle w:val="Body"/>
        <w:spacing w:after="0"/>
        <w:rPr>
          <w:rFonts w:ascii="Arial" w:eastAsia="Calibri" w:hAnsi="Arial" w:cs="Arial"/>
          <w:color w:val="FF0000"/>
          <w:szCs w:val="22"/>
        </w:rPr>
      </w:pPr>
    </w:p>
    <w:p w14:paraId="0BBAD939" w14:textId="77777777" w:rsidR="00A12869" w:rsidRDefault="00A12869" w:rsidP="00EF200E">
      <w:pPr>
        <w:pStyle w:val="Body"/>
        <w:spacing w:after="0"/>
        <w:jc w:val="center"/>
        <w:rPr>
          <w:rFonts w:ascii="Arial" w:eastAsia="Calibri" w:hAnsi="Arial" w:cs="Arial"/>
          <w:color w:val="FF0000"/>
          <w:szCs w:val="22"/>
        </w:rPr>
      </w:pPr>
      <w:r w:rsidRPr="00A12869">
        <w:rPr>
          <w:rFonts w:ascii="Arial" w:eastAsia="Calibri" w:hAnsi="Arial" w:cs="Arial"/>
          <w:noProof/>
          <w:color w:val="FF0000"/>
          <w:szCs w:val="22"/>
        </w:rPr>
        <w:drawing>
          <wp:inline distT="0" distB="0" distL="0" distR="0" wp14:anchorId="2B6B0108" wp14:editId="431347E1">
            <wp:extent cx="3891600" cy="2298548"/>
            <wp:effectExtent l="0" t="0" r="0" b="635"/>
            <wp:docPr id="4322675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267535" name=""/>
                    <pic:cNvPicPr/>
                  </pic:nvPicPr>
                  <pic:blipFill>
                    <a:blip r:embed="rId14"/>
                    <a:stretch>
                      <a:fillRect/>
                    </a:stretch>
                  </pic:blipFill>
                  <pic:spPr>
                    <a:xfrm>
                      <a:off x="0" y="0"/>
                      <a:ext cx="3891600" cy="2298548"/>
                    </a:xfrm>
                    <a:prstGeom prst="rect">
                      <a:avLst/>
                    </a:prstGeom>
                  </pic:spPr>
                </pic:pic>
              </a:graphicData>
            </a:graphic>
          </wp:inline>
        </w:drawing>
      </w:r>
    </w:p>
    <w:p w14:paraId="1A2C0BC4" w14:textId="77777777" w:rsidR="00790ADA" w:rsidRPr="008B2975" w:rsidRDefault="00660608" w:rsidP="008B2975">
      <w:pPr>
        <w:pStyle w:val="NormalWeb"/>
        <w:jc w:val="both"/>
        <w:rPr>
          <w:b/>
          <w:bCs/>
          <w:sz w:val="28"/>
          <w:szCs w:val="28"/>
          <w:lang w:val="en-US"/>
        </w:rPr>
      </w:pPr>
      <w:r w:rsidRPr="00660608">
        <w:rPr>
          <w:rFonts w:ascii="Arial" w:hAnsi="Arial" w:cs="Arial"/>
          <w:b/>
          <w:bCs/>
          <w:sz w:val="20"/>
          <w:szCs w:val="20"/>
          <w:lang w:val="en-US"/>
        </w:rPr>
        <w:t xml:space="preserve">Fig. 4. Antibiotic resistance rate of </w:t>
      </w:r>
      <w:r w:rsidRPr="008B2975">
        <w:rPr>
          <w:rFonts w:ascii="Arial" w:hAnsi="Arial" w:cs="Arial"/>
          <w:b/>
          <w:bCs/>
          <w:i/>
          <w:iCs/>
          <w:sz w:val="20"/>
          <w:szCs w:val="20"/>
          <w:lang w:val="en-US"/>
        </w:rPr>
        <w:t>Staphyloccocus aureus</w:t>
      </w:r>
      <w:r w:rsidRPr="00660608">
        <w:rPr>
          <w:rFonts w:ascii="Arial" w:hAnsi="Arial" w:cs="Arial"/>
          <w:b/>
          <w:bCs/>
          <w:sz w:val="20"/>
          <w:szCs w:val="20"/>
          <w:lang w:val="en-US"/>
        </w:rPr>
        <w:t xml:space="preserve"> strains isolated from milk products. </w:t>
      </w:r>
    </w:p>
    <w:p w14:paraId="26CC308D"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026F5C9B" w14:textId="77777777" w:rsidR="00790ADA" w:rsidRPr="00FB3A86" w:rsidRDefault="00790ADA" w:rsidP="00441B6F">
      <w:pPr>
        <w:pStyle w:val="Head1"/>
        <w:spacing w:after="0"/>
        <w:jc w:val="both"/>
        <w:rPr>
          <w:rFonts w:ascii="Arial" w:hAnsi="Arial" w:cs="Arial"/>
        </w:rPr>
      </w:pPr>
    </w:p>
    <w:p w14:paraId="05404F73" w14:textId="77777777" w:rsidR="00660608" w:rsidRDefault="00660608" w:rsidP="00660608">
      <w:pPr>
        <w:pStyle w:val="Body"/>
        <w:spacing w:after="0"/>
        <w:rPr>
          <w:rFonts w:ascii="Arial" w:hAnsi="Arial" w:cs="Arial"/>
        </w:rPr>
      </w:pPr>
      <w:r w:rsidRPr="00660608">
        <w:rPr>
          <w:rFonts w:ascii="Arial" w:hAnsi="Arial" w:cs="Arial"/>
        </w:rPr>
        <w:t xml:space="preserve">Formula, a substitute for breastfeeding, is the first food given to infants at birth, and the only food they receive until the age of four to six months. However, preparation, handling and storage conditions can lead to microbial contamination and multiplication, which in turn can cause serious infections and even death in newborns and young infants. In the course of our work, we observed a diversity of micro-organisms in the various milk batches analyzed, as well as in samples taken from hands, nostrils and ambient air. The results showed that E. coli was the species most frequently isolated from milk, followed by S. aureus and P. aeruginosa. The presence of these bacteria in milk is questioned by several authors. According to Abera et al. (2016), the presence of enterobacteria in milk could be due to cross-contamination. As for Zarei et al. (2014), the presence of S. aureus in milk may present a potential health risk for the consumer (newborn), particularly in the case of the presence of enterotoxic strains. </w:t>
      </w:r>
      <w:r>
        <w:rPr>
          <w:rFonts w:ascii="Arial" w:hAnsi="Arial" w:cs="Arial"/>
        </w:rPr>
        <w:t xml:space="preserve"> </w:t>
      </w:r>
      <w:r w:rsidRPr="00660608">
        <w:rPr>
          <w:rFonts w:ascii="Arial" w:hAnsi="Arial" w:cs="Arial"/>
        </w:rPr>
        <w:t xml:space="preserve">Our study also assessed biological parameters (hands and nostrils) and the ambient air in the preparation kitchen. Several microorganisms were isolated, including bacteria and yeasts. </w:t>
      </w:r>
    </w:p>
    <w:p w14:paraId="0F34978B" w14:textId="77777777" w:rsidR="00660608" w:rsidRDefault="00660608" w:rsidP="00660608">
      <w:pPr>
        <w:pStyle w:val="Body"/>
        <w:spacing w:after="0"/>
        <w:rPr>
          <w:rFonts w:ascii="Arial" w:hAnsi="Arial" w:cs="Arial"/>
        </w:rPr>
      </w:pPr>
      <w:r w:rsidRPr="00660608">
        <w:rPr>
          <w:rFonts w:ascii="Arial" w:hAnsi="Arial" w:cs="Arial"/>
        </w:rPr>
        <w:t>Bacterial contamination of milk preparations could be due to the hospital environment, i.e. the ambient air, the nostrils and the hands of the department's staff. What's more, when preparing milk, hygiene rules are not fully respected by kitchen staff and those responsible for feeding newborns. It should also be noted that the way in which the infants were fed could be at the origin of this contamination, as the cups used for feeding were not single-use, but also the equipment used to prepare and store the milk formula. It should be noted that the sanitary quality of the milk preparations assessed on the different batches revealed that only batch 1 was satisfactory. It can therefore be said that the sanitary quality of infant formula is unsatisfactory.</w:t>
      </w:r>
    </w:p>
    <w:p w14:paraId="6FA672C5" w14:textId="77777777" w:rsidR="00660608" w:rsidRDefault="00660608" w:rsidP="00660608">
      <w:pPr>
        <w:pStyle w:val="Body"/>
        <w:spacing w:after="0"/>
        <w:rPr>
          <w:rFonts w:ascii="Arial" w:hAnsi="Arial" w:cs="Arial"/>
        </w:rPr>
      </w:pPr>
    </w:p>
    <w:p w14:paraId="5F8DE4DD" w14:textId="77777777" w:rsidR="00660608" w:rsidRPr="00660608" w:rsidRDefault="00660608" w:rsidP="00660608">
      <w:pPr>
        <w:pStyle w:val="Body"/>
        <w:rPr>
          <w:rFonts w:ascii="Arial" w:hAnsi="Arial" w:cs="Arial"/>
        </w:rPr>
      </w:pPr>
    </w:p>
    <w:p w14:paraId="6191ED17" w14:textId="77777777" w:rsidR="00660608" w:rsidRPr="00660608" w:rsidRDefault="00660608" w:rsidP="00660608">
      <w:pPr>
        <w:pStyle w:val="Body"/>
        <w:rPr>
          <w:rFonts w:ascii="Arial" w:hAnsi="Arial" w:cs="Arial"/>
        </w:rPr>
      </w:pPr>
      <w:r w:rsidRPr="00660608">
        <w:rPr>
          <w:rFonts w:ascii="Arial" w:hAnsi="Arial" w:cs="Arial"/>
        </w:rPr>
        <w:lastRenderedPageBreak/>
        <w:t>The sensitivity tests carried out showed a considerable</w:t>
      </w:r>
      <w:r>
        <w:rPr>
          <w:rFonts w:ascii="Arial" w:hAnsi="Arial" w:cs="Arial"/>
        </w:rPr>
        <w:t xml:space="preserve"> </w:t>
      </w:r>
      <w:r w:rsidRPr="00660608">
        <w:rPr>
          <w:rFonts w:ascii="Arial" w:hAnsi="Arial" w:cs="Arial"/>
        </w:rPr>
        <w:t xml:space="preserve">resistance to the majority of antibiotics tested. In fact, </w:t>
      </w:r>
      <w:r w:rsidRPr="00EC3C60">
        <w:rPr>
          <w:rFonts w:ascii="Arial" w:hAnsi="Arial" w:cs="Arial"/>
          <w:i/>
          <w:iCs/>
        </w:rPr>
        <w:t>E. coli</w:t>
      </w:r>
      <w:r w:rsidRPr="00660608">
        <w:rPr>
          <w:rFonts w:ascii="Arial" w:hAnsi="Arial" w:cs="Arial"/>
        </w:rPr>
        <w:t xml:space="preserve"> strains showed resistance to </w:t>
      </w:r>
      <w:r w:rsidR="00EC3C60" w:rsidRPr="00660608">
        <w:rPr>
          <w:rFonts w:ascii="Arial" w:hAnsi="Arial" w:cs="Arial"/>
        </w:rPr>
        <w:t>Ticarcillin</w:t>
      </w:r>
      <w:r w:rsidRPr="00660608">
        <w:rPr>
          <w:rFonts w:ascii="Arial" w:hAnsi="Arial" w:cs="Arial"/>
        </w:rPr>
        <w:t>, Piperacillin, ampicillin and amoxicillin + clavulanic acid combined with C3Gs, resulting in the production of extended-spectrum beta-lactamase (ESBL). Imipenem and meropenem remain the most active molecules on all E. coli strains isolated. Cross-resistance has also been observed with antibiotics belonging to the aminoglycoside (GEN, NET), quinolone (OFX, NAL) and sulfonamide (SXT) families. In reality, these results reflect the antibiotic resistance situation at Treichville University Hospital. It should be noted that the population is urban and made up mainly of well-off people who can afford microbiological examinations and are accustomed to using ATBs. The resistance of ESBL-producing E. coli strains was highlighted by (Duval et al. 2009) and (Barguigua et al. 2011) in their work on enterobacteria resistance. They found resistance rates of 37.8% and 1.3% respectively, compared with 35% in our study.</w:t>
      </w:r>
      <w:r>
        <w:rPr>
          <w:rFonts w:ascii="Arial" w:hAnsi="Arial" w:cs="Arial"/>
        </w:rPr>
        <w:t xml:space="preserve"> </w:t>
      </w:r>
      <w:r w:rsidRPr="00660608">
        <w:rPr>
          <w:rFonts w:ascii="Arial" w:hAnsi="Arial" w:cs="Arial"/>
        </w:rPr>
        <w:t xml:space="preserve">P. aeruginosa strains showed high resistance to all antibiotics tested, with the exception of imipenem and tazobactam + piperacillin. This resistance is probably due to the production of extended-spectrum ß-lactamases (ESBLs). </w:t>
      </w:r>
    </w:p>
    <w:p w14:paraId="36418065" w14:textId="77777777" w:rsidR="00660608" w:rsidRDefault="00660608" w:rsidP="00660608">
      <w:pPr>
        <w:pStyle w:val="Body"/>
        <w:rPr>
          <w:rFonts w:ascii="Arial" w:hAnsi="Arial" w:cs="Arial"/>
        </w:rPr>
      </w:pPr>
      <w:r w:rsidRPr="00660608">
        <w:rPr>
          <w:rFonts w:ascii="Arial" w:hAnsi="Arial" w:cs="Arial"/>
        </w:rPr>
        <w:t>Our results remain high compared with those found by (Touati, 2013) in Algeria but relatively close to those of Sefraoui (2015) at Oran University Hospital. This difference in results could be due to the country's geographical location and also to the sampling season. Analysis of the resistance profile of S. aureus revealed a high rate of resistance (72.15%) to antibiotics belonging to the aminoglycoside families, to erythromycin (50%) and to antibiotics belonging to the quinolone families (72.15%). This finding was made by Touaitia (2016) with a rate of 46.2% and by Bouguenoun (2017) who obtained a rate of 42.84%. Aminoglycoside resistance could be due to the production of an inactivating enzyme called aminoside acetyltrans- ferases 6' phosphotransferases 2'' (AAC (6') - APH (2'')), which is a bifunctional enzyme with both phosphorylation and acetylation actions responsible for the production of the KTG phenotype (Bismuth &amp; Leclercq, 2000).</w:t>
      </w:r>
    </w:p>
    <w:p w14:paraId="09E771E5" w14:textId="77777777" w:rsidR="00E053D0" w:rsidRDefault="00660608" w:rsidP="007466B1">
      <w:pPr>
        <w:pStyle w:val="Body"/>
        <w:spacing w:after="0"/>
        <w:rPr>
          <w:rFonts w:ascii="Arial" w:hAnsi="Arial" w:cs="Arial"/>
        </w:rPr>
      </w:pPr>
      <w:r w:rsidRPr="00660608">
        <w:rPr>
          <w:rFonts w:ascii="Arial" w:hAnsi="Arial" w:cs="Arial"/>
        </w:rPr>
        <w:t>Phenotypic analysis revealed the following two types of phenotype, with a predominance of the KTG phenotype (55.6%) over the K phenotype (22.2%). These results are in contrast to those reported by Touaitia et al (2015). A resistance rate of 100% for penicillin and 66.6% for Cefoxitin was noted, reflecting the Méti R phenotype. These results are relatively close to those reported in Senegal and the United States, with 72% and 70% respectively (Seydi et al. 2004; Awad et al. 2007), but clearly higher than those reported in Côte d'ivoire and Morocco, with 25% and 19.3% respectively (Akoua-Koffi et al. 2004; Elhamzaoui et al. 2009). Indeed, these strains, in addition to producing a penicillinase, produce a modified PLP (additional PLP2), which has a greatly diminished affinity for Cefoxitin and implies cross-resistance to all â-lactamins, (Ghernaout, 2013). This would partly explain the resistance of our isolates to penicillin and Cefoxitin.</w:t>
      </w:r>
    </w:p>
    <w:p w14:paraId="0F091172" w14:textId="77777777" w:rsidR="00790ADA" w:rsidRPr="00FB3A86" w:rsidRDefault="00790ADA" w:rsidP="00441B6F">
      <w:pPr>
        <w:pStyle w:val="Body"/>
        <w:spacing w:after="0"/>
        <w:rPr>
          <w:rFonts w:ascii="Arial" w:hAnsi="Arial" w:cs="Arial"/>
        </w:rPr>
      </w:pPr>
    </w:p>
    <w:p w14:paraId="69EEFF2E" w14:textId="77777777" w:rsidR="007466B1" w:rsidRDefault="00000F8F" w:rsidP="007466B1">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10C06D77" w14:textId="77777777" w:rsidR="007466B1" w:rsidRPr="007466B1" w:rsidRDefault="007466B1" w:rsidP="007466B1">
      <w:pPr>
        <w:pStyle w:val="ConcHead"/>
        <w:spacing w:after="0"/>
        <w:jc w:val="both"/>
        <w:rPr>
          <w:rFonts w:ascii="Arial" w:hAnsi="Arial" w:cs="Arial"/>
        </w:rPr>
      </w:pPr>
    </w:p>
    <w:p w14:paraId="41343B55" w14:textId="77777777" w:rsidR="007466B1" w:rsidRDefault="007466B1" w:rsidP="007466B1">
      <w:pPr>
        <w:pStyle w:val="Body"/>
        <w:rPr>
          <w:rFonts w:ascii="Arial" w:hAnsi="Arial" w:cs="Arial"/>
        </w:rPr>
      </w:pPr>
      <w:r w:rsidRPr="007466B1">
        <w:rPr>
          <w:rFonts w:ascii="Arial" w:hAnsi="Arial" w:cs="Arial"/>
        </w:rPr>
        <w:t xml:space="preserve">Milk is a foodstuff very rich in nutrients (proteins, lipids, vitamins and minerals), creating a suitable environment for the development of bacterial flora, including pathogenic bacterial flora leading to microbial contamination. Analysis showed a high microbial load of E. coli, S. aureus and P. aeruginosa strains in the milk. This load was used to assess the sanitary quality of milk used to feed newborns in the neonatal department of Treichville University Hospital. The results showed a predominance of E. coli, with an average microbial load of 3.6.104 cfu/ml, followed by S. aureus (3.7.103 cfu/ml) and P. aeruginosa (7.95.103 cfu/ml). However, a diversity of bacterial strains in the environment was observed. Given the high microbial load of the strains compared with food microbiology standards, milk intended for newborns is judged to be of unsatisfactory sanitary quality. Antibiotic sensitivity tests were carried out to </w:t>
      </w:r>
      <w:r w:rsidRPr="007466B1">
        <w:rPr>
          <w:rFonts w:ascii="Arial" w:hAnsi="Arial" w:cs="Arial"/>
        </w:rPr>
        <w:lastRenderedPageBreak/>
        <w:t>gain a better understanding of the phenomenon of bacterial resistance. Alarming rates of bacterial multi-resistance were recorded</w:t>
      </w:r>
      <w:r>
        <w:rPr>
          <w:rFonts w:ascii="Arial" w:hAnsi="Arial" w:cs="Arial"/>
        </w:rPr>
        <w:t xml:space="preserve"> </w:t>
      </w:r>
      <w:r w:rsidRPr="007466B1">
        <w:rPr>
          <w:rFonts w:ascii="Arial" w:hAnsi="Arial" w:cs="Arial"/>
        </w:rPr>
        <w:t>for all the strains isolated.</w:t>
      </w:r>
    </w:p>
    <w:p w14:paraId="0BD50233" w14:textId="77777777" w:rsidR="00790ADA" w:rsidRDefault="007466B1" w:rsidP="007466B1">
      <w:pPr>
        <w:pStyle w:val="Body"/>
        <w:spacing w:after="0"/>
        <w:rPr>
          <w:rFonts w:ascii="Arial" w:hAnsi="Arial" w:cs="Arial"/>
        </w:rPr>
      </w:pPr>
      <w:r w:rsidRPr="007466B1">
        <w:rPr>
          <w:rFonts w:ascii="Arial" w:hAnsi="Arial" w:cs="Arial"/>
        </w:rPr>
        <w:t>E. coli resistance is very worrying, with almost all resistant to beta-lactam antibiotics and a high percentage of ESBL phenotype, E. coli (35%) and P. aeruginosa (5%). All S. aureus isolated in our study were resistant to the majority of antibiotics tested, notably aminoglycosides, beta-lactams, quinolones and trimethoprim/sulfam-thoxazole. Several phenotypes were revealed, with a predominance of the KTG phenotype (55.6%) followed by the Meti R phenotype (22.2%). As resistance has a considerable impact on the health of the newborn, even leading to death, it would be desirable to carry out a molecular and phenotypic study of the strains and identify all the genetic supports for antibiotic-associated resistance.</w:t>
      </w:r>
    </w:p>
    <w:p w14:paraId="05C21B99" w14:textId="77777777" w:rsidR="007466B1" w:rsidRPr="00FB3A86" w:rsidRDefault="007466B1" w:rsidP="007466B1">
      <w:pPr>
        <w:pStyle w:val="Body"/>
        <w:spacing w:after="0"/>
        <w:rPr>
          <w:rFonts w:ascii="Arial" w:hAnsi="Arial" w:cs="Arial"/>
        </w:rPr>
      </w:pPr>
    </w:p>
    <w:p w14:paraId="6B814840" w14:textId="77777777" w:rsidR="008B459E" w:rsidRDefault="002C57D2" w:rsidP="00441B6F">
      <w:pPr>
        <w:pStyle w:val="Body"/>
        <w:spacing w:after="0"/>
        <w:rPr>
          <w:rFonts w:ascii="Arial" w:hAnsi="Arial" w:cs="Arial"/>
        </w:rPr>
      </w:pPr>
      <w:r w:rsidRPr="002C57D2">
        <w:rPr>
          <w:rFonts w:ascii="Arial" w:hAnsi="Arial" w:cs="Arial"/>
          <w:b/>
        </w:rPr>
        <w:t xml:space="preserve">Reference </w:t>
      </w:r>
    </w:p>
    <w:p w14:paraId="59BDAA8C" w14:textId="77777777" w:rsidR="00284C4C" w:rsidRPr="00284C4C" w:rsidRDefault="00284C4C" w:rsidP="00441B6F">
      <w:pPr>
        <w:pStyle w:val="Body"/>
        <w:spacing w:after="0"/>
        <w:rPr>
          <w:rFonts w:ascii="Arial" w:hAnsi="Arial" w:cs="Arial"/>
          <w:i/>
          <w:u w:val="single"/>
        </w:rPr>
      </w:pPr>
    </w:p>
    <w:p w14:paraId="431241A8" w14:textId="77777777" w:rsidR="00DE0648" w:rsidRPr="00DE0648" w:rsidRDefault="00DE0648" w:rsidP="00DE0648">
      <w:pPr>
        <w:pStyle w:val="NormalWeb"/>
        <w:jc w:val="both"/>
        <w:rPr>
          <w:rFonts w:ascii="Arial" w:hAnsi="Arial" w:cs="Arial"/>
          <w:sz w:val="18"/>
          <w:szCs w:val="18"/>
          <w:lang w:val="en-US"/>
        </w:rPr>
      </w:pPr>
      <w:r w:rsidRPr="00DE0648">
        <w:rPr>
          <w:rFonts w:ascii="Arial" w:hAnsi="Arial" w:cs="Arial"/>
          <w:sz w:val="18"/>
          <w:szCs w:val="18"/>
          <w:lang w:val="en-US"/>
        </w:rPr>
        <w:t>Abera T., Joseph L., Behar M. &amp; Befekadu U. (2016). Bacteriological quality of raw camel milk along the market value chain in Fafen zone, Ethiopian Somali regional state. BMC Res Notes. 9, 1 -</w:t>
      </w:r>
    </w:p>
    <w:p w14:paraId="2E6DA705" w14:textId="77777777" w:rsidR="00DE0648" w:rsidRPr="00DE0648" w:rsidRDefault="00DE0648" w:rsidP="00DE0648">
      <w:pPr>
        <w:pStyle w:val="NormalWeb"/>
        <w:jc w:val="both"/>
        <w:rPr>
          <w:rFonts w:ascii="Arial" w:hAnsi="Arial" w:cs="Arial"/>
          <w:sz w:val="18"/>
          <w:szCs w:val="18"/>
          <w:lang w:val="en-US"/>
        </w:rPr>
      </w:pPr>
      <w:r w:rsidRPr="00DE0648">
        <w:rPr>
          <w:rFonts w:ascii="Arial" w:hAnsi="Arial" w:cs="Arial"/>
          <w:sz w:val="18"/>
          <w:szCs w:val="18"/>
          <w:lang w:val="en-US"/>
        </w:rPr>
        <w:t>Abhijit A. (2013). Study of urinary isolates with reference to extended spectrum beta- actamases detection and antibiogram Vol 2, Issue 9, 1052 p.</w:t>
      </w:r>
    </w:p>
    <w:p w14:paraId="3FAD2E41" w14:textId="77777777" w:rsidR="00DE0648" w:rsidRPr="00DE0648" w:rsidRDefault="00DE0648" w:rsidP="00DE0648">
      <w:pPr>
        <w:pStyle w:val="NormalWeb"/>
        <w:jc w:val="both"/>
        <w:rPr>
          <w:rFonts w:ascii="Arial" w:hAnsi="Arial" w:cs="Arial"/>
          <w:sz w:val="18"/>
          <w:szCs w:val="18"/>
          <w:lang w:val="en-US"/>
        </w:rPr>
      </w:pPr>
      <w:r w:rsidRPr="00DE0648">
        <w:rPr>
          <w:rFonts w:ascii="Arial" w:hAnsi="Arial" w:cs="Arial"/>
          <w:sz w:val="18"/>
          <w:szCs w:val="18"/>
          <w:lang w:val="en-US"/>
        </w:rPr>
        <w:t>http://dx.doi.org/10.1037/0033-295X.102.2.213 Guessennd, N., Gbonon, V., Faye- Ketté, H. &amp; Dosso, M. (2004). Methicillin- resistance of Staphylococcus aureus in Abidjan (1998–2001): a new hospital problem. Medicine and Infectious Diseases , 34 : 132 – 136 .</w:t>
      </w:r>
    </w:p>
    <w:p w14:paraId="71D4395E" w14:textId="77777777" w:rsidR="00DE0648" w:rsidRPr="00DE0648" w:rsidRDefault="00DE0648" w:rsidP="00DE0648">
      <w:pPr>
        <w:pStyle w:val="NormalWeb"/>
        <w:jc w:val="both"/>
        <w:rPr>
          <w:rFonts w:ascii="Arial" w:hAnsi="Arial" w:cs="Arial"/>
          <w:sz w:val="18"/>
          <w:szCs w:val="18"/>
          <w:lang w:val="en-US"/>
        </w:rPr>
      </w:pPr>
      <w:r w:rsidRPr="00DE0648">
        <w:rPr>
          <w:rFonts w:ascii="Arial" w:hAnsi="Arial" w:cs="Arial"/>
          <w:sz w:val="18"/>
          <w:szCs w:val="18"/>
          <w:lang w:val="en-US"/>
        </w:rPr>
        <w:t>Ashish K.R. J. &amp; Rajesh Y. (2017). Studies of Antibiotic Resistance in Bacteria , 8 ( 1 ), 668 – 674 .</w:t>
      </w:r>
    </w:p>
    <w:p w14:paraId="75A9CF78" w14:textId="77777777" w:rsidR="00DE0648" w:rsidRPr="00DE0648" w:rsidRDefault="00DE0648" w:rsidP="00DE0648">
      <w:pPr>
        <w:pStyle w:val="NormalWeb"/>
        <w:jc w:val="both"/>
        <w:rPr>
          <w:rFonts w:ascii="Arial" w:hAnsi="Arial" w:cs="Arial"/>
          <w:sz w:val="18"/>
          <w:szCs w:val="18"/>
          <w:lang w:val="en-US"/>
        </w:rPr>
      </w:pPr>
      <w:r w:rsidRPr="00DE0648">
        <w:rPr>
          <w:rFonts w:ascii="Arial" w:hAnsi="Arial" w:cs="Arial"/>
          <w:sz w:val="18"/>
          <w:szCs w:val="18"/>
          <w:lang w:val="en-US"/>
        </w:rPr>
        <w:t>Awad S., Elhabash S. &amp; Lee L. (2007). Increasing incidence of methicillin-resistant Staphylococcus aureus skin and soft-tissue infections: reconsideration of empiric antimicrobial therapy. The American Jour- nal of Surgery ; Rev. 194 606–610.</w:t>
      </w:r>
    </w:p>
    <w:p w14:paraId="0E892668" w14:textId="77777777" w:rsidR="00DE0648" w:rsidRPr="00DE0648" w:rsidRDefault="00DE0648" w:rsidP="00DE0648">
      <w:pPr>
        <w:pStyle w:val="NormalWeb"/>
        <w:jc w:val="both"/>
        <w:rPr>
          <w:rFonts w:ascii="Arial" w:hAnsi="Arial" w:cs="Arial"/>
          <w:sz w:val="18"/>
          <w:szCs w:val="18"/>
          <w:lang w:val="en-US"/>
        </w:rPr>
      </w:pPr>
      <w:r w:rsidRPr="00DE0648">
        <w:rPr>
          <w:rFonts w:ascii="Arial" w:hAnsi="Arial" w:cs="Arial"/>
          <w:sz w:val="18"/>
          <w:szCs w:val="18"/>
          <w:lang w:val="en-US"/>
        </w:rPr>
        <w:t>Barguigua A. , El Otmani F. , Talmi M. , Bourjilat F. , Haouzane F. , Zerouali K &amp; Timinoumi ,M. (2011). Characterization of ESBL- producing Escherichia coli and Klebsiella pneumoniae isolates from community in Morocco. Journal of Medical Microbiology, 60: 1344–1352.</w:t>
      </w:r>
    </w:p>
    <w:p w14:paraId="3E932857" w14:textId="77777777" w:rsidR="00DE0648" w:rsidRPr="00DE0648" w:rsidRDefault="00DE0648" w:rsidP="00DE0648">
      <w:pPr>
        <w:pStyle w:val="NormalWeb"/>
        <w:jc w:val="both"/>
        <w:rPr>
          <w:rFonts w:ascii="Arial" w:hAnsi="Arial" w:cs="Arial"/>
          <w:sz w:val="18"/>
          <w:szCs w:val="18"/>
          <w:lang w:val="en-US"/>
        </w:rPr>
      </w:pPr>
      <w:r w:rsidRPr="00DE0648">
        <w:rPr>
          <w:rFonts w:ascii="Arial" w:hAnsi="Arial" w:cs="Arial"/>
          <w:sz w:val="18"/>
          <w:szCs w:val="18"/>
          <w:lang w:val="en-US"/>
        </w:rPr>
        <w:t>Bismuth. R &amp; Leclercq R. (2000). Staphylococcus aureus and antibiotics, in Precise of Clinical Bacteri- riology. Ed ESKA ; P 611 -</w:t>
      </w:r>
    </w:p>
    <w:p w14:paraId="2E7F732A" w14:textId="77777777" w:rsidR="00DE0648" w:rsidRPr="00DE0648" w:rsidRDefault="00DE0648" w:rsidP="00DE0648">
      <w:pPr>
        <w:pStyle w:val="NormalWeb"/>
        <w:jc w:val="both"/>
        <w:rPr>
          <w:rFonts w:ascii="Arial" w:hAnsi="Arial" w:cs="Arial"/>
          <w:sz w:val="18"/>
          <w:szCs w:val="18"/>
          <w:lang w:val="en-US"/>
        </w:rPr>
      </w:pPr>
      <w:r w:rsidRPr="00DE0648">
        <w:rPr>
          <w:rFonts w:ascii="Arial" w:hAnsi="Arial" w:cs="Arial"/>
          <w:sz w:val="18"/>
          <w:szCs w:val="18"/>
          <w:lang w:val="en-US"/>
        </w:rPr>
        <w:t>Bouguenoun W. (2017). Study of antibiotic resistance of incriminating bacteria in nosocomial infections and their dissemination in the hos- pital environment of Guelma region. Doctoral Thesis in Molecular and Cellular Biology. Badji Mokhtar-Annaba University, Algeria, 218 p.</w:t>
      </w:r>
    </w:p>
    <w:p w14:paraId="6A71D8C3" w14:textId="77777777" w:rsidR="00DE0648" w:rsidRPr="00DE0648" w:rsidRDefault="00DE0648" w:rsidP="00DE0648">
      <w:pPr>
        <w:pStyle w:val="NormalWeb"/>
        <w:jc w:val="both"/>
        <w:rPr>
          <w:rFonts w:ascii="Arial" w:hAnsi="Arial" w:cs="Arial"/>
          <w:sz w:val="18"/>
          <w:szCs w:val="18"/>
          <w:lang w:val="en-US"/>
        </w:rPr>
      </w:pPr>
      <w:r w:rsidRPr="00DE0648">
        <w:rPr>
          <w:rFonts w:ascii="Arial" w:hAnsi="Arial" w:cs="Arial"/>
          <w:sz w:val="18"/>
          <w:szCs w:val="18"/>
          <w:lang w:val="en-US"/>
        </w:rPr>
        <w:t>Delarras C. (2007). Practical Microbiology for the Sanitary Analytical or Control Laboratory. Lavoisier, Paris, 476 p.</w:t>
      </w:r>
    </w:p>
    <w:p w14:paraId="2C95AE1F" w14:textId="77777777" w:rsidR="00DE0648" w:rsidRPr="00DE0648" w:rsidRDefault="00DE0648" w:rsidP="00DE0648">
      <w:pPr>
        <w:pStyle w:val="NormalWeb"/>
        <w:jc w:val="both"/>
        <w:rPr>
          <w:rFonts w:ascii="Arial" w:hAnsi="Arial" w:cs="Arial"/>
          <w:sz w:val="18"/>
          <w:szCs w:val="18"/>
          <w:lang w:val="en-US"/>
        </w:rPr>
      </w:pPr>
      <w:r w:rsidRPr="00DE0648">
        <w:rPr>
          <w:rFonts w:ascii="Arial" w:hAnsi="Arial" w:cs="Arial"/>
          <w:sz w:val="18"/>
          <w:szCs w:val="18"/>
          <w:lang w:val="en-US"/>
        </w:rPr>
        <w:t>Duval V. , Maiga I. , Maiga A. , Guillard T. , Brasme L. , Forte D. , Madoux J. , Vernet G. V. &amp; De Champs C. (2009). High prevalence of CTX- M-type beta-lactamases among clinical isolates of Enterobacteriaceae. Antimicrobial. Agents Chemotherapy. 53(11) : 4957–4958.</w:t>
      </w:r>
    </w:p>
    <w:p w14:paraId="0545A9B7" w14:textId="77777777" w:rsidR="00DE0648" w:rsidRPr="00DE0648" w:rsidRDefault="00DE0648" w:rsidP="00DE0648">
      <w:pPr>
        <w:pStyle w:val="NormalWeb"/>
        <w:jc w:val="both"/>
        <w:rPr>
          <w:rFonts w:ascii="Arial" w:hAnsi="Arial" w:cs="Arial"/>
          <w:sz w:val="18"/>
          <w:szCs w:val="18"/>
          <w:lang w:val="en-US"/>
        </w:rPr>
      </w:pPr>
      <w:r w:rsidRPr="00DE0648">
        <w:rPr>
          <w:rFonts w:ascii="Arial" w:hAnsi="Arial" w:cs="Arial"/>
          <w:sz w:val="18"/>
          <w:szCs w:val="18"/>
          <w:lang w:val="en-US"/>
        </w:rPr>
        <w:t>Elhamzaoui S. , Benouda A. , Allali F. , Abouqual R. &amp; Elouennass M. (2009). Anti- biotic susceptibility of Staphylococcus aureus strains isolated in two university hospitals in Rabat, Morocco. Med Mal 2009 : (in press).</w:t>
      </w:r>
    </w:p>
    <w:p w14:paraId="5C8C8BC6" w14:textId="77777777" w:rsidR="00DE0648" w:rsidRPr="00DE0648" w:rsidRDefault="00DE0648" w:rsidP="00DE0648">
      <w:pPr>
        <w:pStyle w:val="NormalWeb"/>
        <w:jc w:val="both"/>
        <w:rPr>
          <w:rFonts w:ascii="Arial" w:hAnsi="Arial" w:cs="Arial"/>
          <w:sz w:val="18"/>
          <w:szCs w:val="18"/>
          <w:lang w:val="en-US"/>
        </w:rPr>
      </w:pPr>
      <w:r w:rsidRPr="00DE0648">
        <w:rPr>
          <w:rFonts w:ascii="Arial" w:hAnsi="Arial" w:cs="Arial"/>
          <w:sz w:val="18"/>
          <w:szCs w:val="18"/>
          <w:lang w:val="en-US"/>
        </w:rPr>
        <w:lastRenderedPageBreak/>
        <w:t>European Committee for Antimicrobial Susceptibility Testing (EUCAST) /Committee on the Antibiogram of the French Society for Microbiology (CA-SFM). (2017). Dermination of minimum inhibitory concentrations (MCIs) of antibacterial agents by agar dilution. Clin Microbiol Infect. 6, 509-1</w:t>
      </w:r>
    </w:p>
    <w:p w14:paraId="16DB10E9" w14:textId="77777777" w:rsidR="00DE0648" w:rsidRPr="00DE0648" w:rsidRDefault="00DE0648" w:rsidP="00DE0648">
      <w:pPr>
        <w:pStyle w:val="NormalWeb"/>
        <w:jc w:val="both"/>
        <w:rPr>
          <w:rFonts w:ascii="Arial" w:hAnsi="Arial" w:cs="Arial"/>
          <w:sz w:val="18"/>
          <w:szCs w:val="18"/>
          <w:lang w:val="en-US"/>
        </w:rPr>
      </w:pPr>
      <w:r w:rsidRPr="00DE0648">
        <w:rPr>
          <w:rFonts w:ascii="Arial" w:hAnsi="Arial" w:cs="Arial"/>
          <w:sz w:val="18"/>
          <w:szCs w:val="18"/>
          <w:lang w:val="en-US"/>
        </w:rPr>
        <w:t>Ghernaout S. (2013). Prevalence of Staphylococcus aureus nasal carriage: Its role in surgical site infection. Doc- torate thesis. University Aboubeker Belkaid-Tlem- cen (Algeria). 175 p.</w:t>
      </w:r>
    </w:p>
    <w:p w14:paraId="6D247649" w14:textId="77777777" w:rsidR="00DE0648" w:rsidRPr="00DE0648" w:rsidRDefault="00DE0648" w:rsidP="00DE0648">
      <w:pPr>
        <w:pStyle w:val="NormalWeb"/>
        <w:jc w:val="both"/>
        <w:rPr>
          <w:rFonts w:ascii="Arial" w:hAnsi="Arial" w:cs="Arial"/>
          <w:sz w:val="18"/>
          <w:szCs w:val="18"/>
          <w:lang w:val="en-US"/>
        </w:rPr>
      </w:pPr>
      <w:r w:rsidRPr="00DE0648">
        <w:rPr>
          <w:rFonts w:ascii="Arial" w:hAnsi="Arial" w:cs="Arial"/>
          <w:sz w:val="18"/>
          <w:szCs w:val="18"/>
          <w:lang w:val="en-US"/>
        </w:rPr>
        <w:t>Marchal N., Bourdain J.L &amp; Richard C.L. (1982). Culture media for the isolation and biochemical identification of bacteria, doin, Edition, Paris, 483 p.</w:t>
      </w:r>
    </w:p>
    <w:p w14:paraId="2ADABED7" w14:textId="77777777" w:rsidR="00DE0648" w:rsidRPr="00DE0648" w:rsidRDefault="00DE0648" w:rsidP="00DE0648">
      <w:pPr>
        <w:pStyle w:val="NormalWeb"/>
        <w:jc w:val="both"/>
        <w:rPr>
          <w:rFonts w:ascii="Arial" w:hAnsi="Arial" w:cs="Arial"/>
          <w:sz w:val="18"/>
          <w:szCs w:val="18"/>
          <w:lang w:val="en-US"/>
        </w:rPr>
      </w:pPr>
      <w:r w:rsidRPr="00DE0648">
        <w:rPr>
          <w:rFonts w:ascii="Arial" w:hAnsi="Arial" w:cs="Arial"/>
          <w:sz w:val="18"/>
          <w:szCs w:val="18"/>
          <w:lang w:val="en-US"/>
        </w:rPr>
        <w:t>WHO (World Health Organization). (2004). Defining maternal feeding: promoting proper feeding for infants and young children. WHO, Geneva 74 p.</w:t>
      </w:r>
    </w:p>
    <w:p w14:paraId="24D7FC5F" w14:textId="77777777" w:rsidR="00DE0648" w:rsidRPr="00DE0648" w:rsidRDefault="00DE0648" w:rsidP="00DE0648">
      <w:pPr>
        <w:pStyle w:val="NormalWeb"/>
        <w:jc w:val="both"/>
        <w:rPr>
          <w:rFonts w:ascii="Arial" w:hAnsi="Arial" w:cs="Arial"/>
          <w:sz w:val="18"/>
          <w:szCs w:val="18"/>
          <w:lang w:val="en-US"/>
        </w:rPr>
      </w:pPr>
      <w:r w:rsidRPr="00DE0648">
        <w:rPr>
          <w:rFonts w:ascii="Arial" w:hAnsi="Arial" w:cs="Arial"/>
          <w:sz w:val="18"/>
          <w:szCs w:val="18"/>
          <w:lang w:val="en-US"/>
        </w:rPr>
        <w:t>Sefraoui I. Ep K. (2015). Study of antibiotic resistance of Pseudomonas aeruginosa at the level of different western Algerian hospitals. State Doctoral Thesis in Faculty of Natural and Life Sciences and Earth and Universe Sciences, Abou Bekr University Belkaid- Tlemcen, Algeria, 94 p.</w:t>
      </w:r>
    </w:p>
    <w:p w14:paraId="0CF9A02E" w14:textId="77777777" w:rsidR="00DE0648" w:rsidRPr="00DE0648" w:rsidRDefault="00DE0648" w:rsidP="00DE0648">
      <w:pPr>
        <w:pStyle w:val="NormalWeb"/>
        <w:jc w:val="both"/>
        <w:rPr>
          <w:rFonts w:ascii="Arial" w:hAnsi="Arial" w:cs="Arial"/>
          <w:sz w:val="18"/>
          <w:szCs w:val="18"/>
          <w:lang w:val="en-US"/>
        </w:rPr>
      </w:pPr>
      <w:r w:rsidRPr="00DE0648">
        <w:rPr>
          <w:rFonts w:ascii="Arial" w:hAnsi="Arial" w:cs="Arial"/>
          <w:sz w:val="18"/>
          <w:szCs w:val="18"/>
          <w:lang w:val="en-US"/>
        </w:rPr>
        <w:t>Seymour M., Sow A.I., Soumare M. &amp; Diallo H.M. (2004). Staphylococcus aureus bacteremia in the Dakar Fann University Hospital. Medicine and Infectious Diseases , 34 : 210 – 215 .</w:t>
      </w:r>
    </w:p>
    <w:p w14:paraId="5F82CC1E" w14:textId="77777777" w:rsidR="00DE0648" w:rsidRPr="00DE0648" w:rsidRDefault="00DE0648" w:rsidP="00DE0648">
      <w:pPr>
        <w:pStyle w:val="NormalWeb"/>
        <w:jc w:val="both"/>
        <w:rPr>
          <w:rFonts w:ascii="Arial" w:hAnsi="Arial" w:cs="Arial"/>
          <w:sz w:val="18"/>
          <w:szCs w:val="18"/>
          <w:lang w:val="en-US"/>
        </w:rPr>
      </w:pPr>
      <w:r w:rsidRPr="00DE0648">
        <w:rPr>
          <w:rFonts w:ascii="Arial" w:hAnsi="Arial" w:cs="Arial"/>
          <w:sz w:val="18"/>
          <w:szCs w:val="18"/>
          <w:lang w:val="en-US"/>
        </w:rPr>
        <w:t>Thirion M. (1999). L’allaitement. France, Paris : Albin Michel, 280p.</w:t>
      </w:r>
    </w:p>
    <w:p w14:paraId="37DD78B6" w14:textId="77777777" w:rsidR="00DE0648" w:rsidRPr="00DE0648" w:rsidRDefault="00DE0648" w:rsidP="00DE0648">
      <w:pPr>
        <w:pStyle w:val="NormalWeb"/>
        <w:jc w:val="both"/>
        <w:rPr>
          <w:rFonts w:ascii="Arial" w:hAnsi="Arial" w:cs="Arial"/>
          <w:sz w:val="18"/>
          <w:szCs w:val="18"/>
          <w:lang w:val="en-US"/>
        </w:rPr>
      </w:pPr>
      <w:r w:rsidRPr="00DE0648">
        <w:rPr>
          <w:rFonts w:ascii="Arial" w:hAnsi="Arial" w:cs="Arial"/>
          <w:sz w:val="18"/>
          <w:szCs w:val="18"/>
          <w:lang w:val="en-US"/>
        </w:rPr>
        <w:t>Touaitia R. (2016). Methicillin-resistant Staphylococcus aureus: Emergence and mechanisms of resistance. Doctoral Thesis, Badji Mokhtar-Annaba University (Alge- ria), 125p.</w:t>
      </w:r>
    </w:p>
    <w:p w14:paraId="466CA17A" w14:textId="77777777" w:rsidR="00DE0648" w:rsidRPr="00DE0648" w:rsidRDefault="00DE0648" w:rsidP="00DE0648">
      <w:pPr>
        <w:pStyle w:val="NormalWeb"/>
        <w:jc w:val="both"/>
        <w:rPr>
          <w:rFonts w:ascii="Arial" w:hAnsi="Arial" w:cs="Arial"/>
          <w:sz w:val="18"/>
          <w:szCs w:val="18"/>
          <w:lang w:val="en-US"/>
        </w:rPr>
      </w:pPr>
      <w:r w:rsidRPr="00DE0648">
        <w:rPr>
          <w:rFonts w:ascii="Arial" w:hAnsi="Arial" w:cs="Arial"/>
          <w:sz w:val="18"/>
          <w:szCs w:val="18"/>
          <w:lang w:val="en-US"/>
        </w:rPr>
        <w:t>Touaitia R., Boutefnouchet N &amp; Djahoudi A. 2015. Prevalence of methicillin-resistant Staphylococcus aureus and/or intermediate susceptibility to vancomycin isolated from private laboratories in Annaba «Algeria». Journal of Chemical and Pharmaceutical Research , 7 : 780 - 786 .</w:t>
      </w:r>
    </w:p>
    <w:p w14:paraId="507BAA79" w14:textId="77777777" w:rsidR="00DE0648" w:rsidRPr="00DE0648" w:rsidRDefault="00DE0648" w:rsidP="00DE0648">
      <w:pPr>
        <w:pStyle w:val="NormalWeb"/>
        <w:jc w:val="both"/>
        <w:rPr>
          <w:rFonts w:ascii="Arial" w:hAnsi="Arial" w:cs="Arial"/>
          <w:sz w:val="18"/>
          <w:szCs w:val="18"/>
          <w:lang w:val="en-US"/>
        </w:rPr>
      </w:pPr>
      <w:r w:rsidRPr="00DE0648">
        <w:rPr>
          <w:rFonts w:ascii="Arial" w:hAnsi="Arial" w:cs="Arial"/>
          <w:sz w:val="18"/>
          <w:szCs w:val="18"/>
          <w:lang w:val="en-US"/>
        </w:rPr>
        <w:t>Touati M. (2013). Antibioresistance of nonfermentative Gram negative bacilli isolated at the resuscitation service level- CHU An- naba. Doctoral Thesis in Life and Earth Sciences, Faculty of Medicine and Pharmacy. Badji Mokhtar University, Alge- ria, Prophecy, 141 p.</w:t>
      </w:r>
    </w:p>
    <w:p w14:paraId="3347C60A" w14:textId="77777777" w:rsidR="00DE0648" w:rsidRPr="00DE0648" w:rsidRDefault="00DE0648" w:rsidP="00DE0648">
      <w:pPr>
        <w:pStyle w:val="NormalWeb"/>
        <w:jc w:val="both"/>
        <w:rPr>
          <w:rFonts w:ascii="Arial" w:hAnsi="Arial" w:cs="Arial"/>
          <w:sz w:val="18"/>
          <w:szCs w:val="18"/>
          <w:lang w:val="en-US"/>
        </w:rPr>
      </w:pPr>
      <w:r w:rsidRPr="00DE0648">
        <w:rPr>
          <w:rFonts w:ascii="Arial" w:hAnsi="Arial" w:cs="Arial"/>
          <w:sz w:val="18"/>
          <w:szCs w:val="18"/>
          <w:lang w:val="en-US"/>
        </w:rPr>
        <w:t>Tremblay S. (2007). A molecular study of recruitment of antibiotic resistance genes. Master's Thesis in Biochemistry and Microbiology, Faculty of Sciences and Engineering, Université Laval, Québec, 148 p.</w:t>
      </w:r>
    </w:p>
    <w:p w14:paraId="3EAD4A7E" w14:textId="63853E8E" w:rsidR="00B01FCD" w:rsidRPr="00FB3A86" w:rsidRDefault="00DE0648" w:rsidP="00DE0648">
      <w:pPr>
        <w:pStyle w:val="NormalWeb"/>
        <w:jc w:val="both"/>
        <w:rPr>
          <w:rFonts w:ascii="Arial" w:hAnsi="Arial" w:cs="Arial"/>
          <w:b/>
        </w:rPr>
      </w:pPr>
      <w:r w:rsidRPr="00DE0648">
        <w:rPr>
          <w:rFonts w:ascii="Arial" w:hAnsi="Arial" w:cs="Arial"/>
          <w:sz w:val="18"/>
          <w:szCs w:val="18"/>
          <w:lang w:val="en-US"/>
        </w:rPr>
        <w:t>Zarei Y.B.A., Khomeiri M., Mahounak A.S. &amp; Jafari S.M. (2014). Hygienic Quality of Camel Milk and Fermented Camel Milk (Chal) in Golestan Province, Iran J Microbiol Res. 2, 98-103.</w:t>
      </w:r>
    </w:p>
    <w:sectPr w:rsidR="00B01FCD" w:rsidRPr="00FB3A86" w:rsidSect="00791F27">
      <w:headerReference w:type="default" r:id="rId15"/>
      <w:footerReference w:type="default" r:id="rId16"/>
      <w:type w:val="continuous"/>
      <w:pgSz w:w="12240" w:h="15840"/>
      <w:pgMar w:top="1454" w:right="2002"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09BCA8" w14:textId="77777777" w:rsidR="00BD3440" w:rsidRDefault="00BD3440" w:rsidP="00C37E61">
      <w:r>
        <w:separator/>
      </w:r>
    </w:p>
  </w:endnote>
  <w:endnote w:type="continuationSeparator" w:id="0">
    <w:p w14:paraId="452D25D6" w14:textId="77777777" w:rsidR="00BD3440" w:rsidRDefault="00BD3440"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61248871"/>
      <w:docPartObj>
        <w:docPartGallery w:val="Page Numbers (Bottom of Page)"/>
        <w:docPartUnique/>
      </w:docPartObj>
    </w:sdtPr>
    <w:sdtContent>
      <w:p w14:paraId="18649962" w14:textId="77777777" w:rsidR="00D50EB8" w:rsidRDefault="00D50EB8" w:rsidP="00D9790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sdtContent>
  </w:sdt>
  <w:p w14:paraId="665CF30E" w14:textId="77777777" w:rsidR="00C37E61" w:rsidRPr="00C37E61" w:rsidRDefault="00C37E61" w:rsidP="00D50EB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C1E902" w14:textId="77777777" w:rsidR="00BD3440" w:rsidRDefault="00BD3440" w:rsidP="00C37E61">
      <w:r>
        <w:separator/>
      </w:r>
    </w:p>
  </w:footnote>
  <w:footnote w:type="continuationSeparator" w:id="0">
    <w:p w14:paraId="4E8CF76E" w14:textId="77777777" w:rsidR="00BD3440" w:rsidRDefault="00BD3440"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F759E" w14:textId="3C63B968" w:rsidR="00132DEE" w:rsidRPr="00D24AA9" w:rsidRDefault="00132DEE" w:rsidP="00D24A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8EF5021"/>
    <w:multiLevelType w:val="hybridMultilevel"/>
    <w:tmpl w:val="9E7EF1F6"/>
    <w:lvl w:ilvl="0" w:tplc="5C325836">
      <w:start w:val="1"/>
      <w:numFmt w:val="bullet"/>
      <w:lvlText w:val="-"/>
      <w:lvlJc w:val="left"/>
      <w:pPr>
        <w:ind w:left="720" w:hanging="360"/>
      </w:pPr>
      <w:rPr>
        <w:rFonts w:ascii="Arial" w:eastAsia="Times New Roman"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90795413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319164040">
    <w:abstractNumId w:val="16"/>
  </w:num>
  <w:num w:numId="3" w16cid:durableId="908343025">
    <w:abstractNumId w:val="24"/>
  </w:num>
  <w:num w:numId="4" w16cid:durableId="688601000">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2099476281">
    <w:abstractNumId w:val="8"/>
  </w:num>
  <w:num w:numId="6" w16cid:durableId="472136901">
    <w:abstractNumId w:val="6"/>
  </w:num>
  <w:num w:numId="7" w16cid:durableId="1936205353">
    <w:abstractNumId w:val="1"/>
  </w:num>
  <w:num w:numId="8" w16cid:durableId="2131000885">
    <w:abstractNumId w:val="13"/>
  </w:num>
  <w:num w:numId="9" w16cid:durableId="1629704822">
    <w:abstractNumId w:val="26"/>
  </w:num>
  <w:num w:numId="10" w16cid:durableId="1494832958">
    <w:abstractNumId w:val="2"/>
  </w:num>
  <w:num w:numId="11" w16cid:durableId="1608350641">
    <w:abstractNumId w:val="19"/>
  </w:num>
  <w:num w:numId="12" w16cid:durableId="779960349">
    <w:abstractNumId w:val="3"/>
  </w:num>
  <w:num w:numId="13" w16cid:durableId="1272011962">
    <w:abstractNumId w:val="18"/>
  </w:num>
  <w:num w:numId="14" w16cid:durableId="603731922">
    <w:abstractNumId w:val="9"/>
  </w:num>
  <w:num w:numId="15" w16cid:durableId="1945990710">
    <w:abstractNumId w:val="22"/>
  </w:num>
  <w:num w:numId="16" w16cid:durableId="655033369">
    <w:abstractNumId w:val="5"/>
  </w:num>
  <w:num w:numId="17" w16cid:durableId="1935894411">
    <w:abstractNumId w:val="23"/>
  </w:num>
  <w:num w:numId="18" w16cid:durableId="1398364003">
    <w:abstractNumId w:val="15"/>
  </w:num>
  <w:num w:numId="19" w16cid:durableId="283076923">
    <w:abstractNumId w:val="29"/>
  </w:num>
  <w:num w:numId="20" w16cid:durableId="216280925">
    <w:abstractNumId w:val="12"/>
  </w:num>
  <w:num w:numId="21" w16cid:durableId="757600866">
    <w:abstractNumId w:val="10"/>
  </w:num>
  <w:num w:numId="22" w16cid:durableId="224686098">
    <w:abstractNumId w:val="14"/>
  </w:num>
  <w:num w:numId="23" w16cid:durableId="1027878163">
    <w:abstractNumId w:val="20"/>
  </w:num>
  <w:num w:numId="24" w16cid:durableId="812257571">
    <w:abstractNumId w:val="27"/>
  </w:num>
  <w:num w:numId="25" w16cid:durableId="1791507631">
    <w:abstractNumId w:val="4"/>
  </w:num>
  <w:num w:numId="26" w16cid:durableId="295183951">
    <w:abstractNumId w:val="17"/>
  </w:num>
  <w:num w:numId="27" w16cid:durableId="1664509331">
    <w:abstractNumId w:val="21"/>
  </w:num>
  <w:num w:numId="28" w16cid:durableId="1628470135">
    <w:abstractNumId w:val="28"/>
  </w:num>
  <w:num w:numId="29" w16cid:durableId="1458403343">
    <w:abstractNumId w:val="25"/>
  </w:num>
  <w:num w:numId="30" w16cid:durableId="1144155943">
    <w:abstractNumId w:val="11"/>
  </w:num>
  <w:num w:numId="31" w16cid:durableId="7080704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10DDF"/>
    <w:rsid w:val="00030174"/>
    <w:rsid w:val="00036CFE"/>
    <w:rsid w:val="0004579C"/>
    <w:rsid w:val="00065FA0"/>
    <w:rsid w:val="00072163"/>
    <w:rsid w:val="00083277"/>
    <w:rsid w:val="000A47FA"/>
    <w:rsid w:val="000A65D3"/>
    <w:rsid w:val="000B1E33"/>
    <w:rsid w:val="000D5A95"/>
    <w:rsid w:val="000D689F"/>
    <w:rsid w:val="000E6BD6"/>
    <w:rsid w:val="000E7B7B"/>
    <w:rsid w:val="000E7D62"/>
    <w:rsid w:val="00103357"/>
    <w:rsid w:val="00123C9F"/>
    <w:rsid w:val="00126190"/>
    <w:rsid w:val="00130F17"/>
    <w:rsid w:val="001320BF"/>
    <w:rsid w:val="00132B91"/>
    <w:rsid w:val="00132DEE"/>
    <w:rsid w:val="00163BC4"/>
    <w:rsid w:val="00191062"/>
    <w:rsid w:val="00192B72"/>
    <w:rsid w:val="001A29D8"/>
    <w:rsid w:val="001A5CAA"/>
    <w:rsid w:val="001B0427"/>
    <w:rsid w:val="001B29F0"/>
    <w:rsid w:val="001B4B74"/>
    <w:rsid w:val="001D3A51"/>
    <w:rsid w:val="001E10D2"/>
    <w:rsid w:val="001E25B4"/>
    <w:rsid w:val="001E44FE"/>
    <w:rsid w:val="001F0DDF"/>
    <w:rsid w:val="001F1421"/>
    <w:rsid w:val="00200595"/>
    <w:rsid w:val="00204835"/>
    <w:rsid w:val="00231920"/>
    <w:rsid w:val="0023195C"/>
    <w:rsid w:val="00232270"/>
    <w:rsid w:val="0024282C"/>
    <w:rsid w:val="002460DC"/>
    <w:rsid w:val="00247FFC"/>
    <w:rsid w:val="00250985"/>
    <w:rsid w:val="002556F6"/>
    <w:rsid w:val="002736E2"/>
    <w:rsid w:val="00283105"/>
    <w:rsid w:val="00283CD7"/>
    <w:rsid w:val="00284C4C"/>
    <w:rsid w:val="00285959"/>
    <w:rsid w:val="00287E68"/>
    <w:rsid w:val="00296529"/>
    <w:rsid w:val="00296ECE"/>
    <w:rsid w:val="002B27FB"/>
    <w:rsid w:val="002B685A"/>
    <w:rsid w:val="002C57D2"/>
    <w:rsid w:val="002D448C"/>
    <w:rsid w:val="002E0D56"/>
    <w:rsid w:val="002F1304"/>
    <w:rsid w:val="00315186"/>
    <w:rsid w:val="00324FAA"/>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35D5D"/>
    <w:rsid w:val="00440F43"/>
    <w:rsid w:val="00441B6F"/>
    <w:rsid w:val="00446221"/>
    <w:rsid w:val="00450E62"/>
    <w:rsid w:val="004522CF"/>
    <w:rsid w:val="004539DB"/>
    <w:rsid w:val="00471A80"/>
    <w:rsid w:val="004D305E"/>
    <w:rsid w:val="004D4277"/>
    <w:rsid w:val="004F4FAF"/>
    <w:rsid w:val="00502516"/>
    <w:rsid w:val="00505F06"/>
    <w:rsid w:val="00506828"/>
    <w:rsid w:val="00513381"/>
    <w:rsid w:val="0053056E"/>
    <w:rsid w:val="00535B59"/>
    <w:rsid w:val="00543716"/>
    <w:rsid w:val="00554FDA"/>
    <w:rsid w:val="00572C1B"/>
    <w:rsid w:val="005C784C"/>
    <w:rsid w:val="005D17F6"/>
    <w:rsid w:val="005E5539"/>
    <w:rsid w:val="006023C1"/>
    <w:rsid w:val="00602BF5"/>
    <w:rsid w:val="0060313C"/>
    <w:rsid w:val="00605699"/>
    <w:rsid w:val="00617FDD"/>
    <w:rsid w:val="00633614"/>
    <w:rsid w:val="00633F68"/>
    <w:rsid w:val="00636EB2"/>
    <w:rsid w:val="006375B8"/>
    <w:rsid w:val="006451CE"/>
    <w:rsid w:val="00660608"/>
    <w:rsid w:val="0066510A"/>
    <w:rsid w:val="00673F9F"/>
    <w:rsid w:val="00684561"/>
    <w:rsid w:val="00686953"/>
    <w:rsid w:val="00687DEA"/>
    <w:rsid w:val="00687E67"/>
    <w:rsid w:val="00694ABF"/>
    <w:rsid w:val="006967F7"/>
    <w:rsid w:val="006A250C"/>
    <w:rsid w:val="006B21D3"/>
    <w:rsid w:val="006B57D0"/>
    <w:rsid w:val="006B785F"/>
    <w:rsid w:val="006D30FF"/>
    <w:rsid w:val="006D6940"/>
    <w:rsid w:val="006E68C7"/>
    <w:rsid w:val="006F11EC"/>
    <w:rsid w:val="0070082C"/>
    <w:rsid w:val="007015DE"/>
    <w:rsid w:val="007369E6"/>
    <w:rsid w:val="007458A3"/>
    <w:rsid w:val="007466B1"/>
    <w:rsid w:val="00746E59"/>
    <w:rsid w:val="00754C9A"/>
    <w:rsid w:val="0075599A"/>
    <w:rsid w:val="00760337"/>
    <w:rsid w:val="0076179D"/>
    <w:rsid w:val="00761D52"/>
    <w:rsid w:val="0077749E"/>
    <w:rsid w:val="00781F1C"/>
    <w:rsid w:val="0079018A"/>
    <w:rsid w:val="00790ADA"/>
    <w:rsid w:val="00791F27"/>
    <w:rsid w:val="007A4A0B"/>
    <w:rsid w:val="007D0E41"/>
    <w:rsid w:val="007D2288"/>
    <w:rsid w:val="007E088F"/>
    <w:rsid w:val="007E744A"/>
    <w:rsid w:val="007F7B32"/>
    <w:rsid w:val="00804BC2"/>
    <w:rsid w:val="0081431A"/>
    <w:rsid w:val="0083216F"/>
    <w:rsid w:val="00860000"/>
    <w:rsid w:val="00863BD3"/>
    <w:rsid w:val="008641ED"/>
    <w:rsid w:val="00866D66"/>
    <w:rsid w:val="008671C6"/>
    <w:rsid w:val="00875803"/>
    <w:rsid w:val="00885D00"/>
    <w:rsid w:val="008924AC"/>
    <w:rsid w:val="008B2975"/>
    <w:rsid w:val="008B459E"/>
    <w:rsid w:val="008E13AE"/>
    <w:rsid w:val="008E1506"/>
    <w:rsid w:val="008E710C"/>
    <w:rsid w:val="008F69D6"/>
    <w:rsid w:val="00902823"/>
    <w:rsid w:val="00915CA6"/>
    <w:rsid w:val="00927834"/>
    <w:rsid w:val="009500A6"/>
    <w:rsid w:val="00957C18"/>
    <w:rsid w:val="009659BA"/>
    <w:rsid w:val="00965C6E"/>
    <w:rsid w:val="00983040"/>
    <w:rsid w:val="00993581"/>
    <w:rsid w:val="009B3FB9"/>
    <w:rsid w:val="009C2465"/>
    <w:rsid w:val="009C4F80"/>
    <w:rsid w:val="009D313B"/>
    <w:rsid w:val="009D35A0"/>
    <w:rsid w:val="009D7DA5"/>
    <w:rsid w:val="009D7EB7"/>
    <w:rsid w:val="009E048A"/>
    <w:rsid w:val="009E08E9"/>
    <w:rsid w:val="009E3DB9"/>
    <w:rsid w:val="009E6E35"/>
    <w:rsid w:val="009F0EDA"/>
    <w:rsid w:val="009F6BEF"/>
    <w:rsid w:val="00A03B96"/>
    <w:rsid w:val="00A05B19"/>
    <w:rsid w:val="00A1134E"/>
    <w:rsid w:val="00A12869"/>
    <w:rsid w:val="00A24E7E"/>
    <w:rsid w:val="00A258C3"/>
    <w:rsid w:val="00A347C0"/>
    <w:rsid w:val="00A51431"/>
    <w:rsid w:val="00A539AD"/>
    <w:rsid w:val="00A75209"/>
    <w:rsid w:val="00A94063"/>
    <w:rsid w:val="00AA6219"/>
    <w:rsid w:val="00AA74E0"/>
    <w:rsid w:val="00AB703F"/>
    <w:rsid w:val="00AB76EA"/>
    <w:rsid w:val="00AC6BB8"/>
    <w:rsid w:val="00AE008F"/>
    <w:rsid w:val="00B01FCD"/>
    <w:rsid w:val="00B1776C"/>
    <w:rsid w:val="00B52583"/>
    <w:rsid w:val="00B52896"/>
    <w:rsid w:val="00B95236"/>
    <w:rsid w:val="00B954FC"/>
    <w:rsid w:val="00B96BD9"/>
    <w:rsid w:val="00BA1B01"/>
    <w:rsid w:val="00BA2641"/>
    <w:rsid w:val="00BB37AA"/>
    <w:rsid w:val="00BC53A0"/>
    <w:rsid w:val="00BD3440"/>
    <w:rsid w:val="00BE62AD"/>
    <w:rsid w:val="00BF121F"/>
    <w:rsid w:val="00BF1F80"/>
    <w:rsid w:val="00C036A0"/>
    <w:rsid w:val="00C166EF"/>
    <w:rsid w:val="00C17EB0"/>
    <w:rsid w:val="00C27F5F"/>
    <w:rsid w:val="00C30A0F"/>
    <w:rsid w:val="00C31AF8"/>
    <w:rsid w:val="00C37E61"/>
    <w:rsid w:val="00C70F1B"/>
    <w:rsid w:val="00C71A47"/>
    <w:rsid w:val="00C7464C"/>
    <w:rsid w:val="00C77988"/>
    <w:rsid w:val="00C85588"/>
    <w:rsid w:val="00CD2A7D"/>
    <w:rsid w:val="00CD6755"/>
    <w:rsid w:val="00CD6856"/>
    <w:rsid w:val="00CD76E2"/>
    <w:rsid w:val="00CE0089"/>
    <w:rsid w:val="00CE793C"/>
    <w:rsid w:val="00CF193C"/>
    <w:rsid w:val="00D173F1"/>
    <w:rsid w:val="00D24AA9"/>
    <w:rsid w:val="00D50EB8"/>
    <w:rsid w:val="00D64BC1"/>
    <w:rsid w:val="00D74CB0"/>
    <w:rsid w:val="00D8295D"/>
    <w:rsid w:val="00DC2A65"/>
    <w:rsid w:val="00DE0648"/>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A656D"/>
    <w:rsid w:val="00EC3C60"/>
    <w:rsid w:val="00EC6A55"/>
    <w:rsid w:val="00ED0288"/>
    <w:rsid w:val="00EE52CB"/>
    <w:rsid w:val="00EF200E"/>
    <w:rsid w:val="00EF581D"/>
    <w:rsid w:val="00EF7FD8"/>
    <w:rsid w:val="00F0155F"/>
    <w:rsid w:val="00F06F59"/>
    <w:rsid w:val="00F17988"/>
    <w:rsid w:val="00F469F0"/>
    <w:rsid w:val="00F53273"/>
    <w:rsid w:val="00F755E4"/>
    <w:rsid w:val="00F77D02"/>
    <w:rsid w:val="00F85B0F"/>
    <w:rsid w:val="00FA076B"/>
    <w:rsid w:val="00FA16F9"/>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39011D"/>
  <w15:docId w15:val="{85392217-42FC-2D48-A3F0-A43D705BF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132B91"/>
    <w:pPr>
      <w:spacing w:before="100" w:beforeAutospacing="1" w:after="100" w:afterAutospacing="1"/>
    </w:pPr>
    <w:rPr>
      <w:rFonts w:ascii="Times New Roman" w:hAnsi="Times New Roman"/>
      <w:sz w:val="24"/>
      <w:szCs w:val="24"/>
      <w:lang w:val="fr-BE" w:eastAsia="fr-FR"/>
    </w:rPr>
  </w:style>
  <w:style w:type="character" w:styleId="PageNumber">
    <w:name w:val="page number"/>
    <w:basedOn w:val="DefaultParagraphFont"/>
    <w:semiHidden/>
    <w:unhideWhenUsed/>
    <w:rsid w:val="00D50E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10587539">
      <w:bodyDiv w:val="1"/>
      <w:marLeft w:val="0"/>
      <w:marRight w:val="0"/>
      <w:marTop w:val="0"/>
      <w:marBottom w:val="0"/>
      <w:divBdr>
        <w:top w:val="none" w:sz="0" w:space="0" w:color="auto"/>
        <w:left w:val="none" w:sz="0" w:space="0" w:color="auto"/>
        <w:bottom w:val="none" w:sz="0" w:space="0" w:color="auto"/>
        <w:right w:val="none" w:sz="0" w:space="0" w:color="auto"/>
      </w:divBdr>
      <w:divsChild>
        <w:div w:id="62291510">
          <w:marLeft w:val="0"/>
          <w:marRight w:val="0"/>
          <w:marTop w:val="0"/>
          <w:marBottom w:val="0"/>
          <w:divBdr>
            <w:top w:val="none" w:sz="0" w:space="0" w:color="auto"/>
            <w:left w:val="none" w:sz="0" w:space="0" w:color="auto"/>
            <w:bottom w:val="none" w:sz="0" w:space="0" w:color="auto"/>
            <w:right w:val="none" w:sz="0" w:space="0" w:color="auto"/>
          </w:divBdr>
          <w:divsChild>
            <w:div w:id="69161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28947423">
      <w:bodyDiv w:val="1"/>
      <w:marLeft w:val="0"/>
      <w:marRight w:val="0"/>
      <w:marTop w:val="0"/>
      <w:marBottom w:val="0"/>
      <w:divBdr>
        <w:top w:val="none" w:sz="0" w:space="0" w:color="auto"/>
        <w:left w:val="none" w:sz="0" w:space="0" w:color="auto"/>
        <w:bottom w:val="none" w:sz="0" w:space="0" w:color="auto"/>
        <w:right w:val="none" w:sz="0" w:space="0" w:color="auto"/>
      </w:divBdr>
      <w:divsChild>
        <w:div w:id="924923077">
          <w:marLeft w:val="0"/>
          <w:marRight w:val="0"/>
          <w:marTop w:val="0"/>
          <w:marBottom w:val="0"/>
          <w:divBdr>
            <w:top w:val="none" w:sz="0" w:space="0" w:color="auto"/>
            <w:left w:val="none" w:sz="0" w:space="0" w:color="auto"/>
            <w:bottom w:val="none" w:sz="0" w:space="0" w:color="auto"/>
            <w:right w:val="none" w:sz="0" w:space="0" w:color="auto"/>
          </w:divBdr>
          <w:divsChild>
            <w:div w:id="1592200351">
              <w:marLeft w:val="0"/>
              <w:marRight w:val="0"/>
              <w:marTop w:val="0"/>
              <w:marBottom w:val="0"/>
              <w:divBdr>
                <w:top w:val="none" w:sz="0" w:space="0" w:color="auto"/>
                <w:left w:val="none" w:sz="0" w:space="0" w:color="auto"/>
                <w:bottom w:val="none" w:sz="0" w:space="0" w:color="auto"/>
                <w:right w:val="none" w:sz="0" w:space="0" w:color="auto"/>
              </w:divBdr>
              <w:divsChild>
                <w:div w:id="69449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588193">
      <w:bodyDiv w:val="1"/>
      <w:marLeft w:val="0"/>
      <w:marRight w:val="0"/>
      <w:marTop w:val="0"/>
      <w:marBottom w:val="0"/>
      <w:divBdr>
        <w:top w:val="none" w:sz="0" w:space="0" w:color="auto"/>
        <w:left w:val="none" w:sz="0" w:space="0" w:color="auto"/>
        <w:bottom w:val="none" w:sz="0" w:space="0" w:color="auto"/>
        <w:right w:val="none" w:sz="0" w:space="0" w:color="auto"/>
      </w:divBdr>
      <w:divsChild>
        <w:div w:id="1124229995">
          <w:marLeft w:val="0"/>
          <w:marRight w:val="0"/>
          <w:marTop w:val="0"/>
          <w:marBottom w:val="0"/>
          <w:divBdr>
            <w:top w:val="none" w:sz="0" w:space="0" w:color="auto"/>
            <w:left w:val="none" w:sz="0" w:space="0" w:color="auto"/>
            <w:bottom w:val="none" w:sz="0" w:space="0" w:color="auto"/>
            <w:right w:val="none" w:sz="0" w:space="0" w:color="auto"/>
          </w:divBdr>
          <w:divsChild>
            <w:div w:id="747115019">
              <w:marLeft w:val="0"/>
              <w:marRight w:val="0"/>
              <w:marTop w:val="0"/>
              <w:marBottom w:val="0"/>
              <w:divBdr>
                <w:top w:val="none" w:sz="0" w:space="0" w:color="auto"/>
                <w:left w:val="none" w:sz="0" w:space="0" w:color="auto"/>
                <w:bottom w:val="none" w:sz="0" w:space="0" w:color="auto"/>
                <w:right w:val="none" w:sz="0" w:space="0" w:color="auto"/>
              </w:divBdr>
              <w:divsChild>
                <w:div w:id="44554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04353110">
      <w:bodyDiv w:val="1"/>
      <w:marLeft w:val="0"/>
      <w:marRight w:val="0"/>
      <w:marTop w:val="0"/>
      <w:marBottom w:val="0"/>
      <w:divBdr>
        <w:top w:val="none" w:sz="0" w:space="0" w:color="auto"/>
        <w:left w:val="none" w:sz="0" w:space="0" w:color="auto"/>
        <w:bottom w:val="none" w:sz="0" w:space="0" w:color="auto"/>
        <w:right w:val="none" w:sz="0" w:space="0" w:color="auto"/>
      </w:divBdr>
      <w:divsChild>
        <w:div w:id="1906455340">
          <w:marLeft w:val="0"/>
          <w:marRight w:val="0"/>
          <w:marTop w:val="0"/>
          <w:marBottom w:val="0"/>
          <w:divBdr>
            <w:top w:val="none" w:sz="0" w:space="0" w:color="auto"/>
            <w:left w:val="none" w:sz="0" w:space="0" w:color="auto"/>
            <w:bottom w:val="none" w:sz="0" w:space="0" w:color="auto"/>
            <w:right w:val="none" w:sz="0" w:space="0" w:color="auto"/>
          </w:divBdr>
          <w:divsChild>
            <w:div w:id="1831141843">
              <w:marLeft w:val="0"/>
              <w:marRight w:val="0"/>
              <w:marTop w:val="0"/>
              <w:marBottom w:val="0"/>
              <w:divBdr>
                <w:top w:val="none" w:sz="0" w:space="0" w:color="auto"/>
                <w:left w:val="none" w:sz="0" w:space="0" w:color="auto"/>
                <w:bottom w:val="none" w:sz="0" w:space="0" w:color="auto"/>
                <w:right w:val="none" w:sz="0" w:space="0" w:color="auto"/>
              </w:divBdr>
              <w:divsChild>
                <w:div w:id="143675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220088414">
      <w:bodyDiv w:val="1"/>
      <w:marLeft w:val="0"/>
      <w:marRight w:val="0"/>
      <w:marTop w:val="0"/>
      <w:marBottom w:val="0"/>
      <w:divBdr>
        <w:top w:val="none" w:sz="0" w:space="0" w:color="auto"/>
        <w:left w:val="none" w:sz="0" w:space="0" w:color="auto"/>
        <w:bottom w:val="none" w:sz="0" w:space="0" w:color="auto"/>
        <w:right w:val="none" w:sz="0" w:space="0" w:color="auto"/>
      </w:divBdr>
      <w:divsChild>
        <w:div w:id="164904439">
          <w:marLeft w:val="0"/>
          <w:marRight w:val="0"/>
          <w:marTop w:val="0"/>
          <w:marBottom w:val="0"/>
          <w:divBdr>
            <w:top w:val="none" w:sz="0" w:space="0" w:color="auto"/>
            <w:left w:val="none" w:sz="0" w:space="0" w:color="auto"/>
            <w:bottom w:val="none" w:sz="0" w:space="0" w:color="auto"/>
            <w:right w:val="none" w:sz="0" w:space="0" w:color="auto"/>
          </w:divBdr>
          <w:divsChild>
            <w:div w:id="847250823">
              <w:marLeft w:val="0"/>
              <w:marRight w:val="0"/>
              <w:marTop w:val="0"/>
              <w:marBottom w:val="0"/>
              <w:divBdr>
                <w:top w:val="none" w:sz="0" w:space="0" w:color="auto"/>
                <w:left w:val="none" w:sz="0" w:space="0" w:color="auto"/>
                <w:bottom w:val="none" w:sz="0" w:space="0" w:color="auto"/>
                <w:right w:val="none" w:sz="0" w:space="0" w:color="auto"/>
              </w:divBdr>
              <w:divsChild>
                <w:div w:id="125200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920500">
      <w:bodyDiv w:val="1"/>
      <w:marLeft w:val="0"/>
      <w:marRight w:val="0"/>
      <w:marTop w:val="0"/>
      <w:marBottom w:val="0"/>
      <w:divBdr>
        <w:top w:val="none" w:sz="0" w:space="0" w:color="auto"/>
        <w:left w:val="none" w:sz="0" w:space="0" w:color="auto"/>
        <w:bottom w:val="none" w:sz="0" w:space="0" w:color="auto"/>
        <w:right w:val="none" w:sz="0" w:space="0" w:color="auto"/>
      </w:divBdr>
      <w:divsChild>
        <w:div w:id="1802307313">
          <w:marLeft w:val="0"/>
          <w:marRight w:val="0"/>
          <w:marTop w:val="0"/>
          <w:marBottom w:val="0"/>
          <w:divBdr>
            <w:top w:val="none" w:sz="0" w:space="0" w:color="auto"/>
            <w:left w:val="none" w:sz="0" w:space="0" w:color="auto"/>
            <w:bottom w:val="none" w:sz="0" w:space="0" w:color="auto"/>
            <w:right w:val="none" w:sz="0" w:space="0" w:color="auto"/>
          </w:divBdr>
          <w:divsChild>
            <w:div w:id="1630473360">
              <w:marLeft w:val="0"/>
              <w:marRight w:val="0"/>
              <w:marTop w:val="0"/>
              <w:marBottom w:val="0"/>
              <w:divBdr>
                <w:top w:val="none" w:sz="0" w:space="0" w:color="auto"/>
                <w:left w:val="none" w:sz="0" w:space="0" w:color="auto"/>
                <w:bottom w:val="none" w:sz="0" w:space="0" w:color="auto"/>
                <w:right w:val="none" w:sz="0" w:space="0" w:color="auto"/>
              </w:divBdr>
              <w:divsChild>
                <w:div w:id="822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849266">
      <w:bodyDiv w:val="1"/>
      <w:marLeft w:val="0"/>
      <w:marRight w:val="0"/>
      <w:marTop w:val="0"/>
      <w:marBottom w:val="0"/>
      <w:divBdr>
        <w:top w:val="none" w:sz="0" w:space="0" w:color="auto"/>
        <w:left w:val="none" w:sz="0" w:space="0" w:color="auto"/>
        <w:bottom w:val="none" w:sz="0" w:space="0" w:color="auto"/>
        <w:right w:val="none" w:sz="0" w:space="0" w:color="auto"/>
      </w:divBdr>
      <w:divsChild>
        <w:div w:id="887107266">
          <w:marLeft w:val="0"/>
          <w:marRight w:val="0"/>
          <w:marTop w:val="0"/>
          <w:marBottom w:val="0"/>
          <w:divBdr>
            <w:top w:val="none" w:sz="0" w:space="0" w:color="auto"/>
            <w:left w:val="none" w:sz="0" w:space="0" w:color="auto"/>
            <w:bottom w:val="none" w:sz="0" w:space="0" w:color="auto"/>
            <w:right w:val="none" w:sz="0" w:space="0" w:color="auto"/>
          </w:divBdr>
          <w:divsChild>
            <w:div w:id="1205141635">
              <w:marLeft w:val="0"/>
              <w:marRight w:val="0"/>
              <w:marTop w:val="0"/>
              <w:marBottom w:val="0"/>
              <w:divBdr>
                <w:top w:val="none" w:sz="0" w:space="0" w:color="auto"/>
                <w:left w:val="none" w:sz="0" w:space="0" w:color="auto"/>
                <w:bottom w:val="none" w:sz="0" w:space="0" w:color="auto"/>
                <w:right w:val="none" w:sz="0" w:space="0" w:color="auto"/>
              </w:divBdr>
              <w:divsChild>
                <w:div w:id="133899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609472">
      <w:bodyDiv w:val="1"/>
      <w:marLeft w:val="0"/>
      <w:marRight w:val="0"/>
      <w:marTop w:val="0"/>
      <w:marBottom w:val="0"/>
      <w:divBdr>
        <w:top w:val="none" w:sz="0" w:space="0" w:color="auto"/>
        <w:left w:val="none" w:sz="0" w:space="0" w:color="auto"/>
        <w:bottom w:val="none" w:sz="0" w:space="0" w:color="auto"/>
        <w:right w:val="none" w:sz="0" w:space="0" w:color="auto"/>
      </w:divBdr>
      <w:divsChild>
        <w:div w:id="1684744270">
          <w:marLeft w:val="0"/>
          <w:marRight w:val="0"/>
          <w:marTop w:val="0"/>
          <w:marBottom w:val="0"/>
          <w:divBdr>
            <w:top w:val="none" w:sz="0" w:space="0" w:color="auto"/>
            <w:left w:val="none" w:sz="0" w:space="0" w:color="auto"/>
            <w:bottom w:val="none" w:sz="0" w:space="0" w:color="auto"/>
            <w:right w:val="none" w:sz="0" w:space="0" w:color="auto"/>
          </w:divBdr>
          <w:divsChild>
            <w:div w:id="1971202037">
              <w:marLeft w:val="0"/>
              <w:marRight w:val="0"/>
              <w:marTop w:val="0"/>
              <w:marBottom w:val="0"/>
              <w:divBdr>
                <w:top w:val="none" w:sz="0" w:space="0" w:color="auto"/>
                <w:left w:val="none" w:sz="0" w:space="0" w:color="auto"/>
                <w:bottom w:val="none" w:sz="0" w:space="0" w:color="auto"/>
                <w:right w:val="none" w:sz="0" w:space="0" w:color="auto"/>
              </w:divBdr>
              <w:divsChild>
                <w:div w:id="161312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799865">
      <w:bodyDiv w:val="1"/>
      <w:marLeft w:val="0"/>
      <w:marRight w:val="0"/>
      <w:marTop w:val="0"/>
      <w:marBottom w:val="0"/>
      <w:divBdr>
        <w:top w:val="none" w:sz="0" w:space="0" w:color="auto"/>
        <w:left w:val="none" w:sz="0" w:space="0" w:color="auto"/>
        <w:bottom w:val="none" w:sz="0" w:space="0" w:color="auto"/>
        <w:right w:val="none" w:sz="0" w:space="0" w:color="auto"/>
      </w:divBdr>
      <w:divsChild>
        <w:div w:id="536504690">
          <w:marLeft w:val="0"/>
          <w:marRight w:val="0"/>
          <w:marTop w:val="0"/>
          <w:marBottom w:val="0"/>
          <w:divBdr>
            <w:top w:val="none" w:sz="0" w:space="0" w:color="auto"/>
            <w:left w:val="none" w:sz="0" w:space="0" w:color="auto"/>
            <w:bottom w:val="none" w:sz="0" w:space="0" w:color="auto"/>
            <w:right w:val="none" w:sz="0" w:space="0" w:color="auto"/>
          </w:divBdr>
          <w:divsChild>
            <w:div w:id="787621534">
              <w:marLeft w:val="0"/>
              <w:marRight w:val="0"/>
              <w:marTop w:val="0"/>
              <w:marBottom w:val="0"/>
              <w:divBdr>
                <w:top w:val="none" w:sz="0" w:space="0" w:color="auto"/>
                <w:left w:val="none" w:sz="0" w:space="0" w:color="auto"/>
                <w:bottom w:val="none" w:sz="0" w:space="0" w:color="auto"/>
                <w:right w:val="none" w:sz="0" w:space="0" w:color="auto"/>
              </w:divBdr>
              <w:divsChild>
                <w:div w:id="65491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573387">
      <w:bodyDiv w:val="1"/>
      <w:marLeft w:val="0"/>
      <w:marRight w:val="0"/>
      <w:marTop w:val="0"/>
      <w:marBottom w:val="0"/>
      <w:divBdr>
        <w:top w:val="none" w:sz="0" w:space="0" w:color="auto"/>
        <w:left w:val="none" w:sz="0" w:space="0" w:color="auto"/>
        <w:bottom w:val="none" w:sz="0" w:space="0" w:color="auto"/>
        <w:right w:val="none" w:sz="0" w:space="0" w:color="auto"/>
      </w:divBdr>
      <w:divsChild>
        <w:div w:id="1748262040">
          <w:marLeft w:val="0"/>
          <w:marRight w:val="0"/>
          <w:marTop w:val="0"/>
          <w:marBottom w:val="0"/>
          <w:divBdr>
            <w:top w:val="none" w:sz="0" w:space="0" w:color="auto"/>
            <w:left w:val="none" w:sz="0" w:space="0" w:color="auto"/>
            <w:bottom w:val="none" w:sz="0" w:space="0" w:color="auto"/>
            <w:right w:val="none" w:sz="0" w:space="0" w:color="auto"/>
          </w:divBdr>
          <w:divsChild>
            <w:div w:id="1903100837">
              <w:marLeft w:val="0"/>
              <w:marRight w:val="0"/>
              <w:marTop w:val="0"/>
              <w:marBottom w:val="0"/>
              <w:divBdr>
                <w:top w:val="none" w:sz="0" w:space="0" w:color="auto"/>
                <w:left w:val="none" w:sz="0" w:space="0" w:color="auto"/>
                <w:bottom w:val="none" w:sz="0" w:space="0" w:color="auto"/>
                <w:right w:val="none" w:sz="0" w:space="0" w:color="auto"/>
              </w:divBdr>
              <w:divsChild>
                <w:div w:id="34190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17130204">
      <w:bodyDiv w:val="1"/>
      <w:marLeft w:val="0"/>
      <w:marRight w:val="0"/>
      <w:marTop w:val="0"/>
      <w:marBottom w:val="0"/>
      <w:divBdr>
        <w:top w:val="none" w:sz="0" w:space="0" w:color="auto"/>
        <w:left w:val="none" w:sz="0" w:space="0" w:color="auto"/>
        <w:bottom w:val="none" w:sz="0" w:space="0" w:color="auto"/>
        <w:right w:val="none" w:sz="0" w:space="0" w:color="auto"/>
      </w:divBdr>
      <w:divsChild>
        <w:div w:id="1205556540">
          <w:marLeft w:val="0"/>
          <w:marRight w:val="0"/>
          <w:marTop w:val="0"/>
          <w:marBottom w:val="0"/>
          <w:divBdr>
            <w:top w:val="none" w:sz="0" w:space="0" w:color="auto"/>
            <w:left w:val="none" w:sz="0" w:space="0" w:color="auto"/>
            <w:bottom w:val="none" w:sz="0" w:space="0" w:color="auto"/>
            <w:right w:val="none" w:sz="0" w:space="0" w:color="auto"/>
          </w:divBdr>
          <w:divsChild>
            <w:div w:id="2040623090">
              <w:marLeft w:val="0"/>
              <w:marRight w:val="0"/>
              <w:marTop w:val="0"/>
              <w:marBottom w:val="0"/>
              <w:divBdr>
                <w:top w:val="none" w:sz="0" w:space="0" w:color="auto"/>
                <w:left w:val="none" w:sz="0" w:space="0" w:color="auto"/>
                <w:bottom w:val="none" w:sz="0" w:space="0" w:color="auto"/>
                <w:right w:val="none" w:sz="0" w:space="0" w:color="auto"/>
              </w:divBdr>
              <w:divsChild>
                <w:div w:id="2691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76122578">
      <w:bodyDiv w:val="1"/>
      <w:marLeft w:val="0"/>
      <w:marRight w:val="0"/>
      <w:marTop w:val="0"/>
      <w:marBottom w:val="0"/>
      <w:divBdr>
        <w:top w:val="none" w:sz="0" w:space="0" w:color="auto"/>
        <w:left w:val="none" w:sz="0" w:space="0" w:color="auto"/>
        <w:bottom w:val="none" w:sz="0" w:space="0" w:color="auto"/>
        <w:right w:val="none" w:sz="0" w:space="0" w:color="auto"/>
      </w:divBdr>
      <w:divsChild>
        <w:div w:id="1074551734">
          <w:marLeft w:val="0"/>
          <w:marRight w:val="0"/>
          <w:marTop w:val="0"/>
          <w:marBottom w:val="0"/>
          <w:divBdr>
            <w:top w:val="none" w:sz="0" w:space="0" w:color="auto"/>
            <w:left w:val="none" w:sz="0" w:space="0" w:color="auto"/>
            <w:bottom w:val="none" w:sz="0" w:space="0" w:color="auto"/>
            <w:right w:val="none" w:sz="0" w:space="0" w:color="auto"/>
          </w:divBdr>
          <w:divsChild>
            <w:div w:id="418407252">
              <w:marLeft w:val="0"/>
              <w:marRight w:val="0"/>
              <w:marTop w:val="0"/>
              <w:marBottom w:val="0"/>
              <w:divBdr>
                <w:top w:val="none" w:sz="0" w:space="0" w:color="auto"/>
                <w:left w:val="none" w:sz="0" w:space="0" w:color="auto"/>
                <w:bottom w:val="none" w:sz="0" w:space="0" w:color="auto"/>
                <w:right w:val="none" w:sz="0" w:space="0" w:color="auto"/>
              </w:divBdr>
              <w:divsChild>
                <w:div w:id="98501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B4140-A4C2-4412-95D0-BDBE9DF0D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19</TotalTime>
  <Pages>11</Pages>
  <Words>4129</Words>
  <Characters>23536</Characters>
  <Application>Microsoft Office Word</Application>
  <DocSecurity>0</DocSecurity>
  <Lines>196</Lines>
  <Paragraphs>55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27610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Editor-22</cp:lastModifiedBy>
  <cp:revision>18</cp:revision>
  <cp:lastPrinted>1999-07-06T11:00:00Z</cp:lastPrinted>
  <dcterms:created xsi:type="dcterms:W3CDTF">2025-04-25T06:33:00Z</dcterms:created>
  <dcterms:modified xsi:type="dcterms:W3CDTF">2025-04-26T07:40:00Z</dcterms:modified>
</cp:coreProperties>
</file>