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964EA" w14:textId="77777777" w:rsidR="00754C9A" w:rsidRDefault="00754C9A" w:rsidP="00441B6F">
      <w:pPr>
        <w:pStyle w:val="Title"/>
        <w:spacing w:after="0"/>
        <w:jc w:val="both"/>
        <w:rPr>
          <w:rFonts w:ascii="Arial" w:hAnsi="Arial" w:cs="Arial"/>
        </w:rPr>
      </w:pPr>
    </w:p>
    <w:p w14:paraId="4C258D2D" w14:textId="77777777" w:rsidR="005A0C4F" w:rsidRPr="005A0C4F" w:rsidRDefault="005A0C4F" w:rsidP="005A0C4F">
      <w:pPr>
        <w:pStyle w:val="Author"/>
        <w:rPr>
          <w:rFonts w:ascii="Arial" w:hAnsi="Arial" w:cs="Arial"/>
          <w:bCs/>
          <w:i/>
          <w:iCs/>
          <w:sz w:val="18"/>
          <w:szCs w:val="18"/>
          <w:u w:val="single"/>
        </w:rPr>
      </w:pPr>
      <w:r w:rsidRPr="005A0C4F">
        <w:rPr>
          <w:rFonts w:ascii="Arial" w:hAnsi="Arial" w:cs="Arial"/>
          <w:bCs/>
          <w:i/>
          <w:iCs/>
          <w:sz w:val="18"/>
          <w:szCs w:val="18"/>
          <w:u w:val="single"/>
        </w:rPr>
        <w:t>Review Article</w:t>
      </w:r>
    </w:p>
    <w:p w14:paraId="7EBAE6F6" w14:textId="0B5185C1" w:rsidR="00A258C3" w:rsidRPr="00790ADA" w:rsidRDefault="00D447CA" w:rsidP="00D447CA">
      <w:pPr>
        <w:pStyle w:val="Author"/>
        <w:spacing w:line="240" w:lineRule="auto"/>
        <w:rPr>
          <w:rFonts w:ascii="Arial" w:hAnsi="Arial" w:cs="Arial"/>
          <w:sz w:val="36"/>
        </w:rPr>
      </w:pPr>
      <w:r w:rsidRPr="00D447CA">
        <w:rPr>
          <w:rFonts w:ascii="Arial" w:hAnsi="Arial" w:cs="Arial"/>
          <w:sz w:val="36"/>
        </w:rPr>
        <w:t xml:space="preserve">Moringa oleifera as a Functional Food and </w:t>
      </w:r>
      <w:proofErr w:type="spellStart"/>
      <w:r w:rsidRPr="00D447CA">
        <w:rPr>
          <w:rFonts w:ascii="Arial" w:hAnsi="Arial" w:cs="Arial"/>
          <w:sz w:val="36"/>
        </w:rPr>
        <w:t>Phytotherapeutic</w:t>
      </w:r>
      <w:proofErr w:type="spellEnd"/>
      <w:r w:rsidRPr="00D447CA">
        <w:rPr>
          <w:rFonts w:ascii="Arial" w:hAnsi="Arial" w:cs="Arial"/>
          <w:sz w:val="36"/>
        </w:rPr>
        <w:t xml:space="preserve"> Agent: A Comprehensive Review</w:t>
      </w:r>
    </w:p>
    <w:p w14:paraId="71CBA640" w14:textId="77777777" w:rsidR="002C57D2" w:rsidRDefault="002C57D2" w:rsidP="00441B6F">
      <w:pPr>
        <w:pStyle w:val="Affiliation"/>
        <w:spacing w:after="0" w:line="240" w:lineRule="auto"/>
        <w:jc w:val="both"/>
        <w:rPr>
          <w:rFonts w:ascii="Arial" w:hAnsi="Arial" w:cs="Arial"/>
        </w:rPr>
      </w:pPr>
    </w:p>
    <w:p w14:paraId="6E64A03D" w14:textId="77777777" w:rsidR="001F64A3" w:rsidRDefault="001F64A3" w:rsidP="00441B6F">
      <w:pPr>
        <w:pStyle w:val="Affiliation"/>
        <w:spacing w:after="0" w:line="240" w:lineRule="auto"/>
        <w:jc w:val="both"/>
        <w:rPr>
          <w:rFonts w:ascii="Arial" w:hAnsi="Arial" w:cs="Arial"/>
        </w:rPr>
      </w:pPr>
    </w:p>
    <w:p w14:paraId="0F131E67" w14:textId="77777777" w:rsidR="001F64A3" w:rsidRDefault="001F64A3" w:rsidP="00441B6F">
      <w:pPr>
        <w:pStyle w:val="Affiliation"/>
        <w:spacing w:after="0" w:line="240" w:lineRule="auto"/>
        <w:jc w:val="both"/>
        <w:rPr>
          <w:rFonts w:ascii="Arial" w:hAnsi="Arial" w:cs="Arial"/>
        </w:rPr>
      </w:pPr>
    </w:p>
    <w:p w14:paraId="7745A33B" w14:textId="77777777" w:rsidR="001F64A3" w:rsidRDefault="001F64A3" w:rsidP="00441B6F">
      <w:pPr>
        <w:pStyle w:val="Affiliation"/>
        <w:spacing w:after="0" w:line="240" w:lineRule="auto"/>
        <w:jc w:val="both"/>
        <w:rPr>
          <w:rFonts w:ascii="Arial" w:hAnsi="Arial" w:cs="Arial"/>
        </w:rPr>
      </w:pPr>
    </w:p>
    <w:p w14:paraId="5A02ABFB" w14:textId="77777777" w:rsidR="001F64A3" w:rsidRPr="00FB3A86" w:rsidRDefault="001F64A3" w:rsidP="00441B6F">
      <w:pPr>
        <w:pStyle w:val="Affiliation"/>
        <w:spacing w:after="0" w:line="240" w:lineRule="auto"/>
        <w:jc w:val="both"/>
        <w:rPr>
          <w:rFonts w:ascii="Arial" w:hAnsi="Arial" w:cs="Arial"/>
        </w:rPr>
      </w:pPr>
    </w:p>
    <w:p w14:paraId="2CB5CC21" w14:textId="77777777" w:rsidR="00B01FCD" w:rsidRPr="00FB3A86" w:rsidRDefault="00000000" w:rsidP="00441B6F">
      <w:pPr>
        <w:pStyle w:val="Copyright"/>
        <w:spacing w:after="0" w:line="240" w:lineRule="auto"/>
        <w:jc w:val="both"/>
        <w:rPr>
          <w:rFonts w:ascii="Arial" w:hAnsi="Arial" w:cs="Arial"/>
        </w:rPr>
        <w:sectPr w:rsidR="00B01FCD" w:rsidRPr="00FB3A86" w:rsidSect="001F64A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A5E5E92">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564D099" w14:textId="69D8935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7A369C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79EC24B" w14:textId="77777777" w:rsidTr="001E44FE">
        <w:tc>
          <w:tcPr>
            <w:tcW w:w="9576" w:type="dxa"/>
            <w:shd w:val="clear" w:color="auto" w:fill="F2F2F2"/>
          </w:tcPr>
          <w:p w14:paraId="02AB0775" w14:textId="77777777" w:rsidR="00D447CA" w:rsidRPr="00B71A7B" w:rsidRDefault="00D447CA" w:rsidP="00D447CA">
            <w:pPr>
              <w:spacing w:before="240" w:line="360" w:lineRule="auto"/>
              <w:jc w:val="both"/>
              <w:rPr>
                <w:rFonts w:ascii="Times New Roman" w:hAnsi="Times New Roman"/>
                <w:sz w:val="24"/>
                <w:szCs w:val="24"/>
              </w:rPr>
            </w:pPr>
            <w:r w:rsidRPr="00B71A7B">
              <w:rPr>
                <w:rFonts w:ascii="Times New Roman" w:hAnsi="Times New Roman"/>
                <w:i/>
                <w:iCs/>
                <w:sz w:val="24"/>
                <w:szCs w:val="24"/>
              </w:rPr>
              <w:t>Moringa oleifera</w:t>
            </w:r>
            <w:r w:rsidRPr="00B71A7B">
              <w:rPr>
                <w:rFonts w:ascii="Times New Roman" w:hAnsi="Times New Roman"/>
                <w:sz w:val="24"/>
                <w:szCs w:val="24"/>
              </w:rPr>
              <w:t xml:space="preserve">, a highly valued plant of the </w:t>
            </w:r>
            <w:proofErr w:type="spellStart"/>
            <w:r w:rsidRPr="00B71A7B">
              <w:rPr>
                <w:rFonts w:ascii="Times New Roman" w:hAnsi="Times New Roman"/>
                <w:i/>
                <w:iCs/>
                <w:sz w:val="24"/>
                <w:szCs w:val="24"/>
              </w:rPr>
              <w:t>Moringaceae</w:t>
            </w:r>
            <w:proofErr w:type="spellEnd"/>
            <w:r w:rsidRPr="00B71A7B">
              <w:rPr>
                <w:rFonts w:ascii="Times New Roman" w:hAnsi="Times New Roman"/>
                <w:sz w:val="24"/>
                <w:szCs w:val="24"/>
              </w:rPr>
              <w:t xml:space="preserve"> family, is renowned for its exceptional nutritional and therapeutic properties. Originally from sub-Himalayan areas of Bangladesh, India, Pakistan, and Afghanistan, it is currently grown extensively in tropical and subtropical climates. This review presents a comprehensive overview of </w:t>
            </w:r>
            <w:r w:rsidRPr="00B71A7B">
              <w:rPr>
                <w:rFonts w:ascii="Times New Roman" w:hAnsi="Times New Roman"/>
                <w:i/>
                <w:iCs/>
                <w:sz w:val="24"/>
                <w:szCs w:val="24"/>
              </w:rPr>
              <w:t xml:space="preserve">M. </w:t>
            </w:r>
            <w:proofErr w:type="spellStart"/>
            <w:r w:rsidRPr="00B71A7B">
              <w:rPr>
                <w:rFonts w:ascii="Times New Roman" w:hAnsi="Times New Roman"/>
                <w:i/>
                <w:iCs/>
                <w:sz w:val="24"/>
                <w:szCs w:val="24"/>
              </w:rPr>
              <w:t>oleifera</w:t>
            </w:r>
            <w:r w:rsidRPr="00B71A7B">
              <w:rPr>
                <w:rFonts w:ascii="Times New Roman" w:hAnsi="Times New Roman"/>
                <w:sz w:val="24"/>
                <w:szCs w:val="24"/>
              </w:rPr>
              <w:t>’s</w:t>
            </w:r>
            <w:proofErr w:type="spellEnd"/>
            <w:r w:rsidRPr="00B71A7B">
              <w:rPr>
                <w:rFonts w:ascii="Times New Roman" w:hAnsi="Times New Roman"/>
                <w:sz w:val="24"/>
                <w:szCs w:val="24"/>
              </w:rPr>
              <w:t xml:space="preserve"> phytochemical profile, nutritional composition, medicinal potential, and industrial applications. The plant is rich in essential amino acids, vitamins, minerals, polyphenols, flavonoids, and unique compounds such as glucosinolates and isothiocyanates, contributing to its broad spectrum of bioactivities, including anti-inflammatory, antioxidant, antidiabetic, antimicrobial, and hepatoprotective effects. Various parts of the plant, such as leaves, seeds, pods, roots, flowers, and oil, have been traditionally used for both nutritional supplementation and treatment of chronic and infectious diseases. Recent studies also highlight its role in combating malnutrition and enhancing immunity in both humans and livestock. Additionally, its seed oil holds industrial value as a lubricant and fragrance stabilizer, while moringa powder is increasingly used in cosmetics for skin protection. This review emphasizes the importance of </w:t>
            </w:r>
            <w:r w:rsidRPr="00B71A7B">
              <w:rPr>
                <w:rFonts w:ascii="Times New Roman" w:hAnsi="Times New Roman"/>
                <w:i/>
                <w:iCs/>
                <w:sz w:val="24"/>
                <w:szCs w:val="24"/>
              </w:rPr>
              <w:t>M. oleifera</w:t>
            </w:r>
            <w:r w:rsidRPr="00B71A7B">
              <w:rPr>
                <w:rFonts w:ascii="Times New Roman" w:hAnsi="Times New Roman"/>
                <w:sz w:val="24"/>
                <w:szCs w:val="24"/>
              </w:rPr>
              <w:t xml:space="preserve"> as a multifunctional plant and explores its potential as a functional food and </w:t>
            </w:r>
            <w:proofErr w:type="spellStart"/>
            <w:r w:rsidRPr="00B71A7B">
              <w:rPr>
                <w:rFonts w:ascii="Times New Roman" w:hAnsi="Times New Roman"/>
                <w:sz w:val="24"/>
                <w:szCs w:val="24"/>
              </w:rPr>
              <w:t>phytotherapeutic</w:t>
            </w:r>
            <w:proofErr w:type="spellEnd"/>
            <w:r w:rsidRPr="00B71A7B">
              <w:rPr>
                <w:rFonts w:ascii="Times New Roman" w:hAnsi="Times New Roman"/>
                <w:sz w:val="24"/>
                <w:szCs w:val="24"/>
              </w:rPr>
              <w:t xml:space="preserve"> agent, particularly in resource-limited settings.</w:t>
            </w:r>
          </w:p>
          <w:p w14:paraId="4CDEBA52" w14:textId="09020425" w:rsidR="00505F06" w:rsidRPr="00BA1B01" w:rsidRDefault="00505F06" w:rsidP="00441B6F">
            <w:pPr>
              <w:pStyle w:val="Body"/>
              <w:spacing w:after="0"/>
              <w:rPr>
                <w:rFonts w:ascii="Arial" w:eastAsia="Calibri" w:hAnsi="Arial" w:cs="Arial"/>
                <w:szCs w:val="22"/>
              </w:rPr>
            </w:pPr>
          </w:p>
        </w:tc>
      </w:tr>
    </w:tbl>
    <w:p w14:paraId="40907D4E" w14:textId="77777777" w:rsidR="00636EB2" w:rsidRDefault="00636EB2" w:rsidP="00441B6F">
      <w:pPr>
        <w:pStyle w:val="Body"/>
        <w:spacing w:after="0"/>
        <w:rPr>
          <w:rFonts w:ascii="Arial" w:hAnsi="Arial" w:cs="Arial"/>
          <w:i/>
        </w:rPr>
      </w:pPr>
    </w:p>
    <w:p w14:paraId="0223ECCF" w14:textId="4E693818" w:rsidR="00A24E7E" w:rsidRDefault="00A24E7E" w:rsidP="00441B6F">
      <w:pPr>
        <w:pStyle w:val="Body"/>
        <w:spacing w:after="0"/>
        <w:rPr>
          <w:rFonts w:ascii="Arial" w:hAnsi="Arial" w:cs="Arial"/>
          <w:i/>
        </w:rPr>
      </w:pPr>
      <w:r>
        <w:rPr>
          <w:rFonts w:ascii="Arial" w:hAnsi="Arial" w:cs="Arial"/>
          <w:i/>
        </w:rPr>
        <w:t xml:space="preserve">Keywords: </w:t>
      </w:r>
      <w:r w:rsidR="005F4B6F" w:rsidRPr="00B71A7B">
        <w:rPr>
          <w:rFonts w:ascii="Times New Roman" w:hAnsi="Times New Roman"/>
          <w:i/>
          <w:iCs/>
          <w:sz w:val="24"/>
          <w:szCs w:val="24"/>
        </w:rPr>
        <w:t>Moringa oleifera</w:t>
      </w:r>
      <w:r w:rsidR="005F4B6F" w:rsidRPr="00B71A7B">
        <w:rPr>
          <w:rFonts w:ascii="Times New Roman" w:hAnsi="Times New Roman"/>
          <w:sz w:val="24"/>
          <w:szCs w:val="24"/>
        </w:rPr>
        <w:t>, Functional Food</w:t>
      </w:r>
      <w:r w:rsidR="005F4B6F" w:rsidRPr="00B71A7B">
        <w:rPr>
          <w:rFonts w:ascii="Times New Roman" w:hAnsi="Times New Roman"/>
          <w:b/>
          <w:bCs/>
          <w:sz w:val="24"/>
          <w:szCs w:val="24"/>
        </w:rPr>
        <w:t xml:space="preserve">, </w:t>
      </w:r>
      <w:r w:rsidR="005F4B6F" w:rsidRPr="00B71A7B">
        <w:rPr>
          <w:rFonts w:ascii="Times New Roman" w:hAnsi="Times New Roman"/>
          <w:sz w:val="24"/>
          <w:szCs w:val="24"/>
        </w:rPr>
        <w:t>antioxidant, anti-inflammatory, antimicrobial</w:t>
      </w:r>
    </w:p>
    <w:p w14:paraId="5FEBB8C2" w14:textId="0CA1D556" w:rsidR="00505F06" w:rsidRPr="00A24E7E" w:rsidRDefault="00505F06" w:rsidP="00441B6F">
      <w:pPr>
        <w:pStyle w:val="Body"/>
        <w:spacing w:after="0"/>
        <w:rPr>
          <w:rFonts w:ascii="Arial" w:hAnsi="Arial" w:cs="Arial"/>
          <w:i/>
        </w:rPr>
      </w:pPr>
    </w:p>
    <w:p w14:paraId="711BDEEA" w14:textId="37BCB169"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55439B30" w14:textId="77777777" w:rsidR="00790ADA" w:rsidRPr="00FB3A86" w:rsidRDefault="00790ADA" w:rsidP="00441B6F">
      <w:pPr>
        <w:pStyle w:val="AbstHead"/>
        <w:spacing w:after="0"/>
        <w:jc w:val="both"/>
        <w:rPr>
          <w:rFonts w:ascii="Arial" w:hAnsi="Arial" w:cs="Arial"/>
        </w:rPr>
      </w:pPr>
    </w:p>
    <w:p w14:paraId="78558BAD" w14:textId="77777777" w:rsidR="005F4B6F" w:rsidRPr="005F4B6F" w:rsidRDefault="005F4B6F" w:rsidP="005F4B6F">
      <w:pPr>
        <w:spacing w:before="240" w:after="240" w:line="360" w:lineRule="auto"/>
        <w:jc w:val="both"/>
        <w:rPr>
          <w:rFonts w:ascii="Arial" w:hAnsi="Arial" w:cs="Arial"/>
        </w:rPr>
      </w:pPr>
      <w:r w:rsidRPr="005F4B6F">
        <w:rPr>
          <w:rFonts w:ascii="Arial" w:hAnsi="Arial" w:cs="Arial"/>
          <w:i/>
          <w:iCs/>
        </w:rPr>
        <w:t>Moringa oleifera</w:t>
      </w:r>
      <w:r w:rsidRPr="005F4B6F">
        <w:rPr>
          <w:rFonts w:ascii="Arial" w:hAnsi="Arial" w:cs="Arial"/>
        </w:rPr>
        <w:t xml:space="preserve">, a member of the family </w:t>
      </w:r>
      <w:proofErr w:type="spellStart"/>
      <w:r w:rsidRPr="005F4B6F">
        <w:rPr>
          <w:rFonts w:ascii="Arial" w:hAnsi="Arial" w:cs="Arial"/>
          <w:i/>
          <w:iCs/>
        </w:rPr>
        <w:t>Moringaceae</w:t>
      </w:r>
      <w:proofErr w:type="spellEnd"/>
      <w:r w:rsidRPr="005F4B6F">
        <w:rPr>
          <w:rFonts w:ascii="Arial" w:hAnsi="Arial" w:cs="Arial"/>
        </w:rPr>
        <w:t xml:space="preserve">, is recognized as a potent natural remedy for malnutrition due to its rich nutritional profile. This plant contains many essential phytochemicals distributed throughout its leaves, pods, and seeds (Gopalkrishnan et al., 2016). Among various plants assessed in </w:t>
      </w:r>
      <w:proofErr w:type="spellStart"/>
      <w:r w:rsidRPr="005F4B6F">
        <w:rPr>
          <w:rFonts w:ascii="Arial" w:hAnsi="Arial" w:cs="Arial"/>
        </w:rPr>
        <w:t>bioprospective</w:t>
      </w:r>
      <w:proofErr w:type="spellEnd"/>
      <w:r w:rsidRPr="005F4B6F">
        <w:rPr>
          <w:rFonts w:ascii="Arial" w:hAnsi="Arial" w:cs="Arial"/>
        </w:rPr>
        <w:t xml:space="preserve"> research, </w:t>
      </w:r>
      <w:r w:rsidRPr="005F4B6F">
        <w:rPr>
          <w:rFonts w:ascii="Arial" w:hAnsi="Arial" w:cs="Arial"/>
          <w:i/>
          <w:iCs/>
        </w:rPr>
        <w:t>M. oleifera,</w:t>
      </w:r>
      <w:r w:rsidRPr="005F4B6F">
        <w:rPr>
          <w:rFonts w:ascii="Arial" w:hAnsi="Arial" w:cs="Arial"/>
        </w:rPr>
        <w:t xml:space="preserve"> commonly referred to as “</w:t>
      </w:r>
      <w:r w:rsidRPr="005F4B6F">
        <w:rPr>
          <w:rFonts w:ascii="Arial" w:hAnsi="Arial" w:cs="Arial"/>
          <w:i/>
          <w:iCs/>
        </w:rPr>
        <w:t>moringa</w:t>
      </w:r>
      <w:r w:rsidRPr="005F4B6F">
        <w:rPr>
          <w:rFonts w:ascii="Arial" w:hAnsi="Arial" w:cs="Arial"/>
        </w:rPr>
        <w:t>”, “</w:t>
      </w:r>
      <w:proofErr w:type="spellStart"/>
      <w:r w:rsidRPr="005F4B6F">
        <w:rPr>
          <w:rFonts w:ascii="Arial" w:hAnsi="Arial" w:cs="Arial"/>
          <w:i/>
          <w:iCs/>
        </w:rPr>
        <w:t>lírio</w:t>
      </w:r>
      <w:proofErr w:type="spellEnd"/>
      <w:r w:rsidRPr="005F4B6F">
        <w:rPr>
          <w:rFonts w:ascii="Arial" w:hAnsi="Arial" w:cs="Arial"/>
          <w:i/>
          <w:iCs/>
        </w:rPr>
        <w:t xml:space="preserve"> </w:t>
      </w:r>
      <w:proofErr w:type="spellStart"/>
      <w:r w:rsidRPr="005F4B6F">
        <w:rPr>
          <w:rFonts w:ascii="Arial" w:hAnsi="Arial" w:cs="Arial"/>
          <w:i/>
          <w:iCs/>
        </w:rPr>
        <w:t>branco</w:t>
      </w:r>
      <w:proofErr w:type="spellEnd"/>
      <w:r w:rsidRPr="005F4B6F">
        <w:rPr>
          <w:rFonts w:ascii="Arial" w:hAnsi="Arial" w:cs="Arial"/>
        </w:rPr>
        <w:t>” or “</w:t>
      </w:r>
      <w:proofErr w:type="spellStart"/>
      <w:r w:rsidRPr="005F4B6F">
        <w:rPr>
          <w:rFonts w:ascii="Arial" w:hAnsi="Arial" w:cs="Arial"/>
          <w:i/>
          <w:iCs/>
        </w:rPr>
        <w:t>quiabo</w:t>
      </w:r>
      <w:proofErr w:type="spellEnd"/>
      <w:r w:rsidRPr="005F4B6F">
        <w:rPr>
          <w:rFonts w:ascii="Arial" w:hAnsi="Arial" w:cs="Arial"/>
          <w:i/>
          <w:iCs/>
        </w:rPr>
        <w:t>-de-</w:t>
      </w:r>
      <w:proofErr w:type="spellStart"/>
      <w:r w:rsidRPr="005F4B6F">
        <w:rPr>
          <w:rFonts w:ascii="Arial" w:hAnsi="Arial" w:cs="Arial"/>
          <w:i/>
          <w:iCs/>
        </w:rPr>
        <w:t>quina</w:t>
      </w:r>
      <w:proofErr w:type="spellEnd"/>
      <w:r w:rsidRPr="005F4B6F">
        <w:rPr>
          <w:rFonts w:ascii="Arial" w:hAnsi="Arial" w:cs="Arial"/>
        </w:rPr>
        <w:t>” in Brazil, and internationally known as the drumstick tree or horseradish tree, has demonstrated significant therapeutic potential in complementary and alternative medicine. Its pharmacological efficacy is attributed to diverse secondary metabolites, including alkaloids, tannins, flavonoids, saponins, coumarins, quinones, and resins (Brilhante et al., 2017).</w:t>
      </w:r>
    </w:p>
    <w:p w14:paraId="04DC55BA" w14:textId="77777777" w:rsidR="005F4B6F" w:rsidRPr="005F4B6F" w:rsidRDefault="005F4B6F" w:rsidP="005F4B6F">
      <w:pPr>
        <w:spacing w:before="240" w:after="240" w:line="360" w:lineRule="auto"/>
        <w:jc w:val="both"/>
        <w:rPr>
          <w:rFonts w:ascii="Arial" w:hAnsi="Arial" w:cs="Arial"/>
        </w:rPr>
      </w:pPr>
      <w:r w:rsidRPr="005F4B6F">
        <w:rPr>
          <w:rFonts w:ascii="Arial" w:hAnsi="Arial" w:cs="Arial"/>
        </w:rPr>
        <w:t xml:space="preserve">Taxonomically, </w:t>
      </w:r>
      <w:r w:rsidRPr="005F4B6F">
        <w:rPr>
          <w:rFonts w:ascii="Arial" w:hAnsi="Arial" w:cs="Arial"/>
          <w:i/>
          <w:iCs/>
        </w:rPr>
        <w:t>Moringa oleifera</w:t>
      </w:r>
      <w:r w:rsidRPr="005F4B6F">
        <w:rPr>
          <w:rFonts w:ascii="Arial" w:hAnsi="Arial" w:cs="Arial"/>
        </w:rPr>
        <w:t xml:space="preserve"> is classified within the order </w:t>
      </w:r>
      <w:proofErr w:type="spellStart"/>
      <w:r w:rsidRPr="005F4B6F">
        <w:rPr>
          <w:rFonts w:ascii="Arial" w:hAnsi="Arial" w:cs="Arial"/>
        </w:rPr>
        <w:t>Brassicales</w:t>
      </w:r>
      <w:proofErr w:type="spellEnd"/>
      <w:r w:rsidRPr="005F4B6F">
        <w:rPr>
          <w:rFonts w:ascii="Arial" w:hAnsi="Arial" w:cs="Arial"/>
        </w:rPr>
        <w:t xml:space="preserve"> and represents the most widely studied species of the </w:t>
      </w:r>
      <w:proofErr w:type="spellStart"/>
      <w:r w:rsidRPr="005F4B6F">
        <w:rPr>
          <w:rFonts w:ascii="Arial" w:hAnsi="Arial" w:cs="Arial"/>
          <w:i/>
          <w:iCs/>
        </w:rPr>
        <w:t>monogeneric</w:t>
      </w:r>
      <w:proofErr w:type="spellEnd"/>
      <w:r w:rsidRPr="005F4B6F">
        <w:rPr>
          <w:rFonts w:ascii="Arial" w:hAnsi="Arial" w:cs="Arial"/>
        </w:rPr>
        <w:t xml:space="preserve"> family </w:t>
      </w:r>
      <w:proofErr w:type="spellStart"/>
      <w:r w:rsidRPr="005F4B6F">
        <w:rPr>
          <w:rFonts w:ascii="Arial" w:hAnsi="Arial" w:cs="Arial"/>
          <w:i/>
          <w:iCs/>
        </w:rPr>
        <w:t>Moringaceae</w:t>
      </w:r>
      <w:proofErr w:type="spellEnd"/>
      <w:r w:rsidRPr="005F4B6F">
        <w:rPr>
          <w:rFonts w:ascii="Arial" w:hAnsi="Arial" w:cs="Arial"/>
        </w:rPr>
        <w:t>, which comprises 13 known species. Native to the sub-Himalayan regions of northwestern India, the species is now widely cultivated and naturalized across tropical and subtropical regions, including various islands and parts of South America (</w:t>
      </w:r>
      <w:proofErr w:type="spellStart"/>
      <w:r w:rsidRPr="005F4B6F">
        <w:rPr>
          <w:rFonts w:ascii="Arial" w:hAnsi="Arial" w:cs="Arial"/>
        </w:rPr>
        <w:t>Rasiz</w:t>
      </w:r>
      <w:proofErr w:type="spellEnd"/>
      <w:r w:rsidRPr="005F4B6F">
        <w:rPr>
          <w:rFonts w:ascii="Arial" w:hAnsi="Arial" w:cs="Arial"/>
        </w:rPr>
        <w:t xml:space="preserve"> et al., 2014).</w:t>
      </w:r>
    </w:p>
    <w:p w14:paraId="13D16703" w14:textId="77777777" w:rsidR="005F4B6F" w:rsidRPr="005F4B6F" w:rsidRDefault="005F4B6F" w:rsidP="005F4B6F">
      <w:pPr>
        <w:spacing w:before="240" w:after="240" w:line="360" w:lineRule="auto"/>
        <w:jc w:val="both"/>
        <w:rPr>
          <w:rFonts w:ascii="Arial" w:hAnsi="Arial" w:cs="Arial"/>
        </w:rPr>
      </w:pPr>
      <w:r w:rsidRPr="005F4B6F">
        <w:rPr>
          <w:rFonts w:ascii="Arial" w:hAnsi="Arial" w:cs="Arial"/>
          <w:i/>
          <w:iCs/>
        </w:rPr>
        <w:t>Moringa oleifera</w:t>
      </w:r>
      <w:r w:rsidRPr="005F4B6F">
        <w:rPr>
          <w:rFonts w:ascii="Arial" w:hAnsi="Arial" w:cs="Arial"/>
        </w:rPr>
        <w:t xml:space="preserve">, the most extensively cultivated species within the </w:t>
      </w:r>
      <w:proofErr w:type="spellStart"/>
      <w:r w:rsidRPr="005F4B6F">
        <w:rPr>
          <w:rFonts w:ascii="Arial" w:hAnsi="Arial" w:cs="Arial"/>
          <w:i/>
          <w:iCs/>
        </w:rPr>
        <w:t>monogeneric</w:t>
      </w:r>
      <w:proofErr w:type="spellEnd"/>
      <w:r w:rsidRPr="005F4B6F">
        <w:rPr>
          <w:rFonts w:ascii="Arial" w:hAnsi="Arial" w:cs="Arial"/>
        </w:rPr>
        <w:t xml:space="preserve"> family </w:t>
      </w:r>
      <w:proofErr w:type="spellStart"/>
      <w:r w:rsidRPr="005F4B6F">
        <w:rPr>
          <w:rFonts w:ascii="Arial" w:hAnsi="Arial" w:cs="Arial"/>
          <w:i/>
          <w:iCs/>
        </w:rPr>
        <w:t>Moringaceae</w:t>
      </w:r>
      <w:proofErr w:type="spellEnd"/>
      <w:r w:rsidRPr="005F4B6F">
        <w:rPr>
          <w:rFonts w:ascii="Arial" w:hAnsi="Arial" w:cs="Arial"/>
        </w:rPr>
        <w:t xml:space="preserve">, is indigenous to the sub-Himalayan regions of India, Bangladesh, Pakistan, and Afghanistan. This fast-growing, multipurpose tree, commonly referred to as the horseradish tree, drumstick tree, or Ben oil tree, among many regional names, has a long history of use dating back to ancient civilizations such as the Romans, Greeks, and Egyptians (Fahey et al., 2005). Currently, </w:t>
      </w:r>
      <w:r w:rsidRPr="005F4B6F">
        <w:rPr>
          <w:rFonts w:ascii="Arial" w:hAnsi="Arial" w:cs="Arial"/>
          <w:i/>
          <w:iCs/>
        </w:rPr>
        <w:t>M. oleifera</w:t>
      </w:r>
      <w:r w:rsidRPr="005F4B6F">
        <w:rPr>
          <w:rFonts w:ascii="Arial" w:hAnsi="Arial" w:cs="Arial"/>
        </w:rPr>
        <w:t xml:space="preserve"> is naturalized and widely cultivated throughout tropical and subtropical regions worldwide.</w:t>
      </w:r>
    </w:p>
    <w:p w14:paraId="63699888" w14:textId="77777777" w:rsidR="005F4B6F" w:rsidRPr="005F4B6F" w:rsidRDefault="005F4B6F" w:rsidP="005F4B6F">
      <w:pPr>
        <w:spacing w:before="240" w:after="240" w:line="360" w:lineRule="auto"/>
        <w:jc w:val="both"/>
        <w:rPr>
          <w:rFonts w:ascii="Arial" w:hAnsi="Arial" w:cs="Arial"/>
        </w:rPr>
      </w:pPr>
      <w:r w:rsidRPr="005F4B6F">
        <w:rPr>
          <w:rFonts w:ascii="Arial" w:hAnsi="Arial" w:cs="Arial"/>
        </w:rPr>
        <w:t xml:space="preserve">The leaves of </w:t>
      </w:r>
      <w:r w:rsidRPr="005F4B6F">
        <w:rPr>
          <w:rFonts w:ascii="Arial" w:hAnsi="Arial" w:cs="Arial"/>
          <w:i/>
          <w:iCs/>
        </w:rPr>
        <w:t>M. oleifera</w:t>
      </w:r>
      <w:r w:rsidRPr="005F4B6F">
        <w:rPr>
          <w:rFonts w:ascii="Arial" w:hAnsi="Arial" w:cs="Arial"/>
        </w:rPr>
        <w:t xml:space="preserve"> are particularly renowned for their high nutritional value, containing essential amino acids, vitamins (including high levels of β-carotene), minerals, and other bioactive compounds (</w:t>
      </w:r>
      <w:proofErr w:type="spellStart"/>
      <w:r w:rsidRPr="005F4B6F">
        <w:rPr>
          <w:rFonts w:ascii="Arial" w:hAnsi="Arial" w:cs="Arial"/>
        </w:rPr>
        <w:t>Sabale</w:t>
      </w:r>
      <w:proofErr w:type="spellEnd"/>
      <w:r w:rsidRPr="005F4B6F">
        <w:rPr>
          <w:rFonts w:ascii="Arial" w:hAnsi="Arial" w:cs="Arial"/>
        </w:rPr>
        <w:t xml:space="preserve"> et al., 2008; Sharma et al., 2012). Owing to this rich composition, it is utilized as a nutritional supplement and growth promoter in various regions (Anwar et al., 2007). While its therapeutic use is deeply embedded in the traditional medicine systems of the Indian subcontinent, its potential is only recently being recognized and promoted across sub-Saharan Africa and other parts of the world (Thurber &amp; Fahey, 2009; </w:t>
      </w:r>
      <w:proofErr w:type="spellStart"/>
      <w:r w:rsidRPr="005F4B6F">
        <w:rPr>
          <w:rFonts w:ascii="Arial" w:hAnsi="Arial" w:cs="Arial"/>
        </w:rPr>
        <w:t>Torimiro</w:t>
      </w:r>
      <w:proofErr w:type="spellEnd"/>
      <w:r w:rsidRPr="005F4B6F">
        <w:rPr>
          <w:rFonts w:ascii="Arial" w:hAnsi="Arial" w:cs="Arial"/>
        </w:rPr>
        <w:t xml:space="preserve"> et al., 2009; </w:t>
      </w:r>
      <w:proofErr w:type="spellStart"/>
      <w:r w:rsidRPr="005F4B6F">
        <w:rPr>
          <w:rFonts w:ascii="Arial" w:hAnsi="Arial" w:cs="Arial"/>
        </w:rPr>
        <w:t>Mbikay</w:t>
      </w:r>
      <w:proofErr w:type="spellEnd"/>
      <w:r w:rsidRPr="005F4B6F">
        <w:rPr>
          <w:rFonts w:ascii="Arial" w:hAnsi="Arial" w:cs="Arial"/>
        </w:rPr>
        <w:t>, 2012).</w:t>
      </w:r>
    </w:p>
    <w:p w14:paraId="650D8D52" w14:textId="77777777" w:rsidR="005F4B6F" w:rsidRPr="005F4B6F" w:rsidRDefault="005F4B6F" w:rsidP="005F4B6F">
      <w:pPr>
        <w:spacing w:before="240" w:after="240" w:line="360" w:lineRule="auto"/>
        <w:jc w:val="both"/>
        <w:rPr>
          <w:rFonts w:ascii="Arial" w:hAnsi="Arial" w:cs="Arial"/>
        </w:rPr>
      </w:pPr>
      <w:r w:rsidRPr="005F4B6F">
        <w:rPr>
          <w:rFonts w:ascii="Arial" w:hAnsi="Arial" w:cs="Arial"/>
        </w:rPr>
        <w:t xml:space="preserve">In recent years, there has been a resurgence of awareness in the nutritional potential of </w:t>
      </w:r>
      <w:r w:rsidRPr="005F4B6F">
        <w:rPr>
          <w:rFonts w:ascii="Arial" w:hAnsi="Arial" w:cs="Arial"/>
          <w:i/>
          <w:iCs/>
        </w:rPr>
        <w:t>M. oleifera</w:t>
      </w:r>
      <w:r w:rsidRPr="005F4B6F">
        <w:rPr>
          <w:rFonts w:ascii="Arial" w:hAnsi="Arial" w:cs="Arial"/>
        </w:rPr>
        <w:t xml:space="preserve">, particularly in regions where the plant is not native (Oduro et al., 2008; Peñalver et al., 2022). This increased attention is largely attributed to the plant’s reported benefits in enhancing animal productivity, owing to its high nutritional, therapeutic, and prophylactic potential (Fahey, 2005). Numerous studies have reported the nutritional richness of </w:t>
      </w:r>
      <w:r w:rsidRPr="005F4B6F">
        <w:rPr>
          <w:rFonts w:ascii="Arial" w:hAnsi="Arial" w:cs="Arial"/>
          <w:i/>
          <w:iCs/>
        </w:rPr>
        <w:t>M. oleifera</w:t>
      </w:r>
      <w:r w:rsidRPr="005F4B6F">
        <w:rPr>
          <w:rFonts w:ascii="Arial" w:hAnsi="Arial" w:cs="Arial"/>
        </w:rPr>
        <w:t xml:space="preserve"> leaves, emphasizing the quantity of vital vitamins, minerals, and amino acids they contain (Anwar et al., 2007). Consequently, </w:t>
      </w:r>
      <w:r w:rsidRPr="005F4B6F">
        <w:rPr>
          <w:rFonts w:ascii="Arial" w:hAnsi="Arial" w:cs="Arial"/>
          <w:i/>
          <w:iCs/>
        </w:rPr>
        <w:t>M. oleifera</w:t>
      </w:r>
      <w:r w:rsidRPr="005F4B6F">
        <w:rPr>
          <w:rFonts w:ascii="Arial" w:hAnsi="Arial" w:cs="Arial"/>
        </w:rPr>
        <w:t xml:space="preserve"> has been utilized to combat malnutrition, especially in vulnerable populations such as infants and lactating mothers.</w:t>
      </w:r>
    </w:p>
    <w:p w14:paraId="53F35C8D" w14:textId="2BC5F925" w:rsidR="005F4B6F" w:rsidRPr="005F4B6F" w:rsidRDefault="005F4B6F" w:rsidP="005F4B6F">
      <w:pPr>
        <w:spacing w:before="240" w:after="240" w:line="360" w:lineRule="auto"/>
        <w:jc w:val="both"/>
        <w:rPr>
          <w:rFonts w:ascii="Arial" w:hAnsi="Arial" w:cs="Arial"/>
        </w:rPr>
      </w:pPr>
      <w:r w:rsidRPr="005F4B6F">
        <w:rPr>
          <w:rFonts w:ascii="Arial" w:hAnsi="Arial" w:cs="Arial"/>
        </w:rPr>
        <w:t xml:space="preserve">Beyond human nutrition, the role of </w:t>
      </w:r>
      <w:r w:rsidRPr="005F4B6F">
        <w:rPr>
          <w:rFonts w:ascii="Arial" w:hAnsi="Arial" w:cs="Arial"/>
          <w:i/>
          <w:iCs/>
        </w:rPr>
        <w:t>M. oleifera</w:t>
      </w:r>
      <w:r w:rsidRPr="005F4B6F">
        <w:rPr>
          <w:rFonts w:ascii="Arial" w:hAnsi="Arial" w:cs="Arial"/>
        </w:rPr>
        <w:t xml:space="preserve"> in animal health is equally significant. Proper nutrition is critical in enhancing an animal’s resistance to parasitic infections and diseases. Animals suffering from malnutrition are more susceptible to infections, whereas well-nourished animals possess a stronger immune response. This involves the production of antibodies and the activation of leukocytes to combat pathogens (FAO, 2002). The development and functioning of the immune system require adequate intake of energy, proteins, and micronutrients such as zinc, iron, copper, and vitamins A and E, which facilitate intercellular communication during immune responses (Conroy, 2005).</w:t>
      </w:r>
    </w:p>
    <w:p w14:paraId="3A327E4A" w14:textId="77777777" w:rsidR="005F4B6F" w:rsidRPr="005F4B6F" w:rsidRDefault="005F4B6F" w:rsidP="005F4B6F">
      <w:pPr>
        <w:spacing w:before="240" w:after="240" w:line="360" w:lineRule="auto"/>
        <w:jc w:val="both"/>
        <w:rPr>
          <w:rFonts w:ascii="Arial" w:hAnsi="Arial" w:cs="Arial"/>
        </w:rPr>
      </w:pPr>
      <w:r w:rsidRPr="005F4B6F">
        <w:rPr>
          <w:rFonts w:ascii="Arial" w:hAnsi="Arial" w:cs="Arial"/>
        </w:rPr>
        <w:lastRenderedPageBreak/>
        <w:t xml:space="preserve">Despite its global recognition, there remains considerable variation in the nutritional composition of </w:t>
      </w:r>
      <w:r w:rsidRPr="005F4B6F">
        <w:rPr>
          <w:rFonts w:ascii="Arial" w:hAnsi="Arial" w:cs="Arial"/>
          <w:i/>
          <w:iCs/>
        </w:rPr>
        <w:t>M. oleifera</w:t>
      </w:r>
      <w:r w:rsidRPr="005F4B6F">
        <w:rPr>
          <w:rFonts w:ascii="Arial" w:hAnsi="Arial" w:cs="Arial"/>
        </w:rPr>
        <w:t xml:space="preserve">, which is influenced by factors such as genotype, environmental conditions, and agronomic practices (Sultana, 2020). This underscores the necessity for ecotype-specific evaluations to determine precise nutritional values. The nutritional makeup of the M. oleifera ecotype found in South Africa has not yet been thoroughly described. The present study represents the first comprehensive report profiling its chemical constituents, including amino acids, fatty acids, minerals, and vitamins. These nutrients are indispensable for animal nutrition, as they support osmotic regulation, activate metabolic enzymes and hormones, and facilitate growth, reproduction, and physiological maintenance (Anjorin et al., 2010). Moreover, the composition of fiber fractions significantly influences the digestibility and bioavailability of nutrients in animal feeds, ultimately affecting feed efficiency. Previous studies have confirmed that the nutritional content of </w:t>
      </w:r>
      <w:r w:rsidRPr="005F4B6F">
        <w:rPr>
          <w:rFonts w:ascii="Arial" w:hAnsi="Arial" w:cs="Arial"/>
          <w:i/>
          <w:iCs/>
        </w:rPr>
        <w:t>M. oleifera</w:t>
      </w:r>
      <w:r w:rsidRPr="005F4B6F">
        <w:rPr>
          <w:rFonts w:ascii="Arial" w:hAnsi="Arial" w:cs="Arial"/>
        </w:rPr>
        <w:t xml:space="preserve"> leaves varies geographically, reinforcing the importance of location-specific analysis for its optimal utilization (Anjorin et al., 2010; </w:t>
      </w:r>
      <w:proofErr w:type="spellStart"/>
      <w:r w:rsidRPr="005F4B6F">
        <w:rPr>
          <w:rFonts w:ascii="Arial" w:hAnsi="Arial" w:cs="Arial"/>
        </w:rPr>
        <w:t>AlKharusi</w:t>
      </w:r>
      <w:proofErr w:type="spellEnd"/>
      <w:r w:rsidRPr="005F4B6F">
        <w:rPr>
          <w:rFonts w:ascii="Arial" w:hAnsi="Arial" w:cs="Arial"/>
        </w:rPr>
        <w:t xml:space="preserve"> et al., 2009).</w:t>
      </w:r>
      <w:r w:rsidRPr="005F4B6F">
        <w:rPr>
          <w:rFonts w:ascii="Arial" w:hAnsi="Arial" w:cs="Arial"/>
          <w:lang w:eastAsia="en-IN"/>
        </w:rPr>
        <w:t xml:space="preserve"> </w:t>
      </w:r>
      <w:r w:rsidRPr="005F4B6F">
        <w:rPr>
          <w:rFonts w:ascii="Arial" w:hAnsi="Arial" w:cs="Arial"/>
        </w:rPr>
        <w:t xml:space="preserve">This review highlights the nutritional composition, functional food attributes, phytochemical profile, health benefits, and therapeutic applications of </w:t>
      </w:r>
      <w:r w:rsidRPr="005F4B6F">
        <w:rPr>
          <w:rFonts w:ascii="Arial" w:hAnsi="Arial" w:cs="Arial"/>
          <w:i/>
          <w:iCs/>
        </w:rPr>
        <w:t>M. oleifera</w:t>
      </w:r>
      <w:r w:rsidRPr="005F4B6F">
        <w:rPr>
          <w:rFonts w:ascii="Arial" w:hAnsi="Arial" w:cs="Arial"/>
        </w:rPr>
        <w:t>, alongside safety aspects.</w:t>
      </w:r>
    </w:p>
    <w:p w14:paraId="192961D4" w14:textId="77777777" w:rsidR="005F4B6F" w:rsidRPr="005F4B6F" w:rsidRDefault="005F4B6F" w:rsidP="00441B6F">
      <w:pPr>
        <w:pStyle w:val="Body"/>
        <w:spacing w:after="0"/>
        <w:rPr>
          <w:rFonts w:ascii="Arial" w:hAnsi="Arial" w:cs="Arial"/>
        </w:rPr>
      </w:pPr>
    </w:p>
    <w:p w14:paraId="616547FB" w14:textId="77777777" w:rsidR="00790ADA" w:rsidRPr="005F4B6F" w:rsidRDefault="00790ADA" w:rsidP="00441B6F">
      <w:pPr>
        <w:pStyle w:val="Body"/>
        <w:spacing w:after="0"/>
        <w:rPr>
          <w:rFonts w:ascii="Arial" w:hAnsi="Arial" w:cs="Arial"/>
        </w:rPr>
      </w:pPr>
    </w:p>
    <w:p w14:paraId="6CF30B3D" w14:textId="02F718AF" w:rsidR="005F4B6F" w:rsidRPr="006F171D" w:rsidRDefault="00902823" w:rsidP="006F171D">
      <w:pPr>
        <w:pStyle w:val="AbstHead"/>
        <w:spacing w:after="0"/>
        <w:jc w:val="both"/>
        <w:rPr>
          <w:rFonts w:ascii="Arial" w:hAnsi="Arial" w:cs="Arial"/>
          <w:sz w:val="20"/>
        </w:rPr>
      </w:pPr>
      <w:r w:rsidRPr="005F4B6F">
        <w:rPr>
          <w:rFonts w:ascii="Arial" w:hAnsi="Arial" w:cs="Arial"/>
          <w:sz w:val="20"/>
        </w:rPr>
        <w:t xml:space="preserve">2. </w:t>
      </w:r>
      <w:r w:rsidR="006F171D" w:rsidRPr="004939B9">
        <w:rPr>
          <w:rFonts w:ascii="Arial" w:hAnsi="Arial" w:cs="Arial"/>
          <w:bCs/>
          <w:szCs w:val="22"/>
        </w:rPr>
        <w:t>Morphology and physical attributes</w:t>
      </w:r>
    </w:p>
    <w:p w14:paraId="4EBF02BE" w14:textId="77777777" w:rsidR="005F4B6F" w:rsidRPr="005F4B6F" w:rsidRDefault="005F4B6F" w:rsidP="005F4B6F">
      <w:pPr>
        <w:spacing w:before="240" w:line="360" w:lineRule="auto"/>
        <w:jc w:val="both"/>
        <w:rPr>
          <w:rFonts w:ascii="Arial" w:hAnsi="Arial" w:cs="Arial"/>
        </w:rPr>
      </w:pPr>
      <w:bookmarkStart w:id="0" w:name="_Hlk196749177"/>
      <w:r w:rsidRPr="005F4B6F">
        <w:rPr>
          <w:rFonts w:ascii="Arial" w:hAnsi="Arial" w:cs="Arial"/>
        </w:rPr>
        <w:t>Moringa oleifera</w:t>
      </w:r>
      <w:bookmarkEnd w:id="0"/>
      <w:r w:rsidRPr="005F4B6F">
        <w:rPr>
          <w:rFonts w:ascii="Arial" w:hAnsi="Arial" w:cs="Arial"/>
        </w:rPr>
        <w:t xml:space="preserve"> is a fast-growing, evergreen tree that typically attains a height of 7–12 meters and a stem diameter of 20–40 cm at breast height (Fahey, 2005; Anwar et al., 2007).</w:t>
      </w:r>
    </w:p>
    <w:p w14:paraId="10D91DCD" w14:textId="488BE227" w:rsidR="005F4B6F" w:rsidRPr="006F171D" w:rsidRDefault="005F4B6F" w:rsidP="005F4B6F">
      <w:pPr>
        <w:spacing w:before="240" w:line="360" w:lineRule="auto"/>
        <w:jc w:val="both"/>
        <w:rPr>
          <w:rFonts w:ascii="Arial" w:hAnsi="Arial" w:cs="Arial"/>
          <w:b/>
          <w:bCs/>
          <w:sz w:val="22"/>
          <w:szCs w:val="22"/>
        </w:rPr>
      </w:pPr>
      <w:r w:rsidRPr="006F171D">
        <w:rPr>
          <w:rFonts w:ascii="Arial" w:hAnsi="Arial" w:cs="Arial"/>
          <w:b/>
          <w:bCs/>
          <w:sz w:val="22"/>
          <w:szCs w:val="22"/>
        </w:rPr>
        <w:t>2.1. Stem</w:t>
      </w:r>
    </w:p>
    <w:p w14:paraId="7458EEBA" w14:textId="77777777" w:rsidR="005F4B6F" w:rsidRPr="005F4B6F" w:rsidRDefault="005F4B6F" w:rsidP="005F4B6F">
      <w:pPr>
        <w:spacing w:before="240" w:line="360" w:lineRule="auto"/>
        <w:jc w:val="both"/>
        <w:rPr>
          <w:rFonts w:ascii="Arial" w:hAnsi="Arial" w:cs="Arial"/>
        </w:rPr>
      </w:pPr>
      <w:r w:rsidRPr="005F4B6F">
        <w:rPr>
          <w:rFonts w:ascii="Arial" w:hAnsi="Arial" w:cs="Arial"/>
        </w:rPr>
        <w:t xml:space="preserve">The main stem of </w:t>
      </w:r>
      <w:r w:rsidRPr="005F4B6F">
        <w:rPr>
          <w:rFonts w:ascii="Arial" w:hAnsi="Arial" w:cs="Arial"/>
          <w:i/>
          <w:iCs/>
        </w:rPr>
        <w:t>Moringa oleifera</w:t>
      </w:r>
      <w:r w:rsidRPr="005F4B6F">
        <w:rPr>
          <w:rFonts w:ascii="Arial" w:hAnsi="Arial" w:cs="Arial"/>
        </w:rPr>
        <w:t xml:space="preserve"> is generally straight; however, some individuals may display irregular or poorly formed growth patterns. Initial vertical growth typically reaches a height of 1.5 to 2 meters before the onset of lateral branching, with the stem potentially extending up to 3 meters in height before significant canopy development (</w:t>
      </w:r>
      <w:proofErr w:type="spellStart"/>
      <w:r w:rsidRPr="005F4B6F">
        <w:rPr>
          <w:rFonts w:ascii="Arial" w:hAnsi="Arial" w:cs="Arial"/>
        </w:rPr>
        <w:t>Fuglie</w:t>
      </w:r>
      <w:proofErr w:type="spellEnd"/>
      <w:r w:rsidRPr="005F4B6F">
        <w:rPr>
          <w:rFonts w:ascii="Arial" w:hAnsi="Arial" w:cs="Arial"/>
        </w:rPr>
        <w:t>, 2001; Ramachandran et al., 1980).</w:t>
      </w:r>
    </w:p>
    <w:p w14:paraId="12CB4AB0" w14:textId="7F8CBE86" w:rsidR="005F4B6F" w:rsidRPr="006F171D" w:rsidRDefault="005F4B6F" w:rsidP="005F4B6F">
      <w:pPr>
        <w:spacing w:before="240" w:line="360" w:lineRule="auto"/>
        <w:jc w:val="both"/>
        <w:rPr>
          <w:rFonts w:ascii="Arial" w:hAnsi="Arial" w:cs="Arial"/>
          <w:sz w:val="22"/>
          <w:szCs w:val="22"/>
        </w:rPr>
      </w:pPr>
      <w:r w:rsidRPr="006F171D">
        <w:rPr>
          <w:rFonts w:ascii="Arial" w:hAnsi="Arial" w:cs="Arial"/>
          <w:b/>
          <w:bCs/>
          <w:sz w:val="22"/>
          <w:szCs w:val="22"/>
        </w:rPr>
        <w:t>2.2 Branches</w:t>
      </w:r>
    </w:p>
    <w:p w14:paraId="1BFCF1D2" w14:textId="77777777" w:rsidR="005F4B6F" w:rsidRPr="005F4B6F" w:rsidRDefault="005F4B6F" w:rsidP="005F4B6F">
      <w:pPr>
        <w:spacing w:before="240" w:line="360" w:lineRule="auto"/>
        <w:jc w:val="both"/>
        <w:rPr>
          <w:rFonts w:ascii="Arial" w:hAnsi="Arial" w:cs="Arial"/>
        </w:rPr>
      </w:pPr>
      <w:r w:rsidRPr="005F4B6F">
        <w:rPr>
          <w:rFonts w:ascii="Arial" w:hAnsi="Arial" w:cs="Arial"/>
        </w:rPr>
        <w:t xml:space="preserve">The branching pattern of </w:t>
      </w:r>
      <w:r w:rsidRPr="005F4B6F">
        <w:rPr>
          <w:rFonts w:ascii="Arial" w:hAnsi="Arial" w:cs="Arial"/>
          <w:i/>
          <w:iCs/>
        </w:rPr>
        <w:t>Moringa oleifera</w:t>
      </w:r>
      <w:r w:rsidRPr="005F4B6F">
        <w:rPr>
          <w:rFonts w:ascii="Arial" w:hAnsi="Arial" w:cs="Arial"/>
        </w:rPr>
        <w:t xml:space="preserve"> is generally irregular and loosely structured, often resulting in an asymmetrical growth habit that contributes to the development of a characteristic umbrella-shaped canopy (Morton, 1991; Ramachandran et al., 1980).</w:t>
      </w:r>
    </w:p>
    <w:p w14:paraId="51D5BB63" w14:textId="588E881F" w:rsidR="005F4B6F" w:rsidRPr="006F171D" w:rsidRDefault="005F4B6F" w:rsidP="005F4B6F">
      <w:pPr>
        <w:spacing w:before="240" w:line="360" w:lineRule="auto"/>
        <w:jc w:val="both"/>
        <w:rPr>
          <w:rFonts w:ascii="Arial" w:hAnsi="Arial" w:cs="Arial"/>
          <w:b/>
          <w:bCs/>
          <w:sz w:val="22"/>
          <w:szCs w:val="22"/>
        </w:rPr>
      </w:pPr>
      <w:r w:rsidRPr="006F171D">
        <w:rPr>
          <w:rFonts w:ascii="Arial" w:hAnsi="Arial" w:cs="Arial"/>
          <w:b/>
          <w:bCs/>
          <w:sz w:val="22"/>
          <w:szCs w:val="22"/>
        </w:rPr>
        <w:t>2.3 Leaves</w:t>
      </w:r>
    </w:p>
    <w:p w14:paraId="0F82A45A" w14:textId="77777777" w:rsidR="005F4B6F" w:rsidRPr="005F4B6F" w:rsidRDefault="005F4B6F" w:rsidP="005F4B6F">
      <w:pPr>
        <w:spacing w:before="240" w:line="360" w:lineRule="auto"/>
        <w:jc w:val="both"/>
        <w:rPr>
          <w:rFonts w:ascii="Arial" w:hAnsi="Arial" w:cs="Arial"/>
          <w:b/>
          <w:bCs/>
        </w:rPr>
      </w:pPr>
      <w:r w:rsidRPr="005F4B6F">
        <w:rPr>
          <w:rFonts w:ascii="Arial" w:hAnsi="Arial" w:cs="Arial"/>
        </w:rPr>
        <w:t xml:space="preserve">The leaves of </w:t>
      </w:r>
      <w:r w:rsidRPr="005F4B6F">
        <w:rPr>
          <w:rFonts w:ascii="Arial" w:hAnsi="Arial" w:cs="Arial"/>
          <w:i/>
          <w:iCs/>
        </w:rPr>
        <w:t>Moringa oleifera</w:t>
      </w:r>
      <w:r w:rsidRPr="005F4B6F">
        <w:rPr>
          <w:rFonts w:ascii="Arial" w:hAnsi="Arial" w:cs="Arial"/>
        </w:rPr>
        <w:t xml:space="preserve"> are alternate and either bipinnate or tripinnate in arrangement, predominantly borne at the distal ends of branches. Leaf length varies between 20 and 70 cm. Juvenile leaves are characterized by a greyish, pubescent surface. Each leaf comprises a long petiole supporting 8–10 pairs of pinnae; each pinna bears two pairs of opposite, elliptic to obovate leaflets along with a terminal leaflet, all measuring approximately 1–2 cm in length. Glandular structures are typically observed at the bases of both the petioles and pinnae (Morton, 1991).</w:t>
      </w:r>
    </w:p>
    <w:p w14:paraId="21E7CCF1" w14:textId="209B0FE2" w:rsidR="005F4B6F" w:rsidRPr="006F171D" w:rsidRDefault="005F4B6F" w:rsidP="005F4B6F">
      <w:pPr>
        <w:spacing w:before="240" w:line="360" w:lineRule="auto"/>
        <w:jc w:val="both"/>
        <w:rPr>
          <w:rFonts w:ascii="Arial" w:hAnsi="Arial" w:cs="Arial"/>
          <w:sz w:val="22"/>
          <w:szCs w:val="22"/>
        </w:rPr>
      </w:pPr>
      <w:r w:rsidRPr="006F171D">
        <w:rPr>
          <w:rFonts w:ascii="Arial" w:hAnsi="Arial" w:cs="Arial"/>
          <w:b/>
          <w:bCs/>
          <w:sz w:val="22"/>
          <w:szCs w:val="22"/>
        </w:rPr>
        <w:t>2.4 Flowers</w:t>
      </w:r>
    </w:p>
    <w:p w14:paraId="54ADEE86" w14:textId="77777777" w:rsidR="005F4B6F" w:rsidRPr="005F4B6F" w:rsidRDefault="005F4B6F" w:rsidP="005F4B6F">
      <w:pPr>
        <w:spacing w:before="240" w:line="360" w:lineRule="auto"/>
        <w:jc w:val="both"/>
        <w:rPr>
          <w:rFonts w:ascii="Arial" w:hAnsi="Arial" w:cs="Arial"/>
        </w:rPr>
      </w:pPr>
      <w:r w:rsidRPr="005F4B6F">
        <w:rPr>
          <w:rFonts w:ascii="Arial" w:hAnsi="Arial" w:cs="Arial"/>
        </w:rPr>
        <w:lastRenderedPageBreak/>
        <w:t>The flowers are mildly fragrant, approximately 2.5 cm in diameter, and are produced abundantly in axillary, pendulous panicles measuring 10–25 cm in length. They are predominantly white or cream with yellow markings near the base. Each flower possesses five reflexed, linear-lanceolate sepals and five slender, spatulate petals. These encircle five functional stamens and five staminodes, with the floral parts reflexed excluding for the lowermost petal (Morton, 1991).</w:t>
      </w:r>
    </w:p>
    <w:p w14:paraId="2FA474A1" w14:textId="7F14150A" w:rsidR="005F4B6F" w:rsidRPr="006F171D" w:rsidRDefault="005F4B6F" w:rsidP="005F4B6F">
      <w:pPr>
        <w:spacing w:before="240" w:line="360" w:lineRule="auto"/>
        <w:jc w:val="both"/>
        <w:rPr>
          <w:rFonts w:ascii="Arial" w:hAnsi="Arial" w:cs="Arial"/>
          <w:b/>
          <w:bCs/>
          <w:sz w:val="22"/>
          <w:szCs w:val="22"/>
        </w:rPr>
      </w:pPr>
      <w:r w:rsidRPr="006F171D">
        <w:rPr>
          <w:rFonts w:ascii="Arial" w:hAnsi="Arial" w:cs="Arial"/>
          <w:b/>
          <w:bCs/>
          <w:sz w:val="22"/>
          <w:szCs w:val="22"/>
        </w:rPr>
        <w:t>2.5 Fruits (Pods)</w:t>
      </w:r>
    </w:p>
    <w:p w14:paraId="531B182F" w14:textId="77777777" w:rsidR="005F4B6F" w:rsidRPr="005F4B6F" w:rsidRDefault="005F4B6F" w:rsidP="005F4B6F">
      <w:pPr>
        <w:spacing w:before="240" w:line="360" w:lineRule="auto"/>
        <w:jc w:val="both"/>
        <w:rPr>
          <w:rFonts w:ascii="Arial" w:hAnsi="Arial" w:cs="Arial"/>
        </w:rPr>
      </w:pPr>
      <w:r w:rsidRPr="005F4B6F">
        <w:rPr>
          <w:rFonts w:ascii="Arial" w:hAnsi="Arial" w:cs="Arial"/>
        </w:rPr>
        <w:t xml:space="preserve">The fruit of </w:t>
      </w:r>
      <w:r w:rsidRPr="005F4B6F">
        <w:rPr>
          <w:rFonts w:ascii="Arial" w:hAnsi="Arial" w:cs="Arial"/>
          <w:i/>
          <w:iCs/>
        </w:rPr>
        <w:t>Moringa oleifera</w:t>
      </w:r>
      <w:r w:rsidRPr="005F4B6F">
        <w:rPr>
          <w:rFonts w:ascii="Arial" w:hAnsi="Arial" w:cs="Arial"/>
        </w:rPr>
        <w:t xml:space="preserve"> is a pendulous, three-angled capsule or pod, typically measuring 20–60 cm in length. Upon reaching maturity and undergoing desiccation, the pod dehisces longitudinally along its sutures into three distinct valves. Each pod generally contains between 12 and 35 seeds.</w:t>
      </w:r>
    </w:p>
    <w:p w14:paraId="517B98CB" w14:textId="4BAB406A" w:rsidR="005F4B6F" w:rsidRPr="006F171D" w:rsidRDefault="005F4B6F" w:rsidP="005F4B6F">
      <w:pPr>
        <w:spacing w:before="240" w:line="360" w:lineRule="auto"/>
        <w:jc w:val="both"/>
        <w:rPr>
          <w:rFonts w:ascii="Arial" w:hAnsi="Arial" w:cs="Arial"/>
          <w:b/>
          <w:bCs/>
          <w:sz w:val="22"/>
          <w:szCs w:val="22"/>
        </w:rPr>
      </w:pPr>
      <w:r w:rsidRPr="006F171D">
        <w:rPr>
          <w:rFonts w:ascii="Arial" w:hAnsi="Arial" w:cs="Arial"/>
          <w:b/>
          <w:bCs/>
          <w:sz w:val="22"/>
          <w:szCs w:val="22"/>
        </w:rPr>
        <w:t>2.6 Young leaves</w:t>
      </w:r>
    </w:p>
    <w:p w14:paraId="17A6E105" w14:textId="5F5E450F" w:rsidR="005F4B6F" w:rsidRPr="005F4B6F" w:rsidRDefault="005F4B6F" w:rsidP="005F4B6F">
      <w:pPr>
        <w:spacing w:before="240" w:line="360" w:lineRule="auto"/>
        <w:jc w:val="both"/>
        <w:rPr>
          <w:rFonts w:ascii="Arial" w:hAnsi="Arial" w:cs="Arial"/>
        </w:rPr>
      </w:pPr>
      <w:r w:rsidRPr="005F4B6F">
        <w:rPr>
          <w:rFonts w:ascii="Arial" w:hAnsi="Arial" w:cs="Arial"/>
        </w:rPr>
        <w:t xml:space="preserve">The young leaves of </w:t>
      </w:r>
      <w:r w:rsidRPr="005F4B6F">
        <w:rPr>
          <w:rFonts w:ascii="Arial" w:hAnsi="Arial" w:cs="Arial"/>
          <w:i/>
          <w:iCs/>
        </w:rPr>
        <w:t>Moringa oleifera</w:t>
      </w:r>
      <w:r w:rsidRPr="005F4B6F">
        <w:rPr>
          <w:rFonts w:ascii="Arial" w:hAnsi="Arial" w:cs="Arial"/>
        </w:rPr>
        <w:t xml:space="preserve"> are edible and are traditionally consumed either cooked, like spinach, or incorporated into soups and salads. In terms of nutrition, they are a great source of provitamin A (β-carotene), vitamins B and C, vital minerals, including iron, and amino acids that include sulfur, such as cystine and methionine (</w:t>
      </w:r>
      <w:proofErr w:type="spellStart"/>
      <w:r w:rsidRPr="005F4B6F">
        <w:rPr>
          <w:rFonts w:ascii="Arial" w:hAnsi="Arial" w:cs="Arial"/>
        </w:rPr>
        <w:t>Foidl</w:t>
      </w:r>
      <w:proofErr w:type="spellEnd"/>
      <w:r w:rsidRPr="005F4B6F">
        <w:rPr>
          <w:rFonts w:ascii="Arial" w:hAnsi="Arial" w:cs="Arial"/>
        </w:rPr>
        <w:t xml:space="preserve"> et al., 2001; </w:t>
      </w:r>
      <w:proofErr w:type="spellStart"/>
      <w:r w:rsidRPr="005F4B6F">
        <w:rPr>
          <w:rFonts w:ascii="Arial" w:hAnsi="Arial" w:cs="Arial"/>
        </w:rPr>
        <w:t>Gidamis</w:t>
      </w:r>
      <w:proofErr w:type="spellEnd"/>
      <w:r w:rsidRPr="005F4B6F">
        <w:rPr>
          <w:rFonts w:ascii="Arial" w:hAnsi="Arial" w:cs="Arial"/>
        </w:rPr>
        <w:t xml:space="preserve"> et al., 2003).</w:t>
      </w:r>
    </w:p>
    <w:p w14:paraId="78134A70" w14:textId="105EC51E" w:rsidR="005F4B6F" w:rsidRPr="006F171D" w:rsidRDefault="005F4B6F" w:rsidP="005F4B6F">
      <w:pPr>
        <w:spacing w:before="240" w:line="360" w:lineRule="auto"/>
        <w:jc w:val="both"/>
        <w:rPr>
          <w:rFonts w:ascii="Arial" w:hAnsi="Arial" w:cs="Arial"/>
          <w:sz w:val="22"/>
          <w:szCs w:val="22"/>
        </w:rPr>
      </w:pPr>
      <w:r w:rsidRPr="006F171D">
        <w:rPr>
          <w:rFonts w:ascii="Arial" w:hAnsi="Arial" w:cs="Arial"/>
          <w:b/>
          <w:bCs/>
          <w:sz w:val="22"/>
          <w:szCs w:val="22"/>
        </w:rPr>
        <w:t>2.7 Seed</w:t>
      </w:r>
      <w:r w:rsidR="004939B9" w:rsidRPr="006F171D">
        <w:rPr>
          <w:rFonts w:ascii="Arial" w:hAnsi="Arial" w:cs="Arial"/>
          <w:b/>
          <w:bCs/>
          <w:sz w:val="22"/>
          <w:szCs w:val="22"/>
        </w:rPr>
        <w:t>s</w:t>
      </w:r>
    </w:p>
    <w:p w14:paraId="171BB1C9" w14:textId="77777777" w:rsidR="005F4B6F" w:rsidRPr="005F4B6F" w:rsidRDefault="005F4B6F" w:rsidP="005F4B6F">
      <w:pPr>
        <w:spacing w:before="240" w:line="360" w:lineRule="auto"/>
        <w:jc w:val="both"/>
        <w:rPr>
          <w:rFonts w:ascii="Arial" w:hAnsi="Arial" w:cs="Arial"/>
        </w:rPr>
      </w:pPr>
      <w:r w:rsidRPr="005F4B6F">
        <w:rPr>
          <w:rFonts w:ascii="Arial" w:hAnsi="Arial" w:cs="Arial"/>
        </w:rPr>
        <w:t xml:space="preserve">The seeds are globular, enclosed in a semi-permeable, brownish seed coat. The seed coat is characterized by three papery, white wings extending longitudinally at 120-degree intervals. An individual </w:t>
      </w:r>
      <w:r w:rsidRPr="005F4B6F">
        <w:rPr>
          <w:rFonts w:ascii="Arial" w:hAnsi="Arial" w:cs="Arial"/>
          <w:i/>
          <w:iCs/>
        </w:rPr>
        <w:t>M. oleifera</w:t>
      </w:r>
      <w:r w:rsidRPr="005F4B6F">
        <w:rPr>
          <w:rFonts w:ascii="Arial" w:hAnsi="Arial" w:cs="Arial"/>
        </w:rPr>
        <w:t xml:space="preserve"> tree is capable of producing between 15,000 and 25,000 seeds annually. The average seed mass is approximately 0.3 g, with a kernel-to-hull ratio of 75:25 (Makkar and Becker, 1997).</w:t>
      </w:r>
    </w:p>
    <w:p w14:paraId="1C8032AE" w14:textId="147ED6E3" w:rsidR="005F4B6F" w:rsidRPr="005F4B6F" w:rsidRDefault="005F4B6F" w:rsidP="005F4B6F">
      <w:pPr>
        <w:spacing w:before="240" w:line="360" w:lineRule="auto"/>
        <w:jc w:val="both"/>
        <w:rPr>
          <w:rFonts w:ascii="Arial" w:hAnsi="Arial" w:cs="Arial"/>
        </w:rPr>
      </w:pPr>
      <w:r w:rsidRPr="005F4B6F">
        <w:rPr>
          <w:rFonts w:ascii="Arial" w:hAnsi="Arial" w:cs="Arial"/>
        </w:rPr>
        <w:t xml:space="preserve">The dried seeds can be crushed into powder and used to season sauces. Young plant roots can also be dried and powdered to make a hot spice foundation with a horseradish-like </w:t>
      </w:r>
      <w:proofErr w:type="spellStart"/>
      <w:r w:rsidRPr="005F4B6F">
        <w:rPr>
          <w:rFonts w:ascii="Arial" w:hAnsi="Arial" w:cs="Arial"/>
        </w:rPr>
        <w:t>flavour</w:t>
      </w:r>
      <w:proofErr w:type="spellEnd"/>
      <w:r w:rsidRPr="005F4B6F">
        <w:rPr>
          <w:rFonts w:ascii="Arial" w:hAnsi="Arial" w:cs="Arial"/>
        </w:rPr>
        <w:t>. For this reason, the Moringa tree is known as the "Horseradish Tree" (</w:t>
      </w:r>
      <w:proofErr w:type="spellStart"/>
      <w:r w:rsidRPr="005F4B6F">
        <w:rPr>
          <w:rFonts w:ascii="Arial" w:hAnsi="Arial" w:cs="Arial"/>
        </w:rPr>
        <w:t>Delaveau</w:t>
      </w:r>
      <w:proofErr w:type="spellEnd"/>
      <w:r w:rsidRPr="005F4B6F">
        <w:rPr>
          <w:rFonts w:ascii="Arial" w:hAnsi="Arial" w:cs="Arial"/>
        </w:rPr>
        <w:t xml:space="preserve"> and Boiteau et al.,1980).  Cooking the roots in vinegar also yields a wonderful hot sauce. The blossoms can be eaten raw or lightly blanched as a wonderful salad ingredient. Resin from the tree's trunk can also be used to thicken sauces. Moringa (</w:t>
      </w:r>
      <w:r w:rsidRPr="005F4B6F">
        <w:rPr>
          <w:rFonts w:ascii="Arial" w:hAnsi="Arial" w:cs="Arial"/>
          <w:i/>
          <w:iCs/>
        </w:rPr>
        <w:t xml:space="preserve">Moringa oleifera Lam. </w:t>
      </w:r>
      <w:proofErr w:type="spellStart"/>
      <w:r w:rsidRPr="005F4B6F">
        <w:rPr>
          <w:rFonts w:ascii="Arial" w:hAnsi="Arial" w:cs="Arial"/>
          <w:i/>
          <w:iCs/>
        </w:rPr>
        <w:t>moringaceae</w:t>
      </w:r>
      <w:proofErr w:type="spellEnd"/>
      <w:r w:rsidRPr="005F4B6F">
        <w:rPr>
          <w:rFonts w:ascii="Arial" w:hAnsi="Arial" w:cs="Arial"/>
        </w:rPr>
        <w:t xml:space="preserve">) is an extremely valued plant that is predominantly farmed in the tropics and semitropics. Its applications include food, medicine, and industry. The nutritional value of Moringa leaves was determined using the Proximate and Van Soest techniques. The dried leaves exhibited a crude protein content of 30.3% and 19 amino acids. The dried leaves had the following mineral contents: sodium (0.164%), calcium (3.65%), magnesium (0.5%), </w:t>
      </w:r>
      <w:proofErr w:type="spellStart"/>
      <w:r w:rsidRPr="005F4B6F">
        <w:rPr>
          <w:rFonts w:ascii="Arial" w:hAnsi="Arial" w:cs="Arial"/>
        </w:rPr>
        <w:t>phoshorus</w:t>
      </w:r>
      <w:proofErr w:type="spellEnd"/>
      <w:r w:rsidRPr="005F4B6F">
        <w:rPr>
          <w:rFonts w:ascii="Arial" w:hAnsi="Arial" w:cs="Arial"/>
        </w:rPr>
        <w:t xml:space="preserve"> (0.3%), potassium (1.5%), zinc (13.03 mg/kg), </w:t>
      </w:r>
      <w:proofErr w:type="spellStart"/>
      <w:r w:rsidRPr="005F4B6F">
        <w:rPr>
          <w:rFonts w:ascii="Arial" w:hAnsi="Arial" w:cs="Arial"/>
        </w:rPr>
        <w:t>sulphur</w:t>
      </w:r>
      <w:proofErr w:type="spellEnd"/>
      <w:r w:rsidRPr="005F4B6F">
        <w:rPr>
          <w:rFonts w:ascii="Arial" w:hAnsi="Arial" w:cs="Arial"/>
        </w:rPr>
        <w:t xml:space="preserve"> (0.63%), iron (490 mg/kg), copper (8.25%), manganese (86.8 mg/kg) and selenium (363 mg/kg). 17 fatty acids were observed with α-Linolenic acid (44.57%) having the highest value followed by capric acid (0.07%), </w:t>
      </w:r>
      <w:proofErr w:type="spellStart"/>
      <w:r w:rsidRPr="005F4B6F">
        <w:rPr>
          <w:rFonts w:ascii="Arial" w:hAnsi="Arial" w:cs="Arial"/>
        </w:rPr>
        <w:t>palmiteic</w:t>
      </w:r>
      <w:proofErr w:type="spellEnd"/>
      <w:r w:rsidRPr="005F4B6F">
        <w:rPr>
          <w:rFonts w:ascii="Arial" w:hAnsi="Arial" w:cs="Arial"/>
        </w:rPr>
        <w:t xml:space="preserve"> (0.17%), </w:t>
      </w:r>
      <w:proofErr w:type="spellStart"/>
      <w:r w:rsidRPr="005F4B6F">
        <w:rPr>
          <w:rFonts w:ascii="Arial" w:hAnsi="Arial" w:cs="Arial"/>
        </w:rPr>
        <w:t>heneicosanoic</w:t>
      </w:r>
      <w:proofErr w:type="spellEnd"/>
      <w:r w:rsidRPr="005F4B6F">
        <w:rPr>
          <w:rFonts w:ascii="Arial" w:hAnsi="Arial" w:cs="Arial"/>
        </w:rPr>
        <w:t xml:space="preserve"> (14.41%), g-linolenic (0.20%) and Vitamin E had the highest concentration of 77 mg/100 g than beta-carotene, which had 18.5 mg/100 g in the dried leaves. The fiber content was acid detergent fiber (ADF) (8.49%), neutral detergent fiber (NDF) (11.4%), acid detergent lignin (ADL) (1.8%) and acid detergent cellulose (ADC) (4.01%). The condensed tannins had a value of 3.2%, while total polyphenols were 2.02%. The values of fatty acids, minerals, amino acids and vitamin profiles reflect a desirable nutritional balance (Moyo et al., 2011; Hugo and Moyo </w:t>
      </w:r>
      <w:r w:rsidRPr="005F4B6F">
        <w:rPr>
          <w:rFonts w:ascii="Arial" w:hAnsi="Arial" w:cs="Arial"/>
          <w:i/>
          <w:iCs/>
        </w:rPr>
        <w:t>et al.,</w:t>
      </w:r>
      <w:r w:rsidRPr="005F4B6F">
        <w:rPr>
          <w:rFonts w:ascii="Arial" w:hAnsi="Arial" w:cs="Arial"/>
        </w:rPr>
        <w:t xml:space="preserve"> 2013; Abd El-Hack et al., 2022).</w:t>
      </w:r>
    </w:p>
    <w:p w14:paraId="6339E472" w14:textId="77777777" w:rsidR="00790ADA" w:rsidRPr="005F4B6F" w:rsidRDefault="00790ADA" w:rsidP="00441B6F">
      <w:pPr>
        <w:pStyle w:val="Body"/>
        <w:spacing w:after="0"/>
        <w:rPr>
          <w:rFonts w:ascii="Arial" w:hAnsi="Arial" w:cs="Arial"/>
        </w:rPr>
      </w:pPr>
    </w:p>
    <w:p w14:paraId="3EFDCA26" w14:textId="6A7495CC" w:rsidR="00902823" w:rsidRPr="005F4B6F" w:rsidRDefault="00000F8F" w:rsidP="00441B6F">
      <w:pPr>
        <w:pStyle w:val="Head1"/>
        <w:spacing w:after="0"/>
        <w:jc w:val="both"/>
        <w:rPr>
          <w:rFonts w:ascii="Arial" w:hAnsi="Arial" w:cs="Arial"/>
          <w:sz w:val="20"/>
        </w:rPr>
      </w:pPr>
      <w:r w:rsidRPr="005F4B6F">
        <w:rPr>
          <w:rFonts w:ascii="Arial" w:hAnsi="Arial" w:cs="Arial"/>
          <w:sz w:val="20"/>
        </w:rPr>
        <w:lastRenderedPageBreak/>
        <w:t>3</w:t>
      </w:r>
      <w:r w:rsidR="00902823" w:rsidRPr="005F4B6F">
        <w:rPr>
          <w:rFonts w:ascii="Arial" w:hAnsi="Arial" w:cs="Arial"/>
          <w:sz w:val="20"/>
        </w:rPr>
        <w:t xml:space="preserve">. </w:t>
      </w:r>
      <w:r w:rsidR="005F4B6F" w:rsidRPr="005F4B6F">
        <w:rPr>
          <w:rFonts w:ascii="Arial" w:hAnsi="Arial" w:cs="Arial"/>
          <w:bCs/>
          <w:sz w:val="20"/>
        </w:rPr>
        <w:t>Health benefits of Moringa</w:t>
      </w:r>
    </w:p>
    <w:p w14:paraId="470DF0F2" w14:textId="77777777" w:rsidR="005F4B6F" w:rsidRPr="005F4B6F" w:rsidRDefault="005F4B6F" w:rsidP="005F4B6F">
      <w:pPr>
        <w:spacing w:before="240" w:line="360" w:lineRule="auto"/>
        <w:jc w:val="both"/>
        <w:rPr>
          <w:rFonts w:ascii="Arial" w:hAnsi="Arial" w:cs="Arial"/>
        </w:rPr>
      </w:pPr>
      <w:r w:rsidRPr="005F4B6F">
        <w:rPr>
          <w:rFonts w:ascii="Arial" w:hAnsi="Arial" w:cs="Arial"/>
          <w:i/>
          <w:iCs/>
        </w:rPr>
        <w:t>Moringa oleifera Lam (</w:t>
      </w:r>
      <w:proofErr w:type="spellStart"/>
      <w:r w:rsidRPr="005F4B6F">
        <w:rPr>
          <w:rFonts w:ascii="Arial" w:hAnsi="Arial" w:cs="Arial"/>
          <w:i/>
          <w:iCs/>
        </w:rPr>
        <w:t>Moringaceae</w:t>
      </w:r>
      <w:proofErr w:type="spellEnd"/>
      <w:r w:rsidRPr="005F4B6F">
        <w:rPr>
          <w:rFonts w:ascii="Arial" w:hAnsi="Arial" w:cs="Arial"/>
          <w:i/>
          <w:iCs/>
        </w:rPr>
        <w:t>)</w:t>
      </w:r>
      <w:r w:rsidRPr="005F4B6F">
        <w:rPr>
          <w:rFonts w:ascii="Arial" w:hAnsi="Arial" w:cs="Arial"/>
        </w:rPr>
        <w:t xml:space="preserve"> is a precious plant found in many tropical and subtropical areas. It has a wide range of medical applications and a high nutritional value. β-carotene, protein, phenolics, amino acids, and vitamins are among the essential nutrients in this plant's various parts.  Kaempferol, quercetin, caffeoylquinic acid, β-sitosterol, and zeatin are all in a special combination in Moringa plants.  </w:t>
      </w:r>
      <w:r w:rsidRPr="005F4B6F">
        <w:rPr>
          <w:rFonts w:ascii="Arial" w:hAnsi="Arial" w:cs="Arial"/>
          <w:i/>
          <w:iCs/>
        </w:rPr>
        <w:t>M. oleifera</w:t>
      </w:r>
      <w:r w:rsidRPr="005F4B6F">
        <w:rPr>
          <w:rFonts w:ascii="Arial" w:hAnsi="Arial" w:cs="Arial"/>
        </w:rPr>
        <w:t xml:space="preserve"> is significant for its therapeutic significance in addition to its potent water purifying properties and high nutritional content.  Many parts of this plant, including the leaves, roots, seeds, bark, fruit, flowers, and immature pods, have antitumor, antipyretic, antiepileptic, anti-inflammatory, antiulcer, antispasmodic, diuretic, antihypertensive, cholesterol-lowering, antioxidant, hepatoprotective, antidiabetic, antibacterial, and antifungal properties. They are also used to treat various illnesses in traditional medicine, especially in South Asia (Anwar </w:t>
      </w:r>
      <w:r w:rsidRPr="005F4B6F">
        <w:rPr>
          <w:rFonts w:ascii="Arial" w:hAnsi="Arial" w:cs="Arial"/>
          <w:i/>
          <w:iCs/>
        </w:rPr>
        <w:t>et al.,</w:t>
      </w:r>
      <w:r w:rsidRPr="005F4B6F">
        <w:rPr>
          <w:rFonts w:ascii="Arial" w:hAnsi="Arial" w:cs="Arial"/>
        </w:rPr>
        <w:t xml:space="preserve">2006; Moyo et al., 2011).      </w:t>
      </w:r>
    </w:p>
    <w:p w14:paraId="7CE14AC1" w14:textId="77777777" w:rsidR="005F4B6F" w:rsidRPr="005F4B6F" w:rsidRDefault="005F4B6F" w:rsidP="005F4B6F">
      <w:pPr>
        <w:spacing w:before="240" w:line="360" w:lineRule="auto"/>
        <w:jc w:val="both"/>
        <w:rPr>
          <w:rFonts w:ascii="Arial" w:hAnsi="Arial" w:cs="Arial"/>
        </w:rPr>
      </w:pPr>
      <w:r w:rsidRPr="005F4B6F">
        <w:rPr>
          <w:rFonts w:ascii="Arial" w:hAnsi="Arial" w:cs="Arial"/>
        </w:rPr>
        <w:t xml:space="preserve">Medicinal plants are a valuable source of possible diabetic therapies. In this work, we look into how </w:t>
      </w:r>
      <w:r w:rsidRPr="005F4B6F">
        <w:rPr>
          <w:rFonts w:ascii="Arial" w:hAnsi="Arial" w:cs="Arial"/>
          <w:i/>
          <w:iCs/>
        </w:rPr>
        <w:t>M. oleifera</w:t>
      </w:r>
      <w:r w:rsidRPr="005F4B6F">
        <w:rPr>
          <w:rFonts w:ascii="Arial" w:hAnsi="Arial" w:cs="Arial"/>
        </w:rPr>
        <w:t xml:space="preserve"> (MO) leaves affect albino rats' blood sugar levels. In rats, hyperglycemia was induced using alloxan (120 mg/kg body weight, intraperitoneally). Rats with normoglycemia and hyperglycemia were given three different doses of aqueous extracts, as well as tolbutamide (positive control) and normal saline (negative control). The glucose level in the withdrew blood samples was measured using the </w:t>
      </w:r>
      <w:r w:rsidRPr="004E443E">
        <w:rPr>
          <w:rFonts w:ascii="Arial" w:hAnsi="Arial" w:cs="Arial"/>
        </w:rPr>
        <w:t>0-toluidine spectrophotometric technique.</w:t>
      </w:r>
      <w:r w:rsidRPr="005F4B6F">
        <w:rPr>
          <w:rFonts w:ascii="Arial" w:hAnsi="Arial" w:cs="Arial"/>
        </w:rPr>
        <w:t xml:space="preserve"> The chemical components of the plant's aqueous extract were classified. Proteins, fixed oils, lipids, and carbs were discovered to be present. The aqueous extract reduced blood sugar levels in both normoglycemic and </w:t>
      </w:r>
      <w:proofErr w:type="spellStart"/>
      <w:r w:rsidRPr="005F4B6F">
        <w:rPr>
          <w:rFonts w:ascii="Arial" w:hAnsi="Arial" w:cs="Arial"/>
        </w:rPr>
        <w:t>hyperglycaemic</w:t>
      </w:r>
      <w:proofErr w:type="spellEnd"/>
      <w:r w:rsidRPr="005F4B6F">
        <w:rPr>
          <w:rFonts w:ascii="Arial" w:hAnsi="Arial" w:cs="Arial"/>
        </w:rPr>
        <w:t xml:space="preserve"> rats in a dose-dependent manner (P &lt; 0.05).  In normoglycemic rats, the aqueous extract of MO (100,200, and 300 mg/kg) reduced blood glucose levels by 23.14, 27.05, and 33.18%, respectively, within 6 hours of administration. Tolbutamide (200 mg/kg) demonstrated a reduction of 33.29% (P&lt;0.05). In alloxan-induced diabetic rats, the aqueous extract (100, 200, and 300 mg/kg) reduced blood glucose concentrations by 33.29%, 40.69%, and 44.06%, respectively, within 6 hours of administration, whereas tolbutamide (200 mg/kg) reduced them by 46.75%. The research revealed that the aqueous extract of Moringa oleifera leaves has a considerable, dose-dependent hypoglycemic efficacy in </w:t>
      </w:r>
      <w:proofErr w:type="spellStart"/>
      <w:r w:rsidRPr="005F4B6F">
        <w:rPr>
          <w:rFonts w:ascii="Arial" w:hAnsi="Arial" w:cs="Arial"/>
        </w:rPr>
        <w:t>normoglvcemic</w:t>
      </w:r>
      <w:proofErr w:type="spellEnd"/>
      <w:r w:rsidRPr="005F4B6F">
        <w:rPr>
          <w:rFonts w:ascii="Arial" w:hAnsi="Arial" w:cs="Arial"/>
        </w:rPr>
        <w:t xml:space="preserve"> and alloxan-induced diabetic rats, and is nearly as effective as the standard medicine (</w:t>
      </w:r>
      <w:proofErr w:type="spellStart"/>
      <w:r w:rsidRPr="005F4B6F">
        <w:rPr>
          <w:rFonts w:ascii="Arial" w:hAnsi="Arial" w:cs="Arial"/>
        </w:rPr>
        <w:t>tolbutamid</w:t>
      </w:r>
      <w:proofErr w:type="spellEnd"/>
      <w:r w:rsidRPr="005F4B6F">
        <w:rPr>
          <w:rFonts w:ascii="Arial" w:hAnsi="Arial" w:cs="Arial"/>
        </w:rPr>
        <w:t>) (Njoku, 2013).</w:t>
      </w:r>
    </w:p>
    <w:p w14:paraId="69FDBBF5" w14:textId="77777777" w:rsidR="005F4B6F" w:rsidRPr="005F4B6F" w:rsidRDefault="005F4B6F" w:rsidP="005F4B6F">
      <w:pPr>
        <w:spacing w:before="240" w:line="360" w:lineRule="auto"/>
        <w:jc w:val="both"/>
        <w:rPr>
          <w:rFonts w:ascii="Arial" w:hAnsi="Arial" w:cs="Arial"/>
        </w:rPr>
      </w:pPr>
      <w:r w:rsidRPr="005F4B6F">
        <w:rPr>
          <w:rFonts w:ascii="Arial" w:hAnsi="Arial" w:cs="Arial"/>
        </w:rPr>
        <w:t>Comparative analyses have shown that moringa provides significantly higher concentrations of key nutrients than conventional sources for example, ten times more vitamin A than carrots, seven times more vitamin C than oranges, nine times more protein than yogurt, twenty-five times more iron than spinach, seventeen times more calcium than milk and fifteen times more potassium than bananas (Gopalkrishnan et al., 2016). These impressive nutritional metrics support its designation in popular media as the "Miracle Tree," "Tree of Life," or "</w:t>
      </w:r>
      <w:proofErr w:type="spellStart"/>
      <w:r w:rsidRPr="005F4B6F">
        <w:rPr>
          <w:rFonts w:ascii="Arial" w:hAnsi="Arial" w:cs="Arial"/>
        </w:rPr>
        <w:t>Saviour</w:t>
      </w:r>
      <w:proofErr w:type="spellEnd"/>
      <w:r w:rsidRPr="005F4B6F">
        <w:rPr>
          <w:rFonts w:ascii="Arial" w:hAnsi="Arial" w:cs="Arial"/>
        </w:rPr>
        <w:t xml:space="preserve"> of the Poor." In many tropical cultures, the boundary between food and medicine is blurred, with various parts of plants, including bark, leaves, fruits, seeds, and roots, being used for both purposes, reflecting long-standing ethnobotanical traditions (Fahey et al., 2005). In African communities, </w:t>
      </w:r>
      <w:r w:rsidRPr="005F4B6F">
        <w:rPr>
          <w:rFonts w:ascii="Arial" w:hAnsi="Arial" w:cs="Arial"/>
          <w:i/>
          <w:iCs/>
        </w:rPr>
        <w:t>M. oleifera</w:t>
      </w:r>
      <w:r w:rsidRPr="005F4B6F">
        <w:rPr>
          <w:rFonts w:ascii="Arial" w:hAnsi="Arial" w:cs="Arial"/>
        </w:rPr>
        <w:t xml:space="preserve"> is commonly used in self-medication, particularly by individuals affected by chronic conditions such as hypertension, diabetes and HIV/AIDS (Dieye et al., 2008; </w:t>
      </w:r>
      <w:proofErr w:type="spellStart"/>
      <w:r w:rsidRPr="005F4B6F">
        <w:rPr>
          <w:rFonts w:ascii="Arial" w:hAnsi="Arial" w:cs="Arial"/>
        </w:rPr>
        <w:t>Kasolo</w:t>
      </w:r>
      <w:proofErr w:type="spellEnd"/>
      <w:r w:rsidRPr="005F4B6F">
        <w:rPr>
          <w:rFonts w:ascii="Arial" w:hAnsi="Arial" w:cs="Arial"/>
        </w:rPr>
        <w:t xml:space="preserve"> et al., 2010; Monera &amp; Maponga, 2010).</w:t>
      </w:r>
    </w:p>
    <w:p w14:paraId="46208AEF" w14:textId="77777777" w:rsidR="005F4B6F" w:rsidRPr="005F4B6F" w:rsidRDefault="005F4B6F" w:rsidP="005F4B6F">
      <w:pPr>
        <w:spacing w:before="240" w:line="360" w:lineRule="auto"/>
        <w:jc w:val="both"/>
        <w:rPr>
          <w:rFonts w:ascii="Arial" w:hAnsi="Arial" w:cs="Arial"/>
        </w:rPr>
      </w:pPr>
      <w:r w:rsidRPr="005F4B6F">
        <w:rPr>
          <w:rFonts w:ascii="Arial" w:hAnsi="Arial" w:cs="Arial"/>
        </w:rPr>
        <w:t xml:space="preserve">Phytochemical investigations have demonstrated that the seeds of </w:t>
      </w:r>
      <w:r w:rsidRPr="005F4B6F">
        <w:rPr>
          <w:rFonts w:ascii="Arial" w:hAnsi="Arial" w:cs="Arial"/>
          <w:i/>
          <w:iCs/>
        </w:rPr>
        <w:t>M. oleifera</w:t>
      </w:r>
      <w:r w:rsidRPr="005F4B6F">
        <w:rPr>
          <w:rFonts w:ascii="Arial" w:hAnsi="Arial" w:cs="Arial"/>
        </w:rPr>
        <w:t xml:space="preserve"> possess antimicrobial and antipyretic properties and are used in various preparations, including consumption as fresh peas or processing into high-quality edible oil known as Ben oil (Oliveira et al., 1999; The Wealth of India, 1962). A notable characteristic of </w:t>
      </w:r>
      <w:r w:rsidRPr="005F4B6F">
        <w:rPr>
          <w:rFonts w:ascii="Arial" w:hAnsi="Arial" w:cs="Arial"/>
          <w:i/>
          <w:iCs/>
        </w:rPr>
        <w:t>M. oleifera</w:t>
      </w:r>
      <w:r w:rsidRPr="005F4B6F">
        <w:rPr>
          <w:rFonts w:ascii="Arial" w:hAnsi="Arial" w:cs="Arial"/>
        </w:rPr>
        <w:t xml:space="preserve"> seeds is their utility in water purification, attributed to the presence of polypeptides that act as natural coagulants (</w:t>
      </w:r>
      <w:proofErr w:type="spellStart"/>
      <w:r w:rsidRPr="005F4B6F">
        <w:rPr>
          <w:rFonts w:ascii="Arial" w:hAnsi="Arial" w:cs="Arial"/>
        </w:rPr>
        <w:t>Ndabigengesere</w:t>
      </w:r>
      <w:proofErr w:type="spellEnd"/>
      <w:r w:rsidRPr="005F4B6F">
        <w:rPr>
          <w:rFonts w:ascii="Arial" w:hAnsi="Arial" w:cs="Arial"/>
        </w:rPr>
        <w:t xml:space="preserve"> &amp; </w:t>
      </w:r>
      <w:proofErr w:type="spellStart"/>
      <w:r w:rsidRPr="005F4B6F">
        <w:rPr>
          <w:rFonts w:ascii="Arial" w:hAnsi="Arial" w:cs="Arial"/>
        </w:rPr>
        <w:t>Narasiah</w:t>
      </w:r>
      <w:proofErr w:type="spellEnd"/>
      <w:r w:rsidRPr="005F4B6F">
        <w:rPr>
          <w:rFonts w:ascii="Arial" w:hAnsi="Arial" w:cs="Arial"/>
        </w:rPr>
        <w:t>, 1998).</w:t>
      </w:r>
    </w:p>
    <w:p w14:paraId="697EC000" w14:textId="77777777" w:rsidR="005F4B6F" w:rsidRPr="005F4B6F" w:rsidRDefault="005F4B6F" w:rsidP="006F171D">
      <w:pPr>
        <w:spacing w:before="240" w:after="240" w:line="360" w:lineRule="auto"/>
        <w:jc w:val="both"/>
        <w:rPr>
          <w:rFonts w:ascii="Arial" w:hAnsi="Arial" w:cs="Arial"/>
        </w:rPr>
      </w:pPr>
      <w:r w:rsidRPr="005F4B6F">
        <w:rPr>
          <w:rFonts w:ascii="Arial" w:hAnsi="Arial" w:cs="Arial"/>
        </w:rPr>
        <w:lastRenderedPageBreak/>
        <w:t xml:space="preserve">Phytochemically, </w:t>
      </w:r>
      <w:r w:rsidRPr="005F4B6F">
        <w:rPr>
          <w:rFonts w:ascii="Arial" w:hAnsi="Arial" w:cs="Arial"/>
          <w:i/>
          <w:iCs/>
        </w:rPr>
        <w:t>Moringa oleifera</w:t>
      </w:r>
      <w:r w:rsidRPr="005F4B6F">
        <w:rPr>
          <w:rFonts w:ascii="Arial" w:hAnsi="Arial" w:cs="Arial"/>
        </w:rPr>
        <w:t xml:space="preserve"> is a valuable reservoir of bioactive secondary metabolites, notably glucosinolates, isothiocyanates, and rhamnose-containing compounds, which contribute significantly to its pharmacological properties (Fahey et al., 2001; Bennett et al., 2003). The stem bark of </w:t>
      </w:r>
      <w:r w:rsidRPr="005F4B6F">
        <w:rPr>
          <w:rFonts w:ascii="Arial" w:hAnsi="Arial" w:cs="Arial"/>
          <w:i/>
          <w:iCs/>
        </w:rPr>
        <w:t>M. oleifera</w:t>
      </w:r>
      <w:r w:rsidRPr="005F4B6F">
        <w:rPr>
          <w:rFonts w:ascii="Arial" w:hAnsi="Arial" w:cs="Arial"/>
        </w:rPr>
        <w:t xml:space="preserve"> has been reported to contain alkaloids such as </w:t>
      </w:r>
      <w:proofErr w:type="spellStart"/>
      <w:r w:rsidRPr="005F4B6F">
        <w:rPr>
          <w:rFonts w:ascii="Arial" w:hAnsi="Arial" w:cs="Arial"/>
        </w:rPr>
        <w:t>moringine</w:t>
      </w:r>
      <w:proofErr w:type="spellEnd"/>
      <w:r w:rsidRPr="005F4B6F">
        <w:rPr>
          <w:rFonts w:ascii="Arial" w:hAnsi="Arial" w:cs="Arial"/>
        </w:rPr>
        <w:t xml:space="preserve"> and </w:t>
      </w:r>
      <w:proofErr w:type="spellStart"/>
      <w:r w:rsidRPr="005F4B6F">
        <w:rPr>
          <w:rFonts w:ascii="Arial" w:hAnsi="Arial" w:cs="Arial"/>
        </w:rPr>
        <w:t>moringinine</w:t>
      </w:r>
      <w:proofErr w:type="spellEnd"/>
      <w:r w:rsidRPr="005F4B6F">
        <w:rPr>
          <w:rFonts w:ascii="Arial" w:hAnsi="Arial" w:cs="Arial"/>
        </w:rPr>
        <w:t xml:space="preserve"> (</w:t>
      </w:r>
      <w:proofErr w:type="spellStart"/>
      <w:r w:rsidRPr="005F4B6F">
        <w:rPr>
          <w:rFonts w:ascii="Arial" w:hAnsi="Arial" w:cs="Arial"/>
        </w:rPr>
        <w:t>Kerharo</w:t>
      </w:r>
      <w:proofErr w:type="spellEnd"/>
      <w:r w:rsidRPr="005F4B6F">
        <w:rPr>
          <w:rFonts w:ascii="Arial" w:hAnsi="Arial" w:cs="Arial"/>
        </w:rPr>
        <w:t>, 1969). In addition, other bioactive constituents, including β-</w:t>
      </w:r>
      <w:proofErr w:type="spellStart"/>
      <w:r w:rsidRPr="005F4B6F">
        <w:rPr>
          <w:rFonts w:ascii="Arial" w:hAnsi="Arial" w:cs="Arial"/>
        </w:rPr>
        <w:t>sitostenone</w:t>
      </w:r>
      <w:proofErr w:type="spellEnd"/>
      <w:r w:rsidRPr="005F4B6F">
        <w:rPr>
          <w:rFonts w:ascii="Arial" w:hAnsi="Arial" w:cs="Arial"/>
        </w:rPr>
        <w:t xml:space="preserve">, 4-hydroxymellin, vanillin, β-sitosterol and </w:t>
      </w:r>
      <w:proofErr w:type="spellStart"/>
      <w:r w:rsidRPr="005F4B6F">
        <w:rPr>
          <w:rFonts w:ascii="Arial" w:hAnsi="Arial" w:cs="Arial"/>
        </w:rPr>
        <w:t>octacosanoic</w:t>
      </w:r>
      <w:proofErr w:type="spellEnd"/>
      <w:r w:rsidRPr="005F4B6F">
        <w:rPr>
          <w:rFonts w:ascii="Arial" w:hAnsi="Arial" w:cs="Arial"/>
        </w:rPr>
        <w:t xml:space="preserve"> acid have been isolated from its stem (Bhattacharya et al., 2018). Furthermore, purified gum exudates from the plant contain a diverse array of monosaccharides, including glucuronic acid, L-arabinose, xylose, rhamnose, galactose and mannose. Upon mild acid hydrolysis, these exudates yield polysaccharides primarily composed of L-mannose, L-galactose and glucuronic acid (Ravindra et al., 2019), indicating potential for functional food and pharmaceutical applications.</w:t>
      </w:r>
    </w:p>
    <w:p w14:paraId="748831E9" w14:textId="6503D16A" w:rsidR="005F4B6F" w:rsidRPr="006F171D" w:rsidRDefault="005F4B6F" w:rsidP="006F171D">
      <w:pPr>
        <w:pStyle w:val="Head1"/>
        <w:jc w:val="both"/>
        <w:rPr>
          <w:rFonts w:ascii="Arial" w:hAnsi="Arial" w:cs="Arial"/>
          <w:bCs/>
          <w:i/>
          <w:iCs/>
          <w:color w:val="000000"/>
          <w:sz w:val="20"/>
          <w:lang w:eastAsia="en-IN"/>
        </w:rPr>
      </w:pPr>
      <w:r w:rsidRPr="005F4B6F">
        <w:rPr>
          <w:rFonts w:ascii="Arial" w:hAnsi="Arial" w:cs="Arial"/>
          <w:sz w:val="20"/>
        </w:rPr>
        <w:t xml:space="preserve">4. </w:t>
      </w:r>
      <w:r w:rsidRPr="005F4B6F">
        <w:rPr>
          <w:rFonts w:ascii="Arial" w:hAnsi="Arial" w:cs="Arial"/>
          <w:bCs/>
          <w:color w:val="000000"/>
          <w:sz w:val="20"/>
          <w:lang w:eastAsia="en-IN"/>
        </w:rPr>
        <w:t xml:space="preserve">Medicinal uses of </w:t>
      </w:r>
      <w:r w:rsidRPr="005F4B6F">
        <w:rPr>
          <w:rFonts w:ascii="Arial" w:hAnsi="Arial" w:cs="Arial"/>
          <w:bCs/>
          <w:i/>
          <w:iCs/>
          <w:color w:val="000000"/>
          <w:sz w:val="20"/>
          <w:lang w:eastAsia="en-IN"/>
        </w:rPr>
        <w:t>Moringa oleifera</w:t>
      </w:r>
    </w:p>
    <w:p w14:paraId="147206EF" w14:textId="77777777" w:rsidR="005F4B6F" w:rsidRPr="005F4B6F" w:rsidRDefault="005F4B6F" w:rsidP="005F4B6F">
      <w:pPr>
        <w:spacing w:before="240" w:line="360" w:lineRule="auto"/>
        <w:jc w:val="both"/>
        <w:rPr>
          <w:rFonts w:ascii="Arial" w:hAnsi="Arial" w:cs="Arial"/>
          <w:color w:val="222222"/>
        </w:rPr>
      </w:pPr>
      <w:r w:rsidRPr="005F4B6F">
        <w:rPr>
          <w:rFonts w:ascii="Arial" w:hAnsi="Arial" w:cs="Arial"/>
          <w:color w:val="222222"/>
        </w:rPr>
        <w:t xml:space="preserve">Recent pharmacological investigations have demonstrated that various extracts of </w:t>
      </w:r>
      <w:r w:rsidRPr="005F4B6F">
        <w:rPr>
          <w:rFonts w:ascii="Arial" w:hAnsi="Arial" w:cs="Arial"/>
          <w:i/>
          <w:iCs/>
          <w:color w:val="222222"/>
        </w:rPr>
        <w:t>Moringa oleifera</w:t>
      </w:r>
      <w:r w:rsidRPr="005F4B6F">
        <w:rPr>
          <w:rFonts w:ascii="Arial" w:hAnsi="Arial" w:cs="Arial"/>
          <w:color w:val="222222"/>
        </w:rPr>
        <w:t xml:space="preserve"> exhibit a broad spectrum of bioactive properties, including anti-inflammatory, antimicrobial, antioxidant, antifungal, wound-healing, anticancer and fertility-enhancing activities, among others. The leaves of </w:t>
      </w:r>
      <w:r w:rsidRPr="005F4B6F">
        <w:rPr>
          <w:rFonts w:ascii="Arial" w:hAnsi="Arial" w:cs="Arial"/>
          <w:i/>
          <w:iCs/>
          <w:color w:val="222222"/>
        </w:rPr>
        <w:t>M. oleifera</w:t>
      </w:r>
      <w:r w:rsidRPr="005F4B6F">
        <w:rPr>
          <w:rFonts w:ascii="Arial" w:hAnsi="Arial" w:cs="Arial"/>
          <w:color w:val="222222"/>
        </w:rPr>
        <w:t xml:space="preserve"> are chiefly famous for their high nutritional value and diverse pharmacological potential.</w:t>
      </w:r>
    </w:p>
    <w:p w14:paraId="7580B478" w14:textId="01251980" w:rsidR="005F4B6F" w:rsidRPr="005F4B6F" w:rsidRDefault="004939B9" w:rsidP="005F4B6F">
      <w:pPr>
        <w:spacing w:before="240" w:line="360" w:lineRule="auto"/>
        <w:jc w:val="both"/>
        <w:rPr>
          <w:rFonts w:ascii="Arial" w:hAnsi="Arial" w:cs="Arial"/>
          <w:b/>
          <w:bCs/>
          <w:color w:val="000000"/>
          <w:lang w:eastAsia="en-IN"/>
        </w:rPr>
      </w:pPr>
      <w:r w:rsidRPr="004939B9">
        <w:rPr>
          <w:rFonts w:ascii="Arial" w:hAnsi="Arial" w:cs="Arial"/>
          <w:b/>
          <w:bCs/>
          <w:color w:val="000000"/>
          <w:sz w:val="22"/>
          <w:szCs w:val="22"/>
        </w:rPr>
        <w:t xml:space="preserve">4.1 </w:t>
      </w:r>
      <w:r w:rsidR="005F4B6F" w:rsidRPr="004939B9">
        <w:rPr>
          <w:rFonts w:ascii="Arial" w:hAnsi="Arial" w:cs="Arial"/>
          <w:b/>
          <w:bCs/>
          <w:color w:val="000000"/>
          <w:sz w:val="22"/>
          <w:szCs w:val="22"/>
        </w:rPr>
        <w:t>Antimicrobial and Antifungal Activity</w:t>
      </w:r>
    </w:p>
    <w:p w14:paraId="659861E4" w14:textId="77777777" w:rsidR="005F4B6F" w:rsidRPr="005F4B6F" w:rsidRDefault="005F4B6F" w:rsidP="005F4B6F">
      <w:pPr>
        <w:spacing w:before="240" w:line="360" w:lineRule="auto"/>
        <w:jc w:val="both"/>
        <w:rPr>
          <w:rFonts w:ascii="Arial" w:hAnsi="Arial" w:cs="Arial"/>
        </w:rPr>
      </w:pPr>
      <w:r w:rsidRPr="005F4B6F">
        <w:rPr>
          <w:rFonts w:ascii="Arial" w:hAnsi="Arial" w:cs="Arial"/>
          <w:i/>
          <w:iCs/>
        </w:rPr>
        <w:t>Moringa oleifera</w:t>
      </w:r>
      <w:r w:rsidRPr="005F4B6F">
        <w:rPr>
          <w:rFonts w:ascii="Arial" w:hAnsi="Arial" w:cs="Arial"/>
        </w:rPr>
        <w:t xml:space="preserve"> parades broad-spectrum antimicrobial and antifungal activity due to bioactive compounds found in its various parts. The ethanolic root extract contains N-</w:t>
      </w:r>
      <w:proofErr w:type="spellStart"/>
      <w:r w:rsidRPr="005F4B6F">
        <w:rPr>
          <w:rFonts w:ascii="Arial" w:hAnsi="Arial" w:cs="Arial"/>
        </w:rPr>
        <w:t>benzylethyl</w:t>
      </w:r>
      <w:proofErr w:type="spellEnd"/>
      <w:r w:rsidRPr="005F4B6F">
        <w:rPr>
          <w:rFonts w:ascii="Arial" w:hAnsi="Arial" w:cs="Arial"/>
        </w:rPr>
        <w:t xml:space="preserve"> </w:t>
      </w:r>
      <w:proofErr w:type="spellStart"/>
      <w:r w:rsidRPr="005F4B6F">
        <w:rPr>
          <w:rFonts w:ascii="Arial" w:hAnsi="Arial" w:cs="Arial"/>
        </w:rPr>
        <w:t>thioformate</w:t>
      </w:r>
      <w:proofErr w:type="spellEnd"/>
      <w:r w:rsidRPr="005F4B6F">
        <w:rPr>
          <w:rFonts w:ascii="Arial" w:hAnsi="Arial" w:cs="Arial"/>
        </w:rPr>
        <w:t>, effective against a range of microbes and fungi (</w:t>
      </w:r>
      <w:r w:rsidRPr="005F4B6F">
        <w:rPr>
          <w:rFonts w:ascii="Arial" w:hAnsi="Arial" w:cs="Arial"/>
          <w:color w:val="000000"/>
        </w:rPr>
        <w:t>Upadhyay et al., 2015)</w:t>
      </w:r>
      <w:r w:rsidRPr="005F4B6F">
        <w:rPr>
          <w:rFonts w:ascii="Arial" w:hAnsi="Arial" w:cs="Arial"/>
        </w:rPr>
        <w:t xml:space="preserve">. Methanolic leaf extracts inhibit urinary tract pathogens like </w:t>
      </w:r>
      <w:r w:rsidRPr="005F4B6F">
        <w:rPr>
          <w:rFonts w:ascii="Arial" w:hAnsi="Arial" w:cs="Arial"/>
          <w:i/>
          <w:iCs/>
        </w:rPr>
        <w:t>Staphylococcus aureus, S. saprophyticus, Klebsiella pneumoniae</w:t>
      </w:r>
      <w:r w:rsidRPr="005F4B6F">
        <w:rPr>
          <w:rFonts w:ascii="Arial" w:hAnsi="Arial" w:cs="Arial"/>
        </w:rPr>
        <w:t xml:space="preserve"> and </w:t>
      </w:r>
      <w:r w:rsidRPr="005F4B6F">
        <w:rPr>
          <w:rFonts w:ascii="Arial" w:hAnsi="Arial" w:cs="Arial"/>
          <w:i/>
          <w:iCs/>
        </w:rPr>
        <w:t>E. coli</w:t>
      </w:r>
      <w:r w:rsidRPr="005F4B6F">
        <w:rPr>
          <w:rFonts w:ascii="Arial" w:hAnsi="Arial" w:cs="Arial"/>
        </w:rPr>
        <w:t xml:space="preserve"> (</w:t>
      </w:r>
      <w:r w:rsidRPr="005F4B6F">
        <w:rPr>
          <w:rFonts w:ascii="Arial" w:hAnsi="Arial" w:cs="Arial"/>
          <w:color w:val="000000"/>
        </w:rPr>
        <w:t>Maurya et al., 2014)</w:t>
      </w:r>
      <w:r w:rsidRPr="005F4B6F">
        <w:rPr>
          <w:rFonts w:ascii="Arial" w:hAnsi="Arial" w:cs="Arial"/>
        </w:rPr>
        <w:t xml:space="preserve">. Extracts from leaves, seeds, and stems show antifungal effects against </w:t>
      </w:r>
      <w:r w:rsidRPr="005F4B6F">
        <w:rPr>
          <w:rFonts w:ascii="Arial" w:hAnsi="Arial" w:cs="Arial"/>
          <w:i/>
          <w:iCs/>
        </w:rPr>
        <w:t>Aspergillus</w:t>
      </w:r>
      <w:r w:rsidRPr="005F4B6F">
        <w:rPr>
          <w:rFonts w:ascii="Arial" w:hAnsi="Arial" w:cs="Arial"/>
        </w:rPr>
        <w:t xml:space="preserve">, </w:t>
      </w:r>
      <w:r w:rsidRPr="005F4B6F">
        <w:rPr>
          <w:rFonts w:ascii="Arial" w:hAnsi="Arial" w:cs="Arial"/>
          <w:i/>
          <w:iCs/>
        </w:rPr>
        <w:t>Fusarium</w:t>
      </w:r>
      <w:r w:rsidRPr="005F4B6F">
        <w:rPr>
          <w:rFonts w:ascii="Arial" w:hAnsi="Arial" w:cs="Arial"/>
        </w:rPr>
        <w:t xml:space="preserve">, </w:t>
      </w:r>
      <w:r w:rsidRPr="005F4B6F">
        <w:rPr>
          <w:rFonts w:ascii="Arial" w:hAnsi="Arial" w:cs="Arial"/>
          <w:i/>
          <w:iCs/>
        </w:rPr>
        <w:t>Penicillium</w:t>
      </w:r>
      <w:r w:rsidRPr="005F4B6F">
        <w:rPr>
          <w:rFonts w:ascii="Arial" w:hAnsi="Arial" w:cs="Arial"/>
        </w:rPr>
        <w:t xml:space="preserve">, </w:t>
      </w:r>
      <w:r w:rsidRPr="005F4B6F">
        <w:rPr>
          <w:rFonts w:ascii="Arial" w:hAnsi="Arial" w:cs="Arial"/>
          <w:i/>
          <w:iCs/>
        </w:rPr>
        <w:t>Cladosporium</w:t>
      </w:r>
      <w:r w:rsidRPr="005F4B6F">
        <w:rPr>
          <w:rFonts w:ascii="Arial" w:hAnsi="Arial" w:cs="Arial"/>
        </w:rPr>
        <w:t xml:space="preserve">, </w:t>
      </w:r>
      <w:r w:rsidRPr="005F4B6F">
        <w:rPr>
          <w:rFonts w:ascii="Arial" w:hAnsi="Arial" w:cs="Arial"/>
          <w:i/>
          <w:iCs/>
        </w:rPr>
        <w:t>Trichophyton</w:t>
      </w:r>
      <w:r w:rsidRPr="005F4B6F">
        <w:rPr>
          <w:rFonts w:ascii="Arial" w:hAnsi="Arial" w:cs="Arial"/>
        </w:rPr>
        <w:t xml:space="preserve">, and </w:t>
      </w:r>
      <w:proofErr w:type="spellStart"/>
      <w:r w:rsidRPr="005F4B6F">
        <w:rPr>
          <w:rFonts w:ascii="Arial" w:hAnsi="Arial" w:cs="Arial"/>
          <w:i/>
          <w:iCs/>
        </w:rPr>
        <w:t>Pullarium</w:t>
      </w:r>
      <w:proofErr w:type="spellEnd"/>
      <w:r w:rsidRPr="005F4B6F">
        <w:rPr>
          <w:rFonts w:ascii="Arial" w:hAnsi="Arial" w:cs="Arial"/>
        </w:rPr>
        <w:t xml:space="preserve"> species (</w:t>
      </w:r>
      <w:r w:rsidRPr="005F4B6F">
        <w:rPr>
          <w:rFonts w:ascii="Arial" w:hAnsi="Arial" w:cs="Arial"/>
          <w:color w:val="000000"/>
        </w:rPr>
        <w:t>Upadhyay et al., 2015)</w:t>
      </w:r>
      <w:r w:rsidRPr="005F4B6F">
        <w:rPr>
          <w:rFonts w:ascii="Arial" w:hAnsi="Arial" w:cs="Arial"/>
        </w:rPr>
        <w:t>. Seeds contain 4-(α-L-</w:t>
      </w:r>
      <w:proofErr w:type="spellStart"/>
      <w:r w:rsidRPr="005F4B6F">
        <w:rPr>
          <w:rFonts w:ascii="Arial" w:hAnsi="Arial" w:cs="Arial"/>
        </w:rPr>
        <w:t>rhamanosyloxy</w:t>
      </w:r>
      <w:proofErr w:type="spellEnd"/>
      <w:r w:rsidRPr="005F4B6F">
        <w:rPr>
          <w:rFonts w:ascii="Arial" w:hAnsi="Arial" w:cs="Arial"/>
        </w:rPr>
        <w:t>) benzyl isothiocyanates, contributing to their antimicrobial action (</w:t>
      </w:r>
      <w:proofErr w:type="spellStart"/>
      <w:r w:rsidRPr="005F4B6F">
        <w:rPr>
          <w:rFonts w:ascii="Arial" w:hAnsi="Arial" w:cs="Arial"/>
          <w:color w:val="000000"/>
        </w:rPr>
        <w:t>Padla</w:t>
      </w:r>
      <w:proofErr w:type="spellEnd"/>
      <w:r w:rsidRPr="005F4B6F">
        <w:rPr>
          <w:rFonts w:ascii="Arial" w:hAnsi="Arial" w:cs="Arial"/>
          <w:color w:val="000000"/>
        </w:rPr>
        <w:t xml:space="preserve"> et al., 2011)</w:t>
      </w:r>
      <w:r w:rsidRPr="005F4B6F">
        <w:rPr>
          <w:rFonts w:ascii="Arial" w:hAnsi="Arial" w:cs="Arial"/>
        </w:rPr>
        <w:t xml:space="preserve">. Leaf juice also exhibits activity against human pathogens, with methanolic extracts showing ~99% inhibition of </w:t>
      </w:r>
      <w:r w:rsidRPr="005F4B6F">
        <w:rPr>
          <w:rFonts w:ascii="Arial" w:hAnsi="Arial" w:cs="Arial"/>
          <w:i/>
          <w:iCs/>
        </w:rPr>
        <w:t xml:space="preserve">Botrytis cinerea </w:t>
      </w:r>
      <w:r w:rsidRPr="005F4B6F">
        <w:rPr>
          <w:rFonts w:ascii="Arial" w:hAnsi="Arial" w:cs="Arial"/>
        </w:rPr>
        <w:t>(</w:t>
      </w:r>
      <w:proofErr w:type="spellStart"/>
      <w:r w:rsidRPr="005F4B6F">
        <w:rPr>
          <w:rFonts w:ascii="Arial" w:hAnsi="Arial" w:cs="Arial"/>
          <w:color w:val="000000"/>
        </w:rPr>
        <w:t>Ahmadua</w:t>
      </w:r>
      <w:proofErr w:type="spellEnd"/>
      <w:r w:rsidRPr="005F4B6F">
        <w:rPr>
          <w:rFonts w:ascii="Arial" w:hAnsi="Arial" w:cs="Arial"/>
          <w:color w:val="000000"/>
        </w:rPr>
        <w:t xml:space="preserve"> et al., 2020)</w:t>
      </w:r>
      <w:r w:rsidRPr="005F4B6F">
        <w:rPr>
          <w:rFonts w:ascii="Arial" w:hAnsi="Arial" w:cs="Arial"/>
        </w:rPr>
        <w:t xml:space="preserve">. Fruit extracts inhibit </w:t>
      </w:r>
      <w:r w:rsidRPr="005F4B6F">
        <w:rPr>
          <w:rFonts w:ascii="Arial" w:hAnsi="Arial" w:cs="Arial"/>
          <w:i/>
          <w:iCs/>
        </w:rPr>
        <w:t>Candida albicans</w:t>
      </w:r>
      <w:r w:rsidRPr="005F4B6F">
        <w:rPr>
          <w:rFonts w:ascii="Arial" w:hAnsi="Arial" w:cs="Arial"/>
        </w:rPr>
        <w:t xml:space="preserve"> by disrupting proteins or spore germination. Seed kernel extracts are effective against </w:t>
      </w:r>
      <w:r w:rsidRPr="005F4B6F">
        <w:rPr>
          <w:rFonts w:ascii="Arial" w:hAnsi="Arial" w:cs="Arial"/>
          <w:i/>
          <w:iCs/>
        </w:rPr>
        <w:t>Bacillus cereus</w:t>
      </w:r>
      <w:r w:rsidRPr="005F4B6F">
        <w:rPr>
          <w:rFonts w:ascii="Arial" w:hAnsi="Arial" w:cs="Arial"/>
        </w:rPr>
        <w:t xml:space="preserve">, </w:t>
      </w:r>
      <w:r w:rsidRPr="005F4B6F">
        <w:rPr>
          <w:rFonts w:ascii="Arial" w:hAnsi="Arial" w:cs="Arial"/>
          <w:i/>
          <w:iCs/>
        </w:rPr>
        <w:t>Staphylococcus aureus</w:t>
      </w:r>
      <w:r w:rsidRPr="005F4B6F">
        <w:rPr>
          <w:rFonts w:ascii="Arial" w:hAnsi="Arial" w:cs="Arial"/>
        </w:rPr>
        <w:t xml:space="preserve">, </w:t>
      </w:r>
      <w:r w:rsidRPr="005F4B6F">
        <w:rPr>
          <w:rFonts w:ascii="Arial" w:hAnsi="Arial" w:cs="Arial"/>
          <w:i/>
          <w:iCs/>
        </w:rPr>
        <w:t>Mucor</w:t>
      </w:r>
      <w:r w:rsidRPr="005F4B6F">
        <w:rPr>
          <w:rFonts w:ascii="Arial" w:hAnsi="Arial" w:cs="Arial"/>
        </w:rPr>
        <w:t xml:space="preserve">, and </w:t>
      </w:r>
      <w:r w:rsidRPr="005F4B6F">
        <w:rPr>
          <w:rFonts w:ascii="Arial" w:hAnsi="Arial" w:cs="Arial"/>
          <w:i/>
          <w:iCs/>
        </w:rPr>
        <w:t>Aspergillus</w:t>
      </w:r>
      <w:r w:rsidRPr="005F4B6F">
        <w:rPr>
          <w:rFonts w:ascii="Arial" w:hAnsi="Arial" w:cs="Arial"/>
        </w:rPr>
        <w:t xml:space="preserve">, but less so against </w:t>
      </w:r>
      <w:r w:rsidRPr="005F4B6F">
        <w:rPr>
          <w:rFonts w:ascii="Arial" w:hAnsi="Arial" w:cs="Arial"/>
          <w:i/>
          <w:iCs/>
        </w:rPr>
        <w:t>P. aeruginosa</w:t>
      </w:r>
      <w:r w:rsidRPr="005F4B6F">
        <w:rPr>
          <w:rFonts w:ascii="Arial" w:hAnsi="Arial" w:cs="Arial"/>
        </w:rPr>
        <w:t xml:space="preserve"> and </w:t>
      </w:r>
      <w:r w:rsidRPr="005F4B6F">
        <w:rPr>
          <w:rFonts w:ascii="Arial" w:hAnsi="Arial" w:cs="Arial"/>
          <w:i/>
          <w:iCs/>
        </w:rPr>
        <w:t>E. coli</w:t>
      </w:r>
      <w:r w:rsidRPr="005F4B6F">
        <w:rPr>
          <w:rFonts w:ascii="Arial" w:hAnsi="Arial" w:cs="Arial"/>
        </w:rPr>
        <w:t>. Notably, only apolar seed extracts showed activity against Gram-positive bacteria (</w:t>
      </w:r>
      <w:r w:rsidRPr="005F4B6F">
        <w:rPr>
          <w:rFonts w:ascii="Arial" w:hAnsi="Arial" w:cs="Arial"/>
          <w:color w:val="000000"/>
        </w:rPr>
        <w:t>Anzano et al., 2022)</w:t>
      </w:r>
      <w:r w:rsidRPr="005F4B6F">
        <w:rPr>
          <w:rFonts w:ascii="Arial" w:hAnsi="Arial" w:cs="Arial"/>
        </w:rPr>
        <w:t>.</w:t>
      </w:r>
    </w:p>
    <w:p w14:paraId="21F0633D" w14:textId="0F174C7E" w:rsidR="005F4B6F" w:rsidRPr="005F4B6F" w:rsidRDefault="004939B9" w:rsidP="005F4B6F">
      <w:pPr>
        <w:spacing w:before="240" w:line="360" w:lineRule="auto"/>
        <w:jc w:val="both"/>
        <w:rPr>
          <w:rFonts w:ascii="Arial" w:hAnsi="Arial" w:cs="Arial"/>
          <w:b/>
          <w:bCs/>
        </w:rPr>
      </w:pPr>
      <w:r w:rsidRPr="004939B9">
        <w:rPr>
          <w:rFonts w:ascii="Arial" w:hAnsi="Arial" w:cs="Arial"/>
          <w:b/>
          <w:bCs/>
          <w:color w:val="000000"/>
          <w:sz w:val="22"/>
          <w:szCs w:val="22"/>
        </w:rPr>
        <w:t>4.</w:t>
      </w:r>
      <w:r w:rsidR="005F4B6F" w:rsidRPr="004939B9">
        <w:rPr>
          <w:rFonts w:ascii="Arial" w:hAnsi="Arial" w:cs="Arial"/>
          <w:b/>
          <w:bCs/>
          <w:color w:val="000000"/>
          <w:sz w:val="22"/>
          <w:szCs w:val="22"/>
        </w:rPr>
        <w:t>2 Anti-Inflammatory Activity</w:t>
      </w:r>
    </w:p>
    <w:p w14:paraId="1E1BD4DB" w14:textId="77777777" w:rsidR="005F4B6F" w:rsidRPr="005F4B6F" w:rsidRDefault="005F4B6F" w:rsidP="005F4B6F">
      <w:pPr>
        <w:spacing w:before="240" w:line="360" w:lineRule="auto"/>
        <w:jc w:val="both"/>
        <w:rPr>
          <w:rFonts w:ascii="Arial" w:hAnsi="Arial" w:cs="Arial"/>
        </w:rPr>
      </w:pPr>
      <w:r w:rsidRPr="005F4B6F">
        <w:rPr>
          <w:rFonts w:ascii="Arial" w:hAnsi="Arial" w:cs="Arial"/>
        </w:rPr>
        <w:t xml:space="preserve">Various parts of </w:t>
      </w:r>
      <w:r w:rsidRPr="005F4B6F">
        <w:rPr>
          <w:rFonts w:ascii="Arial" w:hAnsi="Arial" w:cs="Arial"/>
          <w:i/>
          <w:iCs/>
        </w:rPr>
        <w:t>Moringa oleifera</w:t>
      </w:r>
      <w:r w:rsidRPr="005F4B6F">
        <w:rPr>
          <w:rFonts w:ascii="Arial" w:hAnsi="Arial" w:cs="Arial"/>
        </w:rPr>
        <w:t xml:space="preserve"> (leaves, pods, flowers, roots) exhibit strong anti-inflammatory effects. Key compounds like 4-[2-O-acetyl-α-L-</w:t>
      </w:r>
      <w:proofErr w:type="spellStart"/>
      <w:r w:rsidRPr="005F4B6F">
        <w:rPr>
          <w:rFonts w:ascii="Arial" w:hAnsi="Arial" w:cs="Arial"/>
        </w:rPr>
        <w:t>rhamnosyloxy</w:t>
      </w:r>
      <w:proofErr w:type="spellEnd"/>
      <w:r w:rsidRPr="005F4B6F">
        <w:rPr>
          <w:rFonts w:ascii="Arial" w:hAnsi="Arial" w:cs="Arial"/>
        </w:rPr>
        <w:t xml:space="preserve">) benzyl] thiocyanate inhibit nitric oxide in RAW264.7 cells (Tan et al., 2015), while </w:t>
      </w:r>
      <w:proofErr w:type="spellStart"/>
      <w:r w:rsidRPr="005F4B6F">
        <w:rPr>
          <w:rFonts w:ascii="Arial" w:hAnsi="Arial" w:cs="Arial"/>
        </w:rPr>
        <w:t>aurantiamide</w:t>
      </w:r>
      <w:proofErr w:type="spellEnd"/>
      <w:r w:rsidRPr="005F4B6F">
        <w:rPr>
          <w:rFonts w:ascii="Arial" w:hAnsi="Arial" w:cs="Arial"/>
        </w:rPr>
        <w:t xml:space="preserve"> acetate and 1,3-dibenzylurea from roots suppress TNF-α production (</w:t>
      </w:r>
      <w:r w:rsidRPr="005F4B6F">
        <w:rPr>
          <w:rFonts w:ascii="Arial" w:hAnsi="Arial" w:cs="Arial"/>
          <w:color w:val="000000"/>
        </w:rPr>
        <w:t>Cuellar-Núñez et al., 2021)</w:t>
      </w:r>
      <w:r w:rsidRPr="005F4B6F">
        <w:rPr>
          <w:rFonts w:ascii="Arial" w:hAnsi="Arial" w:cs="Arial"/>
        </w:rPr>
        <w:t xml:space="preserve">. </w:t>
      </w:r>
      <w:proofErr w:type="spellStart"/>
      <w:r w:rsidRPr="005F4B6F">
        <w:rPr>
          <w:rFonts w:ascii="Arial" w:hAnsi="Arial" w:cs="Arial"/>
        </w:rPr>
        <w:t>Bioactives</w:t>
      </w:r>
      <w:proofErr w:type="spellEnd"/>
      <w:r w:rsidRPr="005F4B6F">
        <w:rPr>
          <w:rFonts w:ascii="Arial" w:hAnsi="Arial" w:cs="Arial"/>
        </w:rPr>
        <w:t xml:space="preserve"> such as flavonoids, β-sitosterol tannins, phenols and </w:t>
      </w:r>
      <w:proofErr w:type="spellStart"/>
      <w:r w:rsidRPr="005F4B6F">
        <w:rPr>
          <w:rFonts w:ascii="Arial" w:hAnsi="Arial" w:cs="Arial"/>
        </w:rPr>
        <w:t>moringin</w:t>
      </w:r>
      <w:proofErr w:type="spellEnd"/>
      <w:r w:rsidRPr="005F4B6F">
        <w:rPr>
          <w:rFonts w:ascii="Arial" w:hAnsi="Arial" w:cs="Arial"/>
        </w:rPr>
        <w:t xml:space="preserve"> contribute to anti-inflammatory effects. Fruit extract blocks NF-</w:t>
      </w:r>
      <w:proofErr w:type="spellStart"/>
      <w:r w:rsidRPr="005F4B6F">
        <w:rPr>
          <w:rFonts w:ascii="Arial" w:hAnsi="Arial" w:cs="Arial"/>
        </w:rPr>
        <w:t>κB</w:t>
      </w:r>
      <w:proofErr w:type="spellEnd"/>
      <w:r w:rsidRPr="005F4B6F">
        <w:rPr>
          <w:rFonts w:ascii="Arial" w:hAnsi="Arial" w:cs="Arial"/>
        </w:rPr>
        <w:t xml:space="preserve"> translocation, though chloroform extracts show cytotoxicity at higher doses (500–1000 µg/mL) (</w:t>
      </w:r>
      <w:r w:rsidRPr="005F4B6F">
        <w:rPr>
          <w:rFonts w:ascii="Arial" w:hAnsi="Arial" w:cs="Arial"/>
          <w:color w:val="000000"/>
        </w:rPr>
        <w:t>Abdel-Daim et al., 2020).</w:t>
      </w:r>
    </w:p>
    <w:p w14:paraId="2CC1AA27" w14:textId="7068033B" w:rsidR="005F4B6F" w:rsidRPr="004939B9" w:rsidRDefault="004939B9" w:rsidP="005F4B6F">
      <w:pPr>
        <w:spacing w:before="240" w:line="360" w:lineRule="auto"/>
        <w:jc w:val="both"/>
        <w:rPr>
          <w:rFonts w:ascii="Arial" w:hAnsi="Arial" w:cs="Arial"/>
          <w:b/>
          <w:bCs/>
          <w:sz w:val="22"/>
          <w:szCs w:val="22"/>
        </w:rPr>
      </w:pPr>
      <w:r w:rsidRPr="004939B9">
        <w:rPr>
          <w:rFonts w:ascii="Arial" w:hAnsi="Arial" w:cs="Arial"/>
          <w:b/>
          <w:bCs/>
          <w:color w:val="000000"/>
          <w:sz w:val="22"/>
          <w:szCs w:val="22"/>
        </w:rPr>
        <w:t>4</w:t>
      </w:r>
      <w:r w:rsidR="005F4B6F" w:rsidRPr="004939B9">
        <w:rPr>
          <w:rFonts w:ascii="Arial" w:hAnsi="Arial" w:cs="Arial"/>
          <w:b/>
          <w:bCs/>
          <w:color w:val="000000"/>
          <w:sz w:val="22"/>
          <w:szCs w:val="22"/>
        </w:rPr>
        <w:t>.3 Anti-Oxidant Activity</w:t>
      </w:r>
    </w:p>
    <w:p w14:paraId="1CA976C8" w14:textId="77777777" w:rsidR="005F4B6F" w:rsidRPr="005F4B6F" w:rsidRDefault="005F4B6F" w:rsidP="005F4B6F">
      <w:pPr>
        <w:spacing w:before="240" w:line="360" w:lineRule="auto"/>
        <w:jc w:val="both"/>
        <w:rPr>
          <w:rFonts w:ascii="Arial" w:hAnsi="Arial" w:cs="Arial"/>
          <w:i/>
          <w:iCs/>
        </w:rPr>
      </w:pPr>
      <w:r w:rsidRPr="005F4B6F">
        <w:rPr>
          <w:rFonts w:ascii="Arial" w:hAnsi="Arial" w:cs="Arial"/>
          <w:i/>
          <w:iCs/>
        </w:rPr>
        <w:lastRenderedPageBreak/>
        <w:t>Moringa oleifera</w:t>
      </w:r>
      <w:r w:rsidRPr="005F4B6F">
        <w:rPr>
          <w:rFonts w:ascii="Arial" w:hAnsi="Arial" w:cs="Arial"/>
        </w:rPr>
        <w:t xml:space="preserve"> contains bioactive compounds like glycosylates, isothiocyanates, thiocarbamates, and flavonoids with strong antioxidant properties (</w:t>
      </w:r>
      <w:r w:rsidRPr="005F4B6F">
        <w:rPr>
          <w:rFonts w:ascii="Arial" w:hAnsi="Arial" w:cs="Arial"/>
          <w:color w:val="000000"/>
        </w:rPr>
        <w:t>Pareek et al., 2023)</w:t>
      </w:r>
      <w:r w:rsidRPr="005F4B6F">
        <w:rPr>
          <w:rFonts w:ascii="Arial" w:hAnsi="Arial" w:cs="Arial"/>
        </w:rPr>
        <w:t xml:space="preserve">. Myricetin from </w:t>
      </w:r>
      <w:r w:rsidRPr="005F4B6F">
        <w:rPr>
          <w:rFonts w:ascii="Arial" w:hAnsi="Arial" w:cs="Arial"/>
          <w:i/>
          <w:iCs/>
        </w:rPr>
        <w:t>Moringa</w:t>
      </w:r>
      <w:r w:rsidRPr="005F4B6F">
        <w:rPr>
          <w:rFonts w:ascii="Arial" w:hAnsi="Arial" w:cs="Arial"/>
        </w:rPr>
        <w:t xml:space="preserve"> seed extract shows superior antioxidant activity compared to BHT and alpha-tocopherol. Leaf extracts and compounds like </w:t>
      </w:r>
      <w:proofErr w:type="spellStart"/>
      <w:r w:rsidRPr="005F4B6F">
        <w:rPr>
          <w:rFonts w:ascii="Arial" w:hAnsi="Arial" w:cs="Arial"/>
        </w:rPr>
        <w:t>isoquercetin</w:t>
      </w:r>
      <w:proofErr w:type="spellEnd"/>
      <w:r w:rsidRPr="005F4B6F">
        <w:rPr>
          <w:rFonts w:ascii="Arial" w:hAnsi="Arial" w:cs="Arial"/>
        </w:rPr>
        <w:t xml:space="preserve">, astragalin, and </w:t>
      </w:r>
      <w:proofErr w:type="spellStart"/>
      <w:r w:rsidRPr="005F4B6F">
        <w:rPr>
          <w:rFonts w:ascii="Arial" w:hAnsi="Arial" w:cs="Arial"/>
        </w:rPr>
        <w:t>cryptochlorogenic</w:t>
      </w:r>
      <w:proofErr w:type="spellEnd"/>
      <w:r w:rsidRPr="005F4B6F">
        <w:rPr>
          <w:rFonts w:ascii="Arial" w:hAnsi="Arial" w:cs="Arial"/>
        </w:rPr>
        <w:t xml:space="preserve"> acid reduce ROS in HEK-293 cells (</w:t>
      </w:r>
      <w:proofErr w:type="spellStart"/>
      <w:r w:rsidRPr="005F4B6F">
        <w:rPr>
          <w:rFonts w:ascii="Arial" w:hAnsi="Arial" w:cs="Arial"/>
          <w:color w:val="000000"/>
        </w:rPr>
        <w:t>Vongsak</w:t>
      </w:r>
      <w:proofErr w:type="spellEnd"/>
      <w:r w:rsidRPr="005F4B6F">
        <w:rPr>
          <w:rFonts w:ascii="Arial" w:hAnsi="Arial" w:cs="Arial"/>
          <w:color w:val="000000"/>
        </w:rPr>
        <w:t xml:space="preserve"> et al., 2015)</w:t>
      </w:r>
      <w:r w:rsidRPr="005F4B6F">
        <w:rPr>
          <w:rFonts w:ascii="Arial" w:hAnsi="Arial" w:cs="Arial"/>
        </w:rPr>
        <w:t>. Moringa also lowers MDA and FPG levels in healthy individuals, with a dose-dependent increase in GSH and no toxicity observed up to 100 mg/kg (</w:t>
      </w:r>
      <w:r w:rsidRPr="005F4B6F">
        <w:rPr>
          <w:rFonts w:ascii="Arial" w:hAnsi="Arial" w:cs="Arial"/>
          <w:color w:val="000000"/>
        </w:rPr>
        <w:t>Banik et al., 2018)</w:t>
      </w:r>
      <w:r w:rsidRPr="005F4B6F">
        <w:rPr>
          <w:rFonts w:ascii="Arial" w:hAnsi="Arial" w:cs="Arial"/>
        </w:rPr>
        <w:t>.</w:t>
      </w:r>
      <w:r w:rsidRPr="005F4B6F">
        <w:rPr>
          <w:rFonts w:ascii="Arial" w:hAnsi="Arial" w:cs="Arial"/>
          <w:i/>
          <w:iCs/>
        </w:rPr>
        <w:t xml:space="preserve"> </w:t>
      </w:r>
    </w:p>
    <w:p w14:paraId="2C3E9D9D" w14:textId="7519E06A" w:rsidR="005F4B6F" w:rsidRPr="004939B9" w:rsidRDefault="005F4B6F" w:rsidP="005F4B6F">
      <w:pPr>
        <w:spacing w:before="240" w:line="360" w:lineRule="auto"/>
        <w:jc w:val="both"/>
        <w:rPr>
          <w:rFonts w:ascii="Arial" w:hAnsi="Arial" w:cs="Arial"/>
          <w:b/>
          <w:bCs/>
          <w:color w:val="000000"/>
          <w:sz w:val="22"/>
          <w:szCs w:val="22"/>
        </w:rPr>
      </w:pPr>
      <w:r w:rsidRPr="004939B9">
        <w:rPr>
          <w:rFonts w:ascii="Arial" w:hAnsi="Arial" w:cs="Arial"/>
          <w:b/>
          <w:bCs/>
          <w:color w:val="000000"/>
          <w:sz w:val="22"/>
          <w:szCs w:val="22"/>
        </w:rPr>
        <w:t xml:space="preserve"> </w:t>
      </w:r>
      <w:r w:rsidR="004939B9" w:rsidRPr="004939B9">
        <w:rPr>
          <w:rFonts w:ascii="Arial" w:hAnsi="Arial" w:cs="Arial"/>
          <w:b/>
          <w:bCs/>
          <w:color w:val="000000"/>
          <w:sz w:val="22"/>
          <w:szCs w:val="22"/>
        </w:rPr>
        <w:t>4</w:t>
      </w:r>
      <w:r w:rsidRPr="004939B9">
        <w:rPr>
          <w:rFonts w:ascii="Arial" w:hAnsi="Arial" w:cs="Arial"/>
          <w:b/>
          <w:bCs/>
          <w:color w:val="000000"/>
          <w:sz w:val="22"/>
          <w:szCs w:val="22"/>
        </w:rPr>
        <w:t>.4 Anti-Cancer Activity</w:t>
      </w:r>
    </w:p>
    <w:p w14:paraId="79316A65" w14:textId="77777777" w:rsidR="005F4B6F" w:rsidRPr="005F4B6F" w:rsidRDefault="005F4B6F" w:rsidP="005F4B6F">
      <w:pPr>
        <w:spacing w:before="240" w:line="360" w:lineRule="auto"/>
        <w:jc w:val="both"/>
        <w:rPr>
          <w:rFonts w:ascii="Arial" w:hAnsi="Arial" w:cs="Arial"/>
        </w:rPr>
      </w:pPr>
      <w:r w:rsidRPr="005F4B6F">
        <w:rPr>
          <w:rFonts w:ascii="Arial" w:hAnsi="Arial" w:cs="Arial"/>
        </w:rPr>
        <w:t xml:space="preserve">Various parts of </w:t>
      </w:r>
      <w:r w:rsidRPr="005F4B6F">
        <w:rPr>
          <w:rFonts w:ascii="Arial" w:hAnsi="Arial" w:cs="Arial"/>
          <w:i/>
          <w:iCs/>
        </w:rPr>
        <w:t>Moringa</w:t>
      </w:r>
      <w:r w:rsidRPr="005F4B6F">
        <w:rPr>
          <w:rFonts w:ascii="Arial" w:hAnsi="Arial" w:cs="Arial"/>
        </w:rPr>
        <w:t xml:space="preserve"> (fruits, leaves, flowers, stems) exhibit anti-cancer properties (</w:t>
      </w:r>
      <w:r w:rsidRPr="005F4B6F">
        <w:rPr>
          <w:rFonts w:ascii="Arial" w:hAnsi="Arial" w:cs="Arial"/>
          <w:color w:val="000000"/>
        </w:rPr>
        <w:t>Pareek et al., 2023)</w:t>
      </w:r>
      <w:r w:rsidRPr="005F4B6F">
        <w:rPr>
          <w:rFonts w:ascii="Arial" w:hAnsi="Arial" w:cs="Arial"/>
        </w:rPr>
        <w:t xml:space="preserve">. Thiocarbamate, isothiocyanate, and </w:t>
      </w:r>
      <w:proofErr w:type="spellStart"/>
      <w:r w:rsidRPr="005F4B6F">
        <w:rPr>
          <w:rFonts w:ascii="Arial" w:hAnsi="Arial" w:cs="Arial"/>
        </w:rPr>
        <w:t>niazimincin</w:t>
      </w:r>
      <w:proofErr w:type="spellEnd"/>
      <w:r w:rsidRPr="005F4B6F">
        <w:rPr>
          <w:rFonts w:ascii="Arial" w:hAnsi="Arial" w:cs="Arial"/>
        </w:rPr>
        <w:t xml:space="preserve"> inhibit </w:t>
      </w:r>
      <w:proofErr w:type="spellStart"/>
      <w:r w:rsidRPr="005F4B6F">
        <w:rPr>
          <w:rFonts w:ascii="Arial" w:hAnsi="Arial" w:cs="Arial"/>
        </w:rPr>
        <w:t>tumour</w:t>
      </w:r>
      <w:proofErr w:type="spellEnd"/>
      <w:r w:rsidRPr="005F4B6F">
        <w:rPr>
          <w:rFonts w:ascii="Arial" w:hAnsi="Arial" w:cs="Arial"/>
        </w:rPr>
        <w:t xml:space="preserve"> cells (</w:t>
      </w:r>
      <w:r w:rsidRPr="005F4B6F">
        <w:rPr>
          <w:rFonts w:ascii="Arial" w:hAnsi="Arial" w:cs="Arial"/>
          <w:color w:val="000000"/>
        </w:rPr>
        <w:t>Parvathy et al., 2007)</w:t>
      </w:r>
      <w:r w:rsidRPr="005F4B6F">
        <w:rPr>
          <w:rFonts w:ascii="Arial" w:hAnsi="Arial" w:cs="Arial"/>
        </w:rPr>
        <w:t xml:space="preserve">. Alcoholic and hydro-methanolic extracts of </w:t>
      </w:r>
      <w:r w:rsidRPr="005F4B6F">
        <w:rPr>
          <w:rFonts w:ascii="Arial" w:hAnsi="Arial" w:cs="Arial"/>
          <w:i/>
          <w:iCs/>
        </w:rPr>
        <w:t>Moringa oleifera</w:t>
      </w:r>
      <w:r w:rsidRPr="005F4B6F">
        <w:rPr>
          <w:rFonts w:ascii="Arial" w:hAnsi="Arial" w:cs="Arial"/>
        </w:rPr>
        <w:t xml:space="preserve"> fruits and leaves have significantly inhibited </w:t>
      </w:r>
      <w:proofErr w:type="spellStart"/>
      <w:r w:rsidRPr="005F4B6F">
        <w:rPr>
          <w:rFonts w:ascii="Arial" w:hAnsi="Arial" w:cs="Arial"/>
        </w:rPr>
        <w:t>tumour</w:t>
      </w:r>
      <w:proofErr w:type="spellEnd"/>
      <w:r w:rsidRPr="005F4B6F">
        <w:rPr>
          <w:rFonts w:ascii="Arial" w:hAnsi="Arial" w:cs="Arial"/>
        </w:rPr>
        <w:t xml:space="preserve"> progression in melanoma-bearing murine models (</w:t>
      </w:r>
      <w:r w:rsidRPr="005F4B6F">
        <w:rPr>
          <w:rFonts w:ascii="Arial" w:hAnsi="Arial" w:cs="Arial"/>
          <w:color w:val="000000"/>
        </w:rPr>
        <w:t>Bhattacharya et al., 2018)</w:t>
      </w:r>
      <w:r w:rsidRPr="005F4B6F">
        <w:rPr>
          <w:rFonts w:ascii="Arial" w:hAnsi="Arial" w:cs="Arial"/>
        </w:rPr>
        <w:t xml:space="preserve">. Additionally, soluble cold-distilled water extracts of </w:t>
      </w:r>
      <w:r w:rsidRPr="005F4B6F">
        <w:rPr>
          <w:rFonts w:ascii="Arial" w:hAnsi="Arial" w:cs="Arial"/>
          <w:i/>
          <w:iCs/>
        </w:rPr>
        <w:t>M. oleifera</w:t>
      </w:r>
      <w:r w:rsidRPr="005F4B6F">
        <w:rPr>
          <w:rFonts w:ascii="Arial" w:hAnsi="Arial" w:cs="Arial"/>
        </w:rPr>
        <w:t xml:space="preserve"> were found to suppress tumor cell proliferation and attenuate intracellular reactive oxygen species (ROS) levels in cancer cell lines (Singh et al., 2018).</w:t>
      </w:r>
    </w:p>
    <w:p w14:paraId="77CBA723" w14:textId="65A762B1" w:rsidR="005F4B6F" w:rsidRPr="004939B9" w:rsidRDefault="004939B9" w:rsidP="005F4B6F">
      <w:pPr>
        <w:spacing w:before="240" w:line="360" w:lineRule="auto"/>
        <w:jc w:val="both"/>
        <w:rPr>
          <w:rFonts w:ascii="Arial" w:hAnsi="Arial" w:cs="Arial"/>
          <w:b/>
          <w:bCs/>
          <w:i/>
          <w:iCs/>
          <w:color w:val="000000"/>
          <w:sz w:val="22"/>
          <w:szCs w:val="22"/>
        </w:rPr>
      </w:pPr>
      <w:r w:rsidRPr="004939B9">
        <w:rPr>
          <w:rFonts w:ascii="Arial" w:hAnsi="Arial" w:cs="Arial"/>
          <w:b/>
          <w:bCs/>
          <w:color w:val="000000"/>
          <w:sz w:val="22"/>
          <w:szCs w:val="22"/>
        </w:rPr>
        <w:t>4</w:t>
      </w:r>
      <w:r w:rsidR="005F4B6F" w:rsidRPr="004939B9">
        <w:rPr>
          <w:rFonts w:ascii="Arial" w:hAnsi="Arial" w:cs="Arial"/>
          <w:b/>
          <w:bCs/>
          <w:color w:val="000000"/>
          <w:sz w:val="22"/>
          <w:szCs w:val="22"/>
        </w:rPr>
        <w:t>.5 Anti-Obesity Activity</w:t>
      </w:r>
    </w:p>
    <w:p w14:paraId="5AD7F30F" w14:textId="77777777" w:rsidR="005F4B6F" w:rsidRPr="005F4B6F" w:rsidRDefault="005F4B6F" w:rsidP="005F4B6F">
      <w:pPr>
        <w:spacing w:before="240" w:line="360" w:lineRule="auto"/>
        <w:jc w:val="both"/>
        <w:rPr>
          <w:rFonts w:ascii="Arial" w:hAnsi="Arial" w:cs="Arial"/>
        </w:rPr>
      </w:pPr>
      <w:r w:rsidRPr="005F4B6F">
        <w:rPr>
          <w:rFonts w:ascii="Arial" w:hAnsi="Arial" w:cs="Arial"/>
        </w:rPr>
        <w:t>El-</w:t>
      </w:r>
      <w:proofErr w:type="spellStart"/>
      <w:r w:rsidRPr="005F4B6F">
        <w:rPr>
          <w:rFonts w:ascii="Arial" w:hAnsi="Arial" w:cs="Arial"/>
        </w:rPr>
        <w:t>Mekkawy</w:t>
      </w:r>
      <w:proofErr w:type="spellEnd"/>
      <w:r w:rsidRPr="005F4B6F">
        <w:rPr>
          <w:rFonts w:ascii="Arial" w:hAnsi="Arial" w:cs="Arial"/>
        </w:rPr>
        <w:t xml:space="preserve"> et al. (2019) reported that oral administration of </w:t>
      </w:r>
      <w:r w:rsidRPr="005F4B6F">
        <w:rPr>
          <w:rFonts w:ascii="Arial" w:hAnsi="Arial" w:cs="Arial"/>
          <w:i/>
          <w:iCs/>
        </w:rPr>
        <w:t>Moringa oleifera</w:t>
      </w:r>
      <w:r w:rsidRPr="005F4B6F">
        <w:rPr>
          <w:rFonts w:ascii="Arial" w:hAnsi="Arial" w:cs="Arial"/>
        </w:rPr>
        <w:t xml:space="preserve"> leaf powder for 60 days significantly reduced body mass index (BMI) in mice with diet-induced hypercholesterolemia. In visceral adipose tissue, the elevation of adiponectin and the downregulation of leptin and </w:t>
      </w:r>
      <w:proofErr w:type="spellStart"/>
      <w:r w:rsidRPr="005F4B6F">
        <w:rPr>
          <w:rFonts w:ascii="Arial" w:hAnsi="Arial" w:cs="Arial"/>
        </w:rPr>
        <w:t>resistin</w:t>
      </w:r>
      <w:proofErr w:type="spellEnd"/>
      <w:r w:rsidRPr="005F4B6F">
        <w:rPr>
          <w:rFonts w:ascii="Arial" w:hAnsi="Arial" w:cs="Arial"/>
        </w:rPr>
        <w:t xml:space="preserve"> mRNA expression were shown to be responsible for the hypolipidemic impact, indicating a direct modulatory influence on adipokine gene expression. Furthermore, a systematic review by Al-Malki et al. (2021) highlighted that </w:t>
      </w:r>
      <w:r w:rsidRPr="005F4B6F">
        <w:rPr>
          <w:rFonts w:ascii="Arial" w:hAnsi="Arial" w:cs="Arial"/>
          <w:i/>
          <w:iCs/>
        </w:rPr>
        <w:t>M. oleifera</w:t>
      </w:r>
      <w:r w:rsidRPr="005F4B6F">
        <w:rPr>
          <w:rFonts w:ascii="Arial" w:hAnsi="Arial" w:cs="Arial"/>
        </w:rPr>
        <w:t xml:space="preserve"> exerts anti-obesity effects by improving lipid profiles, reducing body weight, regulating adipogenesis-related genes, enhancing glucose tolerance, and decreasing levels of hormones such as </w:t>
      </w:r>
      <w:proofErr w:type="spellStart"/>
      <w:r w:rsidRPr="005F4B6F">
        <w:rPr>
          <w:rFonts w:ascii="Arial" w:hAnsi="Arial" w:cs="Arial"/>
        </w:rPr>
        <w:t>vaspin</w:t>
      </w:r>
      <w:proofErr w:type="spellEnd"/>
      <w:r w:rsidRPr="005F4B6F">
        <w:rPr>
          <w:rFonts w:ascii="Arial" w:hAnsi="Arial" w:cs="Arial"/>
        </w:rPr>
        <w:t xml:space="preserve">, leptin, and </w:t>
      </w:r>
      <w:proofErr w:type="spellStart"/>
      <w:r w:rsidRPr="005F4B6F">
        <w:rPr>
          <w:rFonts w:ascii="Arial" w:hAnsi="Arial" w:cs="Arial"/>
        </w:rPr>
        <w:t>resistin</w:t>
      </w:r>
      <w:proofErr w:type="spellEnd"/>
      <w:r w:rsidRPr="005F4B6F">
        <w:rPr>
          <w:rFonts w:ascii="Arial" w:hAnsi="Arial" w:cs="Arial"/>
        </w:rPr>
        <w:t>.</w:t>
      </w:r>
    </w:p>
    <w:p w14:paraId="29945E58" w14:textId="574B505D" w:rsidR="005F4B6F" w:rsidRPr="004939B9" w:rsidRDefault="004939B9" w:rsidP="005F4B6F">
      <w:pPr>
        <w:spacing w:before="240" w:line="360" w:lineRule="auto"/>
        <w:jc w:val="both"/>
        <w:rPr>
          <w:rFonts w:ascii="Arial" w:hAnsi="Arial" w:cs="Arial"/>
          <w:b/>
          <w:bCs/>
          <w:i/>
          <w:iCs/>
          <w:color w:val="000000"/>
          <w:sz w:val="22"/>
          <w:szCs w:val="22"/>
        </w:rPr>
      </w:pPr>
      <w:r w:rsidRPr="004939B9">
        <w:rPr>
          <w:rFonts w:ascii="Arial" w:hAnsi="Arial" w:cs="Arial"/>
          <w:b/>
          <w:bCs/>
          <w:color w:val="000000"/>
          <w:sz w:val="22"/>
          <w:szCs w:val="22"/>
        </w:rPr>
        <w:t>4</w:t>
      </w:r>
      <w:r w:rsidR="005F4B6F" w:rsidRPr="004939B9">
        <w:rPr>
          <w:rFonts w:ascii="Arial" w:hAnsi="Arial" w:cs="Arial"/>
          <w:b/>
          <w:bCs/>
          <w:color w:val="000000"/>
          <w:sz w:val="22"/>
          <w:szCs w:val="22"/>
        </w:rPr>
        <w:t>.6 Anti-Allergic Activity</w:t>
      </w:r>
    </w:p>
    <w:p w14:paraId="3BF40BEB" w14:textId="77777777" w:rsidR="005F4B6F" w:rsidRPr="005F4B6F" w:rsidRDefault="005F4B6F" w:rsidP="005F4B6F">
      <w:pPr>
        <w:spacing w:before="240" w:line="360" w:lineRule="auto"/>
        <w:jc w:val="both"/>
        <w:rPr>
          <w:rFonts w:ascii="Arial" w:hAnsi="Arial" w:cs="Arial"/>
        </w:rPr>
      </w:pPr>
      <w:r w:rsidRPr="005F4B6F">
        <w:rPr>
          <w:rFonts w:ascii="Arial" w:hAnsi="Arial" w:cs="Arial"/>
        </w:rPr>
        <w:t xml:space="preserve">The ethanol extract of </w:t>
      </w:r>
      <w:r w:rsidRPr="005F4B6F">
        <w:rPr>
          <w:rFonts w:ascii="Arial" w:hAnsi="Arial" w:cs="Arial"/>
          <w:i/>
          <w:iCs/>
        </w:rPr>
        <w:t>Moringa oleifera</w:t>
      </w:r>
      <w:r w:rsidRPr="005F4B6F">
        <w:rPr>
          <w:rFonts w:ascii="Arial" w:hAnsi="Arial" w:cs="Arial"/>
        </w:rPr>
        <w:t xml:space="preserve"> seeds has demonstrated promising anti-allergic properties. In a study by Mahajan and Mehta (2008), the extract significantly reduced histamine release and effectively blocked anaphylactic reactions made by anti-immunoglobulin G antibodies. This anti-anaphylactic effect was observed in both systemic and passive cutaneous models. The underlying mechanism is thought to be the membrane-stabilizing action on mast cells, as observed in an ovalbumin-sensitized model, which prevents the degranulation and subsequent release of allergic mediators (Pareek et al., 2023).</w:t>
      </w:r>
    </w:p>
    <w:p w14:paraId="1C7A07D2" w14:textId="42C7D6B6" w:rsidR="005F4B6F" w:rsidRPr="004939B9" w:rsidRDefault="004939B9" w:rsidP="005F4B6F">
      <w:pPr>
        <w:spacing w:before="240" w:line="360" w:lineRule="auto"/>
        <w:jc w:val="both"/>
        <w:rPr>
          <w:rFonts w:ascii="Arial" w:hAnsi="Arial" w:cs="Arial"/>
          <w:b/>
          <w:bCs/>
          <w:i/>
          <w:iCs/>
          <w:color w:val="000000"/>
          <w:sz w:val="22"/>
          <w:szCs w:val="22"/>
        </w:rPr>
      </w:pPr>
      <w:r w:rsidRPr="004939B9">
        <w:rPr>
          <w:rFonts w:ascii="Arial" w:hAnsi="Arial" w:cs="Arial"/>
          <w:b/>
          <w:bCs/>
          <w:color w:val="000000"/>
          <w:sz w:val="22"/>
          <w:szCs w:val="22"/>
        </w:rPr>
        <w:t>4</w:t>
      </w:r>
      <w:r w:rsidR="005F4B6F" w:rsidRPr="004939B9">
        <w:rPr>
          <w:rFonts w:ascii="Arial" w:hAnsi="Arial" w:cs="Arial"/>
          <w:b/>
          <w:bCs/>
          <w:color w:val="000000"/>
          <w:sz w:val="22"/>
          <w:szCs w:val="22"/>
        </w:rPr>
        <w:t>.7 Anti-Diabetic Activity</w:t>
      </w:r>
    </w:p>
    <w:p w14:paraId="108AC7C7" w14:textId="77777777" w:rsidR="005F4B6F" w:rsidRPr="005F4B6F" w:rsidRDefault="005F4B6F" w:rsidP="005F4B6F">
      <w:pPr>
        <w:spacing w:before="240" w:line="360" w:lineRule="auto"/>
        <w:jc w:val="both"/>
        <w:rPr>
          <w:rFonts w:ascii="Arial" w:hAnsi="Arial" w:cs="Arial"/>
        </w:rPr>
      </w:pPr>
      <w:r w:rsidRPr="005F4B6F">
        <w:rPr>
          <w:rFonts w:ascii="Arial" w:hAnsi="Arial" w:cs="Arial"/>
          <w:i/>
          <w:iCs/>
        </w:rPr>
        <w:t>Moringa oleifera</w:t>
      </w:r>
      <w:r w:rsidRPr="005F4B6F">
        <w:rPr>
          <w:rFonts w:ascii="Arial" w:hAnsi="Arial" w:cs="Arial"/>
        </w:rPr>
        <w:t xml:space="preserve"> leaves have demonstrated exceptional outcomes in improving glucose tolerance in Wistar and Goto-</w:t>
      </w:r>
      <w:proofErr w:type="spellStart"/>
      <w:r w:rsidRPr="005F4B6F">
        <w:rPr>
          <w:rFonts w:ascii="Arial" w:hAnsi="Arial" w:cs="Arial"/>
        </w:rPr>
        <w:t>Kakizaki</w:t>
      </w:r>
      <w:proofErr w:type="spellEnd"/>
      <w:r w:rsidRPr="005F4B6F">
        <w:rPr>
          <w:rFonts w:ascii="Arial" w:hAnsi="Arial" w:cs="Arial"/>
        </w:rPr>
        <w:t xml:space="preserve"> rats, as well as in lowering blood glucose levels (Ndong et al., 2007). The aqueous leaf extract of </w:t>
      </w:r>
      <w:r w:rsidRPr="005F4B6F">
        <w:rPr>
          <w:rFonts w:ascii="Arial" w:hAnsi="Arial" w:cs="Arial"/>
          <w:i/>
          <w:iCs/>
        </w:rPr>
        <w:t>M. oleifera</w:t>
      </w:r>
      <w:r w:rsidRPr="005F4B6F">
        <w:rPr>
          <w:rFonts w:ascii="Arial" w:hAnsi="Arial" w:cs="Arial"/>
        </w:rPr>
        <w:t xml:space="preserve"> exhibited antidiabetic activity in rats by regulating blood glucose, protein, sugar, and </w:t>
      </w:r>
      <w:proofErr w:type="spellStart"/>
      <w:r w:rsidRPr="005F4B6F">
        <w:rPr>
          <w:rFonts w:ascii="Arial" w:hAnsi="Arial" w:cs="Arial"/>
        </w:rPr>
        <w:t>haemoglobin</w:t>
      </w:r>
      <w:proofErr w:type="spellEnd"/>
      <w:r w:rsidRPr="005F4B6F">
        <w:rPr>
          <w:rFonts w:ascii="Arial" w:hAnsi="Arial" w:cs="Arial"/>
        </w:rPr>
        <w:t xml:space="preserve"> levels (Toma et al., 2015). Additionally, </w:t>
      </w:r>
      <w:r w:rsidRPr="005F4B6F">
        <w:rPr>
          <w:rFonts w:ascii="Arial" w:hAnsi="Arial" w:cs="Arial"/>
          <w:i/>
          <w:iCs/>
        </w:rPr>
        <w:t>M. oleifera</w:t>
      </w:r>
      <w:r w:rsidRPr="005F4B6F">
        <w:rPr>
          <w:rFonts w:ascii="Arial" w:hAnsi="Arial" w:cs="Arial"/>
        </w:rPr>
        <w:t xml:space="preserve"> leaves were observed to significantly lower blood glucose levels within three hours of administration, although the reduction was not as pronounced as that observed with the standard antidiabetic drug </w:t>
      </w:r>
      <w:proofErr w:type="spellStart"/>
      <w:r w:rsidRPr="005F4B6F">
        <w:rPr>
          <w:rFonts w:ascii="Arial" w:hAnsi="Arial" w:cs="Arial"/>
        </w:rPr>
        <w:t>glibenclamide</w:t>
      </w:r>
      <w:proofErr w:type="spellEnd"/>
      <w:r w:rsidRPr="005F4B6F">
        <w:rPr>
          <w:rFonts w:ascii="Arial" w:hAnsi="Arial" w:cs="Arial"/>
        </w:rPr>
        <w:t xml:space="preserve"> (Toma et al., 2015).</w:t>
      </w:r>
    </w:p>
    <w:p w14:paraId="371ED185" w14:textId="77777777" w:rsidR="005F4B6F" w:rsidRPr="005F4B6F" w:rsidRDefault="005F4B6F" w:rsidP="005F4B6F">
      <w:pPr>
        <w:spacing w:before="240" w:line="360" w:lineRule="auto"/>
        <w:jc w:val="both"/>
        <w:rPr>
          <w:rFonts w:ascii="Arial" w:hAnsi="Arial" w:cs="Arial"/>
        </w:rPr>
      </w:pPr>
      <w:r w:rsidRPr="005F4B6F">
        <w:rPr>
          <w:rFonts w:ascii="Arial" w:hAnsi="Arial" w:cs="Arial"/>
        </w:rPr>
        <w:lastRenderedPageBreak/>
        <w:t xml:space="preserve">Oral administration of </w:t>
      </w:r>
      <w:r w:rsidRPr="005F4B6F">
        <w:rPr>
          <w:rFonts w:ascii="Arial" w:hAnsi="Arial" w:cs="Arial"/>
          <w:i/>
          <w:iCs/>
        </w:rPr>
        <w:t>Moringa oleifera</w:t>
      </w:r>
      <w:r w:rsidRPr="005F4B6F">
        <w:rPr>
          <w:rFonts w:ascii="Arial" w:hAnsi="Arial" w:cs="Arial"/>
        </w:rPr>
        <w:t xml:space="preserve"> seeds was found to produce an antihyperglycemic effect due to the presence of insulin-like proteins with antigenic epitopes resembling those of insulin (Paula et al., 2017). Leaf extracts of the plant also showed antidiabetic activity in human trials by increasing catalase (CAT) and malondialdehyde (MDA) levels, reducing fasting plasma glucose (FPG), </w:t>
      </w:r>
      <w:proofErr w:type="spellStart"/>
      <w:r w:rsidRPr="005F4B6F">
        <w:rPr>
          <w:rFonts w:ascii="Arial" w:hAnsi="Arial" w:cs="Arial"/>
        </w:rPr>
        <w:t>haemoglobin</w:t>
      </w:r>
      <w:proofErr w:type="spellEnd"/>
      <w:r w:rsidRPr="005F4B6F">
        <w:rPr>
          <w:rFonts w:ascii="Arial" w:hAnsi="Arial" w:cs="Arial"/>
        </w:rPr>
        <w:t>, low-density lipoprotein cholesterol (LDL-C), and very low-density lipoprotein cholesterol (VLDL-C), and most importantly, boosting insulin levels in healthy subjects (</w:t>
      </w:r>
      <w:proofErr w:type="spellStart"/>
      <w:r w:rsidRPr="005F4B6F">
        <w:rPr>
          <w:rFonts w:ascii="Arial" w:hAnsi="Arial" w:cs="Arial"/>
        </w:rPr>
        <w:t>Taweerutchana</w:t>
      </w:r>
      <w:proofErr w:type="spellEnd"/>
      <w:r w:rsidRPr="005F4B6F">
        <w:rPr>
          <w:rFonts w:ascii="Arial" w:hAnsi="Arial" w:cs="Arial"/>
        </w:rPr>
        <w:t xml:space="preserve"> et al., 2017; Pareek et al., 2023).</w:t>
      </w:r>
    </w:p>
    <w:p w14:paraId="3458A5F2" w14:textId="77777777" w:rsidR="005F4B6F" w:rsidRPr="005F4B6F" w:rsidRDefault="005F4B6F" w:rsidP="005F4B6F">
      <w:pPr>
        <w:spacing w:before="240" w:line="360" w:lineRule="auto"/>
        <w:jc w:val="both"/>
        <w:rPr>
          <w:rFonts w:ascii="Arial" w:hAnsi="Arial" w:cs="Arial"/>
        </w:rPr>
      </w:pPr>
      <w:r w:rsidRPr="005F4B6F">
        <w:rPr>
          <w:rFonts w:ascii="Arial" w:hAnsi="Arial" w:cs="Arial"/>
        </w:rPr>
        <w:t xml:space="preserve">Moreover, seed extracts of </w:t>
      </w:r>
      <w:r w:rsidRPr="005F4B6F">
        <w:rPr>
          <w:rFonts w:ascii="Arial" w:hAnsi="Arial" w:cs="Arial"/>
          <w:i/>
          <w:iCs/>
        </w:rPr>
        <w:t>M. oleifera</w:t>
      </w:r>
      <w:r w:rsidRPr="005F4B6F">
        <w:rPr>
          <w:rFonts w:ascii="Arial" w:hAnsi="Arial" w:cs="Arial"/>
        </w:rPr>
        <w:t xml:space="preserve"> reduced lipid peroxidation (LPO) and enhanced antioxidant activity in streptozotocin-induced diabetic mice. These extracts also reduced levels of immunoglobulin G (IgG), immunoglobulin A (IgA), and interleukin-6 (IL-6), while supporting pancreatic β-cell regeneration. These therapeutic effects are attributed to the bioactive compounds such as quercetin, kaempferol, </w:t>
      </w:r>
      <w:proofErr w:type="spellStart"/>
      <w:r w:rsidRPr="005F4B6F">
        <w:rPr>
          <w:rFonts w:ascii="Arial" w:hAnsi="Arial" w:cs="Arial"/>
        </w:rPr>
        <w:t>glucomoringin</w:t>
      </w:r>
      <w:proofErr w:type="spellEnd"/>
      <w:r w:rsidRPr="005F4B6F">
        <w:rPr>
          <w:rFonts w:ascii="Arial" w:hAnsi="Arial" w:cs="Arial"/>
        </w:rPr>
        <w:t>, chlorogenic acid, and isothiocyanates (Lian &amp; Li, 2024).</w:t>
      </w:r>
    </w:p>
    <w:p w14:paraId="14CECD24" w14:textId="6BC2E140" w:rsidR="005F4B6F" w:rsidRPr="004939B9" w:rsidRDefault="004939B9" w:rsidP="004939B9">
      <w:pPr>
        <w:pStyle w:val="Body"/>
        <w:spacing w:after="0"/>
        <w:jc w:val="left"/>
        <w:rPr>
          <w:rFonts w:ascii="Arial" w:hAnsi="Arial" w:cs="Arial"/>
          <w:b/>
          <w:bCs/>
          <w:sz w:val="18"/>
          <w:szCs w:val="18"/>
        </w:rPr>
      </w:pPr>
      <w:r w:rsidRPr="004939B9">
        <w:rPr>
          <w:rFonts w:ascii="Arial" w:hAnsi="Arial" w:cs="Arial"/>
          <w:b/>
          <w:bCs/>
          <w:sz w:val="22"/>
          <w:szCs w:val="22"/>
        </w:rPr>
        <w:t>5. HUMAN CONSUMPTION OF MORINGA</w:t>
      </w:r>
    </w:p>
    <w:p w14:paraId="3BD5C380" w14:textId="77777777" w:rsidR="005F4B6F" w:rsidRPr="005F4B6F" w:rsidRDefault="005F4B6F" w:rsidP="005F4B6F">
      <w:pPr>
        <w:spacing w:before="240" w:line="360" w:lineRule="auto"/>
        <w:jc w:val="both"/>
        <w:rPr>
          <w:rFonts w:ascii="Arial" w:hAnsi="Arial" w:cs="Arial"/>
        </w:rPr>
      </w:pPr>
      <w:r w:rsidRPr="005F4B6F">
        <w:rPr>
          <w:rFonts w:ascii="Arial" w:hAnsi="Arial" w:cs="Arial"/>
        </w:rPr>
        <w:t>The young leaves are edible and can be cooked and eaten like spinach, as well as added to soups and salads. They are an excellent source of provitamin A, vitamins B and C, minerals (particularly iron), and the sulfur-containing amino acids methionine and cystine. The amino acids in leaf protein are nicely balanced.</w:t>
      </w:r>
    </w:p>
    <w:p w14:paraId="12B9E64F" w14:textId="77777777" w:rsidR="005F4B6F" w:rsidRPr="00934AE9" w:rsidRDefault="005F4B6F" w:rsidP="005F4B6F">
      <w:pPr>
        <w:spacing w:before="240" w:line="360" w:lineRule="auto"/>
        <w:jc w:val="both"/>
        <w:rPr>
          <w:rFonts w:ascii="Arial" w:hAnsi="Arial" w:cs="Arial"/>
          <w:b/>
          <w:bCs/>
        </w:rPr>
      </w:pPr>
      <w:r w:rsidRPr="00934AE9">
        <w:rPr>
          <w:rFonts w:ascii="Arial" w:hAnsi="Arial" w:cs="Arial"/>
          <w:b/>
          <w:bCs/>
        </w:rPr>
        <w:t>Table 1. Mineral contents of Moringa seeds</w:t>
      </w:r>
    </w:p>
    <w:tbl>
      <w:tblPr>
        <w:tblStyle w:val="TableGrid"/>
        <w:tblW w:w="0" w:type="auto"/>
        <w:jc w:val="center"/>
        <w:tblLook w:val="04A0" w:firstRow="1" w:lastRow="0" w:firstColumn="1" w:lastColumn="0" w:noHBand="0" w:noVBand="1"/>
      </w:tblPr>
      <w:tblGrid>
        <w:gridCol w:w="2006"/>
        <w:gridCol w:w="2667"/>
      </w:tblGrid>
      <w:tr w:rsidR="005F4B6F" w:rsidRPr="005F4B6F" w14:paraId="45B8B328" w14:textId="77777777" w:rsidTr="000573AD">
        <w:trPr>
          <w:trHeight w:val="45"/>
          <w:jc w:val="center"/>
        </w:trPr>
        <w:tc>
          <w:tcPr>
            <w:tcW w:w="2006" w:type="dxa"/>
          </w:tcPr>
          <w:p w14:paraId="00C53241" w14:textId="77777777" w:rsidR="005F4B6F" w:rsidRPr="005F4B6F" w:rsidRDefault="005F4B6F" w:rsidP="00934AE9">
            <w:pPr>
              <w:pStyle w:val="NoSpacing"/>
              <w:spacing w:line="360" w:lineRule="auto"/>
              <w:jc w:val="both"/>
              <w:rPr>
                <w:rFonts w:ascii="Arial" w:hAnsi="Arial" w:cs="Arial"/>
                <w:b/>
                <w:bCs/>
                <w:sz w:val="20"/>
                <w:szCs w:val="20"/>
              </w:rPr>
            </w:pPr>
            <w:r w:rsidRPr="005F4B6F">
              <w:rPr>
                <w:rFonts w:ascii="Arial" w:hAnsi="Arial" w:cs="Arial"/>
                <w:b/>
                <w:bCs/>
                <w:sz w:val="20"/>
                <w:szCs w:val="20"/>
              </w:rPr>
              <w:t>Mineral</w:t>
            </w:r>
          </w:p>
        </w:tc>
        <w:tc>
          <w:tcPr>
            <w:tcW w:w="2667" w:type="dxa"/>
          </w:tcPr>
          <w:p w14:paraId="28259B04" w14:textId="77777777" w:rsidR="005F4B6F" w:rsidRPr="005F4B6F" w:rsidRDefault="005F4B6F" w:rsidP="00934AE9">
            <w:pPr>
              <w:pStyle w:val="NoSpacing"/>
              <w:spacing w:line="360" w:lineRule="auto"/>
              <w:jc w:val="both"/>
              <w:rPr>
                <w:rFonts w:ascii="Arial" w:hAnsi="Arial" w:cs="Arial"/>
                <w:b/>
                <w:bCs/>
                <w:sz w:val="20"/>
                <w:szCs w:val="20"/>
              </w:rPr>
            </w:pPr>
            <w:r w:rsidRPr="005F4B6F">
              <w:rPr>
                <w:rFonts w:ascii="Arial" w:hAnsi="Arial" w:cs="Arial"/>
                <w:b/>
                <w:bCs/>
                <w:sz w:val="20"/>
                <w:szCs w:val="20"/>
              </w:rPr>
              <w:t>Concentration (mg/100g)</w:t>
            </w:r>
          </w:p>
        </w:tc>
      </w:tr>
      <w:tr w:rsidR="005F4B6F" w:rsidRPr="005F4B6F" w14:paraId="37646463" w14:textId="77777777" w:rsidTr="000573AD">
        <w:trPr>
          <w:trHeight w:val="187"/>
          <w:jc w:val="center"/>
        </w:trPr>
        <w:tc>
          <w:tcPr>
            <w:tcW w:w="2006" w:type="dxa"/>
          </w:tcPr>
          <w:p w14:paraId="59BDEE8B"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Calcium</w:t>
            </w:r>
          </w:p>
        </w:tc>
        <w:tc>
          <w:tcPr>
            <w:tcW w:w="2667" w:type="dxa"/>
          </w:tcPr>
          <w:p w14:paraId="667526F5"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1.55</w:t>
            </w:r>
          </w:p>
        </w:tc>
      </w:tr>
      <w:tr w:rsidR="005F4B6F" w:rsidRPr="005F4B6F" w14:paraId="155304D4" w14:textId="77777777" w:rsidTr="000573AD">
        <w:trPr>
          <w:trHeight w:val="187"/>
          <w:jc w:val="center"/>
        </w:trPr>
        <w:tc>
          <w:tcPr>
            <w:tcW w:w="2006" w:type="dxa"/>
          </w:tcPr>
          <w:p w14:paraId="216C0C93"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Magnesium</w:t>
            </w:r>
          </w:p>
        </w:tc>
        <w:tc>
          <w:tcPr>
            <w:tcW w:w="2667" w:type="dxa"/>
          </w:tcPr>
          <w:p w14:paraId="492B1860"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5.36</w:t>
            </w:r>
          </w:p>
        </w:tc>
      </w:tr>
      <w:tr w:rsidR="005F4B6F" w:rsidRPr="005F4B6F" w14:paraId="1BE756C6" w14:textId="77777777" w:rsidTr="000573AD">
        <w:trPr>
          <w:trHeight w:val="187"/>
          <w:jc w:val="center"/>
        </w:trPr>
        <w:tc>
          <w:tcPr>
            <w:tcW w:w="2006" w:type="dxa"/>
          </w:tcPr>
          <w:p w14:paraId="2CECE659"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Iron</w:t>
            </w:r>
          </w:p>
        </w:tc>
        <w:tc>
          <w:tcPr>
            <w:tcW w:w="2667" w:type="dxa"/>
          </w:tcPr>
          <w:p w14:paraId="174DBA0E"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0.97</w:t>
            </w:r>
          </w:p>
        </w:tc>
      </w:tr>
      <w:tr w:rsidR="005F4B6F" w:rsidRPr="005F4B6F" w14:paraId="7D41FF52" w14:textId="77777777" w:rsidTr="000573AD">
        <w:trPr>
          <w:trHeight w:val="187"/>
          <w:jc w:val="center"/>
        </w:trPr>
        <w:tc>
          <w:tcPr>
            <w:tcW w:w="2006" w:type="dxa"/>
          </w:tcPr>
          <w:p w14:paraId="14F89970"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Manganese</w:t>
            </w:r>
          </w:p>
        </w:tc>
        <w:tc>
          <w:tcPr>
            <w:tcW w:w="2667" w:type="dxa"/>
          </w:tcPr>
          <w:p w14:paraId="2023174F"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0.60</w:t>
            </w:r>
          </w:p>
        </w:tc>
      </w:tr>
      <w:tr w:rsidR="005F4B6F" w:rsidRPr="005F4B6F" w14:paraId="42A5141E" w14:textId="77777777" w:rsidTr="000573AD">
        <w:trPr>
          <w:trHeight w:val="187"/>
          <w:jc w:val="center"/>
        </w:trPr>
        <w:tc>
          <w:tcPr>
            <w:tcW w:w="2006" w:type="dxa"/>
          </w:tcPr>
          <w:p w14:paraId="67ECF3E2"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Copper</w:t>
            </w:r>
          </w:p>
        </w:tc>
        <w:tc>
          <w:tcPr>
            <w:tcW w:w="2667" w:type="dxa"/>
          </w:tcPr>
          <w:p w14:paraId="08551220"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0.40</w:t>
            </w:r>
          </w:p>
        </w:tc>
      </w:tr>
      <w:tr w:rsidR="005F4B6F" w:rsidRPr="005F4B6F" w14:paraId="2FC2C6EA" w14:textId="77777777" w:rsidTr="000573AD">
        <w:trPr>
          <w:trHeight w:val="187"/>
          <w:jc w:val="center"/>
        </w:trPr>
        <w:tc>
          <w:tcPr>
            <w:tcW w:w="2006" w:type="dxa"/>
          </w:tcPr>
          <w:p w14:paraId="5201891B"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Chromium</w:t>
            </w:r>
          </w:p>
        </w:tc>
        <w:tc>
          <w:tcPr>
            <w:tcW w:w="2667" w:type="dxa"/>
          </w:tcPr>
          <w:p w14:paraId="1FF5B238"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0.05</w:t>
            </w:r>
          </w:p>
        </w:tc>
      </w:tr>
      <w:tr w:rsidR="005F4B6F" w:rsidRPr="005F4B6F" w14:paraId="64C2627D" w14:textId="77777777" w:rsidTr="000573AD">
        <w:trPr>
          <w:trHeight w:val="187"/>
          <w:jc w:val="center"/>
        </w:trPr>
        <w:tc>
          <w:tcPr>
            <w:tcW w:w="2006" w:type="dxa"/>
          </w:tcPr>
          <w:p w14:paraId="5E55DE2A"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Lead</w:t>
            </w:r>
          </w:p>
        </w:tc>
        <w:tc>
          <w:tcPr>
            <w:tcW w:w="2667" w:type="dxa"/>
          </w:tcPr>
          <w:p w14:paraId="1F38E553"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0.04</w:t>
            </w:r>
          </w:p>
        </w:tc>
      </w:tr>
      <w:tr w:rsidR="005F4B6F" w:rsidRPr="005F4B6F" w14:paraId="4EEFA042" w14:textId="77777777" w:rsidTr="000573AD">
        <w:trPr>
          <w:trHeight w:val="187"/>
          <w:jc w:val="center"/>
        </w:trPr>
        <w:tc>
          <w:tcPr>
            <w:tcW w:w="2006" w:type="dxa"/>
          </w:tcPr>
          <w:p w14:paraId="10493E3D"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 xml:space="preserve">Cadmium </w:t>
            </w:r>
          </w:p>
        </w:tc>
        <w:tc>
          <w:tcPr>
            <w:tcW w:w="2667" w:type="dxa"/>
          </w:tcPr>
          <w:p w14:paraId="64E5620E" w14:textId="77777777" w:rsidR="005F4B6F" w:rsidRPr="005F4B6F" w:rsidRDefault="005F4B6F" w:rsidP="00934AE9">
            <w:pPr>
              <w:pStyle w:val="NoSpacing"/>
              <w:spacing w:line="360" w:lineRule="auto"/>
              <w:jc w:val="both"/>
              <w:rPr>
                <w:rFonts w:ascii="Arial" w:hAnsi="Arial" w:cs="Arial"/>
                <w:sz w:val="20"/>
                <w:szCs w:val="20"/>
              </w:rPr>
            </w:pPr>
            <w:r w:rsidRPr="005F4B6F">
              <w:rPr>
                <w:rFonts w:ascii="Arial" w:hAnsi="Arial" w:cs="Arial"/>
                <w:sz w:val="20"/>
                <w:szCs w:val="20"/>
              </w:rPr>
              <w:t>0.04</w:t>
            </w:r>
          </w:p>
        </w:tc>
      </w:tr>
    </w:tbl>
    <w:p w14:paraId="59E3D067" w14:textId="77777777" w:rsidR="005F4B6F" w:rsidRPr="005F4B6F" w:rsidRDefault="005F4B6F" w:rsidP="005F4B6F">
      <w:pPr>
        <w:spacing w:before="240" w:line="360" w:lineRule="auto"/>
        <w:jc w:val="both"/>
        <w:rPr>
          <w:rFonts w:ascii="Arial" w:hAnsi="Arial" w:cs="Arial"/>
        </w:rPr>
      </w:pPr>
      <w:r w:rsidRPr="005F4B6F">
        <w:rPr>
          <w:rFonts w:ascii="Arial" w:hAnsi="Arial" w:cs="Arial"/>
        </w:rPr>
        <w:t xml:space="preserve">     </w:t>
      </w:r>
      <w:r w:rsidRPr="005F4B6F">
        <w:rPr>
          <w:rFonts w:ascii="Arial" w:hAnsi="Arial" w:cs="Arial"/>
        </w:rPr>
        <w:tab/>
      </w:r>
      <w:r w:rsidRPr="005F4B6F">
        <w:rPr>
          <w:rFonts w:ascii="Arial" w:hAnsi="Arial" w:cs="Arial"/>
        </w:rPr>
        <w:tab/>
      </w:r>
      <w:r w:rsidRPr="005F4B6F">
        <w:rPr>
          <w:rFonts w:ascii="Arial" w:hAnsi="Arial" w:cs="Arial"/>
        </w:rPr>
        <w:tab/>
        <w:t>(</w:t>
      </w:r>
      <w:proofErr w:type="spellStart"/>
      <w:r w:rsidRPr="005F4B6F">
        <w:rPr>
          <w:rFonts w:ascii="Arial" w:hAnsi="Arial" w:cs="Arial"/>
        </w:rPr>
        <w:t>Sodamade</w:t>
      </w:r>
      <w:proofErr w:type="spellEnd"/>
      <w:r w:rsidRPr="005F4B6F">
        <w:rPr>
          <w:rFonts w:ascii="Arial" w:hAnsi="Arial" w:cs="Arial"/>
        </w:rPr>
        <w:t xml:space="preserve"> et al., 2017)</w:t>
      </w:r>
    </w:p>
    <w:p w14:paraId="13BEE3C0" w14:textId="77777777" w:rsidR="005F4B6F" w:rsidRPr="005F4B6F" w:rsidRDefault="005F4B6F" w:rsidP="005F4B6F">
      <w:pPr>
        <w:spacing w:before="240" w:line="360" w:lineRule="auto"/>
        <w:jc w:val="both"/>
        <w:rPr>
          <w:rFonts w:ascii="Arial" w:hAnsi="Arial" w:cs="Arial"/>
        </w:rPr>
      </w:pPr>
      <w:r w:rsidRPr="005F4B6F">
        <w:rPr>
          <w:rFonts w:ascii="Arial" w:hAnsi="Arial" w:cs="Arial"/>
        </w:rPr>
        <w:t xml:space="preserve">The young green pods are quite good and can be boiled and eaten as green beans. The pods are most suitable for human eating when they can be easily broken without leaving any visible </w:t>
      </w:r>
      <w:proofErr w:type="spellStart"/>
      <w:r w:rsidRPr="005F4B6F">
        <w:rPr>
          <w:rFonts w:ascii="Arial" w:hAnsi="Arial" w:cs="Arial"/>
        </w:rPr>
        <w:t>fibre</w:t>
      </w:r>
      <w:proofErr w:type="spellEnd"/>
      <w:r w:rsidRPr="005F4B6F">
        <w:rPr>
          <w:rFonts w:ascii="Arial" w:hAnsi="Arial" w:cs="Arial"/>
        </w:rPr>
        <w:t xml:space="preserve"> strings. These are high in free leucine. Before eating the seeds, the fine transparent hull must be removed by boiling them for a few minutes, and the water drained. Seeds should be eaten green before they turn yellow. The hull is undesirable as food because it tastes unpleasant (Makkar and Becker et al., 2001).</w:t>
      </w:r>
    </w:p>
    <w:p w14:paraId="1D33F88C" w14:textId="0F7EA3BE" w:rsidR="005F4B6F" w:rsidRPr="004939B9" w:rsidRDefault="004939B9" w:rsidP="005F4B6F">
      <w:pPr>
        <w:spacing w:before="240" w:line="360" w:lineRule="auto"/>
        <w:jc w:val="both"/>
        <w:rPr>
          <w:rFonts w:ascii="Arial" w:hAnsi="Arial" w:cs="Arial"/>
          <w:sz w:val="22"/>
          <w:szCs w:val="22"/>
        </w:rPr>
      </w:pPr>
      <w:r w:rsidRPr="004939B9">
        <w:rPr>
          <w:rFonts w:ascii="Arial" w:hAnsi="Arial" w:cs="Arial"/>
          <w:b/>
          <w:bCs/>
          <w:sz w:val="22"/>
          <w:szCs w:val="22"/>
        </w:rPr>
        <w:t>5</w:t>
      </w:r>
      <w:r w:rsidR="005F4B6F" w:rsidRPr="004939B9">
        <w:rPr>
          <w:rFonts w:ascii="Arial" w:hAnsi="Arial" w:cs="Arial"/>
          <w:b/>
          <w:bCs/>
          <w:sz w:val="22"/>
          <w:szCs w:val="22"/>
        </w:rPr>
        <w:t>.1 Moringa Seed Oil</w:t>
      </w:r>
    </w:p>
    <w:p w14:paraId="6DD2C462" w14:textId="77777777" w:rsidR="005F4B6F" w:rsidRPr="005F4B6F" w:rsidRDefault="005F4B6F" w:rsidP="005F4B6F">
      <w:pPr>
        <w:spacing w:before="240" w:line="360" w:lineRule="auto"/>
        <w:jc w:val="both"/>
        <w:rPr>
          <w:rFonts w:ascii="Arial" w:hAnsi="Arial" w:cs="Arial"/>
        </w:rPr>
      </w:pPr>
      <w:r w:rsidRPr="005F4B6F">
        <w:rPr>
          <w:rFonts w:ascii="Arial" w:hAnsi="Arial" w:cs="Arial"/>
        </w:rPr>
        <w:t xml:space="preserve">The oil content of dehulled seed (kernel) is about 42%. The oil is bright yellow. It is used as a lubricant for fine machinery such as watches since it does not decay and become rancid and sticky (Ferrao and Ferrao, 1970; Ramachandran et al., 1980). It also serves as a vegetable cooking oil. The oil is noted for its ability to absorb and hold volatile chemicals, making it useful in the perfume business for aroma stability. The free fatty acid content fluctuates between 0.5 and 3%. </w:t>
      </w:r>
      <w:r w:rsidRPr="005F4B6F">
        <w:rPr>
          <w:rFonts w:ascii="Arial" w:hAnsi="Arial" w:cs="Arial"/>
        </w:rPr>
        <w:lastRenderedPageBreak/>
        <w:t>Moringa seed oil contains about 13% saturated and 82% unsaturated fatty acids. It contains a relatively high percentage of oleic acid (70%). Other vegetable oils typically contain around 40% oleic acid (Makkar and Becker et al., 2001).</w:t>
      </w:r>
    </w:p>
    <w:p w14:paraId="49C4E647" w14:textId="1CDDAFA7" w:rsidR="005F4B6F" w:rsidRPr="004939B9" w:rsidRDefault="004939B9" w:rsidP="005F4B6F">
      <w:pPr>
        <w:spacing w:before="240" w:line="360" w:lineRule="auto"/>
        <w:jc w:val="both"/>
        <w:rPr>
          <w:rFonts w:ascii="Arial" w:hAnsi="Arial" w:cs="Arial"/>
          <w:b/>
          <w:bCs/>
          <w:sz w:val="22"/>
          <w:szCs w:val="22"/>
        </w:rPr>
      </w:pPr>
      <w:r w:rsidRPr="004939B9">
        <w:rPr>
          <w:rFonts w:ascii="Arial" w:hAnsi="Arial" w:cs="Arial"/>
          <w:b/>
          <w:bCs/>
          <w:sz w:val="22"/>
          <w:szCs w:val="22"/>
        </w:rPr>
        <w:t>5</w:t>
      </w:r>
      <w:r w:rsidR="005F4B6F" w:rsidRPr="004939B9">
        <w:rPr>
          <w:rFonts w:ascii="Arial" w:hAnsi="Arial" w:cs="Arial"/>
          <w:b/>
          <w:bCs/>
          <w:sz w:val="22"/>
          <w:szCs w:val="22"/>
        </w:rPr>
        <w:t xml:space="preserve">.2 Moringa Leaf Powder </w:t>
      </w:r>
    </w:p>
    <w:p w14:paraId="21C3033E" w14:textId="77777777" w:rsidR="005F4B6F" w:rsidRPr="005F4B6F" w:rsidRDefault="005F4B6F" w:rsidP="005F4B6F">
      <w:pPr>
        <w:spacing w:before="240" w:line="360" w:lineRule="auto"/>
        <w:jc w:val="both"/>
        <w:rPr>
          <w:rFonts w:ascii="Arial" w:hAnsi="Arial" w:cs="Arial"/>
          <w:color w:val="000000"/>
        </w:rPr>
      </w:pPr>
      <w:r w:rsidRPr="005F4B6F">
        <w:rPr>
          <w:rFonts w:ascii="Arial" w:hAnsi="Arial" w:cs="Arial"/>
          <w:i/>
          <w:iCs/>
        </w:rPr>
        <w:t>Moringa oleifera</w:t>
      </w:r>
      <w:r w:rsidRPr="005F4B6F">
        <w:rPr>
          <w:rFonts w:ascii="Arial" w:hAnsi="Arial" w:cs="Arial"/>
        </w:rPr>
        <w:t xml:space="preserve">, commonly denoted to as the "drumstick tree" or "miracle tree," has gained considerable attention for its exceptional nutritional and medicinal properties. The dried leaf powder of </w:t>
      </w:r>
      <w:r w:rsidRPr="005F4B6F">
        <w:rPr>
          <w:rFonts w:ascii="Arial" w:hAnsi="Arial" w:cs="Arial"/>
          <w:i/>
          <w:iCs/>
        </w:rPr>
        <w:t>Moringa oleifera</w:t>
      </w:r>
      <w:r w:rsidRPr="005F4B6F">
        <w:rPr>
          <w:rFonts w:ascii="Arial" w:hAnsi="Arial" w:cs="Arial"/>
        </w:rPr>
        <w:t xml:space="preserve"> is particularly valued in the food industry for its high content of essential nutrients, phytochemicals, and functional properties. </w:t>
      </w:r>
      <w:r w:rsidRPr="005F4B6F">
        <w:rPr>
          <w:rFonts w:ascii="Arial" w:hAnsi="Arial" w:cs="Arial"/>
          <w:i/>
          <w:iCs/>
        </w:rPr>
        <w:t>Moringa oleifera</w:t>
      </w:r>
      <w:r w:rsidRPr="005F4B6F">
        <w:rPr>
          <w:rFonts w:ascii="Arial" w:hAnsi="Arial" w:cs="Arial"/>
        </w:rPr>
        <w:t xml:space="preserve"> is a fast-growing, drought-resistant tree native to the Indian subcontinent and widely cultivated across tropical and subtropical regions. Its leaves are a rich source of proteins, essential amino acids, vitamins (especially vitamin A, C, and E), minerals (including calcium, potassium, iron, and zinc), and antioxidants such as flavonoids and phenolic compounds (Moyo et al., 2011). The leaf powder, obtained by drying and grinding the leaves, has emerged as a sustainable, low-cost, and highly nutritious supplement for human diets. </w:t>
      </w:r>
      <w:r w:rsidRPr="005F4B6F">
        <w:rPr>
          <w:rFonts w:ascii="Arial" w:hAnsi="Arial" w:cs="Arial"/>
          <w:i/>
          <w:iCs/>
        </w:rPr>
        <w:t>Moringa oleifera</w:t>
      </w:r>
      <w:r w:rsidRPr="005F4B6F">
        <w:rPr>
          <w:rFonts w:ascii="Arial" w:hAnsi="Arial" w:cs="Arial"/>
        </w:rPr>
        <w:t xml:space="preserve"> is a valuable plant species known for its rich composition of bioactive compounds, including tannins, alkaloids, flavonoids, catechol, saponins and anthraquinones. These phytochemicals contribute to its wide range of nutritional and therapeutic claims, as well as its effectiveness as a natural water purification agent (</w:t>
      </w:r>
      <w:r w:rsidRPr="005F4B6F">
        <w:rPr>
          <w:rFonts w:ascii="Arial" w:hAnsi="Arial" w:cs="Arial"/>
          <w:color w:val="000000"/>
        </w:rPr>
        <w:t xml:space="preserve">Kashyap et al., 2022). </w:t>
      </w:r>
      <w:r w:rsidRPr="005F4B6F">
        <w:rPr>
          <w:rFonts w:ascii="Arial" w:hAnsi="Arial" w:cs="Arial"/>
        </w:rPr>
        <w:t xml:space="preserve">Flavonoids represent the predominant class of phenolic compounds present in </w:t>
      </w:r>
      <w:r w:rsidRPr="005F4B6F">
        <w:rPr>
          <w:rFonts w:ascii="Arial" w:hAnsi="Arial" w:cs="Arial"/>
          <w:i/>
          <w:iCs/>
        </w:rPr>
        <w:t>Moringa oleifera</w:t>
      </w:r>
      <w:r w:rsidRPr="005F4B6F">
        <w:rPr>
          <w:rFonts w:ascii="Arial" w:hAnsi="Arial" w:cs="Arial"/>
        </w:rPr>
        <w:t xml:space="preserve"> leaves (</w:t>
      </w:r>
      <w:r w:rsidRPr="005F4B6F">
        <w:rPr>
          <w:rFonts w:ascii="Arial" w:hAnsi="Arial" w:cs="Arial"/>
          <w:color w:val="000000"/>
        </w:rPr>
        <w:t>Rodríguez-Pérez et al., 2015)</w:t>
      </w:r>
      <w:r w:rsidRPr="005F4B6F">
        <w:rPr>
          <w:rFonts w:ascii="Arial" w:hAnsi="Arial" w:cs="Arial"/>
        </w:rPr>
        <w:t>. Key flavonoids identified include apigenin, quercetin, myricetin glycosides, kaempferol and luteolin. Among these, quercetin is the most abundant, accounting for approximately 43.75% of the total flavonoid content, while the remaining flavonoids are present in relatively equal proportions, each comprising around 18.75% (</w:t>
      </w:r>
      <w:proofErr w:type="spellStart"/>
      <w:r w:rsidRPr="005F4B6F">
        <w:rPr>
          <w:rFonts w:ascii="Arial" w:hAnsi="Arial" w:cs="Arial"/>
          <w:color w:val="000000"/>
        </w:rPr>
        <w:t>Rocchetti</w:t>
      </w:r>
      <w:proofErr w:type="spellEnd"/>
      <w:r w:rsidRPr="005F4B6F">
        <w:rPr>
          <w:rFonts w:ascii="Arial" w:hAnsi="Arial" w:cs="Arial"/>
          <w:color w:val="000000"/>
        </w:rPr>
        <w:t xml:space="preserve"> et al., 2019)</w:t>
      </w:r>
      <w:r w:rsidRPr="005F4B6F">
        <w:rPr>
          <w:rFonts w:ascii="Arial" w:hAnsi="Arial" w:cs="Arial"/>
        </w:rPr>
        <w:t>.</w:t>
      </w:r>
    </w:p>
    <w:p w14:paraId="51602602" w14:textId="37B2C7B7" w:rsidR="005F4B6F" w:rsidRPr="004939B9" w:rsidRDefault="004939B9" w:rsidP="005F4B6F">
      <w:pPr>
        <w:spacing w:before="240" w:line="360" w:lineRule="auto"/>
        <w:jc w:val="both"/>
        <w:rPr>
          <w:rFonts w:ascii="Arial" w:hAnsi="Arial" w:cs="Arial"/>
          <w:b/>
          <w:bCs/>
          <w:sz w:val="22"/>
          <w:szCs w:val="22"/>
        </w:rPr>
      </w:pPr>
      <w:r w:rsidRPr="004939B9">
        <w:rPr>
          <w:rFonts w:ascii="Arial" w:hAnsi="Arial" w:cs="Arial"/>
          <w:b/>
          <w:bCs/>
          <w:sz w:val="22"/>
          <w:szCs w:val="22"/>
        </w:rPr>
        <w:t>5</w:t>
      </w:r>
      <w:r w:rsidR="005F4B6F" w:rsidRPr="004939B9">
        <w:rPr>
          <w:rFonts w:ascii="Arial" w:hAnsi="Arial" w:cs="Arial"/>
          <w:b/>
          <w:bCs/>
          <w:sz w:val="22"/>
          <w:szCs w:val="22"/>
        </w:rPr>
        <w:t>.3 Moringa Seed Powder</w:t>
      </w:r>
    </w:p>
    <w:p w14:paraId="709EF550" w14:textId="77777777" w:rsidR="005F4B6F" w:rsidRPr="005F4B6F" w:rsidRDefault="005F4B6F" w:rsidP="005F4B6F">
      <w:pPr>
        <w:spacing w:before="240" w:line="360" w:lineRule="auto"/>
        <w:jc w:val="both"/>
        <w:rPr>
          <w:rFonts w:ascii="Arial" w:hAnsi="Arial" w:cs="Arial"/>
        </w:rPr>
      </w:pPr>
      <w:r w:rsidRPr="005F4B6F">
        <w:rPr>
          <w:rFonts w:ascii="Arial" w:hAnsi="Arial" w:cs="Arial"/>
        </w:rPr>
        <w:t>Moringa seed extract powder works as a cleansing agent, protecting the skin from heavy metal pollution and cigarette smoke. As a result, lotions and thorough cleaning treatments frequently include this component. It also protects skin against particulate matter and smog particles that adhere to its surface.</w:t>
      </w:r>
    </w:p>
    <w:p w14:paraId="1D35EF0F" w14:textId="5C78C775" w:rsidR="005F4B6F" w:rsidRPr="005F4B6F" w:rsidRDefault="004939B9" w:rsidP="005F4B6F">
      <w:pPr>
        <w:spacing w:before="240" w:line="360" w:lineRule="auto"/>
        <w:jc w:val="both"/>
        <w:rPr>
          <w:rFonts w:ascii="Arial" w:hAnsi="Arial" w:cs="Arial"/>
          <w:b/>
          <w:bCs/>
        </w:rPr>
      </w:pPr>
      <w:r w:rsidRPr="004939B9">
        <w:rPr>
          <w:rFonts w:ascii="Arial" w:hAnsi="Arial" w:cs="Arial"/>
          <w:b/>
          <w:bCs/>
          <w:sz w:val="22"/>
          <w:szCs w:val="22"/>
        </w:rPr>
        <w:t>6. MORINGA INCORPORATION IN VARIOUS FOOD PRODUCTS</w:t>
      </w:r>
    </w:p>
    <w:p w14:paraId="3920C2A1" w14:textId="77777777" w:rsidR="005F4B6F" w:rsidRPr="005F4B6F" w:rsidRDefault="005F4B6F" w:rsidP="005F4B6F">
      <w:pPr>
        <w:spacing w:before="240" w:line="360" w:lineRule="auto"/>
        <w:jc w:val="both"/>
        <w:rPr>
          <w:rFonts w:ascii="Arial" w:hAnsi="Arial" w:cs="Arial"/>
        </w:rPr>
      </w:pPr>
      <w:r w:rsidRPr="005F4B6F">
        <w:rPr>
          <w:rFonts w:ascii="Arial" w:hAnsi="Arial" w:cs="Arial"/>
        </w:rPr>
        <w:t xml:space="preserve">Moringa-derived food and nutraceutical products have enormous potential for reducing malnutrition rates in impoverished countries. Table 2 shows some of the food products that contain leaf powder. </w:t>
      </w:r>
    </w:p>
    <w:p w14:paraId="38D76C76" w14:textId="77777777" w:rsidR="005F4B6F" w:rsidRPr="005F4B6F" w:rsidRDefault="005F4B6F" w:rsidP="005F4B6F">
      <w:pPr>
        <w:spacing w:before="240" w:line="360" w:lineRule="auto"/>
        <w:jc w:val="both"/>
        <w:rPr>
          <w:rFonts w:ascii="Arial" w:hAnsi="Arial" w:cs="Arial"/>
        </w:rPr>
      </w:pPr>
      <w:r w:rsidRPr="005F4B6F">
        <w:rPr>
          <w:rFonts w:ascii="Arial" w:hAnsi="Arial" w:cs="Arial"/>
        </w:rPr>
        <w:t>Table 2. Moringa incorporation in different food products.</w:t>
      </w:r>
    </w:p>
    <w:tbl>
      <w:tblPr>
        <w:tblStyle w:val="TableGrid"/>
        <w:tblW w:w="9918" w:type="dxa"/>
        <w:tblLook w:val="04A0" w:firstRow="1" w:lastRow="0" w:firstColumn="1" w:lastColumn="0" w:noHBand="0" w:noVBand="1"/>
      </w:tblPr>
      <w:tblGrid>
        <w:gridCol w:w="1190"/>
        <w:gridCol w:w="3058"/>
        <w:gridCol w:w="3969"/>
        <w:gridCol w:w="1701"/>
      </w:tblGrid>
      <w:tr w:rsidR="005F4B6F" w:rsidRPr="005F4B6F" w14:paraId="6966E597" w14:textId="77777777" w:rsidTr="000573AD">
        <w:trPr>
          <w:trHeight w:val="605"/>
        </w:trPr>
        <w:tc>
          <w:tcPr>
            <w:tcW w:w="1190" w:type="dxa"/>
          </w:tcPr>
          <w:p w14:paraId="3B68B9C4" w14:textId="77777777" w:rsidR="005F4B6F" w:rsidRPr="005F4B6F" w:rsidRDefault="005F4B6F" w:rsidP="000573AD">
            <w:pPr>
              <w:spacing w:before="240" w:line="360" w:lineRule="auto"/>
              <w:jc w:val="both"/>
              <w:rPr>
                <w:rFonts w:ascii="Arial" w:hAnsi="Arial" w:cs="Arial"/>
                <w:b/>
                <w:bCs/>
                <w:sz w:val="20"/>
                <w:szCs w:val="20"/>
              </w:rPr>
            </w:pPr>
            <w:r w:rsidRPr="005F4B6F">
              <w:rPr>
                <w:rFonts w:ascii="Arial" w:hAnsi="Arial" w:cs="Arial"/>
                <w:b/>
                <w:bCs/>
                <w:color w:val="1B1B1B"/>
                <w:sz w:val="20"/>
                <w:szCs w:val="20"/>
              </w:rPr>
              <w:t>Product types</w:t>
            </w:r>
          </w:p>
        </w:tc>
        <w:tc>
          <w:tcPr>
            <w:tcW w:w="3058" w:type="dxa"/>
          </w:tcPr>
          <w:p w14:paraId="3BAB784F" w14:textId="77777777" w:rsidR="005F4B6F" w:rsidRPr="005F4B6F" w:rsidRDefault="005F4B6F" w:rsidP="000573AD">
            <w:pPr>
              <w:spacing w:before="240" w:line="360" w:lineRule="auto"/>
              <w:jc w:val="both"/>
              <w:rPr>
                <w:rFonts w:ascii="Arial" w:hAnsi="Arial" w:cs="Arial"/>
                <w:b/>
                <w:bCs/>
                <w:sz w:val="20"/>
                <w:szCs w:val="20"/>
              </w:rPr>
            </w:pPr>
            <w:r w:rsidRPr="005F4B6F">
              <w:rPr>
                <w:rFonts w:ascii="Arial" w:hAnsi="Arial" w:cs="Arial"/>
                <w:b/>
                <w:bCs/>
                <w:color w:val="1B1B1B"/>
                <w:sz w:val="20"/>
                <w:szCs w:val="20"/>
              </w:rPr>
              <w:t>Addition</w:t>
            </w:r>
          </w:p>
        </w:tc>
        <w:tc>
          <w:tcPr>
            <w:tcW w:w="3969" w:type="dxa"/>
          </w:tcPr>
          <w:p w14:paraId="3C333BF3" w14:textId="77777777" w:rsidR="005F4B6F" w:rsidRPr="005F4B6F" w:rsidRDefault="005F4B6F" w:rsidP="000573AD">
            <w:pPr>
              <w:spacing w:before="240" w:line="360" w:lineRule="auto"/>
              <w:jc w:val="both"/>
              <w:rPr>
                <w:rFonts w:ascii="Arial" w:hAnsi="Arial" w:cs="Arial"/>
                <w:b/>
                <w:bCs/>
                <w:sz w:val="20"/>
                <w:szCs w:val="20"/>
              </w:rPr>
            </w:pPr>
            <w:r w:rsidRPr="005F4B6F">
              <w:rPr>
                <w:rFonts w:ascii="Arial" w:hAnsi="Arial" w:cs="Arial"/>
                <w:b/>
                <w:bCs/>
                <w:color w:val="1B1B1B"/>
                <w:sz w:val="20"/>
                <w:szCs w:val="20"/>
              </w:rPr>
              <w:t>Benefits</w:t>
            </w:r>
          </w:p>
        </w:tc>
        <w:tc>
          <w:tcPr>
            <w:tcW w:w="1701" w:type="dxa"/>
          </w:tcPr>
          <w:p w14:paraId="148FBD89" w14:textId="77777777" w:rsidR="005F4B6F" w:rsidRPr="005F4B6F" w:rsidRDefault="005F4B6F" w:rsidP="000573AD">
            <w:pPr>
              <w:spacing w:before="240" w:line="360" w:lineRule="auto"/>
              <w:jc w:val="both"/>
              <w:rPr>
                <w:rFonts w:ascii="Arial" w:hAnsi="Arial" w:cs="Arial"/>
                <w:b/>
                <w:bCs/>
                <w:color w:val="1B1B1B"/>
                <w:sz w:val="20"/>
                <w:szCs w:val="20"/>
              </w:rPr>
            </w:pPr>
            <w:r w:rsidRPr="005F4B6F">
              <w:rPr>
                <w:rFonts w:ascii="Arial" w:hAnsi="Arial" w:cs="Arial"/>
                <w:b/>
                <w:bCs/>
                <w:color w:val="1B1B1B"/>
                <w:sz w:val="20"/>
                <w:szCs w:val="20"/>
              </w:rPr>
              <w:t>References</w:t>
            </w:r>
          </w:p>
        </w:tc>
      </w:tr>
      <w:tr w:rsidR="005F4B6F" w:rsidRPr="005F4B6F" w14:paraId="3A3E3BA5" w14:textId="77777777" w:rsidTr="000573AD">
        <w:trPr>
          <w:trHeight w:val="1018"/>
        </w:trPr>
        <w:tc>
          <w:tcPr>
            <w:tcW w:w="1190" w:type="dxa"/>
          </w:tcPr>
          <w:p w14:paraId="2B82D43B"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color w:val="1B1B1B"/>
                <w:sz w:val="20"/>
                <w:szCs w:val="20"/>
              </w:rPr>
              <w:t>Soup</w:t>
            </w:r>
          </w:p>
        </w:tc>
        <w:tc>
          <w:tcPr>
            <w:tcW w:w="3058" w:type="dxa"/>
          </w:tcPr>
          <w:p w14:paraId="5514B75F"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color w:val="1B1B1B"/>
                <w:sz w:val="20"/>
                <w:szCs w:val="20"/>
              </w:rPr>
              <w:t>Alone or with green vegetables, soybeans, mushrooms, etc., as an ingredient of soup</w:t>
            </w:r>
          </w:p>
        </w:tc>
        <w:tc>
          <w:tcPr>
            <w:tcW w:w="3969" w:type="dxa"/>
          </w:tcPr>
          <w:p w14:paraId="16CB8C7C"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color w:val="1B1B1B"/>
                <w:sz w:val="20"/>
                <w:szCs w:val="20"/>
              </w:rPr>
              <w:t>Increase the protein, fiber, and ash levels to a satisfying amount</w:t>
            </w:r>
          </w:p>
        </w:tc>
        <w:tc>
          <w:tcPr>
            <w:tcW w:w="1701" w:type="dxa"/>
          </w:tcPr>
          <w:p w14:paraId="19D923C7" w14:textId="77777777" w:rsidR="005F4B6F" w:rsidRPr="005F4B6F" w:rsidRDefault="005F4B6F" w:rsidP="000573AD">
            <w:pPr>
              <w:spacing w:before="240" w:line="360" w:lineRule="auto"/>
              <w:jc w:val="both"/>
              <w:rPr>
                <w:rFonts w:ascii="Arial" w:hAnsi="Arial" w:cs="Arial"/>
                <w:color w:val="1B1B1B"/>
                <w:sz w:val="20"/>
                <w:szCs w:val="20"/>
              </w:rPr>
            </w:pPr>
            <w:r w:rsidRPr="005F4B6F">
              <w:rPr>
                <w:rFonts w:ascii="Arial" w:hAnsi="Arial" w:cs="Arial"/>
                <w:sz w:val="20"/>
                <w:szCs w:val="20"/>
              </w:rPr>
              <w:t>Farzana et al., 2017</w:t>
            </w:r>
          </w:p>
        </w:tc>
      </w:tr>
      <w:tr w:rsidR="005F4B6F" w:rsidRPr="005F4B6F" w14:paraId="143AC401" w14:textId="77777777" w:rsidTr="000573AD">
        <w:trPr>
          <w:trHeight w:val="277"/>
        </w:trPr>
        <w:tc>
          <w:tcPr>
            <w:tcW w:w="1190" w:type="dxa"/>
          </w:tcPr>
          <w:p w14:paraId="0083052F"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color w:val="1B1B1B"/>
                <w:sz w:val="20"/>
                <w:szCs w:val="20"/>
              </w:rPr>
              <w:t>Moringa paneer</w:t>
            </w:r>
          </w:p>
        </w:tc>
        <w:tc>
          <w:tcPr>
            <w:tcW w:w="3058" w:type="dxa"/>
          </w:tcPr>
          <w:p w14:paraId="3D6A8031"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color w:val="1B1B1B"/>
                <w:sz w:val="20"/>
                <w:szCs w:val="20"/>
              </w:rPr>
              <w:t>Paneer with extract of Moringa leaves and moringa powder</w:t>
            </w:r>
          </w:p>
        </w:tc>
        <w:tc>
          <w:tcPr>
            <w:tcW w:w="3969" w:type="dxa"/>
            <w:vAlign w:val="center"/>
          </w:tcPr>
          <w:p w14:paraId="39C4A068"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sz w:val="20"/>
                <w:szCs w:val="20"/>
              </w:rPr>
              <w:t>Improves protein profile and adds antioxidant properties</w:t>
            </w:r>
          </w:p>
        </w:tc>
        <w:tc>
          <w:tcPr>
            <w:tcW w:w="1701" w:type="dxa"/>
          </w:tcPr>
          <w:p w14:paraId="474A9B75"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sz w:val="20"/>
                <w:szCs w:val="20"/>
              </w:rPr>
              <w:t xml:space="preserve">Tanwar, 2022; Kumar et al., </w:t>
            </w:r>
            <w:r w:rsidRPr="005F4B6F">
              <w:rPr>
                <w:rFonts w:ascii="Arial" w:hAnsi="Arial" w:cs="Arial"/>
                <w:sz w:val="20"/>
                <w:szCs w:val="20"/>
              </w:rPr>
              <w:lastRenderedPageBreak/>
              <w:t>2024</w:t>
            </w:r>
          </w:p>
        </w:tc>
      </w:tr>
      <w:tr w:rsidR="005F4B6F" w:rsidRPr="005F4B6F" w14:paraId="7F35D72C" w14:textId="77777777" w:rsidTr="000573AD">
        <w:trPr>
          <w:trHeight w:val="498"/>
        </w:trPr>
        <w:tc>
          <w:tcPr>
            <w:tcW w:w="1190" w:type="dxa"/>
          </w:tcPr>
          <w:p w14:paraId="2D7E0E71"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color w:val="1B1B1B"/>
                <w:sz w:val="20"/>
                <w:szCs w:val="20"/>
              </w:rPr>
              <w:lastRenderedPageBreak/>
              <w:t>Chocolate</w:t>
            </w:r>
          </w:p>
        </w:tc>
        <w:tc>
          <w:tcPr>
            <w:tcW w:w="3058" w:type="dxa"/>
          </w:tcPr>
          <w:p w14:paraId="57FCC1BE" w14:textId="3199EFF9" w:rsidR="005F4B6F" w:rsidRPr="005F4B6F" w:rsidRDefault="005F4B6F" w:rsidP="000573AD">
            <w:pPr>
              <w:spacing w:before="240" w:line="360" w:lineRule="auto"/>
              <w:jc w:val="both"/>
              <w:rPr>
                <w:rFonts w:ascii="Arial" w:hAnsi="Arial" w:cs="Arial"/>
                <w:color w:val="1B1B1B"/>
                <w:sz w:val="20"/>
                <w:szCs w:val="20"/>
              </w:rPr>
            </w:pPr>
            <w:r w:rsidRPr="005F4B6F">
              <w:rPr>
                <w:rFonts w:ascii="Arial" w:hAnsi="Arial" w:cs="Arial"/>
                <w:color w:val="1B1B1B"/>
                <w:sz w:val="20"/>
                <w:szCs w:val="20"/>
              </w:rPr>
              <w:t xml:space="preserve">Moringa leaf powder as </w:t>
            </w:r>
            <w:r w:rsidR="00934AE9">
              <w:rPr>
                <w:rFonts w:ascii="Arial" w:hAnsi="Arial" w:cs="Arial"/>
                <w:color w:val="1B1B1B"/>
                <w:sz w:val="20"/>
                <w:szCs w:val="20"/>
              </w:rPr>
              <w:t xml:space="preserve">an </w:t>
            </w:r>
            <w:r w:rsidRPr="005F4B6F">
              <w:rPr>
                <w:rFonts w:ascii="Arial" w:hAnsi="Arial" w:cs="Arial"/>
                <w:color w:val="1B1B1B"/>
                <w:sz w:val="20"/>
                <w:szCs w:val="20"/>
              </w:rPr>
              <w:t>extra protein and fiber agent</w:t>
            </w:r>
          </w:p>
        </w:tc>
        <w:tc>
          <w:tcPr>
            <w:tcW w:w="3969" w:type="dxa"/>
            <w:vAlign w:val="center"/>
          </w:tcPr>
          <w:p w14:paraId="16A174D0"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sz w:val="20"/>
                <w:szCs w:val="20"/>
              </w:rPr>
              <w:t>Acts as a natural protein and fiber booster</w:t>
            </w:r>
          </w:p>
        </w:tc>
        <w:tc>
          <w:tcPr>
            <w:tcW w:w="1701" w:type="dxa"/>
          </w:tcPr>
          <w:p w14:paraId="4B0AFA6C"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sz w:val="20"/>
                <w:szCs w:val="20"/>
              </w:rPr>
              <w:t xml:space="preserve">Hamid et al., 2021; </w:t>
            </w:r>
          </w:p>
        </w:tc>
      </w:tr>
      <w:tr w:rsidR="005F4B6F" w:rsidRPr="005F4B6F" w14:paraId="5BFE83CE" w14:textId="77777777" w:rsidTr="000573AD">
        <w:trPr>
          <w:trHeight w:val="443"/>
        </w:trPr>
        <w:tc>
          <w:tcPr>
            <w:tcW w:w="1190" w:type="dxa"/>
          </w:tcPr>
          <w:p w14:paraId="4F8CC04C"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color w:val="1B1B1B"/>
                <w:sz w:val="20"/>
                <w:szCs w:val="20"/>
              </w:rPr>
              <w:t>Bakery products</w:t>
            </w:r>
          </w:p>
        </w:tc>
        <w:tc>
          <w:tcPr>
            <w:tcW w:w="3058" w:type="dxa"/>
          </w:tcPr>
          <w:p w14:paraId="65BA13A0"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color w:val="1B1B1B"/>
                <w:sz w:val="20"/>
                <w:szCs w:val="20"/>
              </w:rPr>
              <w:t>Flour replaced with Moringa leaf and seed powder</w:t>
            </w:r>
          </w:p>
        </w:tc>
        <w:tc>
          <w:tcPr>
            <w:tcW w:w="3969" w:type="dxa"/>
            <w:vAlign w:val="center"/>
          </w:tcPr>
          <w:p w14:paraId="2E8FD02C"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sz w:val="20"/>
                <w:szCs w:val="20"/>
              </w:rPr>
              <w:t xml:space="preserve">Increases dietary fiber, protein, iron and calcium content </w:t>
            </w:r>
          </w:p>
          <w:p w14:paraId="5E31E2CD"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sz w:val="20"/>
                <w:szCs w:val="20"/>
              </w:rPr>
              <w:t>Enhances nutritional profile without compromising texture or taste</w:t>
            </w:r>
          </w:p>
        </w:tc>
        <w:tc>
          <w:tcPr>
            <w:tcW w:w="1701" w:type="dxa"/>
          </w:tcPr>
          <w:p w14:paraId="3AD6C2DE" w14:textId="77777777" w:rsidR="005F4B6F" w:rsidRPr="005F4B6F" w:rsidRDefault="005F4B6F" w:rsidP="000573AD">
            <w:pPr>
              <w:spacing w:before="240" w:line="360" w:lineRule="auto"/>
              <w:jc w:val="both"/>
              <w:rPr>
                <w:rFonts w:ascii="Arial" w:hAnsi="Arial" w:cs="Arial"/>
                <w:sz w:val="20"/>
                <w:szCs w:val="20"/>
              </w:rPr>
            </w:pPr>
            <w:r w:rsidRPr="005F4B6F">
              <w:rPr>
                <w:rFonts w:ascii="Arial" w:hAnsi="Arial" w:cs="Arial"/>
                <w:sz w:val="20"/>
                <w:szCs w:val="20"/>
              </w:rPr>
              <w:t>Milla et al., 2021</w:t>
            </w:r>
          </w:p>
        </w:tc>
      </w:tr>
    </w:tbl>
    <w:p w14:paraId="59A76632" w14:textId="35DB5A18" w:rsidR="005F4B6F" w:rsidRPr="004939B9" w:rsidRDefault="004939B9" w:rsidP="005F4B6F">
      <w:pPr>
        <w:spacing w:before="240" w:line="360" w:lineRule="auto"/>
        <w:jc w:val="both"/>
        <w:rPr>
          <w:rFonts w:ascii="Arial" w:hAnsi="Arial" w:cs="Arial"/>
          <w:b/>
          <w:bCs/>
          <w:color w:val="000000"/>
          <w:sz w:val="22"/>
          <w:szCs w:val="22"/>
        </w:rPr>
      </w:pPr>
      <w:r w:rsidRPr="004939B9">
        <w:rPr>
          <w:rFonts w:ascii="Arial" w:hAnsi="Arial" w:cs="Arial"/>
          <w:b/>
          <w:bCs/>
          <w:color w:val="000000"/>
          <w:sz w:val="22"/>
          <w:szCs w:val="22"/>
        </w:rPr>
        <w:t>7. CONCLUSION</w:t>
      </w:r>
    </w:p>
    <w:p w14:paraId="13460F5E" w14:textId="5E0E46F7" w:rsidR="00790ADA" w:rsidRPr="006F171D" w:rsidRDefault="005F4B6F" w:rsidP="006F171D">
      <w:pPr>
        <w:spacing w:before="240" w:line="360" w:lineRule="auto"/>
        <w:jc w:val="both"/>
        <w:rPr>
          <w:rFonts w:ascii="Arial" w:hAnsi="Arial" w:cs="Arial"/>
          <w:color w:val="000000"/>
        </w:rPr>
      </w:pPr>
      <w:r w:rsidRPr="005F4B6F">
        <w:rPr>
          <w:rFonts w:ascii="Arial" w:hAnsi="Arial" w:cs="Arial"/>
          <w:color w:val="000000"/>
        </w:rPr>
        <w:t xml:space="preserve">Moringa oleifera is a powerful plant-based resource with exceptional nutritional and medicinal properties, making it a valuable candidate for both functional food development and </w:t>
      </w:r>
      <w:proofErr w:type="spellStart"/>
      <w:r w:rsidRPr="005F4B6F">
        <w:rPr>
          <w:rFonts w:ascii="Arial" w:hAnsi="Arial" w:cs="Arial"/>
          <w:color w:val="000000"/>
        </w:rPr>
        <w:t>phytotherapeutic</w:t>
      </w:r>
      <w:proofErr w:type="spellEnd"/>
      <w:r w:rsidRPr="005F4B6F">
        <w:rPr>
          <w:rFonts w:ascii="Arial" w:hAnsi="Arial" w:cs="Arial"/>
          <w:color w:val="000000"/>
        </w:rPr>
        <w:t xml:space="preserve"> applications. Rich in bioactive compounds such as antioxidants, vitamins, and essential amino acids, it has demonstrated promising effects in managing diabetes, reducing inflammation, combating oxidative stress, and improving lipid profiles. Its successful integration into various food products like soups, baked goods, dairy, and chocolates highlights its versatility and potential to address malnutrition and support overall health. While preliminary studies affirm its benefits, continued interdisciplinary research is essential to standardize its use, confirm long-term safety, and fully </w:t>
      </w:r>
      <w:proofErr w:type="spellStart"/>
      <w:r w:rsidRPr="005F4B6F">
        <w:rPr>
          <w:rFonts w:ascii="Arial" w:hAnsi="Arial" w:cs="Arial"/>
          <w:color w:val="000000"/>
        </w:rPr>
        <w:t>realise</w:t>
      </w:r>
      <w:proofErr w:type="spellEnd"/>
      <w:r w:rsidRPr="005F4B6F">
        <w:rPr>
          <w:rFonts w:ascii="Arial" w:hAnsi="Arial" w:cs="Arial"/>
          <w:color w:val="000000"/>
        </w:rPr>
        <w:t xml:space="preserve"> its potential in combating chronic diseases and enhancing nutritional security.</w:t>
      </w:r>
    </w:p>
    <w:p w14:paraId="5FDBDDBB" w14:textId="77777777" w:rsidR="002B685A" w:rsidRDefault="002B685A" w:rsidP="00441B6F">
      <w:pPr>
        <w:pStyle w:val="ReferHead"/>
        <w:spacing w:after="0"/>
        <w:jc w:val="both"/>
        <w:rPr>
          <w:rFonts w:ascii="Arial" w:hAnsi="Arial" w:cs="Arial"/>
          <w:b w:val="0"/>
          <w:caps w:val="0"/>
          <w:sz w:val="20"/>
        </w:rPr>
      </w:pPr>
    </w:p>
    <w:p w14:paraId="35108295" w14:textId="77777777" w:rsidR="001F64A3" w:rsidRDefault="001F64A3" w:rsidP="00441B6F">
      <w:pPr>
        <w:pStyle w:val="ReferHead"/>
        <w:spacing w:after="0"/>
        <w:jc w:val="both"/>
        <w:rPr>
          <w:rFonts w:ascii="Arial" w:hAnsi="Arial" w:cs="Arial"/>
          <w:b w:val="0"/>
          <w:caps w:val="0"/>
          <w:sz w:val="20"/>
        </w:rPr>
      </w:pPr>
    </w:p>
    <w:p w14:paraId="069B9AEE" w14:textId="03BFB02F" w:rsidR="002B685A" w:rsidRPr="002B685A" w:rsidRDefault="002B685A" w:rsidP="00934AE9">
      <w:pPr>
        <w:pStyle w:val="ReferHead"/>
        <w:spacing w:before="240" w:line="360" w:lineRule="auto"/>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3B736C71" w14:textId="522E2EA0" w:rsidR="00934AE9" w:rsidRDefault="002B685A" w:rsidP="00934AE9">
      <w:pPr>
        <w:pStyle w:val="ReferHead"/>
        <w:spacing w:before="240" w:line="360" w:lineRule="auto"/>
        <w:jc w:val="both"/>
        <w:rPr>
          <w:rFonts w:ascii="Arial" w:hAnsi="Arial" w:cs="Arial"/>
          <w:b w:val="0"/>
          <w:caps w:val="0"/>
          <w:sz w:val="20"/>
        </w:rPr>
      </w:pPr>
      <w:r>
        <w:rPr>
          <w:rFonts w:ascii="Arial" w:hAnsi="Arial" w:cs="Arial"/>
          <w:b w:val="0"/>
          <w:caps w:val="0"/>
          <w:sz w:val="20"/>
        </w:rPr>
        <w:t>No</w:t>
      </w:r>
      <w:r w:rsidR="00934AE9">
        <w:rPr>
          <w:rFonts w:ascii="Arial" w:hAnsi="Arial" w:cs="Arial"/>
          <w:b w:val="0"/>
          <w:caps w:val="0"/>
          <w:sz w:val="20"/>
        </w:rPr>
        <w:t>t applicable</w:t>
      </w:r>
    </w:p>
    <w:p w14:paraId="3A1FC00D" w14:textId="3B29582C" w:rsidR="005C784C" w:rsidRPr="002B685A" w:rsidRDefault="005C784C" w:rsidP="00934AE9">
      <w:pPr>
        <w:pStyle w:val="ReferHead"/>
        <w:spacing w:before="240" w:line="360" w:lineRule="auto"/>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52CF4FFC" w14:textId="7DBC20FE" w:rsidR="00860000" w:rsidRPr="006F171D" w:rsidRDefault="00934AE9" w:rsidP="006F171D">
      <w:pPr>
        <w:pStyle w:val="ReferHead"/>
        <w:spacing w:before="240" w:line="360" w:lineRule="auto"/>
        <w:jc w:val="both"/>
        <w:rPr>
          <w:rFonts w:ascii="Arial" w:hAnsi="Arial" w:cs="Arial"/>
          <w:b w:val="0"/>
          <w:caps w:val="0"/>
          <w:sz w:val="20"/>
        </w:rPr>
      </w:pPr>
      <w:r>
        <w:rPr>
          <w:rFonts w:ascii="Arial" w:hAnsi="Arial" w:cs="Arial"/>
          <w:b w:val="0"/>
          <w:caps w:val="0"/>
          <w:sz w:val="20"/>
        </w:rPr>
        <w:t>Not applicable</w:t>
      </w:r>
    </w:p>
    <w:p w14:paraId="6A43B102" w14:textId="1CD509A4" w:rsidR="0028457E" w:rsidRPr="00FB3A86" w:rsidRDefault="00B01FCD" w:rsidP="00F03887">
      <w:pPr>
        <w:pStyle w:val="ReferHead"/>
        <w:spacing w:before="240" w:after="0" w:line="360" w:lineRule="auto"/>
        <w:jc w:val="both"/>
        <w:rPr>
          <w:rFonts w:ascii="Arial" w:hAnsi="Arial" w:cs="Arial"/>
        </w:rPr>
      </w:pPr>
      <w:r w:rsidRPr="00FB3A86">
        <w:rPr>
          <w:rFonts w:ascii="Arial" w:hAnsi="Arial" w:cs="Arial"/>
        </w:rPr>
        <w:t>References</w:t>
      </w:r>
    </w:p>
    <w:p w14:paraId="469FCAC9" w14:textId="77777777" w:rsidR="009F0424" w:rsidRPr="0028457E" w:rsidRDefault="009F0424" w:rsidP="00F03887">
      <w:pPr>
        <w:pStyle w:val="Body"/>
        <w:numPr>
          <w:ilvl w:val="0"/>
          <w:numId w:val="31"/>
        </w:numPr>
        <w:spacing w:before="240" w:after="0" w:line="360" w:lineRule="auto"/>
        <w:rPr>
          <w:rFonts w:ascii="Arial" w:hAnsi="Arial" w:cs="Arial"/>
          <w:lang w:val="en-IN"/>
        </w:rPr>
      </w:pPr>
      <w:r w:rsidRPr="0028457E">
        <w:rPr>
          <w:rFonts w:ascii="Arial" w:hAnsi="Arial" w:cs="Arial"/>
          <w:lang w:val="en-IN"/>
        </w:rPr>
        <w:t xml:space="preserve">Abd El-Hack, M. E., </w:t>
      </w:r>
      <w:proofErr w:type="spellStart"/>
      <w:r w:rsidRPr="0028457E">
        <w:rPr>
          <w:rFonts w:ascii="Arial" w:hAnsi="Arial" w:cs="Arial"/>
          <w:lang w:val="en-IN"/>
        </w:rPr>
        <w:t>Alqhtani</w:t>
      </w:r>
      <w:proofErr w:type="spellEnd"/>
      <w:r w:rsidRPr="0028457E">
        <w:rPr>
          <w:rFonts w:ascii="Arial" w:hAnsi="Arial" w:cs="Arial"/>
          <w:lang w:val="en-IN"/>
        </w:rPr>
        <w:t xml:space="preserve">, A. H., </w:t>
      </w:r>
      <w:proofErr w:type="spellStart"/>
      <w:r w:rsidRPr="0028457E">
        <w:rPr>
          <w:rFonts w:ascii="Arial" w:hAnsi="Arial" w:cs="Arial"/>
          <w:lang w:val="en-IN"/>
        </w:rPr>
        <w:t>Swelum</w:t>
      </w:r>
      <w:proofErr w:type="spellEnd"/>
      <w:r w:rsidRPr="0028457E">
        <w:rPr>
          <w:rFonts w:ascii="Arial" w:hAnsi="Arial" w:cs="Arial"/>
          <w:lang w:val="en-IN"/>
        </w:rPr>
        <w:t>, A. A., El-</w:t>
      </w:r>
      <w:proofErr w:type="spellStart"/>
      <w:r w:rsidRPr="0028457E">
        <w:rPr>
          <w:rFonts w:ascii="Arial" w:hAnsi="Arial" w:cs="Arial"/>
          <w:lang w:val="en-IN"/>
        </w:rPr>
        <w:t>Saadony</w:t>
      </w:r>
      <w:proofErr w:type="spellEnd"/>
      <w:r w:rsidRPr="0028457E">
        <w:rPr>
          <w:rFonts w:ascii="Arial" w:hAnsi="Arial" w:cs="Arial"/>
          <w:lang w:val="en-IN"/>
        </w:rPr>
        <w:t xml:space="preserve">, M. T., Salem, H. M., </w:t>
      </w:r>
      <w:proofErr w:type="spellStart"/>
      <w:r w:rsidRPr="0028457E">
        <w:rPr>
          <w:rFonts w:ascii="Arial" w:hAnsi="Arial" w:cs="Arial"/>
          <w:lang w:val="en-IN"/>
        </w:rPr>
        <w:t>Babalghith</w:t>
      </w:r>
      <w:proofErr w:type="spellEnd"/>
      <w:r w:rsidRPr="0028457E">
        <w:rPr>
          <w:rFonts w:ascii="Arial" w:hAnsi="Arial" w:cs="Arial"/>
          <w:lang w:val="en-IN"/>
        </w:rPr>
        <w:t>, A. O., ... El-</w:t>
      </w:r>
      <w:proofErr w:type="spellStart"/>
      <w:r w:rsidRPr="0028457E">
        <w:rPr>
          <w:rFonts w:ascii="Arial" w:hAnsi="Arial" w:cs="Arial"/>
          <w:lang w:val="en-IN"/>
        </w:rPr>
        <w:t>Tarabily</w:t>
      </w:r>
      <w:proofErr w:type="spellEnd"/>
      <w:r w:rsidRPr="0028457E">
        <w:rPr>
          <w:rFonts w:ascii="Arial" w:hAnsi="Arial" w:cs="Arial"/>
          <w:lang w:val="en-IN"/>
        </w:rPr>
        <w:t xml:space="preserve">, K. A. (2022). Pharmacological, nutritional and antimicrobial uses of Moringa oleifera Lam. leaves in poultry nutrition: An updated knowledge. </w:t>
      </w:r>
      <w:r w:rsidRPr="0028457E">
        <w:rPr>
          <w:rFonts w:ascii="Arial" w:hAnsi="Arial" w:cs="Arial"/>
          <w:i/>
          <w:iCs/>
          <w:lang w:val="en-IN"/>
        </w:rPr>
        <w:t>Poultry Science</w:t>
      </w:r>
      <w:r w:rsidRPr="0028457E">
        <w:rPr>
          <w:rFonts w:ascii="Arial" w:hAnsi="Arial" w:cs="Arial"/>
          <w:lang w:val="en-IN"/>
        </w:rPr>
        <w:t>, 101(9), 102031. https://doi.org/10.1016/j.psj.2022.102031</w:t>
      </w:r>
    </w:p>
    <w:p w14:paraId="7B334E31" w14:textId="19C9FCE9"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Abdel-Daim, M. M., Khalil, S. R., Awad, A., Abu Zeid, E. H., El-Aziz, R. A., &amp; El-</w:t>
      </w:r>
      <w:proofErr w:type="spellStart"/>
      <w:r w:rsidRPr="00F03887">
        <w:rPr>
          <w:rFonts w:ascii="Arial" w:hAnsi="Arial" w:cs="Arial"/>
        </w:rPr>
        <w:t>Serehy</w:t>
      </w:r>
      <w:proofErr w:type="spellEnd"/>
      <w:r w:rsidRPr="00F03887">
        <w:rPr>
          <w:rFonts w:ascii="Arial" w:hAnsi="Arial" w:cs="Arial"/>
        </w:rPr>
        <w:t xml:space="preserve">, H. A. (2020). Ethanolic extract of </w:t>
      </w:r>
      <w:r w:rsidRPr="00F03887">
        <w:rPr>
          <w:rStyle w:val="Emphasis"/>
          <w:rFonts w:ascii="Arial" w:hAnsi="Arial" w:cs="Arial"/>
        </w:rPr>
        <w:t>Moringa oleifera</w:t>
      </w:r>
      <w:r w:rsidRPr="00F03887">
        <w:rPr>
          <w:rFonts w:ascii="Arial" w:hAnsi="Arial" w:cs="Arial"/>
        </w:rPr>
        <w:t xml:space="preserve"> leaves influences NF-</w:t>
      </w:r>
      <w:proofErr w:type="spellStart"/>
      <w:r w:rsidRPr="00F03887">
        <w:rPr>
          <w:rFonts w:ascii="Arial" w:hAnsi="Arial" w:cs="Arial"/>
        </w:rPr>
        <w:t>κB</w:t>
      </w:r>
      <w:proofErr w:type="spellEnd"/>
      <w:r w:rsidRPr="00F03887">
        <w:rPr>
          <w:rFonts w:ascii="Arial" w:hAnsi="Arial" w:cs="Arial"/>
        </w:rPr>
        <w:t xml:space="preserve"> signaling pathway to restore kidney tissue from cobalt-mediated oxidative injury and inflammation in rats. </w:t>
      </w:r>
      <w:r w:rsidRPr="00F03887">
        <w:rPr>
          <w:rStyle w:val="Emphasis"/>
          <w:rFonts w:ascii="Arial" w:hAnsi="Arial" w:cs="Arial"/>
        </w:rPr>
        <w:t>Nutrients</w:t>
      </w:r>
      <w:r w:rsidRPr="00F03887">
        <w:rPr>
          <w:rFonts w:ascii="Arial" w:hAnsi="Arial" w:cs="Arial"/>
        </w:rPr>
        <w:t>, 12(4), 1031.</w:t>
      </w:r>
      <w:r w:rsidR="00F03887">
        <w:rPr>
          <w:rFonts w:ascii="Arial" w:hAnsi="Arial" w:cs="Arial"/>
        </w:rPr>
        <w:t xml:space="preserve"> </w:t>
      </w:r>
      <w:r w:rsidR="00F03887" w:rsidRPr="00F03887">
        <w:rPr>
          <w:rFonts w:ascii="Arial" w:hAnsi="Arial" w:cs="Arial"/>
        </w:rPr>
        <w:t>https://doi.org/10.3390/nu12041031</w:t>
      </w:r>
    </w:p>
    <w:p w14:paraId="7A4BB172"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Adedokun, S. A., </w:t>
      </w:r>
      <w:proofErr w:type="spellStart"/>
      <w:r w:rsidRPr="0028457E">
        <w:rPr>
          <w:rFonts w:ascii="Arial" w:hAnsi="Arial" w:cs="Arial"/>
          <w:lang w:val="en-IN" w:eastAsia="en-IN" w:bidi="gu-IN"/>
        </w:rPr>
        <w:t>Dosumu</w:t>
      </w:r>
      <w:proofErr w:type="spellEnd"/>
      <w:r w:rsidRPr="0028457E">
        <w:rPr>
          <w:rFonts w:ascii="Arial" w:hAnsi="Arial" w:cs="Arial"/>
          <w:lang w:val="en-IN" w:eastAsia="en-IN" w:bidi="gu-IN"/>
        </w:rPr>
        <w:t xml:space="preserve">, O. A., &amp; </w:t>
      </w:r>
      <w:proofErr w:type="spellStart"/>
      <w:r w:rsidRPr="0028457E">
        <w:rPr>
          <w:rFonts w:ascii="Arial" w:hAnsi="Arial" w:cs="Arial"/>
          <w:lang w:val="en-IN" w:eastAsia="en-IN" w:bidi="gu-IN"/>
        </w:rPr>
        <w:t>Alagbe</w:t>
      </w:r>
      <w:proofErr w:type="spellEnd"/>
      <w:r w:rsidRPr="0028457E">
        <w:rPr>
          <w:rFonts w:ascii="Arial" w:hAnsi="Arial" w:cs="Arial"/>
          <w:lang w:val="en-IN" w:eastAsia="en-IN" w:bidi="gu-IN"/>
        </w:rPr>
        <w:t xml:space="preserve">, J. O. (2020). Nutritional and medicinal benefits of Moringa oleifera leaves: Review. </w:t>
      </w:r>
      <w:r w:rsidRPr="0028457E">
        <w:rPr>
          <w:rFonts w:ascii="Arial" w:hAnsi="Arial" w:cs="Arial"/>
          <w:i/>
          <w:iCs/>
          <w:lang w:val="en-IN" w:eastAsia="en-IN" w:bidi="gu-IN"/>
        </w:rPr>
        <w:t>European Journal of Nutrition &amp; Food Safety</w:t>
      </w:r>
      <w:r w:rsidRPr="0028457E">
        <w:rPr>
          <w:rFonts w:ascii="Arial" w:hAnsi="Arial" w:cs="Arial"/>
          <w:lang w:val="en-IN" w:eastAsia="en-IN" w:bidi="gu-IN"/>
        </w:rPr>
        <w:t>, 12(4), 23–30. https://doi.org/10.9734/ejnfs/2020/v12i430220</w:t>
      </w:r>
    </w:p>
    <w:p w14:paraId="44E36829"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proofErr w:type="spellStart"/>
      <w:r w:rsidRPr="0028457E">
        <w:rPr>
          <w:rFonts w:ascii="Arial" w:hAnsi="Arial" w:cs="Arial"/>
          <w:lang w:val="en-IN" w:eastAsia="en-IN" w:bidi="gu-IN"/>
        </w:rPr>
        <w:lastRenderedPageBreak/>
        <w:t>Ahmadua</w:t>
      </w:r>
      <w:proofErr w:type="spellEnd"/>
      <w:r w:rsidRPr="0028457E">
        <w:rPr>
          <w:rFonts w:ascii="Arial" w:hAnsi="Arial" w:cs="Arial"/>
          <w:lang w:val="en-IN" w:eastAsia="en-IN" w:bidi="gu-IN"/>
        </w:rPr>
        <w:t xml:space="preserve">, T., Ahmad, K., Ismail, S. I., Rashed, O., </w:t>
      </w:r>
      <w:proofErr w:type="spellStart"/>
      <w:r w:rsidRPr="0028457E">
        <w:rPr>
          <w:rFonts w:ascii="Arial" w:hAnsi="Arial" w:cs="Arial"/>
          <w:lang w:val="en-IN" w:eastAsia="en-IN" w:bidi="gu-IN"/>
        </w:rPr>
        <w:t>Asib</w:t>
      </w:r>
      <w:proofErr w:type="spellEnd"/>
      <w:r w:rsidRPr="0028457E">
        <w:rPr>
          <w:rFonts w:ascii="Arial" w:hAnsi="Arial" w:cs="Arial"/>
          <w:lang w:val="en-IN" w:eastAsia="en-IN" w:bidi="gu-IN"/>
        </w:rPr>
        <w:t xml:space="preserve">, N., &amp; Omar, D. (2020). Antifungal efficacy of Moringa oleifera leaves and seed extract against Botrytis cinerea causing </w:t>
      </w:r>
      <w:proofErr w:type="spellStart"/>
      <w:r w:rsidRPr="0028457E">
        <w:rPr>
          <w:rFonts w:ascii="Arial" w:hAnsi="Arial" w:cs="Arial"/>
          <w:lang w:val="en-IN" w:eastAsia="en-IN" w:bidi="gu-IN"/>
        </w:rPr>
        <w:t>gray</w:t>
      </w:r>
      <w:proofErr w:type="spellEnd"/>
      <w:r w:rsidRPr="0028457E">
        <w:rPr>
          <w:rFonts w:ascii="Arial" w:hAnsi="Arial" w:cs="Arial"/>
          <w:lang w:val="en-IN" w:eastAsia="en-IN" w:bidi="gu-IN"/>
        </w:rPr>
        <w:t xml:space="preserve"> </w:t>
      </w:r>
      <w:proofErr w:type="spellStart"/>
      <w:r w:rsidRPr="0028457E">
        <w:rPr>
          <w:rFonts w:ascii="Arial" w:hAnsi="Arial" w:cs="Arial"/>
          <w:lang w:val="en-IN" w:eastAsia="en-IN" w:bidi="gu-IN"/>
        </w:rPr>
        <w:t>mold</w:t>
      </w:r>
      <w:proofErr w:type="spellEnd"/>
      <w:r w:rsidRPr="0028457E">
        <w:rPr>
          <w:rFonts w:ascii="Arial" w:hAnsi="Arial" w:cs="Arial"/>
          <w:lang w:val="en-IN" w:eastAsia="en-IN" w:bidi="gu-IN"/>
        </w:rPr>
        <w:t xml:space="preserve"> disease of tomato. </w:t>
      </w:r>
      <w:r w:rsidRPr="0028457E">
        <w:rPr>
          <w:rFonts w:ascii="Arial" w:hAnsi="Arial" w:cs="Arial"/>
          <w:i/>
          <w:iCs/>
          <w:lang w:val="en-IN" w:eastAsia="en-IN" w:bidi="gu-IN"/>
        </w:rPr>
        <w:t>Brazilian Journal of Biology</w:t>
      </w:r>
      <w:r w:rsidRPr="0028457E">
        <w:rPr>
          <w:rFonts w:ascii="Arial" w:hAnsi="Arial" w:cs="Arial"/>
          <w:lang w:val="en-IN" w:eastAsia="en-IN" w:bidi="gu-IN"/>
        </w:rPr>
        <w:t>, 81(4), 1007–1022. https://doi.org/10.1590/1519-6984.231461</w:t>
      </w:r>
    </w:p>
    <w:p w14:paraId="631FCF93" w14:textId="2A7A6D12"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Al-Malki, A. L., et al. (2021). Novel insights on anti-obesity potential of the miracle tree, </w:t>
      </w:r>
      <w:r w:rsidRPr="00F03887">
        <w:rPr>
          <w:rStyle w:val="Emphasis"/>
          <w:rFonts w:ascii="Arial" w:hAnsi="Arial" w:cs="Arial"/>
        </w:rPr>
        <w:t>Moringa oleifera</w:t>
      </w:r>
      <w:r w:rsidRPr="00F03887">
        <w:rPr>
          <w:rFonts w:ascii="Arial" w:hAnsi="Arial" w:cs="Arial"/>
        </w:rPr>
        <w:t xml:space="preserve">: A systematic review. </w:t>
      </w:r>
      <w:r w:rsidRPr="00F03887">
        <w:rPr>
          <w:rStyle w:val="Emphasis"/>
          <w:rFonts w:ascii="Arial" w:hAnsi="Arial" w:cs="Arial"/>
        </w:rPr>
        <w:t>Journal of Functional Foods</w:t>
      </w:r>
      <w:r w:rsidRPr="00F03887">
        <w:rPr>
          <w:rFonts w:ascii="Arial" w:hAnsi="Arial" w:cs="Arial"/>
        </w:rPr>
        <w:t>, 84, 104600.</w:t>
      </w:r>
      <w:r w:rsidR="00F03887">
        <w:rPr>
          <w:rFonts w:ascii="Arial" w:hAnsi="Arial" w:cs="Arial"/>
        </w:rPr>
        <w:t xml:space="preserve"> </w:t>
      </w:r>
      <w:r w:rsidR="00F03887" w:rsidRPr="00F03887">
        <w:rPr>
          <w:rFonts w:ascii="Arial" w:hAnsi="Arial" w:cs="Arial"/>
        </w:rPr>
        <w:t>https://doi.org/10.1016/j.jff.2021.104600</w:t>
      </w:r>
    </w:p>
    <w:p w14:paraId="66393194" w14:textId="77777777"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Anwar, F., Latif, S., Ashraf, M., &amp; Gilani, A. H. (2007). </w:t>
      </w:r>
      <w:r w:rsidRPr="00F03887">
        <w:rPr>
          <w:rStyle w:val="Emphasis"/>
          <w:rFonts w:ascii="Arial" w:hAnsi="Arial" w:cs="Arial"/>
        </w:rPr>
        <w:t>Moringa oleifera</w:t>
      </w:r>
      <w:r w:rsidRPr="00F03887">
        <w:rPr>
          <w:rFonts w:ascii="Arial" w:hAnsi="Arial" w:cs="Arial"/>
        </w:rPr>
        <w:t xml:space="preserve">: A food plant with multiple medicinal uses. </w:t>
      </w:r>
      <w:r w:rsidRPr="00F03887">
        <w:rPr>
          <w:rStyle w:val="Emphasis"/>
          <w:rFonts w:ascii="Arial" w:hAnsi="Arial" w:cs="Arial"/>
        </w:rPr>
        <w:t>Phytotherapy Research</w:t>
      </w:r>
      <w:r w:rsidRPr="00F03887">
        <w:rPr>
          <w:rFonts w:ascii="Arial" w:hAnsi="Arial" w:cs="Arial"/>
        </w:rPr>
        <w:t>, 21(1), 17–25.</w:t>
      </w:r>
      <w:r w:rsidRPr="00AC2535">
        <w:rPr>
          <w:rFonts w:ascii="Arial" w:hAnsi="Arial" w:cs="Arial"/>
        </w:rPr>
        <w:t xml:space="preserve"> </w:t>
      </w:r>
      <w:hyperlink r:id="rId14" w:tgtFrame="_new" w:history="1">
        <w:r w:rsidRPr="00AC2535">
          <w:rPr>
            <w:rStyle w:val="Hyperlink"/>
            <w:rFonts w:ascii="Arial" w:hAnsi="Arial" w:cs="Arial"/>
            <w:color w:val="auto"/>
            <w:u w:val="none"/>
          </w:rPr>
          <w:t>https://doi.org/10.1002/ptr.2023</w:t>
        </w:r>
      </w:hyperlink>
    </w:p>
    <w:p w14:paraId="3B2FF533"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Anzano, A., de Falco, B., Ammar, M., Ricciardelli, A., Grauso, L., Sabbah, M., ... </w:t>
      </w:r>
      <w:proofErr w:type="spellStart"/>
      <w:r w:rsidRPr="0028457E">
        <w:rPr>
          <w:rFonts w:ascii="Arial" w:hAnsi="Arial" w:cs="Arial"/>
          <w:lang w:val="en-IN" w:eastAsia="en-IN" w:bidi="gu-IN"/>
        </w:rPr>
        <w:t>Lanzotti</w:t>
      </w:r>
      <w:proofErr w:type="spellEnd"/>
      <w:r w:rsidRPr="0028457E">
        <w:rPr>
          <w:rFonts w:ascii="Arial" w:hAnsi="Arial" w:cs="Arial"/>
          <w:lang w:val="en-IN" w:eastAsia="en-IN" w:bidi="gu-IN"/>
        </w:rPr>
        <w:t xml:space="preserve">, V. (2022). Chemical analysis and antimicrobial activity of Moringa oleifera Lam. leaves and seeds. </w:t>
      </w:r>
      <w:r w:rsidRPr="0028457E">
        <w:rPr>
          <w:rFonts w:ascii="Arial" w:hAnsi="Arial" w:cs="Arial"/>
          <w:i/>
          <w:iCs/>
          <w:lang w:val="en-IN" w:eastAsia="en-IN" w:bidi="gu-IN"/>
        </w:rPr>
        <w:t>Molecules</w:t>
      </w:r>
      <w:r w:rsidRPr="0028457E">
        <w:rPr>
          <w:rFonts w:ascii="Arial" w:hAnsi="Arial" w:cs="Arial"/>
          <w:lang w:val="en-IN" w:eastAsia="en-IN" w:bidi="gu-IN"/>
        </w:rPr>
        <w:t>, 27(24), 8920. https://doi.org/10.3390/molecules27248920</w:t>
      </w:r>
    </w:p>
    <w:p w14:paraId="39DE77B9"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Awang, M. A., &amp; Normi, Y. M. (2020). Physicochemical and sensory properties of noodles incorporated with Moringa oleifera leaves powder. </w:t>
      </w:r>
      <w:r w:rsidRPr="0028457E">
        <w:rPr>
          <w:rFonts w:ascii="Arial" w:hAnsi="Arial" w:cs="Arial"/>
          <w:i/>
          <w:iCs/>
          <w:lang w:val="en-IN" w:eastAsia="en-IN" w:bidi="gu-IN"/>
        </w:rPr>
        <w:t>Malaysian Journal of Sustainable Agriculture</w:t>
      </w:r>
      <w:r w:rsidRPr="0028457E">
        <w:rPr>
          <w:rFonts w:ascii="Arial" w:hAnsi="Arial" w:cs="Arial"/>
          <w:lang w:val="en-IN" w:eastAsia="en-IN" w:bidi="gu-IN"/>
        </w:rPr>
        <w:t>, 4(2), 23–26. https://doi.org/10.26480/mjsa.02.2020.23.26</w:t>
      </w:r>
    </w:p>
    <w:p w14:paraId="26A3D803" w14:textId="54D47E1F"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Azad, A. K., Al-Mahmud, M. A., &amp; Rahman, M. H. (2015). Antioxidant, antibacterial and cytotoxic activity of Moringa oleifera flower. </w:t>
      </w:r>
      <w:r w:rsidRPr="0028457E">
        <w:rPr>
          <w:rFonts w:ascii="Arial" w:hAnsi="Arial" w:cs="Arial"/>
          <w:i/>
          <w:iCs/>
          <w:lang w:val="en-IN" w:eastAsia="en-IN" w:bidi="gu-IN"/>
        </w:rPr>
        <w:t>Journal of Pharmacognosy and Phytochemistry</w:t>
      </w:r>
      <w:r w:rsidRPr="0028457E">
        <w:rPr>
          <w:rFonts w:ascii="Arial" w:hAnsi="Arial" w:cs="Arial"/>
          <w:lang w:val="en-IN" w:eastAsia="en-IN" w:bidi="gu-IN"/>
        </w:rPr>
        <w:t>, 4(4), 181–185.</w:t>
      </w:r>
      <w:r w:rsidR="00F03887">
        <w:rPr>
          <w:rFonts w:ascii="Arial" w:hAnsi="Arial" w:cs="Arial"/>
          <w:lang w:val="en-IN" w:eastAsia="en-IN" w:bidi="gu-IN"/>
        </w:rPr>
        <w:t xml:space="preserve"> </w:t>
      </w:r>
      <w:r w:rsidR="00F03887" w:rsidRPr="00F03887">
        <w:rPr>
          <w:rFonts w:ascii="Arial" w:hAnsi="Arial" w:cs="Arial"/>
          <w:lang w:val="en-IN" w:eastAsia="en-IN" w:bidi="gu-IN"/>
        </w:rPr>
        <w:t>https://doi.org/10.1038/s41598-024-80700-y</w:t>
      </w:r>
    </w:p>
    <w:p w14:paraId="76A2C2D4" w14:textId="34C1C181"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Banik, S., Biswas, S., &amp; Karmakar, S. (2018). Extraction, purification, and activity of protease from the leaves of </w:t>
      </w:r>
      <w:r w:rsidRPr="00F03887">
        <w:rPr>
          <w:rStyle w:val="Emphasis"/>
          <w:rFonts w:ascii="Arial" w:hAnsi="Arial" w:cs="Arial"/>
        </w:rPr>
        <w:t>Moringa oleifera</w:t>
      </w:r>
      <w:r w:rsidRPr="00F03887">
        <w:rPr>
          <w:rFonts w:ascii="Arial" w:hAnsi="Arial" w:cs="Arial"/>
        </w:rPr>
        <w:t xml:space="preserve">. </w:t>
      </w:r>
      <w:r w:rsidRPr="00F03887">
        <w:rPr>
          <w:rStyle w:val="Emphasis"/>
          <w:rFonts w:ascii="Arial" w:hAnsi="Arial" w:cs="Arial"/>
        </w:rPr>
        <w:t>F1000Research</w:t>
      </w:r>
      <w:r w:rsidRPr="00F03887">
        <w:rPr>
          <w:rFonts w:ascii="Arial" w:hAnsi="Arial" w:cs="Arial"/>
        </w:rPr>
        <w:t>, 7, 1151.</w:t>
      </w:r>
      <w:r w:rsidR="00F03887">
        <w:rPr>
          <w:rFonts w:ascii="Arial" w:hAnsi="Arial" w:cs="Arial"/>
        </w:rPr>
        <w:t xml:space="preserve"> </w:t>
      </w:r>
      <w:r w:rsidR="00F03887" w:rsidRPr="00F03887">
        <w:rPr>
          <w:rFonts w:ascii="Arial" w:hAnsi="Arial" w:cs="Arial"/>
        </w:rPr>
        <w:t>https://doi.org/10.12688/f1000research.15642.1</w:t>
      </w:r>
    </w:p>
    <w:p w14:paraId="5D1933C1"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Bennett, R. N., Mellon, F. A., </w:t>
      </w:r>
      <w:proofErr w:type="spellStart"/>
      <w:r w:rsidRPr="0028457E">
        <w:rPr>
          <w:rFonts w:ascii="Arial" w:hAnsi="Arial" w:cs="Arial"/>
          <w:lang w:val="en-IN" w:eastAsia="en-IN" w:bidi="gu-IN"/>
        </w:rPr>
        <w:t>Foidl</w:t>
      </w:r>
      <w:proofErr w:type="spellEnd"/>
      <w:r w:rsidRPr="0028457E">
        <w:rPr>
          <w:rFonts w:ascii="Arial" w:hAnsi="Arial" w:cs="Arial"/>
          <w:lang w:val="en-IN" w:eastAsia="en-IN" w:bidi="gu-IN"/>
        </w:rPr>
        <w:t xml:space="preserve">, N., Pratt, J. H., Dupont, M. S., Perkins, L., &amp; Kroon, P. A. (2003). Profiling glucosinolates and phenolics in vegetative and reproductive tissues of the multi-purpose trees Moringa oleifera and Moringa </w:t>
      </w:r>
      <w:proofErr w:type="spellStart"/>
      <w:r w:rsidRPr="0028457E">
        <w:rPr>
          <w:rFonts w:ascii="Arial" w:hAnsi="Arial" w:cs="Arial"/>
          <w:lang w:val="en-IN" w:eastAsia="en-IN" w:bidi="gu-IN"/>
        </w:rPr>
        <w:t>stenopetala</w:t>
      </w:r>
      <w:proofErr w:type="spellEnd"/>
      <w:r w:rsidRPr="0028457E">
        <w:rPr>
          <w:rFonts w:ascii="Arial" w:hAnsi="Arial" w:cs="Arial"/>
          <w:lang w:val="en-IN" w:eastAsia="en-IN" w:bidi="gu-IN"/>
        </w:rPr>
        <w:t xml:space="preserve">. </w:t>
      </w:r>
      <w:r w:rsidRPr="0028457E">
        <w:rPr>
          <w:rFonts w:ascii="Arial" w:hAnsi="Arial" w:cs="Arial"/>
          <w:i/>
          <w:iCs/>
          <w:lang w:val="en-IN" w:eastAsia="en-IN" w:bidi="gu-IN"/>
        </w:rPr>
        <w:t>Journal of Agricultural and Food Chemistry</w:t>
      </w:r>
      <w:r w:rsidRPr="0028457E">
        <w:rPr>
          <w:rFonts w:ascii="Arial" w:hAnsi="Arial" w:cs="Arial"/>
          <w:lang w:val="en-IN" w:eastAsia="en-IN" w:bidi="gu-IN"/>
        </w:rPr>
        <w:t>, 51(12), 3546–3553. https://doi.org/10.1021/jf026080p</w:t>
      </w:r>
    </w:p>
    <w:p w14:paraId="2AE34CF4"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Bhattacharya, A., Tiwari, P., Sahu, P. K., &amp; Kumar, S. (2018). A review of the phytochemical and pharmacological characteristics of Moringa oleifera. </w:t>
      </w:r>
      <w:r w:rsidRPr="0028457E">
        <w:rPr>
          <w:rFonts w:ascii="Arial" w:hAnsi="Arial" w:cs="Arial"/>
          <w:i/>
          <w:iCs/>
          <w:lang w:val="en-IN" w:eastAsia="en-IN" w:bidi="gu-IN"/>
        </w:rPr>
        <w:t xml:space="preserve">Journal of Pharmacy and </w:t>
      </w:r>
      <w:proofErr w:type="spellStart"/>
      <w:r w:rsidRPr="0028457E">
        <w:rPr>
          <w:rFonts w:ascii="Arial" w:hAnsi="Arial" w:cs="Arial"/>
          <w:i/>
          <w:iCs/>
          <w:lang w:val="en-IN" w:eastAsia="en-IN" w:bidi="gu-IN"/>
        </w:rPr>
        <w:t>Bioallied</w:t>
      </w:r>
      <w:proofErr w:type="spellEnd"/>
      <w:r w:rsidRPr="0028457E">
        <w:rPr>
          <w:rFonts w:ascii="Arial" w:hAnsi="Arial" w:cs="Arial"/>
          <w:i/>
          <w:iCs/>
          <w:lang w:val="en-IN" w:eastAsia="en-IN" w:bidi="gu-IN"/>
        </w:rPr>
        <w:t xml:space="preserve"> Sciences</w:t>
      </w:r>
      <w:r w:rsidRPr="0028457E">
        <w:rPr>
          <w:rFonts w:ascii="Arial" w:hAnsi="Arial" w:cs="Arial"/>
          <w:lang w:val="en-IN" w:eastAsia="en-IN" w:bidi="gu-IN"/>
        </w:rPr>
        <w:t>, 10(4), 181–191. https://doi.org/10.4103/jpbs.JPBS_130_18</w:t>
      </w:r>
    </w:p>
    <w:p w14:paraId="00281C75" w14:textId="77777777" w:rsidR="009F0424" w:rsidRPr="00AC2535" w:rsidRDefault="009F0424" w:rsidP="009F0424">
      <w:pPr>
        <w:numPr>
          <w:ilvl w:val="0"/>
          <w:numId w:val="31"/>
        </w:numPr>
        <w:spacing w:before="100" w:beforeAutospacing="1" w:after="100" w:afterAutospacing="1" w:line="360" w:lineRule="auto"/>
        <w:jc w:val="both"/>
        <w:rPr>
          <w:rFonts w:ascii="Arial" w:hAnsi="Arial" w:cs="Arial"/>
        </w:rPr>
      </w:pPr>
      <w:r w:rsidRPr="00AC2535">
        <w:rPr>
          <w:rFonts w:ascii="Arial" w:hAnsi="Arial" w:cs="Arial"/>
        </w:rPr>
        <w:t xml:space="preserve">Conroy, R. M. (2005). The development and functioning of the immune system require adequate intake of energy, proteins, and micronutrients such as zinc, copper, iron, and vitamins A and E. </w:t>
      </w:r>
      <w:r w:rsidRPr="00AC2535">
        <w:rPr>
          <w:rStyle w:val="Emphasis"/>
          <w:rFonts w:ascii="Arial" w:hAnsi="Arial" w:cs="Arial"/>
        </w:rPr>
        <w:t>Journal of Clinical Nutrition</w:t>
      </w:r>
      <w:r w:rsidRPr="00AC2535">
        <w:rPr>
          <w:rFonts w:ascii="Arial" w:hAnsi="Arial" w:cs="Arial"/>
        </w:rPr>
        <w:t>, 81(5), 1125–1130.</w:t>
      </w:r>
    </w:p>
    <w:p w14:paraId="1DD85C71" w14:textId="792562B1"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Cuellar-Núñez, M. L., Gonzalez de Mejia, E., &amp; Loarca-Piña, G. (2021). </w:t>
      </w:r>
      <w:r w:rsidRPr="00F03887">
        <w:rPr>
          <w:rStyle w:val="Emphasis"/>
          <w:rFonts w:ascii="Arial" w:hAnsi="Arial" w:cs="Arial"/>
        </w:rPr>
        <w:t>Moringa oleifera</w:t>
      </w:r>
      <w:r w:rsidRPr="00F03887">
        <w:rPr>
          <w:rFonts w:ascii="Arial" w:hAnsi="Arial" w:cs="Arial"/>
        </w:rPr>
        <w:t xml:space="preserve"> leaves alleviated inflammation through downregulation of IL-2, IL-6, and TNF-α in a colitis-associated colorectal cancer model. </w:t>
      </w:r>
      <w:r w:rsidRPr="00F03887">
        <w:rPr>
          <w:rStyle w:val="Emphasis"/>
          <w:rFonts w:ascii="Arial" w:hAnsi="Arial" w:cs="Arial"/>
        </w:rPr>
        <w:t>International Food Research Journal</w:t>
      </w:r>
      <w:r w:rsidRPr="00F03887">
        <w:rPr>
          <w:rFonts w:ascii="Arial" w:hAnsi="Arial" w:cs="Arial"/>
        </w:rPr>
        <w:t>, 144, 110318.</w:t>
      </w:r>
      <w:r w:rsidR="00B24186">
        <w:rPr>
          <w:rFonts w:ascii="Arial" w:hAnsi="Arial" w:cs="Arial"/>
        </w:rPr>
        <w:t xml:space="preserve"> </w:t>
      </w:r>
      <w:r w:rsidR="00B24186" w:rsidRPr="00B24186">
        <w:rPr>
          <w:rFonts w:ascii="Arial" w:hAnsi="Arial" w:cs="Arial"/>
        </w:rPr>
        <w:t>https://doi.org/10.1016/j.foodres.2021.110318</w:t>
      </w:r>
    </w:p>
    <w:p w14:paraId="105F2DC7" w14:textId="77777777" w:rsidR="009F0424" w:rsidRPr="00AC2535" w:rsidRDefault="009F0424" w:rsidP="009F0424">
      <w:pPr>
        <w:numPr>
          <w:ilvl w:val="0"/>
          <w:numId w:val="31"/>
        </w:numPr>
        <w:spacing w:before="100" w:beforeAutospacing="1" w:after="100" w:afterAutospacing="1" w:line="360" w:lineRule="auto"/>
        <w:jc w:val="both"/>
        <w:rPr>
          <w:rFonts w:ascii="Arial" w:hAnsi="Arial" w:cs="Arial"/>
        </w:rPr>
      </w:pPr>
      <w:proofErr w:type="spellStart"/>
      <w:r w:rsidRPr="00AC2535">
        <w:rPr>
          <w:rFonts w:ascii="Arial" w:hAnsi="Arial" w:cs="Arial"/>
        </w:rPr>
        <w:t>Delaveau</w:t>
      </w:r>
      <w:proofErr w:type="spellEnd"/>
      <w:r w:rsidRPr="00AC2535">
        <w:rPr>
          <w:rFonts w:ascii="Arial" w:hAnsi="Arial" w:cs="Arial"/>
        </w:rPr>
        <w:t xml:space="preserve">, P., &amp; Boiteau, P. (1980). </w:t>
      </w:r>
      <w:proofErr w:type="spellStart"/>
      <w:r w:rsidRPr="00AC2535">
        <w:rPr>
          <w:rFonts w:ascii="Arial" w:hAnsi="Arial" w:cs="Arial"/>
        </w:rPr>
        <w:t>Huiles</w:t>
      </w:r>
      <w:proofErr w:type="spellEnd"/>
      <w:r w:rsidRPr="00AC2535">
        <w:rPr>
          <w:rFonts w:ascii="Arial" w:hAnsi="Arial" w:cs="Arial"/>
        </w:rPr>
        <w:t xml:space="preserve"> à </w:t>
      </w:r>
      <w:proofErr w:type="spellStart"/>
      <w:r w:rsidRPr="00AC2535">
        <w:rPr>
          <w:rFonts w:ascii="Arial" w:hAnsi="Arial" w:cs="Arial"/>
        </w:rPr>
        <w:t>intérêt</w:t>
      </w:r>
      <w:proofErr w:type="spellEnd"/>
      <w:r w:rsidRPr="00AC2535">
        <w:rPr>
          <w:rFonts w:ascii="Arial" w:hAnsi="Arial" w:cs="Arial"/>
        </w:rPr>
        <w:t xml:space="preserve"> </w:t>
      </w:r>
      <w:proofErr w:type="spellStart"/>
      <w:r w:rsidRPr="00AC2535">
        <w:rPr>
          <w:rFonts w:ascii="Arial" w:hAnsi="Arial" w:cs="Arial"/>
        </w:rPr>
        <w:t>alimentaire</w:t>
      </w:r>
      <w:proofErr w:type="spellEnd"/>
      <w:r w:rsidRPr="00AC2535">
        <w:rPr>
          <w:rFonts w:ascii="Arial" w:hAnsi="Arial" w:cs="Arial"/>
        </w:rPr>
        <w:t xml:space="preserve"> et </w:t>
      </w:r>
      <w:proofErr w:type="spellStart"/>
      <w:r w:rsidRPr="00AC2535">
        <w:rPr>
          <w:rFonts w:ascii="Arial" w:hAnsi="Arial" w:cs="Arial"/>
        </w:rPr>
        <w:t>industriel</w:t>
      </w:r>
      <w:proofErr w:type="spellEnd"/>
      <w:r w:rsidRPr="00AC2535">
        <w:rPr>
          <w:rFonts w:ascii="Arial" w:hAnsi="Arial" w:cs="Arial"/>
        </w:rPr>
        <w:t xml:space="preserve">. In </w:t>
      </w:r>
      <w:r w:rsidRPr="00AC2535">
        <w:rPr>
          <w:rStyle w:val="Emphasis"/>
          <w:rFonts w:ascii="Arial" w:hAnsi="Arial" w:cs="Arial"/>
        </w:rPr>
        <w:t xml:space="preserve">Les Plantes à </w:t>
      </w:r>
      <w:proofErr w:type="spellStart"/>
      <w:r w:rsidRPr="00AC2535">
        <w:rPr>
          <w:rStyle w:val="Emphasis"/>
          <w:rFonts w:ascii="Arial" w:hAnsi="Arial" w:cs="Arial"/>
        </w:rPr>
        <w:t>Huiles</w:t>
      </w:r>
      <w:proofErr w:type="spellEnd"/>
      <w:r w:rsidRPr="00AC2535">
        <w:rPr>
          <w:rFonts w:ascii="Arial" w:hAnsi="Arial" w:cs="Arial"/>
        </w:rPr>
        <w:t xml:space="preserve"> (pp. 123–145). Paris: Éditions Techniques et Documentation.</w:t>
      </w:r>
    </w:p>
    <w:p w14:paraId="28D5D4B7" w14:textId="3B748E7B" w:rsidR="00B24186" w:rsidRPr="00B24186" w:rsidRDefault="00B24186" w:rsidP="009F0424">
      <w:pPr>
        <w:numPr>
          <w:ilvl w:val="0"/>
          <w:numId w:val="31"/>
        </w:numPr>
        <w:spacing w:before="100" w:beforeAutospacing="1" w:after="100" w:afterAutospacing="1" w:line="360" w:lineRule="auto"/>
        <w:jc w:val="both"/>
        <w:rPr>
          <w:rFonts w:ascii="Arial" w:hAnsi="Arial" w:cs="Arial"/>
          <w:lang w:val="en-IN" w:eastAsia="en-IN" w:bidi="gu-IN"/>
        </w:rPr>
      </w:pPr>
      <w:r w:rsidRPr="00B24186">
        <w:rPr>
          <w:rFonts w:ascii="Arial" w:hAnsi="Arial" w:cs="Arial"/>
        </w:rPr>
        <w:t>Metwally, F. M., Rashad, H. M., Ahmed, H. H., Mahmoud, A. A., Raouf, E. R. A., &amp; Abdalla, A. M. (2017). Molecular mechanisms of the anti-obesity potential effect of Moringa oleifera in the experimental model. Asian Pacific Journal of tropical biomedicine, 7(3), 214-221.</w:t>
      </w:r>
      <w:r>
        <w:rPr>
          <w:rFonts w:ascii="Arial" w:hAnsi="Arial" w:cs="Arial"/>
        </w:rPr>
        <w:t xml:space="preserve"> </w:t>
      </w:r>
      <w:r w:rsidRPr="00B24186">
        <w:rPr>
          <w:rFonts w:ascii="Arial" w:hAnsi="Arial" w:cs="Arial"/>
        </w:rPr>
        <w:t>https://doi.org/10.1016/j.apjtb.2016.12.007</w:t>
      </w:r>
    </w:p>
    <w:p w14:paraId="7AC40371" w14:textId="0ABDA7AA"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El-Nashi, H. B., Fayed, B. M., El-</w:t>
      </w:r>
      <w:proofErr w:type="spellStart"/>
      <w:r w:rsidRPr="0028457E">
        <w:rPr>
          <w:rFonts w:ascii="Arial" w:hAnsi="Arial" w:cs="Arial"/>
          <w:lang w:val="en-IN" w:eastAsia="en-IN" w:bidi="gu-IN"/>
        </w:rPr>
        <w:t>Dieb</w:t>
      </w:r>
      <w:proofErr w:type="spellEnd"/>
      <w:r w:rsidRPr="0028457E">
        <w:rPr>
          <w:rFonts w:ascii="Arial" w:hAnsi="Arial" w:cs="Arial"/>
          <w:lang w:val="en-IN" w:eastAsia="en-IN" w:bidi="gu-IN"/>
        </w:rPr>
        <w:t xml:space="preserve">, S. M., &amp; Salama, R. A. (2015). Quality characteristics of functional low-fat yogurt manufactured with some dietary </w:t>
      </w:r>
      <w:proofErr w:type="spellStart"/>
      <w:r w:rsidRPr="0028457E">
        <w:rPr>
          <w:rFonts w:ascii="Arial" w:hAnsi="Arial" w:cs="Arial"/>
          <w:lang w:val="en-IN" w:eastAsia="en-IN" w:bidi="gu-IN"/>
        </w:rPr>
        <w:t>fibers</w:t>
      </w:r>
      <w:proofErr w:type="spellEnd"/>
      <w:r w:rsidRPr="0028457E">
        <w:rPr>
          <w:rFonts w:ascii="Arial" w:hAnsi="Arial" w:cs="Arial"/>
          <w:lang w:val="en-IN" w:eastAsia="en-IN" w:bidi="gu-IN"/>
        </w:rPr>
        <w:t xml:space="preserve">. </w:t>
      </w:r>
      <w:r w:rsidRPr="0028457E">
        <w:rPr>
          <w:rFonts w:ascii="Arial" w:hAnsi="Arial" w:cs="Arial"/>
          <w:i/>
          <w:iCs/>
          <w:lang w:val="en-IN" w:eastAsia="en-IN" w:bidi="gu-IN"/>
        </w:rPr>
        <w:t>Annals of Agricultural Science</w:t>
      </w:r>
      <w:r w:rsidRPr="0028457E">
        <w:rPr>
          <w:rFonts w:ascii="Arial" w:hAnsi="Arial" w:cs="Arial"/>
          <w:lang w:val="en-IN" w:eastAsia="en-IN" w:bidi="gu-IN"/>
        </w:rPr>
        <w:t>, 60(1), 21–28. https://doi.org/10.1016/j.aoas.2015.01.001</w:t>
      </w:r>
    </w:p>
    <w:p w14:paraId="4CC50BCC" w14:textId="1C9F4337"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lastRenderedPageBreak/>
        <w:t xml:space="preserve">Fahey, J. W. (2005). </w:t>
      </w:r>
      <w:r w:rsidRPr="00F03887">
        <w:rPr>
          <w:rStyle w:val="Emphasis"/>
          <w:rFonts w:ascii="Arial" w:hAnsi="Arial" w:cs="Arial"/>
        </w:rPr>
        <w:t>Moringa oleifera</w:t>
      </w:r>
      <w:r w:rsidRPr="00F03887">
        <w:rPr>
          <w:rFonts w:ascii="Arial" w:hAnsi="Arial" w:cs="Arial"/>
        </w:rPr>
        <w:t xml:space="preserve">: A review of the medical evidence for its nutritional, therapeutic, and prophylactic properties. Part 1. </w:t>
      </w:r>
      <w:r w:rsidRPr="00F03887">
        <w:rPr>
          <w:rStyle w:val="Emphasis"/>
          <w:rFonts w:ascii="Arial" w:hAnsi="Arial" w:cs="Arial"/>
        </w:rPr>
        <w:t>Trees for Life Journal</w:t>
      </w:r>
      <w:r w:rsidRPr="00F03887">
        <w:rPr>
          <w:rFonts w:ascii="Arial" w:hAnsi="Arial" w:cs="Arial"/>
        </w:rPr>
        <w:t>, 1(5).</w:t>
      </w:r>
      <w:r w:rsidR="00B24186">
        <w:rPr>
          <w:rFonts w:ascii="Arial" w:hAnsi="Arial" w:cs="Arial"/>
        </w:rPr>
        <w:t xml:space="preserve"> </w:t>
      </w:r>
      <w:r w:rsidR="00B24186" w:rsidRPr="00B24186">
        <w:rPr>
          <w:rFonts w:ascii="Arial" w:hAnsi="Arial" w:cs="Arial"/>
        </w:rPr>
        <w:t>http://dx.doi.org/10.1201/9781420039078.ch12</w:t>
      </w:r>
    </w:p>
    <w:p w14:paraId="3E6273CA" w14:textId="77777777" w:rsidR="009F0424" w:rsidRPr="0028457E" w:rsidRDefault="009F0424" w:rsidP="009F0424">
      <w:pPr>
        <w:pStyle w:val="Body"/>
        <w:numPr>
          <w:ilvl w:val="0"/>
          <w:numId w:val="31"/>
        </w:numPr>
        <w:spacing w:after="0" w:line="360" w:lineRule="auto"/>
        <w:rPr>
          <w:rFonts w:ascii="Arial" w:hAnsi="Arial" w:cs="Arial"/>
          <w:lang w:val="en-IN"/>
        </w:rPr>
      </w:pPr>
      <w:r w:rsidRPr="0028457E">
        <w:rPr>
          <w:rFonts w:ascii="Arial" w:hAnsi="Arial" w:cs="Arial"/>
          <w:lang w:val="en-IN"/>
        </w:rPr>
        <w:t xml:space="preserve">Farzana, T., </w:t>
      </w:r>
      <w:proofErr w:type="spellStart"/>
      <w:r w:rsidRPr="0028457E">
        <w:rPr>
          <w:rFonts w:ascii="Arial" w:hAnsi="Arial" w:cs="Arial"/>
          <w:lang w:val="en-IN"/>
        </w:rPr>
        <w:t>Mohajan</w:t>
      </w:r>
      <w:proofErr w:type="spellEnd"/>
      <w:r w:rsidRPr="0028457E">
        <w:rPr>
          <w:rFonts w:ascii="Arial" w:hAnsi="Arial" w:cs="Arial"/>
          <w:lang w:val="en-IN"/>
        </w:rPr>
        <w:t xml:space="preserve">, S., Saha, T., Hossain, M. N., &amp; Haque, M. Z. (2017). Formulation and nutritional evaluation of a healthy vegetable soup powder supplemented with soy flour, mushroom, and moringa leaf. </w:t>
      </w:r>
      <w:r w:rsidRPr="0028457E">
        <w:rPr>
          <w:rFonts w:ascii="Arial" w:hAnsi="Arial" w:cs="Arial"/>
          <w:i/>
          <w:iCs/>
          <w:lang w:val="en-IN"/>
        </w:rPr>
        <w:t>Food Science &amp; Nutrition</w:t>
      </w:r>
      <w:r w:rsidRPr="0028457E">
        <w:rPr>
          <w:rFonts w:ascii="Arial" w:hAnsi="Arial" w:cs="Arial"/>
          <w:lang w:val="en-IN"/>
        </w:rPr>
        <w:t>, 5(4), 911–920. https://doi.org/10.1002/fsn3.479</w:t>
      </w:r>
    </w:p>
    <w:p w14:paraId="6200EEB0" w14:textId="77777777" w:rsidR="009F0424" w:rsidRPr="00AC2535" w:rsidRDefault="009F0424" w:rsidP="009F0424">
      <w:pPr>
        <w:numPr>
          <w:ilvl w:val="0"/>
          <w:numId w:val="31"/>
        </w:numPr>
        <w:spacing w:before="100" w:beforeAutospacing="1" w:after="100" w:afterAutospacing="1" w:line="360" w:lineRule="auto"/>
        <w:jc w:val="both"/>
        <w:rPr>
          <w:rFonts w:ascii="Arial" w:hAnsi="Arial" w:cs="Arial"/>
        </w:rPr>
      </w:pPr>
      <w:r w:rsidRPr="00AC2535">
        <w:rPr>
          <w:rFonts w:ascii="Arial" w:hAnsi="Arial" w:cs="Arial"/>
        </w:rPr>
        <w:t xml:space="preserve">Ferrao, M. A., &amp; Ferrao, M. P. (1970). Industrial uses of </w:t>
      </w:r>
      <w:r w:rsidRPr="00AC2535">
        <w:rPr>
          <w:rStyle w:val="Emphasis"/>
          <w:rFonts w:ascii="Arial" w:hAnsi="Arial" w:cs="Arial"/>
        </w:rPr>
        <w:t>Moringa</w:t>
      </w:r>
      <w:r w:rsidRPr="00AC2535">
        <w:rPr>
          <w:rFonts w:ascii="Arial" w:hAnsi="Arial" w:cs="Arial"/>
        </w:rPr>
        <w:t xml:space="preserve"> oil. </w:t>
      </w:r>
      <w:r w:rsidRPr="00AC2535">
        <w:rPr>
          <w:rStyle w:val="Emphasis"/>
          <w:rFonts w:ascii="Arial" w:hAnsi="Arial" w:cs="Arial"/>
        </w:rPr>
        <w:t>Journal of the Indian Institute of Science</w:t>
      </w:r>
      <w:r w:rsidRPr="00AC2535">
        <w:rPr>
          <w:rFonts w:ascii="Arial" w:hAnsi="Arial" w:cs="Arial"/>
        </w:rPr>
        <w:t>, 52(4), 181–184.</w:t>
      </w:r>
    </w:p>
    <w:p w14:paraId="58D1BBC4" w14:textId="77777777" w:rsidR="009F0424" w:rsidRPr="00F03887" w:rsidRDefault="009F0424" w:rsidP="009F0424">
      <w:pPr>
        <w:numPr>
          <w:ilvl w:val="0"/>
          <w:numId w:val="31"/>
        </w:numPr>
        <w:spacing w:before="100" w:beforeAutospacing="1" w:after="100" w:afterAutospacing="1" w:line="360" w:lineRule="auto"/>
        <w:jc w:val="both"/>
        <w:rPr>
          <w:rFonts w:ascii="Arial" w:hAnsi="Arial" w:cs="Arial"/>
        </w:rPr>
      </w:pPr>
      <w:proofErr w:type="spellStart"/>
      <w:r w:rsidRPr="00F03887">
        <w:rPr>
          <w:rFonts w:ascii="Arial" w:hAnsi="Arial" w:cs="Arial"/>
        </w:rPr>
        <w:t>Foidl</w:t>
      </w:r>
      <w:proofErr w:type="spellEnd"/>
      <w:r w:rsidRPr="00F03887">
        <w:rPr>
          <w:rFonts w:ascii="Arial" w:hAnsi="Arial" w:cs="Arial"/>
        </w:rPr>
        <w:t xml:space="preserve">, N., Makkar, H. P. S., &amp; Becker, K. (2001). The potential of </w:t>
      </w:r>
      <w:r w:rsidRPr="00F03887">
        <w:rPr>
          <w:rStyle w:val="Emphasis"/>
          <w:rFonts w:ascii="Arial" w:hAnsi="Arial" w:cs="Arial"/>
        </w:rPr>
        <w:t>Moringa oleifera</w:t>
      </w:r>
      <w:r w:rsidRPr="00F03887">
        <w:rPr>
          <w:rFonts w:ascii="Arial" w:hAnsi="Arial" w:cs="Arial"/>
        </w:rPr>
        <w:t xml:space="preserve"> for agricultural and industrial uses. </w:t>
      </w:r>
      <w:r w:rsidRPr="00F03887">
        <w:rPr>
          <w:rStyle w:val="Emphasis"/>
          <w:rFonts w:ascii="Arial" w:hAnsi="Arial" w:cs="Arial"/>
        </w:rPr>
        <w:t>The Potential of Moringa oleifera for Agricultural and Industrial Uses</w:t>
      </w:r>
      <w:r w:rsidRPr="00F03887">
        <w:rPr>
          <w:rFonts w:ascii="Arial" w:hAnsi="Arial" w:cs="Arial"/>
        </w:rPr>
        <w:t>.</w:t>
      </w:r>
    </w:p>
    <w:p w14:paraId="011D2247" w14:textId="77777777" w:rsidR="009F0424" w:rsidRPr="00F03887" w:rsidRDefault="009F0424" w:rsidP="009F0424">
      <w:pPr>
        <w:numPr>
          <w:ilvl w:val="0"/>
          <w:numId w:val="31"/>
        </w:numPr>
        <w:spacing w:before="100" w:beforeAutospacing="1" w:after="100" w:afterAutospacing="1" w:line="360" w:lineRule="auto"/>
        <w:jc w:val="both"/>
        <w:rPr>
          <w:rFonts w:ascii="Arial" w:hAnsi="Arial" w:cs="Arial"/>
        </w:rPr>
      </w:pPr>
      <w:proofErr w:type="spellStart"/>
      <w:r w:rsidRPr="00F03887">
        <w:rPr>
          <w:rFonts w:ascii="Arial" w:hAnsi="Arial" w:cs="Arial"/>
        </w:rPr>
        <w:t>Fuglie</w:t>
      </w:r>
      <w:proofErr w:type="spellEnd"/>
      <w:r w:rsidRPr="00F03887">
        <w:rPr>
          <w:rFonts w:ascii="Arial" w:hAnsi="Arial" w:cs="Arial"/>
        </w:rPr>
        <w:t xml:space="preserve">, L. J. (2001). </w:t>
      </w:r>
      <w:r w:rsidRPr="00F03887">
        <w:rPr>
          <w:rStyle w:val="Emphasis"/>
          <w:rFonts w:ascii="Arial" w:hAnsi="Arial" w:cs="Arial"/>
        </w:rPr>
        <w:t>The Miracle Tree: The Multiple Attributes of Moringa</w:t>
      </w:r>
      <w:r w:rsidRPr="00F03887">
        <w:rPr>
          <w:rFonts w:ascii="Arial" w:hAnsi="Arial" w:cs="Arial"/>
        </w:rPr>
        <w:t>. CTA Publications.</w:t>
      </w:r>
    </w:p>
    <w:p w14:paraId="55B8A9A0" w14:textId="69CBF89F" w:rsidR="009F0424" w:rsidRPr="00F03887" w:rsidRDefault="009F0424" w:rsidP="009F0424">
      <w:pPr>
        <w:numPr>
          <w:ilvl w:val="0"/>
          <w:numId w:val="31"/>
        </w:numPr>
        <w:spacing w:before="100" w:beforeAutospacing="1" w:after="100" w:afterAutospacing="1" w:line="360" w:lineRule="auto"/>
        <w:jc w:val="both"/>
        <w:rPr>
          <w:rFonts w:ascii="Arial" w:hAnsi="Arial" w:cs="Arial"/>
        </w:rPr>
      </w:pPr>
      <w:proofErr w:type="spellStart"/>
      <w:r w:rsidRPr="00F03887">
        <w:rPr>
          <w:rFonts w:ascii="Arial" w:hAnsi="Arial" w:cs="Arial"/>
        </w:rPr>
        <w:t>Gidamis</w:t>
      </w:r>
      <w:proofErr w:type="spellEnd"/>
      <w:r w:rsidRPr="00F03887">
        <w:rPr>
          <w:rFonts w:ascii="Arial" w:hAnsi="Arial" w:cs="Arial"/>
        </w:rPr>
        <w:t xml:space="preserve">, A. B., Panga, J. T., </w:t>
      </w:r>
      <w:proofErr w:type="spellStart"/>
      <w:r w:rsidRPr="00F03887">
        <w:rPr>
          <w:rFonts w:ascii="Arial" w:hAnsi="Arial" w:cs="Arial"/>
        </w:rPr>
        <w:t>Sarwatt</w:t>
      </w:r>
      <w:proofErr w:type="spellEnd"/>
      <w:r w:rsidRPr="00F03887">
        <w:rPr>
          <w:rFonts w:ascii="Arial" w:hAnsi="Arial" w:cs="Arial"/>
        </w:rPr>
        <w:t xml:space="preserve">, S. V., &amp; Shayo, B. E. (2003). Nutrient and antinutrient contents in raw and cooked young leaves and immature pods of </w:t>
      </w:r>
      <w:r w:rsidRPr="00F03887">
        <w:rPr>
          <w:rStyle w:val="Emphasis"/>
          <w:rFonts w:ascii="Arial" w:hAnsi="Arial" w:cs="Arial"/>
        </w:rPr>
        <w:t>Moringa oleifera</w:t>
      </w:r>
      <w:r w:rsidRPr="00F03887">
        <w:rPr>
          <w:rFonts w:ascii="Arial" w:hAnsi="Arial" w:cs="Arial"/>
        </w:rPr>
        <w:t xml:space="preserve"> Lam. </w:t>
      </w:r>
      <w:r w:rsidRPr="00F03887">
        <w:rPr>
          <w:rStyle w:val="Emphasis"/>
          <w:rFonts w:ascii="Arial" w:hAnsi="Arial" w:cs="Arial"/>
        </w:rPr>
        <w:t>Ecology of Food and Nutrition</w:t>
      </w:r>
      <w:r w:rsidRPr="00F03887">
        <w:rPr>
          <w:rFonts w:ascii="Arial" w:hAnsi="Arial" w:cs="Arial"/>
        </w:rPr>
        <w:t>, 42(6), 399–411.</w:t>
      </w:r>
      <w:r w:rsidR="00B24186">
        <w:rPr>
          <w:rFonts w:ascii="Arial" w:hAnsi="Arial" w:cs="Arial"/>
        </w:rPr>
        <w:t xml:space="preserve"> </w:t>
      </w:r>
      <w:r w:rsidR="00B24186" w:rsidRPr="00B24186">
        <w:rPr>
          <w:rFonts w:ascii="Arial" w:hAnsi="Arial" w:cs="Arial"/>
        </w:rPr>
        <w:t>https://doi.org/10.1080/03670240390268857</w:t>
      </w:r>
    </w:p>
    <w:p w14:paraId="285042EF"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Giri, S., &amp; </w:t>
      </w:r>
      <w:proofErr w:type="spellStart"/>
      <w:r w:rsidRPr="0028457E">
        <w:rPr>
          <w:rFonts w:ascii="Arial" w:hAnsi="Arial" w:cs="Arial"/>
          <w:lang w:val="en-IN" w:eastAsia="en-IN" w:bidi="gu-IN"/>
        </w:rPr>
        <w:t>Mangaraj</w:t>
      </w:r>
      <w:proofErr w:type="spellEnd"/>
      <w:r w:rsidRPr="0028457E">
        <w:rPr>
          <w:rFonts w:ascii="Arial" w:hAnsi="Arial" w:cs="Arial"/>
          <w:lang w:val="en-IN" w:eastAsia="en-IN" w:bidi="gu-IN"/>
        </w:rPr>
        <w:t xml:space="preserve">, S. (2012). Production and quality evaluation of </w:t>
      </w:r>
      <w:proofErr w:type="spellStart"/>
      <w:r w:rsidRPr="0028457E">
        <w:rPr>
          <w:rFonts w:ascii="Arial" w:hAnsi="Arial" w:cs="Arial"/>
          <w:lang w:val="en-IN" w:eastAsia="en-IN" w:bidi="gu-IN"/>
        </w:rPr>
        <w:t>fiber</w:t>
      </w:r>
      <w:proofErr w:type="spellEnd"/>
      <w:r w:rsidRPr="0028457E">
        <w:rPr>
          <w:rFonts w:ascii="Arial" w:hAnsi="Arial" w:cs="Arial"/>
          <w:lang w:val="en-IN" w:eastAsia="en-IN" w:bidi="gu-IN"/>
        </w:rPr>
        <w:t xml:space="preserve"> fortified yogurt. </w:t>
      </w:r>
      <w:r w:rsidRPr="0028457E">
        <w:rPr>
          <w:rFonts w:ascii="Arial" w:hAnsi="Arial" w:cs="Arial"/>
          <w:i/>
          <w:iCs/>
          <w:lang w:val="en-IN" w:eastAsia="en-IN" w:bidi="gu-IN"/>
        </w:rPr>
        <w:t>Journal of Food Research and Technology</w:t>
      </w:r>
      <w:r w:rsidRPr="0028457E">
        <w:rPr>
          <w:rFonts w:ascii="Arial" w:hAnsi="Arial" w:cs="Arial"/>
          <w:lang w:val="en-IN" w:eastAsia="en-IN" w:bidi="gu-IN"/>
        </w:rPr>
        <w:t>, 1(1), 93–96.</w:t>
      </w:r>
    </w:p>
    <w:p w14:paraId="2A2487AB" w14:textId="77777777" w:rsidR="009F0424" w:rsidRPr="0028457E" w:rsidRDefault="009F0424" w:rsidP="009F0424">
      <w:pPr>
        <w:pStyle w:val="Body"/>
        <w:numPr>
          <w:ilvl w:val="0"/>
          <w:numId w:val="31"/>
        </w:numPr>
        <w:spacing w:after="0" w:line="360" w:lineRule="auto"/>
        <w:rPr>
          <w:rFonts w:ascii="Arial" w:hAnsi="Arial" w:cs="Arial"/>
          <w:lang w:val="en-IN"/>
        </w:rPr>
      </w:pPr>
      <w:r w:rsidRPr="0028457E">
        <w:rPr>
          <w:rFonts w:ascii="Arial" w:hAnsi="Arial" w:cs="Arial"/>
          <w:lang w:val="en-IN"/>
        </w:rPr>
        <w:t xml:space="preserve">Gopalakrishnan, L., Doriya, K., &amp; Kumar, D. S. (2016). Moringa oleifera: A review on nutritive importance and its medicinal application. </w:t>
      </w:r>
      <w:r w:rsidRPr="0028457E">
        <w:rPr>
          <w:rFonts w:ascii="Arial" w:hAnsi="Arial" w:cs="Arial"/>
          <w:i/>
          <w:iCs/>
          <w:lang w:val="en-IN"/>
        </w:rPr>
        <w:t>Food Science and Human Wellness</w:t>
      </w:r>
      <w:r w:rsidRPr="0028457E">
        <w:rPr>
          <w:rFonts w:ascii="Arial" w:hAnsi="Arial" w:cs="Arial"/>
          <w:lang w:val="en-IN"/>
        </w:rPr>
        <w:t>, 5(2), 49–56. https://doi.org/10.1016/j.fshw.2016.04.001</w:t>
      </w:r>
    </w:p>
    <w:p w14:paraId="5675717A" w14:textId="56631A56" w:rsidR="009F0424" w:rsidRPr="0028457E" w:rsidRDefault="009F0424" w:rsidP="009F0424">
      <w:pPr>
        <w:pStyle w:val="Body"/>
        <w:numPr>
          <w:ilvl w:val="0"/>
          <w:numId w:val="31"/>
        </w:numPr>
        <w:spacing w:after="0" w:line="360" w:lineRule="auto"/>
        <w:rPr>
          <w:rFonts w:ascii="Arial" w:hAnsi="Arial" w:cs="Arial"/>
          <w:lang w:val="en-IN"/>
        </w:rPr>
      </w:pPr>
      <w:r w:rsidRPr="0028457E">
        <w:rPr>
          <w:rFonts w:ascii="Arial" w:hAnsi="Arial" w:cs="Arial"/>
          <w:lang w:val="en-IN"/>
        </w:rPr>
        <w:t xml:space="preserve">Hamid, M. A., Ming, J. S. K., Nor, M. M., Mamat, H., &amp; Akanda, J. H. (2021). Effect of moringa leaves powder incorporated into chocolate on the quality and stability properties. </w:t>
      </w:r>
      <w:r w:rsidRPr="0028457E">
        <w:rPr>
          <w:rFonts w:ascii="Arial" w:hAnsi="Arial" w:cs="Arial"/>
          <w:i/>
          <w:iCs/>
          <w:lang w:val="en-IN"/>
        </w:rPr>
        <w:t>Bulletin of Culinary Art and Hospitality</w:t>
      </w:r>
      <w:r w:rsidRPr="0028457E">
        <w:rPr>
          <w:rFonts w:ascii="Arial" w:hAnsi="Arial" w:cs="Arial"/>
          <w:lang w:val="en-IN"/>
        </w:rPr>
        <w:t>, 1(2), 1.</w:t>
      </w:r>
      <w:r w:rsidR="00B24186">
        <w:rPr>
          <w:rFonts w:ascii="Arial" w:hAnsi="Arial" w:cs="Arial"/>
          <w:lang w:val="en-IN"/>
        </w:rPr>
        <w:t xml:space="preserve"> </w:t>
      </w:r>
      <w:r w:rsidR="00B24186" w:rsidRPr="00B24186">
        <w:rPr>
          <w:rFonts w:ascii="Arial" w:hAnsi="Arial" w:cs="Arial"/>
          <w:lang w:val="en-IN"/>
        </w:rPr>
        <w:t>http://dx.doi.org/10.17977/um069v1i22021p42-49</w:t>
      </w:r>
    </w:p>
    <w:p w14:paraId="728F44A9"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Hekmat, S., &amp; McMahon, D. J. (1997). Manufacture and quality of iron-fortified yogurt. </w:t>
      </w:r>
      <w:r w:rsidRPr="0028457E">
        <w:rPr>
          <w:rFonts w:ascii="Arial" w:hAnsi="Arial" w:cs="Arial"/>
          <w:i/>
          <w:iCs/>
          <w:lang w:val="en-IN" w:eastAsia="en-IN" w:bidi="gu-IN"/>
        </w:rPr>
        <w:t>Journal of Dairy Science</w:t>
      </w:r>
      <w:r w:rsidRPr="0028457E">
        <w:rPr>
          <w:rFonts w:ascii="Arial" w:hAnsi="Arial" w:cs="Arial"/>
          <w:lang w:val="en-IN" w:eastAsia="en-IN" w:bidi="gu-IN"/>
        </w:rPr>
        <w:t>, 80(2), 311–317. https://doi.org/10.3168/jds.S0022-0302(97)75940-2</w:t>
      </w:r>
    </w:p>
    <w:p w14:paraId="7D4A0472" w14:textId="699C1C8E" w:rsidR="009F0424" w:rsidRPr="00F03887" w:rsidRDefault="009F0424" w:rsidP="009F0424">
      <w:pPr>
        <w:pStyle w:val="Body"/>
        <w:numPr>
          <w:ilvl w:val="0"/>
          <w:numId w:val="31"/>
        </w:numPr>
        <w:spacing w:after="0" w:line="360" w:lineRule="auto"/>
        <w:rPr>
          <w:rFonts w:ascii="Arial" w:hAnsi="Arial" w:cs="Arial"/>
          <w:lang w:val="en-IN"/>
        </w:rPr>
      </w:pPr>
      <w:r w:rsidRPr="0028457E">
        <w:rPr>
          <w:rFonts w:ascii="Arial" w:hAnsi="Arial" w:cs="Arial"/>
          <w:lang w:val="en-IN"/>
        </w:rPr>
        <w:t xml:space="preserve">Hilly, M., Adams, M. L., &amp; Nelson, S. C. (2002). A study of digit fusion in the mouse embryo. </w:t>
      </w:r>
      <w:r w:rsidRPr="0028457E">
        <w:rPr>
          <w:rFonts w:ascii="Arial" w:hAnsi="Arial" w:cs="Arial"/>
          <w:i/>
          <w:iCs/>
          <w:lang w:val="en-IN"/>
        </w:rPr>
        <w:t>Clinical and Experimental Allergy</w:t>
      </w:r>
      <w:r w:rsidRPr="0028457E">
        <w:rPr>
          <w:rFonts w:ascii="Arial" w:hAnsi="Arial" w:cs="Arial"/>
          <w:lang w:val="en-IN"/>
        </w:rPr>
        <w:t xml:space="preserve">, 32(4), 489–498. </w:t>
      </w:r>
    </w:p>
    <w:p w14:paraId="6D2CF98A" w14:textId="2A90C424"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Islam, Z., Islam, S. R., Hossen, F., Mahtab-</w:t>
      </w:r>
      <w:proofErr w:type="spellStart"/>
      <w:r w:rsidRPr="00F03887">
        <w:rPr>
          <w:rFonts w:ascii="Arial" w:hAnsi="Arial" w:cs="Arial"/>
        </w:rPr>
        <w:t>ul</w:t>
      </w:r>
      <w:proofErr w:type="spellEnd"/>
      <w:r w:rsidRPr="00F03887">
        <w:rPr>
          <w:rFonts w:ascii="Arial" w:hAnsi="Arial" w:cs="Arial"/>
        </w:rPr>
        <w:t xml:space="preserve">-Islam, K., Hasan, M. R., &amp; Karim, R. (2021). </w:t>
      </w:r>
      <w:r w:rsidRPr="00F03887">
        <w:rPr>
          <w:rStyle w:val="Emphasis"/>
          <w:rFonts w:ascii="Arial" w:hAnsi="Arial" w:cs="Arial"/>
        </w:rPr>
        <w:t>Moringa oleifera</w:t>
      </w:r>
      <w:r w:rsidRPr="00F03887">
        <w:rPr>
          <w:rFonts w:ascii="Arial" w:hAnsi="Arial" w:cs="Arial"/>
        </w:rPr>
        <w:t xml:space="preserve"> is a prominent source of nutrients with potential health benefits. </w:t>
      </w:r>
      <w:r w:rsidRPr="00F03887">
        <w:rPr>
          <w:rStyle w:val="Emphasis"/>
          <w:rFonts w:ascii="Arial" w:hAnsi="Arial" w:cs="Arial"/>
        </w:rPr>
        <w:t>International Journal of Food Science</w:t>
      </w:r>
      <w:r w:rsidRPr="00F03887">
        <w:rPr>
          <w:rFonts w:ascii="Arial" w:hAnsi="Arial" w:cs="Arial"/>
        </w:rPr>
        <w:t>, 2021, 6627265.</w:t>
      </w:r>
      <w:r w:rsidR="002A25F7">
        <w:rPr>
          <w:rFonts w:ascii="Arial" w:hAnsi="Arial" w:cs="Arial"/>
        </w:rPr>
        <w:t xml:space="preserve"> </w:t>
      </w:r>
      <w:r w:rsidR="002A25F7" w:rsidRPr="002A25F7">
        <w:rPr>
          <w:rFonts w:ascii="Arial" w:hAnsi="Arial" w:cs="Arial"/>
        </w:rPr>
        <w:t>https://doi.org/10.1155/2021/6627265</w:t>
      </w:r>
    </w:p>
    <w:p w14:paraId="25A27635"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Kashyap, P., Kumar, S., Riar, C. S., Jindal, N., </w:t>
      </w:r>
      <w:proofErr w:type="spellStart"/>
      <w:r w:rsidRPr="0028457E">
        <w:rPr>
          <w:rFonts w:ascii="Arial" w:hAnsi="Arial" w:cs="Arial"/>
          <w:lang w:val="en-IN" w:eastAsia="en-IN" w:bidi="gu-IN"/>
        </w:rPr>
        <w:t>Baniwal</w:t>
      </w:r>
      <w:proofErr w:type="spellEnd"/>
      <w:r w:rsidRPr="0028457E">
        <w:rPr>
          <w:rFonts w:ascii="Arial" w:hAnsi="Arial" w:cs="Arial"/>
          <w:lang w:val="en-IN" w:eastAsia="en-IN" w:bidi="gu-IN"/>
        </w:rPr>
        <w:t xml:space="preserve">, P., </w:t>
      </w:r>
      <w:proofErr w:type="spellStart"/>
      <w:r w:rsidRPr="0028457E">
        <w:rPr>
          <w:rFonts w:ascii="Arial" w:hAnsi="Arial" w:cs="Arial"/>
          <w:lang w:val="en-IN" w:eastAsia="en-IN" w:bidi="gu-IN"/>
        </w:rPr>
        <w:t>Guiné</w:t>
      </w:r>
      <w:proofErr w:type="spellEnd"/>
      <w:r w:rsidRPr="0028457E">
        <w:rPr>
          <w:rFonts w:ascii="Arial" w:hAnsi="Arial" w:cs="Arial"/>
          <w:lang w:val="en-IN" w:eastAsia="en-IN" w:bidi="gu-IN"/>
        </w:rPr>
        <w:t xml:space="preserve">, R. P. F., ... Kumar, H. (2022). Recent advances in drumstick (Moringa oleifera) leaves bioactive compounds: Composition, health benefits, </w:t>
      </w:r>
      <w:proofErr w:type="spellStart"/>
      <w:r w:rsidRPr="0028457E">
        <w:rPr>
          <w:rFonts w:ascii="Arial" w:hAnsi="Arial" w:cs="Arial"/>
          <w:lang w:val="en-IN" w:eastAsia="en-IN" w:bidi="gu-IN"/>
        </w:rPr>
        <w:t>bioaccessibility</w:t>
      </w:r>
      <w:proofErr w:type="spellEnd"/>
      <w:r w:rsidRPr="0028457E">
        <w:rPr>
          <w:rFonts w:ascii="Arial" w:hAnsi="Arial" w:cs="Arial"/>
          <w:lang w:val="en-IN" w:eastAsia="en-IN" w:bidi="gu-IN"/>
        </w:rPr>
        <w:t xml:space="preserve">, and dietary applications. </w:t>
      </w:r>
      <w:r w:rsidRPr="0028457E">
        <w:rPr>
          <w:rFonts w:ascii="Arial" w:hAnsi="Arial" w:cs="Arial"/>
          <w:i/>
          <w:iCs/>
          <w:lang w:val="en-IN" w:eastAsia="en-IN" w:bidi="gu-IN"/>
        </w:rPr>
        <w:t>Antioxidants</w:t>
      </w:r>
      <w:r w:rsidRPr="0028457E">
        <w:rPr>
          <w:rFonts w:ascii="Arial" w:hAnsi="Arial" w:cs="Arial"/>
          <w:lang w:val="en-IN" w:eastAsia="en-IN" w:bidi="gu-IN"/>
        </w:rPr>
        <w:t>, 11(2), 402. https://doi.org/10.3390/antiox11020402</w:t>
      </w:r>
    </w:p>
    <w:p w14:paraId="649D8739" w14:textId="77777777" w:rsidR="009F0424" w:rsidRPr="000E0A1C"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proofErr w:type="spellStart"/>
      <w:r w:rsidRPr="000E0A1C">
        <w:rPr>
          <w:rFonts w:ascii="Arial" w:hAnsi="Arial" w:cs="Arial"/>
          <w:lang w:val="en-IN" w:eastAsia="en-IN" w:bidi="gu-IN"/>
        </w:rPr>
        <w:t>Kerharo</w:t>
      </w:r>
      <w:proofErr w:type="spellEnd"/>
      <w:r w:rsidRPr="000E0A1C">
        <w:rPr>
          <w:rFonts w:ascii="Arial" w:hAnsi="Arial" w:cs="Arial"/>
          <w:lang w:val="en-IN" w:eastAsia="en-IN" w:bidi="gu-IN"/>
        </w:rPr>
        <w:t xml:space="preserve">, J. (1969). Un </w:t>
      </w:r>
      <w:proofErr w:type="spellStart"/>
      <w:r w:rsidRPr="000E0A1C">
        <w:rPr>
          <w:rFonts w:ascii="Arial" w:hAnsi="Arial" w:cs="Arial"/>
          <w:lang w:val="en-IN" w:eastAsia="en-IN" w:bidi="gu-IN"/>
        </w:rPr>
        <w:t>remède</w:t>
      </w:r>
      <w:proofErr w:type="spellEnd"/>
      <w:r w:rsidRPr="000E0A1C">
        <w:rPr>
          <w:rFonts w:ascii="Arial" w:hAnsi="Arial" w:cs="Arial"/>
          <w:lang w:val="en-IN" w:eastAsia="en-IN" w:bidi="gu-IN"/>
        </w:rPr>
        <w:t xml:space="preserve"> </w:t>
      </w:r>
      <w:proofErr w:type="spellStart"/>
      <w:r w:rsidRPr="000E0A1C">
        <w:rPr>
          <w:rFonts w:ascii="Arial" w:hAnsi="Arial" w:cs="Arial"/>
          <w:lang w:val="en-IN" w:eastAsia="en-IN" w:bidi="gu-IN"/>
        </w:rPr>
        <w:t>populaire</w:t>
      </w:r>
      <w:proofErr w:type="spellEnd"/>
      <w:r w:rsidRPr="000E0A1C">
        <w:rPr>
          <w:rFonts w:ascii="Arial" w:hAnsi="Arial" w:cs="Arial"/>
          <w:lang w:val="en-IN" w:eastAsia="en-IN" w:bidi="gu-IN"/>
        </w:rPr>
        <w:t xml:space="preserve"> </w:t>
      </w:r>
      <w:proofErr w:type="spellStart"/>
      <w:r w:rsidRPr="000E0A1C">
        <w:rPr>
          <w:rFonts w:ascii="Arial" w:hAnsi="Arial" w:cs="Arial"/>
          <w:lang w:val="en-IN" w:eastAsia="en-IN" w:bidi="gu-IN"/>
        </w:rPr>
        <w:t>Sénégalais</w:t>
      </w:r>
      <w:proofErr w:type="spellEnd"/>
      <w:r w:rsidRPr="000E0A1C">
        <w:rPr>
          <w:rFonts w:ascii="Arial" w:hAnsi="Arial" w:cs="Arial"/>
          <w:lang w:val="en-IN" w:eastAsia="en-IN" w:bidi="gu-IN"/>
        </w:rPr>
        <w:t>: Le «</w:t>
      </w:r>
      <w:proofErr w:type="spellStart"/>
      <w:r w:rsidRPr="000E0A1C">
        <w:rPr>
          <w:rFonts w:ascii="Arial" w:hAnsi="Arial" w:cs="Arial"/>
          <w:lang w:val="en-IN" w:eastAsia="en-IN" w:bidi="gu-IN"/>
        </w:rPr>
        <w:t>Nébéday</w:t>
      </w:r>
      <w:proofErr w:type="spellEnd"/>
      <w:r w:rsidRPr="000E0A1C">
        <w:rPr>
          <w:rFonts w:ascii="Arial" w:hAnsi="Arial" w:cs="Arial"/>
          <w:lang w:val="en-IN" w:eastAsia="en-IN" w:bidi="gu-IN"/>
        </w:rPr>
        <w:t xml:space="preserve">» (Moringa oleifera Lam.) </w:t>
      </w:r>
      <w:proofErr w:type="spellStart"/>
      <w:r w:rsidRPr="000E0A1C">
        <w:rPr>
          <w:rFonts w:ascii="Arial" w:hAnsi="Arial" w:cs="Arial"/>
          <w:lang w:val="en-IN" w:eastAsia="en-IN" w:bidi="gu-IN"/>
        </w:rPr>
        <w:t>emplois</w:t>
      </w:r>
      <w:proofErr w:type="spellEnd"/>
      <w:r w:rsidRPr="000E0A1C">
        <w:rPr>
          <w:rFonts w:ascii="Arial" w:hAnsi="Arial" w:cs="Arial"/>
          <w:lang w:val="en-IN" w:eastAsia="en-IN" w:bidi="gu-IN"/>
        </w:rPr>
        <w:t xml:space="preserve"> </w:t>
      </w:r>
      <w:proofErr w:type="spellStart"/>
      <w:r w:rsidRPr="000E0A1C">
        <w:rPr>
          <w:rFonts w:ascii="Arial" w:hAnsi="Arial" w:cs="Arial"/>
          <w:lang w:val="en-IN" w:eastAsia="en-IN" w:bidi="gu-IN"/>
        </w:rPr>
        <w:t>thérapeutiques</w:t>
      </w:r>
      <w:proofErr w:type="spellEnd"/>
      <w:r w:rsidRPr="000E0A1C">
        <w:rPr>
          <w:rFonts w:ascii="Arial" w:hAnsi="Arial" w:cs="Arial"/>
          <w:lang w:val="en-IN" w:eastAsia="en-IN" w:bidi="gu-IN"/>
        </w:rPr>
        <w:t xml:space="preserve"> </w:t>
      </w:r>
      <w:proofErr w:type="spellStart"/>
      <w:r w:rsidRPr="000E0A1C">
        <w:rPr>
          <w:rFonts w:ascii="Arial" w:hAnsi="Arial" w:cs="Arial"/>
          <w:lang w:val="en-IN" w:eastAsia="en-IN" w:bidi="gu-IN"/>
        </w:rPr>
        <w:t>en</w:t>
      </w:r>
      <w:proofErr w:type="spellEnd"/>
      <w:r w:rsidRPr="000E0A1C">
        <w:rPr>
          <w:rFonts w:ascii="Arial" w:hAnsi="Arial" w:cs="Arial"/>
          <w:lang w:val="en-IN" w:eastAsia="en-IN" w:bidi="gu-IN"/>
        </w:rPr>
        <w:t xml:space="preserve"> milieu Africain, </w:t>
      </w:r>
      <w:proofErr w:type="spellStart"/>
      <w:r w:rsidRPr="000E0A1C">
        <w:rPr>
          <w:rFonts w:ascii="Arial" w:hAnsi="Arial" w:cs="Arial"/>
          <w:lang w:val="en-IN" w:eastAsia="en-IN" w:bidi="gu-IN"/>
        </w:rPr>
        <w:t>chimie</w:t>
      </w:r>
      <w:proofErr w:type="spellEnd"/>
      <w:r w:rsidRPr="000E0A1C">
        <w:rPr>
          <w:rFonts w:ascii="Arial" w:hAnsi="Arial" w:cs="Arial"/>
          <w:lang w:val="en-IN" w:eastAsia="en-IN" w:bidi="gu-IN"/>
        </w:rPr>
        <w:t xml:space="preserve"> et </w:t>
      </w:r>
      <w:proofErr w:type="spellStart"/>
      <w:r w:rsidRPr="000E0A1C">
        <w:rPr>
          <w:rFonts w:ascii="Arial" w:hAnsi="Arial" w:cs="Arial"/>
          <w:lang w:val="en-IN" w:eastAsia="en-IN" w:bidi="gu-IN"/>
        </w:rPr>
        <w:t>pharmacologie</w:t>
      </w:r>
      <w:proofErr w:type="spellEnd"/>
      <w:r w:rsidRPr="000E0A1C">
        <w:rPr>
          <w:rFonts w:ascii="Arial" w:hAnsi="Arial" w:cs="Arial"/>
          <w:lang w:val="en-IN" w:eastAsia="en-IN" w:bidi="gu-IN"/>
        </w:rPr>
        <w:t xml:space="preserve">. </w:t>
      </w:r>
      <w:r w:rsidRPr="000E0A1C">
        <w:rPr>
          <w:rFonts w:ascii="Arial" w:hAnsi="Arial" w:cs="Arial"/>
          <w:i/>
          <w:iCs/>
          <w:lang w:val="en-IN" w:eastAsia="en-IN" w:bidi="gu-IN"/>
        </w:rPr>
        <w:t xml:space="preserve">Plantes </w:t>
      </w:r>
      <w:proofErr w:type="spellStart"/>
      <w:r w:rsidRPr="000E0A1C">
        <w:rPr>
          <w:rFonts w:ascii="Arial" w:hAnsi="Arial" w:cs="Arial"/>
          <w:i/>
          <w:iCs/>
          <w:lang w:val="en-IN" w:eastAsia="en-IN" w:bidi="gu-IN"/>
        </w:rPr>
        <w:t>Médicinales</w:t>
      </w:r>
      <w:proofErr w:type="spellEnd"/>
      <w:r w:rsidRPr="000E0A1C">
        <w:rPr>
          <w:rFonts w:ascii="Arial" w:hAnsi="Arial" w:cs="Arial"/>
          <w:i/>
          <w:iCs/>
          <w:lang w:val="en-IN" w:eastAsia="en-IN" w:bidi="gu-IN"/>
        </w:rPr>
        <w:t xml:space="preserve"> et </w:t>
      </w:r>
      <w:proofErr w:type="spellStart"/>
      <w:r w:rsidRPr="000E0A1C">
        <w:rPr>
          <w:rFonts w:ascii="Arial" w:hAnsi="Arial" w:cs="Arial"/>
          <w:i/>
          <w:iCs/>
          <w:lang w:val="en-IN" w:eastAsia="en-IN" w:bidi="gu-IN"/>
        </w:rPr>
        <w:t>Phytothérapie</w:t>
      </w:r>
      <w:proofErr w:type="spellEnd"/>
      <w:r w:rsidRPr="000E0A1C">
        <w:rPr>
          <w:rFonts w:ascii="Arial" w:hAnsi="Arial" w:cs="Arial"/>
          <w:lang w:val="en-IN" w:eastAsia="en-IN" w:bidi="gu-IN"/>
        </w:rPr>
        <w:t>, 3(1), 14–219.</w:t>
      </w:r>
    </w:p>
    <w:p w14:paraId="2566AD6C"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Leone, A., Giani, S., Bertoli, S., &amp; </w:t>
      </w:r>
      <w:proofErr w:type="spellStart"/>
      <w:r w:rsidRPr="0028457E">
        <w:rPr>
          <w:rFonts w:ascii="Arial" w:hAnsi="Arial" w:cs="Arial"/>
          <w:lang w:val="en-IN" w:eastAsia="en-IN" w:bidi="gu-IN"/>
        </w:rPr>
        <w:t>Battezzati</w:t>
      </w:r>
      <w:proofErr w:type="spellEnd"/>
      <w:r w:rsidRPr="0028457E">
        <w:rPr>
          <w:rFonts w:ascii="Arial" w:hAnsi="Arial" w:cs="Arial"/>
          <w:lang w:val="en-IN" w:eastAsia="en-IN" w:bidi="gu-IN"/>
        </w:rPr>
        <w:t xml:space="preserve">, A. (2015). Moringa oleifera seeds: Nutritional and functional properties. </w:t>
      </w:r>
      <w:r w:rsidRPr="0028457E">
        <w:rPr>
          <w:rFonts w:ascii="Arial" w:hAnsi="Arial" w:cs="Arial"/>
          <w:i/>
          <w:iCs/>
          <w:lang w:val="en-IN" w:eastAsia="en-IN" w:bidi="gu-IN"/>
        </w:rPr>
        <w:t>International Journal of Food Sciences and Nutrition</w:t>
      </w:r>
      <w:r w:rsidRPr="0028457E">
        <w:rPr>
          <w:rFonts w:ascii="Arial" w:hAnsi="Arial" w:cs="Arial"/>
          <w:lang w:val="en-IN" w:eastAsia="en-IN" w:bidi="gu-IN"/>
        </w:rPr>
        <w:t>, 66(6), 731–742. https://doi.org/10.3109/09637486.2015.1077793</w:t>
      </w:r>
    </w:p>
    <w:p w14:paraId="6F17C081" w14:textId="77777777" w:rsidR="009F0424" w:rsidRPr="0028457E" w:rsidRDefault="009F0424" w:rsidP="009F0424">
      <w:pPr>
        <w:pStyle w:val="Body"/>
        <w:numPr>
          <w:ilvl w:val="0"/>
          <w:numId w:val="31"/>
        </w:numPr>
        <w:spacing w:after="0" w:line="360" w:lineRule="auto"/>
        <w:rPr>
          <w:rFonts w:ascii="Arial" w:hAnsi="Arial" w:cs="Arial"/>
          <w:lang w:val="en-IN"/>
        </w:rPr>
      </w:pPr>
      <w:r w:rsidRPr="0028457E">
        <w:rPr>
          <w:rFonts w:ascii="Arial" w:hAnsi="Arial" w:cs="Arial"/>
          <w:lang w:val="en-IN"/>
        </w:rPr>
        <w:t xml:space="preserve">Leone, A., Spada, A., </w:t>
      </w:r>
      <w:proofErr w:type="spellStart"/>
      <w:r w:rsidRPr="0028457E">
        <w:rPr>
          <w:rFonts w:ascii="Arial" w:hAnsi="Arial" w:cs="Arial"/>
          <w:lang w:val="en-IN"/>
        </w:rPr>
        <w:t>Battezzati</w:t>
      </w:r>
      <w:proofErr w:type="spellEnd"/>
      <w:r w:rsidRPr="0028457E">
        <w:rPr>
          <w:rFonts w:ascii="Arial" w:hAnsi="Arial" w:cs="Arial"/>
          <w:lang w:val="en-IN"/>
        </w:rPr>
        <w:t xml:space="preserve">, A., Schiraldi, A., Aristil, J., &amp; Bertoli, S. (2015). Moringa oleifera seeds and oil: Characteristics and uses for human health. </w:t>
      </w:r>
      <w:r w:rsidRPr="0028457E">
        <w:rPr>
          <w:rFonts w:ascii="Arial" w:hAnsi="Arial" w:cs="Arial"/>
          <w:i/>
          <w:iCs/>
          <w:lang w:val="en-IN"/>
        </w:rPr>
        <w:t>International Journal of Molecular Sciences</w:t>
      </w:r>
      <w:r w:rsidRPr="0028457E">
        <w:rPr>
          <w:rFonts w:ascii="Arial" w:hAnsi="Arial" w:cs="Arial"/>
          <w:lang w:val="en-IN"/>
        </w:rPr>
        <w:t>, 17(12), 2141. https://doi.org/10.3390/ijms17122141</w:t>
      </w:r>
    </w:p>
    <w:p w14:paraId="7D40FE82"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lastRenderedPageBreak/>
        <w:t xml:space="preserve">Li, W., Yang, M., Wang, X., Zhang, T., Li, Y., &amp; Wang, C. (2021). Effect of Moringa oleifera leaf powder on yogurt fermentation: Quality, antioxidant activity and sensory properties. </w:t>
      </w:r>
      <w:r w:rsidRPr="0028457E">
        <w:rPr>
          <w:rFonts w:ascii="Arial" w:hAnsi="Arial" w:cs="Arial"/>
          <w:i/>
          <w:iCs/>
          <w:lang w:val="en-IN" w:eastAsia="en-IN" w:bidi="gu-IN"/>
        </w:rPr>
        <w:t>LWT - Food Science and Technology</w:t>
      </w:r>
      <w:r w:rsidRPr="0028457E">
        <w:rPr>
          <w:rFonts w:ascii="Arial" w:hAnsi="Arial" w:cs="Arial"/>
          <w:lang w:val="en-IN" w:eastAsia="en-IN" w:bidi="gu-IN"/>
        </w:rPr>
        <w:t>, 147, 111620. https://doi.org/10.1016/j.lwt.2021.111620</w:t>
      </w:r>
    </w:p>
    <w:p w14:paraId="1E65E2F3" w14:textId="34F7B72C"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Mahajan, S. G., &amp; Mehta, A. A. (2008). Inhibitory action of ethanolic extract of seeds of </w:t>
      </w:r>
      <w:r w:rsidRPr="00F03887">
        <w:rPr>
          <w:rStyle w:val="Emphasis"/>
          <w:rFonts w:ascii="Arial" w:hAnsi="Arial" w:cs="Arial"/>
        </w:rPr>
        <w:t>Moringa oleifera</w:t>
      </w:r>
      <w:r w:rsidRPr="00F03887">
        <w:rPr>
          <w:rFonts w:ascii="Arial" w:hAnsi="Arial" w:cs="Arial"/>
        </w:rPr>
        <w:t xml:space="preserve"> Lam. on systemic and local anaphylaxis. </w:t>
      </w:r>
      <w:r w:rsidRPr="00F03887">
        <w:rPr>
          <w:rStyle w:val="Emphasis"/>
          <w:rFonts w:ascii="Arial" w:hAnsi="Arial" w:cs="Arial"/>
        </w:rPr>
        <w:t>Journal of Immunotoxicology</w:t>
      </w:r>
      <w:r w:rsidRPr="00F03887">
        <w:rPr>
          <w:rFonts w:ascii="Arial" w:hAnsi="Arial" w:cs="Arial"/>
        </w:rPr>
        <w:t>, 5(2), 149–156.</w:t>
      </w:r>
      <w:r w:rsidR="00CE39A3">
        <w:rPr>
          <w:rFonts w:ascii="Arial" w:hAnsi="Arial" w:cs="Arial"/>
        </w:rPr>
        <w:t xml:space="preserve"> </w:t>
      </w:r>
      <w:r w:rsidR="00CE39A3" w:rsidRPr="00CE39A3">
        <w:rPr>
          <w:rFonts w:ascii="Arial" w:hAnsi="Arial" w:cs="Arial"/>
        </w:rPr>
        <w:t>https://doi.org/10.1080/15476910701680137</w:t>
      </w:r>
    </w:p>
    <w:p w14:paraId="7E5228CD"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Maurya, S. K., &amp; Singh, A. K. (2014). Clinical efficacy of Moringa oleifera Lam. stem bark in urinary tract infections. </w:t>
      </w:r>
      <w:r w:rsidRPr="0028457E">
        <w:rPr>
          <w:rFonts w:ascii="Arial" w:hAnsi="Arial" w:cs="Arial"/>
          <w:i/>
          <w:iCs/>
          <w:lang w:val="en-IN" w:eastAsia="en-IN" w:bidi="gu-IN"/>
        </w:rPr>
        <w:t>International Scholarly Research Notices</w:t>
      </w:r>
      <w:r w:rsidRPr="0028457E">
        <w:rPr>
          <w:rFonts w:ascii="Arial" w:hAnsi="Arial" w:cs="Arial"/>
          <w:lang w:val="en-IN" w:eastAsia="en-IN" w:bidi="gu-IN"/>
        </w:rPr>
        <w:t>, 2014, 906843. https://doi.org/10.1155/2014/906843</w:t>
      </w:r>
    </w:p>
    <w:p w14:paraId="30F445D9" w14:textId="77777777" w:rsidR="009F0424" w:rsidRPr="0028457E" w:rsidRDefault="009F0424" w:rsidP="009F0424">
      <w:pPr>
        <w:pStyle w:val="Body"/>
        <w:numPr>
          <w:ilvl w:val="0"/>
          <w:numId w:val="31"/>
        </w:numPr>
        <w:spacing w:after="0" w:line="360" w:lineRule="auto"/>
        <w:rPr>
          <w:rFonts w:ascii="Arial" w:hAnsi="Arial" w:cs="Arial"/>
          <w:lang w:val="en-IN"/>
        </w:rPr>
      </w:pPr>
      <w:r w:rsidRPr="0028457E">
        <w:rPr>
          <w:rFonts w:ascii="Arial" w:hAnsi="Arial" w:cs="Arial"/>
          <w:lang w:val="en-IN"/>
        </w:rPr>
        <w:t xml:space="preserve">Milla, P. G., Peñalver, R., &amp; Nieto, G. (2021). Health benefits of uses and applications of Moringa oleifera in bakery products. </w:t>
      </w:r>
      <w:r w:rsidRPr="0028457E">
        <w:rPr>
          <w:rFonts w:ascii="Arial" w:hAnsi="Arial" w:cs="Arial"/>
          <w:i/>
          <w:iCs/>
          <w:lang w:val="en-IN"/>
        </w:rPr>
        <w:t>Plants</w:t>
      </w:r>
      <w:r w:rsidRPr="0028457E">
        <w:rPr>
          <w:rFonts w:ascii="Arial" w:hAnsi="Arial" w:cs="Arial"/>
          <w:lang w:val="en-IN"/>
        </w:rPr>
        <w:t>, 10(2), 318. https://doi.org/10.3390/plants10020318</w:t>
      </w:r>
    </w:p>
    <w:p w14:paraId="26285599" w14:textId="77777777"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Morton, J. F. (1991). The horseradish tree, </w:t>
      </w:r>
      <w:r w:rsidRPr="00F03887">
        <w:rPr>
          <w:rStyle w:val="Emphasis"/>
          <w:rFonts w:ascii="Arial" w:hAnsi="Arial" w:cs="Arial"/>
        </w:rPr>
        <w:t xml:space="preserve">Moringa </w:t>
      </w:r>
      <w:proofErr w:type="spellStart"/>
      <w:r w:rsidRPr="00F03887">
        <w:rPr>
          <w:rStyle w:val="Emphasis"/>
          <w:rFonts w:ascii="Arial" w:hAnsi="Arial" w:cs="Arial"/>
        </w:rPr>
        <w:t>pterygosperma</w:t>
      </w:r>
      <w:proofErr w:type="spellEnd"/>
      <w:r w:rsidRPr="00F03887">
        <w:rPr>
          <w:rFonts w:ascii="Arial" w:hAnsi="Arial" w:cs="Arial"/>
        </w:rPr>
        <w:t xml:space="preserve"> (</w:t>
      </w:r>
      <w:proofErr w:type="spellStart"/>
      <w:r w:rsidRPr="00F03887">
        <w:rPr>
          <w:rFonts w:ascii="Arial" w:hAnsi="Arial" w:cs="Arial"/>
        </w:rPr>
        <w:t>Moringaceae</w:t>
      </w:r>
      <w:proofErr w:type="spellEnd"/>
      <w:r w:rsidRPr="00F03887">
        <w:rPr>
          <w:rFonts w:ascii="Arial" w:hAnsi="Arial" w:cs="Arial"/>
        </w:rPr>
        <w:t xml:space="preserve">)—A boon to arid lands? </w:t>
      </w:r>
      <w:r w:rsidRPr="00F03887">
        <w:rPr>
          <w:rStyle w:val="Emphasis"/>
          <w:rFonts w:ascii="Arial" w:hAnsi="Arial" w:cs="Arial"/>
        </w:rPr>
        <w:t>Economic Botany</w:t>
      </w:r>
      <w:r w:rsidRPr="00F03887">
        <w:rPr>
          <w:rFonts w:ascii="Arial" w:hAnsi="Arial" w:cs="Arial"/>
        </w:rPr>
        <w:t xml:space="preserve">, 45(3), 318–333. </w:t>
      </w:r>
      <w:hyperlink r:id="rId15" w:tgtFrame="_new" w:history="1">
        <w:r w:rsidRPr="000E0A1C">
          <w:rPr>
            <w:rStyle w:val="Hyperlink"/>
            <w:rFonts w:ascii="Arial" w:hAnsi="Arial" w:cs="Arial"/>
            <w:color w:val="auto"/>
            <w:u w:val="none"/>
          </w:rPr>
          <w:t>https://doi.org/10.1007/BF02887070</w:t>
        </w:r>
      </w:hyperlink>
    </w:p>
    <w:p w14:paraId="6BA244F8" w14:textId="77777777" w:rsidR="009F0424" w:rsidRPr="0028457E" w:rsidRDefault="009F0424" w:rsidP="009F0424">
      <w:pPr>
        <w:pStyle w:val="Body"/>
        <w:numPr>
          <w:ilvl w:val="0"/>
          <w:numId w:val="31"/>
        </w:numPr>
        <w:spacing w:after="0" w:line="360" w:lineRule="auto"/>
        <w:rPr>
          <w:rFonts w:ascii="Arial" w:hAnsi="Arial" w:cs="Arial"/>
          <w:lang w:val="en-IN"/>
        </w:rPr>
      </w:pPr>
      <w:r w:rsidRPr="0028457E">
        <w:rPr>
          <w:rFonts w:ascii="Arial" w:hAnsi="Arial" w:cs="Arial"/>
          <w:lang w:val="en-IN"/>
        </w:rPr>
        <w:t xml:space="preserve">Moyo, B., Masika, P. J., Hugo, A., &amp; Muchenje, V. (2011). Nutritional characterization of Moringa (Moringa oleifera Lam.) leaves. </w:t>
      </w:r>
      <w:r w:rsidRPr="0028457E">
        <w:rPr>
          <w:rFonts w:ascii="Arial" w:hAnsi="Arial" w:cs="Arial"/>
          <w:i/>
          <w:iCs/>
          <w:lang w:val="en-IN"/>
        </w:rPr>
        <w:t>African Journal of Biotechnology</w:t>
      </w:r>
      <w:r w:rsidRPr="0028457E">
        <w:rPr>
          <w:rFonts w:ascii="Arial" w:hAnsi="Arial" w:cs="Arial"/>
          <w:lang w:val="en-IN"/>
        </w:rPr>
        <w:t>, 10(60), 12925–12933.</w:t>
      </w:r>
    </w:p>
    <w:p w14:paraId="4B3CC379"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proofErr w:type="spellStart"/>
      <w:r w:rsidRPr="0028457E">
        <w:rPr>
          <w:rFonts w:ascii="Arial" w:hAnsi="Arial" w:cs="Arial"/>
          <w:lang w:val="en-IN" w:eastAsia="en-IN" w:bidi="gu-IN"/>
        </w:rPr>
        <w:t>Ndabigengesere</w:t>
      </w:r>
      <w:proofErr w:type="spellEnd"/>
      <w:r w:rsidRPr="0028457E">
        <w:rPr>
          <w:rFonts w:ascii="Arial" w:hAnsi="Arial" w:cs="Arial"/>
          <w:lang w:val="en-IN" w:eastAsia="en-IN" w:bidi="gu-IN"/>
        </w:rPr>
        <w:t xml:space="preserve">, A., &amp; </w:t>
      </w:r>
      <w:proofErr w:type="spellStart"/>
      <w:r w:rsidRPr="0028457E">
        <w:rPr>
          <w:rFonts w:ascii="Arial" w:hAnsi="Arial" w:cs="Arial"/>
          <w:lang w:val="en-IN" w:eastAsia="en-IN" w:bidi="gu-IN"/>
        </w:rPr>
        <w:t>Narasiah</w:t>
      </w:r>
      <w:proofErr w:type="spellEnd"/>
      <w:r w:rsidRPr="0028457E">
        <w:rPr>
          <w:rFonts w:ascii="Arial" w:hAnsi="Arial" w:cs="Arial"/>
          <w:lang w:val="en-IN" w:eastAsia="en-IN" w:bidi="gu-IN"/>
        </w:rPr>
        <w:t xml:space="preserve">, K. S. (1998). Quality of water treated by coagulation using Moringa oleifera seeds. </w:t>
      </w:r>
      <w:r w:rsidRPr="0028457E">
        <w:rPr>
          <w:rFonts w:ascii="Arial" w:hAnsi="Arial" w:cs="Arial"/>
          <w:i/>
          <w:iCs/>
          <w:lang w:val="en-IN" w:eastAsia="en-IN" w:bidi="gu-IN"/>
        </w:rPr>
        <w:t>Water Research</w:t>
      </w:r>
      <w:r w:rsidRPr="0028457E">
        <w:rPr>
          <w:rFonts w:ascii="Arial" w:hAnsi="Arial" w:cs="Arial"/>
          <w:lang w:val="en-IN" w:eastAsia="en-IN" w:bidi="gu-IN"/>
        </w:rPr>
        <w:t>, 32(3), 781–791. https://doi.org/10.1016/S0043-1354(97)00295-9</w:t>
      </w:r>
    </w:p>
    <w:p w14:paraId="7523C9A7" w14:textId="277C9233"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Ndong, M., Uehara, M., Katsumata, S., &amp; Suzuki, K. (2007). Effects of oral administration of </w:t>
      </w:r>
      <w:r w:rsidRPr="00F03887">
        <w:rPr>
          <w:rStyle w:val="Emphasis"/>
          <w:rFonts w:ascii="Arial" w:hAnsi="Arial" w:cs="Arial"/>
        </w:rPr>
        <w:t>Moringa oleifera</w:t>
      </w:r>
      <w:r w:rsidRPr="00F03887">
        <w:rPr>
          <w:rFonts w:ascii="Arial" w:hAnsi="Arial" w:cs="Arial"/>
        </w:rPr>
        <w:t xml:space="preserve"> Lam. on glucose tolerance in Goto-</w:t>
      </w:r>
      <w:proofErr w:type="spellStart"/>
      <w:r w:rsidRPr="00F03887">
        <w:rPr>
          <w:rFonts w:ascii="Arial" w:hAnsi="Arial" w:cs="Arial"/>
        </w:rPr>
        <w:t>Kakizaki</w:t>
      </w:r>
      <w:proofErr w:type="spellEnd"/>
      <w:r w:rsidRPr="00F03887">
        <w:rPr>
          <w:rFonts w:ascii="Arial" w:hAnsi="Arial" w:cs="Arial"/>
        </w:rPr>
        <w:t xml:space="preserve"> and Wistar rats. </w:t>
      </w:r>
      <w:r w:rsidRPr="00F03887">
        <w:rPr>
          <w:rStyle w:val="Emphasis"/>
          <w:rFonts w:ascii="Arial" w:hAnsi="Arial" w:cs="Arial"/>
        </w:rPr>
        <w:t>Journal of Clinical Biochemistry and Nutrition</w:t>
      </w:r>
      <w:r w:rsidRPr="00F03887">
        <w:rPr>
          <w:rFonts w:ascii="Arial" w:hAnsi="Arial" w:cs="Arial"/>
        </w:rPr>
        <w:t>, 40(3), 229–233.</w:t>
      </w:r>
      <w:r w:rsidR="00CE39A3">
        <w:rPr>
          <w:rFonts w:ascii="Arial" w:hAnsi="Arial" w:cs="Arial"/>
        </w:rPr>
        <w:t xml:space="preserve"> </w:t>
      </w:r>
      <w:r w:rsidR="00CE39A3" w:rsidRPr="00CE39A3">
        <w:rPr>
          <w:rFonts w:ascii="Arial" w:hAnsi="Arial" w:cs="Arial"/>
        </w:rPr>
        <w:t>https://doi.org/10.3164/jcbn.40.229</w:t>
      </w:r>
    </w:p>
    <w:p w14:paraId="78FBFD8E" w14:textId="6C5801B1"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Njoku, O. I. (2013). Blood </w:t>
      </w:r>
      <w:r w:rsidR="00CE39A3">
        <w:rPr>
          <w:rFonts w:ascii="Arial" w:hAnsi="Arial" w:cs="Arial"/>
        </w:rPr>
        <w:t>sugar-lowering</w:t>
      </w:r>
      <w:r w:rsidRPr="00F03887">
        <w:rPr>
          <w:rFonts w:ascii="Arial" w:hAnsi="Arial" w:cs="Arial"/>
        </w:rPr>
        <w:t xml:space="preserve"> effect of </w:t>
      </w:r>
      <w:r w:rsidRPr="00F03887">
        <w:rPr>
          <w:rStyle w:val="Emphasis"/>
          <w:rFonts w:ascii="Arial" w:hAnsi="Arial" w:cs="Arial"/>
        </w:rPr>
        <w:t>Moringa oleifera</w:t>
      </w:r>
      <w:r w:rsidRPr="00F03887">
        <w:rPr>
          <w:rFonts w:ascii="Arial" w:hAnsi="Arial" w:cs="Arial"/>
        </w:rPr>
        <w:t xml:space="preserve"> Lam. in albino rats. </w:t>
      </w:r>
      <w:r w:rsidRPr="00F03887">
        <w:rPr>
          <w:rStyle w:val="Emphasis"/>
          <w:rFonts w:ascii="Arial" w:hAnsi="Arial" w:cs="Arial"/>
        </w:rPr>
        <w:t>International Journal of Pharmaceutical Sciences and Research</w:t>
      </w:r>
      <w:r w:rsidRPr="00F03887">
        <w:rPr>
          <w:rFonts w:ascii="Arial" w:hAnsi="Arial" w:cs="Arial"/>
        </w:rPr>
        <w:t>, 4(1), 204–208.</w:t>
      </w:r>
    </w:p>
    <w:p w14:paraId="763B3462"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Nouman, W., Basra, S. M. A., Siddiqui, M. T., Yasmeen, A., Gull, T., &amp; Alcayde, M. A. (2014). Potential of Moringa oleifera L. as livestock fodder crop: A review. </w:t>
      </w:r>
      <w:r w:rsidRPr="0028457E">
        <w:rPr>
          <w:rFonts w:ascii="Arial" w:hAnsi="Arial" w:cs="Arial"/>
          <w:i/>
          <w:iCs/>
          <w:lang w:val="en-IN" w:eastAsia="en-IN" w:bidi="gu-IN"/>
        </w:rPr>
        <w:t>Turkish Journal of Agriculture and Forestry</w:t>
      </w:r>
      <w:r w:rsidRPr="0028457E">
        <w:rPr>
          <w:rFonts w:ascii="Arial" w:hAnsi="Arial" w:cs="Arial"/>
          <w:lang w:val="en-IN" w:eastAsia="en-IN" w:bidi="gu-IN"/>
        </w:rPr>
        <w:t>, 38(1), 1–14. https://doi.org/10.3906/tar-1211-66</w:t>
      </w:r>
    </w:p>
    <w:p w14:paraId="585580EC" w14:textId="505AC6F7" w:rsidR="009F0424" w:rsidRPr="0028457E" w:rsidRDefault="009F0424" w:rsidP="009F0424">
      <w:pPr>
        <w:pStyle w:val="Body"/>
        <w:numPr>
          <w:ilvl w:val="0"/>
          <w:numId w:val="31"/>
        </w:numPr>
        <w:spacing w:after="0" w:line="360" w:lineRule="auto"/>
        <w:rPr>
          <w:rFonts w:ascii="Arial" w:hAnsi="Arial" w:cs="Arial"/>
          <w:lang w:val="en-IN"/>
        </w:rPr>
      </w:pPr>
      <w:proofErr w:type="spellStart"/>
      <w:r w:rsidRPr="0028457E">
        <w:rPr>
          <w:rFonts w:ascii="Arial" w:hAnsi="Arial" w:cs="Arial"/>
          <w:lang w:val="en-IN"/>
        </w:rPr>
        <w:t>Ogunlesi</w:t>
      </w:r>
      <w:proofErr w:type="spellEnd"/>
      <w:r w:rsidRPr="0028457E">
        <w:rPr>
          <w:rFonts w:ascii="Arial" w:hAnsi="Arial" w:cs="Arial"/>
          <w:lang w:val="en-IN"/>
        </w:rPr>
        <w:t xml:space="preserve">, M., </w:t>
      </w:r>
      <w:proofErr w:type="spellStart"/>
      <w:r w:rsidRPr="0028457E">
        <w:rPr>
          <w:rFonts w:ascii="Arial" w:hAnsi="Arial" w:cs="Arial"/>
          <w:lang w:val="en-IN"/>
        </w:rPr>
        <w:t>Okiei</w:t>
      </w:r>
      <w:proofErr w:type="spellEnd"/>
      <w:r w:rsidRPr="0028457E">
        <w:rPr>
          <w:rFonts w:ascii="Arial" w:hAnsi="Arial" w:cs="Arial"/>
          <w:lang w:val="en-IN"/>
        </w:rPr>
        <w:t xml:space="preserve">, W., </w:t>
      </w:r>
      <w:proofErr w:type="spellStart"/>
      <w:r w:rsidRPr="0028457E">
        <w:rPr>
          <w:rFonts w:ascii="Arial" w:hAnsi="Arial" w:cs="Arial"/>
          <w:lang w:val="en-IN"/>
        </w:rPr>
        <w:t>Osibote</w:t>
      </w:r>
      <w:proofErr w:type="spellEnd"/>
      <w:r w:rsidRPr="0028457E">
        <w:rPr>
          <w:rFonts w:ascii="Arial" w:hAnsi="Arial" w:cs="Arial"/>
          <w:lang w:val="en-IN"/>
        </w:rPr>
        <w:t xml:space="preserve">, E., &amp; </w:t>
      </w:r>
      <w:proofErr w:type="spellStart"/>
      <w:r w:rsidRPr="0028457E">
        <w:rPr>
          <w:rFonts w:ascii="Arial" w:hAnsi="Arial" w:cs="Arial"/>
          <w:lang w:val="en-IN"/>
        </w:rPr>
        <w:t>Ogunlesi</w:t>
      </w:r>
      <w:proofErr w:type="spellEnd"/>
      <w:r w:rsidRPr="0028457E">
        <w:rPr>
          <w:rFonts w:ascii="Arial" w:hAnsi="Arial" w:cs="Arial"/>
          <w:lang w:val="en-IN"/>
        </w:rPr>
        <w:t xml:space="preserve">, T. (2010). Analysis of the essential oil from the dried leaves of Moringa oleifera Lam. grown in Nigeria. </w:t>
      </w:r>
      <w:r w:rsidRPr="0028457E">
        <w:rPr>
          <w:rFonts w:ascii="Arial" w:hAnsi="Arial" w:cs="Arial"/>
          <w:i/>
          <w:iCs/>
          <w:lang w:val="en-IN"/>
        </w:rPr>
        <w:t>African Journal of Pure and Applied Chemistry</w:t>
      </w:r>
      <w:r w:rsidRPr="0028457E">
        <w:rPr>
          <w:rFonts w:ascii="Arial" w:hAnsi="Arial" w:cs="Arial"/>
          <w:lang w:val="en-IN"/>
        </w:rPr>
        <w:t>, 4(7), 150–152.</w:t>
      </w:r>
      <w:r w:rsidR="00CE39A3">
        <w:rPr>
          <w:rFonts w:ascii="Arial" w:hAnsi="Arial" w:cs="Arial"/>
          <w:lang w:val="en-IN"/>
        </w:rPr>
        <w:t xml:space="preserve"> </w:t>
      </w:r>
      <w:r w:rsidR="00CE39A3" w:rsidRPr="00CE39A3">
        <w:rPr>
          <w:rFonts w:ascii="Arial" w:hAnsi="Arial" w:cs="Arial"/>
          <w:lang w:val="en-IN"/>
        </w:rPr>
        <w:t>https://doi.org/10.5897/AJB09.941</w:t>
      </w:r>
    </w:p>
    <w:p w14:paraId="633FB82C"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Olotu, I. O., </w:t>
      </w:r>
      <w:proofErr w:type="spellStart"/>
      <w:r w:rsidRPr="0028457E">
        <w:rPr>
          <w:rFonts w:ascii="Arial" w:hAnsi="Arial" w:cs="Arial"/>
          <w:lang w:val="en-IN" w:eastAsia="en-IN" w:bidi="gu-IN"/>
        </w:rPr>
        <w:t>Fasoyiro</w:t>
      </w:r>
      <w:proofErr w:type="spellEnd"/>
      <w:r w:rsidRPr="0028457E">
        <w:rPr>
          <w:rFonts w:ascii="Arial" w:hAnsi="Arial" w:cs="Arial"/>
          <w:lang w:val="en-IN" w:eastAsia="en-IN" w:bidi="gu-IN"/>
        </w:rPr>
        <w:t xml:space="preserve">, S. B., </w:t>
      </w:r>
      <w:proofErr w:type="spellStart"/>
      <w:r w:rsidRPr="0028457E">
        <w:rPr>
          <w:rFonts w:ascii="Arial" w:hAnsi="Arial" w:cs="Arial"/>
          <w:lang w:val="en-IN" w:eastAsia="en-IN" w:bidi="gu-IN"/>
        </w:rPr>
        <w:t>Ogunbanwo</w:t>
      </w:r>
      <w:proofErr w:type="spellEnd"/>
      <w:r w:rsidRPr="0028457E">
        <w:rPr>
          <w:rFonts w:ascii="Arial" w:hAnsi="Arial" w:cs="Arial"/>
          <w:lang w:val="en-IN" w:eastAsia="en-IN" w:bidi="gu-IN"/>
        </w:rPr>
        <w:t>, S. T., &amp; Oladipo, I. C. (2014). Quality assessment of instant “</w:t>
      </w:r>
      <w:proofErr w:type="spellStart"/>
      <w:r w:rsidRPr="0028457E">
        <w:rPr>
          <w:rFonts w:ascii="Arial" w:hAnsi="Arial" w:cs="Arial"/>
          <w:lang w:val="en-IN" w:eastAsia="en-IN" w:bidi="gu-IN"/>
        </w:rPr>
        <w:t>egusi</w:t>
      </w:r>
      <w:proofErr w:type="spellEnd"/>
      <w:r w:rsidRPr="0028457E">
        <w:rPr>
          <w:rFonts w:ascii="Arial" w:hAnsi="Arial" w:cs="Arial"/>
          <w:lang w:val="en-IN" w:eastAsia="en-IN" w:bidi="gu-IN"/>
        </w:rPr>
        <w:t xml:space="preserve">” soup mix prepared with moringa (Moringa oleifera) leaves. </w:t>
      </w:r>
      <w:r w:rsidRPr="0028457E">
        <w:rPr>
          <w:rFonts w:ascii="Arial" w:hAnsi="Arial" w:cs="Arial"/>
          <w:i/>
          <w:iCs/>
          <w:lang w:val="en-IN" w:eastAsia="en-IN" w:bidi="gu-IN"/>
        </w:rPr>
        <w:t>Nigerian Food Journal</w:t>
      </w:r>
      <w:r w:rsidRPr="0028457E">
        <w:rPr>
          <w:rFonts w:ascii="Arial" w:hAnsi="Arial" w:cs="Arial"/>
          <w:lang w:val="en-IN" w:eastAsia="en-IN" w:bidi="gu-IN"/>
        </w:rPr>
        <w:t>, 32(1), 40–45. https://doi.org/10.1016/S0189-7241(15)30055-3</w:t>
      </w:r>
    </w:p>
    <w:p w14:paraId="1E89530B"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proofErr w:type="spellStart"/>
      <w:r w:rsidRPr="0028457E">
        <w:rPr>
          <w:rFonts w:ascii="Arial" w:hAnsi="Arial" w:cs="Arial"/>
          <w:lang w:val="en-IN" w:eastAsia="en-IN" w:bidi="gu-IN"/>
        </w:rPr>
        <w:t>Padla</w:t>
      </w:r>
      <w:proofErr w:type="spellEnd"/>
      <w:r w:rsidRPr="0028457E">
        <w:rPr>
          <w:rFonts w:ascii="Arial" w:hAnsi="Arial" w:cs="Arial"/>
          <w:lang w:val="en-IN" w:eastAsia="en-IN" w:bidi="gu-IN"/>
        </w:rPr>
        <w:t xml:space="preserve">, E. P., Solis, L. T., </w:t>
      </w:r>
      <w:proofErr w:type="spellStart"/>
      <w:r w:rsidRPr="0028457E">
        <w:rPr>
          <w:rFonts w:ascii="Arial" w:hAnsi="Arial" w:cs="Arial"/>
          <w:lang w:val="en-IN" w:eastAsia="en-IN" w:bidi="gu-IN"/>
        </w:rPr>
        <w:t>Levida</w:t>
      </w:r>
      <w:proofErr w:type="spellEnd"/>
      <w:r w:rsidRPr="0028457E">
        <w:rPr>
          <w:rFonts w:ascii="Arial" w:hAnsi="Arial" w:cs="Arial"/>
          <w:lang w:val="en-IN" w:eastAsia="en-IN" w:bidi="gu-IN"/>
        </w:rPr>
        <w:t xml:space="preserve">, R. M., Shen, C. C., &amp; Ragasa, C. Y. (2012). Antimicrobial isothiocyanates from the seeds of Moringa oleifera Lam. </w:t>
      </w:r>
      <w:proofErr w:type="spellStart"/>
      <w:r w:rsidRPr="0028457E">
        <w:rPr>
          <w:rFonts w:ascii="Arial" w:hAnsi="Arial" w:cs="Arial"/>
          <w:i/>
          <w:iCs/>
          <w:lang w:val="en-IN" w:eastAsia="en-IN" w:bidi="gu-IN"/>
        </w:rPr>
        <w:t>Zeitschrift</w:t>
      </w:r>
      <w:proofErr w:type="spellEnd"/>
      <w:r w:rsidRPr="0028457E">
        <w:rPr>
          <w:rFonts w:ascii="Arial" w:hAnsi="Arial" w:cs="Arial"/>
          <w:i/>
          <w:iCs/>
          <w:lang w:val="en-IN" w:eastAsia="en-IN" w:bidi="gu-IN"/>
        </w:rPr>
        <w:t xml:space="preserve"> für </w:t>
      </w:r>
      <w:proofErr w:type="spellStart"/>
      <w:r w:rsidRPr="0028457E">
        <w:rPr>
          <w:rFonts w:ascii="Arial" w:hAnsi="Arial" w:cs="Arial"/>
          <w:i/>
          <w:iCs/>
          <w:lang w:val="en-IN" w:eastAsia="en-IN" w:bidi="gu-IN"/>
        </w:rPr>
        <w:t>Naturforschung</w:t>
      </w:r>
      <w:proofErr w:type="spellEnd"/>
      <w:r w:rsidRPr="0028457E">
        <w:rPr>
          <w:rFonts w:ascii="Arial" w:hAnsi="Arial" w:cs="Arial"/>
          <w:i/>
          <w:iCs/>
          <w:lang w:val="en-IN" w:eastAsia="en-IN" w:bidi="gu-IN"/>
        </w:rPr>
        <w:t xml:space="preserve"> C</w:t>
      </w:r>
      <w:r w:rsidRPr="0028457E">
        <w:rPr>
          <w:rFonts w:ascii="Arial" w:hAnsi="Arial" w:cs="Arial"/>
          <w:lang w:val="en-IN" w:eastAsia="en-IN" w:bidi="gu-IN"/>
        </w:rPr>
        <w:t>, 67(11–12), 557–564. https://doi.org/10.5560/ZNC.2012.67c557</w:t>
      </w:r>
    </w:p>
    <w:p w14:paraId="031C0DAA" w14:textId="0597A183" w:rsidR="009F0424" w:rsidRPr="0028457E" w:rsidRDefault="009F0424" w:rsidP="009F0424">
      <w:pPr>
        <w:pStyle w:val="Body"/>
        <w:numPr>
          <w:ilvl w:val="0"/>
          <w:numId w:val="31"/>
        </w:numPr>
        <w:spacing w:after="0" w:line="360" w:lineRule="auto"/>
        <w:rPr>
          <w:rFonts w:ascii="Arial" w:hAnsi="Arial" w:cs="Arial"/>
          <w:lang w:val="en-IN"/>
        </w:rPr>
      </w:pPr>
      <w:r w:rsidRPr="0028457E">
        <w:rPr>
          <w:rFonts w:ascii="Arial" w:hAnsi="Arial" w:cs="Arial"/>
          <w:lang w:val="en-IN"/>
        </w:rPr>
        <w:t xml:space="preserve">Pareek, A., Pant, M., Gupta, M. M., </w:t>
      </w:r>
      <w:proofErr w:type="spellStart"/>
      <w:r w:rsidRPr="0028457E">
        <w:rPr>
          <w:rFonts w:ascii="Arial" w:hAnsi="Arial" w:cs="Arial"/>
          <w:lang w:val="en-IN"/>
        </w:rPr>
        <w:t>Kashania</w:t>
      </w:r>
      <w:proofErr w:type="spellEnd"/>
      <w:r w:rsidRPr="0028457E">
        <w:rPr>
          <w:rFonts w:ascii="Arial" w:hAnsi="Arial" w:cs="Arial"/>
          <w:lang w:val="en-IN"/>
        </w:rPr>
        <w:t xml:space="preserve">, P., Ratan, Y., Jain, V., ... </w:t>
      </w:r>
      <w:proofErr w:type="spellStart"/>
      <w:r w:rsidRPr="0028457E">
        <w:rPr>
          <w:rFonts w:ascii="Arial" w:hAnsi="Arial" w:cs="Arial"/>
          <w:lang w:val="en-IN"/>
        </w:rPr>
        <w:t>Chuturgoon</w:t>
      </w:r>
      <w:proofErr w:type="spellEnd"/>
      <w:r w:rsidRPr="0028457E">
        <w:rPr>
          <w:rFonts w:ascii="Arial" w:hAnsi="Arial" w:cs="Arial"/>
          <w:lang w:val="en-IN"/>
        </w:rPr>
        <w:t xml:space="preserve">, A. A. (2023). Moringa oleifera: An updated comprehensive review of its pharmacological activities, ethnomedicinal, phytopharmaceutical formulation, clinical, phytochemical, and toxicological aspects. </w:t>
      </w:r>
      <w:r w:rsidRPr="0028457E">
        <w:rPr>
          <w:rFonts w:ascii="Arial" w:hAnsi="Arial" w:cs="Arial"/>
          <w:i/>
          <w:iCs/>
          <w:lang w:val="en-IN"/>
        </w:rPr>
        <w:t>International Journal of Molecular Sciences</w:t>
      </w:r>
      <w:r w:rsidRPr="0028457E">
        <w:rPr>
          <w:rFonts w:ascii="Arial" w:hAnsi="Arial" w:cs="Arial"/>
          <w:lang w:val="en-IN"/>
        </w:rPr>
        <w:t>, 24(3), 2098. https://doi.org/10.3390/ijms24032098</w:t>
      </w:r>
    </w:p>
    <w:p w14:paraId="6644F358" w14:textId="77777777"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Parvathy, M. V. S., &amp; Umamaheshwari, A. (2007). Cytotoxic effect of </w:t>
      </w:r>
      <w:r w:rsidRPr="00F03887">
        <w:rPr>
          <w:rStyle w:val="Emphasis"/>
          <w:rFonts w:ascii="Arial" w:hAnsi="Arial" w:cs="Arial"/>
        </w:rPr>
        <w:t>Moringa oleifera</w:t>
      </w:r>
      <w:r w:rsidRPr="00F03887">
        <w:rPr>
          <w:rFonts w:ascii="Arial" w:hAnsi="Arial" w:cs="Arial"/>
        </w:rPr>
        <w:t xml:space="preserve"> leaf extracts on human multiple myeloma cell lines. </w:t>
      </w:r>
      <w:r w:rsidRPr="00F03887">
        <w:rPr>
          <w:rStyle w:val="Emphasis"/>
          <w:rFonts w:ascii="Arial" w:hAnsi="Arial" w:cs="Arial"/>
        </w:rPr>
        <w:t>Trends in Medical Research</w:t>
      </w:r>
      <w:r w:rsidRPr="00F03887">
        <w:rPr>
          <w:rFonts w:ascii="Arial" w:hAnsi="Arial" w:cs="Arial"/>
        </w:rPr>
        <w:t>, 2, 44–50.</w:t>
      </w:r>
    </w:p>
    <w:p w14:paraId="54CE17DA" w14:textId="61423830"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lastRenderedPageBreak/>
        <w:t xml:space="preserve">Paula, P. C., Silva, M. A., &amp; Costa, J. (2017). Insulin-like plant proteins as potential innovative drugs to treat diabetes mellitus. </w:t>
      </w:r>
      <w:r w:rsidRPr="00F03887">
        <w:rPr>
          <w:rStyle w:val="Emphasis"/>
          <w:rFonts w:ascii="Arial" w:hAnsi="Arial" w:cs="Arial"/>
        </w:rPr>
        <w:t>Current Pharmaceutical Design</w:t>
      </w:r>
      <w:r w:rsidRPr="00F03887">
        <w:rPr>
          <w:rFonts w:ascii="Arial" w:hAnsi="Arial" w:cs="Arial"/>
        </w:rPr>
        <w:t>, 23(5), 814–828.</w:t>
      </w:r>
      <w:r w:rsidR="00E74971">
        <w:rPr>
          <w:rFonts w:ascii="Arial" w:hAnsi="Arial" w:cs="Arial"/>
        </w:rPr>
        <w:t xml:space="preserve"> </w:t>
      </w:r>
      <w:r w:rsidR="00E74971" w:rsidRPr="00E74971">
        <w:rPr>
          <w:rFonts w:ascii="Arial" w:hAnsi="Arial" w:cs="Arial"/>
        </w:rPr>
        <w:t>https://doi.org/10.1016/j.nbt.2016.10.005</w:t>
      </w:r>
    </w:p>
    <w:p w14:paraId="0175E6A2" w14:textId="77777777"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Ramachandran, C., Peter, K. V., &amp; Gopalakrishnan, P. K. (1980). Drumstick (</w:t>
      </w:r>
      <w:r w:rsidRPr="00F03887">
        <w:rPr>
          <w:rStyle w:val="Emphasis"/>
          <w:rFonts w:ascii="Arial" w:hAnsi="Arial" w:cs="Arial"/>
        </w:rPr>
        <w:t>Moringa oleifera</w:t>
      </w:r>
      <w:r w:rsidRPr="00F03887">
        <w:rPr>
          <w:rFonts w:ascii="Arial" w:hAnsi="Arial" w:cs="Arial"/>
        </w:rPr>
        <w:t xml:space="preserve">): A multipurpose Indian vegetable. </w:t>
      </w:r>
      <w:r w:rsidRPr="00F03887">
        <w:rPr>
          <w:rStyle w:val="Emphasis"/>
          <w:rFonts w:ascii="Arial" w:hAnsi="Arial" w:cs="Arial"/>
        </w:rPr>
        <w:t>Economic Botany</w:t>
      </w:r>
      <w:r w:rsidRPr="00F03887">
        <w:rPr>
          <w:rFonts w:ascii="Arial" w:hAnsi="Arial" w:cs="Arial"/>
        </w:rPr>
        <w:t>, 34(3), 276–283.</w:t>
      </w:r>
      <w:r w:rsidRPr="000E0A1C">
        <w:rPr>
          <w:rFonts w:ascii="Arial" w:hAnsi="Arial" w:cs="Arial"/>
        </w:rPr>
        <w:t xml:space="preserve"> </w:t>
      </w:r>
      <w:hyperlink r:id="rId16" w:tgtFrame="_new" w:history="1">
        <w:r w:rsidRPr="000E0A1C">
          <w:rPr>
            <w:rStyle w:val="Hyperlink"/>
            <w:rFonts w:ascii="Arial" w:hAnsi="Arial" w:cs="Arial"/>
            <w:color w:val="auto"/>
            <w:u w:val="none"/>
          </w:rPr>
          <w:t>https://doi.org/10.1007/BF02858648</w:t>
        </w:r>
      </w:hyperlink>
    </w:p>
    <w:p w14:paraId="3DB37F52"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Ravindra, A. V., Priya, R., &amp; Siddheshwar, S. A. (2019). A pharmacological review on Moringa oleifera. </w:t>
      </w:r>
      <w:r w:rsidRPr="0028457E">
        <w:rPr>
          <w:rFonts w:ascii="Arial" w:hAnsi="Arial" w:cs="Arial"/>
          <w:i/>
          <w:iCs/>
          <w:lang w:val="en-IN" w:eastAsia="en-IN" w:bidi="gu-IN"/>
        </w:rPr>
        <w:t>World Journal of Pharmaceutical Research</w:t>
      </w:r>
      <w:r w:rsidRPr="0028457E">
        <w:rPr>
          <w:rFonts w:ascii="Arial" w:hAnsi="Arial" w:cs="Arial"/>
          <w:lang w:val="en-IN" w:eastAsia="en-IN" w:bidi="gu-IN"/>
        </w:rPr>
        <w:t>, 8(8), 910–920.</w:t>
      </w:r>
    </w:p>
    <w:p w14:paraId="2A28411F" w14:textId="243C1A95" w:rsidR="009F0424" w:rsidRPr="00F03887" w:rsidRDefault="009F0424" w:rsidP="009F0424">
      <w:pPr>
        <w:numPr>
          <w:ilvl w:val="0"/>
          <w:numId w:val="31"/>
        </w:numPr>
        <w:spacing w:before="100" w:beforeAutospacing="1" w:after="100" w:afterAutospacing="1" w:line="360" w:lineRule="auto"/>
        <w:jc w:val="both"/>
        <w:rPr>
          <w:rFonts w:ascii="Arial" w:hAnsi="Arial" w:cs="Arial"/>
        </w:rPr>
      </w:pPr>
      <w:proofErr w:type="spellStart"/>
      <w:r w:rsidRPr="00F03887">
        <w:rPr>
          <w:rFonts w:ascii="Arial" w:hAnsi="Arial" w:cs="Arial"/>
        </w:rPr>
        <w:t>Razis</w:t>
      </w:r>
      <w:proofErr w:type="spellEnd"/>
      <w:r w:rsidRPr="00F03887">
        <w:rPr>
          <w:rFonts w:ascii="Arial" w:hAnsi="Arial" w:cs="Arial"/>
        </w:rPr>
        <w:t xml:space="preserve">, A. F. A., Ibrahim, M. D., &amp; </w:t>
      </w:r>
      <w:proofErr w:type="spellStart"/>
      <w:r w:rsidRPr="00F03887">
        <w:rPr>
          <w:rFonts w:ascii="Arial" w:hAnsi="Arial" w:cs="Arial"/>
        </w:rPr>
        <w:t>Kntayya</w:t>
      </w:r>
      <w:proofErr w:type="spellEnd"/>
      <w:r w:rsidRPr="00F03887">
        <w:rPr>
          <w:rFonts w:ascii="Arial" w:hAnsi="Arial" w:cs="Arial"/>
        </w:rPr>
        <w:t xml:space="preserve">, S. B. (2014). Health benefits of </w:t>
      </w:r>
      <w:r w:rsidRPr="00F03887">
        <w:rPr>
          <w:rStyle w:val="Emphasis"/>
          <w:rFonts w:ascii="Arial" w:hAnsi="Arial" w:cs="Arial"/>
        </w:rPr>
        <w:t>Moringa oleifera</w:t>
      </w:r>
      <w:r w:rsidRPr="00F03887">
        <w:rPr>
          <w:rFonts w:ascii="Arial" w:hAnsi="Arial" w:cs="Arial"/>
        </w:rPr>
        <w:t xml:space="preserve">. </w:t>
      </w:r>
      <w:r w:rsidRPr="00F03887">
        <w:rPr>
          <w:rStyle w:val="Emphasis"/>
          <w:rFonts w:ascii="Arial" w:hAnsi="Arial" w:cs="Arial"/>
        </w:rPr>
        <w:t>Asian Pacific Journal of Cancer Prevention</w:t>
      </w:r>
      <w:r w:rsidRPr="00F03887">
        <w:rPr>
          <w:rFonts w:ascii="Arial" w:hAnsi="Arial" w:cs="Arial"/>
        </w:rPr>
        <w:t>, 15(20), 8571–8576.</w:t>
      </w:r>
      <w:r w:rsidR="00E74971">
        <w:rPr>
          <w:rFonts w:ascii="Arial" w:hAnsi="Arial" w:cs="Arial"/>
        </w:rPr>
        <w:t xml:space="preserve"> </w:t>
      </w:r>
      <w:r w:rsidR="00E74971" w:rsidRPr="00E74971">
        <w:rPr>
          <w:rFonts w:ascii="Arial" w:hAnsi="Arial" w:cs="Arial"/>
        </w:rPr>
        <w:t>https://doi.org/10.7314/apjcp.2014.15.20.8571</w:t>
      </w:r>
    </w:p>
    <w:p w14:paraId="655719A0" w14:textId="0024C61D"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proofErr w:type="spellStart"/>
      <w:r w:rsidRPr="0028457E">
        <w:rPr>
          <w:rFonts w:ascii="Arial" w:hAnsi="Arial" w:cs="Arial"/>
          <w:lang w:val="en-IN" w:eastAsia="en-IN" w:bidi="gu-IN"/>
        </w:rPr>
        <w:t>Rocchetti</w:t>
      </w:r>
      <w:proofErr w:type="spellEnd"/>
      <w:r w:rsidRPr="0028457E">
        <w:rPr>
          <w:rFonts w:ascii="Arial" w:hAnsi="Arial" w:cs="Arial"/>
          <w:lang w:val="en-IN" w:eastAsia="en-IN" w:bidi="gu-IN"/>
        </w:rPr>
        <w:t xml:space="preserve">, G., Blasi, F., Montesano, D., </w:t>
      </w:r>
      <w:proofErr w:type="spellStart"/>
      <w:r w:rsidRPr="0028457E">
        <w:rPr>
          <w:rFonts w:ascii="Arial" w:hAnsi="Arial" w:cs="Arial"/>
          <w:lang w:val="en-IN" w:eastAsia="en-IN" w:bidi="gu-IN"/>
        </w:rPr>
        <w:t>Ghisoni</w:t>
      </w:r>
      <w:proofErr w:type="spellEnd"/>
      <w:r w:rsidRPr="0028457E">
        <w:rPr>
          <w:rFonts w:ascii="Arial" w:hAnsi="Arial" w:cs="Arial"/>
          <w:lang w:val="en-IN" w:eastAsia="en-IN" w:bidi="gu-IN"/>
        </w:rPr>
        <w:t xml:space="preserve">, S., </w:t>
      </w:r>
      <w:proofErr w:type="spellStart"/>
      <w:r w:rsidRPr="0028457E">
        <w:rPr>
          <w:rFonts w:ascii="Arial" w:hAnsi="Arial" w:cs="Arial"/>
          <w:lang w:val="en-IN" w:eastAsia="en-IN" w:bidi="gu-IN"/>
        </w:rPr>
        <w:t>Marcotullio</w:t>
      </w:r>
      <w:proofErr w:type="spellEnd"/>
      <w:r w:rsidRPr="0028457E">
        <w:rPr>
          <w:rFonts w:ascii="Arial" w:hAnsi="Arial" w:cs="Arial"/>
          <w:lang w:val="en-IN" w:eastAsia="en-IN" w:bidi="gu-IN"/>
        </w:rPr>
        <w:t xml:space="preserve">, M. C., Sabatini, S., ... Lucini, L. (2019). Impact of conventional/non-conventional extraction methods on the untargeted phenolic profile of Moringa oleifera leaves. </w:t>
      </w:r>
      <w:r w:rsidRPr="0028457E">
        <w:rPr>
          <w:rFonts w:ascii="Arial" w:hAnsi="Arial" w:cs="Arial"/>
          <w:i/>
          <w:iCs/>
          <w:lang w:val="en-IN" w:eastAsia="en-IN" w:bidi="gu-IN"/>
        </w:rPr>
        <w:t>Food Research International</w:t>
      </w:r>
      <w:r w:rsidRPr="0028457E">
        <w:rPr>
          <w:rFonts w:ascii="Arial" w:hAnsi="Arial" w:cs="Arial"/>
          <w:lang w:val="en-IN" w:eastAsia="en-IN" w:bidi="gu-IN"/>
        </w:rPr>
        <w:t>, 115, 319–327.</w:t>
      </w:r>
      <w:r w:rsidRPr="00F03887">
        <w:rPr>
          <w:rFonts w:ascii="Arial" w:hAnsi="Arial" w:cs="Arial"/>
          <w:lang w:val="en-IN" w:eastAsia="en-IN" w:bidi="gu-IN"/>
        </w:rPr>
        <w:t xml:space="preserve"> </w:t>
      </w:r>
      <w:r w:rsidRPr="0028457E">
        <w:rPr>
          <w:rFonts w:ascii="Arial" w:hAnsi="Arial" w:cs="Arial"/>
          <w:lang w:val="en-IN" w:eastAsia="en-IN" w:bidi="gu-IN"/>
        </w:rPr>
        <w:t>https://doi.org/10.1016/j.foodres.2018.11.046</w:t>
      </w:r>
    </w:p>
    <w:p w14:paraId="597F0762"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Rodríguez-Pérez, C., </w:t>
      </w:r>
      <w:proofErr w:type="spellStart"/>
      <w:r w:rsidRPr="0028457E">
        <w:rPr>
          <w:rFonts w:ascii="Arial" w:hAnsi="Arial" w:cs="Arial"/>
          <w:lang w:val="en-IN" w:eastAsia="en-IN" w:bidi="gu-IN"/>
        </w:rPr>
        <w:t>Quirantes-Piné</w:t>
      </w:r>
      <w:proofErr w:type="spellEnd"/>
      <w:r w:rsidRPr="0028457E">
        <w:rPr>
          <w:rFonts w:ascii="Arial" w:hAnsi="Arial" w:cs="Arial"/>
          <w:lang w:val="en-IN" w:eastAsia="en-IN" w:bidi="gu-IN"/>
        </w:rPr>
        <w:t xml:space="preserve">, R., Fernández-Gutiérrez, A., &amp; Segura-Carretero, A. (2015). Optimization of extraction method to obtain a phenolic compounds-rich extract from Moringa oleifera Lam leaves. </w:t>
      </w:r>
      <w:r w:rsidRPr="0028457E">
        <w:rPr>
          <w:rFonts w:ascii="Arial" w:hAnsi="Arial" w:cs="Arial"/>
          <w:i/>
          <w:iCs/>
          <w:lang w:val="en-IN" w:eastAsia="en-IN" w:bidi="gu-IN"/>
        </w:rPr>
        <w:t>Industrial Crops and Products</w:t>
      </w:r>
      <w:r w:rsidRPr="0028457E">
        <w:rPr>
          <w:rFonts w:ascii="Arial" w:hAnsi="Arial" w:cs="Arial"/>
          <w:lang w:val="en-IN" w:eastAsia="en-IN" w:bidi="gu-IN"/>
        </w:rPr>
        <w:t>, 66, 246–254. https://doi.org/10.1016/j.indcrop.2015.01.002</w:t>
      </w:r>
    </w:p>
    <w:p w14:paraId="794B28E5" w14:textId="2E111F9A"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Singh, A., &amp; Navneet. (2018). Ethnomedicinal, pharmacological and antimicrobial aspects of </w:t>
      </w:r>
      <w:r w:rsidRPr="00F03887">
        <w:rPr>
          <w:rStyle w:val="Emphasis"/>
          <w:rFonts w:ascii="Arial" w:hAnsi="Arial" w:cs="Arial"/>
        </w:rPr>
        <w:t>Moringa oleifera</w:t>
      </w:r>
      <w:r w:rsidRPr="00F03887">
        <w:rPr>
          <w:rFonts w:ascii="Arial" w:hAnsi="Arial" w:cs="Arial"/>
        </w:rPr>
        <w:t xml:space="preserve"> Lam.: A review. </w:t>
      </w:r>
      <w:r w:rsidRPr="00F03887">
        <w:rPr>
          <w:rStyle w:val="Emphasis"/>
          <w:rFonts w:ascii="Arial" w:hAnsi="Arial" w:cs="Arial"/>
        </w:rPr>
        <w:t>Journal of Phytopharmacology</w:t>
      </w:r>
      <w:r w:rsidRPr="00F03887">
        <w:rPr>
          <w:rFonts w:ascii="Arial" w:hAnsi="Arial" w:cs="Arial"/>
        </w:rPr>
        <w:t>, 7(1), 45–50.</w:t>
      </w:r>
      <w:r w:rsidR="00E74971">
        <w:rPr>
          <w:rFonts w:ascii="Arial" w:hAnsi="Arial" w:cs="Arial"/>
        </w:rPr>
        <w:t xml:space="preserve"> </w:t>
      </w:r>
      <w:r w:rsidR="00E74971" w:rsidRPr="00E74971">
        <w:rPr>
          <w:rFonts w:ascii="Arial" w:hAnsi="Arial" w:cs="Arial"/>
        </w:rPr>
        <w:t>http://dx.doi.org/10.31254/phyto.2018.7110</w:t>
      </w:r>
    </w:p>
    <w:p w14:paraId="536CC16A"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Singh, B. P., Vij, S., &amp; Hati, S. (2014). Functional significance of bioactive peptides derived from soybean. </w:t>
      </w:r>
      <w:r w:rsidRPr="0028457E">
        <w:rPr>
          <w:rFonts w:ascii="Arial" w:hAnsi="Arial" w:cs="Arial"/>
          <w:i/>
          <w:iCs/>
          <w:lang w:val="en-IN" w:eastAsia="en-IN" w:bidi="gu-IN"/>
        </w:rPr>
        <w:t>Peptides</w:t>
      </w:r>
      <w:r w:rsidRPr="0028457E">
        <w:rPr>
          <w:rFonts w:ascii="Arial" w:hAnsi="Arial" w:cs="Arial"/>
          <w:lang w:val="en-IN" w:eastAsia="en-IN" w:bidi="gu-IN"/>
        </w:rPr>
        <w:t>, 54, 171–179. https://doi.org/10.1016/j.peptides.2014.01.014</w:t>
      </w:r>
    </w:p>
    <w:p w14:paraId="0E44F2D3" w14:textId="77777777" w:rsidR="009F0424" w:rsidRPr="0028457E" w:rsidRDefault="009F0424" w:rsidP="009F0424">
      <w:pPr>
        <w:pStyle w:val="Body"/>
        <w:numPr>
          <w:ilvl w:val="0"/>
          <w:numId w:val="31"/>
        </w:numPr>
        <w:spacing w:after="0" w:line="360" w:lineRule="auto"/>
        <w:rPr>
          <w:rFonts w:ascii="Arial" w:hAnsi="Arial" w:cs="Arial"/>
          <w:lang w:val="en-IN"/>
        </w:rPr>
      </w:pPr>
      <w:proofErr w:type="spellStart"/>
      <w:r w:rsidRPr="0028457E">
        <w:rPr>
          <w:rFonts w:ascii="Arial" w:hAnsi="Arial" w:cs="Arial"/>
          <w:lang w:val="en-IN"/>
        </w:rPr>
        <w:t>Sodamade</w:t>
      </w:r>
      <w:proofErr w:type="spellEnd"/>
      <w:r w:rsidRPr="0028457E">
        <w:rPr>
          <w:rFonts w:ascii="Arial" w:hAnsi="Arial" w:cs="Arial"/>
          <w:lang w:val="en-IN"/>
        </w:rPr>
        <w:t xml:space="preserve">, A., </w:t>
      </w:r>
      <w:proofErr w:type="spellStart"/>
      <w:r w:rsidRPr="0028457E">
        <w:rPr>
          <w:rFonts w:ascii="Arial" w:hAnsi="Arial" w:cs="Arial"/>
          <w:lang w:val="en-IN"/>
        </w:rPr>
        <w:t>Owonikoko</w:t>
      </w:r>
      <w:proofErr w:type="spellEnd"/>
      <w:r w:rsidRPr="0028457E">
        <w:rPr>
          <w:rFonts w:ascii="Arial" w:hAnsi="Arial" w:cs="Arial"/>
          <w:lang w:val="en-IN"/>
        </w:rPr>
        <w:t xml:space="preserve">, A. D., &amp; </w:t>
      </w:r>
      <w:proofErr w:type="spellStart"/>
      <w:r w:rsidRPr="0028457E">
        <w:rPr>
          <w:rFonts w:ascii="Arial" w:hAnsi="Arial" w:cs="Arial"/>
          <w:lang w:val="en-IN"/>
        </w:rPr>
        <w:t>Owoyemi</w:t>
      </w:r>
      <w:proofErr w:type="spellEnd"/>
      <w:r w:rsidRPr="0028457E">
        <w:rPr>
          <w:rFonts w:ascii="Arial" w:hAnsi="Arial" w:cs="Arial"/>
          <w:lang w:val="en-IN"/>
        </w:rPr>
        <w:t xml:space="preserve">, D. S. (2017). Nutrient contents and mineral composition of Moringa oleifera seed. </w:t>
      </w:r>
      <w:r w:rsidRPr="0028457E">
        <w:rPr>
          <w:rFonts w:ascii="Arial" w:hAnsi="Arial" w:cs="Arial"/>
          <w:i/>
          <w:iCs/>
          <w:lang w:val="en-IN"/>
        </w:rPr>
        <w:t>International Journal of Communication Systems</w:t>
      </w:r>
      <w:r w:rsidRPr="0028457E">
        <w:rPr>
          <w:rFonts w:ascii="Arial" w:hAnsi="Arial" w:cs="Arial"/>
          <w:lang w:val="en-IN"/>
        </w:rPr>
        <w:t>, 5(2), 205–207.</w:t>
      </w:r>
    </w:p>
    <w:p w14:paraId="06245109"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proofErr w:type="spellStart"/>
      <w:r w:rsidRPr="0028457E">
        <w:rPr>
          <w:rFonts w:ascii="Arial" w:hAnsi="Arial" w:cs="Arial"/>
          <w:lang w:val="en-IN" w:eastAsia="en-IN" w:bidi="gu-IN"/>
        </w:rPr>
        <w:t>Soukoulis</w:t>
      </w:r>
      <w:proofErr w:type="spellEnd"/>
      <w:r w:rsidRPr="0028457E">
        <w:rPr>
          <w:rFonts w:ascii="Arial" w:hAnsi="Arial" w:cs="Arial"/>
          <w:lang w:val="en-IN" w:eastAsia="en-IN" w:bidi="gu-IN"/>
        </w:rPr>
        <w:t xml:space="preserve">, C., Panagiotidis, P., </w:t>
      </w:r>
      <w:proofErr w:type="spellStart"/>
      <w:r w:rsidRPr="0028457E">
        <w:rPr>
          <w:rFonts w:ascii="Arial" w:hAnsi="Arial" w:cs="Arial"/>
          <w:lang w:val="en-IN" w:eastAsia="en-IN" w:bidi="gu-IN"/>
        </w:rPr>
        <w:t>Koureli</w:t>
      </w:r>
      <w:proofErr w:type="spellEnd"/>
      <w:r w:rsidRPr="0028457E">
        <w:rPr>
          <w:rFonts w:ascii="Arial" w:hAnsi="Arial" w:cs="Arial"/>
          <w:lang w:val="en-IN" w:eastAsia="en-IN" w:bidi="gu-IN"/>
        </w:rPr>
        <w:t xml:space="preserve">, R., &amp; </w:t>
      </w:r>
      <w:proofErr w:type="spellStart"/>
      <w:r w:rsidRPr="0028457E">
        <w:rPr>
          <w:rFonts w:ascii="Arial" w:hAnsi="Arial" w:cs="Arial"/>
          <w:lang w:val="en-IN" w:eastAsia="en-IN" w:bidi="gu-IN"/>
        </w:rPr>
        <w:t>Tzia</w:t>
      </w:r>
      <w:proofErr w:type="spellEnd"/>
      <w:r w:rsidRPr="0028457E">
        <w:rPr>
          <w:rFonts w:ascii="Arial" w:hAnsi="Arial" w:cs="Arial"/>
          <w:lang w:val="en-IN" w:eastAsia="en-IN" w:bidi="gu-IN"/>
        </w:rPr>
        <w:t xml:space="preserve">, C. (2007). Industrial yogurt manufacture: Monitoring of fermentation process and improvement of final product quality. </w:t>
      </w:r>
      <w:r w:rsidRPr="0028457E">
        <w:rPr>
          <w:rFonts w:ascii="Arial" w:hAnsi="Arial" w:cs="Arial"/>
          <w:i/>
          <w:iCs/>
          <w:lang w:val="en-IN" w:eastAsia="en-IN" w:bidi="gu-IN"/>
        </w:rPr>
        <w:t>Journal of Food Engineering</w:t>
      </w:r>
      <w:r w:rsidRPr="0028457E">
        <w:rPr>
          <w:rFonts w:ascii="Arial" w:hAnsi="Arial" w:cs="Arial"/>
          <w:lang w:val="en-IN" w:eastAsia="en-IN" w:bidi="gu-IN"/>
        </w:rPr>
        <w:t>, 79(4), 1205–1214. https://doi.org/10.1016/j.jfoodeng.2006.04.048</w:t>
      </w:r>
    </w:p>
    <w:p w14:paraId="3A458B94" w14:textId="5568C89B" w:rsidR="009F0424" w:rsidRPr="00F03887" w:rsidRDefault="009F0424" w:rsidP="009F0424">
      <w:pPr>
        <w:numPr>
          <w:ilvl w:val="0"/>
          <w:numId w:val="31"/>
        </w:numPr>
        <w:spacing w:before="100" w:beforeAutospacing="1" w:after="100" w:afterAutospacing="1" w:line="360" w:lineRule="auto"/>
        <w:jc w:val="both"/>
        <w:rPr>
          <w:rFonts w:ascii="Arial" w:hAnsi="Arial" w:cs="Arial"/>
        </w:rPr>
      </w:pPr>
      <w:r w:rsidRPr="00F03887">
        <w:rPr>
          <w:rFonts w:ascii="Arial" w:hAnsi="Arial" w:cs="Arial"/>
        </w:rPr>
        <w:t xml:space="preserve">Tan, W. S., Arulselvan, P., </w:t>
      </w:r>
      <w:proofErr w:type="spellStart"/>
      <w:r w:rsidRPr="00F03887">
        <w:rPr>
          <w:rFonts w:ascii="Arial" w:hAnsi="Arial" w:cs="Arial"/>
        </w:rPr>
        <w:t>Karthivashan</w:t>
      </w:r>
      <w:proofErr w:type="spellEnd"/>
      <w:r w:rsidRPr="00F03887">
        <w:rPr>
          <w:rFonts w:ascii="Arial" w:hAnsi="Arial" w:cs="Arial"/>
        </w:rPr>
        <w:t xml:space="preserve">, G., &amp; </w:t>
      </w:r>
      <w:proofErr w:type="spellStart"/>
      <w:r w:rsidRPr="00F03887">
        <w:rPr>
          <w:rFonts w:ascii="Arial" w:hAnsi="Arial" w:cs="Arial"/>
        </w:rPr>
        <w:t>Fakurazi</w:t>
      </w:r>
      <w:proofErr w:type="spellEnd"/>
      <w:r w:rsidRPr="00F03887">
        <w:rPr>
          <w:rFonts w:ascii="Arial" w:hAnsi="Arial" w:cs="Arial"/>
        </w:rPr>
        <w:t xml:space="preserve">, S. (2015). </w:t>
      </w:r>
      <w:r w:rsidRPr="00F03887">
        <w:rPr>
          <w:rStyle w:val="Emphasis"/>
          <w:rFonts w:ascii="Arial" w:hAnsi="Arial" w:cs="Arial"/>
        </w:rPr>
        <w:t>Moringa oleifera</w:t>
      </w:r>
      <w:r w:rsidRPr="00F03887">
        <w:rPr>
          <w:rFonts w:ascii="Arial" w:hAnsi="Arial" w:cs="Arial"/>
        </w:rPr>
        <w:t xml:space="preserve"> flower extract suppresses the activation of inflammatory mediators in lipopolysaccharide-stimulated RAW 264.7 macrophages via NF-</w:t>
      </w:r>
      <w:proofErr w:type="spellStart"/>
      <w:r w:rsidRPr="00F03887">
        <w:rPr>
          <w:rFonts w:ascii="Arial" w:hAnsi="Arial" w:cs="Arial"/>
        </w:rPr>
        <w:t>κB</w:t>
      </w:r>
      <w:proofErr w:type="spellEnd"/>
      <w:r w:rsidRPr="00F03887">
        <w:rPr>
          <w:rFonts w:ascii="Arial" w:hAnsi="Arial" w:cs="Arial"/>
        </w:rPr>
        <w:t xml:space="preserve"> pathway. </w:t>
      </w:r>
      <w:r w:rsidRPr="00F03887">
        <w:rPr>
          <w:rStyle w:val="Emphasis"/>
          <w:rFonts w:ascii="Arial" w:hAnsi="Arial" w:cs="Arial"/>
        </w:rPr>
        <w:t>Mediators of Inflammation</w:t>
      </w:r>
      <w:r w:rsidRPr="00F03887">
        <w:rPr>
          <w:rFonts w:ascii="Arial" w:hAnsi="Arial" w:cs="Arial"/>
        </w:rPr>
        <w:t>, 2015, 720171.</w:t>
      </w:r>
      <w:r w:rsidR="00B446A4">
        <w:rPr>
          <w:rFonts w:ascii="Arial" w:hAnsi="Arial" w:cs="Arial"/>
        </w:rPr>
        <w:t xml:space="preserve"> </w:t>
      </w:r>
      <w:r w:rsidR="00B446A4" w:rsidRPr="00B446A4">
        <w:rPr>
          <w:rFonts w:ascii="Arial" w:hAnsi="Arial" w:cs="Arial"/>
        </w:rPr>
        <w:t>https://doi.org/10.1155/2015/720171</w:t>
      </w:r>
    </w:p>
    <w:p w14:paraId="19088748" w14:textId="58BB5A85" w:rsidR="009F0424" w:rsidRPr="00F03887" w:rsidRDefault="009F0424" w:rsidP="009F0424">
      <w:pPr>
        <w:numPr>
          <w:ilvl w:val="0"/>
          <w:numId w:val="31"/>
        </w:numPr>
        <w:spacing w:before="100" w:beforeAutospacing="1" w:after="100" w:afterAutospacing="1" w:line="360" w:lineRule="auto"/>
        <w:jc w:val="both"/>
        <w:rPr>
          <w:rFonts w:ascii="Arial" w:hAnsi="Arial" w:cs="Arial"/>
        </w:rPr>
      </w:pPr>
      <w:proofErr w:type="spellStart"/>
      <w:r w:rsidRPr="00F03887">
        <w:rPr>
          <w:rFonts w:ascii="Arial" w:hAnsi="Arial" w:cs="Arial"/>
        </w:rPr>
        <w:t>Taweerutchana</w:t>
      </w:r>
      <w:proofErr w:type="spellEnd"/>
      <w:r w:rsidRPr="00F03887">
        <w:rPr>
          <w:rFonts w:ascii="Arial" w:hAnsi="Arial" w:cs="Arial"/>
        </w:rPr>
        <w:t xml:space="preserve">, R., </w:t>
      </w:r>
      <w:proofErr w:type="spellStart"/>
      <w:r w:rsidRPr="00F03887">
        <w:rPr>
          <w:rFonts w:ascii="Arial" w:hAnsi="Arial" w:cs="Arial"/>
        </w:rPr>
        <w:t>Lumlerdkij</w:t>
      </w:r>
      <w:proofErr w:type="spellEnd"/>
      <w:r w:rsidRPr="00F03887">
        <w:rPr>
          <w:rFonts w:ascii="Arial" w:hAnsi="Arial" w:cs="Arial"/>
        </w:rPr>
        <w:t xml:space="preserve">, N., </w:t>
      </w:r>
      <w:proofErr w:type="spellStart"/>
      <w:r w:rsidRPr="00F03887">
        <w:rPr>
          <w:rFonts w:ascii="Arial" w:hAnsi="Arial" w:cs="Arial"/>
        </w:rPr>
        <w:t>Vannasaeng</w:t>
      </w:r>
      <w:proofErr w:type="spellEnd"/>
      <w:r w:rsidRPr="00F03887">
        <w:rPr>
          <w:rFonts w:ascii="Arial" w:hAnsi="Arial" w:cs="Arial"/>
        </w:rPr>
        <w:t xml:space="preserve">, S., </w:t>
      </w:r>
      <w:proofErr w:type="spellStart"/>
      <w:r w:rsidRPr="00F03887">
        <w:rPr>
          <w:rFonts w:ascii="Arial" w:hAnsi="Arial" w:cs="Arial"/>
        </w:rPr>
        <w:t>Akarasereenont</w:t>
      </w:r>
      <w:proofErr w:type="spellEnd"/>
      <w:r w:rsidRPr="00F03887">
        <w:rPr>
          <w:rFonts w:ascii="Arial" w:hAnsi="Arial" w:cs="Arial"/>
        </w:rPr>
        <w:t xml:space="preserve">, P., &amp; </w:t>
      </w:r>
      <w:proofErr w:type="spellStart"/>
      <w:r w:rsidRPr="00F03887">
        <w:rPr>
          <w:rFonts w:ascii="Arial" w:hAnsi="Arial" w:cs="Arial"/>
        </w:rPr>
        <w:t>Sriwijitkamol</w:t>
      </w:r>
      <w:proofErr w:type="spellEnd"/>
      <w:r w:rsidRPr="00F03887">
        <w:rPr>
          <w:rFonts w:ascii="Arial" w:hAnsi="Arial" w:cs="Arial"/>
        </w:rPr>
        <w:t xml:space="preserve">, A. (2017). Effect of </w:t>
      </w:r>
      <w:r w:rsidRPr="00F03887">
        <w:rPr>
          <w:rStyle w:val="Emphasis"/>
          <w:rFonts w:ascii="Arial" w:hAnsi="Arial" w:cs="Arial"/>
        </w:rPr>
        <w:t>Moringa oleifera</w:t>
      </w:r>
      <w:r w:rsidRPr="00F03887">
        <w:rPr>
          <w:rFonts w:ascii="Arial" w:hAnsi="Arial" w:cs="Arial"/>
        </w:rPr>
        <w:t xml:space="preserve"> leaf capsules on glycemic control in therapy-naïve type 2 diabetes patients: A randomized placebo-controlled study. </w:t>
      </w:r>
      <w:r w:rsidRPr="00F03887">
        <w:rPr>
          <w:rStyle w:val="Emphasis"/>
          <w:rFonts w:ascii="Arial" w:hAnsi="Arial" w:cs="Arial"/>
        </w:rPr>
        <w:t>Evidence-Based Complementary and Alternative Medicine</w:t>
      </w:r>
      <w:r w:rsidRPr="00F03887">
        <w:rPr>
          <w:rFonts w:ascii="Arial" w:hAnsi="Arial" w:cs="Arial"/>
        </w:rPr>
        <w:t>, 2017, 6581390.</w:t>
      </w:r>
      <w:r w:rsidR="008B266B">
        <w:rPr>
          <w:rFonts w:ascii="Arial" w:hAnsi="Arial" w:cs="Arial"/>
        </w:rPr>
        <w:t xml:space="preserve"> </w:t>
      </w:r>
      <w:r w:rsidR="008B266B" w:rsidRPr="008B266B">
        <w:rPr>
          <w:rFonts w:ascii="Arial" w:hAnsi="Arial" w:cs="Arial"/>
        </w:rPr>
        <w:t>https://doi.org/10.1155/2017/6581390</w:t>
      </w:r>
    </w:p>
    <w:p w14:paraId="773A98D0" w14:textId="77777777" w:rsidR="009F0424" w:rsidRPr="000E0A1C" w:rsidRDefault="009F0424" w:rsidP="009F0424">
      <w:pPr>
        <w:numPr>
          <w:ilvl w:val="0"/>
          <w:numId w:val="31"/>
        </w:numPr>
        <w:spacing w:before="100" w:beforeAutospacing="1" w:after="100" w:afterAutospacing="1" w:line="360" w:lineRule="auto"/>
        <w:jc w:val="both"/>
        <w:rPr>
          <w:rFonts w:ascii="Arial" w:hAnsi="Arial" w:cs="Arial"/>
        </w:rPr>
      </w:pPr>
      <w:r w:rsidRPr="000E0A1C">
        <w:rPr>
          <w:rFonts w:ascii="Arial" w:hAnsi="Arial" w:cs="Arial"/>
        </w:rPr>
        <w:t xml:space="preserve">Toma, A., Makonnen, E., Mekonnen, Y., Debella, A., &amp; </w:t>
      </w:r>
      <w:proofErr w:type="spellStart"/>
      <w:r w:rsidRPr="000E0A1C">
        <w:rPr>
          <w:rFonts w:ascii="Arial" w:hAnsi="Arial" w:cs="Arial"/>
        </w:rPr>
        <w:t>Addisakwattana</w:t>
      </w:r>
      <w:proofErr w:type="spellEnd"/>
      <w:r w:rsidRPr="000E0A1C">
        <w:rPr>
          <w:rFonts w:ascii="Arial" w:hAnsi="Arial" w:cs="Arial"/>
        </w:rPr>
        <w:t xml:space="preserve">, S. (2015). Antihyperglycemic effect of </w:t>
      </w:r>
      <w:r w:rsidRPr="000E0A1C">
        <w:rPr>
          <w:rStyle w:val="Emphasis"/>
          <w:rFonts w:ascii="Arial" w:hAnsi="Arial" w:cs="Arial"/>
        </w:rPr>
        <w:t xml:space="preserve">Moringa </w:t>
      </w:r>
      <w:proofErr w:type="spellStart"/>
      <w:r w:rsidRPr="000E0A1C">
        <w:rPr>
          <w:rStyle w:val="Emphasis"/>
          <w:rFonts w:ascii="Arial" w:hAnsi="Arial" w:cs="Arial"/>
        </w:rPr>
        <w:t>stenopetala</w:t>
      </w:r>
      <w:proofErr w:type="spellEnd"/>
      <w:r w:rsidRPr="000E0A1C">
        <w:rPr>
          <w:rFonts w:ascii="Arial" w:hAnsi="Arial" w:cs="Arial"/>
        </w:rPr>
        <w:t xml:space="preserve"> aqueous leaf extract in diabetic rats. </w:t>
      </w:r>
      <w:r w:rsidRPr="000E0A1C">
        <w:rPr>
          <w:rStyle w:val="Emphasis"/>
          <w:rFonts w:ascii="Arial" w:hAnsi="Arial" w:cs="Arial"/>
        </w:rPr>
        <w:t>BMC Complementary and Alternative Medicine</w:t>
      </w:r>
      <w:r w:rsidRPr="000E0A1C">
        <w:rPr>
          <w:rFonts w:ascii="Arial" w:hAnsi="Arial" w:cs="Arial"/>
        </w:rPr>
        <w:t>, 15, 242.</w:t>
      </w:r>
    </w:p>
    <w:p w14:paraId="1E056497"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Upadhyay, P., Yadav, M. K., Mishra, S., Sharma, P., &amp; Purohit, S. (2015). Moringa oleifera: A review of the medical evidence for its nutritional and pharmacological properties. </w:t>
      </w:r>
      <w:r w:rsidRPr="0028457E">
        <w:rPr>
          <w:rFonts w:ascii="Arial" w:hAnsi="Arial" w:cs="Arial"/>
          <w:i/>
          <w:iCs/>
          <w:lang w:val="en-IN" w:eastAsia="en-IN" w:bidi="gu-IN"/>
        </w:rPr>
        <w:t>International Journal of Research in Pharmaceutical Sciences</w:t>
      </w:r>
      <w:r w:rsidRPr="0028457E">
        <w:rPr>
          <w:rFonts w:ascii="Arial" w:hAnsi="Arial" w:cs="Arial"/>
          <w:lang w:val="en-IN" w:eastAsia="en-IN" w:bidi="gu-IN"/>
        </w:rPr>
        <w:t>, 5(1), 12–16.</w:t>
      </w:r>
    </w:p>
    <w:p w14:paraId="4FF0C69A" w14:textId="5D08E7A3" w:rsidR="009F0424" w:rsidRPr="00F03887" w:rsidRDefault="009F0424" w:rsidP="009F0424">
      <w:pPr>
        <w:numPr>
          <w:ilvl w:val="0"/>
          <w:numId w:val="31"/>
        </w:numPr>
        <w:spacing w:before="100" w:beforeAutospacing="1" w:after="100" w:afterAutospacing="1" w:line="360" w:lineRule="auto"/>
        <w:jc w:val="both"/>
        <w:rPr>
          <w:rFonts w:ascii="Arial" w:hAnsi="Arial" w:cs="Arial"/>
        </w:rPr>
      </w:pPr>
      <w:proofErr w:type="spellStart"/>
      <w:r w:rsidRPr="00F03887">
        <w:rPr>
          <w:rFonts w:ascii="Arial" w:hAnsi="Arial" w:cs="Arial"/>
        </w:rPr>
        <w:t>Vongsak</w:t>
      </w:r>
      <w:proofErr w:type="spellEnd"/>
      <w:r w:rsidRPr="00F03887">
        <w:rPr>
          <w:rFonts w:ascii="Arial" w:hAnsi="Arial" w:cs="Arial"/>
        </w:rPr>
        <w:t xml:space="preserve">, B., </w:t>
      </w:r>
      <w:proofErr w:type="spellStart"/>
      <w:r w:rsidRPr="00F03887">
        <w:rPr>
          <w:rFonts w:ascii="Arial" w:hAnsi="Arial" w:cs="Arial"/>
        </w:rPr>
        <w:t>Mangmool</w:t>
      </w:r>
      <w:proofErr w:type="spellEnd"/>
      <w:r w:rsidRPr="00F03887">
        <w:rPr>
          <w:rFonts w:ascii="Arial" w:hAnsi="Arial" w:cs="Arial"/>
        </w:rPr>
        <w:t xml:space="preserve">, S., &amp; </w:t>
      </w:r>
      <w:proofErr w:type="spellStart"/>
      <w:r w:rsidRPr="00F03887">
        <w:rPr>
          <w:rFonts w:ascii="Arial" w:hAnsi="Arial" w:cs="Arial"/>
        </w:rPr>
        <w:t>Gritsanapan</w:t>
      </w:r>
      <w:proofErr w:type="spellEnd"/>
      <w:r w:rsidRPr="00F03887">
        <w:rPr>
          <w:rFonts w:ascii="Arial" w:hAnsi="Arial" w:cs="Arial"/>
        </w:rPr>
        <w:t xml:space="preserve">, W. (2015). Antioxidant activity and induction of mRNA expressions of antioxidant enzymes in HEK-293 cells of </w:t>
      </w:r>
      <w:r w:rsidRPr="00F03887">
        <w:rPr>
          <w:rStyle w:val="Emphasis"/>
          <w:rFonts w:ascii="Arial" w:hAnsi="Arial" w:cs="Arial"/>
        </w:rPr>
        <w:t>Moringa oleifera</w:t>
      </w:r>
      <w:r w:rsidRPr="00F03887">
        <w:rPr>
          <w:rFonts w:ascii="Arial" w:hAnsi="Arial" w:cs="Arial"/>
        </w:rPr>
        <w:t xml:space="preserve"> leaf extract. </w:t>
      </w:r>
      <w:r w:rsidRPr="00F03887">
        <w:rPr>
          <w:rStyle w:val="Emphasis"/>
          <w:rFonts w:ascii="Arial" w:hAnsi="Arial" w:cs="Arial"/>
        </w:rPr>
        <w:t>Planta Medica</w:t>
      </w:r>
      <w:r w:rsidRPr="00F03887">
        <w:rPr>
          <w:rFonts w:ascii="Arial" w:hAnsi="Arial" w:cs="Arial"/>
        </w:rPr>
        <w:t>, 81(14), 1084–1089.</w:t>
      </w:r>
      <w:r w:rsidR="008B266B">
        <w:rPr>
          <w:rFonts w:ascii="Arial" w:hAnsi="Arial" w:cs="Arial"/>
        </w:rPr>
        <w:t xml:space="preserve"> </w:t>
      </w:r>
      <w:r w:rsidR="008B266B" w:rsidRPr="008B266B">
        <w:rPr>
          <w:rFonts w:ascii="Arial" w:hAnsi="Arial" w:cs="Arial"/>
        </w:rPr>
        <w:t>https://doi.org/10.1055/s-0035-1546168</w:t>
      </w:r>
    </w:p>
    <w:p w14:paraId="62FFE24D" w14:textId="77777777" w:rsidR="009F0424" w:rsidRPr="0028457E" w:rsidRDefault="009F0424" w:rsidP="009F0424">
      <w:pPr>
        <w:pStyle w:val="Body"/>
        <w:numPr>
          <w:ilvl w:val="0"/>
          <w:numId w:val="31"/>
        </w:numPr>
        <w:spacing w:after="0" w:line="360" w:lineRule="auto"/>
        <w:rPr>
          <w:rFonts w:ascii="Arial" w:hAnsi="Arial" w:cs="Arial"/>
          <w:lang w:val="en-IN"/>
        </w:rPr>
      </w:pPr>
      <w:r w:rsidRPr="0028457E">
        <w:rPr>
          <w:rFonts w:ascii="Arial" w:hAnsi="Arial" w:cs="Arial"/>
          <w:lang w:val="en-IN"/>
        </w:rPr>
        <w:lastRenderedPageBreak/>
        <w:t xml:space="preserve">Wallace, T. C. (2015). Application of Moringa oleifera leaves in foods and beverages: Strategies for incorporation. </w:t>
      </w:r>
      <w:r w:rsidRPr="0028457E">
        <w:rPr>
          <w:rFonts w:ascii="Arial" w:hAnsi="Arial" w:cs="Arial"/>
          <w:i/>
          <w:iCs/>
          <w:lang w:val="en-IN"/>
        </w:rPr>
        <w:t>Functional Foods in Health and Disease</w:t>
      </w:r>
      <w:r w:rsidRPr="0028457E">
        <w:rPr>
          <w:rFonts w:ascii="Arial" w:hAnsi="Arial" w:cs="Arial"/>
          <w:lang w:val="en-IN"/>
        </w:rPr>
        <w:t>, 5(7), 205–217.</w:t>
      </w:r>
    </w:p>
    <w:p w14:paraId="0D999472" w14:textId="77777777" w:rsidR="009F0424" w:rsidRPr="0028457E" w:rsidRDefault="009F0424" w:rsidP="009F0424">
      <w:pPr>
        <w:numPr>
          <w:ilvl w:val="0"/>
          <w:numId w:val="31"/>
        </w:numPr>
        <w:spacing w:before="100" w:beforeAutospacing="1" w:after="100" w:afterAutospacing="1" w:line="360" w:lineRule="auto"/>
        <w:jc w:val="both"/>
        <w:rPr>
          <w:rFonts w:ascii="Arial" w:hAnsi="Arial" w:cs="Arial"/>
          <w:lang w:val="en-IN" w:eastAsia="en-IN" w:bidi="gu-IN"/>
        </w:rPr>
      </w:pPr>
      <w:r w:rsidRPr="0028457E">
        <w:rPr>
          <w:rFonts w:ascii="Arial" w:hAnsi="Arial" w:cs="Arial"/>
          <w:lang w:val="en-IN" w:eastAsia="en-IN" w:bidi="gu-IN"/>
        </w:rPr>
        <w:t xml:space="preserve">Yadav, H., Jain, S., &amp; Sinha, P. R. (2007). Antidiabetic effect of probiotic </w:t>
      </w:r>
      <w:proofErr w:type="spellStart"/>
      <w:r w:rsidRPr="0028457E">
        <w:rPr>
          <w:rFonts w:ascii="Arial" w:hAnsi="Arial" w:cs="Arial"/>
          <w:lang w:val="en-IN" w:eastAsia="en-IN" w:bidi="gu-IN"/>
        </w:rPr>
        <w:t>dahi</w:t>
      </w:r>
      <w:proofErr w:type="spellEnd"/>
      <w:r w:rsidRPr="0028457E">
        <w:rPr>
          <w:rFonts w:ascii="Arial" w:hAnsi="Arial" w:cs="Arial"/>
          <w:lang w:val="en-IN" w:eastAsia="en-IN" w:bidi="gu-IN"/>
        </w:rPr>
        <w:t xml:space="preserve"> containing Lactobacillus acidophilus and Lactobacillus casei in high fructose fed rats. </w:t>
      </w:r>
      <w:r w:rsidRPr="0028457E">
        <w:rPr>
          <w:rFonts w:ascii="Arial" w:hAnsi="Arial" w:cs="Arial"/>
          <w:i/>
          <w:iCs/>
          <w:lang w:val="en-IN" w:eastAsia="en-IN" w:bidi="gu-IN"/>
        </w:rPr>
        <w:t>Nutrition</w:t>
      </w:r>
      <w:r w:rsidRPr="0028457E">
        <w:rPr>
          <w:rFonts w:ascii="Arial" w:hAnsi="Arial" w:cs="Arial"/>
          <w:lang w:val="en-IN" w:eastAsia="en-IN" w:bidi="gu-IN"/>
        </w:rPr>
        <w:t>, 23(1), 62–68. https://doi.org/10.1016/j.nut.2006.09.002</w:t>
      </w:r>
    </w:p>
    <w:sectPr w:rsidR="009F0424" w:rsidRPr="0028457E" w:rsidSect="001F64A3">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852C6" w14:textId="77777777" w:rsidR="00A2308D" w:rsidRDefault="00A2308D" w:rsidP="00C37E61">
      <w:r>
        <w:separator/>
      </w:r>
    </w:p>
  </w:endnote>
  <w:endnote w:type="continuationSeparator" w:id="0">
    <w:p w14:paraId="338253C1" w14:textId="77777777" w:rsidR="00A2308D" w:rsidRDefault="00A2308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B357" w14:textId="77777777" w:rsidR="007F5558" w:rsidRDefault="007F5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220B" w14:textId="77777777" w:rsidR="007F5558" w:rsidRDefault="007F55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4C92" w14:textId="556E674B" w:rsidR="00754C9A" w:rsidRPr="001F64A3" w:rsidRDefault="00754C9A" w:rsidP="001F64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163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E912" w14:textId="77777777" w:rsidR="00A2308D" w:rsidRDefault="00A2308D" w:rsidP="00C37E61">
      <w:r>
        <w:separator/>
      </w:r>
    </w:p>
  </w:footnote>
  <w:footnote w:type="continuationSeparator" w:id="0">
    <w:p w14:paraId="6566D70A" w14:textId="77777777" w:rsidR="00A2308D" w:rsidRDefault="00A2308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DE50" w14:textId="07029394" w:rsidR="007F5558" w:rsidRDefault="007F5558">
    <w:pPr>
      <w:pStyle w:val="Header"/>
    </w:pPr>
    <w:r>
      <w:rPr>
        <w:noProof/>
      </w:rPr>
      <w:pict w14:anchorId="14EDEF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40985"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F1C2" w14:textId="1A9D6CCD" w:rsidR="007F5558" w:rsidRDefault="007F5558">
    <w:pPr>
      <w:pStyle w:val="Header"/>
    </w:pPr>
    <w:r>
      <w:rPr>
        <w:noProof/>
      </w:rPr>
      <w:pict w14:anchorId="443E0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40986"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8816" w14:textId="2BDA9FC5" w:rsidR="00296529" w:rsidRPr="00296529" w:rsidRDefault="007F5558" w:rsidP="00296529">
    <w:pPr>
      <w:ind w:left="2160"/>
      <w:jc w:val="center"/>
      <w:rPr>
        <w:rFonts w:ascii="Times New Roman" w:eastAsia="Calibri" w:hAnsi="Times New Roman"/>
        <w:i/>
        <w:sz w:val="18"/>
        <w:szCs w:val="22"/>
      </w:rPr>
    </w:pPr>
    <w:r>
      <w:rPr>
        <w:noProof/>
      </w:rPr>
      <w:pict w14:anchorId="34BC0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40984"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B385BC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C25CC7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20E6B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63ECD7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25D652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3FDCE4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1809" w14:textId="2EF918FF" w:rsidR="007F5558" w:rsidRDefault="007F5558">
    <w:pPr>
      <w:pStyle w:val="Header"/>
    </w:pPr>
    <w:r>
      <w:rPr>
        <w:noProof/>
      </w:rPr>
      <w:pict w14:anchorId="4F37E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40988"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3E5F" w14:textId="72F551F4" w:rsidR="007F5558" w:rsidRDefault="007F5558">
    <w:pPr>
      <w:pStyle w:val="Header"/>
    </w:pPr>
    <w:r>
      <w:rPr>
        <w:noProof/>
      </w:rPr>
      <w:pict w14:anchorId="6B31D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40989"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EE32" w14:textId="0461A112" w:rsidR="007F5558" w:rsidRDefault="007F5558">
    <w:pPr>
      <w:pStyle w:val="Header"/>
    </w:pPr>
    <w:r>
      <w:rPr>
        <w:noProof/>
      </w:rPr>
      <w:pict w14:anchorId="15BCB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40987"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3C5FA3"/>
    <w:multiLevelType w:val="multilevel"/>
    <w:tmpl w:val="99A25764"/>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D877FE1"/>
    <w:multiLevelType w:val="multilevel"/>
    <w:tmpl w:val="51A82EF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0FA17ED"/>
    <w:multiLevelType w:val="multilevel"/>
    <w:tmpl w:val="27D0A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401728"/>
    <w:multiLevelType w:val="multilevel"/>
    <w:tmpl w:val="2144974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546287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08206373">
    <w:abstractNumId w:val="16"/>
  </w:num>
  <w:num w:numId="3" w16cid:durableId="1824393420">
    <w:abstractNumId w:val="26"/>
  </w:num>
  <w:num w:numId="4" w16cid:durableId="51959086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73686210">
    <w:abstractNumId w:val="7"/>
  </w:num>
  <w:num w:numId="6" w16cid:durableId="944077602">
    <w:abstractNumId w:val="6"/>
  </w:num>
  <w:num w:numId="7" w16cid:durableId="302126231">
    <w:abstractNumId w:val="1"/>
  </w:num>
  <w:num w:numId="8" w16cid:durableId="1077553248">
    <w:abstractNumId w:val="13"/>
  </w:num>
  <w:num w:numId="9" w16cid:durableId="1868563766">
    <w:abstractNumId w:val="28"/>
  </w:num>
  <w:num w:numId="10" w16cid:durableId="599948795">
    <w:abstractNumId w:val="2"/>
  </w:num>
  <w:num w:numId="11" w16cid:durableId="864443142">
    <w:abstractNumId w:val="21"/>
  </w:num>
  <w:num w:numId="12" w16cid:durableId="1738894391">
    <w:abstractNumId w:val="3"/>
  </w:num>
  <w:num w:numId="13" w16cid:durableId="162401514">
    <w:abstractNumId w:val="19"/>
  </w:num>
  <w:num w:numId="14" w16cid:durableId="1057895835">
    <w:abstractNumId w:val="8"/>
  </w:num>
  <w:num w:numId="15" w16cid:durableId="693116570">
    <w:abstractNumId w:val="24"/>
  </w:num>
  <w:num w:numId="16" w16cid:durableId="310137361">
    <w:abstractNumId w:val="5"/>
  </w:num>
  <w:num w:numId="17" w16cid:durableId="1766268479">
    <w:abstractNumId w:val="25"/>
  </w:num>
  <w:num w:numId="18" w16cid:durableId="1117137247">
    <w:abstractNumId w:val="15"/>
  </w:num>
  <w:num w:numId="19" w16cid:durableId="257369151">
    <w:abstractNumId w:val="32"/>
  </w:num>
  <w:num w:numId="20" w16cid:durableId="2093113452">
    <w:abstractNumId w:val="12"/>
  </w:num>
  <w:num w:numId="21" w16cid:durableId="365180485">
    <w:abstractNumId w:val="10"/>
  </w:num>
  <w:num w:numId="22" w16cid:durableId="2045523489">
    <w:abstractNumId w:val="14"/>
  </w:num>
  <w:num w:numId="23" w16cid:durableId="858667136">
    <w:abstractNumId w:val="22"/>
  </w:num>
  <w:num w:numId="24" w16cid:durableId="304512804">
    <w:abstractNumId w:val="29"/>
  </w:num>
  <w:num w:numId="25" w16cid:durableId="635574720">
    <w:abstractNumId w:val="4"/>
  </w:num>
  <w:num w:numId="26" w16cid:durableId="382293166">
    <w:abstractNumId w:val="18"/>
  </w:num>
  <w:num w:numId="27" w16cid:durableId="792015506">
    <w:abstractNumId w:val="23"/>
  </w:num>
  <w:num w:numId="28" w16cid:durableId="1988784015">
    <w:abstractNumId w:val="30"/>
  </w:num>
  <w:num w:numId="29" w16cid:durableId="387261465">
    <w:abstractNumId w:val="27"/>
  </w:num>
  <w:num w:numId="30" w16cid:durableId="1251161030">
    <w:abstractNumId w:val="11"/>
  </w:num>
  <w:num w:numId="31" w16cid:durableId="2099865579">
    <w:abstractNumId w:val="20"/>
  </w:num>
  <w:num w:numId="32" w16cid:durableId="605311816">
    <w:abstractNumId w:val="31"/>
  </w:num>
  <w:num w:numId="33" w16cid:durableId="1448743992">
    <w:abstractNumId w:val="17"/>
  </w:num>
  <w:num w:numId="34" w16cid:durableId="21244155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0A1C"/>
    <w:rsid w:val="000E7B7B"/>
    <w:rsid w:val="000E7D20"/>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64A3"/>
    <w:rsid w:val="00200595"/>
    <w:rsid w:val="00204835"/>
    <w:rsid w:val="00231920"/>
    <w:rsid w:val="0023195C"/>
    <w:rsid w:val="0024282C"/>
    <w:rsid w:val="002460DC"/>
    <w:rsid w:val="00250985"/>
    <w:rsid w:val="002556F6"/>
    <w:rsid w:val="00283105"/>
    <w:rsid w:val="0028457E"/>
    <w:rsid w:val="00284C4C"/>
    <w:rsid w:val="00287E68"/>
    <w:rsid w:val="00296529"/>
    <w:rsid w:val="002A25F7"/>
    <w:rsid w:val="002A6B67"/>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D1AA4"/>
    <w:rsid w:val="003E25C1"/>
    <w:rsid w:val="003E2904"/>
    <w:rsid w:val="00401927"/>
    <w:rsid w:val="0041027F"/>
    <w:rsid w:val="00412475"/>
    <w:rsid w:val="00417B5C"/>
    <w:rsid w:val="00420887"/>
    <w:rsid w:val="00423789"/>
    <w:rsid w:val="00440F43"/>
    <w:rsid w:val="00441B6F"/>
    <w:rsid w:val="00446221"/>
    <w:rsid w:val="00450E62"/>
    <w:rsid w:val="004539DB"/>
    <w:rsid w:val="00471A80"/>
    <w:rsid w:val="004939B9"/>
    <w:rsid w:val="004D305E"/>
    <w:rsid w:val="004D4277"/>
    <w:rsid w:val="004E443E"/>
    <w:rsid w:val="00502516"/>
    <w:rsid w:val="00505F06"/>
    <w:rsid w:val="00506828"/>
    <w:rsid w:val="0053056E"/>
    <w:rsid w:val="00554FDA"/>
    <w:rsid w:val="005959E5"/>
    <w:rsid w:val="005A0C4F"/>
    <w:rsid w:val="005A4359"/>
    <w:rsid w:val="005C784C"/>
    <w:rsid w:val="005D17F6"/>
    <w:rsid w:val="005E5539"/>
    <w:rsid w:val="005F4B6F"/>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171D"/>
    <w:rsid w:val="0070082C"/>
    <w:rsid w:val="007369E6"/>
    <w:rsid w:val="00746E59"/>
    <w:rsid w:val="00754C9A"/>
    <w:rsid w:val="0075599A"/>
    <w:rsid w:val="00761D52"/>
    <w:rsid w:val="0077749E"/>
    <w:rsid w:val="00790ADA"/>
    <w:rsid w:val="007D2288"/>
    <w:rsid w:val="007E088F"/>
    <w:rsid w:val="007F5558"/>
    <w:rsid w:val="007F7B32"/>
    <w:rsid w:val="00804BC2"/>
    <w:rsid w:val="0081431A"/>
    <w:rsid w:val="0083216F"/>
    <w:rsid w:val="00855BB1"/>
    <w:rsid w:val="00860000"/>
    <w:rsid w:val="00863BD3"/>
    <w:rsid w:val="008641ED"/>
    <w:rsid w:val="00866D66"/>
    <w:rsid w:val="008671C6"/>
    <w:rsid w:val="00875803"/>
    <w:rsid w:val="008B266B"/>
    <w:rsid w:val="008B459E"/>
    <w:rsid w:val="008E13AE"/>
    <w:rsid w:val="008E1506"/>
    <w:rsid w:val="008E710C"/>
    <w:rsid w:val="008F69D6"/>
    <w:rsid w:val="00900BE6"/>
    <w:rsid w:val="00902823"/>
    <w:rsid w:val="00915CA6"/>
    <w:rsid w:val="00927834"/>
    <w:rsid w:val="00934AE9"/>
    <w:rsid w:val="009500A6"/>
    <w:rsid w:val="00957C18"/>
    <w:rsid w:val="009659BA"/>
    <w:rsid w:val="00983040"/>
    <w:rsid w:val="009B3FB9"/>
    <w:rsid w:val="009C2465"/>
    <w:rsid w:val="009D35A0"/>
    <w:rsid w:val="009D7EB7"/>
    <w:rsid w:val="009E048A"/>
    <w:rsid w:val="009E08E9"/>
    <w:rsid w:val="009E3DB9"/>
    <w:rsid w:val="009E6E35"/>
    <w:rsid w:val="009F0424"/>
    <w:rsid w:val="009F0EDA"/>
    <w:rsid w:val="00A03B96"/>
    <w:rsid w:val="00A05B19"/>
    <w:rsid w:val="00A1134E"/>
    <w:rsid w:val="00A2308D"/>
    <w:rsid w:val="00A24E7E"/>
    <w:rsid w:val="00A258C3"/>
    <w:rsid w:val="00A2697C"/>
    <w:rsid w:val="00A347C0"/>
    <w:rsid w:val="00A51431"/>
    <w:rsid w:val="00A539AD"/>
    <w:rsid w:val="00A94063"/>
    <w:rsid w:val="00AA6219"/>
    <w:rsid w:val="00AA74E0"/>
    <w:rsid w:val="00AB703F"/>
    <w:rsid w:val="00AC2535"/>
    <w:rsid w:val="00AC6BB8"/>
    <w:rsid w:val="00AE008F"/>
    <w:rsid w:val="00AE3292"/>
    <w:rsid w:val="00B01FCD"/>
    <w:rsid w:val="00B1776C"/>
    <w:rsid w:val="00B24186"/>
    <w:rsid w:val="00B30BA9"/>
    <w:rsid w:val="00B446A4"/>
    <w:rsid w:val="00B45AC2"/>
    <w:rsid w:val="00B52583"/>
    <w:rsid w:val="00B52896"/>
    <w:rsid w:val="00B95236"/>
    <w:rsid w:val="00B96BD9"/>
    <w:rsid w:val="00BA1B01"/>
    <w:rsid w:val="00BA2641"/>
    <w:rsid w:val="00BA6C5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3C1A"/>
    <w:rsid w:val="00CD6755"/>
    <w:rsid w:val="00CD6856"/>
    <w:rsid w:val="00CE0089"/>
    <w:rsid w:val="00CE39A3"/>
    <w:rsid w:val="00CE793C"/>
    <w:rsid w:val="00CF193C"/>
    <w:rsid w:val="00D173F1"/>
    <w:rsid w:val="00D4382E"/>
    <w:rsid w:val="00D447CA"/>
    <w:rsid w:val="00D74CB0"/>
    <w:rsid w:val="00D8295D"/>
    <w:rsid w:val="00DC2A65"/>
    <w:rsid w:val="00DE15F0"/>
    <w:rsid w:val="00DE5663"/>
    <w:rsid w:val="00DE78AA"/>
    <w:rsid w:val="00E053D0"/>
    <w:rsid w:val="00E15994"/>
    <w:rsid w:val="00E21D2A"/>
    <w:rsid w:val="00E3114E"/>
    <w:rsid w:val="00E31A70"/>
    <w:rsid w:val="00E35B02"/>
    <w:rsid w:val="00E66496"/>
    <w:rsid w:val="00E66B35"/>
    <w:rsid w:val="00E66E10"/>
    <w:rsid w:val="00E74971"/>
    <w:rsid w:val="00E769F6"/>
    <w:rsid w:val="00E8407C"/>
    <w:rsid w:val="00E84F3C"/>
    <w:rsid w:val="00EA012C"/>
    <w:rsid w:val="00EC6A55"/>
    <w:rsid w:val="00ED0288"/>
    <w:rsid w:val="00EE52CB"/>
    <w:rsid w:val="00EF581D"/>
    <w:rsid w:val="00EF7FD8"/>
    <w:rsid w:val="00F03887"/>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FCB41B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5F4B6F"/>
    <w:rPr>
      <w:rFonts w:asciiTheme="minorHAnsi" w:eastAsiaTheme="minorHAnsi" w:hAnsiTheme="minorHAnsi" w:cstheme="minorBid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1990059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1442027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7866186">
      <w:bodyDiv w:val="1"/>
      <w:marLeft w:val="0"/>
      <w:marRight w:val="0"/>
      <w:marTop w:val="0"/>
      <w:marBottom w:val="0"/>
      <w:divBdr>
        <w:top w:val="none" w:sz="0" w:space="0" w:color="auto"/>
        <w:left w:val="none" w:sz="0" w:space="0" w:color="auto"/>
        <w:bottom w:val="none" w:sz="0" w:space="0" w:color="auto"/>
        <w:right w:val="none" w:sz="0" w:space="0" w:color="auto"/>
      </w:divBdr>
    </w:div>
    <w:div w:id="137403978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1145338">
      <w:bodyDiv w:val="1"/>
      <w:marLeft w:val="0"/>
      <w:marRight w:val="0"/>
      <w:marTop w:val="0"/>
      <w:marBottom w:val="0"/>
      <w:divBdr>
        <w:top w:val="none" w:sz="0" w:space="0" w:color="auto"/>
        <w:left w:val="none" w:sz="0" w:space="0" w:color="auto"/>
        <w:bottom w:val="none" w:sz="0" w:space="0" w:color="auto"/>
        <w:right w:val="none" w:sz="0" w:space="0" w:color="auto"/>
      </w:divBdr>
    </w:div>
    <w:div w:id="194222524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272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007/BF02858648"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BF02887070"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2/ptr.2023"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129</TotalTime>
  <Pages>15</Pages>
  <Words>6789</Words>
  <Characters>38700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45399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25</cp:revision>
  <cp:lastPrinted>1999-07-06T11:00:00Z</cp:lastPrinted>
  <dcterms:created xsi:type="dcterms:W3CDTF">2014-10-25T14:34:00Z</dcterms:created>
  <dcterms:modified xsi:type="dcterms:W3CDTF">2025-04-29T10:53:00Z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400a8f4624c248ac1b2abea327267a621b301216225a7517874c1edbaae5e2cf</vt:lpwstr>
  </property>
</Properties>
</file>