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ECE4" w14:textId="6FBDA644" w:rsidR="0077607E" w:rsidRDefault="0077607E" w:rsidP="004D414E">
      <w:pPr>
        <w:spacing w:line="240" w:lineRule="auto"/>
        <w:jc w:val="center"/>
        <w:rPr>
          <w:rFonts w:ascii="Arial" w:hAnsi="Arial" w:cs="Arial"/>
          <w:b/>
          <w:bCs/>
          <w:i/>
          <w:iCs/>
          <w:sz w:val="28"/>
          <w:szCs w:val="24"/>
          <w:u w:val="single"/>
          <w:lang w:val="en-US"/>
        </w:rPr>
      </w:pPr>
      <w:r w:rsidRPr="0077607E">
        <w:rPr>
          <w:rFonts w:ascii="Arial" w:hAnsi="Arial" w:cs="Arial"/>
          <w:b/>
          <w:bCs/>
          <w:i/>
          <w:iCs/>
          <w:sz w:val="28"/>
          <w:szCs w:val="24"/>
          <w:u w:val="single"/>
          <w:lang w:val="en-US"/>
        </w:rPr>
        <w:t>Original Research Article</w:t>
      </w:r>
    </w:p>
    <w:p w14:paraId="5D46D7F1" w14:textId="77777777" w:rsidR="0077607E" w:rsidRDefault="0077607E" w:rsidP="004D414E">
      <w:pPr>
        <w:spacing w:line="240" w:lineRule="auto"/>
        <w:jc w:val="center"/>
        <w:rPr>
          <w:rFonts w:ascii="Arial" w:hAnsi="Arial" w:cs="Arial"/>
          <w:b/>
          <w:sz w:val="28"/>
          <w:szCs w:val="24"/>
          <w:lang w:val="en-US"/>
        </w:rPr>
      </w:pPr>
    </w:p>
    <w:p w14:paraId="19E8C568" w14:textId="5603907D" w:rsidR="00FC3F95" w:rsidRPr="0077607E" w:rsidRDefault="00D4223A" w:rsidP="004D414E">
      <w:pPr>
        <w:spacing w:line="240" w:lineRule="auto"/>
        <w:jc w:val="center"/>
        <w:rPr>
          <w:rFonts w:ascii="Arial" w:eastAsia="Times New Roman" w:hAnsi="Arial" w:cs="Arial"/>
          <w:b/>
          <w:color w:val="333333"/>
          <w:sz w:val="28"/>
          <w:szCs w:val="24"/>
          <w:lang w:val="en-US" w:eastAsia="ru-RU"/>
        </w:rPr>
      </w:pPr>
      <w:r w:rsidRPr="0077607E">
        <w:rPr>
          <w:rFonts w:ascii="Arial" w:hAnsi="Arial" w:cs="Arial"/>
          <w:b/>
          <w:sz w:val="28"/>
          <w:szCs w:val="24"/>
          <w:lang w:val="en-US"/>
        </w:rPr>
        <w:t>INNOVATIVE PURIFICATION OF WET-PROCESS PHOSPHORIC ACID AND SUSTAINABLE PRODUCTION OF HIGH-PURITY AMMONIUM PHOSPHATES</w:t>
      </w:r>
    </w:p>
    <w:p w14:paraId="508A2245" w14:textId="77777777" w:rsidR="004D414E" w:rsidRPr="000C11D8" w:rsidRDefault="004D414E" w:rsidP="004D414E">
      <w:pPr>
        <w:spacing w:after="0"/>
        <w:ind w:firstLine="567"/>
        <w:jc w:val="center"/>
        <w:rPr>
          <w:rFonts w:ascii="Arial" w:hAnsi="Arial" w:cs="Arial"/>
          <w:b/>
          <w:sz w:val="24"/>
          <w:szCs w:val="28"/>
          <w:lang w:val="en-US"/>
        </w:rPr>
      </w:pPr>
    </w:p>
    <w:p w14:paraId="3F2C4CB9" w14:textId="77777777" w:rsidR="0077607E" w:rsidRPr="0077607E" w:rsidRDefault="0077607E" w:rsidP="0077607E">
      <w:pPr>
        <w:pStyle w:val="Default"/>
        <w:spacing w:line="276" w:lineRule="auto"/>
        <w:ind w:firstLine="567"/>
        <w:jc w:val="right"/>
        <w:rPr>
          <w:rFonts w:ascii="Arial" w:hAnsi="Arial" w:cs="Arial"/>
          <w:lang w:val="en-US"/>
        </w:rPr>
      </w:pPr>
    </w:p>
    <w:p w14:paraId="3A6A5696" w14:textId="77777777" w:rsidR="0077607E" w:rsidRDefault="0077607E" w:rsidP="0077607E">
      <w:pPr>
        <w:pStyle w:val="Default"/>
        <w:ind w:firstLine="567"/>
        <w:jc w:val="right"/>
        <w:rPr>
          <w:rFonts w:ascii="Arial" w:hAnsi="Arial" w:cs="Arial"/>
          <w:lang w:val="en-US"/>
        </w:rPr>
      </w:pPr>
    </w:p>
    <w:p w14:paraId="5BBCF3B2" w14:textId="77777777" w:rsidR="0077607E" w:rsidRDefault="0077607E" w:rsidP="00BD7D45">
      <w:pPr>
        <w:pStyle w:val="Default"/>
        <w:spacing w:line="276" w:lineRule="auto"/>
        <w:rPr>
          <w:rStyle w:val="fontstyle01"/>
          <w:rFonts w:ascii="Arial" w:hAnsi="Arial" w:cs="Arial"/>
          <w:lang w:val="en-US"/>
        </w:rPr>
      </w:pPr>
    </w:p>
    <w:p w14:paraId="04FCE3CF" w14:textId="77777777" w:rsidR="00FC3F95" w:rsidRPr="00437B54" w:rsidRDefault="00FC3F95">
      <w:pPr>
        <w:spacing w:after="0" w:line="240" w:lineRule="auto"/>
        <w:jc w:val="both"/>
        <w:rPr>
          <w:rFonts w:ascii="Arial" w:hAnsi="Arial" w:cs="Arial"/>
          <w:sz w:val="28"/>
          <w:szCs w:val="28"/>
          <w:lang w:val="en-US"/>
        </w:rPr>
      </w:pPr>
    </w:p>
    <w:p w14:paraId="74BC34C4" w14:textId="77777777" w:rsidR="005A6B2C" w:rsidRPr="00670552" w:rsidRDefault="005A6B2C" w:rsidP="005C6437">
      <w:pPr>
        <w:pStyle w:val="BodyTextIndent"/>
        <w:tabs>
          <w:tab w:val="left" w:pos="3765"/>
        </w:tabs>
        <w:spacing w:after="0"/>
        <w:ind w:left="0" w:firstLine="567"/>
        <w:jc w:val="both"/>
        <w:rPr>
          <w:rFonts w:ascii="Arial" w:hAnsi="Arial" w:cs="Arial"/>
          <w:b/>
          <w:sz w:val="20"/>
          <w:szCs w:val="20"/>
          <w:shd w:val="clear" w:color="auto" w:fill="FFFFFF"/>
          <w:lang w:val="en-US"/>
        </w:rPr>
      </w:pPr>
      <w:r w:rsidRPr="00670552">
        <w:rPr>
          <w:rFonts w:ascii="Arial" w:hAnsi="Arial" w:cs="Arial"/>
          <w:b/>
          <w:sz w:val="20"/>
          <w:szCs w:val="20"/>
          <w:shd w:val="clear" w:color="auto" w:fill="FFFFFF"/>
          <w:lang w:val="en-US"/>
        </w:rPr>
        <w:t>ABSTRACT</w:t>
      </w:r>
    </w:p>
    <w:p w14:paraId="734148B9" w14:textId="77777777" w:rsidR="00670552" w:rsidRPr="00670552" w:rsidRDefault="00670552" w:rsidP="005A6B2C">
      <w:pPr>
        <w:spacing w:after="0" w:line="240" w:lineRule="auto"/>
        <w:ind w:firstLine="567"/>
        <w:jc w:val="both"/>
        <w:rPr>
          <w:rFonts w:ascii="Arial" w:hAnsi="Arial" w:cs="Arial"/>
          <w:sz w:val="20"/>
          <w:szCs w:val="20"/>
          <w:lang w:val="en-US"/>
        </w:rPr>
      </w:pPr>
    </w:p>
    <w:p w14:paraId="2A8FD56C" w14:textId="77777777" w:rsidR="005A6B2C" w:rsidRPr="00670552" w:rsidRDefault="000C11D8" w:rsidP="005A6B2C">
      <w:pPr>
        <w:spacing w:after="0" w:line="240" w:lineRule="auto"/>
        <w:ind w:firstLine="567"/>
        <w:jc w:val="both"/>
        <w:rPr>
          <w:rFonts w:ascii="Arial" w:hAnsi="Arial" w:cs="Arial"/>
          <w:sz w:val="20"/>
          <w:szCs w:val="20"/>
          <w:lang w:val="en-US"/>
        </w:rPr>
      </w:pPr>
      <w:r w:rsidRPr="000C11D8">
        <w:rPr>
          <w:rFonts w:ascii="Arial" w:hAnsi="Arial" w:cs="Arial"/>
          <w:sz w:val="20"/>
          <w:szCs w:val="20"/>
          <w:lang w:val="en-US"/>
        </w:rPr>
        <w:t xml:space="preserve">In this study, the desulfurization </w:t>
      </w:r>
      <w:r w:rsidR="000134D1">
        <w:rPr>
          <w:rFonts w:ascii="Arial" w:hAnsi="Arial" w:cs="Arial"/>
          <w:sz w:val="20"/>
          <w:szCs w:val="20"/>
          <w:lang w:val="en-US"/>
        </w:rPr>
        <w:t xml:space="preserve">process of </w:t>
      </w:r>
      <w:proofErr w:type="spellStart"/>
      <w:r w:rsidR="000134D1">
        <w:rPr>
          <w:rFonts w:ascii="Arial" w:hAnsi="Arial" w:cs="Arial"/>
          <w:sz w:val="20"/>
          <w:szCs w:val="20"/>
          <w:lang w:val="en-US"/>
        </w:rPr>
        <w:t>Kyzylkum</w:t>
      </w:r>
      <w:proofErr w:type="spellEnd"/>
      <w:r w:rsidR="000134D1">
        <w:rPr>
          <w:rFonts w:ascii="Arial" w:hAnsi="Arial" w:cs="Arial"/>
          <w:sz w:val="20"/>
          <w:szCs w:val="20"/>
          <w:lang w:val="en-US"/>
        </w:rPr>
        <w:t xml:space="preserve"> wet-process phosphoric acid (16.51</w:t>
      </w:r>
      <w:r w:rsidRPr="000C11D8">
        <w:rPr>
          <w:rFonts w:ascii="Arial" w:hAnsi="Arial" w:cs="Arial"/>
          <w:sz w:val="20"/>
          <w:szCs w:val="20"/>
          <w:lang w:val="en-US"/>
        </w:rPr>
        <w:t>% P</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5</w:t>
      </w:r>
      <w:r w:rsidR="000134D1">
        <w:rPr>
          <w:rFonts w:ascii="Arial" w:hAnsi="Arial" w:cs="Arial"/>
          <w:sz w:val="20"/>
          <w:szCs w:val="20"/>
          <w:lang w:val="en-US"/>
        </w:rPr>
        <w:t>; 1.00% F; 1.12% MgO; 0.054</w:t>
      </w:r>
      <w:r w:rsidRPr="000C11D8">
        <w:rPr>
          <w:rFonts w:ascii="Arial" w:hAnsi="Arial" w:cs="Arial"/>
          <w:sz w:val="20"/>
          <w:szCs w:val="20"/>
          <w:lang w:val="en-US"/>
        </w:rPr>
        <w:t>% CaO; 0.43% Al</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0.28% Fe</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2.99% SO</w:t>
      </w:r>
      <w:r w:rsidRPr="000134D1">
        <w:rPr>
          <w:rFonts w:ascii="Arial" w:hAnsi="Arial" w:cs="Arial"/>
          <w:sz w:val="20"/>
          <w:szCs w:val="20"/>
          <w:vertAlign w:val="subscript"/>
          <w:lang w:val="en-US"/>
        </w:rPr>
        <w:t>3</w:t>
      </w:r>
      <w:r w:rsidRPr="000C11D8">
        <w:rPr>
          <w:rFonts w:ascii="Arial" w:hAnsi="Arial" w:cs="Arial"/>
          <w:sz w:val="20"/>
          <w:szCs w:val="20"/>
          <w:lang w:val="en-US"/>
        </w:rPr>
        <w:t>;) was carried out using calcium carbonate. At th</w:t>
      </w:r>
      <w:r w:rsidR="000134D1">
        <w:rPr>
          <w:rFonts w:ascii="Arial" w:hAnsi="Arial" w:cs="Arial"/>
          <w:sz w:val="20"/>
          <w:szCs w:val="20"/>
          <w:lang w:val="en-US"/>
        </w:rPr>
        <w:t>e optimal precipitant norm (125</w:t>
      </w:r>
      <w:r w:rsidRPr="000C11D8">
        <w:rPr>
          <w:rFonts w:ascii="Arial" w:hAnsi="Arial" w:cs="Arial"/>
          <w:sz w:val="20"/>
          <w:szCs w:val="20"/>
          <w:lang w:val="en-US"/>
        </w:rPr>
        <w:t>%) the sulfate ion removal efficiency r</w:t>
      </w:r>
      <w:r w:rsidR="000134D1">
        <w:rPr>
          <w:rFonts w:ascii="Arial" w:hAnsi="Arial" w:cs="Arial"/>
          <w:sz w:val="20"/>
          <w:szCs w:val="20"/>
          <w:lang w:val="en-US"/>
        </w:rPr>
        <w:t>eached 85.66</w:t>
      </w:r>
      <w:r w:rsidRPr="000C11D8">
        <w:rPr>
          <w:rFonts w:ascii="Arial" w:hAnsi="Arial" w:cs="Arial"/>
          <w:sz w:val="20"/>
          <w:szCs w:val="20"/>
          <w:lang w:val="en-US"/>
        </w:rPr>
        <w:t>%. Fo</w:t>
      </w:r>
      <w:r w:rsidR="000134D1">
        <w:rPr>
          <w:rFonts w:ascii="Arial" w:hAnsi="Arial" w:cs="Arial"/>
          <w:sz w:val="20"/>
          <w:szCs w:val="20"/>
          <w:lang w:val="en-US"/>
        </w:rPr>
        <w:t>r deep purification of the wet-</w:t>
      </w:r>
      <w:r w:rsidRPr="000C11D8">
        <w:rPr>
          <w:rFonts w:ascii="Arial" w:hAnsi="Arial" w:cs="Arial"/>
          <w:sz w:val="20"/>
          <w:szCs w:val="20"/>
          <w:lang w:val="en-US"/>
        </w:rPr>
        <w:t>process phosphoric acid from impurities, it was treated with a threefold exces</w:t>
      </w:r>
      <w:r w:rsidR="000134D1">
        <w:rPr>
          <w:rFonts w:ascii="Arial" w:hAnsi="Arial" w:cs="Arial"/>
          <w:sz w:val="20"/>
          <w:szCs w:val="20"/>
          <w:lang w:val="en-US"/>
        </w:rPr>
        <w:t>s of a mixture containing 99.50% acetone and 99.00</w:t>
      </w:r>
      <w:r w:rsidRPr="000C11D8">
        <w:rPr>
          <w:rFonts w:ascii="Arial" w:hAnsi="Arial" w:cs="Arial"/>
          <w:sz w:val="20"/>
          <w:szCs w:val="20"/>
          <w:lang w:val="en-US"/>
        </w:rPr>
        <w:t>% ethanol. The resulting precipitates contained significant amounts of macronutrients - phosphorus, calcium, and magnesium oxides, which can be recommended for use as a phosphorus-calcium-magnesium (</w:t>
      </w:r>
      <w:proofErr w:type="spellStart"/>
      <w:r w:rsidRPr="000C11D8">
        <w:rPr>
          <w:rFonts w:ascii="Arial" w:hAnsi="Arial" w:cs="Arial"/>
          <w:sz w:val="20"/>
          <w:szCs w:val="20"/>
          <w:lang w:val="en-US"/>
        </w:rPr>
        <w:t>PCaMg</w:t>
      </w:r>
      <w:proofErr w:type="spellEnd"/>
      <w:r w:rsidRPr="000C11D8">
        <w:rPr>
          <w:rFonts w:ascii="Arial" w:hAnsi="Arial" w:cs="Arial"/>
          <w:sz w:val="20"/>
          <w:szCs w:val="20"/>
          <w:lang w:val="en-US"/>
        </w:rPr>
        <w:t xml:space="preserve">) fertilizer. Subsequently, </w:t>
      </w:r>
      <w:proofErr w:type="spellStart"/>
      <w:r w:rsidRPr="000C11D8">
        <w:rPr>
          <w:rFonts w:ascii="Arial" w:hAnsi="Arial" w:cs="Arial"/>
          <w:sz w:val="20"/>
          <w:szCs w:val="20"/>
          <w:lang w:val="en-US"/>
        </w:rPr>
        <w:t>ammoniation</w:t>
      </w:r>
      <w:proofErr w:type="spellEnd"/>
      <w:r w:rsidRPr="000C11D8">
        <w:rPr>
          <w:rFonts w:ascii="Arial" w:hAnsi="Arial" w:cs="Arial"/>
          <w:sz w:val="20"/>
          <w:szCs w:val="20"/>
          <w:lang w:val="en-US"/>
        </w:rPr>
        <w:t xml:space="preserve"> was conducted on the preliminary </w:t>
      </w:r>
      <w:proofErr w:type="spellStart"/>
      <w:r w:rsidRPr="000C11D8">
        <w:rPr>
          <w:rFonts w:ascii="Arial" w:hAnsi="Arial" w:cs="Arial"/>
          <w:sz w:val="20"/>
          <w:szCs w:val="20"/>
          <w:lang w:val="en-US"/>
        </w:rPr>
        <w:t>desulfated</w:t>
      </w:r>
      <w:proofErr w:type="spellEnd"/>
      <w:r w:rsidRPr="000C11D8">
        <w:rPr>
          <w:rFonts w:ascii="Arial" w:hAnsi="Arial" w:cs="Arial"/>
          <w:sz w:val="20"/>
          <w:szCs w:val="20"/>
          <w:lang w:val="en-US"/>
        </w:rPr>
        <w:t>, purified, and evaporated phosphoric acid with the follo</w:t>
      </w:r>
      <w:r w:rsidR="000134D1">
        <w:rPr>
          <w:rFonts w:ascii="Arial" w:hAnsi="Arial" w:cs="Arial"/>
          <w:sz w:val="20"/>
          <w:szCs w:val="20"/>
          <w:lang w:val="en-US"/>
        </w:rPr>
        <w:t>wing composition (wt. %): 45.65</w:t>
      </w:r>
      <w:r w:rsidRPr="000C11D8">
        <w:rPr>
          <w:rFonts w:ascii="Arial" w:hAnsi="Arial" w:cs="Arial"/>
          <w:sz w:val="20"/>
          <w:szCs w:val="20"/>
          <w:lang w:val="en-US"/>
        </w:rPr>
        <w:t xml:space="preserve">%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0.31% F, 0.54% MgO, 0.13% CaO, 0.05% Al</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0.04% Fe</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000134D1">
        <w:rPr>
          <w:rFonts w:ascii="Arial" w:hAnsi="Arial" w:cs="Arial"/>
          <w:sz w:val="20"/>
          <w:szCs w:val="20"/>
          <w:lang w:val="en-US"/>
        </w:rPr>
        <w:t>, 0.06</w:t>
      </w:r>
      <w:r w:rsidRPr="000C11D8">
        <w:rPr>
          <w:rFonts w:ascii="Arial" w:hAnsi="Arial" w:cs="Arial"/>
          <w:sz w:val="20"/>
          <w:szCs w:val="20"/>
          <w:lang w:val="en-US"/>
        </w:rPr>
        <w:t>% SO</w:t>
      </w:r>
      <w:r w:rsidRPr="000134D1">
        <w:rPr>
          <w:rFonts w:ascii="Arial" w:hAnsi="Arial" w:cs="Arial"/>
          <w:sz w:val="20"/>
          <w:szCs w:val="20"/>
          <w:vertAlign w:val="subscript"/>
          <w:lang w:val="en-US"/>
        </w:rPr>
        <w:t>3</w:t>
      </w:r>
      <w:r w:rsidRPr="000C11D8">
        <w:rPr>
          <w:rFonts w:ascii="Arial" w:hAnsi="Arial" w:cs="Arial"/>
          <w:sz w:val="20"/>
          <w:szCs w:val="20"/>
          <w:lang w:val="en-US"/>
        </w:rPr>
        <w:t xml:space="preserve"> and to a pH of 5.5 and 8.5 in order to obtain monoammonium phosphate (MAP) and diammonium phosphate (DAP), respectively. MAP contains 12.83% N and 61.10%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xml:space="preserve">, and DAP contains 19.26% N and 53.83%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Their salt composition was determined by X-ray and IR spectroscopic studies.</w:t>
      </w:r>
    </w:p>
    <w:p w14:paraId="6AFB5F95" w14:textId="77777777" w:rsidR="00670552" w:rsidRPr="00670552" w:rsidRDefault="00670552" w:rsidP="005A6B2C">
      <w:pPr>
        <w:pStyle w:val="a1"/>
        <w:rPr>
          <w:rFonts w:ascii="Arial" w:hAnsi="Arial" w:cs="Arial"/>
          <w:sz w:val="20"/>
          <w:szCs w:val="20"/>
        </w:rPr>
      </w:pPr>
    </w:p>
    <w:p w14:paraId="488EBEAE" w14:textId="77777777" w:rsidR="005C6437" w:rsidRPr="00670552" w:rsidRDefault="005A6B2C" w:rsidP="005A6B2C">
      <w:pPr>
        <w:pStyle w:val="a1"/>
        <w:rPr>
          <w:rFonts w:ascii="Arial" w:hAnsi="Arial" w:cs="Arial"/>
          <w:sz w:val="20"/>
          <w:szCs w:val="20"/>
          <w:lang w:val="uz-Cyrl-UZ"/>
        </w:rPr>
      </w:pPr>
      <w:r w:rsidRPr="00670552">
        <w:rPr>
          <w:rFonts w:ascii="Arial" w:hAnsi="Arial" w:cs="Arial"/>
          <w:sz w:val="20"/>
          <w:szCs w:val="20"/>
        </w:rPr>
        <w:t>Keywor</w:t>
      </w:r>
      <w:r w:rsidR="00E050E6">
        <w:rPr>
          <w:rFonts w:ascii="Arial" w:hAnsi="Arial" w:cs="Arial"/>
          <w:sz w:val="20"/>
          <w:szCs w:val="20"/>
        </w:rPr>
        <w:t xml:space="preserve">ds: </w:t>
      </w:r>
      <w:r w:rsidR="000C11D8" w:rsidRPr="000C11D8">
        <w:rPr>
          <w:rFonts w:ascii="Arial" w:hAnsi="Arial" w:cs="Arial"/>
          <w:sz w:val="20"/>
          <w:szCs w:val="20"/>
        </w:rPr>
        <w:t>calcium minerals, desulfurization, gypsum sludge, acetone, ethanol, purification, X-ray, IR spectroscopy.</w:t>
      </w:r>
    </w:p>
    <w:p w14:paraId="2735F440" w14:textId="77777777" w:rsidR="00FC3F95" w:rsidRDefault="00FC3F95">
      <w:pPr>
        <w:spacing w:after="0" w:line="240" w:lineRule="auto"/>
        <w:ind w:firstLine="567"/>
        <w:jc w:val="both"/>
        <w:rPr>
          <w:rFonts w:ascii="Times New Roman" w:eastAsia="Times New Roman" w:hAnsi="Times New Roman" w:cs="Times New Roman"/>
          <w:color w:val="333333"/>
          <w:sz w:val="28"/>
          <w:szCs w:val="28"/>
          <w:lang w:val="uz-Cyrl-UZ" w:eastAsia="ru-RU"/>
        </w:rPr>
      </w:pPr>
    </w:p>
    <w:p w14:paraId="5BE80953" w14:textId="4CF387F7" w:rsidR="00670552" w:rsidRDefault="0077607E" w:rsidP="00D46467">
      <w:pPr>
        <w:pStyle w:val="BodyText"/>
        <w:numPr>
          <w:ilvl w:val="0"/>
          <w:numId w:val="3"/>
        </w:numPr>
        <w:spacing w:after="0" w:line="240" w:lineRule="auto"/>
        <w:jc w:val="both"/>
        <w:rPr>
          <w:rFonts w:ascii="Arial" w:hAnsi="Arial" w:cs="Arial"/>
          <w:b/>
          <w:sz w:val="20"/>
          <w:szCs w:val="20"/>
          <w:shd w:val="clear" w:color="auto" w:fill="FFFFFF"/>
          <w:lang w:val="en-US"/>
        </w:rPr>
      </w:pPr>
      <w:r w:rsidRPr="00670552">
        <w:rPr>
          <w:rFonts w:ascii="Arial" w:hAnsi="Arial" w:cs="Arial"/>
          <w:b/>
          <w:sz w:val="20"/>
          <w:szCs w:val="20"/>
          <w:shd w:val="clear" w:color="auto" w:fill="FFFFFF"/>
          <w:lang w:val="en-US"/>
        </w:rPr>
        <w:t>Introduction</w:t>
      </w:r>
    </w:p>
    <w:p w14:paraId="6FBA9954" w14:textId="77777777" w:rsidR="00670552" w:rsidRPr="00670552" w:rsidRDefault="00670552" w:rsidP="00670552">
      <w:pPr>
        <w:pStyle w:val="BodyText"/>
        <w:spacing w:after="0" w:line="240" w:lineRule="auto"/>
        <w:ind w:firstLine="567"/>
        <w:jc w:val="both"/>
        <w:rPr>
          <w:rFonts w:ascii="Arial" w:hAnsi="Arial" w:cs="Arial"/>
          <w:b/>
          <w:sz w:val="20"/>
          <w:szCs w:val="20"/>
          <w:shd w:val="clear" w:color="auto" w:fill="FFFFFF"/>
          <w:lang w:val="en-US"/>
        </w:rPr>
      </w:pPr>
    </w:p>
    <w:p w14:paraId="64992619" w14:textId="77777777" w:rsidR="000C11D8" w:rsidRPr="000C11D8" w:rsidRDefault="000C11D8" w:rsidP="000C11D8">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Phosphoric acid is a versatile chemical compound with widespread applications across multiple industries, including pharmaceuticals, manufacturing, food processing, and as a cleaning agent. Additionally, it functions as a catalyst in various chemical reactions, such as dehydration, polymerization, and alkylation of hydrocarbons. In the food industry, orthophosphoric acid is designated as a food additive (E338) and is commonly used to regulate acidity in carbonated beverages, including popular soft drinks like Coca-Cola.</w:t>
      </w:r>
    </w:p>
    <w:p w14:paraId="62576D37" w14:textId="77777777" w:rsidR="000C11D8" w:rsidRPr="000C11D8" w:rsidRDefault="000C11D8" w:rsidP="000C11D8">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In Uzbekistan, JSC “</w:t>
      </w:r>
      <w:proofErr w:type="spellStart"/>
      <w:r w:rsidRPr="000C11D8">
        <w:rPr>
          <w:rFonts w:ascii="Arial" w:hAnsi="Arial" w:cs="Arial"/>
          <w:sz w:val="20"/>
          <w:szCs w:val="20"/>
          <w:shd w:val="clear" w:color="auto" w:fill="FFFFFF"/>
          <w:lang w:val="en-US"/>
        </w:rPr>
        <w:t>Ammofos</w:t>
      </w:r>
      <w:proofErr w:type="spellEnd"/>
      <w:r w:rsidRPr="000C11D8">
        <w:rPr>
          <w:rFonts w:ascii="Arial" w:hAnsi="Arial" w:cs="Arial"/>
          <w:sz w:val="20"/>
          <w:szCs w:val="20"/>
          <w:shd w:val="clear" w:color="auto" w:fill="FFFFFF"/>
          <w:lang w:val="en-US"/>
        </w:rPr>
        <w:t>-Maxam” processes phosphate concentrate, which undergoes washing and calcination, with an average phosphorus pentoxide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content of 26%. The company employs the dihydrate method to produce wet-process phosphoric acid (WPA),</w:t>
      </w:r>
      <w:r w:rsidR="00684ECA">
        <w:rPr>
          <w:rFonts w:ascii="Arial" w:hAnsi="Arial" w:cs="Arial"/>
          <w:sz w:val="20"/>
          <w:szCs w:val="20"/>
          <w:shd w:val="clear" w:color="auto" w:fill="FFFFFF"/>
          <w:lang w:val="en-US"/>
        </w:rPr>
        <w:t xml:space="preserve"> which typically contains 14-16</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along with impurities such as 0.3-0.8% MgO, 0.5-1.0% CaO, 0.5-1.0% Al</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w:t>
      </w:r>
      <w:r w:rsidRPr="00684ECA">
        <w:rPr>
          <w:rFonts w:ascii="Arial" w:hAnsi="Arial" w:cs="Arial"/>
          <w:sz w:val="20"/>
          <w:szCs w:val="20"/>
          <w:shd w:val="clear" w:color="auto" w:fill="FFFFFF"/>
          <w:vertAlign w:val="subscript"/>
          <w:lang w:val="en-US"/>
        </w:rPr>
        <w:t>3</w:t>
      </w:r>
      <w:r w:rsidRPr="000C11D8">
        <w:rPr>
          <w:rFonts w:ascii="Arial" w:hAnsi="Arial" w:cs="Arial"/>
          <w:sz w:val="20"/>
          <w:szCs w:val="20"/>
          <w:shd w:val="clear" w:color="auto" w:fill="FFFFFF"/>
          <w:lang w:val="en-US"/>
        </w:rPr>
        <w:t>, 1.5-2.0% Fe</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w:t>
      </w:r>
      <w:r w:rsidRPr="00684ECA">
        <w:rPr>
          <w:rFonts w:ascii="Arial" w:hAnsi="Arial" w:cs="Arial"/>
          <w:sz w:val="20"/>
          <w:szCs w:val="20"/>
          <w:shd w:val="clear" w:color="auto" w:fill="FFFFFF"/>
          <w:vertAlign w:val="subscript"/>
          <w:lang w:val="en-US"/>
        </w:rPr>
        <w:t>3</w:t>
      </w:r>
      <w:r w:rsidR="00684ECA">
        <w:rPr>
          <w:rFonts w:ascii="Arial" w:hAnsi="Arial" w:cs="Arial"/>
          <w:sz w:val="20"/>
          <w:szCs w:val="20"/>
          <w:shd w:val="clear" w:color="auto" w:fill="FFFFFF"/>
          <w:lang w:val="en-US"/>
        </w:rPr>
        <w:t>, and 2-3</w:t>
      </w:r>
      <w:r w:rsidRPr="000C11D8">
        <w:rPr>
          <w:rFonts w:ascii="Arial" w:hAnsi="Arial" w:cs="Arial"/>
          <w:sz w:val="20"/>
          <w:szCs w:val="20"/>
          <w:shd w:val="clear" w:color="auto" w:fill="FFFFFF"/>
          <w:lang w:val="en-US"/>
        </w:rPr>
        <w:t>% SO</w:t>
      </w:r>
      <w:r w:rsidRPr="00684ECA">
        <w:rPr>
          <w:rFonts w:ascii="Arial" w:hAnsi="Arial" w:cs="Arial"/>
          <w:sz w:val="20"/>
          <w:szCs w:val="20"/>
          <w:shd w:val="clear" w:color="auto" w:fill="FFFFFF"/>
          <w:vertAlign w:val="subscript"/>
          <w:lang w:val="en-US"/>
        </w:rPr>
        <w:t>3</w:t>
      </w:r>
      <w:r w:rsidRPr="000C11D8">
        <w:rPr>
          <w:rFonts w:ascii="Arial" w:hAnsi="Arial" w:cs="Arial"/>
          <w:sz w:val="20"/>
          <w:szCs w:val="20"/>
          <w:shd w:val="clear" w:color="auto" w:fill="FFFFFF"/>
          <w:lang w:val="en-US"/>
        </w:rPr>
        <w:t>. This WPA is further utilized in the synthesis of ammonium phosphate fertilizers. According to the technical specifications (TS 6.6-09:2008), the ammonium p</w:t>
      </w:r>
      <w:r w:rsidR="00684ECA">
        <w:rPr>
          <w:rFonts w:ascii="Arial" w:hAnsi="Arial" w:cs="Arial"/>
          <w:sz w:val="20"/>
          <w:szCs w:val="20"/>
          <w:shd w:val="clear" w:color="auto" w:fill="FFFFFF"/>
          <w:lang w:val="en-US"/>
        </w:rPr>
        <w:t>hosphate produced contains 46±1</w:t>
      </w:r>
      <w:r w:rsidRPr="000C11D8">
        <w:rPr>
          <w:rFonts w:ascii="Arial" w:hAnsi="Arial" w:cs="Arial"/>
          <w:sz w:val="20"/>
          <w:szCs w:val="20"/>
          <w:shd w:val="clear" w:color="auto" w:fill="FFFFFF"/>
          <w:lang w:val="en-US"/>
        </w:rPr>
        <w:t xml:space="preserve">% available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33-43% water-soluble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11±1% nitrogen (N), and up to 1.0% moisture (H</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 with a minimum granule strength of 3.0</w:t>
      </w:r>
      <w:r w:rsidR="00684ECA">
        <w:rPr>
          <w:rFonts w:ascii="Arial" w:hAnsi="Arial" w:cs="Arial"/>
          <w:sz w:val="20"/>
          <w:szCs w:val="20"/>
          <w:shd w:val="clear" w:color="auto" w:fill="FFFFFF"/>
          <w:lang w:val="en-US"/>
        </w:rPr>
        <w:t xml:space="preserve"> </w:t>
      </w:r>
      <w:r w:rsidRPr="000C11D8">
        <w:rPr>
          <w:rFonts w:ascii="Arial" w:hAnsi="Arial" w:cs="Arial"/>
          <w:sz w:val="20"/>
          <w:szCs w:val="20"/>
          <w:shd w:val="clear" w:color="auto" w:fill="FFFFFF"/>
          <w:lang w:val="en-US"/>
        </w:rPr>
        <w:t xml:space="preserve">MPa. However, the product demonstrates incomplete water solubility, with the proportion of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xml:space="preserve"> to total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tot.</w:t>
      </w:r>
      <w:r w:rsidR="00684ECA">
        <w:rPr>
          <w:rFonts w:ascii="Arial" w:hAnsi="Arial" w:cs="Arial"/>
          <w:sz w:val="20"/>
          <w:szCs w:val="20"/>
          <w:shd w:val="clear" w:color="auto" w:fill="FFFFFF"/>
          <w:lang w:val="en-US"/>
        </w:rPr>
        <w:t>) being less than 80</w:t>
      </w:r>
      <w:r w:rsidRPr="000C11D8">
        <w:rPr>
          <w:rFonts w:ascii="Arial" w:hAnsi="Arial" w:cs="Arial"/>
          <w:sz w:val="20"/>
          <w:szCs w:val="20"/>
          <w:shd w:val="clear" w:color="auto" w:fill="FFFFFF"/>
          <w:lang w:val="en-US"/>
        </w:rPr>
        <w:t>%. This limitation is primarily due to the presence of various non-reactive impurities in the WPA, which negatively impact the product's solubility and overall quality.</w:t>
      </w:r>
    </w:p>
    <w:p w14:paraId="4F05B28B" w14:textId="77777777" w:rsidR="000C11D8" w:rsidRPr="000C11D8" w:rsidRDefault="000C11D8" w:rsidP="000C11D8">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Thus, there is a critical need to refine WPA to produce high-quality ammonium phosphates that comply with international standards. This entails maximizing the content of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xml:space="preserve"> while minimizing impurities [1, 2]. Various methods for purifying WPA from impurities have been documented in the literature, including evaporation, precipitation, neutralization with ammonia, ion exchange, sorption using adsorbents, and extraction with organic solvents [3-10].</w:t>
      </w:r>
    </w:p>
    <w:p w14:paraId="289F56FD" w14:textId="77777777" w:rsidR="000C11D8" w:rsidRPr="000C11D8" w:rsidRDefault="000C11D8" w:rsidP="000C11D8">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In industrial settings, WPA purification facilities that process phosphoric acid derived from the sulfuric acid decomposition of apatite concentrate have encountered challenges with the extractant tributyl phosphate (TBP). Over time, TBP becomes contaminated with organic compounds, including humic acids-complex nitrogen-containing, high-molecular-weight </w:t>
      </w:r>
      <w:proofErr w:type="spellStart"/>
      <w:r w:rsidRPr="000C11D8">
        <w:rPr>
          <w:rFonts w:ascii="Arial" w:hAnsi="Arial" w:cs="Arial"/>
          <w:sz w:val="20"/>
          <w:szCs w:val="20"/>
          <w:shd w:val="clear" w:color="auto" w:fill="FFFFFF"/>
          <w:lang w:val="en-US"/>
        </w:rPr>
        <w:t>oxycarboxylic</w:t>
      </w:r>
      <w:proofErr w:type="spellEnd"/>
      <w:r w:rsidRPr="000C11D8">
        <w:rPr>
          <w:rFonts w:ascii="Arial" w:hAnsi="Arial" w:cs="Arial"/>
          <w:sz w:val="20"/>
          <w:szCs w:val="20"/>
          <w:shd w:val="clear" w:color="auto" w:fill="FFFFFF"/>
          <w:lang w:val="en-US"/>
        </w:rPr>
        <w:t xml:space="preserve"> acids [11, 12]. This contamination degrades hydrodynamic conditions in pulsed columns, leading to reduced efficiency and operational issues such as </w:t>
      </w:r>
      <w:r w:rsidRPr="000C11D8">
        <w:rPr>
          <w:rFonts w:ascii="Arial" w:hAnsi="Arial" w:cs="Arial"/>
          <w:sz w:val="20"/>
          <w:szCs w:val="20"/>
          <w:shd w:val="clear" w:color="auto" w:fill="FFFFFF"/>
          <w:lang w:val="en-US"/>
        </w:rPr>
        <w:lastRenderedPageBreak/>
        <w:t>column flooding. To address this, a patented method involv</w:t>
      </w:r>
      <w:r w:rsidR="006C0B71">
        <w:rPr>
          <w:rFonts w:ascii="Arial" w:hAnsi="Arial" w:cs="Arial"/>
          <w:sz w:val="20"/>
          <w:szCs w:val="20"/>
          <w:shd w:val="clear" w:color="auto" w:fill="FFFFFF"/>
          <w:lang w:val="en-US"/>
        </w:rPr>
        <w:t>es pre-washing TBP with a 10-15</w:t>
      </w:r>
      <w:r w:rsidRPr="000C11D8">
        <w:rPr>
          <w:rFonts w:ascii="Arial" w:hAnsi="Arial" w:cs="Arial"/>
          <w:sz w:val="20"/>
          <w:szCs w:val="20"/>
          <w:shd w:val="clear" w:color="auto" w:fill="FFFFFF"/>
          <w:lang w:val="en-US"/>
        </w:rPr>
        <w:t>% alkali solution at 50°C before the extraction stage. This step not only minimizes extractant losses and improves hydrodynamic performance but also facilitates the recovery of sodium phosphate solutions. Despite these improvements, the industrial purification process using TBP requires additional steps to remove fluorine and residual TBP, typically achieved through concentration under conditions of intense heat and mass transfer [13-16].</w:t>
      </w:r>
    </w:p>
    <w:p w14:paraId="03D8EF3F" w14:textId="77777777" w:rsidR="000C11D8" w:rsidRPr="000C11D8" w:rsidRDefault="000C11D8" w:rsidP="000C11D8">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However, the high cost of TBP renders the process economically challenging, particularly in regions like Uzbekistan, where TBP is not locally produced. Consequently, there is a need to explore more cost-effective and readily available organic extractants. </w:t>
      </w:r>
    </w:p>
    <w:p w14:paraId="345EF45E" w14:textId="77777777" w:rsidR="0072603F" w:rsidRDefault="000C11D8" w:rsidP="007B2260">
      <w:pPr>
        <w:pStyle w:val="BodyText"/>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In this regard, acetic acid, acetone, and ethanol present promising alternatives. Acetic acid is produced at JSC “</w:t>
      </w:r>
      <w:proofErr w:type="spellStart"/>
      <w:r w:rsidRPr="000C11D8">
        <w:rPr>
          <w:rFonts w:ascii="Arial" w:hAnsi="Arial" w:cs="Arial"/>
          <w:sz w:val="20"/>
          <w:szCs w:val="20"/>
          <w:shd w:val="clear" w:color="auto" w:fill="FFFFFF"/>
          <w:lang w:val="en-US"/>
        </w:rPr>
        <w:t>Navoiyazot</w:t>
      </w:r>
      <w:proofErr w:type="spellEnd"/>
      <w:r w:rsidRPr="000C11D8">
        <w:rPr>
          <w:rFonts w:ascii="Arial" w:hAnsi="Arial" w:cs="Arial"/>
          <w:sz w:val="20"/>
          <w:szCs w:val="20"/>
          <w:shd w:val="clear" w:color="auto" w:fill="FFFFFF"/>
          <w:lang w:val="en-US"/>
        </w:rPr>
        <w:t>” with an annual capacity of 25,000 tons, while acetone is also manufactured at the same facility. Ethanol, on the other hand, is widely produced by various enterprises across the country. These extractants are advantageous due to their ease of regeneration and ability to be reintroduced into the purification cycle, enabling multiple reuse cycles and enhancing the sustainability of the process.</w:t>
      </w:r>
    </w:p>
    <w:p w14:paraId="547D5D39" w14:textId="77777777" w:rsidR="0077607E" w:rsidRDefault="0077607E" w:rsidP="007B2260">
      <w:pPr>
        <w:pStyle w:val="BodyText"/>
        <w:spacing w:after="0" w:line="240" w:lineRule="auto"/>
        <w:ind w:firstLine="567"/>
        <w:jc w:val="both"/>
        <w:rPr>
          <w:rFonts w:ascii="Arial" w:hAnsi="Arial" w:cs="Arial"/>
          <w:sz w:val="20"/>
          <w:szCs w:val="20"/>
          <w:shd w:val="clear" w:color="auto" w:fill="FFFFFF"/>
          <w:lang w:val="en-US"/>
        </w:rPr>
      </w:pPr>
    </w:p>
    <w:p w14:paraId="61B081B8" w14:textId="77777777" w:rsidR="0077607E" w:rsidRDefault="0077607E" w:rsidP="007B2260">
      <w:pPr>
        <w:pStyle w:val="BodyText"/>
        <w:spacing w:after="0" w:line="240" w:lineRule="auto"/>
        <w:ind w:firstLine="567"/>
        <w:jc w:val="both"/>
        <w:rPr>
          <w:rFonts w:ascii="Arial" w:hAnsi="Arial" w:cs="Arial"/>
          <w:sz w:val="20"/>
          <w:szCs w:val="20"/>
          <w:shd w:val="clear" w:color="auto" w:fill="FFFFFF"/>
          <w:lang w:val="en-US"/>
        </w:rPr>
      </w:pPr>
    </w:p>
    <w:p w14:paraId="3BE9E226" w14:textId="77777777" w:rsidR="0077607E" w:rsidRDefault="0077607E" w:rsidP="007B2260">
      <w:pPr>
        <w:pStyle w:val="BodyText"/>
        <w:spacing w:after="0" w:line="240" w:lineRule="auto"/>
        <w:ind w:firstLine="567"/>
        <w:jc w:val="both"/>
        <w:rPr>
          <w:rFonts w:ascii="Arial" w:eastAsia="Times New Roman" w:hAnsi="Arial" w:cs="Arial"/>
          <w:sz w:val="20"/>
          <w:szCs w:val="20"/>
          <w:lang w:val="en-US" w:eastAsia="ru-RU"/>
        </w:rPr>
      </w:pPr>
    </w:p>
    <w:p w14:paraId="39D181A1" w14:textId="77777777" w:rsidR="00D46467" w:rsidRPr="0072603F" w:rsidRDefault="00D46467" w:rsidP="00670552">
      <w:pPr>
        <w:spacing w:after="0" w:line="240" w:lineRule="auto"/>
        <w:ind w:firstLine="567"/>
        <w:jc w:val="both"/>
        <w:textAlignment w:val="baseline"/>
        <w:rPr>
          <w:rFonts w:ascii="Arial" w:eastAsia="Times New Roman" w:hAnsi="Arial" w:cs="Arial"/>
          <w:sz w:val="20"/>
          <w:szCs w:val="20"/>
          <w:lang w:val="en-US" w:eastAsia="ru-RU"/>
        </w:rPr>
      </w:pPr>
    </w:p>
    <w:p w14:paraId="3566E245" w14:textId="77777777" w:rsidR="00D46467" w:rsidRDefault="00D46467" w:rsidP="00D46467">
      <w:pPr>
        <w:pStyle w:val="PlainText"/>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4703304E" w14:textId="77777777" w:rsidR="00D46467" w:rsidRPr="00D46467" w:rsidRDefault="00D46467" w:rsidP="00D46467">
      <w:pPr>
        <w:pStyle w:val="PlainText"/>
        <w:spacing w:line="240" w:lineRule="auto"/>
        <w:ind w:left="927" w:firstLine="0"/>
        <w:rPr>
          <w:rFonts w:ascii="Arial" w:hAnsi="Arial" w:cs="Arial"/>
          <w:b/>
          <w:lang w:val="en-US"/>
        </w:rPr>
      </w:pPr>
    </w:p>
    <w:p w14:paraId="606105DD" w14:textId="77777777" w:rsidR="007B2260" w:rsidRPr="007B2260" w:rsidRDefault="007B2260" w:rsidP="007B2260">
      <w:pPr>
        <w:pStyle w:val="PlainText"/>
        <w:spacing w:line="240" w:lineRule="auto"/>
        <w:rPr>
          <w:rFonts w:ascii="Arial" w:hAnsi="Arial" w:cs="Arial"/>
          <w:lang w:val="uz-Cyrl-UZ"/>
        </w:rPr>
      </w:pPr>
      <w:r w:rsidRPr="007B2260">
        <w:rPr>
          <w:rFonts w:ascii="Arial" w:hAnsi="Arial" w:cs="Arial"/>
          <w:lang w:val="uz-Cyrl-UZ"/>
        </w:rPr>
        <w:t xml:space="preserve">In order to determine the optimal conditions for the purification of WPA from sulfate ions, laboratory experiments were conducted across a wide range of precipitant dosages </w:t>
      </w:r>
      <w:r w:rsidR="006C0B71">
        <w:rPr>
          <w:rFonts w:ascii="Arial" w:hAnsi="Arial" w:cs="Arial"/>
          <w:lang w:val="uz-Cyrl-UZ"/>
        </w:rPr>
        <w:t>(100-150</w:t>
      </w:r>
      <w:r w:rsidRPr="007B2260">
        <w:rPr>
          <w:rFonts w:ascii="Arial" w:hAnsi="Arial" w:cs="Arial"/>
          <w:lang w:val="uz-Cyrl-UZ"/>
        </w:rPr>
        <w:t>% of the stoichiometric amount required to bind H</w:t>
      </w:r>
      <w:r w:rsidRPr="00684ECA">
        <w:rPr>
          <w:rFonts w:ascii="Arial" w:hAnsi="Arial" w:cs="Arial"/>
          <w:vertAlign w:val="subscript"/>
          <w:lang w:val="uz-Cyrl-UZ"/>
        </w:rPr>
        <w:t>2</w:t>
      </w:r>
      <w:r w:rsidRPr="007B2260">
        <w:rPr>
          <w:rFonts w:ascii="Arial" w:hAnsi="Arial" w:cs="Arial"/>
          <w:lang w:val="uz-Cyrl-UZ"/>
        </w:rPr>
        <w:t>SO</w:t>
      </w:r>
      <w:r w:rsidRPr="00684ECA">
        <w:rPr>
          <w:rFonts w:ascii="Arial" w:hAnsi="Arial" w:cs="Arial"/>
          <w:vertAlign w:val="subscript"/>
          <w:lang w:val="uz-Cyrl-UZ"/>
        </w:rPr>
        <w:t>4</w:t>
      </w:r>
      <w:r w:rsidRPr="007B2260">
        <w:rPr>
          <w:rFonts w:ascii="Arial" w:hAnsi="Arial" w:cs="Arial"/>
          <w:lang w:val="uz-Cyrl-UZ"/>
        </w:rPr>
        <w:t xml:space="preserve"> into CaSO</w:t>
      </w:r>
      <w:r w:rsidRPr="00684ECA">
        <w:rPr>
          <w:rFonts w:ascii="Arial" w:hAnsi="Arial" w:cs="Arial"/>
          <w:vertAlign w:val="subscript"/>
          <w:lang w:val="uz-Cyrl-UZ"/>
        </w:rPr>
        <w:t>4</w:t>
      </w:r>
      <w:r w:rsidRPr="007B2260">
        <w:rPr>
          <w:rFonts w:ascii="Arial" w:hAnsi="Arial" w:cs="Arial"/>
          <w:lang w:val="uz-Cyrl-UZ"/>
        </w:rPr>
        <w:t>). Shortly, the initial WPA was placed into a reactor equipped with a screw stirrer and hea</w:t>
      </w:r>
      <w:r w:rsidR="00684ECA">
        <w:rPr>
          <w:rFonts w:ascii="Arial" w:hAnsi="Arial" w:cs="Arial"/>
          <w:lang w:val="uz-Cyrl-UZ"/>
        </w:rPr>
        <w:t>ted in a water thermostat to 80</w:t>
      </w:r>
      <w:r w:rsidRPr="007B2260">
        <w:rPr>
          <w:rFonts w:ascii="Arial" w:hAnsi="Arial" w:cs="Arial"/>
          <w:lang w:val="uz-Cyrl-UZ"/>
        </w:rPr>
        <w:t>°C. Then, the calculated amount of precipitant was gradually added. The duration of desulfation was 15 minutes. After this time, the reactor contents were left to settle for 30 minutes at 60-65°C. The suspension was then separated from the precipitate by filtration using a Büchner funnel and a Buchner flask, un</w:t>
      </w:r>
      <w:r w:rsidR="00684ECA">
        <w:rPr>
          <w:rFonts w:ascii="Arial" w:hAnsi="Arial" w:cs="Arial"/>
          <w:lang w:val="uz-Cyrl-UZ"/>
        </w:rPr>
        <w:t xml:space="preserve">der a vacuum of 0.65 mm </w:t>
      </w:r>
      <w:r w:rsidRPr="007B2260">
        <w:rPr>
          <w:rFonts w:ascii="Arial" w:hAnsi="Arial" w:cs="Arial"/>
          <w:lang w:val="uz-Cyrl-UZ"/>
        </w:rPr>
        <w:t>Hg, through a single layer of “white” filter paper. The precipitate was washed with water, followed b</w:t>
      </w:r>
      <w:r w:rsidR="00684ECA">
        <w:rPr>
          <w:rFonts w:ascii="Arial" w:hAnsi="Arial" w:cs="Arial"/>
          <w:lang w:val="uz-Cyrl-UZ"/>
        </w:rPr>
        <w:t>y acetone, and then dried at 80</w:t>
      </w:r>
      <w:r w:rsidRPr="007B2260">
        <w:rPr>
          <w:rFonts w:ascii="Arial" w:hAnsi="Arial" w:cs="Arial"/>
          <w:lang w:val="uz-Cyrl-UZ"/>
        </w:rPr>
        <w:t>°C.</w:t>
      </w:r>
    </w:p>
    <w:p w14:paraId="052ACDD9" w14:textId="77777777" w:rsidR="007B2260" w:rsidRPr="007B2260" w:rsidRDefault="007B2260" w:rsidP="007B2260">
      <w:pPr>
        <w:pStyle w:val="PlainText"/>
        <w:spacing w:line="240" w:lineRule="auto"/>
        <w:rPr>
          <w:rFonts w:ascii="Arial" w:hAnsi="Arial" w:cs="Arial"/>
          <w:lang w:val="uz-Cyrl-UZ"/>
        </w:rPr>
      </w:pPr>
      <w:r w:rsidRPr="007B2260">
        <w:rPr>
          <w:rFonts w:ascii="Arial" w:hAnsi="Arial" w:cs="Arial"/>
          <w:lang w:val="uz-Cyrl-UZ"/>
        </w:rPr>
        <w:t>To identify the optimal conditions for removing sulfate ions from WPA, a series of laboratory experiments were conducted. These experiments explored a wide range of precip</w:t>
      </w:r>
      <w:r w:rsidR="00684ECA">
        <w:rPr>
          <w:rFonts w:ascii="Arial" w:hAnsi="Arial" w:cs="Arial"/>
          <w:lang w:val="uz-Cyrl-UZ"/>
        </w:rPr>
        <w:t>itant dosages, varying from 100</w:t>
      </w:r>
      <w:r w:rsidRPr="007B2260">
        <w:rPr>
          <w:rFonts w:ascii="Arial" w:hAnsi="Arial" w:cs="Arial"/>
          <w:lang w:val="uz-Cyrl-UZ"/>
        </w:rPr>
        <w:t>% to 150% of the stoichiometric amount required to convert sulfuric acid (H</w:t>
      </w:r>
      <w:r w:rsidRPr="00684ECA">
        <w:rPr>
          <w:rFonts w:ascii="Arial" w:hAnsi="Arial" w:cs="Arial"/>
          <w:vertAlign w:val="subscript"/>
          <w:lang w:val="uz-Cyrl-UZ"/>
        </w:rPr>
        <w:t>2</w:t>
      </w:r>
      <w:r w:rsidRPr="007B2260">
        <w:rPr>
          <w:rFonts w:ascii="Arial" w:hAnsi="Arial" w:cs="Arial"/>
          <w:lang w:val="uz-Cyrl-UZ"/>
        </w:rPr>
        <w:t>SO</w:t>
      </w:r>
      <w:r w:rsidRPr="00684ECA">
        <w:rPr>
          <w:rFonts w:ascii="Arial" w:hAnsi="Arial" w:cs="Arial"/>
          <w:vertAlign w:val="subscript"/>
          <w:lang w:val="uz-Cyrl-UZ"/>
        </w:rPr>
        <w:t>4</w:t>
      </w:r>
      <w:r w:rsidRPr="007B2260">
        <w:rPr>
          <w:rFonts w:ascii="Arial" w:hAnsi="Arial" w:cs="Arial"/>
          <w:lang w:val="uz-Cyrl-UZ"/>
        </w:rPr>
        <w:t>) into calcium sulfate (CaSO</w:t>
      </w:r>
      <w:r w:rsidRPr="00684ECA">
        <w:rPr>
          <w:rFonts w:ascii="Arial" w:hAnsi="Arial" w:cs="Arial"/>
          <w:vertAlign w:val="subscript"/>
          <w:lang w:val="uz-Cyrl-UZ"/>
        </w:rPr>
        <w:t>4</w:t>
      </w:r>
      <w:r w:rsidRPr="007B2260">
        <w:rPr>
          <w:rFonts w:ascii="Arial" w:hAnsi="Arial" w:cs="Arial"/>
          <w:lang w:val="uz-Cyrl-UZ"/>
        </w:rPr>
        <w:t>). The experimental procedure was as follows: the initial WPA sample was placed in a reactor equipped with a screw stirrer and heated to 80°C using a water thermostat. The predetermined amount of precipitant was then gradually introduced into the reactor. The desulfation process was carried out for 15 minutes under continuous stirring. After completion, the mixture was allowed to settle for 30 minutes at a te</w:t>
      </w:r>
      <w:r w:rsidR="00684ECA">
        <w:rPr>
          <w:rFonts w:ascii="Arial" w:hAnsi="Arial" w:cs="Arial"/>
          <w:lang w:val="uz-Cyrl-UZ"/>
        </w:rPr>
        <w:t>mperature maintained between 60</w:t>
      </w:r>
      <w:r w:rsidRPr="007B2260">
        <w:rPr>
          <w:rFonts w:ascii="Arial" w:hAnsi="Arial" w:cs="Arial"/>
          <w:lang w:val="uz-Cyrl-UZ"/>
        </w:rPr>
        <w:t>°C and 65°C. Following the settling period, the suspension was separated from the precipitate through filtration. This was achieved using a Büchner funnel and a Büchner flask under a vacuum pressure of 0.65 mm Hg. A single layer of "white" filter paper was used for the filtration process. The collected precipitate was subsequently washed with water, followed by acetone, to remove any residual impurities. Finally, the was</w:t>
      </w:r>
      <w:r w:rsidR="00684ECA">
        <w:rPr>
          <w:rFonts w:ascii="Arial" w:hAnsi="Arial" w:cs="Arial"/>
          <w:lang w:val="uz-Cyrl-UZ"/>
        </w:rPr>
        <w:t>hed precipitate was dried at 80</w:t>
      </w:r>
      <w:r w:rsidRPr="007B2260">
        <w:rPr>
          <w:rFonts w:ascii="Arial" w:hAnsi="Arial" w:cs="Arial"/>
          <w:lang w:val="uz-Cyrl-UZ"/>
        </w:rPr>
        <w:t>°C to obtain the final product.</w:t>
      </w:r>
    </w:p>
    <w:p w14:paraId="5627BA26" w14:textId="77777777" w:rsidR="007B2260" w:rsidRPr="007B2260" w:rsidRDefault="007B2260" w:rsidP="007B2260">
      <w:pPr>
        <w:pStyle w:val="PlainText"/>
        <w:spacing w:line="240" w:lineRule="auto"/>
        <w:rPr>
          <w:rFonts w:ascii="Arial" w:hAnsi="Arial" w:cs="Arial"/>
          <w:lang w:val="uz-Cyrl-UZ"/>
        </w:rPr>
      </w:pPr>
      <w:r w:rsidRPr="007B2260">
        <w:rPr>
          <w:rFonts w:ascii="Arial" w:hAnsi="Arial" w:cs="Arial"/>
          <w:lang w:val="uz-Cyrl-UZ"/>
        </w:rPr>
        <w:t>The chemical composition of both the initial and desulfated WPA, as well as the precipitate obtained during the process, was meticulously analyzed using standardized methodologies referenced in [17]. To determine the concentrations of magnesium oxide (MgO) and calcium oxide (CaO), a volumetric complexometric titration method was employed. This involved titrating the samples with a 0.05 N solution of ethylenediaminetetraacetic acid (EDTA), using fluorexon and Eriochrome Black T as indicators to accurately identify the titration endpoints.</w:t>
      </w:r>
    </w:p>
    <w:p w14:paraId="4D1D261C" w14:textId="77777777" w:rsidR="007B2260" w:rsidRPr="007B2260" w:rsidRDefault="007B2260" w:rsidP="007B2260">
      <w:pPr>
        <w:pStyle w:val="PlainText"/>
        <w:spacing w:line="240" w:lineRule="auto"/>
        <w:rPr>
          <w:rFonts w:ascii="Arial" w:hAnsi="Arial" w:cs="Arial"/>
          <w:lang w:val="uz-Cyrl-UZ"/>
        </w:rPr>
      </w:pPr>
      <w:r w:rsidRPr="007B2260">
        <w:rPr>
          <w:rFonts w:ascii="Arial" w:hAnsi="Arial" w:cs="Arial"/>
          <w:lang w:val="uz-Cyrl-UZ"/>
        </w:rPr>
        <w:t xml:space="preserve">The phosphorus pentoxide content was quantified using a differential spectrophotometric method, a well-established technique for analyzing phosphate ores and phosphorus-containing fertilizers. Measurements were conducted using a UV-1900i spectrophotometer at a wavelength of 440 nm (λ = 440 nm), where the absorbance of the phosphovanadomolybdate complex was recorded to determine </w:t>
      </w:r>
      <w:r w:rsidR="00684ECA" w:rsidRPr="000C11D8">
        <w:rPr>
          <w:rFonts w:ascii="Arial" w:hAnsi="Arial" w:cs="Arial"/>
          <w:lang w:val="en-US"/>
        </w:rPr>
        <w:t>P</w:t>
      </w:r>
      <w:r w:rsidR="00684ECA" w:rsidRPr="000134D1">
        <w:rPr>
          <w:rFonts w:ascii="Arial" w:hAnsi="Arial" w:cs="Arial"/>
          <w:vertAlign w:val="subscript"/>
          <w:lang w:val="en-US"/>
        </w:rPr>
        <w:t>2</w:t>
      </w:r>
      <w:r w:rsidR="00684ECA" w:rsidRPr="000C11D8">
        <w:rPr>
          <w:rFonts w:ascii="Arial" w:hAnsi="Arial" w:cs="Arial"/>
          <w:lang w:val="en-US"/>
        </w:rPr>
        <w:t>O</w:t>
      </w:r>
      <w:r w:rsidR="00684ECA" w:rsidRPr="000134D1">
        <w:rPr>
          <w:rFonts w:ascii="Arial" w:hAnsi="Arial" w:cs="Arial"/>
          <w:vertAlign w:val="subscript"/>
          <w:lang w:val="en-US"/>
        </w:rPr>
        <w:t>5</w:t>
      </w:r>
      <w:r w:rsidRPr="007B2260">
        <w:rPr>
          <w:rFonts w:ascii="Arial" w:hAnsi="Arial" w:cs="Arial"/>
          <w:lang w:val="uz-Cyrl-UZ"/>
        </w:rPr>
        <w:t xml:space="preserve"> concentration.</w:t>
      </w:r>
    </w:p>
    <w:p w14:paraId="724BE5FF" w14:textId="77777777" w:rsidR="007B2260" w:rsidRPr="007B2260" w:rsidRDefault="007B2260" w:rsidP="007B2260">
      <w:pPr>
        <w:pStyle w:val="PlainText"/>
        <w:spacing w:line="240" w:lineRule="auto"/>
        <w:rPr>
          <w:rFonts w:ascii="Arial" w:hAnsi="Arial" w:cs="Arial"/>
          <w:lang w:val="uz-Cyrl-UZ"/>
        </w:rPr>
      </w:pPr>
      <w:r w:rsidRPr="007B2260">
        <w:rPr>
          <w:rFonts w:ascii="Arial" w:hAnsi="Arial" w:cs="Arial"/>
          <w:lang w:val="uz-Cyrl-UZ"/>
        </w:rPr>
        <w:t>For the analysis of aluminum oxide (Al</w:t>
      </w:r>
      <w:r w:rsidRPr="00684ECA">
        <w:rPr>
          <w:rFonts w:ascii="Arial" w:hAnsi="Arial" w:cs="Arial"/>
          <w:vertAlign w:val="subscript"/>
          <w:lang w:val="uz-Cyrl-UZ"/>
        </w:rPr>
        <w:t>2</w:t>
      </w:r>
      <w:r w:rsidRPr="007B2260">
        <w:rPr>
          <w:rFonts w:ascii="Arial" w:hAnsi="Arial" w:cs="Arial"/>
          <w:lang w:val="uz-Cyrl-UZ"/>
        </w:rPr>
        <w:t>O</w:t>
      </w:r>
      <w:r w:rsidRPr="00684ECA">
        <w:rPr>
          <w:rFonts w:ascii="Arial" w:hAnsi="Arial" w:cs="Arial"/>
          <w:vertAlign w:val="subscript"/>
          <w:lang w:val="uz-Cyrl-UZ"/>
        </w:rPr>
        <w:t>3</w:t>
      </w:r>
      <w:r w:rsidRPr="007B2260">
        <w:rPr>
          <w:rFonts w:ascii="Arial" w:hAnsi="Arial" w:cs="Arial"/>
          <w:lang w:val="uz-Cyrl-UZ"/>
        </w:rPr>
        <w:t>) and iron oxide (Fe</w:t>
      </w:r>
      <w:r w:rsidRPr="00684ECA">
        <w:rPr>
          <w:rFonts w:ascii="Arial" w:hAnsi="Arial" w:cs="Arial"/>
          <w:vertAlign w:val="subscript"/>
          <w:lang w:val="uz-Cyrl-UZ"/>
        </w:rPr>
        <w:t>2</w:t>
      </w:r>
      <w:r w:rsidRPr="007B2260">
        <w:rPr>
          <w:rFonts w:ascii="Arial" w:hAnsi="Arial" w:cs="Arial"/>
          <w:lang w:val="uz-Cyrl-UZ"/>
        </w:rPr>
        <w:t>O</w:t>
      </w:r>
      <w:r w:rsidRPr="00684ECA">
        <w:rPr>
          <w:rFonts w:ascii="Arial" w:hAnsi="Arial" w:cs="Arial"/>
          <w:vertAlign w:val="subscript"/>
          <w:lang w:val="uz-Cyrl-UZ"/>
        </w:rPr>
        <w:t>3</w:t>
      </w:r>
      <w:r w:rsidRPr="007B2260">
        <w:rPr>
          <w:rFonts w:ascii="Arial" w:hAnsi="Arial" w:cs="Arial"/>
          <w:lang w:val="uz-Cyrl-UZ"/>
        </w:rPr>
        <w:t>), a complexometric approach was utilized, ensuring precise quantification of these metal oxides. Sulfate ions (SO</w:t>
      </w:r>
      <w:r w:rsidRPr="00684ECA">
        <w:rPr>
          <w:rFonts w:ascii="Arial" w:hAnsi="Arial" w:cs="Arial"/>
          <w:vertAlign w:val="subscript"/>
          <w:lang w:val="uz-Cyrl-UZ"/>
        </w:rPr>
        <w:t>3</w:t>
      </w:r>
      <w:r w:rsidRPr="007B2260">
        <w:rPr>
          <w:rFonts w:ascii="Arial" w:hAnsi="Arial" w:cs="Arial"/>
          <w:lang w:val="uz-Cyrl-UZ"/>
        </w:rPr>
        <w:t>) were measured gravimetrically by precipitating them as barium sulfate (BaSO</w:t>
      </w:r>
      <w:r w:rsidRPr="00684ECA">
        <w:rPr>
          <w:rFonts w:ascii="Arial" w:hAnsi="Arial" w:cs="Arial"/>
          <w:vertAlign w:val="subscript"/>
          <w:lang w:val="uz-Cyrl-UZ"/>
        </w:rPr>
        <w:t>4</w:t>
      </w:r>
      <w:r w:rsidRPr="007B2260">
        <w:rPr>
          <w:rFonts w:ascii="Arial" w:hAnsi="Arial" w:cs="Arial"/>
          <w:lang w:val="uz-Cyrl-UZ"/>
        </w:rPr>
        <w:t>), followed by careful weighing of the precipitate to determine sulfate content. Fluoride ions were analyzed potentiometrically using a fluoride-selective electrode, which provided high sensitivity and accuracy in detecting fluoride concentrations.</w:t>
      </w:r>
    </w:p>
    <w:p w14:paraId="64C36211" w14:textId="77777777" w:rsidR="00D46467" w:rsidRPr="00437B54" w:rsidRDefault="007B2260" w:rsidP="007B2260">
      <w:pPr>
        <w:pStyle w:val="PlainText"/>
        <w:spacing w:line="240" w:lineRule="auto"/>
        <w:rPr>
          <w:rStyle w:val="FontStyle59"/>
          <w:rFonts w:ascii="Arial" w:hAnsi="Arial" w:cs="Arial"/>
          <w:spacing w:val="0"/>
          <w:sz w:val="20"/>
          <w:szCs w:val="20"/>
          <w:lang w:val="uz-Cyrl-UZ"/>
        </w:rPr>
      </w:pPr>
      <w:r w:rsidRPr="007B2260">
        <w:rPr>
          <w:rFonts w:ascii="Arial" w:hAnsi="Arial" w:cs="Arial"/>
          <w:lang w:val="uz-Cyrl-UZ"/>
        </w:rPr>
        <w:t>These analytical techniques were selected for their reliability and precision, enabling a comprehensive evaluation of the chemical composition of the WPA and its derivatives. The results of these analyses are critical for assessing the efficiency of the desulfation process and ensuring the quality of the final product, which is essential for its application in industrial contexts. By employing these methods, the study provides a robust foundation for optimizing the purification process and enhancing the overall quality of WPA.</w:t>
      </w:r>
    </w:p>
    <w:p w14:paraId="36961EE3" w14:textId="77777777" w:rsidR="00D46467" w:rsidRDefault="00D46467" w:rsidP="00670552">
      <w:pPr>
        <w:pStyle w:val="BodyTextIndent"/>
        <w:spacing w:after="0"/>
        <w:ind w:left="0" w:firstLine="567"/>
        <w:jc w:val="both"/>
        <w:rPr>
          <w:rStyle w:val="FontStyle59"/>
          <w:rFonts w:ascii="Arial" w:hAnsi="Arial" w:cs="Arial"/>
          <w:spacing w:val="0"/>
          <w:sz w:val="20"/>
          <w:szCs w:val="20"/>
          <w:lang w:val="uz-Cyrl-UZ"/>
        </w:rPr>
      </w:pPr>
    </w:p>
    <w:p w14:paraId="382BB5D8" w14:textId="77777777" w:rsidR="00D46467" w:rsidRPr="00D46467" w:rsidRDefault="00D46467" w:rsidP="00D46467">
      <w:pPr>
        <w:pStyle w:val="BodyTextIndent"/>
        <w:numPr>
          <w:ilvl w:val="0"/>
          <w:numId w:val="3"/>
        </w:numPr>
        <w:spacing w:after="0"/>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t>RESULTS AND DISCUSSION</w:t>
      </w:r>
    </w:p>
    <w:p w14:paraId="7FEBEEF7" w14:textId="77777777" w:rsidR="00D46467" w:rsidRDefault="00D46467" w:rsidP="00670552">
      <w:pPr>
        <w:pStyle w:val="BodyTextIndent"/>
        <w:spacing w:after="0"/>
        <w:ind w:left="0" w:firstLine="567"/>
        <w:jc w:val="both"/>
        <w:rPr>
          <w:rStyle w:val="FontStyle59"/>
          <w:rFonts w:ascii="Arial" w:hAnsi="Arial" w:cs="Arial"/>
          <w:spacing w:val="0"/>
          <w:sz w:val="20"/>
          <w:szCs w:val="20"/>
          <w:lang w:val="uz-Cyrl-UZ"/>
        </w:rPr>
      </w:pPr>
    </w:p>
    <w:p w14:paraId="193B6F39" w14:textId="77777777" w:rsidR="007B2260" w:rsidRPr="007B2260" w:rsidRDefault="007B2260" w:rsidP="007B2260">
      <w:pPr>
        <w:pStyle w:val="BodyTextIndent"/>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lastRenderedPageBreak/>
        <w:t>Ethanol and acetone, with their relativ</w:t>
      </w:r>
      <w:r w:rsidR="00684ECA">
        <w:rPr>
          <w:rStyle w:val="FontStyle59"/>
          <w:rFonts w:ascii="Arial" w:hAnsi="Arial" w:cs="Arial"/>
          <w:spacing w:val="0"/>
          <w:sz w:val="20"/>
          <w:szCs w:val="20"/>
          <w:lang w:val="uz-Cyrl-UZ"/>
        </w:rPr>
        <w:t>ely low boiling points of 78.39°C and 56.2</w:t>
      </w:r>
      <w:r w:rsidRPr="007B2260">
        <w:rPr>
          <w:rStyle w:val="FontStyle59"/>
          <w:rFonts w:ascii="Arial" w:hAnsi="Arial" w:cs="Arial"/>
          <w:spacing w:val="0"/>
          <w:sz w:val="20"/>
          <w:szCs w:val="20"/>
          <w:lang w:val="uz-Cyrl-UZ"/>
        </w:rPr>
        <w:t xml:space="preserve">°C, respectively, and acetic acid, with </w:t>
      </w:r>
      <w:r w:rsidR="00684ECA">
        <w:rPr>
          <w:rStyle w:val="FontStyle59"/>
          <w:rFonts w:ascii="Arial" w:hAnsi="Arial" w:cs="Arial"/>
          <w:spacing w:val="0"/>
          <w:sz w:val="20"/>
          <w:szCs w:val="20"/>
          <w:lang w:val="uz-Cyrl-UZ"/>
        </w:rPr>
        <w:t>a higher boiling point of 118.2</w:t>
      </w:r>
      <w:r w:rsidRPr="007B2260">
        <w:rPr>
          <w:rStyle w:val="FontStyle59"/>
          <w:rFonts w:ascii="Arial" w:hAnsi="Arial" w:cs="Arial"/>
          <w:spacing w:val="0"/>
          <w:sz w:val="20"/>
          <w:szCs w:val="20"/>
          <w:lang w:val="uz-Cyrl-UZ"/>
        </w:rPr>
        <w:t>°C, present promising options for the purification of WPA. Their distinct physical properties, particularly their volatility, make them suitable for use in extraction and purification processes. To explore their effectiveness, mixtures of ethanol and acetone were prepared in varying mass ratios (C</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H</w:t>
      </w:r>
      <w:r w:rsidRPr="00684ECA">
        <w:rPr>
          <w:rStyle w:val="FontStyle59"/>
          <w:rFonts w:ascii="Arial" w:hAnsi="Arial" w:cs="Arial"/>
          <w:spacing w:val="0"/>
          <w:sz w:val="20"/>
          <w:szCs w:val="20"/>
          <w:vertAlign w:val="subscript"/>
          <w:lang w:val="uz-Cyrl-UZ"/>
        </w:rPr>
        <w:t>5</w:t>
      </w:r>
      <w:r w:rsidR="00684ECA">
        <w:rPr>
          <w:rStyle w:val="FontStyle59"/>
          <w:rFonts w:ascii="Arial" w:hAnsi="Arial" w:cs="Arial"/>
          <w:spacing w:val="0"/>
          <w:sz w:val="20"/>
          <w:szCs w:val="20"/>
          <w:lang w:val="uz-Cyrl-UZ"/>
        </w:rPr>
        <w:t>OH:</w:t>
      </w:r>
      <w:r w:rsidRPr="007B2260">
        <w:rPr>
          <w:rStyle w:val="FontStyle59"/>
          <w:rFonts w:ascii="Arial" w:hAnsi="Arial" w:cs="Arial"/>
          <w:spacing w:val="0"/>
          <w:sz w:val="20"/>
          <w:szCs w:val="20"/>
          <w:lang w:val="uz-Cyrl-UZ"/>
        </w:rPr>
        <w:t>CH</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COCH</w:t>
      </w:r>
      <w:r w:rsidRPr="00684ECA">
        <w:rPr>
          <w:rStyle w:val="FontStyle59"/>
          <w:rFonts w:ascii="Arial" w:hAnsi="Arial" w:cs="Arial"/>
          <w:spacing w:val="0"/>
          <w:sz w:val="20"/>
          <w:szCs w:val="20"/>
          <w:vertAlign w:val="subscript"/>
          <w:lang w:val="uz-Cyrl-UZ"/>
        </w:rPr>
        <w:t>3</w:t>
      </w:r>
      <w:r w:rsidR="00684ECA">
        <w:rPr>
          <w:rStyle w:val="FontStyle59"/>
          <w:rFonts w:ascii="Arial" w:hAnsi="Arial" w:cs="Arial"/>
          <w:spacing w:val="0"/>
          <w:sz w:val="20"/>
          <w:szCs w:val="20"/>
          <w:lang w:val="uz-Cyrl-UZ"/>
        </w:rPr>
        <w:t>), ranging from 1:0.35 to 1:</w:t>
      </w:r>
      <w:r w:rsidRPr="007B2260">
        <w:rPr>
          <w:rStyle w:val="FontStyle59"/>
          <w:rFonts w:ascii="Arial" w:hAnsi="Arial" w:cs="Arial"/>
          <w:spacing w:val="0"/>
          <w:sz w:val="20"/>
          <w:szCs w:val="20"/>
          <w:lang w:val="uz-Cyrl-UZ"/>
        </w:rPr>
        <w:t>3, and applied to the purification of desulfated WPA.</w:t>
      </w:r>
    </w:p>
    <w:p w14:paraId="182689FE" w14:textId="77777777" w:rsidR="007B2260" w:rsidRPr="007B2260" w:rsidRDefault="007B2260" w:rsidP="007B2260">
      <w:pPr>
        <w:pStyle w:val="BodyTextIndent"/>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t>Table 1 provides data on the precipitation efficiency of various impurities from WPA using these solvent mixtures. The results indicate a clear trend: as the mass fraction of acetone in the mixture increases, the precipitation efficiency of impurities such as fluoride (F), magnesium oxide (MgO), calcium oxide (CaO), aluminum oxide (Al</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iron oxide (Fe</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and sulfate ions (SO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also increases. For example, at a C</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H</w:t>
      </w:r>
      <w:r w:rsidRPr="00684ECA">
        <w:rPr>
          <w:rStyle w:val="FontStyle59"/>
          <w:rFonts w:ascii="Arial" w:hAnsi="Arial" w:cs="Arial"/>
          <w:spacing w:val="0"/>
          <w:sz w:val="20"/>
          <w:szCs w:val="20"/>
          <w:vertAlign w:val="subscript"/>
          <w:lang w:val="uz-Cyrl-UZ"/>
        </w:rPr>
        <w:t>5</w:t>
      </w:r>
      <w:r w:rsidR="00684ECA">
        <w:rPr>
          <w:rStyle w:val="FontStyle59"/>
          <w:rFonts w:ascii="Arial" w:hAnsi="Arial" w:cs="Arial"/>
          <w:spacing w:val="0"/>
          <w:sz w:val="20"/>
          <w:szCs w:val="20"/>
          <w:lang w:val="uz-Cyrl-UZ"/>
        </w:rPr>
        <w:t>OH</w:t>
      </w:r>
      <w:r w:rsidRPr="007B2260">
        <w:rPr>
          <w:rStyle w:val="FontStyle59"/>
          <w:rFonts w:ascii="Arial" w:hAnsi="Arial" w:cs="Arial"/>
          <w:spacing w:val="0"/>
          <w:sz w:val="20"/>
          <w:szCs w:val="20"/>
          <w:lang w:val="uz-Cyrl-UZ"/>
        </w:rPr>
        <w:t>:CH</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COCH</w:t>
      </w:r>
      <w:r w:rsidRPr="00684ECA">
        <w:rPr>
          <w:rStyle w:val="FontStyle59"/>
          <w:rFonts w:ascii="Arial" w:hAnsi="Arial" w:cs="Arial"/>
          <w:spacing w:val="0"/>
          <w:sz w:val="20"/>
          <w:szCs w:val="20"/>
          <w:vertAlign w:val="subscript"/>
          <w:lang w:val="uz-Cyrl-UZ"/>
        </w:rPr>
        <w:t>3</w:t>
      </w:r>
      <w:r w:rsidR="00684ECA">
        <w:rPr>
          <w:rStyle w:val="FontStyle59"/>
          <w:rFonts w:ascii="Arial" w:hAnsi="Arial" w:cs="Arial"/>
          <w:spacing w:val="0"/>
          <w:sz w:val="20"/>
          <w:szCs w:val="20"/>
          <w:lang w:val="uz-Cyrl-UZ"/>
        </w:rPr>
        <w:t xml:space="preserve"> ratio of 1:</w:t>
      </w:r>
      <w:r w:rsidRPr="007B2260">
        <w:rPr>
          <w:rStyle w:val="FontStyle59"/>
          <w:rFonts w:ascii="Arial" w:hAnsi="Arial" w:cs="Arial"/>
          <w:spacing w:val="0"/>
          <w:sz w:val="20"/>
          <w:szCs w:val="20"/>
          <w:lang w:val="uz-Cyrl-UZ"/>
        </w:rPr>
        <w:t>0.33, the precipitation efficiencies for F, MgO, CaO, Al</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Fe</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and SO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xml:space="preserve"> were 58.22%, 46.24%, 92.27%, 94.58%, 92.17%, and 78.61%, respectively. When the ratio was adjusted to 1</w:t>
      </w:r>
      <w:r w:rsidR="00684ECA">
        <w:rPr>
          <w:rStyle w:val="FontStyle59"/>
          <w:rFonts w:ascii="Arial" w:hAnsi="Arial" w:cs="Arial"/>
          <w:spacing w:val="0"/>
          <w:sz w:val="20"/>
          <w:szCs w:val="20"/>
          <w:lang w:val="uz-Cyrl-UZ"/>
        </w:rPr>
        <w:t>:</w:t>
      </w:r>
      <w:r w:rsidRPr="007B2260">
        <w:rPr>
          <w:rStyle w:val="FontStyle59"/>
          <w:rFonts w:ascii="Arial" w:hAnsi="Arial" w:cs="Arial"/>
          <w:spacing w:val="0"/>
          <w:sz w:val="20"/>
          <w:szCs w:val="20"/>
          <w:lang w:val="uz-Cyrl-UZ"/>
        </w:rPr>
        <w:t>3, these values increased significantly to 62.72%, 81.91%, 97.57%, 99.19</w:t>
      </w:r>
      <w:r w:rsidR="00684ECA">
        <w:rPr>
          <w:rStyle w:val="FontStyle59"/>
          <w:rFonts w:ascii="Arial" w:hAnsi="Arial" w:cs="Arial"/>
          <w:spacing w:val="0"/>
          <w:sz w:val="20"/>
          <w:szCs w:val="20"/>
          <w:lang w:val="uz-Cyrl-UZ"/>
        </w:rPr>
        <w:t>%, 99.17</w:t>
      </w:r>
      <w:r w:rsidRPr="007B2260">
        <w:rPr>
          <w:rStyle w:val="FontStyle59"/>
          <w:rFonts w:ascii="Arial" w:hAnsi="Arial" w:cs="Arial"/>
          <w:spacing w:val="0"/>
          <w:sz w:val="20"/>
          <w:szCs w:val="20"/>
          <w:lang w:val="uz-Cyrl-UZ"/>
        </w:rPr>
        <w:t>%, and 94.97%, respectively.</w:t>
      </w:r>
    </w:p>
    <w:p w14:paraId="1988962A" w14:textId="77777777" w:rsidR="007B2260" w:rsidRDefault="007B2260" w:rsidP="007B2260">
      <w:pPr>
        <w:pStyle w:val="BodyTextIndent"/>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t>However, this improvement in impurity removal is accompanied by an increase in phosphorus loss. Specifically, the loss of phosphorus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7B2260">
        <w:rPr>
          <w:rStyle w:val="FontStyle59"/>
          <w:rFonts w:ascii="Arial" w:hAnsi="Arial" w:cs="Arial"/>
          <w:spacing w:val="0"/>
          <w:sz w:val="20"/>
          <w:szCs w:val="20"/>
          <w:lang w:val="uz-Cyrl-UZ"/>
        </w:rPr>
        <w:t xml:space="preserve">) in the form </w:t>
      </w:r>
      <w:r w:rsidR="00684ECA">
        <w:rPr>
          <w:rStyle w:val="FontStyle59"/>
          <w:rFonts w:ascii="Arial" w:hAnsi="Arial" w:cs="Arial"/>
          <w:spacing w:val="0"/>
          <w:sz w:val="20"/>
          <w:szCs w:val="20"/>
          <w:lang w:val="uz-Cyrl-UZ"/>
        </w:rPr>
        <w:t>of precipitates rose from 11.06% at a 1:0.33 ratio to 13.86% at a 1:</w:t>
      </w:r>
      <w:r w:rsidRPr="007B2260">
        <w:rPr>
          <w:rStyle w:val="FontStyle59"/>
          <w:rFonts w:ascii="Arial" w:hAnsi="Arial" w:cs="Arial"/>
          <w:spacing w:val="0"/>
          <w:sz w:val="20"/>
          <w:szCs w:val="20"/>
          <w:lang w:val="uz-Cyrl-UZ"/>
        </w:rPr>
        <w:t>3 ratio. This trade-off between impurity removal efficiency and phosphorus retention highlights the need to carefully optimize the solvent mixture to achieve a balance between effective purification and minimal loss of valuable phosphorus content. These findings demonstrate the potential of ethanol-acetone mixtures for WPA purification while emphasizing the importance of further research to refine the process for industrial applications.</w:t>
      </w:r>
    </w:p>
    <w:p w14:paraId="27F58846" w14:textId="77777777" w:rsidR="007B2260" w:rsidRDefault="00D65D34" w:rsidP="004F54E3">
      <w:pPr>
        <w:pStyle w:val="BodyTextIndent"/>
        <w:spacing w:before="120"/>
        <w:ind w:left="0" w:firstLine="567"/>
        <w:jc w:val="center"/>
        <w:rPr>
          <w:rFonts w:ascii="Arial" w:hAnsi="Arial" w:cs="Arial"/>
          <w:b/>
          <w:sz w:val="20"/>
          <w:szCs w:val="20"/>
          <w:lang w:val="uz-Cyrl-UZ"/>
        </w:rPr>
      </w:pPr>
      <w:r w:rsidRPr="009E0963">
        <w:rPr>
          <w:rFonts w:ascii="Arial" w:hAnsi="Arial" w:cs="Arial"/>
          <w:b/>
          <w:sz w:val="20"/>
          <w:szCs w:val="20"/>
          <w:lang w:val="uz-Cyrl-UZ"/>
        </w:rPr>
        <w:t xml:space="preserve">Table </w:t>
      </w:r>
      <w:r w:rsidR="007B2260">
        <w:rPr>
          <w:rFonts w:ascii="Arial" w:hAnsi="Arial" w:cs="Arial"/>
          <w:b/>
          <w:sz w:val="20"/>
          <w:szCs w:val="20"/>
          <w:lang w:val="en-US"/>
        </w:rPr>
        <w:t>1</w:t>
      </w:r>
      <w:r w:rsidRPr="009E0963">
        <w:rPr>
          <w:rFonts w:ascii="Arial" w:hAnsi="Arial" w:cs="Arial"/>
          <w:b/>
          <w:sz w:val="20"/>
          <w:szCs w:val="20"/>
          <w:lang w:val="uz-Cyrl-UZ"/>
        </w:rPr>
        <w:t xml:space="preserve">. </w:t>
      </w:r>
      <w:r w:rsidR="007B2260" w:rsidRPr="007B2260">
        <w:rPr>
          <w:rFonts w:ascii="Arial" w:hAnsi="Arial" w:cs="Arial"/>
          <w:b/>
          <w:sz w:val="20"/>
          <w:szCs w:val="20"/>
          <w:lang w:val="uz-Cyrl-UZ"/>
        </w:rPr>
        <w:t xml:space="preserve">The sedimentation coefficient of components from desulfurized wet- process phosphoric acid </w:t>
      </w:r>
    </w:p>
    <w:tbl>
      <w:tblPr>
        <w:tblW w:w="9230" w:type="dxa"/>
        <w:jc w:val="center"/>
        <w:tblLayout w:type="fixed"/>
        <w:tblLook w:val="0000" w:firstRow="0" w:lastRow="0" w:firstColumn="0" w:lastColumn="0" w:noHBand="0" w:noVBand="0"/>
      </w:tblPr>
      <w:tblGrid>
        <w:gridCol w:w="2435"/>
        <w:gridCol w:w="1076"/>
        <w:gridCol w:w="850"/>
        <w:gridCol w:w="1062"/>
        <w:gridCol w:w="905"/>
        <w:gridCol w:w="992"/>
        <w:gridCol w:w="992"/>
        <w:gridCol w:w="918"/>
      </w:tblGrid>
      <w:tr w:rsidR="007B2260" w:rsidRPr="00684ECA" w14:paraId="17305703" w14:textId="77777777" w:rsidTr="00A86020">
        <w:trPr>
          <w:trHeight w:val="104"/>
          <w:jc w:val="center"/>
        </w:trPr>
        <w:tc>
          <w:tcPr>
            <w:tcW w:w="24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B60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Mass ratio</w:t>
            </w:r>
          </w:p>
          <w:p w14:paraId="0549FBA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w:t>
            </w:r>
            <w:r w:rsidRPr="00684ECA">
              <w:rPr>
                <w:rFonts w:ascii="Arial" w:eastAsia="Times New Roman" w:hAnsi="Arial" w:cs="Arial"/>
                <w:sz w:val="20"/>
                <w:szCs w:val="20"/>
                <w:vertAlign w:val="subscript"/>
                <w:lang w:val="en-US"/>
              </w:rPr>
              <w:t>2</w:t>
            </w:r>
            <w:r w:rsidRPr="00684ECA">
              <w:rPr>
                <w:rFonts w:ascii="Arial" w:eastAsia="Times New Roman" w:hAnsi="Arial" w:cs="Arial"/>
                <w:sz w:val="20"/>
                <w:szCs w:val="20"/>
                <w:lang w:val="en-US"/>
              </w:rPr>
              <w:t>H</w:t>
            </w:r>
            <w:r w:rsidRPr="00684ECA">
              <w:rPr>
                <w:rFonts w:ascii="Arial" w:eastAsia="Times New Roman" w:hAnsi="Arial" w:cs="Arial"/>
                <w:sz w:val="20"/>
                <w:szCs w:val="20"/>
                <w:vertAlign w:val="subscript"/>
                <w:lang w:val="en-US"/>
              </w:rPr>
              <w:t>5</w:t>
            </w:r>
            <w:proofErr w:type="gramStart"/>
            <w:r w:rsidRPr="00684ECA">
              <w:rPr>
                <w:rFonts w:ascii="Arial" w:eastAsia="Times New Roman" w:hAnsi="Arial" w:cs="Arial"/>
                <w:sz w:val="20"/>
                <w:szCs w:val="20"/>
                <w:lang w:val="en-US"/>
              </w:rPr>
              <w:t>OH :</w:t>
            </w:r>
            <w:proofErr w:type="gramEnd"/>
            <w:r w:rsidRPr="00684ECA">
              <w:rPr>
                <w:rFonts w:ascii="Arial" w:eastAsia="Times New Roman" w:hAnsi="Arial" w:cs="Arial"/>
                <w:sz w:val="20"/>
                <w:szCs w:val="20"/>
                <w:lang w:val="en-US"/>
              </w:rPr>
              <w:t xml:space="preserve"> CH</w:t>
            </w:r>
            <w:r w:rsidRPr="00684ECA">
              <w:rPr>
                <w:rFonts w:ascii="Arial" w:eastAsia="Times New Roman" w:hAnsi="Arial" w:cs="Arial"/>
                <w:sz w:val="20"/>
                <w:szCs w:val="20"/>
                <w:vertAlign w:val="subscript"/>
                <w:lang w:val="en-US"/>
              </w:rPr>
              <w:t>3</w:t>
            </w:r>
            <w:r w:rsidRPr="00684ECA">
              <w:rPr>
                <w:rFonts w:ascii="Arial" w:eastAsia="Times New Roman" w:hAnsi="Arial" w:cs="Arial"/>
                <w:sz w:val="20"/>
                <w:szCs w:val="20"/>
                <w:lang w:val="en-US"/>
              </w:rPr>
              <w:t>COCH</w:t>
            </w:r>
            <w:r w:rsidRPr="00684ECA">
              <w:rPr>
                <w:rFonts w:ascii="Cambria Math" w:eastAsia="Times New Roman" w:hAnsi="Cambria Math" w:cs="Cambria Math"/>
                <w:sz w:val="20"/>
                <w:szCs w:val="20"/>
                <w:lang w:val="en-US"/>
              </w:rPr>
              <w:t>₃</w:t>
            </w:r>
          </w:p>
        </w:tc>
        <w:tc>
          <w:tcPr>
            <w:tcW w:w="6795" w:type="dxa"/>
            <w:gridSpan w:val="7"/>
            <w:tcBorders>
              <w:top w:val="single" w:sz="4" w:space="0" w:color="auto"/>
              <w:left w:val="nil"/>
              <w:bottom w:val="single" w:sz="4" w:space="0" w:color="auto"/>
              <w:right w:val="single" w:sz="4" w:space="0" w:color="auto"/>
            </w:tcBorders>
            <w:shd w:val="clear" w:color="auto" w:fill="auto"/>
            <w:vAlign w:val="center"/>
          </w:tcPr>
          <w:p w14:paraId="0247CA8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Sedimentation coefficient, wt. %.</w:t>
            </w:r>
          </w:p>
        </w:tc>
      </w:tr>
      <w:tr w:rsidR="007B2260" w:rsidRPr="00684ECA" w14:paraId="522B35E4" w14:textId="77777777" w:rsidTr="00A86020">
        <w:trPr>
          <w:trHeight w:val="232"/>
          <w:jc w:val="center"/>
        </w:trPr>
        <w:tc>
          <w:tcPr>
            <w:tcW w:w="24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86BEA6" w14:textId="77777777" w:rsidR="007B2260" w:rsidRPr="00684ECA" w:rsidRDefault="007B2260" w:rsidP="007B2260">
            <w:pPr>
              <w:spacing w:after="0" w:line="240" w:lineRule="auto"/>
              <w:jc w:val="center"/>
              <w:rPr>
                <w:rFonts w:ascii="Arial" w:eastAsia="Times New Roman" w:hAnsi="Arial" w:cs="Arial"/>
                <w:sz w:val="20"/>
                <w:szCs w:val="20"/>
                <w:lang w:val="en-US"/>
              </w:rPr>
            </w:pPr>
          </w:p>
        </w:tc>
        <w:tc>
          <w:tcPr>
            <w:tcW w:w="1076" w:type="dxa"/>
            <w:tcBorders>
              <w:top w:val="nil"/>
              <w:left w:val="nil"/>
              <w:bottom w:val="single" w:sz="4" w:space="0" w:color="auto"/>
              <w:right w:val="single" w:sz="4" w:space="0" w:color="auto"/>
            </w:tcBorders>
            <w:shd w:val="clear" w:color="auto" w:fill="auto"/>
            <w:vAlign w:val="center"/>
          </w:tcPr>
          <w:p w14:paraId="304CA56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P</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0771EB4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w:t>
            </w:r>
          </w:p>
        </w:tc>
        <w:tc>
          <w:tcPr>
            <w:tcW w:w="1062" w:type="dxa"/>
            <w:tcBorders>
              <w:top w:val="nil"/>
              <w:left w:val="nil"/>
              <w:bottom w:val="single" w:sz="4" w:space="0" w:color="auto"/>
              <w:right w:val="single" w:sz="4" w:space="0" w:color="auto"/>
            </w:tcBorders>
            <w:shd w:val="clear" w:color="auto" w:fill="auto"/>
            <w:vAlign w:val="center"/>
          </w:tcPr>
          <w:p w14:paraId="385C0FF5"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MgО</w:t>
            </w:r>
            <w:proofErr w:type="spellEnd"/>
          </w:p>
        </w:tc>
        <w:tc>
          <w:tcPr>
            <w:tcW w:w="905" w:type="dxa"/>
            <w:tcBorders>
              <w:top w:val="nil"/>
              <w:left w:val="nil"/>
              <w:bottom w:val="single" w:sz="4" w:space="0" w:color="auto"/>
              <w:right w:val="single" w:sz="4" w:space="0" w:color="auto"/>
            </w:tcBorders>
            <w:shd w:val="clear" w:color="auto" w:fill="auto"/>
            <w:vAlign w:val="center"/>
          </w:tcPr>
          <w:p w14:paraId="3EDD0BF0"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CаО</w:t>
            </w:r>
            <w:proofErr w:type="spellEnd"/>
          </w:p>
        </w:tc>
        <w:tc>
          <w:tcPr>
            <w:tcW w:w="992" w:type="dxa"/>
            <w:tcBorders>
              <w:top w:val="nil"/>
              <w:left w:val="nil"/>
              <w:bottom w:val="single" w:sz="4" w:space="0" w:color="auto"/>
              <w:right w:val="single" w:sz="4" w:space="0" w:color="auto"/>
            </w:tcBorders>
            <w:shd w:val="clear" w:color="auto" w:fill="auto"/>
            <w:vAlign w:val="center"/>
          </w:tcPr>
          <w:p w14:paraId="411FB92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Аl</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790FB5A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Fе</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18" w:type="dxa"/>
            <w:tcBorders>
              <w:top w:val="nil"/>
              <w:left w:val="nil"/>
              <w:bottom w:val="single" w:sz="4" w:space="0" w:color="auto"/>
              <w:right w:val="single" w:sz="4" w:space="0" w:color="auto"/>
            </w:tcBorders>
            <w:shd w:val="clear" w:color="auto" w:fill="auto"/>
            <w:vAlign w:val="center"/>
          </w:tcPr>
          <w:p w14:paraId="6AB8E4B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SО</w:t>
            </w:r>
            <w:r w:rsidRPr="00684ECA">
              <w:rPr>
                <w:rFonts w:ascii="Arial" w:eastAsia="Times New Roman" w:hAnsi="Arial" w:cs="Arial"/>
                <w:color w:val="000000"/>
                <w:sz w:val="20"/>
                <w:szCs w:val="20"/>
                <w:vertAlign w:val="subscript"/>
                <w:lang w:val="en-US"/>
              </w:rPr>
              <w:t>3</w:t>
            </w:r>
          </w:p>
        </w:tc>
      </w:tr>
      <w:tr w:rsidR="007B2260" w:rsidRPr="00684ECA" w14:paraId="11C6CDAB" w14:textId="77777777" w:rsidTr="00A86020">
        <w:trPr>
          <w:trHeight w:val="191"/>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5EBF5DDE"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0.33</w:t>
            </w:r>
          </w:p>
        </w:tc>
        <w:tc>
          <w:tcPr>
            <w:tcW w:w="1076" w:type="dxa"/>
            <w:tcBorders>
              <w:top w:val="nil"/>
              <w:left w:val="nil"/>
              <w:bottom w:val="single" w:sz="4" w:space="0" w:color="auto"/>
              <w:right w:val="single" w:sz="4" w:space="0" w:color="auto"/>
            </w:tcBorders>
            <w:shd w:val="clear" w:color="auto" w:fill="auto"/>
            <w:vAlign w:val="center"/>
          </w:tcPr>
          <w:p w14:paraId="6E80F90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11.06</w:t>
            </w:r>
          </w:p>
        </w:tc>
        <w:tc>
          <w:tcPr>
            <w:tcW w:w="850" w:type="dxa"/>
            <w:tcBorders>
              <w:top w:val="nil"/>
              <w:left w:val="nil"/>
              <w:bottom w:val="single" w:sz="4" w:space="0" w:color="auto"/>
              <w:right w:val="single" w:sz="4" w:space="0" w:color="auto"/>
            </w:tcBorders>
            <w:shd w:val="clear" w:color="auto" w:fill="auto"/>
            <w:vAlign w:val="center"/>
          </w:tcPr>
          <w:p w14:paraId="64DE19D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58.22</w:t>
            </w:r>
          </w:p>
        </w:tc>
        <w:tc>
          <w:tcPr>
            <w:tcW w:w="1062" w:type="dxa"/>
            <w:tcBorders>
              <w:top w:val="nil"/>
              <w:left w:val="nil"/>
              <w:bottom w:val="single" w:sz="4" w:space="0" w:color="auto"/>
              <w:right w:val="single" w:sz="4" w:space="0" w:color="auto"/>
            </w:tcBorders>
            <w:shd w:val="clear" w:color="auto" w:fill="auto"/>
            <w:vAlign w:val="center"/>
          </w:tcPr>
          <w:p w14:paraId="3791616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46.24</w:t>
            </w:r>
          </w:p>
        </w:tc>
        <w:tc>
          <w:tcPr>
            <w:tcW w:w="905" w:type="dxa"/>
            <w:tcBorders>
              <w:top w:val="nil"/>
              <w:left w:val="nil"/>
              <w:bottom w:val="single" w:sz="4" w:space="0" w:color="auto"/>
              <w:right w:val="single" w:sz="4" w:space="0" w:color="auto"/>
            </w:tcBorders>
            <w:shd w:val="clear" w:color="auto" w:fill="auto"/>
            <w:vAlign w:val="center"/>
          </w:tcPr>
          <w:p w14:paraId="5F53B87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92.27</w:t>
            </w:r>
          </w:p>
        </w:tc>
        <w:tc>
          <w:tcPr>
            <w:tcW w:w="992" w:type="dxa"/>
            <w:tcBorders>
              <w:top w:val="nil"/>
              <w:left w:val="nil"/>
              <w:bottom w:val="single" w:sz="4" w:space="0" w:color="auto"/>
              <w:right w:val="single" w:sz="4" w:space="0" w:color="auto"/>
            </w:tcBorders>
            <w:shd w:val="clear" w:color="auto" w:fill="auto"/>
            <w:vAlign w:val="center"/>
          </w:tcPr>
          <w:p w14:paraId="29D9731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94.58</w:t>
            </w:r>
          </w:p>
        </w:tc>
        <w:tc>
          <w:tcPr>
            <w:tcW w:w="992" w:type="dxa"/>
            <w:tcBorders>
              <w:top w:val="nil"/>
              <w:left w:val="nil"/>
              <w:bottom w:val="single" w:sz="4" w:space="0" w:color="auto"/>
              <w:right w:val="single" w:sz="4" w:space="0" w:color="auto"/>
            </w:tcBorders>
            <w:shd w:val="clear" w:color="auto" w:fill="auto"/>
            <w:vAlign w:val="center"/>
          </w:tcPr>
          <w:p w14:paraId="162137D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92.17</w:t>
            </w:r>
          </w:p>
        </w:tc>
        <w:tc>
          <w:tcPr>
            <w:tcW w:w="918" w:type="dxa"/>
            <w:tcBorders>
              <w:top w:val="nil"/>
              <w:left w:val="nil"/>
              <w:bottom w:val="single" w:sz="4" w:space="0" w:color="auto"/>
              <w:right w:val="single" w:sz="4" w:space="0" w:color="auto"/>
            </w:tcBorders>
            <w:shd w:val="clear" w:color="auto" w:fill="auto"/>
            <w:vAlign w:val="center"/>
          </w:tcPr>
          <w:p w14:paraId="1367D79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78.61</w:t>
            </w:r>
          </w:p>
        </w:tc>
      </w:tr>
      <w:tr w:rsidR="007B2260" w:rsidRPr="00684ECA" w14:paraId="3D7AC3DF" w14:textId="77777777" w:rsidTr="00A86020">
        <w:trPr>
          <w:trHeight w:val="186"/>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12CCDEBC"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0.5</w:t>
            </w:r>
          </w:p>
        </w:tc>
        <w:tc>
          <w:tcPr>
            <w:tcW w:w="1076" w:type="dxa"/>
            <w:tcBorders>
              <w:top w:val="nil"/>
              <w:left w:val="nil"/>
              <w:bottom w:val="single" w:sz="4" w:space="0" w:color="auto"/>
              <w:right w:val="single" w:sz="4" w:space="0" w:color="auto"/>
            </w:tcBorders>
            <w:shd w:val="clear" w:color="auto" w:fill="auto"/>
            <w:vAlign w:val="center"/>
          </w:tcPr>
          <w:p w14:paraId="58897BF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11.10</w:t>
            </w:r>
          </w:p>
        </w:tc>
        <w:tc>
          <w:tcPr>
            <w:tcW w:w="850" w:type="dxa"/>
            <w:tcBorders>
              <w:top w:val="nil"/>
              <w:left w:val="nil"/>
              <w:bottom w:val="single" w:sz="4" w:space="0" w:color="auto"/>
              <w:right w:val="single" w:sz="4" w:space="0" w:color="auto"/>
            </w:tcBorders>
            <w:shd w:val="clear" w:color="auto" w:fill="auto"/>
            <w:noWrap/>
            <w:vAlign w:val="center"/>
          </w:tcPr>
          <w:p w14:paraId="2D653F8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61.30</w:t>
            </w:r>
          </w:p>
        </w:tc>
        <w:tc>
          <w:tcPr>
            <w:tcW w:w="1062" w:type="dxa"/>
            <w:tcBorders>
              <w:top w:val="nil"/>
              <w:left w:val="nil"/>
              <w:bottom w:val="single" w:sz="4" w:space="0" w:color="auto"/>
              <w:right w:val="single" w:sz="4" w:space="0" w:color="auto"/>
            </w:tcBorders>
            <w:shd w:val="clear" w:color="auto" w:fill="auto"/>
            <w:noWrap/>
            <w:vAlign w:val="center"/>
          </w:tcPr>
          <w:p w14:paraId="204393A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50.97</w:t>
            </w:r>
          </w:p>
        </w:tc>
        <w:tc>
          <w:tcPr>
            <w:tcW w:w="905" w:type="dxa"/>
            <w:tcBorders>
              <w:top w:val="nil"/>
              <w:left w:val="nil"/>
              <w:bottom w:val="single" w:sz="4" w:space="0" w:color="auto"/>
              <w:right w:val="single" w:sz="4" w:space="0" w:color="auto"/>
            </w:tcBorders>
            <w:shd w:val="clear" w:color="auto" w:fill="auto"/>
            <w:vAlign w:val="center"/>
          </w:tcPr>
          <w:p w14:paraId="5B847DE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92.49</w:t>
            </w:r>
          </w:p>
        </w:tc>
        <w:tc>
          <w:tcPr>
            <w:tcW w:w="992" w:type="dxa"/>
            <w:tcBorders>
              <w:top w:val="nil"/>
              <w:left w:val="nil"/>
              <w:bottom w:val="single" w:sz="4" w:space="0" w:color="auto"/>
              <w:right w:val="single" w:sz="4" w:space="0" w:color="auto"/>
            </w:tcBorders>
            <w:shd w:val="clear" w:color="auto" w:fill="auto"/>
            <w:noWrap/>
            <w:vAlign w:val="center"/>
          </w:tcPr>
          <w:p w14:paraId="04DEFA0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95.82</w:t>
            </w:r>
          </w:p>
        </w:tc>
        <w:tc>
          <w:tcPr>
            <w:tcW w:w="992" w:type="dxa"/>
            <w:tcBorders>
              <w:top w:val="nil"/>
              <w:left w:val="nil"/>
              <w:bottom w:val="single" w:sz="4" w:space="0" w:color="auto"/>
              <w:right w:val="single" w:sz="4" w:space="0" w:color="auto"/>
            </w:tcBorders>
            <w:shd w:val="clear" w:color="auto" w:fill="auto"/>
            <w:vAlign w:val="center"/>
          </w:tcPr>
          <w:p w14:paraId="7929F89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93.47</w:t>
            </w:r>
          </w:p>
        </w:tc>
        <w:tc>
          <w:tcPr>
            <w:tcW w:w="918" w:type="dxa"/>
            <w:tcBorders>
              <w:top w:val="nil"/>
              <w:left w:val="nil"/>
              <w:bottom w:val="single" w:sz="4" w:space="0" w:color="auto"/>
              <w:right w:val="single" w:sz="4" w:space="0" w:color="auto"/>
            </w:tcBorders>
            <w:shd w:val="clear" w:color="auto" w:fill="auto"/>
            <w:vAlign w:val="center"/>
          </w:tcPr>
          <w:p w14:paraId="5A31A45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83.13</w:t>
            </w:r>
          </w:p>
        </w:tc>
      </w:tr>
      <w:tr w:rsidR="007B2260" w:rsidRPr="00684ECA" w14:paraId="62FF0C42" w14:textId="77777777" w:rsidTr="00A86020">
        <w:trPr>
          <w:trHeight w:val="61"/>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29B91E2D"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1.26</w:t>
            </w:r>
          </w:p>
        </w:tc>
        <w:tc>
          <w:tcPr>
            <w:tcW w:w="1076" w:type="dxa"/>
            <w:tcBorders>
              <w:top w:val="nil"/>
              <w:left w:val="nil"/>
              <w:bottom w:val="single" w:sz="4" w:space="0" w:color="auto"/>
              <w:right w:val="single" w:sz="4" w:space="0" w:color="auto"/>
            </w:tcBorders>
            <w:shd w:val="clear" w:color="auto" w:fill="auto"/>
            <w:vAlign w:val="center"/>
          </w:tcPr>
          <w:p w14:paraId="3DC767D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12.34</w:t>
            </w:r>
          </w:p>
        </w:tc>
        <w:tc>
          <w:tcPr>
            <w:tcW w:w="850" w:type="dxa"/>
            <w:tcBorders>
              <w:top w:val="nil"/>
              <w:left w:val="nil"/>
              <w:bottom w:val="single" w:sz="4" w:space="0" w:color="auto"/>
              <w:right w:val="single" w:sz="4" w:space="0" w:color="auto"/>
            </w:tcBorders>
            <w:shd w:val="clear" w:color="auto" w:fill="auto"/>
            <w:noWrap/>
            <w:vAlign w:val="center"/>
          </w:tcPr>
          <w:p w14:paraId="25E82FA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61.53</w:t>
            </w:r>
          </w:p>
        </w:tc>
        <w:tc>
          <w:tcPr>
            <w:tcW w:w="1062" w:type="dxa"/>
            <w:tcBorders>
              <w:top w:val="nil"/>
              <w:left w:val="nil"/>
              <w:bottom w:val="single" w:sz="4" w:space="0" w:color="auto"/>
              <w:right w:val="single" w:sz="4" w:space="0" w:color="auto"/>
            </w:tcBorders>
            <w:shd w:val="clear" w:color="auto" w:fill="auto"/>
            <w:noWrap/>
            <w:vAlign w:val="center"/>
          </w:tcPr>
          <w:p w14:paraId="5778CD2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65.99</w:t>
            </w:r>
          </w:p>
        </w:tc>
        <w:tc>
          <w:tcPr>
            <w:tcW w:w="905" w:type="dxa"/>
            <w:tcBorders>
              <w:top w:val="nil"/>
              <w:left w:val="nil"/>
              <w:bottom w:val="single" w:sz="4" w:space="0" w:color="auto"/>
              <w:right w:val="single" w:sz="4" w:space="0" w:color="auto"/>
            </w:tcBorders>
            <w:shd w:val="clear" w:color="auto" w:fill="auto"/>
            <w:vAlign w:val="center"/>
          </w:tcPr>
          <w:p w14:paraId="5062D61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94.84</w:t>
            </w:r>
          </w:p>
        </w:tc>
        <w:tc>
          <w:tcPr>
            <w:tcW w:w="992" w:type="dxa"/>
            <w:tcBorders>
              <w:top w:val="nil"/>
              <w:left w:val="nil"/>
              <w:bottom w:val="single" w:sz="4" w:space="0" w:color="auto"/>
              <w:right w:val="single" w:sz="4" w:space="0" w:color="auto"/>
            </w:tcBorders>
            <w:shd w:val="clear" w:color="auto" w:fill="auto"/>
            <w:noWrap/>
            <w:vAlign w:val="center"/>
          </w:tcPr>
          <w:p w14:paraId="7ABCEFE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97.69</w:t>
            </w:r>
          </w:p>
        </w:tc>
        <w:tc>
          <w:tcPr>
            <w:tcW w:w="992" w:type="dxa"/>
            <w:tcBorders>
              <w:top w:val="nil"/>
              <w:left w:val="nil"/>
              <w:bottom w:val="single" w:sz="4" w:space="0" w:color="auto"/>
              <w:right w:val="single" w:sz="4" w:space="0" w:color="auto"/>
            </w:tcBorders>
            <w:shd w:val="clear" w:color="auto" w:fill="auto"/>
            <w:vAlign w:val="center"/>
          </w:tcPr>
          <w:p w14:paraId="3D4D255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98.68</w:t>
            </w:r>
          </w:p>
        </w:tc>
        <w:tc>
          <w:tcPr>
            <w:tcW w:w="918" w:type="dxa"/>
            <w:tcBorders>
              <w:top w:val="nil"/>
              <w:left w:val="nil"/>
              <w:bottom w:val="single" w:sz="4" w:space="0" w:color="auto"/>
              <w:right w:val="single" w:sz="4" w:space="0" w:color="auto"/>
            </w:tcBorders>
            <w:shd w:val="clear" w:color="auto" w:fill="auto"/>
            <w:vAlign w:val="center"/>
          </w:tcPr>
          <w:p w14:paraId="539DACE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92.65</w:t>
            </w:r>
          </w:p>
        </w:tc>
      </w:tr>
      <w:tr w:rsidR="007B2260" w:rsidRPr="00684ECA" w14:paraId="2FF199CF" w14:textId="77777777" w:rsidTr="00A86020">
        <w:trPr>
          <w:trHeight w:val="135"/>
          <w:jc w:val="center"/>
        </w:trPr>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D8620DB"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2</w:t>
            </w:r>
          </w:p>
        </w:tc>
        <w:tc>
          <w:tcPr>
            <w:tcW w:w="1076" w:type="dxa"/>
            <w:tcBorders>
              <w:top w:val="single" w:sz="4" w:space="0" w:color="auto"/>
              <w:left w:val="nil"/>
              <w:bottom w:val="single" w:sz="4" w:space="0" w:color="auto"/>
              <w:right w:val="single" w:sz="4" w:space="0" w:color="auto"/>
            </w:tcBorders>
            <w:shd w:val="clear" w:color="auto" w:fill="auto"/>
            <w:vAlign w:val="center"/>
          </w:tcPr>
          <w:p w14:paraId="4DA76C7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12.39</w:t>
            </w:r>
          </w:p>
        </w:tc>
        <w:tc>
          <w:tcPr>
            <w:tcW w:w="850" w:type="dxa"/>
            <w:tcBorders>
              <w:top w:val="single" w:sz="4" w:space="0" w:color="auto"/>
              <w:left w:val="nil"/>
              <w:bottom w:val="single" w:sz="4" w:space="0" w:color="auto"/>
              <w:right w:val="single" w:sz="4" w:space="0" w:color="auto"/>
            </w:tcBorders>
            <w:shd w:val="clear" w:color="auto" w:fill="auto"/>
            <w:vAlign w:val="center"/>
          </w:tcPr>
          <w:p w14:paraId="2AF800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62.27</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3F77B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79.18</w:t>
            </w:r>
          </w:p>
        </w:tc>
        <w:tc>
          <w:tcPr>
            <w:tcW w:w="905" w:type="dxa"/>
            <w:tcBorders>
              <w:top w:val="single" w:sz="4" w:space="0" w:color="auto"/>
              <w:left w:val="nil"/>
              <w:bottom w:val="single" w:sz="4" w:space="0" w:color="auto"/>
              <w:right w:val="single" w:sz="4" w:space="0" w:color="auto"/>
            </w:tcBorders>
            <w:shd w:val="clear" w:color="auto" w:fill="auto"/>
            <w:vAlign w:val="center"/>
          </w:tcPr>
          <w:p w14:paraId="28E18E0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95.57</w:t>
            </w:r>
          </w:p>
        </w:tc>
        <w:tc>
          <w:tcPr>
            <w:tcW w:w="992" w:type="dxa"/>
            <w:tcBorders>
              <w:top w:val="single" w:sz="4" w:space="0" w:color="auto"/>
              <w:left w:val="nil"/>
              <w:bottom w:val="single" w:sz="4" w:space="0" w:color="auto"/>
              <w:right w:val="single" w:sz="4" w:space="0" w:color="auto"/>
            </w:tcBorders>
            <w:shd w:val="clear" w:color="auto" w:fill="auto"/>
            <w:vAlign w:val="center"/>
          </w:tcPr>
          <w:p w14:paraId="7011E8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98.81</w:t>
            </w:r>
          </w:p>
        </w:tc>
        <w:tc>
          <w:tcPr>
            <w:tcW w:w="992" w:type="dxa"/>
            <w:tcBorders>
              <w:top w:val="single" w:sz="4" w:space="0" w:color="auto"/>
              <w:left w:val="nil"/>
              <w:bottom w:val="single" w:sz="4" w:space="0" w:color="auto"/>
              <w:right w:val="single" w:sz="4" w:space="0" w:color="auto"/>
            </w:tcBorders>
            <w:shd w:val="clear" w:color="auto" w:fill="auto"/>
            <w:vAlign w:val="center"/>
          </w:tcPr>
          <w:p w14:paraId="7A18EC2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98.70</w:t>
            </w:r>
          </w:p>
        </w:tc>
        <w:tc>
          <w:tcPr>
            <w:tcW w:w="918" w:type="dxa"/>
            <w:tcBorders>
              <w:top w:val="single" w:sz="4" w:space="0" w:color="auto"/>
              <w:left w:val="nil"/>
              <w:bottom w:val="single" w:sz="4" w:space="0" w:color="auto"/>
              <w:right w:val="single" w:sz="4" w:space="0" w:color="auto"/>
            </w:tcBorders>
            <w:shd w:val="clear" w:color="auto" w:fill="auto"/>
            <w:vAlign w:val="center"/>
          </w:tcPr>
          <w:p w14:paraId="2929496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93.74</w:t>
            </w:r>
          </w:p>
        </w:tc>
      </w:tr>
      <w:tr w:rsidR="007B2260" w:rsidRPr="00684ECA" w14:paraId="5CFA1E1D" w14:textId="77777777" w:rsidTr="00A86020">
        <w:trPr>
          <w:trHeight w:val="95"/>
          <w:jc w:val="center"/>
        </w:trPr>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2A6662D"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3</w:t>
            </w:r>
          </w:p>
        </w:tc>
        <w:tc>
          <w:tcPr>
            <w:tcW w:w="1076" w:type="dxa"/>
            <w:tcBorders>
              <w:top w:val="single" w:sz="4" w:space="0" w:color="auto"/>
              <w:left w:val="nil"/>
              <w:bottom w:val="single" w:sz="4" w:space="0" w:color="auto"/>
              <w:right w:val="single" w:sz="4" w:space="0" w:color="auto"/>
            </w:tcBorders>
            <w:shd w:val="clear" w:color="auto" w:fill="auto"/>
            <w:vAlign w:val="center"/>
          </w:tcPr>
          <w:p w14:paraId="24AAAD3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13.86</w:t>
            </w:r>
          </w:p>
        </w:tc>
        <w:tc>
          <w:tcPr>
            <w:tcW w:w="850" w:type="dxa"/>
            <w:tcBorders>
              <w:top w:val="single" w:sz="4" w:space="0" w:color="auto"/>
              <w:left w:val="nil"/>
              <w:bottom w:val="single" w:sz="4" w:space="0" w:color="auto"/>
              <w:right w:val="single" w:sz="4" w:space="0" w:color="auto"/>
            </w:tcBorders>
            <w:shd w:val="clear" w:color="auto" w:fill="auto"/>
            <w:vAlign w:val="center"/>
          </w:tcPr>
          <w:p w14:paraId="42C484F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62.72</w:t>
            </w:r>
          </w:p>
        </w:tc>
        <w:tc>
          <w:tcPr>
            <w:tcW w:w="1062" w:type="dxa"/>
            <w:tcBorders>
              <w:top w:val="single" w:sz="4" w:space="0" w:color="auto"/>
              <w:left w:val="nil"/>
              <w:bottom w:val="single" w:sz="4" w:space="0" w:color="auto"/>
              <w:right w:val="single" w:sz="4" w:space="0" w:color="auto"/>
            </w:tcBorders>
            <w:shd w:val="clear" w:color="auto" w:fill="auto"/>
            <w:vAlign w:val="center"/>
          </w:tcPr>
          <w:p w14:paraId="082D5A4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81.91</w:t>
            </w:r>
          </w:p>
        </w:tc>
        <w:tc>
          <w:tcPr>
            <w:tcW w:w="905" w:type="dxa"/>
            <w:tcBorders>
              <w:top w:val="single" w:sz="4" w:space="0" w:color="auto"/>
              <w:left w:val="nil"/>
              <w:bottom w:val="single" w:sz="4" w:space="0" w:color="auto"/>
              <w:right w:val="single" w:sz="4" w:space="0" w:color="auto"/>
            </w:tcBorders>
            <w:shd w:val="clear" w:color="auto" w:fill="auto"/>
            <w:vAlign w:val="center"/>
          </w:tcPr>
          <w:p w14:paraId="4EED6D9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97.57</w:t>
            </w:r>
          </w:p>
        </w:tc>
        <w:tc>
          <w:tcPr>
            <w:tcW w:w="992" w:type="dxa"/>
            <w:tcBorders>
              <w:top w:val="single" w:sz="4" w:space="0" w:color="auto"/>
              <w:left w:val="nil"/>
              <w:bottom w:val="single" w:sz="4" w:space="0" w:color="auto"/>
              <w:right w:val="single" w:sz="4" w:space="0" w:color="auto"/>
            </w:tcBorders>
            <w:shd w:val="clear" w:color="auto" w:fill="auto"/>
            <w:vAlign w:val="center"/>
          </w:tcPr>
          <w:p w14:paraId="0592609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99.19</w:t>
            </w:r>
          </w:p>
        </w:tc>
        <w:tc>
          <w:tcPr>
            <w:tcW w:w="992" w:type="dxa"/>
            <w:tcBorders>
              <w:top w:val="single" w:sz="4" w:space="0" w:color="auto"/>
              <w:left w:val="nil"/>
              <w:bottom w:val="single" w:sz="4" w:space="0" w:color="auto"/>
              <w:right w:val="single" w:sz="4" w:space="0" w:color="auto"/>
            </w:tcBorders>
            <w:shd w:val="clear" w:color="auto" w:fill="auto"/>
            <w:vAlign w:val="center"/>
          </w:tcPr>
          <w:p w14:paraId="5B8FA0A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99.17</w:t>
            </w:r>
          </w:p>
        </w:tc>
        <w:tc>
          <w:tcPr>
            <w:tcW w:w="918" w:type="dxa"/>
            <w:tcBorders>
              <w:top w:val="single" w:sz="4" w:space="0" w:color="auto"/>
              <w:left w:val="nil"/>
              <w:bottom w:val="single" w:sz="4" w:space="0" w:color="auto"/>
              <w:right w:val="single" w:sz="4" w:space="0" w:color="auto"/>
            </w:tcBorders>
            <w:shd w:val="clear" w:color="auto" w:fill="auto"/>
            <w:vAlign w:val="center"/>
          </w:tcPr>
          <w:p w14:paraId="3012D17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94.97</w:t>
            </w:r>
          </w:p>
        </w:tc>
      </w:tr>
    </w:tbl>
    <w:p w14:paraId="0262299D" w14:textId="77777777" w:rsidR="00A224ED" w:rsidRDefault="007B2260" w:rsidP="004F54E3">
      <w:pPr>
        <w:pStyle w:val="BodyTextIndent"/>
        <w:spacing w:before="120" w:after="0"/>
        <w:ind w:left="0" w:firstLine="567"/>
        <w:jc w:val="both"/>
        <w:rPr>
          <w:rStyle w:val="FontStyle59"/>
          <w:rFonts w:ascii="Arial" w:hAnsi="Arial" w:cs="Arial"/>
          <w:spacing w:val="0"/>
          <w:sz w:val="20"/>
          <w:szCs w:val="20"/>
          <w:lang w:val="uz-Cyrl-UZ"/>
        </w:rPr>
      </w:pPr>
      <w:r w:rsidRPr="007B2260">
        <w:rPr>
          <w:rFonts w:ascii="Arial" w:hAnsi="Arial" w:cs="Arial"/>
          <w:sz w:val="20"/>
          <w:szCs w:val="20"/>
          <w:lang w:val="uz-Cyrl-UZ"/>
        </w:rPr>
        <w:t xml:space="preserve">The precipitates containing 29.54-33.19%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7B2260">
        <w:rPr>
          <w:rFonts w:ascii="Arial" w:hAnsi="Arial" w:cs="Arial"/>
          <w:sz w:val="20"/>
          <w:szCs w:val="20"/>
          <w:lang w:val="uz-Cyrl-UZ"/>
        </w:rPr>
        <w:t>, 9.17-9.52% F, 6.73-10.71% MgO, 12.00-12.74</w:t>
      </w:r>
      <w:r w:rsidR="00684ECA">
        <w:rPr>
          <w:rFonts w:ascii="Arial" w:hAnsi="Arial" w:cs="Arial"/>
          <w:sz w:val="20"/>
          <w:szCs w:val="20"/>
          <w:lang w:val="uz-Cyrl-UZ"/>
        </w:rPr>
        <w:t>% CaO, 5.52-5.99</w:t>
      </w:r>
      <w:r w:rsidRPr="007B2260">
        <w:rPr>
          <w:rFonts w:ascii="Arial" w:hAnsi="Arial" w:cs="Arial"/>
          <w:sz w:val="20"/>
          <w:szCs w:val="20"/>
          <w:lang w:val="uz-Cyrl-UZ"/>
        </w:rPr>
        <w:t>% Al</w:t>
      </w:r>
      <w:r w:rsidRPr="00684ECA">
        <w:rPr>
          <w:rFonts w:ascii="Arial" w:hAnsi="Arial" w:cs="Arial"/>
          <w:sz w:val="20"/>
          <w:szCs w:val="20"/>
          <w:vertAlign w:val="subscript"/>
          <w:lang w:val="uz-Cyrl-UZ"/>
        </w:rPr>
        <w:t>2</w:t>
      </w:r>
      <w:r w:rsidRPr="007B2260">
        <w:rPr>
          <w:rFonts w:ascii="Arial" w:hAnsi="Arial" w:cs="Arial"/>
          <w:sz w:val="20"/>
          <w:szCs w:val="20"/>
          <w:lang w:val="uz-Cyrl-UZ"/>
        </w:rPr>
        <w:t>O</w:t>
      </w:r>
      <w:r w:rsidRPr="00684ECA">
        <w:rPr>
          <w:rFonts w:ascii="Arial" w:hAnsi="Arial" w:cs="Arial"/>
          <w:sz w:val="20"/>
          <w:szCs w:val="20"/>
          <w:vertAlign w:val="subscript"/>
          <w:lang w:val="uz-Cyrl-UZ"/>
        </w:rPr>
        <w:t>3</w:t>
      </w:r>
      <w:r w:rsidRPr="007B2260">
        <w:rPr>
          <w:rFonts w:ascii="Arial" w:hAnsi="Arial" w:cs="Arial"/>
          <w:sz w:val="20"/>
          <w:szCs w:val="20"/>
          <w:lang w:val="uz-Cyrl-UZ"/>
        </w:rPr>
        <w:t>, 3.69-3.90% Fe</w:t>
      </w:r>
      <w:r w:rsidRPr="00684ECA">
        <w:rPr>
          <w:rFonts w:ascii="Arial" w:hAnsi="Arial" w:cs="Arial"/>
          <w:sz w:val="20"/>
          <w:szCs w:val="20"/>
          <w:vertAlign w:val="subscript"/>
          <w:lang w:val="uz-Cyrl-UZ"/>
        </w:rPr>
        <w:t>2</w:t>
      </w:r>
      <w:r w:rsidRPr="007B2260">
        <w:rPr>
          <w:rFonts w:ascii="Arial" w:hAnsi="Arial" w:cs="Arial"/>
          <w:sz w:val="20"/>
          <w:szCs w:val="20"/>
          <w:lang w:val="uz-Cyrl-UZ"/>
        </w:rPr>
        <w:t>O</w:t>
      </w:r>
      <w:r w:rsidRPr="00684ECA">
        <w:rPr>
          <w:rFonts w:ascii="Arial" w:hAnsi="Arial" w:cs="Arial"/>
          <w:sz w:val="20"/>
          <w:szCs w:val="20"/>
          <w:vertAlign w:val="subscript"/>
          <w:lang w:val="uz-Cyrl-UZ"/>
        </w:rPr>
        <w:t>3</w:t>
      </w:r>
      <w:r w:rsidRPr="007B2260">
        <w:rPr>
          <w:rFonts w:ascii="Arial" w:hAnsi="Arial" w:cs="Arial"/>
          <w:sz w:val="20"/>
          <w:szCs w:val="20"/>
          <w:lang w:val="uz-Cyrl-UZ"/>
        </w:rPr>
        <w:t xml:space="preserve"> and 5.94-6.55% SO</w:t>
      </w:r>
      <w:r w:rsidRPr="00684ECA">
        <w:rPr>
          <w:rFonts w:ascii="Arial" w:hAnsi="Arial" w:cs="Arial"/>
          <w:sz w:val="20"/>
          <w:szCs w:val="20"/>
          <w:vertAlign w:val="subscript"/>
          <w:lang w:val="uz-Cyrl-UZ"/>
        </w:rPr>
        <w:t>3</w:t>
      </w:r>
      <w:r w:rsidRPr="007B2260">
        <w:rPr>
          <w:rFonts w:ascii="Arial" w:hAnsi="Arial" w:cs="Arial"/>
          <w:sz w:val="20"/>
          <w:szCs w:val="20"/>
          <w:lang w:val="uz-Cyrl-UZ"/>
        </w:rPr>
        <w:t xml:space="preserve"> (table 2) are citrate-soluble and are quite suitable as a slow-release fertilizer. They may be represented by salts such as (Ca,Mg)HPO</w:t>
      </w:r>
      <w:r w:rsidRPr="00684ECA">
        <w:rPr>
          <w:rFonts w:ascii="Arial" w:hAnsi="Arial" w:cs="Arial"/>
          <w:sz w:val="20"/>
          <w:szCs w:val="20"/>
          <w:vertAlign w:val="subscript"/>
          <w:lang w:val="uz-Cyrl-UZ"/>
        </w:rPr>
        <w:t>4</w:t>
      </w:r>
      <w:r w:rsidRPr="007B2260">
        <w:rPr>
          <w:rFonts w:ascii="Arial" w:hAnsi="Arial" w:cs="Arial"/>
          <w:sz w:val="20"/>
          <w:szCs w:val="20"/>
          <w:lang w:val="uz-Cyrl-UZ"/>
        </w:rPr>
        <w:t>, (Ca,Mg)SO</w:t>
      </w:r>
      <w:r w:rsidRPr="00684ECA">
        <w:rPr>
          <w:rFonts w:ascii="Arial" w:hAnsi="Arial" w:cs="Arial"/>
          <w:sz w:val="20"/>
          <w:szCs w:val="20"/>
          <w:vertAlign w:val="subscript"/>
          <w:lang w:val="uz-Cyrl-UZ"/>
        </w:rPr>
        <w:t>4</w:t>
      </w:r>
      <w:r w:rsidRPr="007B2260">
        <w:rPr>
          <w:rFonts w:ascii="Arial" w:hAnsi="Arial" w:cs="Arial"/>
          <w:sz w:val="20"/>
          <w:szCs w:val="20"/>
          <w:lang w:val="uz-Cyrl-UZ"/>
        </w:rPr>
        <w:t>, (Fe,Al)PO</w:t>
      </w:r>
      <w:r w:rsidRPr="00684ECA">
        <w:rPr>
          <w:rFonts w:ascii="Arial" w:hAnsi="Arial" w:cs="Arial"/>
          <w:sz w:val="20"/>
          <w:szCs w:val="20"/>
          <w:vertAlign w:val="subscript"/>
          <w:lang w:val="uz-Cyrl-UZ"/>
        </w:rPr>
        <w:t>4</w:t>
      </w:r>
      <w:r w:rsidR="00684ECA">
        <w:rPr>
          <w:rFonts w:ascii="Arial" w:hAnsi="Arial" w:cs="Arial"/>
          <w:sz w:val="20"/>
          <w:szCs w:val="20"/>
          <w:lang w:val="uz-Cyrl-UZ"/>
        </w:rPr>
        <w:t>, and (Ca,</w:t>
      </w:r>
      <w:r w:rsidRPr="007B2260">
        <w:rPr>
          <w:rFonts w:ascii="Arial" w:hAnsi="Arial" w:cs="Arial"/>
          <w:sz w:val="20"/>
          <w:szCs w:val="20"/>
          <w:lang w:val="uz-Cyrl-UZ"/>
        </w:rPr>
        <w:t>Mg)SiF</w:t>
      </w:r>
      <w:r w:rsidRPr="00684ECA">
        <w:rPr>
          <w:rFonts w:ascii="Arial" w:hAnsi="Arial" w:cs="Arial"/>
          <w:sz w:val="20"/>
          <w:szCs w:val="20"/>
          <w:vertAlign w:val="subscript"/>
          <w:lang w:val="uz-Cyrl-UZ"/>
        </w:rPr>
        <w:t>6</w:t>
      </w:r>
      <w:r w:rsidRPr="007B2260">
        <w:rPr>
          <w:rFonts w:ascii="Arial" w:hAnsi="Arial" w:cs="Arial"/>
          <w:sz w:val="20"/>
          <w:szCs w:val="20"/>
          <w:lang w:val="uz-Cyrl-UZ"/>
        </w:rPr>
        <w:t xml:space="preserve"> in both crystalline and amorphous forms.</w:t>
      </w:r>
    </w:p>
    <w:p w14:paraId="0AE30ECE" w14:textId="77777777" w:rsidR="007B2260" w:rsidRDefault="00E93BE2" w:rsidP="004F54E3">
      <w:pPr>
        <w:pStyle w:val="BodyTextIndent"/>
        <w:spacing w:before="120"/>
        <w:ind w:left="0"/>
        <w:jc w:val="both"/>
        <w:rPr>
          <w:rFonts w:ascii="Arial" w:hAnsi="Arial" w:cs="Arial"/>
          <w:b/>
          <w:i/>
          <w:sz w:val="20"/>
          <w:szCs w:val="20"/>
          <w:lang w:val="uz-Cyrl-UZ"/>
        </w:rPr>
      </w:pPr>
      <w:r w:rsidRPr="00E93BE2">
        <w:rPr>
          <w:rFonts w:ascii="Arial" w:hAnsi="Arial" w:cs="Arial"/>
          <w:b/>
          <w:sz w:val="20"/>
          <w:szCs w:val="20"/>
          <w:lang w:val="uz-Cyrl-UZ"/>
        </w:rPr>
        <w:t xml:space="preserve">Table </w:t>
      </w:r>
      <w:r w:rsidR="007B2260">
        <w:rPr>
          <w:rFonts w:ascii="Arial" w:hAnsi="Arial" w:cs="Arial"/>
          <w:b/>
          <w:sz w:val="20"/>
          <w:szCs w:val="20"/>
          <w:lang w:val="en-US"/>
        </w:rPr>
        <w:t>2</w:t>
      </w:r>
      <w:r w:rsidRPr="00E93BE2">
        <w:rPr>
          <w:rFonts w:ascii="Arial" w:hAnsi="Arial" w:cs="Arial"/>
          <w:b/>
          <w:sz w:val="20"/>
          <w:szCs w:val="20"/>
          <w:lang w:val="uz-Cyrl-UZ"/>
        </w:rPr>
        <w:t xml:space="preserve">. </w:t>
      </w:r>
      <w:r w:rsidR="007B2260" w:rsidRPr="007B2260">
        <w:rPr>
          <w:rFonts w:ascii="Arial" w:hAnsi="Arial" w:cs="Arial"/>
          <w:b/>
          <w:sz w:val="20"/>
          <w:szCs w:val="20"/>
          <w:lang w:val="uz-Cyrl-UZ"/>
        </w:rPr>
        <w:t xml:space="preserve">Chemical composition of precipitates generated during the purification of desulfurized WPA </w:t>
      </w:r>
    </w:p>
    <w:tbl>
      <w:tblPr>
        <w:tblW w:w="8648" w:type="dxa"/>
        <w:jc w:val="center"/>
        <w:tblLayout w:type="fixed"/>
        <w:tblLook w:val="0000" w:firstRow="0" w:lastRow="0" w:firstColumn="0" w:lastColumn="0" w:noHBand="0" w:noVBand="0"/>
      </w:tblPr>
      <w:tblGrid>
        <w:gridCol w:w="2583"/>
        <w:gridCol w:w="831"/>
        <w:gridCol w:w="850"/>
        <w:gridCol w:w="840"/>
        <w:gridCol w:w="851"/>
        <w:gridCol w:w="850"/>
        <w:gridCol w:w="851"/>
        <w:gridCol w:w="992"/>
      </w:tblGrid>
      <w:tr w:rsidR="007B2260" w:rsidRPr="00684ECA" w14:paraId="49DA3D9B" w14:textId="77777777" w:rsidTr="00A86020">
        <w:trPr>
          <w:trHeight w:val="104"/>
          <w:jc w:val="center"/>
        </w:trPr>
        <w:tc>
          <w:tcPr>
            <w:tcW w:w="2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BB31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Mass ratio of</w:t>
            </w:r>
          </w:p>
          <w:p w14:paraId="12D2DB1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w:t>
            </w:r>
            <w:r w:rsidRPr="00684ECA">
              <w:rPr>
                <w:rFonts w:ascii="Arial" w:eastAsia="Times New Roman" w:hAnsi="Arial" w:cs="Arial"/>
                <w:sz w:val="20"/>
                <w:szCs w:val="20"/>
                <w:vertAlign w:val="subscript"/>
                <w:lang w:val="en-US"/>
              </w:rPr>
              <w:t>2</w:t>
            </w:r>
            <w:r w:rsidRPr="00684ECA">
              <w:rPr>
                <w:rFonts w:ascii="Arial" w:eastAsia="Times New Roman" w:hAnsi="Arial" w:cs="Arial"/>
                <w:sz w:val="20"/>
                <w:szCs w:val="20"/>
                <w:lang w:val="en-US"/>
              </w:rPr>
              <w:t>H</w:t>
            </w:r>
            <w:r w:rsidRPr="00684ECA">
              <w:rPr>
                <w:rFonts w:ascii="Arial" w:eastAsia="Times New Roman" w:hAnsi="Arial" w:cs="Arial"/>
                <w:sz w:val="20"/>
                <w:szCs w:val="20"/>
                <w:vertAlign w:val="subscript"/>
                <w:lang w:val="en-US"/>
              </w:rPr>
              <w:t>5</w:t>
            </w:r>
            <w:proofErr w:type="gramStart"/>
            <w:r w:rsidRPr="00684ECA">
              <w:rPr>
                <w:rFonts w:ascii="Arial" w:eastAsia="Times New Roman" w:hAnsi="Arial" w:cs="Arial"/>
                <w:sz w:val="20"/>
                <w:szCs w:val="20"/>
                <w:lang w:val="en-US"/>
              </w:rPr>
              <w:t>OH :</w:t>
            </w:r>
            <w:proofErr w:type="gramEnd"/>
            <w:r w:rsidRPr="00684ECA">
              <w:rPr>
                <w:rFonts w:ascii="Arial" w:eastAsia="Times New Roman" w:hAnsi="Arial" w:cs="Arial"/>
                <w:sz w:val="20"/>
                <w:szCs w:val="20"/>
                <w:lang w:val="en-US"/>
              </w:rPr>
              <w:t xml:space="preserve"> CH</w:t>
            </w:r>
            <w:r w:rsidRPr="00684ECA">
              <w:rPr>
                <w:rFonts w:ascii="Arial" w:eastAsia="Times New Roman" w:hAnsi="Arial" w:cs="Arial"/>
                <w:sz w:val="20"/>
                <w:szCs w:val="20"/>
                <w:vertAlign w:val="subscript"/>
                <w:lang w:val="en-US"/>
              </w:rPr>
              <w:t>3</w:t>
            </w:r>
            <w:r w:rsidRPr="00684ECA">
              <w:rPr>
                <w:rFonts w:ascii="Arial" w:eastAsia="Times New Roman" w:hAnsi="Arial" w:cs="Arial"/>
                <w:sz w:val="20"/>
                <w:szCs w:val="20"/>
                <w:lang w:val="en-US"/>
              </w:rPr>
              <w:t>COCH</w:t>
            </w:r>
            <w:r w:rsidRPr="00684ECA">
              <w:rPr>
                <w:rFonts w:ascii="Cambria Math" w:eastAsia="Times New Roman" w:hAnsi="Cambria Math" w:cs="Cambria Math"/>
                <w:sz w:val="20"/>
                <w:szCs w:val="20"/>
                <w:lang w:val="en-US"/>
              </w:rPr>
              <w:t>₃</w:t>
            </w:r>
          </w:p>
        </w:tc>
        <w:tc>
          <w:tcPr>
            <w:tcW w:w="6065" w:type="dxa"/>
            <w:gridSpan w:val="7"/>
            <w:tcBorders>
              <w:top w:val="single" w:sz="4" w:space="0" w:color="auto"/>
              <w:left w:val="nil"/>
              <w:bottom w:val="single" w:sz="4" w:space="0" w:color="auto"/>
              <w:right w:val="single" w:sz="4" w:space="0" w:color="auto"/>
            </w:tcBorders>
            <w:shd w:val="clear" w:color="auto" w:fill="auto"/>
            <w:vAlign w:val="center"/>
          </w:tcPr>
          <w:p w14:paraId="3E2C703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Content of components on a dry basis, wt. %.</w:t>
            </w:r>
          </w:p>
        </w:tc>
      </w:tr>
      <w:tr w:rsidR="007B2260" w:rsidRPr="00684ECA" w14:paraId="7353318F" w14:textId="77777777" w:rsidTr="00A86020">
        <w:trPr>
          <w:trHeight w:val="232"/>
          <w:jc w:val="center"/>
        </w:trPr>
        <w:tc>
          <w:tcPr>
            <w:tcW w:w="2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7A49A9" w14:textId="77777777" w:rsidR="007B2260" w:rsidRPr="00684ECA" w:rsidRDefault="007B2260" w:rsidP="007B2260">
            <w:pPr>
              <w:spacing w:after="0" w:line="240" w:lineRule="auto"/>
              <w:jc w:val="center"/>
              <w:rPr>
                <w:rFonts w:ascii="Arial" w:eastAsia="Times New Roman" w:hAnsi="Arial" w:cs="Arial"/>
                <w:sz w:val="20"/>
                <w:szCs w:val="20"/>
                <w:vertAlign w:val="subscript"/>
                <w:lang w:val="en-US"/>
              </w:rPr>
            </w:pPr>
          </w:p>
        </w:tc>
        <w:tc>
          <w:tcPr>
            <w:tcW w:w="831" w:type="dxa"/>
            <w:tcBorders>
              <w:top w:val="nil"/>
              <w:left w:val="nil"/>
              <w:bottom w:val="single" w:sz="4" w:space="0" w:color="auto"/>
              <w:right w:val="single" w:sz="4" w:space="0" w:color="auto"/>
            </w:tcBorders>
            <w:shd w:val="clear" w:color="auto" w:fill="auto"/>
            <w:vAlign w:val="center"/>
          </w:tcPr>
          <w:p w14:paraId="7268B6E0" w14:textId="77777777" w:rsidR="007B2260" w:rsidRPr="00684ECA" w:rsidRDefault="007B2260" w:rsidP="007B2260">
            <w:pPr>
              <w:spacing w:after="0" w:line="240" w:lineRule="auto"/>
              <w:jc w:val="center"/>
              <w:rPr>
                <w:rFonts w:ascii="Arial" w:eastAsia="Times New Roman" w:hAnsi="Arial" w:cs="Arial"/>
                <w:sz w:val="20"/>
                <w:szCs w:val="20"/>
                <w:vertAlign w:val="subscript"/>
                <w:lang w:val="en-US"/>
              </w:rPr>
            </w:pPr>
            <w:r w:rsidRPr="00684ECA">
              <w:rPr>
                <w:rFonts w:ascii="Arial" w:eastAsia="Times New Roman" w:hAnsi="Arial" w:cs="Arial"/>
                <w:color w:val="000000"/>
                <w:sz w:val="20"/>
                <w:szCs w:val="20"/>
                <w:lang w:val="en-US"/>
              </w:rPr>
              <w:t>P</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363CB17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w:t>
            </w:r>
          </w:p>
        </w:tc>
        <w:tc>
          <w:tcPr>
            <w:tcW w:w="840" w:type="dxa"/>
            <w:tcBorders>
              <w:top w:val="nil"/>
              <w:left w:val="nil"/>
              <w:bottom w:val="single" w:sz="4" w:space="0" w:color="auto"/>
              <w:right w:val="single" w:sz="4" w:space="0" w:color="auto"/>
            </w:tcBorders>
            <w:shd w:val="clear" w:color="auto" w:fill="auto"/>
            <w:vAlign w:val="center"/>
          </w:tcPr>
          <w:p w14:paraId="51706F34"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MgО</w:t>
            </w:r>
            <w:proofErr w:type="spellEnd"/>
          </w:p>
        </w:tc>
        <w:tc>
          <w:tcPr>
            <w:tcW w:w="851" w:type="dxa"/>
            <w:tcBorders>
              <w:top w:val="nil"/>
              <w:left w:val="nil"/>
              <w:bottom w:val="single" w:sz="4" w:space="0" w:color="auto"/>
              <w:right w:val="single" w:sz="4" w:space="0" w:color="auto"/>
            </w:tcBorders>
            <w:shd w:val="clear" w:color="auto" w:fill="auto"/>
            <w:vAlign w:val="center"/>
          </w:tcPr>
          <w:p w14:paraId="61670358"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CаО</w:t>
            </w:r>
            <w:proofErr w:type="spellEnd"/>
          </w:p>
        </w:tc>
        <w:tc>
          <w:tcPr>
            <w:tcW w:w="850" w:type="dxa"/>
            <w:tcBorders>
              <w:top w:val="nil"/>
              <w:left w:val="nil"/>
              <w:bottom w:val="single" w:sz="4" w:space="0" w:color="auto"/>
              <w:right w:val="single" w:sz="4" w:space="0" w:color="auto"/>
            </w:tcBorders>
            <w:shd w:val="clear" w:color="auto" w:fill="auto"/>
            <w:vAlign w:val="center"/>
          </w:tcPr>
          <w:p w14:paraId="47F81E8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Аl</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851" w:type="dxa"/>
            <w:tcBorders>
              <w:top w:val="nil"/>
              <w:left w:val="nil"/>
              <w:bottom w:val="single" w:sz="4" w:space="0" w:color="auto"/>
              <w:right w:val="single" w:sz="4" w:space="0" w:color="auto"/>
            </w:tcBorders>
            <w:shd w:val="clear" w:color="auto" w:fill="auto"/>
            <w:vAlign w:val="center"/>
          </w:tcPr>
          <w:p w14:paraId="14B93AC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Fе</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210FB9A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SО</w:t>
            </w:r>
            <w:r w:rsidRPr="00684ECA">
              <w:rPr>
                <w:rFonts w:ascii="Arial" w:eastAsia="Times New Roman" w:hAnsi="Arial" w:cs="Arial"/>
                <w:color w:val="000000"/>
                <w:sz w:val="20"/>
                <w:szCs w:val="20"/>
                <w:vertAlign w:val="subscript"/>
                <w:lang w:val="en-US"/>
              </w:rPr>
              <w:t>3</w:t>
            </w:r>
          </w:p>
        </w:tc>
      </w:tr>
      <w:tr w:rsidR="007B2260" w:rsidRPr="00684ECA" w14:paraId="0906B05C" w14:textId="77777777" w:rsidTr="00A86020">
        <w:trPr>
          <w:trHeight w:val="191"/>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59A1239F"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0.33</w:t>
            </w:r>
          </w:p>
        </w:tc>
        <w:tc>
          <w:tcPr>
            <w:tcW w:w="831" w:type="dxa"/>
            <w:tcBorders>
              <w:top w:val="nil"/>
              <w:left w:val="nil"/>
              <w:bottom w:val="single" w:sz="4" w:space="0" w:color="auto"/>
              <w:right w:val="single" w:sz="4" w:space="0" w:color="auto"/>
            </w:tcBorders>
            <w:shd w:val="clear" w:color="auto" w:fill="auto"/>
            <w:vAlign w:val="center"/>
          </w:tcPr>
          <w:p w14:paraId="15E0818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29.54</w:t>
            </w:r>
          </w:p>
        </w:tc>
        <w:tc>
          <w:tcPr>
            <w:tcW w:w="850" w:type="dxa"/>
            <w:tcBorders>
              <w:top w:val="nil"/>
              <w:left w:val="nil"/>
              <w:bottom w:val="single" w:sz="4" w:space="0" w:color="auto"/>
              <w:right w:val="single" w:sz="4" w:space="0" w:color="auto"/>
            </w:tcBorders>
            <w:shd w:val="clear" w:color="auto" w:fill="auto"/>
            <w:vAlign w:val="center"/>
          </w:tcPr>
          <w:p w14:paraId="60D5C7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9.52</w:t>
            </w:r>
          </w:p>
        </w:tc>
        <w:tc>
          <w:tcPr>
            <w:tcW w:w="840" w:type="dxa"/>
            <w:tcBorders>
              <w:top w:val="nil"/>
              <w:left w:val="nil"/>
              <w:bottom w:val="single" w:sz="4" w:space="0" w:color="auto"/>
              <w:right w:val="single" w:sz="4" w:space="0" w:color="auto"/>
            </w:tcBorders>
            <w:shd w:val="clear" w:color="auto" w:fill="auto"/>
            <w:vAlign w:val="center"/>
          </w:tcPr>
          <w:p w14:paraId="045AE59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6.73</w:t>
            </w:r>
          </w:p>
        </w:tc>
        <w:tc>
          <w:tcPr>
            <w:tcW w:w="851" w:type="dxa"/>
            <w:tcBorders>
              <w:top w:val="nil"/>
              <w:left w:val="nil"/>
              <w:bottom w:val="single" w:sz="4" w:space="0" w:color="auto"/>
              <w:right w:val="single" w:sz="4" w:space="0" w:color="auto"/>
            </w:tcBorders>
            <w:shd w:val="clear" w:color="auto" w:fill="auto"/>
            <w:vAlign w:val="center"/>
          </w:tcPr>
          <w:p w14:paraId="2E2670E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12.69</w:t>
            </w:r>
          </w:p>
        </w:tc>
        <w:tc>
          <w:tcPr>
            <w:tcW w:w="850" w:type="dxa"/>
            <w:tcBorders>
              <w:top w:val="nil"/>
              <w:left w:val="nil"/>
              <w:bottom w:val="single" w:sz="4" w:space="0" w:color="auto"/>
              <w:right w:val="single" w:sz="4" w:space="0" w:color="auto"/>
            </w:tcBorders>
            <w:shd w:val="clear" w:color="auto" w:fill="auto"/>
            <w:vAlign w:val="center"/>
          </w:tcPr>
          <w:p w14:paraId="13C522D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5.93</w:t>
            </w:r>
          </w:p>
        </w:tc>
        <w:tc>
          <w:tcPr>
            <w:tcW w:w="851" w:type="dxa"/>
            <w:tcBorders>
              <w:top w:val="nil"/>
              <w:left w:val="nil"/>
              <w:bottom w:val="single" w:sz="4" w:space="0" w:color="auto"/>
              <w:right w:val="single" w:sz="4" w:space="0" w:color="auto"/>
            </w:tcBorders>
            <w:shd w:val="clear" w:color="auto" w:fill="auto"/>
            <w:vAlign w:val="center"/>
          </w:tcPr>
          <w:p w14:paraId="0CD7117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3.87</w:t>
            </w:r>
          </w:p>
        </w:tc>
        <w:tc>
          <w:tcPr>
            <w:tcW w:w="992" w:type="dxa"/>
            <w:tcBorders>
              <w:top w:val="nil"/>
              <w:left w:val="nil"/>
              <w:bottom w:val="single" w:sz="4" w:space="0" w:color="auto"/>
              <w:right w:val="single" w:sz="4" w:space="0" w:color="auto"/>
            </w:tcBorders>
            <w:shd w:val="clear" w:color="auto" w:fill="auto"/>
            <w:vAlign w:val="center"/>
          </w:tcPr>
          <w:p w14:paraId="31C5B6E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5.94</w:t>
            </w:r>
          </w:p>
        </w:tc>
      </w:tr>
      <w:tr w:rsidR="007B2260" w:rsidRPr="00684ECA" w14:paraId="2DF13982" w14:textId="77777777" w:rsidTr="00A86020">
        <w:trPr>
          <w:trHeight w:val="154"/>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60A8773C"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0.5</w:t>
            </w:r>
          </w:p>
        </w:tc>
        <w:tc>
          <w:tcPr>
            <w:tcW w:w="831" w:type="dxa"/>
            <w:tcBorders>
              <w:top w:val="nil"/>
              <w:left w:val="nil"/>
              <w:bottom w:val="single" w:sz="4" w:space="0" w:color="auto"/>
              <w:right w:val="single" w:sz="4" w:space="0" w:color="auto"/>
            </w:tcBorders>
            <w:shd w:val="clear" w:color="auto" w:fill="auto"/>
            <w:vAlign w:val="center"/>
          </w:tcPr>
          <w:p w14:paraId="39F3336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29.64</w:t>
            </w:r>
          </w:p>
        </w:tc>
        <w:tc>
          <w:tcPr>
            <w:tcW w:w="850" w:type="dxa"/>
            <w:tcBorders>
              <w:top w:val="nil"/>
              <w:left w:val="nil"/>
              <w:bottom w:val="single" w:sz="4" w:space="0" w:color="auto"/>
              <w:right w:val="single" w:sz="4" w:space="0" w:color="auto"/>
            </w:tcBorders>
            <w:shd w:val="clear" w:color="auto" w:fill="auto"/>
            <w:noWrap/>
            <w:vAlign w:val="center"/>
          </w:tcPr>
          <w:p w14:paraId="4206F05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9.25</w:t>
            </w:r>
          </w:p>
        </w:tc>
        <w:tc>
          <w:tcPr>
            <w:tcW w:w="840" w:type="dxa"/>
            <w:tcBorders>
              <w:top w:val="nil"/>
              <w:left w:val="nil"/>
              <w:bottom w:val="single" w:sz="4" w:space="0" w:color="auto"/>
              <w:right w:val="single" w:sz="4" w:space="0" w:color="auto"/>
            </w:tcBorders>
            <w:shd w:val="clear" w:color="auto" w:fill="auto"/>
            <w:noWrap/>
            <w:vAlign w:val="center"/>
          </w:tcPr>
          <w:p w14:paraId="1F40481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7.48</w:t>
            </w:r>
          </w:p>
        </w:tc>
        <w:tc>
          <w:tcPr>
            <w:tcW w:w="851" w:type="dxa"/>
            <w:tcBorders>
              <w:top w:val="nil"/>
              <w:left w:val="nil"/>
              <w:bottom w:val="single" w:sz="4" w:space="0" w:color="auto"/>
              <w:right w:val="single" w:sz="4" w:space="0" w:color="auto"/>
            </w:tcBorders>
            <w:shd w:val="clear" w:color="auto" w:fill="auto"/>
            <w:vAlign w:val="center"/>
          </w:tcPr>
          <w:p w14:paraId="0019D96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12.74</w:t>
            </w:r>
          </w:p>
        </w:tc>
        <w:tc>
          <w:tcPr>
            <w:tcW w:w="850" w:type="dxa"/>
            <w:tcBorders>
              <w:top w:val="nil"/>
              <w:left w:val="nil"/>
              <w:bottom w:val="single" w:sz="4" w:space="0" w:color="auto"/>
              <w:right w:val="single" w:sz="4" w:space="0" w:color="auto"/>
            </w:tcBorders>
            <w:shd w:val="clear" w:color="auto" w:fill="auto"/>
            <w:noWrap/>
            <w:vAlign w:val="center"/>
          </w:tcPr>
          <w:p w14:paraId="7AB5BF0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5.99</w:t>
            </w:r>
          </w:p>
        </w:tc>
        <w:tc>
          <w:tcPr>
            <w:tcW w:w="851" w:type="dxa"/>
            <w:tcBorders>
              <w:top w:val="nil"/>
              <w:left w:val="nil"/>
              <w:bottom w:val="single" w:sz="4" w:space="0" w:color="auto"/>
              <w:right w:val="single" w:sz="4" w:space="0" w:color="auto"/>
            </w:tcBorders>
            <w:shd w:val="clear" w:color="auto" w:fill="auto"/>
            <w:vAlign w:val="center"/>
          </w:tcPr>
          <w:p w14:paraId="296E200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3.90</w:t>
            </w:r>
          </w:p>
        </w:tc>
        <w:tc>
          <w:tcPr>
            <w:tcW w:w="992" w:type="dxa"/>
            <w:tcBorders>
              <w:top w:val="nil"/>
              <w:left w:val="nil"/>
              <w:bottom w:val="single" w:sz="4" w:space="0" w:color="auto"/>
              <w:right w:val="single" w:sz="4" w:space="0" w:color="auto"/>
            </w:tcBorders>
            <w:shd w:val="clear" w:color="auto" w:fill="auto"/>
            <w:vAlign w:val="center"/>
          </w:tcPr>
          <w:p w14:paraId="00CF5B6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6.27</w:t>
            </w:r>
          </w:p>
        </w:tc>
      </w:tr>
      <w:tr w:rsidR="007B2260" w:rsidRPr="00684ECA" w14:paraId="4FDE7190" w14:textId="77777777" w:rsidTr="00A86020">
        <w:trPr>
          <w:trHeight w:val="143"/>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1A37FC95"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1.26</w:t>
            </w:r>
          </w:p>
        </w:tc>
        <w:tc>
          <w:tcPr>
            <w:tcW w:w="831" w:type="dxa"/>
            <w:tcBorders>
              <w:top w:val="nil"/>
              <w:left w:val="nil"/>
              <w:bottom w:val="single" w:sz="4" w:space="0" w:color="auto"/>
              <w:right w:val="single" w:sz="4" w:space="0" w:color="auto"/>
            </w:tcBorders>
            <w:shd w:val="clear" w:color="auto" w:fill="auto"/>
            <w:vAlign w:val="center"/>
          </w:tcPr>
          <w:p w14:paraId="70E1A2A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30.29</w:t>
            </w:r>
          </w:p>
        </w:tc>
        <w:tc>
          <w:tcPr>
            <w:tcW w:w="850" w:type="dxa"/>
            <w:tcBorders>
              <w:top w:val="nil"/>
              <w:left w:val="nil"/>
              <w:bottom w:val="single" w:sz="4" w:space="0" w:color="auto"/>
              <w:right w:val="single" w:sz="4" w:space="0" w:color="auto"/>
            </w:tcBorders>
            <w:shd w:val="clear" w:color="auto" w:fill="auto"/>
            <w:noWrap/>
            <w:vAlign w:val="center"/>
          </w:tcPr>
          <w:p w14:paraId="1B28C90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9.27</w:t>
            </w:r>
          </w:p>
        </w:tc>
        <w:tc>
          <w:tcPr>
            <w:tcW w:w="840" w:type="dxa"/>
            <w:tcBorders>
              <w:top w:val="nil"/>
              <w:left w:val="nil"/>
              <w:bottom w:val="single" w:sz="4" w:space="0" w:color="auto"/>
              <w:right w:val="single" w:sz="4" w:space="0" w:color="auto"/>
            </w:tcBorders>
            <w:shd w:val="clear" w:color="auto" w:fill="auto"/>
            <w:noWrap/>
            <w:vAlign w:val="center"/>
          </w:tcPr>
          <w:p w14:paraId="06B5CFC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8.89</w:t>
            </w:r>
          </w:p>
        </w:tc>
        <w:tc>
          <w:tcPr>
            <w:tcW w:w="851" w:type="dxa"/>
            <w:tcBorders>
              <w:top w:val="nil"/>
              <w:left w:val="nil"/>
              <w:bottom w:val="single" w:sz="4" w:space="0" w:color="auto"/>
              <w:right w:val="single" w:sz="4" w:space="0" w:color="auto"/>
            </w:tcBorders>
            <w:shd w:val="clear" w:color="auto" w:fill="auto"/>
            <w:vAlign w:val="center"/>
          </w:tcPr>
          <w:p w14:paraId="07F0561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12.00</w:t>
            </w:r>
          </w:p>
        </w:tc>
        <w:tc>
          <w:tcPr>
            <w:tcW w:w="850" w:type="dxa"/>
            <w:tcBorders>
              <w:top w:val="nil"/>
              <w:left w:val="nil"/>
              <w:bottom w:val="single" w:sz="4" w:space="0" w:color="auto"/>
              <w:right w:val="single" w:sz="4" w:space="0" w:color="auto"/>
            </w:tcBorders>
            <w:shd w:val="clear" w:color="auto" w:fill="auto"/>
            <w:noWrap/>
            <w:vAlign w:val="center"/>
          </w:tcPr>
          <w:p w14:paraId="2A23799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5.63</w:t>
            </w:r>
          </w:p>
        </w:tc>
        <w:tc>
          <w:tcPr>
            <w:tcW w:w="851" w:type="dxa"/>
            <w:tcBorders>
              <w:top w:val="nil"/>
              <w:left w:val="nil"/>
              <w:bottom w:val="single" w:sz="4" w:space="0" w:color="auto"/>
              <w:right w:val="single" w:sz="4" w:space="0" w:color="auto"/>
            </w:tcBorders>
            <w:shd w:val="clear" w:color="auto" w:fill="auto"/>
            <w:vAlign w:val="center"/>
          </w:tcPr>
          <w:p w14:paraId="2DFB4E8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3.79</w:t>
            </w:r>
          </w:p>
        </w:tc>
        <w:tc>
          <w:tcPr>
            <w:tcW w:w="992" w:type="dxa"/>
            <w:tcBorders>
              <w:top w:val="nil"/>
              <w:left w:val="nil"/>
              <w:bottom w:val="single" w:sz="4" w:space="0" w:color="auto"/>
              <w:right w:val="single" w:sz="4" w:space="0" w:color="auto"/>
            </w:tcBorders>
            <w:shd w:val="clear" w:color="auto" w:fill="auto"/>
            <w:vAlign w:val="center"/>
          </w:tcPr>
          <w:p w14:paraId="1D01246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6.43</w:t>
            </w:r>
          </w:p>
        </w:tc>
      </w:tr>
      <w:tr w:rsidR="007B2260" w:rsidRPr="00684ECA" w14:paraId="5017629C" w14:textId="77777777" w:rsidTr="00A86020">
        <w:trPr>
          <w:trHeight w:val="151"/>
          <w:jc w:val="center"/>
        </w:trPr>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23B77B9A"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2</w:t>
            </w:r>
          </w:p>
        </w:tc>
        <w:tc>
          <w:tcPr>
            <w:tcW w:w="831" w:type="dxa"/>
            <w:tcBorders>
              <w:top w:val="single" w:sz="4" w:space="0" w:color="auto"/>
              <w:left w:val="nil"/>
              <w:bottom w:val="single" w:sz="4" w:space="0" w:color="auto"/>
              <w:right w:val="single" w:sz="4" w:space="0" w:color="auto"/>
            </w:tcBorders>
            <w:shd w:val="clear" w:color="auto" w:fill="auto"/>
            <w:vAlign w:val="center"/>
          </w:tcPr>
          <w:p w14:paraId="510D981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30.54</w:t>
            </w:r>
          </w:p>
        </w:tc>
        <w:tc>
          <w:tcPr>
            <w:tcW w:w="850" w:type="dxa"/>
            <w:tcBorders>
              <w:top w:val="single" w:sz="4" w:space="0" w:color="auto"/>
              <w:left w:val="nil"/>
              <w:bottom w:val="single" w:sz="4" w:space="0" w:color="auto"/>
              <w:right w:val="single" w:sz="4" w:space="0" w:color="auto"/>
            </w:tcBorders>
            <w:shd w:val="clear" w:color="auto" w:fill="auto"/>
            <w:vAlign w:val="center"/>
          </w:tcPr>
          <w:p w14:paraId="118F84D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9.43</w:t>
            </w:r>
          </w:p>
        </w:tc>
        <w:tc>
          <w:tcPr>
            <w:tcW w:w="840" w:type="dxa"/>
            <w:tcBorders>
              <w:top w:val="single" w:sz="4" w:space="0" w:color="auto"/>
              <w:left w:val="nil"/>
              <w:bottom w:val="single" w:sz="4" w:space="0" w:color="auto"/>
              <w:right w:val="single" w:sz="4" w:space="0" w:color="auto"/>
            </w:tcBorders>
            <w:shd w:val="clear" w:color="auto" w:fill="auto"/>
            <w:vAlign w:val="center"/>
          </w:tcPr>
          <w:p w14:paraId="49E7FC9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10.70</w:t>
            </w:r>
          </w:p>
        </w:tc>
        <w:tc>
          <w:tcPr>
            <w:tcW w:w="851" w:type="dxa"/>
            <w:tcBorders>
              <w:top w:val="single" w:sz="4" w:space="0" w:color="auto"/>
              <w:left w:val="nil"/>
              <w:bottom w:val="single" w:sz="4" w:space="0" w:color="auto"/>
              <w:right w:val="single" w:sz="4" w:space="0" w:color="auto"/>
            </w:tcBorders>
            <w:shd w:val="clear" w:color="auto" w:fill="auto"/>
            <w:vAlign w:val="center"/>
          </w:tcPr>
          <w:p w14:paraId="63D196C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12.17</w:t>
            </w:r>
          </w:p>
        </w:tc>
        <w:tc>
          <w:tcPr>
            <w:tcW w:w="850" w:type="dxa"/>
            <w:tcBorders>
              <w:top w:val="single" w:sz="4" w:space="0" w:color="auto"/>
              <w:left w:val="nil"/>
              <w:bottom w:val="single" w:sz="4" w:space="0" w:color="auto"/>
              <w:right w:val="single" w:sz="4" w:space="0" w:color="auto"/>
            </w:tcBorders>
            <w:shd w:val="clear" w:color="auto" w:fill="auto"/>
            <w:vAlign w:val="center"/>
          </w:tcPr>
          <w:p w14:paraId="7A912D8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5.74</w:t>
            </w:r>
          </w:p>
        </w:tc>
        <w:tc>
          <w:tcPr>
            <w:tcW w:w="851" w:type="dxa"/>
            <w:tcBorders>
              <w:top w:val="single" w:sz="4" w:space="0" w:color="auto"/>
              <w:left w:val="nil"/>
              <w:bottom w:val="single" w:sz="4" w:space="0" w:color="auto"/>
              <w:right w:val="single" w:sz="4" w:space="0" w:color="auto"/>
            </w:tcBorders>
            <w:shd w:val="clear" w:color="auto" w:fill="auto"/>
            <w:vAlign w:val="center"/>
          </w:tcPr>
          <w:p w14:paraId="2E8D3FF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3.79</w:t>
            </w:r>
          </w:p>
        </w:tc>
        <w:tc>
          <w:tcPr>
            <w:tcW w:w="992" w:type="dxa"/>
            <w:tcBorders>
              <w:top w:val="single" w:sz="4" w:space="0" w:color="auto"/>
              <w:left w:val="nil"/>
              <w:bottom w:val="single" w:sz="4" w:space="0" w:color="auto"/>
              <w:right w:val="single" w:sz="4" w:space="0" w:color="auto"/>
            </w:tcBorders>
            <w:shd w:val="clear" w:color="auto" w:fill="auto"/>
            <w:vAlign w:val="center"/>
          </w:tcPr>
          <w:p w14:paraId="7BDC5E3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6.55</w:t>
            </w:r>
          </w:p>
        </w:tc>
      </w:tr>
      <w:tr w:rsidR="007B2260" w:rsidRPr="00684ECA" w14:paraId="584F3D2E" w14:textId="77777777" w:rsidTr="00A86020">
        <w:trPr>
          <w:trHeight w:val="124"/>
          <w:jc w:val="center"/>
        </w:trPr>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2C2ED39D"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gramStart"/>
            <w:r w:rsidRPr="00684ECA">
              <w:rPr>
                <w:rFonts w:ascii="Arial" w:eastAsia="Times New Roman" w:hAnsi="Arial" w:cs="Arial"/>
                <w:color w:val="000000"/>
                <w:sz w:val="20"/>
                <w:szCs w:val="20"/>
                <w:lang w:val="en-US"/>
              </w:rPr>
              <w:t>1 :</w:t>
            </w:r>
            <w:proofErr w:type="gramEnd"/>
            <w:r w:rsidRPr="00684ECA">
              <w:rPr>
                <w:rFonts w:ascii="Arial" w:eastAsia="Times New Roman" w:hAnsi="Arial" w:cs="Arial"/>
                <w:color w:val="000000"/>
                <w:sz w:val="20"/>
                <w:szCs w:val="20"/>
                <w:lang w:val="en-US"/>
              </w:rPr>
              <w:t xml:space="preserve"> 3</w:t>
            </w:r>
          </w:p>
        </w:tc>
        <w:tc>
          <w:tcPr>
            <w:tcW w:w="831" w:type="dxa"/>
            <w:tcBorders>
              <w:top w:val="single" w:sz="4" w:space="0" w:color="auto"/>
              <w:left w:val="nil"/>
              <w:bottom w:val="single" w:sz="4" w:space="0" w:color="auto"/>
              <w:right w:val="single" w:sz="4" w:space="0" w:color="auto"/>
            </w:tcBorders>
            <w:shd w:val="clear" w:color="auto" w:fill="auto"/>
            <w:vAlign w:val="center"/>
          </w:tcPr>
          <w:p w14:paraId="1B78F8D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33.19</w:t>
            </w:r>
          </w:p>
        </w:tc>
        <w:tc>
          <w:tcPr>
            <w:tcW w:w="850" w:type="dxa"/>
            <w:tcBorders>
              <w:top w:val="single" w:sz="4" w:space="0" w:color="auto"/>
              <w:left w:val="nil"/>
              <w:bottom w:val="single" w:sz="4" w:space="0" w:color="auto"/>
              <w:right w:val="single" w:sz="4" w:space="0" w:color="auto"/>
            </w:tcBorders>
            <w:shd w:val="clear" w:color="auto" w:fill="auto"/>
            <w:vAlign w:val="center"/>
          </w:tcPr>
          <w:p w14:paraId="0AEE280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9.17</w:t>
            </w:r>
          </w:p>
        </w:tc>
        <w:tc>
          <w:tcPr>
            <w:tcW w:w="840" w:type="dxa"/>
            <w:tcBorders>
              <w:top w:val="single" w:sz="4" w:space="0" w:color="auto"/>
              <w:left w:val="nil"/>
              <w:bottom w:val="single" w:sz="4" w:space="0" w:color="auto"/>
              <w:right w:val="single" w:sz="4" w:space="0" w:color="auto"/>
            </w:tcBorders>
            <w:shd w:val="clear" w:color="auto" w:fill="auto"/>
            <w:vAlign w:val="center"/>
          </w:tcPr>
          <w:p w14:paraId="6D82F7B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4666A3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12.06</w:t>
            </w:r>
          </w:p>
        </w:tc>
        <w:tc>
          <w:tcPr>
            <w:tcW w:w="850" w:type="dxa"/>
            <w:tcBorders>
              <w:top w:val="single" w:sz="4" w:space="0" w:color="auto"/>
              <w:left w:val="nil"/>
              <w:bottom w:val="single" w:sz="4" w:space="0" w:color="auto"/>
              <w:right w:val="single" w:sz="4" w:space="0" w:color="auto"/>
            </w:tcBorders>
            <w:shd w:val="clear" w:color="auto" w:fill="auto"/>
            <w:vAlign w:val="center"/>
          </w:tcPr>
          <w:p w14:paraId="7805C37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5.52</w:t>
            </w:r>
          </w:p>
        </w:tc>
        <w:tc>
          <w:tcPr>
            <w:tcW w:w="851" w:type="dxa"/>
            <w:tcBorders>
              <w:top w:val="single" w:sz="4" w:space="0" w:color="auto"/>
              <w:left w:val="nil"/>
              <w:bottom w:val="single" w:sz="4" w:space="0" w:color="auto"/>
              <w:right w:val="single" w:sz="4" w:space="0" w:color="auto"/>
            </w:tcBorders>
            <w:shd w:val="clear" w:color="auto" w:fill="auto"/>
            <w:vAlign w:val="center"/>
          </w:tcPr>
          <w:p w14:paraId="1029170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3.69</w:t>
            </w:r>
          </w:p>
        </w:tc>
        <w:tc>
          <w:tcPr>
            <w:tcW w:w="992" w:type="dxa"/>
            <w:tcBorders>
              <w:top w:val="single" w:sz="4" w:space="0" w:color="auto"/>
              <w:left w:val="nil"/>
              <w:bottom w:val="single" w:sz="4" w:space="0" w:color="auto"/>
              <w:right w:val="single" w:sz="4" w:space="0" w:color="auto"/>
            </w:tcBorders>
            <w:shd w:val="clear" w:color="auto" w:fill="auto"/>
            <w:vAlign w:val="center"/>
          </w:tcPr>
          <w:p w14:paraId="1366581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6.39</w:t>
            </w:r>
          </w:p>
        </w:tc>
      </w:tr>
    </w:tbl>
    <w:p w14:paraId="72EAF615" w14:textId="77777777" w:rsidR="00855753" w:rsidRDefault="00855753" w:rsidP="004F54E3">
      <w:pPr>
        <w:pStyle w:val="BodyTextIndent"/>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 xml:space="preserve">To achieve the regeneration and reuse of organic solvents in the purification process, a mixture of acetone, ethanol, and phosphoric acid was subjected to vacuum evaporation at 0.65 mm Hg. During this process, acetone was </w:t>
      </w:r>
      <w:r w:rsidR="00956810">
        <w:rPr>
          <w:rFonts w:ascii="Arial" w:hAnsi="Arial" w:cs="Arial"/>
          <w:sz w:val="20"/>
          <w:szCs w:val="20"/>
          <w:lang w:val="uz-Cyrl-UZ"/>
        </w:rPr>
        <w:t>distilled first at 58°C, followed by ethanol at 80</w:t>
      </w:r>
      <w:r w:rsidRPr="00855753">
        <w:rPr>
          <w:rFonts w:ascii="Arial" w:hAnsi="Arial" w:cs="Arial"/>
          <w:sz w:val="20"/>
          <w:szCs w:val="20"/>
          <w:lang w:val="uz-Cyrl-UZ"/>
        </w:rPr>
        <w:t>°C, and finally water. The distilled solvents were condensed and collected, allowing the recovered acetone and ethanol to be reintroduced into the purification cycle for subsequent use.</w:t>
      </w:r>
    </w:p>
    <w:p w14:paraId="3AEF84CE" w14:textId="77777777" w:rsidR="0050364E" w:rsidRPr="00855753" w:rsidRDefault="0050364E" w:rsidP="004F54E3">
      <w:pPr>
        <w:pStyle w:val="BodyTextIndent"/>
        <w:spacing w:before="120"/>
        <w:ind w:left="0"/>
        <w:jc w:val="center"/>
        <w:rPr>
          <w:rFonts w:ascii="Arial" w:hAnsi="Arial" w:cs="Arial"/>
          <w:b/>
          <w:sz w:val="20"/>
          <w:szCs w:val="20"/>
          <w:lang w:val="uz-Cyrl-UZ"/>
        </w:rPr>
      </w:pPr>
      <w:r w:rsidRPr="00D46467">
        <w:rPr>
          <w:rFonts w:ascii="Arial" w:hAnsi="Arial" w:cs="Arial"/>
          <w:b/>
          <w:sz w:val="20"/>
          <w:szCs w:val="20"/>
          <w:lang w:val="uz-Cyrl-UZ"/>
        </w:rPr>
        <w:t xml:space="preserve">Table </w:t>
      </w:r>
      <w:r w:rsidR="00855753">
        <w:rPr>
          <w:rFonts w:ascii="Arial" w:hAnsi="Arial" w:cs="Arial"/>
          <w:b/>
          <w:sz w:val="20"/>
          <w:szCs w:val="20"/>
          <w:lang w:val="en-US"/>
        </w:rPr>
        <w:t>3</w:t>
      </w:r>
      <w:r w:rsidRPr="00D46467">
        <w:rPr>
          <w:rFonts w:ascii="Arial" w:hAnsi="Arial" w:cs="Arial"/>
          <w:b/>
          <w:sz w:val="20"/>
          <w:szCs w:val="20"/>
          <w:lang w:val="uz-Cyrl-UZ"/>
        </w:rPr>
        <w:t xml:space="preserve">. </w:t>
      </w:r>
      <w:r w:rsidR="00855753" w:rsidRPr="00855753">
        <w:rPr>
          <w:rFonts w:ascii="Arial" w:hAnsi="Arial" w:cs="Arial"/>
          <w:b/>
          <w:sz w:val="20"/>
          <w:szCs w:val="20"/>
          <w:lang w:val="uz-Cyrl-UZ"/>
        </w:rPr>
        <w:t xml:space="preserve">Chemical composition of concentrated phosphoric acid following organic solvent re-extraction </w:t>
      </w:r>
    </w:p>
    <w:tbl>
      <w:tblPr>
        <w:tblW w:w="8217" w:type="dxa"/>
        <w:jc w:val="center"/>
        <w:tblLayout w:type="fixed"/>
        <w:tblLook w:val="0000" w:firstRow="0" w:lastRow="0" w:firstColumn="0" w:lastColumn="0" w:noHBand="0" w:noVBand="0"/>
      </w:tblPr>
      <w:tblGrid>
        <w:gridCol w:w="2152"/>
        <w:gridCol w:w="831"/>
        <w:gridCol w:w="850"/>
        <w:gridCol w:w="840"/>
        <w:gridCol w:w="851"/>
        <w:gridCol w:w="850"/>
        <w:gridCol w:w="851"/>
        <w:gridCol w:w="992"/>
      </w:tblGrid>
      <w:tr w:rsidR="00855753" w:rsidRPr="00956810" w14:paraId="4F349264" w14:textId="77777777" w:rsidTr="00A86020">
        <w:trPr>
          <w:trHeight w:val="104"/>
          <w:jc w:val="center"/>
        </w:trPr>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C6B25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Mass ratio of</w:t>
            </w:r>
          </w:p>
          <w:p w14:paraId="0EB5B0B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C</w:t>
            </w:r>
            <w:r w:rsidRPr="00956810">
              <w:rPr>
                <w:rFonts w:ascii="Arial" w:eastAsia="Times New Roman" w:hAnsi="Arial" w:cs="Arial"/>
                <w:sz w:val="20"/>
                <w:szCs w:val="20"/>
                <w:vertAlign w:val="subscript"/>
                <w:lang w:val="en-US"/>
              </w:rPr>
              <w:t>2</w:t>
            </w:r>
            <w:r w:rsidRPr="00956810">
              <w:rPr>
                <w:rFonts w:ascii="Arial" w:eastAsia="Times New Roman" w:hAnsi="Arial" w:cs="Arial"/>
                <w:sz w:val="20"/>
                <w:szCs w:val="20"/>
                <w:lang w:val="en-US"/>
              </w:rPr>
              <w:t>H</w:t>
            </w:r>
            <w:r w:rsidRPr="00956810">
              <w:rPr>
                <w:rFonts w:ascii="Arial" w:eastAsia="Times New Roman" w:hAnsi="Arial" w:cs="Arial"/>
                <w:sz w:val="20"/>
                <w:szCs w:val="20"/>
                <w:vertAlign w:val="subscript"/>
                <w:lang w:val="en-US"/>
              </w:rPr>
              <w:t>5</w:t>
            </w:r>
            <w:proofErr w:type="gramStart"/>
            <w:r w:rsidRPr="00956810">
              <w:rPr>
                <w:rFonts w:ascii="Arial" w:eastAsia="Times New Roman" w:hAnsi="Arial" w:cs="Arial"/>
                <w:sz w:val="20"/>
                <w:szCs w:val="20"/>
                <w:lang w:val="en-US"/>
              </w:rPr>
              <w:t>OH :</w:t>
            </w:r>
            <w:proofErr w:type="gramEnd"/>
            <w:r w:rsidRPr="00956810">
              <w:rPr>
                <w:rFonts w:ascii="Arial" w:eastAsia="Times New Roman" w:hAnsi="Arial" w:cs="Arial"/>
                <w:sz w:val="20"/>
                <w:szCs w:val="20"/>
                <w:lang w:val="en-US"/>
              </w:rPr>
              <w:t xml:space="preserve"> CH</w:t>
            </w:r>
            <w:r w:rsidRPr="00956810">
              <w:rPr>
                <w:rFonts w:ascii="Arial" w:eastAsia="Times New Roman" w:hAnsi="Arial" w:cs="Arial"/>
                <w:sz w:val="20"/>
                <w:szCs w:val="20"/>
                <w:vertAlign w:val="subscript"/>
                <w:lang w:val="en-US"/>
              </w:rPr>
              <w:t>3</w:t>
            </w:r>
            <w:r w:rsidRPr="00956810">
              <w:rPr>
                <w:rFonts w:ascii="Arial" w:eastAsia="Times New Roman" w:hAnsi="Arial" w:cs="Arial"/>
                <w:sz w:val="20"/>
                <w:szCs w:val="20"/>
                <w:lang w:val="en-US"/>
              </w:rPr>
              <w:t>COCH</w:t>
            </w:r>
            <w:r w:rsidRPr="00956810">
              <w:rPr>
                <w:rFonts w:ascii="Cambria Math" w:eastAsia="Times New Roman" w:hAnsi="Cambria Math" w:cs="Cambria Math"/>
                <w:sz w:val="20"/>
                <w:szCs w:val="20"/>
                <w:lang w:val="en-US"/>
              </w:rPr>
              <w:t>₃</w:t>
            </w:r>
          </w:p>
        </w:tc>
        <w:tc>
          <w:tcPr>
            <w:tcW w:w="6065" w:type="dxa"/>
            <w:gridSpan w:val="7"/>
            <w:tcBorders>
              <w:top w:val="single" w:sz="4" w:space="0" w:color="auto"/>
              <w:left w:val="nil"/>
              <w:bottom w:val="single" w:sz="4" w:space="0" w:color="auto"/>
              <w:right w:val="single" w:sz="4" w:space="0" w:color="auto"/>
            </w:tcBorders>
            <w:shd w:val="clear" w:color="auto" w:fill="auto"/>
            <w:vAlign w:val="center"/>
          </w:tcPr>
          <w:p w14:paraId="6B48496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Content of components, wt. %</w:t>
            </w:r>
          </w:p>
        </w:tc>
      </w:tr>
      <w:tr w:rsidR="00855753" w:rsidRPr="00956810" w14:paraId="75C9C2A9" w14:textId="77777777" w:rsidTr="00A86020">
        <w:trPr>
          <w:trHeight w:val="232"/>
          <w:jc w:val="center"/>
        </w:trPr>
        <w:tc>
          <w:tcPr>
            <w:tcW w:w="21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E0D2FB" w14:textId="77777777" w:rsidR="00855753" w:rsidRPr="00956810" w:rsidRDefault="00855753" w:rsidP="00855753">
            <w:pPr>
              <w:spacing w:after="0" w:line="240" w:lineRule="auto"/>
              <w:jc w:val="center"/>
              <w:rPr>
                <w:rFonts w:ascii="Arial" w:eastAsia="Times New Roman" w:hAnsi="Arial" w:cs="Arial"/>
                <w:sz w:val="20"/>
                <w:szCs w:val="20"/>
                <w:lang w:val="en-US"/>
              </w:rPr>
            </w:pPr>
          </w:p>
        </w:tc>
        <w:tc>
          <w:tcPr>
            <w:tcW w:w="831" w:type="dxa"/>
            <w:tcBorders>
              <w:top w:val="nil"/>
              <w:left w:val="nil"/>
              <w:bottom w:val="single" w:sz="4" w:space="0" w:color="auto"/>
              <w:right w:val="single" w:sz="4" w:space="0" w:color="auto"/>
            </w:tcBorders>
            <w:shd w:val="clear" w:color="auto" w:fill="auto"/>
            <w:vAlign w:val="center"/>
          </w:tcPr>
          <w:p w14:paraId="020ABA0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709080E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F</w:t>
            </w:r>
          </w:p>
        </w:tc>
        <w:tc>
          <w:tcPr>
            <w:tcW w:w="840" w:type="dxa"/>
            <w:tcBorders>
              <w:top w:val="nil"/>
              <w:left w:val="nil"/>
              <w:bottom w:val="single" w:sz="4" w:space="0" w:color="auto"/>
              <w:right w:val="single" w:sz="4" w:space="0" w:color="auto"/>
            </w:tcBorders>
            <w:shd w:val="clear" w:color="auto" w:fill="auto"/>
            <w:vAlign w:val="center"/>
          </w:tcPr>
          <w:p w14:paraId="72AD10C1"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spellStart"/>
            <w:r w:rsidRPr="00956810">
              <w:rPr>
                <w:rFonts w:ascii="Arial" w:eastAsia="Times New Roman" w:hAnsi="Arial" w:cs="Arial"/>
                <w:color w:val="000000"/>
                <w:sz w:val="20"/>
                <w:szCs w:val="20"/>
                <w:lang w:val="en-US"/>
              </w:rPr>
              <w:t>MgО</w:t>
            </w:r>
            <w:proofErr w:type="spellEnd"/>
          </w:p>
        </w:tc>
        <w:tc>
          <w:tcPr>
            <w:tcW w:w="851" w:type="dxa"/>
            <w:tcBorders>
              <w:top w:val="nil"/>
              <w:left w:val="nil"/>
              <w:bottom w:val="single" w:sz="4" w:space="0" w:color="auto"/>
              <w:right w:val="single" w:sz="4" w:space="0" w:color="auto"/>
            </w:tcBorders>
            <w:shd w:val="clear" w:color="auto" w:fill="auto"/>
            <w:vAlign w:val="center"/>
          </w:tcPr>
          <w:p w14:paraId="7468A4EF"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spellStart"/>
            <w:r w:rsidRPr="00956810">
              <w:rPr>
                <w:rFonts w:ascii="Arial" w:eastAsia="Times New Roman" w:hAnsi="Arial" w:cs="Arial"/>
                <w:color w:val="000000"/>
                <w:sz w:val="20"/>
                <w:szCs w:val="20"/>
                <w:lang w:val="en-US"/>
              </w:rPr>
              <w:t>CаО</w:t>
            </w:r>
            <w:proofErr w:type="spellEnd"/>
          </w:p>
        </w:tc>
        <w:tc>
          <w:tcPr>
            <w:tcW w:w="850" w:type="dxa"/>
            <w:tcBorders>
              <w:top w:val="nil"/>
              <w:left w:val="nil"/>
              <w:bottom w:val="single" w:sz="4" w:space="0" w:color="auto"/>
              <w:right w:val="single" w:sz="4" w:space="0" w:color="auto"/>
            </w:tcBorders>
            <w:shd w:val="clear" w:color="auto" w:fill="auto"/>
            <w:vAlign w:val="center"/>
          </w:tcPr>
          <w:p w14:paraId="6D8C698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Аl</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851" w:type="dxa"/>
            <w:tcBorders>
              <w:top w:val="nil"/>
              <w:left w:val="nil"/>
              <w:bottom w:val="single" w:sz="4" w:space="0" w:color="auto"/>
              <w:right w:val="single" w:sz="4" w:space="0" w:color="auto"/>
            </w:tcBorders>
            <w:shd w:val="clear" w:color="auto" w:fill="auto"/>
            <w:vAlign w:val="center"/>
          </w:tcPr>
          <w:p w14:paraId="3EB9078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Fе</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5B62BBC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SО</w:t>
            </w:r>
            <w:r w:rsidRPr="00956810">
              <w:rPr>
                <w:rFonts w:ascii="Arial" w:eastAsia="Times New Roman" w:hAnsi="Arial" w:cs="Arial"/>
                <w:color w:val="000000"/>
                <w:sz w:val="20"/>
                <w:szCs w:val="20"/>
                <w:vertAlign w:val="subscript"/>
                <w:lang w:val="en-US"/>
              </w:rPr>
              <w:t>3</w:t>
            </w:r>
          </w:p>
        </w:tc>
      </w:tr>
      <w:tr w:rsidR="00855753" w:rsidRPr="00956810" w14:paraId="33B767BE" w14:textId="77777777" w:rsidTr="00A86020">
        <w:trPr>
          <w:trHeight w:val="191"/>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583DCEA5"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gramStart"/>
            <w:r w:rsidRPr="00956810">
              <w:rPr>
                <w:rFonts w:ascii="Arial" w:eastAsia="Times New Roman" w:hAnsi="Arial" w:cs="Arial"/>
                <w:color w:val="000000"/>
                <w:sz w:val="20"/>
                <w:szCs w:val="20"/>
                <w:lang w:val="en-US"/>
              </w:rPr>
              <w:t>1 :</w:t>
            </w:r>
            <w:proofErr w:type="gramEnd"/>
            <w:r w:rsidRPr="00956810">
              <w:rPr>
                <w:rFonts w:ascii="Arial" w:eastAsia="Times New Roman" w:hAnsi="Arial" w:cs="Arial"/>
                <w:color w:val="000000"/>
                <w:sz w:val="20"/>
                <w:szCs w:val="20"/>
                <w:lang w:val="en-US"/>
              </w:rPr>
              <w:t xml:space="preserve"> 0.33</w:t>
            </w:r>
          </w:p>
        </w:tc>
        <w:tc>
          <w:tcPr>
            <w:tcW w:w="831" w:type="dxa"/>
            <w:tcBorders>
              <w:top w:val="nil"/>
              <w:left w:val="nil"/>
              <w:bottom w:val="single" w:sz="4" w:space="0" w:color="auto"/>
              <w:right w:val="single" w:sz="4" w:space="0" w:color="auto"/>
            </w:tcBorders>
            <w:shd w:val="clear" w:color="auto" w:fill="auto"/>
            <w:vAlign w:val="center"/>
          </w:tcPr>
          <w:p w14:paraId="562D7684"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45.29</w:t>
            </w:r>
          </w:p>
        </w:tc>
        <w:tc>
          <w:tcPr>
            <w:tcW w:w="850" w:type="dxa"/>
            <w:tcBorders>
              <w:top w:val="nil"/>
              <w:left w:val="nil"/>
              <w:bottom w:val="single" w:sz="4" w:space="0" w:color="auto"/>
              <w:right w:val="single" w:sz="4" w:space="0" w:color="auto"/>
            </w:tcBorders>
            <w:shd w:val="clear" w:color="auto" w:fill="auto"/>
            <w:vAlign w:val="center"/>
          </w:tcPr>
          <w:p w14:paraId="2928995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0.44</w:t>
            </w:r>
          </w:p>
        </w:tc>
        <w:tc>
          <w:tcPr>
            <w:tcW w:w="840" w:type="dxa"/>
            <w:tcBorders>
              <w:top w:val="nil"/>
              <w:left w:val="nil"/>
              <w:bottom w:val="single" w:sz="4" w:space="0" w:color="auto"/>
              <w:right w:val="single" w:sz="4" w:space="0" w:color="auto"/>
            </w:tcBorders>
            <w:shd w:val="clear" w:color="auto" w:fill="auto"/>
            <w:vAlign w:val="center"/>
          </w:tcPr>
          <w:p w14:paraId="158F945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1.56</w:t>
            </w:r>
          </w:p>
        </w:tc>
        <w:tc>
          <w:tcPr>
            <w:tcW w:w="851" w:type="dxa"/>
            <w:tcBorders>
              <w:top w:val="nil"/>
              <w:left w:val="nil"/>
              <w:bottom w:val="single" w:sz="4" w:space="0" w:color="auto"/>
              <w:right w:val="single" w:sz="4" w:space="0" w:color="auto"/>
            </w:tcBorders>
            <w:shd w:val="clear" w:color="auto" w:fill="auto"/>
            <w:vAlign w:val="center"/>
          </w:tcPr>
          <w:p w14:paraId="4039CEF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0.22</w:t>
            </w:r>
          </w:p>
        </w:tc>
        <w:tc>
          <w:tcPr>
            <w:tcW w:w="850" w:type="dxa"/>
            <w:tcBorders>
              <w:top w:val="nil"/>
              <w:left w:val="nil"/>
              <w:bottom w:val="single" w:sz="4" w:space="0" w:color="auto"/>
              <w:right w:val="single" w:sz="4" w:space="0" w:color="auto"/>
            </w:tcBorders>
            <w:shd w:val="clear" w:color="auto" w:fill="auto"/>
            <w:vAlign w:val="center"/>
          </w:tcPr>
          <w:p w14:paraId="04C627B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0.09</w:t>
            </w:r>
          </w:p>
        </w:tc>
        <w:tc>
          <w:tcPr>
            <w:tcW w:w="851" w:type="dxa"/>
            <w:tcBorders>
              <w:top w:val="nil"/>
              <w:left w:val="nil"/>
              <w:bottom w:val="single" w:sz="4" w:space="0" w:color="auto"/>
              <w:right w:val="single" w:sz="4" w:space="0" w:color="auto"/>
            </w:tcBorders>
            <w:shd w:val="clear" w:color="auto" w:fill="auto"/>
            <w:vAlign w:val="center"/>
          </w:tcPr>
          <w:p w14:paraId="40EE314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0.09</w:t>
            </w:r>
          </w:p>
        </w:tc>
        <w:tc>
          <w:tcPr>
            <w:tcW w:w="992" w:type="dxa"/>
            <w:tcBorders>
              <w:top w:val="nil"/>
              <w:left w:val="nil"/>
              <w:bottom w:val="single" w:sz="4" w:space="0" w:color="auto"/>
              <w:right w:val="single" w:sz="4" w:space="0" w:color="auto"/>
            </w:tcBorders>
            <w:shd w:val="clear" w:color="auto" w:fill="auto"/>
            <w:vAlign w:val="center"/>
          </w:tcPr>
          <w:p w14:paraId="0CE4770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0.21</w:t>
            </w:r>
          </w:p>
        </w:tc>
      </w:tr>
      <w:tr w:rsidR="00855753" w:rsidRPr="00956810" w14:paraId="44AF16D8" w14:textId="77777777" w:rsidTr="00A86020">
        <w:trPr>
          <w:trHeight w:val="221"/>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1E13A4D7"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gramStart"/>
            <w:r w:rsidRPr="00956810">
              <w:rPr>
                <w:rFonts w:ascii="Arial" w:eastAsia="Times New Roman" w:hAnsi="Arial" w:cs="Arial"/>
                <w:color w:val="000000"/>
                <w:sz w:val="20"/>
                <w:szCs w:val="20"/>
                <w:lang w:val="en-US"/>
              </w:rPr>
              <w:t>1 :</w:t>
            </w:r>
            <w:proofErr w:type="gramEnd"/>
            <w:r w:rsidRPr="00956810">
              <w:rPr>
                <w:rFonts w:ascii="Arial" w:eastAsia="Times New Roman" w:hAnsi="Arial" w:cs="Arial"/>
                <w:color w:val="000000"/>
                <w:sz w:val="20"/>
                <w:szCs w:val="20"/>
                <w:lang w:val="en-US"/>
              </w:rPr>
              <w:t xml:space="preserve"> 0.5</w:t>
            </w:r>
          </w:p>
        </w:tc>
        <w:tc>
          <w:tcPr>
            <w:tcW w:w="831" w:type="dxa"/>
            <w:tcBorders>
              <w:top w:val="nil"/>
              <w:left w:val="nil"/>
              <w:bottom w:val="single" w:sz="4" w:space="0" w:color="auto"/>
              <w:right w:val="single" w:sz="4" w:space="0" w:color="auto"/>
            </w:tcBorders>
            <w:shd w:val="clear" w:color="auto" w:fill="auto"/>
            <w:vAlign w:val="center"/>
          </w:tcPr>
          <w:p w14:paraId="72A7842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45.31</w:t>
            </w:r>
          </w:p>
        </w:tc>
        <w:tc>
          <w:tcPr>
            <w:tcW w:w="850" w:type="dxa"/>
            <w:tcBorders>
              <w:top w:val="nil"/>
              <w:left w:val="nil"/>
              <w:bottom w:val="single" w:sz="4" w:space="0" w:color="auto"/>
              <w:right w:val="single" w:sz="4" w:space="0" w:color="auto"/>
            </w:tcBorders>
            <w:shd w:val="clear" w:color="auto" w:fill="auto"/>
            <w:noWrap/>
            <w:vAlign w:val="center"/>
          </w:tcPr>
          <w:p w14:paraId="1F85A0E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0.43</w:t>
            </w:r>
          </w:p>
        </w:tc>
        <w:tc>
          <w:tcPr>
            <w:tcW w:w="840" w:type="dxa"/>
            <w:tcBorders>
              <w:top w:val="nil"/>
              <w:left w:val="nil"/>
              <w:bottom w:val="single" w:sz="4" w:space="0" w:color="auto"/>
              <w:right w:val="single" w:sz="4" w:space="0" w:color="auto"/>
            </w:tcBorders>
            <w:shd w:val="clear" w:color="auto" w:fill="auto"/>
            <w:noWrap/>
            <w:vAlign w:val="center"/>
          </w:tcPr>
          <w:p w14:paraId="647AF544"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1.39</w:t>
            </w:r>
          </w:p>
        </w:tc>
        <w:tc>
          <w:tcPr>
            <w:tcW w:w="851" w:type="dxa"/>
            <w:tcBorders>
              <w:top w:val="nil"/>
              <w:left w:val="nil"/>
              <w:bottom w:val="single" w:sz="4" w:space="0" w:color="auto"/>
              <w:right w:val="single" w:sz="4" w:space="0" w:color="auto"/>
            </w:tcBorders>
            <w:shd w:val="clear" w:color="auto" w:fill="auto"/>
            <w:vAlign w:val="center"/>
          </w:tcPr>
          <w:p w14:paraId="5C201DC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0.20</w:t>
            </w:r>
          </w:p>
        </w:tc>
        <w:tc>
          <w:tcPr>
            <w:tcW w:w="850" w:type="dxa"/>
            <w:tcBorders>
              <w:top w:val="nil"/>
              <w:left w:val="nil"/>
              <w:bottom w:val="single" w:sz="4" w:space="0" w:color="auto"/>
              <w:right w:val="single" w:sz="4" w:space="0" w:color="auto"/>
            </w:tcBorders>
            <w:shd w:val="clear" w:color="auto" w:fill="auto"/>
            <w:noWrap/>
            <w:vAlign w:val="center"/>
          </w:tcPr>
          <w:p w14:paraId="572225BE"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851" w:type="dxa"/>
            <w:tcBorders>
              <w:top w:val="nil"/>
              <w:left w:val="nil"/>
              <w:bottom w:val="single" w:sz="4" w:space="0" w:color="auto"/>
              <w:right w:val="single" w:sz="4" w:space="0" w:color="auto"/>
            </w:tcBorders>
            <w:shd w:val="clear" w:color="auto" w:fill="auto"/>
            <w:vAlign w:val="center"/>
          </w:tcPr>
          <w:p w14:paraId="540EBF7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0.07</w:t>
            </w:r>
          </w:p>
        </w:tc>
        <w:tc>
          <w:tcPr>
            <w:tcW w:w="992" w:type="dxa"/>
            <w:tcBorders>
              <w:top w:val="nil"/>
              <w:left w:val="nil"/>
              <w:bottom w:val="single" w:sz="4" w:space="0" w:color="auto"/>
              <w:right w:val="single" w:sz="4" w:space="0" w:color="auto"/>
            </w:tcBorders>
            <w:shd w:val="clear" w:color="auto" w:fill="auto"/>
            <w:vAlign w:val="center"/>
          </w:tcPr>
          <w:p w14:paraId="54D32E9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0.16</w:t>
            </w:r>
          </w:p>
        </w:tc>
      </w:tr>
      <w:tr w:rsidR="00855753" w:rsidRPr="00956810" w14:paraId="28851B72" w14:textId="77777777" w:rsidTr="00A86020">
        <w:trPr>
          <w:trHeight w:val="212"/>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0C0C3AF5"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gramStart"/>
            <w:r w:rsidRPr="00956810">
              <w:rPr>
                <w:rFonts w:ascii="Arial" w:eastAsia="Times New Roman" w:hAnsi="Arial" w:cs="Arial"/>
                <w:color w:val="000000"/>
                <w:sz w:val="20"/>
                <w:szCs w:val="20"/>
                <w:lang w:val="en-US"/>
              </w:rPr>
              <w:t>1 :</w:t>
            </w:r>
            <w:proofErr w:type="gramEnd"/>
            <w:r w:rsidRPr="00956810">
              <w:rPr>
                <w:rFonts w:ascii="Arial" w:eastAsia="Times New Roman" w:hAnsi="Arial" w:cs="Arial"/>
                <w:color w:val="000000"/>
                <w:sz w:val="20"/>
                <w:szCs w:val="20"/>
                <w:lang w:val="en-US"/>
              </w:rPr>
              <w:t xml:space="preserve"> 1.26</w:t>
            </w:r>
          </w:p>
        </w:tc>
        <w:tc>
          <w:tcPr>
            <w:tcW w:w="831" w:type="dxa"/>
            <w:tcBorders>
              <w:top w:val="nil"/>
              <w:left w:val="nil"/>
              <w:bottom w:val="single" w:sz="4" w:space="0" w:color="auto"/>
              <w:right w:val="single" w:sz="4" w:space="0" w:color="auto"/>
            </w:tcBorders>
            <w:shd w:val="clear" w:color="auto" w:fill="auto"/>
            <w:vAlign w:val="center"/>
          </w:tcPr>
          <w:p w14:paraId="4C3E7E5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45.34</w:t>
            </w:r>
          </w:p>
        </w:tc>
        <w:tc>
          <w:tcPr>
            <w:tcW w:w="850" w:type="dxa"/>
            <w:tcBorders>
              <w:top w:val="nil"/>
              <w:left w:val="nil"/>
              <w:bottom w:val="single" w:sz="4" w:space="0" w:color="auto"/>
              <w:right w:val="single" w:sz="4" w:space="0" w:color="auto"/>
            </w:tcBorders>
            <w:shd w:val="clear" w:color="auto" w:fill="auto"/>
            <w:noWrap/>
            <w:vAlign w:val="center"/>
          </w:tcPr>
          <w:p w14:paraId="1482292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0.40</w:t>
            </w:r>
          </w:p>
        </w:tc>
        <w:tc>
          <w:tcPr>
            <w:tcW w:w="840" w:type="dxa"/>
            <w:tcBorders>
              <w:top w:val="nil"/>
              <w:left w:val="nil"/>
              <w:bottom w:val="single" w:sz="4" w:space="0" w:color="auto"/>
              <w:right w:val="single" w:sz="4" w:space="0" w:color="auto"/>
            </w:tcBorders>
            <w:shd w:val="clear" w:color="auto" w:fill="auto"/>
            <w:noWrap/>
            <w:vAlign w:val="center"/>
          </w:tcPr>
          <w:p w14:paraId="60706FB7"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0.99</w:t>
            </w:r>
          </w:p>
        </w:tc>
        <w:tc>
          <w:tcPr>
            <w:tcW w:w="851" w:type="dxa"/>
            <w:tcBorders>
              <w:top w:val="nil"/>
              <w:left w:val="nil"/>
              <w:bottom w:val="single" w:sz="4" w:space="0" w:color="auto"/>
              <w:right w:val="single" w:sz="4" w:space="0" w:color="auto"/>
            </w:tcBorders>
            <w:shd w:val="clear" w:color="auto" w:fill="auto"/>
            <w:vAlign w:val="center"/>
          </w:tcPr>
          <w:p w14:paraId="547A971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0.18</w:t>
            </w:r>
          </w:p>
        </w:tc>
        <w:tc>
          <w:tcPr>
            <w:tcW w:w="850" w:type="dxa"/>
            <w:tcBorders>
              <w:top w:val="nil"/>
              <w:left w:val="nil"/>
              <w:bottom w:val="single" w:sz="4" w:space="0" w:color="auto"/>
              <w:right w:val="single" w:sz="4" w:space="0" w:color="auto"/>
            </w:tcBorders>
            <w:shd w:val="clear" w:color="auto" w:fill="auto"/>
            <w:noWrap/>
            <w:vAlign w:val="center"/>
          </w:tcPr>
          <w:p w14:paraId="7E02745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851" w:type="dxa"/>
            <w:tcBorders>
              <w:top w:val="nil"/>
              <w:left w:val="nil"/>
              <w:bottom w:val="single" w:sz="4" w:space="0" w:color="auto"/>
              <w:right w:val="single" w:sz="4" w:space="0" w:color="auto"/>
            </w:tcBorders>
            <w:shd w:val="clear" w:color="auto" w:fill="auto"/>
            <w:vAlign w:val="center"/>
          </w:tcPr>
          <w:p w14:paraId="3F360F8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992" w:type="dxa"/>
            <w:tcBorders>
              <w:top w:val="nil"/>
              <w:left w:val="nil"/>
              <w:bottom w:val="single" w:sz="4" w:space="0" w:color="auto"/>
              <w:right w:val="single" w:sz="4" w:space="0" w:color="auto"/>
            </w:tcBorders>
            <w:shd w:val="clear" w:color="auto" w:fill="auto"/>
            <w:vAlign w:val="center"/>
          </w:tcPr>
          <w:p w14:paraId="17FEE43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0.10</w:t>
            </w:r>
          </w:p>
        </w:tc>
      </w:tr>
      <w:tr w:rsidR="00855753" w:rsidRPr="00956810" w14:paraId="3250E419" w14:textId="77777777" w:rsidTr="00A86020">
        <w:trPr>
          <w:trHeight w:val="215"/>
          <w:jc w:val="center"/>
        </w:trPr>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57AB09E"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gramStart"/>
            <w:r w:rsidRPr="00956810">
              <w:rPr>
                <w:rFonts w:ascii="Arial" w:eastAsia="Times New Roman" w:hAnsi="Arial" w:cs="Arial"/>
                <w:color w:val="000000"/>
                <w:sz w:val="20"/>
                <w:szCs w:val="20"/>
                <w:lang w:val="en-US"/>
              </w:rPr>
              <w:t>1 :</w:t>
            </w:r>
            <w:proofErr w:type="gramEnd"/>
            <w:r w:rsidRPr="00956810">
              <w:rPr>
                <w:rFonts w:ascii="Arial" w:eastAsia="Times New Roman" w:hAnsi="Arial" w:cs="Arial"/>
                <w:color w:val="000000"/>
                <w:sz w:val="20"/>
                <w:szCs w:val="20"/>
                <w:lang w:val="en-US"/>
              </w:rPr>
              <w:t xml:space="preserve"> 2</w:t>
            </w:r>
          </w:p>
        </w:tc>
        <w:tc>
          <w:tcPr>
            <w:tcW w:w="831" w:type="dxa"/>
            <w:tcBorders>
              <w:top w:val="single" w:sz="4" w:space="0" w:color="auto"/>
              <w:left w:val="nil"/>
              <w:bottom w:val="single" w:sz="4" w:space="0" w:color="auto"/>
              <w:right w:val="single" w:sz="4" w:space="0" w:color="auto"/>
            </w:tcBorders>
            <w:shd w:val="clear" w:color="auto" w:fill="auto"/>
            <w:vAlign w:val="center"/>
          </w:tcPr>
          <w:p w14:paraId="1ED66CD3"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45.41</w:t>
            </w:r>
          </w:p>
        </w:tc>
        <w:tc>
          <w:tcPr>
            <w:tcW w:w="850" w:type="dxa"/>
            <w:tcBorders>
              <w:top w:val="single" w:sz="4" w:space="0" w:color="auto"/>
              <w:left w:val="nil"/>
              <w:bottom w:val="single" w:sz="4" w:space="0" w:color="auto"/>
              <w:right w:val="single" w:sz="4" w:space="0" w:color="auto"/>
            </w:tcBorders>
            <w:shd w:val="clear" w:color="auto" w:fill="auto"/>
            <w:vAlign w:val="center"/>
          </w:tcPr>
          <w:p w14:paraId="2319A2C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0.36</w:t>
            </w:r>
          </w:p>
        </w:tc>
        <w:tc>
          <w:tcPr>
            <w:tcW w:w="840" w:type="dxa"/>
            <w:tcBorders>
              <w:top w:val="single" w:sz="4" w:space="0" w:color="auto"/>
              <w:left w:val="nil"/>
              <w:bottom w:val="single" w:sz="4" w:space="0" w:color="auto"/>
              <w:right w:val="single" w:sz="4" w:space="0" w:color="auto"/>
            </w:tcBorders>
            <w:shd w:val="clear" w:color="auto" w:fill="auto"/>
            <w:vAlign w:val="center"/>
          </w:tcPr>
          <w:p w14:paraId="2987B5F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0.63</w:t>
            </w:r>
          </w:p>
        </w:tc>
        <w:tc>
          <w:tcPr>
            <w:tcW w:w="851" w:type="dxa"/>
            <w:tcBorders>
              <w:top w:val="single" w:sz="4" w:space="0" w:color="auto"/>
              <w:left w:val="nil"/>
              <w:bottom w:val="single" w:sz="4" w:space="0" w:color="auto"/>
              <w:right w:val="single" w:sz="4" w:space="0" w:color="auto"/>
            </w:tcBorders>
            <w:shd w:val="clear" w:color="auto" w:fill="auto"/>
            <w:vAlign w:val="center"/>
          </w:tcPr>
          <w:p w14:paraId="565CAB9B"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0.16</w:t>
            </w:r>
          </w:p>
        </w:tc>
        <w:tc>
          <w:tcPr>
            <w:tcW w:w="850" w:type="dxa"/>
            <w:tcBorders>
              <w:top w:val="single" w:sz="4" w:space="0" w:color="auto"/>
              <w:left w:val="nil"/>
              <w:bottom w:val="single" w:sz="4" w:space="0" w:color="auto"/>
              <w:right w:val="single" w:sz="4" w:space="0" w:color="auto"/>
            </w:tcBorders>
            <w:shd w:val="clear" w:color="auto" w:fill="auto"/>
            <w:vAlign w:val="center"/>
          </w:tcPr>
          <w:p w14:paraId="3C30423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2268D07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2E7B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0.08</w:t>
            </w:r>
          </w:p>
        </w:tc>
      </w:tr>
      <w:tr w:rsidR="00855753" w:rsidRPr="00956810" w14:paraId="5F7349EF" w14:textId="77777777" w:rsidTr="00A86020">
        <w:trPr>
          <w:trHeight w:val="206"/>
          <w:jc w:val="center"/>
        </w:trPr>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644B73E3"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gramStart"/>
            <w:r w:rsidRPr="00956810">
              <w:rPr>
                <w:rFonts w:ascii="Arial" w:eastAsia="Times New Roman" w:hAnsi="Arial" w:cs="Arial"/>
                <w:color w:val="000000"/>
                <w:sz w:val="20"/>
                <w:szCs w:val="20"/>
                <w:lang w:val="en-US"/>
              </w:rPr>
              <w:t>1 :</w:t>
            </w:r>
            <w:proofErr w:type="gramEnd"/>
            <w:r w:rsidRPr="00956810">
              <w:rPr>
                <w:rFonts w:ascii="Arial" w:eastAsia="Times New Roman" w:hAnsi="Arial" w:cs="Arial"/>
                <w:color w:val="000000"/>
                <w:sz w:val="20"/>
                <w:szCs w:val="20"/>
                <w:lang w:val="en-US"/>
              </w:rPr>
              <w:t xml:space="preserve"> 3</w:t>
            </w:r>
          </w:p>
        </w:tc>
        <w:tc>
          <w:tcPr>
            <w:tcW w:w="831" w:type="dxa"/>
            <w:tcBorders>
              <w:top w:val="single" w:sz="4" w:space="0" w:color="auto"/>
              <w:left w:val="nil"/>
              <w:bottom w:val="single" w:sz="4" w:space="0" w:color="auto"/>
              <w:right w:val="single" w:sz="4" w:space="0" w:color="auto"/>
            </w:tcBorders>
            <w:shd w:val="clear" w:color="auto" w:fill="auto"/>
            <w:vAlign w:val="center"/>
          </w:tcPr>
          <w:p w14:paraId="3DA9BF6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45.65</w:t>
            </w:r>
          </w:p>
        </w:tc>
        <w:tc>
          <w:tcPr>
            <w:tcW w:w="850" w:type="dxa"/>
            <w:tcBorders>
              <w:top w:val="single" w:sz="4" w:space="0" w:color="auto"/>
              <w:left w:val="nil"/>
              <w:bottom w:val="single" w:sz="4" w:space="0" w:color="auto"/>
              <w:right w:val="single" w:sz="4" w:space="0" w:color="auto"/>
            </w:tcBorders>
            <w:shd w:val="clear" w:color="auto" w:fill="auto"/>
            <w:vAlign w:val="center"/>
          </w:tcPr>
          <w:p w14:paraId="341FC60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0.31</w:t>
            </w:r>
          </w:p>
        </w:tc>
        <w:tc>
          <w:tcPr>
            <w:tcW w:w="840" w:type="dxa"/>
            <w:tcBorders>
              <w:top w:val="single" w:sz="4" w:space="0" w:color="auto"/>
              <w:left w:val="nil"/>
              <w:bottom w:val="single" w:sz="4" w:space="0" w:color="auto"/>
              <w:right w:val="single" w:sz="4" w:space="0" w:color="auto"/>
            </w:tcBorders>
            <w:shd w:val="clear" w:color="auto" w:fill="auto"/>
            <w:vAlign w:val="center"/>
          </w:tcPr>
          <w:p w14:paraId="41FBDF1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0.54</w:t>
            </w:r>
          </w:p>
        </w:tc>
        <w:tc>
          <w:tcPr>
            <w:tcW w:w="851" w:type="dxa"/>
            <w:tcBorders>
              <w:top w:val="single" w:sz="4" w:space="0" w:color="auto"/>
              <w:left w:val="nil"/>
              <w:bottom w:val="single" w:sz="4" w:space="0" w:color="auto"/>
              <w:right w:val="single" w:sz="4" w:space="0" w:color="auto"/>
            </w:tcBorders>
            <w:shd w:val="clear" w:color="auto" w:fill="auto"/>
            <w:vAlign w:val="center"/>
          </w:tcPr>
          <w:p w14:paraId="76A96CA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0.13</w:t>
            </w:r>
          </w:p>
        </w:tc>
        <w:tc>
          <w:tcPr>
            <w:tcW w:w="850" w:type="dxa"/>
            <w:tcBorders>
              <w:top w:val="single" w:sz="4" w:space="0" w:color="auto"/>
              <w:left w:val="nil"/>
              <w:bottom w:val="single" w:sz="4" w:space="0" w:color="auto"/>
              <w:right w:val="single" w:sz="4" w:space="0" w:color="auto"/>
            </w:tcBorders>
            <w:shd w:val="clear" w:color="auto" w:fill="auto"/>
            <w:vAlign w:val="center"/>
          </w:tcPr>
          <w:p w14:paraId="5CBB69C9"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1CD639B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171A27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r>
    </w:tbl>
    <w:p w14:paraId="64E83C53" w14:textId="77777777" w:rsidR="004F54E3" w:rsidRDefault="004F54E3" w:rsidP="004F54E3">
      <w:pPr>
        <w:pStyle w:val="BodyTextIndent"/>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 xml:space="preserve">Table 3 presents the composition of purified phosphoric acid samples with a </w:t>
      </w:r>
      <w:r w:rsidRPr="000C11D8">
        <w:rPr>
          <w:rFonts w:ascii="Arial" w:hAnsi="Arial" w:cs="Arial"/>
          <w:sz w:val="20"/>
          <w:szCs w:val="20"/>
          <w:lang w:val="en-US"/>
        </w:rPr>
        <w:t>P</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5</w:t>
      </w:r>
      <w:r>
        <w:rPr>
          <w:rFonts w:ascii="Arial" w:hAnsi="Arial" w:cs="Arial"/>
          <w:sz w:val="20"/>
          <w:szCs w:val="20"/>
          <w:lang w:val="uz-Cyrl-UZ"/>
        </w:rPr>
        <w:t xml:space="preserve"> concentration exceeding 45</w:t>
      </w:r>
      <w:r w:rsidRPr="00855753">
        <w:rPr>
          <w:rFonts w:ascii="Arial" w:hAnsi="Arial" w:cs="Arial"/>
          <w:sz w:val="20"/>
          <w:szCs w:val="20"/>
          <w:lang w:val="uz-Cyrl-UZ"/>
        </w:rPr>
        <w:t xml:space="preserve">%, obtained after the re-extraction of acetone and ethanol through vacuum evaporation. The </w:t>
      </w:r>
      <w:r w:rsidRPr="00855753">
        <w:rPr>
          <w:rFonts w:ascii="Arial" w:hAnsi="Arial" w:cs="Arial"/>
          <w:sz w:val="20"/>
          <w:szCs w:val="20"/>
          <w:lang w:val="uz-Cyrl-UZ"/>
        </w:rPr>
        <w:lastRenderedPageBreak/>
        <w:t>findings reveal that the distillation process not only separated the solvents but also induced additional precipitation of impurities, including phosphorus pentoxide. Despite this, the purified phosphoric acid exhibited a significant reduction in divalent and trivalent metals, as well as sulfate and fluoride ions, achieving a high level of purity suitable for industrial applications. This method highlights the effectiveness of solvent recovery and reuse in enhancing the efficiency and sustainability of phosphoric acid purification.</w:t>
      </w:r>
    </w:p>
    <w:p w14:paraId="3C5F2893" w14:textId="77777777" w:rsidR="004F54E3" w:rsidRPr="00855753" w:rsidRDefault="004F54E3" w:rsidP="004F54E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However, based on the fluoride content observed in the concentrated WPA, it is recommended to implement a desorption process using hot air, steam, or flue gases. While the purification process achieves significant removal of divalent and trivalent metals, as well as sulfate and fluoride ions, the residual fluoride levels in the concentrated WPA suggest the necessity of further treatment through desorption. This step ensures the reduction of fluoride to acceptable levels, enhancing the quality of the final product.</w:t>
      </w:r>
    </w:p>
    <w:p w14:paraId="29A462E0" w14:textId="77777777" w:rsidR="00855753" w:rsidRPr="00855753" w:rsidRDefault="00855753" w:rsidP="004F54E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Despite this, the purified and concentrated phosphoric acid derived from stored WPA is highly suitable for the production of water-soluble phosphorus-based fertilizers, such as ammonium phosphates or liquid complex fertilizers. These fertilizers are particularly effective for use in drip irrigation systems, making them ideal for greenhouse farming and other precision agriculture applications. This approach not only optimizes the utilization of WPA but also supports sustainable agricultural practices.</w:t>
      </w:r>
    </w:p>
    <w:p w14:paraId="2271EC31" w14:textId="77777777" w:rsidR="00855753" w:rsidRPr="00855753" w:rsidRDefault="00855753" w:rsidP="0085575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Following the preliminary desulfation, purification, and evaporation of WPA with</w:t>
      </w:r>
      <w:r w:rsidR="00956810">
        <w:rPr>
          <w:rFonts w:ascii="Arial" w:hAnsi="Arial" w:cs="Arial"/>
          <w:sz w:val="20"/>
          <w:szCs w:val="20"/>
          <w:lang w:val="uz-Cyrl-UZ"/>
        </w:rPr>
        <w:t xml:space="preserve"> the composition (wt. %): 45.65</w:t>
      </w:r>
      <w:r w:rsidRPr="00855753">
        <w:rPr>
          <w:rFonts w:ascii="Arial" w:hAnsi="Arial" w:cs="Arial"/>
          <w:sz w:val="20"/>
          <w:szCs w:val="20"/>
          <w:lang w:val="uz-Cyrl-UZ"/>
        </w:rPr>
        <w:t>% P</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5</w:t>
      </w:r>
      <w:r w:rsidRPr="00855753">
        <w:rPr>
          <w:rFonts w:ascii="Arial" w:hAnsi="Arial" w:cs="Arial"/>
          <w:sz w:val="20"/>
          <w:szCs w:val="20"/>
          <w:lang w:val="uz-Cyrl-UZ"/>
        </w:rPr>
        <w:t>, 0.31% F, 0.54</w:t>
      </w:r>
      <w:r w:rsidR="00956810">
        <w:rPr>
          <w:rFonts w:ascii="Arial" w:hAnsi="Arial" w:cs="Arial"/>
          <w:sz w:val="20"/>
          <w:szCs w:val="20"/>
          <w:lang w:val="uz-Cyrl-UZ"/>
        </w:rPr>
        <w:t>% MgO, 0.13</w:t>
      </w:r>
      <w:r w:rsidRPr="00855753">
        <w:rPr>
          <w:rFonts w:ascii="Arial" w:hAnsi="Arial" w:cs="Arial"/>
          <w:sz w:val="20"/>
          <w:szCs w:val="20"/>
          <w:lang w:val="uz-Cyrl-UZ"/>
        </w:rPr>
        <w:t>% CaO, 0.05%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0.04%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and 0.06% SO</w:t>
      </w:r>
      <w:r w:rsidRPr="00956810">
        <w:rPr>
          <w:rFonts w:ascii="Arial" w:hAnsi="Arial" w:cs="Arial"/>
          <w:sz w:val="20"/>
          <w:szCs w:val="20"/>
          <w:vertAlign w:val="subscript"/>
          <w:lang w:val="uz-Cyrl-UZ"/>
        </w:rPr>
        <w:t>3</w:t>
      </w:r>
      <w:r w:rsidRPr="00855753">
        <w:rPr>
          <w:rFonts w:ascii="Arial" w:hAnsi="Arial" w:cs="Arial"/>
          <w:sz w:val="20"/>
          <w:szCs w:val="20"/>
          <w:lang w:val="uz-Cyrl-UZ"/>
        </w:rPr>
        <w:t>, ammoniation was conducted to produce monoammonium phosphate (MAP) and diammonium phosphate (DAP). The ammoniation process was carried out at pH levels of 5.5 and 8.5 for MAP and DAP, respectively. To minimize ammonia loss, the reaction temp</w:t>
      </w:r>
      <w:r w:rsidR="00956810">
        <w:rPr>
          <w:rFonts w:ascii="Arial" w:hAnsi="Arial" w:cs="Arial"/>
          <w:sz w:val="20"/>
          <w:szCs w:val="20"/>
          <w:lang w:val="uz-Cyrl-UZ"/>
        </w:rPr>
        <w:t>erature was maintained below 70</w:t>
      </w:r>
      <w:r w:rsidRPr="00855753">
        <w:rPr>
          <w:rFonts w:ascii="Arial" w:hAnsi="Arial" w:cs="Arial"/>
          <w:sz w:val="20"/>
          <w:szCs w:val="20"/>
          <w:lang w:val="uz-Cyrl-UZ"/>
        </w:rPr>
        <w:t xml:space="preserve">°C. </w:t>
      </w:r>
    </w:p>
    <w:p w14:paraId="077ECBDA" w14:textId="77777777" w:rsidR="00855753" w:rsidRPr="00855753" w:rsidRDefault="00855753" w:rsidP="0085575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The resulting phosphate slurry was subsequently dried and granulated at 60°C. Granulation was achieved using a pelletizing method, which ensured the formation of uniform and stable granules suitable for use as high-quality phosphorus-based fertilizers. This process highlights the efficient conversion of purified WPA into valuable agricultural products, demonstrating the potential for optimizing fertilizer production while maintaining high standards of quality and performance.</w:t>
      </w:r>
    </w:p>
    <w:p w14:paraId="265F1894" w14:textId="77777777" w:rsidR="00855753" w:rsidRPr="00855753" w:rsidRDefault="00855753" w:rsidP="0085575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Table 4 presents the composition and strength of MAP and DAP.</w:t>
      </w:r>
    </w:p>
    <w:p w14:paraId="293EA9F4" w14:textId="77777777" w:rsidR="00E41C81" w:rsidRDefault="00855753" w:rsidP="004F54E3">
      <w:pPr>
        <w:pStyle w:val="BodyTextIndent"/>
        <w:spacing w:before="120"/>
        <w:ind w:left="0" w:firstLine="567"/>
        <w:jc w:val="both"/>
        <w:rPr>
          <w:rFonts w:ascii="Arial" w:hAnsi="Arial" w:cs="Arial"/>
          <w:sz w:val="20"/>
          <w:szCs w:val="20"/>
          <w:lang w:val="uz-Cyrl-UZ"/>
        </w:rPr>
      </w:pPr>
      <w:r>
        <w:rPr>
          <w:rFonts w:ascii="Arial" w:hAnsi="Arial" w:cs="Arial"/>
          <w:b/>
          <w:sz w:val="20"/>
          <w:szCs w:val="20"/>
          <w:lang w:val="uz-Cyrl-UZ"/>
        </w:rPr>
        <w:t>Table 4</w:t>
      </w:r>
      <w:r w:rsidR="00E41C81" w:rsidRPr="00845F45">
        <w:rPr>
          <w:rFonts w:ascii="Arial" w:hAnsi="Arial" w:cs="Arial"/>
          <w:b/>
          <w:sz w:val="20"/>
          <w:szCs w:val="20"/>
          <w:lang w:val="uz-Cyrl-UZ"/>
        </w:rPr>
        <w:t xml:space="preserve">. </w:t>
      </w:r>
      <w:r w:rsidRPr="00855753">
        <w:rPr>
          <w:rFonts w:ascii="Arial" w:hAnsi="Arial" w:cs="Arial"/>
          <w:b/>
          <w:sz w:val="20"/>
          <w:szCs w:val="20"/>
          <w:lang w:val="uz-Cyrl-UZ"/>
        </w:rPr>
        <w:t>Composition and properties of monoammonium phosphate (MAP) and diammonium phosphate (DAP) based on ammoniation of purified and concentrated phosphoric acid extract</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49"/>
        <w:gridCol w:w="920"/>
        <w:gridCol w:w="638"/>
        <w:gridCol w:w="518"/>
        <w:gridCol w:w="604"/>
        <w:gridCol w:w="537"/>
        <w:gridCol w:w="671"/>
        <w:gridCol w:w="671"/>
        <w:gridCol w:w="1451"/>
        <w:gridCol w:w="1030"/>
      </w:tblGrid>
      <w:tr w:rsidR="00855753" w:rsidRPr="00956810" w14:paraId="4BBBC1BE" w14:textId="77777777" w:rsidTr="00A86020">
        <w:trPr>
          <w:jc w:val="center"/>
        </w:trPr>
        <w:tc>
          <w:tcPr>
            <w:tcW w:w="1252" w:type="dxa"/>
            <w:vMerge w:val="restart"/>
            <w:shd w:val="clear" w:color="auto" w:fill="auto"/>
            <w:vAlign w:val="center"/>
          </w:tcPr>
          <w:p w14:paraId="640AB45B"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rPr>
              <w:t>Product</w:t>
            </w:r>
          </w:p>
        </w:tc>
        <w:tc>
          <w:tcPr>
            <w:tcW w:w="5408" w:type="dxa"/>
            <w:gridSpan w:val="8"/>
            <w:shd w:val="clear" w:color="auto" w:fill="auto"/>
            <w:vAlign w:val="center"/>
          </w:tcPr>
          <w:p w14:paraId="09B5E22D"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Content of components, wt. %</w:t>
            </w:r>
          </w:p>
        </w:tc>
        <w:tc>
          <w:tcPr>
            <w:tcW w:w="1451" w:type="dxa"/>
            <w:vMerge w:val="restart"/>
            <w:shd w:val="clear" w:color="auto" w:fill="auto"/>
            <w:vAlign w:val="center"/>
          </w:tcPr>
          <w:p w14:paraId="21B28708" w14:textId="77777777" w:rsidR="00855753" w:rsidRPr="00956810" w:rsidRDefault="00000000" w:rsidP="00855753">
            <w:pPr>
              <w:shd w:val="clear" w:color="auto" w:fill="FFFFFF"/>
              <w:spacing w:after="0" w:line="240" w:lineRule="auto"/>
              <w:ind w:left="-119" w:right="-142"/>
              <w:jc w:val="center"/>
              <w:rPr>
                <w:rFonts w:ascii="Cambria Math" w:eastAsia="Times New Roman" w:hAnsi="Cambria Math" w:cs="Arial"/>
                <w:color w:val="000000"/>
                <w:sz w:val="20"/>
                <w:szCs w:val="20"/>
                <w:lang w:val="en-US"/>
                <w:oMath/>
              </w:rPr>
            </w:pPr>
            <m:oMathPara>
              <m:oMath>
                <m:f>
                  <m:fPr>
                    <m:ctrlPr>
                      <w:rPr>
                        <w:rFonts w:ascii="Cambria Math" w:eastAsia="Times New Roman" w:hAnsi="Cambria Math" w:cs="Arial"/>
                        <w:color w:val="000000"/>
                        <w:sz w:val="20"/>
                        <w:szCs w:val="20"/>
                        <w:lang w:val="en-US"/>
                      </w:rPr>
                    </m:ctrlPr>
                  </m:fPr>
                  <m:num>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Р</m:t>
                        </m:r>
                      </m:e>
                      <m:sub>
                        <m:r>
                          <m:rPr>
                            <m:sty m:val="p"/>
                          </m:rPr>
                          <w:rPr>
                            <w:rFonts w:ascii="Cambria Math" w:eastAsia="Times New Roman" w:hAnsi="Cambria Math" w:cs="Arial"/>
                            <w:color w:val="000000"/>
                            <w:sz w:val="20"/>
                            <w:szCs w:val="20"/>
                            <w:vertAlign w:val="subscript"/>
                            <w:lang w:val="en-US"/>
                          </w:rPr>
                          <m:t>2</m:t>
                        </m:r>
                      </m:sub>
                    </m:sSub>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О</m:t>
                        </m:r>
                      </m:e>
                      <m:sub>
                        <m:r>
                          <m:rPr>
                            <m:sty m:val="p"/>
                          </m:rPr>
                          <w:rPr>
                            <w:rFonts w:ascii="Cambria Math" w:eastAsia="Times New Roman" w:hAnsi="Cambria Math" w:cs="Arial"/>
                            <w:color w:val="000000"/>
                            <w:sz w:val="20"/>
                            <w:szCs w:val="20"/>
                            <w:vertAlign w:val="subscript"/>
                            <w:lang w:val="en-US"/>
                          </w:rPr>
                          <m:t>5aqu.</m:t>
                        </m:r>
                      </m:sub>
                    </m:sSub>
                  </m:num>
                  <m:den>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Р</m:t>
                        </m:r>
                      </m:e>
                      <m:sub>
                        <m:r>
                          <m:rPr>
                            <m:sty m:val="p"/>
                          </m:rPr>
                          <w:rPr>
                            <w:rFonts w:ascii="Cambria Math" w:eastAsia="Times New Roman" w:hAnsi="Cambria Math" w:cs="Arial"/>
                            <w:color w:val="000000"/>
                            <w:sz w:val="20"/>
                            <w:szCs w:val="20"/>
                            <w:vertAlign w:val="subscript"/>
                            <w:lang w:val="en-US"/>
                          </w:rPr>
                          <m:t>2</m:t>
                        </m:r>
                      </m:sub>
                    </m:sSub>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О</m:t>
                        </m:r>
                      </m:e>
                      <m:sub>
                        <m:r>
                          <m:rPr>
                            <m:sty m:val="p"/>
                          </m:rPr>
                          <w:rPr>
                            <w:rFonts w:ascii="Cambria Math" w:eastAsia="Times New Roman" w:hAnsi="Cambria Math" w:cs="Arial"/>
                            <w:color w:val="000000"/>
                            <w:sz w:val="20"/>
                            <w:szCs w:val="20"/>
                            <w:vertAlign w:val="subscript"/>
                            <w:lang w:val="en-US"/>
                          </w:rPr>
                          <m:t>5total</m:t>
                        </m:r>
                      </m:sub>
                    </m:sSub>
                  </m:den>
                </m:f>
                <m:r>
                  <m:rPr>
                    <m:sty m:val="p"/>
                  </m:rPr>
                  <w:rPr>
                    <w:rFonts w:ascii="Cambria Math" w:eastAsia="Times New Roman" w:hAnsi="Cambria Math" w:cs="Arial"/>
                    <w:color w:val="000000"/>
                    <w:sz w:val="20"/>
                    <w:szCs w:val="20"/>
                    <w:vertAlign w:val="subscript"/>
                    <w:lang w:val="en-US"/>
                  </w:rPr>
                  <m:t xml:space="preserve">, </m:t>
                </m:r>
                <m:r>
                  <m:rPr>
                    <m:sty m:val="p"/>
                  </m:rPr>
                  <w:rPr>
                    <w:rFonts w:ascii="Cambria Math" w:eastAsia="Times New Roman" w:hAnsi="Cambria Math" w:cs="Arial"/>
                    <w:color w:val="000000"/>
                    <w:sz w:val="20"/>
                    <w:szCs w:val="20"/>
                    <w:lang w:val="en-US"/>
                  </w:rPr>
                  <m:t>%</m:t>
                </m:r>
              </m:oMath>
            </m:oMathPara>
          </w:p>
        </w:tc>
        <w:tc>
          <w:tcPr>
            <w:tcW w:w="1030" w:type="dxa"/>
            <w:vMerge w:val="restart"/>
            <w:shd w:val="clear" w:color="auto" w:fill="auto"/>
            <w:vAlign w:val="center"/>
          </w:tcPr>
          <w:p w14:paraId="58F2F79A"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Strength</w:t>
            </w:r>
          </w:p>
          <w:p w14:paraId="7C11A389"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МPа</w:t>
            </w:r>
            <w:proofErr w:type="spellEnd"/>
          </w:p>
        </w:tc>
      </w:tr>
      <w:tr w:rsidR="00855753" w:rsidRPr="00956810" w14:paraId="0CD7C4BC" w14:textId="77777777" w:rsidTr="00A86020">
        <w:trPr>
          <w:trHeight w:val="315"/>
          <w:jc w:val="center"/>
        </w:trPr>
        <w:tc>
          <w:tcPr>
            <w:tcW w:w="1252" w:type="dxa"/>
            <w:vMerge/>
            <w:shd w:val="clear" w:color="auto" w:fill="auto"/>
            <w:vAlign w:val="center"/>
          </w:tcPr>
          <w:p w14:paraId="7D048357"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c>
          <w:tcPr>
            <w:tcW w:w="849" w:type="dxa"/>
            <w:shd w:val="clear" w:color="auto" w:fill="auto"/>
            <w:vAlign w:val="center"/>
          </w:tcPr>
          <w:p w14:paraId="312FA155"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5total</w:t>
            </w:r>
          </w:p>
        </w:tc>
        <w:tc>
          <w:tcPr>
            <w:tcW w:w="920" w:type="dxa"/>
            <w:shd w:val="clear" w:color="auto" w:fill="auto"/>
            <w:vAlign w:val="center"/>
          </w:tcPr>
          <w:p w14:paraId="0B4D161F" w14:textId="77777777" w:rsidR="00855753" w:rsidRPr="00956810" w:rsidRDefault="00855753" w:rsidP="006C0B71">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5water soluble.</w:t>
            </w:r>
          </w:p>
        </w:tc>
        <w:tc>
          <w:tcPr>
            <w:tcW w:w="638" w:type="dxa"/>
            <w:shd w:val="clear" w:color="auto" w:fill="auto"/>
            <w:vAlign w:val="center"/>
          </w:tcPr>
          <w:p w14:paraId="2756476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N</w:t>
            </w:r>
            <w:r w:rsidRPr="00956810">
              <w:rPr>
                <w:rFonts w:ascii="Arial" w:eastAsia="Times New Roman" w:hAnsi="Arial" w:cs="Arial"/>
                <w:color w:val="000000"/>
                <w:sz w:val="20"/>
                <w:szCs w:val="20"/>
                <w:vertAlign w:val="subscript"/>
                <w:lang w:val="en-US"/>
              </w:rPr>
              <w:t>total</w:t>
            </w:r>
            <w:proofErr w:type="spellEnd"/>
          </w:p>
        </w:tc>
        <w:tc>
          <w:tcPr>
            <w:tcW w:w="518" w:type="dxa"/>
            <w:shd w:val="clear" w:color="auto" w:fill="auto"/>
            <w:vAlign w:val="center"/>
          </w:tcPr>
          <w:p w14:paraId="33FD1CD8"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F</w:t>
            </w:r>
          </w:p>
        </w:tc>
        <w:tc>
          <w:tcPr>
            <w:tcW w:w="604" w:type="dxa"/>
            <w:shd w:val="clear" w:color="auto" w:fill="auto"/>
            <w:vAlign w:val="center"/>
          </w:tcPr>
          <w:p w14:paraId="104864B0"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MgО</w:t>
            </w:r>
            <w:proofErr w:type="spellEnd"/>
          </w:p>
        </w:tc>
        <w:tc>
          <w:tcPr>
            <w:tcW w:w="537" w:type="dxa"/>
            <w:shd w:val="clear" w:color="auto" w:fill="auto"/>
            <w:vAlign w:val="center"/>
          </w:tcPr>
          <w:p w14:paraId="444B5BB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CаО</w:t>
            </w:r>
            <w:proofErr w:type="spellEnd"/>
          </w:p>
        </w:tc>
        <w:tc>
          <w:tcPr>
            <w:tcW w:w="671" w:type="dxa"/>
            <w:shd w:val="clear" w:color="auto" w:fill="auto"/>
            <w:vAlign w:val="center"/>
          </w:tcPr>
          <w:p w14:paraId="1A0AB35B"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Аl</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671" w:type="dxa"/>
            <w:shd w:val="clear" w:color="auto" w:fill="auto"/>
            <w:vAlign w:val="center"/>
          </w:tcPr>
          <w:p w14:paraId="278F7A2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Fе</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1451" w:type="dxa"/>
            <w:vMerge/>
            <w:shd w:val="clear" w:color="auto" w:fill="auto"/>
            <w:vAlign w:val="center"/>
          </w:tcPr>
          <w:p w14:paraId="464E310A"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c>
          <w:tcPr>
            <w:tcW w:w="1030" w:type="dxa"/>
            <w:vMerge/>
            <w:shd w:val="clear" w:color="auto" w:fill="auto"/>
            <w:vAlign w:val="center"/>
          </w:tcPr>
          <w:p w14:paraId="40BC24AD"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r>
      <w:tr w:rsidR="00855753" w:rsidRPr="00956810" w14:paraId="6911F8D2" w14:textId="77777777" w:rsidTr="00A86020">
        <w:trPr>
          <w:jc w:val="center"/>
        </w:trPr>
        <w:tc>
          <w:tcPr>
            <w:tcW w:w="1252" w:type="dxa"/>
            <w:shd w:val="clear" w:color="auto" w:fill="auto"/>
            <w:vAlign w:val="center"/>
          </w:tcPr>
          <w:p w14:paraId="4CA32980"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MAP</w:t>
            </w:r>
          </w:p>
        </w:tc>
        <w:tc>
          <w:tcPr>
            <w:tcW w:w="849" w:type="dxa"/>
            <w:shd w:val="clear" w:color="auto" w:fill="auto"/>
            <w:vAlign w:val="center"/>
          </w:tcPr>
          <w:p w14:paraId="2A7BFF1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61</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09</w:t>
            </w:r>
          </w:p>
        </w:tc>
        <w:tc>
          <w:tcPr>
            <w:tcW w:w="920" w:type="dxa"/>
            <w:shd w:val="clear" w:color="auto" w:fill="auto"/>
            <w:vAlign w:val="center"/>
          </w:tcPr>
          <w:p w14:paraId="71F635A0"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60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83</w:t>
            </w:r>
          </w:p>
        </w:tc>
        <w:tc>
          <w:tcPr>
            <w:tcW w:w="638" w:type="dxa"/>
            <w:shd w:val="clear" w:color="auto" w:fill="auto"/>
            <w:vAlign w:val="center"/>
          </w:tcPr>
          <w:p w14:paraId="0D742946"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12</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80</w:t>
            </w:r>
          </w:p>
        </w:tc>
        <w:tc>
          <w:tcPr>
            <w:tcW w:w="518" w:type="dxa"/>
            <w:shd w:val="clear" w:color="auto" w:fill="auto"/>
            <w:vAlign w:val="center"/>
          </w:tcPr>
          <w:p w14:paraId="3C60168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92</w:t>
            </w:r>
          </w:p>
        </w:tc>
        <w:tc>
          <w:tcPr>
            <w:tcW w:w="604" w:type="dxa"/>
            <w:shd w:val="clear" w:color="auto" w:fill="auto"/>
            <w:vAlign w:val="center"/>
          </w:tcPr>
          <w:p w14:paraId="4D4C35EB"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18</w:t>
            </w:r>
          </w:p>
        </w:tc>
        <w:tc>
          <w:tcPr>
            <w:tcW w:w="537" w:type="dxa"/>
            <w:shd w:val="clear" w:color="auto" w:fill="auto"/>
            <w:vAlign w:val="center"/>
          </w:tcPr>
          <w:p w14:paraId="7FBD5727"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15</w:t>
            </w:r>
          </w:p>
        </w:tc>
        <w:tc>
          <w:tcPr>
            <w:tcW w:w="671" w:type="dxa"/>
            <w:shd w:val="clear" w:color="auto" w:fill="auto"/>
            <w:vAlign w:val="center"/>
          </w:tcPr>
          <w:p w14:paraId="1DC56AC2"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04</w:t>
            </w:r>
          </w:p>
        </w:tc>
        <w:tc>
          <w:tcPr>
            <w:tcW w:w="671" w:type="dxa"/>
            <w:shd w:val="clear" w:color="auto" w:fill="auto"/>
            <w:vAlign w:val="center"/>
          </w:tcPr>
          <w:p w14:paraId="399D440F"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15</w:t>
            </w:r>
          </w:p>
        </w:tc>
        <w:tc>
          <w:tcPr>
            <w:tcW w:w="1451" w:type="dxa"/>
            <w:shd w:val="clear" w:color="auto" w:fill="auto"/>
            <w:vAlign w:val="center"/>
          </w:tcPr>
          <w:p w14:paraId="6148B40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99</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53</w:t>
            </w:r>
          </w:p>
        </w:tc>
        <w:tc>
          <w:tcPr>
            <w:tcW w:w="1030" w:type="dxa"/>
            <w:shd w:val="clear" w:color="auto" w:fill="auto"/>
            <w:vAlign w:val="center"/>
          </w:tcPr>
          <w:p w14:paraId="3D2FAD2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2</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72</w:t>
            </w:r>
          </w:p>
        </w:tc>
      </w:tr>
      <w:tr w:rsidR="00855753" w:rsidRPr="00956810" w14:paraId="197BF838" w14:textId="77777777" w:rsidTr="00A86020">
        <w:trPr>
          <w:jc w:val="center"/>
        </w:trPr>
        <w:tc>
          <w:tcPr>
            <w:tcW w:w="1252" w:type="dxa"/>
            <w:shd w:val="clear" w:color="auto" w:fill="auto"/>
            <w:vAlign w:val="center"/>
          </w:tcPr>
          <w:p w14:paraId="718379B6"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DAP</w:t>
            </w:r>
          </w:p>
        </w:tc>
        <w:tc>
          <w:tcPr>
            <w:tcW w:w="849" w:type="dxa"/>
            <w:shd w:val="clear" w:color="auto" w:fill="auto"/>
            <w:vAlign w:val="center"/>
          </w:tcPr>
          <w:p w14:paraId="5BE12AC2"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53.85</w:t>
            </w:r>
          </w:p>
        </w:tc>
        <w:tc>
          <w:tcPr>
            <w:tcW w:w="920" w:type="dxa"/>
            <w:shd w:val="clear" w:color="auto" w:fill="auto"/>
            <w:vAlign w:val="center"/>
          </w:tcPr>
          <w:p w14:paraId="6832473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53.66</w:t>
            </w:r>
          </w:p>
        </w:tc>
        <w:tc>
          <w:tcPr>
            <w:tcW w:w="638" w:type="dxa"/>
            <w:shd w:val="clear" w:color="auto" w:fill="auto"/>
            <w:vAlign w:val="center"/>
          </w:tcPr>
          <w:p w14:paraId="6BE2002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rPr>
              <w:t>20.0</w:t>
            </w:r>
            <w:r w:rsidRPr="00956810">
              <w:rPr>
                <w:rFonts w:ascii="Arial" w:eastAsia="Times New Roman" w:hAnsi="Arial" w:cs="Arial"/>
                <w:color w:val="000000"/>
                <w:sz w:val="20"/>
                <w:szCs w:val="20"/>
                <w:lang w:val="en-US"/>
              </w:rPr>
              <w:t>8</w:t>
            </w:r>
          </w:p>
        </w:tc>
        <w:tc>
          <w:tcPr>
            <w:tcW w:w="518" w:type="dxa"/>
            <w:shd w:val="clear" w:color="auto" w:fill="auto"/>
            <w:vAlign w:val="center"/>
          </w:tcPr>
          <w:p w14:paraId="582D0B2C"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0.81</w:t>
            </w:r>
          </w:p>
        </w:tc>
        <w:tc>
          <w:tcPr>
            <w:tcW w:w="604" w:type="dxa"/>
            <w:shd w:val="clear" w:color="auto" w:fill="auto"/>
            <w:vAlign w:val="center"/>
          </w:tcPr>
          <w:p w14:paraId="53126E9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0.16</w:t>
            </w:r>
          </w:p>
        </w:tc>
        <w:tc>
          <w:tcPr>
            <w:tcW w:w="537" w:type="dxa"/>
            <w:shd w:val="clear" w:color="auto" w:fill="auto"/>
            <w:vAlign w:val="center"/>
          </w:tcPr>
          <w:p w14:paraId="0528E435"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0.12</w:t>
            </w:r>
          </w:p>
        </w:tc>
        <w:tc>
          <w:tcPr>
            <w:tcW w:w="671" w:type="dxa"/>
            <w:shd w:val="clear" w:color="auto" w:fill="auto"/>
            <w:vAlign w:val="center"/>
          </w:tcPr>
          <w:p w14:paraId="0CC780D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0.04</w:t>
            </w:r>
          </w:p>
        </w:tc>
        <w:tc>
          <w:tcPr>
            <w:tcW w:w="671" w:type="dxa"/>
            <w:shd w:val="clear" w:color="auto" w:fill="auto"/>
            <w:vAlign w:val="center"/>
          </w:tcPr>
          <w:p w14:paraId="5CA5E1A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0.17</w:t>
            </w:r>
          </w:p>
        </w:tc>
        <w:tc>
          <w:tcPr>
            <w:tcW w:w="1451" w:type="dxa"/>
            <w:shd w:val="clear" w:color="auto" w:fill="auto"/>
            <w:vAlign w:val="center"/>
          </w:tcPr>
          <w:p w14:paraId="62CE12E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99.65</w:t>
            </w:r>
          </w:p>
        </w:tc>
        <w:tc>
          <w:tcPr>
            <w:tcW w:w="1030" w:type="dxa"/>
            <w:shd w:val="clear" w:color="auto" w:fill="auto"/>
            <w:vAlign w:val="center"/>
          </w:tcPr>
          <w:p w14:paraId="16B78527"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2.99</w:t>
            </w:r>
          </w:p>
        </w:tc>
      </w:tr>
    </w:tbl>
    <w:p w14:paraId="43EE4805" w14:textId="77777777" w:rsidR="004F54E3" w:rsidRPr="00855753" w:rsidRDefault="004F54E3" w:rsidP="004F54E3">
      <w:pPr>
        <w:pStyle w:val="BodyTextIndent"/>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The test results showed that the fertilizer granules completely dissolve in water. MAP contains (wt. %): P</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5</w:t>
      </w:r>
      <w:r w:rsidRPr="00855753">
        <w:rPr>
          <w:rFonts w:ascii="Arial" w:hAnsi="Arial" w:cs="Arial"/>
          <w:sz w:val="20"/>
          <w:szCs w:val="20"/>
          <w:lang w:val="uz-Cyrl-UZ"/>
        </w:rPr>
        <w:t xml:space="preserve"> – 61.09; N – 12.80; F – no more than 1.0, MgO – 0.18; CaO – 0.15;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 0.04;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 0.15; with a granule strength of 2.72 MPa. A product with such characteristics is in high demand. DAP contains 53.85</w:t>
      </w:r>
      <w:r>
        <w:rPr>
          <w:rFonts w:ascii="Arial" w:hAnsi="Arial" w:cs="Arial"/>
          <w:sz w:val="20"/>
          <w:szCs w:val="20"/>
          <w:lang w:val="uz-Cyrl-UZ"/>
        </w:rPr>
        <w:t>% P</w:t>
      </w:r>
      <w:r w:rsidRPr="00956810">
        <w:rPr>
          <w:rFonts w:ascii="Arial" w:hAnsi="Arial" w:cs="Arial"/>
          <w:sz w:val="20"/>
          <w:szCs w:val="20"/>
          <w:vertAlign w:val="subscript"/>
          <w:lang w:val="uz-Cyrl-UZ"/>
        </w:rPr>
        <w:t>2</w:t>
      </w:r>
      <w:r>
        <w:rPr>
          <w:rFonts w:ascii="Arial" w:hAnsi="Arial" w:cs="Arial"/>
          <w:sz w:val="20"/>
          <w:szCs w:val="20"/>
          <w:lang w:val="uz-Cyrl-UZ"/>
        </w:rPr>
        <w:t>O</w:t>
      </w:r>
      <w:r w:rsidRPr="00956810">
        <w:rPr>
          <w:rFonts w:ascii="Arial" w:hAnsi="Arial" w:cs="Arial"/>
          <w:sz w:val="20"/>
          <w:szCs w:val="20"/>
          <w:vertAlign w:val="subscript"/>
          <w:lang w:val="uz-Cyrl-UZ"/>
        </w:rPr>
        <w:t>5</w:t>
      </w:r>
      <w:r>
        <w:rPr>
          <w:rFonts w:ascii="Arial" w:hAnsi="Arial" w:cs="Arial"/>
          <w:sz w:val="20"/>
          <w:szCs w:val="20"/>
          <w:lang w:val="uz-Cyrl-UZ"/>
        </w:rPr>
        <w:t xml:space="preserve"> and 20.08</w:t>
      </w:r>
      <w:r w:rsidRPr="00855753">
        <w:rPr>
          <w:rFonts w:ascii="Arial" w:hAnsi="Arial" w:cs="Arial"/>
          <w:sz w:val="20"/>
          <w:szCs w:val="20"/>
          <w:lang w:val="uz-Cyrl-UZ"/>
        </w:rPr>
        <w:t>% N, with a granule strength of 2.99 MPa. It also contains</w:t>
      </w:r>
      <w:r>
        <w:rPr>
          <w:rFonts w:ascii="Arial" w:hAnsi="Arial" w:cs="Arial"/>
          <w:sz w:val="20"/>
          <w:szCs w:val="20"/>
          <w:lang w:val="uz-Cyrl-UZ"/>
        </w:rPr>
        <w:t xml:space="preserve"> 0.16% MgO; 0.16% CaO; 0.04</w:t>
      </w:r>
      <w:r w:rsidRPr="00855753">
        <w:rPr>
          <w:rFonts w:ascii="Arial" w:hAnsi="Arial" w:cs="Arial"/>
          <w:sz w:val="20"/>
          <w:szCs w:val="20"/>
          <w:lang w:val="uz-Cyrl-UZ"/>
        </w:rPr>
        <w:t>%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Pr>
          <w:rFonts w:ascii="Arial" w:hAnsi="Arial" w:cs="Arial"/>
          <w:sz w:val="20"/>
          <w:szCs w:val="20"/>
          <w:lang w:val="uz-Cyrl-UZ"/>
        </w:rPr>
        <w:t>; 0.17</w:t>
      </w:r>
      <w:r w:rsidRPr="00855753">
        <w:rPr>
          <w:rFonts w:ascii="Arial" w:hAnsi="Arial" w:cs="Arial"/>
          <w:sz w:val="20"/>
          <w:szCs w:val="20"/>
          <w:lang w:val="uz-Cyrl-UZ"/>
        </w:rPr>
        <w:t>%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and no more than 1.0% F.</w:t>
      </w:r>
    </w:p>
    <w:p w14:paraId="274DD331" w14:textId="77777777" w:rsidR="004F54E3" w:rsidRDefault="004F54E3" w:rsidP="004F54E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The crystalline composition of the ammonium phosphate samples was characterized using X-ray diffraction (XRD) analysis. The measurements were conducted using an XRD-6100 diffractometer (Shimadzu, Japan) equipped with CuKα radiation (β-filter, Ni) and operated at 30 mA and 30 kV. The detector was set to a scanning speed of 4 degrees per minute, covering an angular range of 4° to 80°. To ensure homogeneous sample exposure, a rotating sample holder was employed, operating at 30 rpm. The acquired diffraction patterns were analyzed and interpreted using the International Centre for Diffraction Data (ICDD) database [18], allowing for the identification of crystalline phases and detailed structural characterization of the ammonium phosphate samples. This approach provided accurate and comprehensive insights into the material's crystallographic properties, essential for understanding its chemical and physical behavior.</w:t>
      </w:r>
    </w:p>
    <w:p w14:paraId="6FABBD70" w14:textId="77777777" w:rsidR="00855753" w:rsidRPr="00855753" w:rsidRDefault="00855753" w:rsidP="004F54E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The XRD pattern of the MAP sample, as illustrated in Figure 1, exhibits distinct diffraction peaks at 1.33; 1.37; 1.47; 1.54; 1.60; 1.67; 1.77; 2.01; 2.65; 3.06; 3.37; 3.74; and 5.30 Å, which are characteristic of NH</w:t>
      </w:r>
      <w:r w:rsidRPr="00956810">
        <w:rPr>
          <w:rFonts w:ascii="Arial" w:hAnsi="Arial" w:cs="Arial"/>
          <w:sz w:val="20"/>
          <w:szCs w:val="20"/>
          <w:vertAlign w:val="subscript"/>
          <w:lang w:val="uz-Cyrl-UZ"/>
        </w:rPr>
        <w:t>4</w:t>
      </w:r>
      <w:r w:rsidRPr="00855753">
        <w:rPr>
          <w:rFonts w:ascii="Arial" w:hAnsi="Arial" w:cs="Arial"/>
          <w:sz w:val="20"/>
          <w:szCs w:val="20"/>
          <w:lang w:val="uz-Cyrl-UZ"/>
        </w:rPr>
        <w:t>H</w:t>
      </w:r>
      <w:r w:rsidRPr="00956810">
        <w:rPr>
          <w:rFonts w:ascii="Arial" w:hAnsi="Arial" w:cs="Arial"/>
          <w:sz w:val="20"/>
          <w:szCs w:val="20"/>
          <w:vertAlign w:val="subscript"/>
          <w:lang w:val="uz-Cyrl-UZ"/>
        </w:rPr>
        <w:t>2</w:t>
      </w:r>
      <w:r w:rsidRPr="00855753">
        <w:rPr>
          <w:rFonts w:ascii="Arial" w:hAnsi="Arial" w:cs="Arial"/>
          <w:sz w:val="20"/>
          <w:szCs w:val="20"/>
          <w:lang w:val="uz-Cyrl-UZ"/>
        </w:rPr>
        <w:t>PO</w:t>
      </w:r>
      <w:r w:rsidRPr="00956810">
        <w:rPr>
          <w:rFonts w:ascii="Arial" w:hAnsi="Arial" w:cs="Arial"/>
          <w:sz w:val="20"/>
          <w:szCs w:val="20"/>
          <w:vertAlign w:val="subscript"/>
          <w:lang w:val="uz-Cyrl-UZ"/>
        </w:rPr>
        <w:t>4</w:t>
      </w:r>
      <w:r w:rsidRPr="00855753">
        <w:rPr>
          <w:rFonts w:ascii="Arial" w:hAnsi="Arial" w:cs="Arial"/>
          <w:sz w:val="20"/>
          <w:szCs w:val="20"/>
          <w:lang w:val="uz-Cyrl-UZ"/>
        </w:rPr>
        <w:t>). Additionally, the presence of bands at 3.21; 3.41; 4.12; 5.03; and 5.56 Å in the diffraction pattern suggests the formation of ammonium hydrogen phosphate (diammonium phosphate, (NH</w:t>
      </w:r>
      <w:r w:rsidRPr="00956810">
        <w:rPr>
          <w:rFonts w:ascii="Arial" w:hAnsi="Arial" w:cs="Arial"/>
          <w:sz w:val="20"/>
          <w:szCs w:val="20"/>
          <w:vertAlign w:val="subscript"/>
          <w:lang w:val="uz-Cyrl-UZ"/>
        </w:rPr>
        <w:t>4</w:t>
      </w:r>
      <w:r w:rsidRPr="00855753">
        <w:rPr>
          <w:rFonts w:ascii="Arial" w:hAnsi="Arial" w:cs="Arial"/>
          <w:sz w:val="20"/>
          <w:szCs w:val="20"/>
          <w:lang w:val="uz-Cyrl-UZ"/>
        </w:rPr>
        <w:t>)</w:t>
      </w:r>
      <w:r w:rsidRPr="00956810">
        <w:rPr>
          <w:rFonts w:ascii="Arial" w:hAnsi="Arial" w:cs="Arial"/>
          <w:sz w:val="20"/>
          <w:szCs w:val="20"/>
          <w:vertAlign w:val="subscript"/>
          <w:lang w:val="uz-Cyrl-UZ"/>
        </w:rPr>
        <w:t>2</w:t>
      </w:r>
      <w:r w:rsidRPr="00855753">
        <w:rPr>
          <w:rFonts w:ascii="Arial" w:hAnsi="Arial" w:cs="Arial"/>
          <w:sz w:val="20"/>
          <w:szCs w:val="20"/>
          <w:lang w:val="uz-Cyrl-UZ"/>
        </w:rPr>
        <w:t>HPO</w:t>
      </w:r>
      <w:r w:rsidRPr="00956810">
        <w:rPr>
          <w:rFonts w:ascii="Arial" w:hAnsi="Arial" w:cs="Arial"/>
          <w:sz w:val="20"/>
          <w:szCs w:val="20"/>
          <w:vertAlign w:val="subscript"/>
          <w:lang w:val="uz-Cyrl-UZ"/>
        </w:rPr>
        <w:t>4</w:t>
      </w:r>
      <w:r w:rsidRPr="00855753">
        <w:rPr>
          <w:rFonts w:ascii="Arial" w:hAnsi="Arial" w:cs="Arial"/>
          <w:sz w:val="20"/>
          <w:szCs w:val="20"/>
          <w:lang w:val="uz-Cyrl-UZ"/>
        </w:rPr>
        <w:t>) within the product. These findings confirm the coexistence of both MAP and DAP phases, providing valuable insights into the crystalline structure and composition of the synthesized material.</w:t>
      </w:r>
    </w:p>
    <w:p w14:paraId="2A8F6C32" w14:textId="77777777" w:rsidR="00435125" w:rsidRDefault="00855753" w:rsidP="00855753">
      <w:pPr>
        <w:pStyle w:val="BodyTextIndent"/>
        <w:spacing w:after="0"/>
        <w:ind w:left="0" w:firstLine="567"/>
        <w:jc w:val="both"/>
        <w:rPr>
          <w:rFonts w:ascii="Arial" w:hAnsi="Arial" w:cs="Arial"/>
          <w:sz w:val="20"/>
          <w:szCs w:val="20"/>
          <w:lang w:val="uz-Cyrl-UZ"/>
        </w:rPr>
      </w:pPr>
      <w:r w:rsidRPr="00855753">
        <w:rPr>
          <w:rFonts w:ascii="Arial" w:hAnsi="Arial" w:cs="Arial"/>
          <w:sz w:val="20"/>
          <w:szCs w:val="20"/>
          <w:lang w:val="uz-Cyrl-UZ"/>
        </w:rPr>
        <w:t>Unlike the MAP sample, on the MAP streak diagram we observe a somewhat X-ray diffraction pattern (Figure 2). Here, the bands of ammonium hydrogen phosphate are evident, as indicated by the diffraction maxima at 1.68; 2.08; 2.30; 2.47; 2.55; 2.81; 3.06; 3.15, 3.23; 3.37; 3.78; 4.01; 4.14; 5.07; 5.34; 5.60 Å.</w:t>
      </w:r>
    </w:p>
    <w:p w14:paraId="5B369367" w14:textId="77777777" w:rsidR="0088745B" w:rsidRDefault="0088745B" w:rsidP="0088745B">
      <w:pPr>
        <w:pStyle w:val="BodyTextIndent"/>
        <w:spacing w:after="0"/>
        <w:ind w:left="0" w:firstLine="567"/>
        <w:jc w:val="both"/>
        <w:rPr>
          <w:rFonts w:ascii="Arial" w:hAnsi="Arial" w:cs="Arial"/>
          <w:b/>
          <w:sz w:val="20"/>
          <w:szCs w:val="20"/>
          <w:lang w:val="uz-Cyrl-UZ"/>
        </w:rPr>
      </w:pPr>
      <w:r w:rsidRPr="00855753">
        <w:rPr>
          <w:rStyle w:val="fontstyle21"/>
          <w:rFonts w:ascii="Arial" w:hAnsi="Arial" w:cs="Arial"/>
          <w:lang w:val="en-US"/>
        </w:rPr>
        <w:t>Therefore, phosphorus in the final products—ammonium phosphates—exists entirely in a water-soluble form. MAP primarily comprises NH</w:t>
      </w:r>
      <w:r w:rsidRPr="00956810">
        <w:rPr>
          <w:rStyle w:val="fontstyle21"/>
          <w:rFonts w:ascii="Arial" w:hAnsi="Arial" w:cs="Arial"/>
          <w:vertAlign w:val="subscript"/>
          <w:lang w:val="en-US"/>
        </w:rPr>
        <w:t>4</w:t>
      </w:r>
      <w:r w:rsidRPr="00855753">
        <w:rPr>
          <w:rStyle w:val="fontstyle21"/>
          <w:rFonts w:ascii="Arial" w:hAnsi="Arial" w:cs="Arial"/>
          <w:lang w:val="en-US"/>
        </w:rPr>
        <w:t>H</w:t>
      </w:r>
      <w:r w:rsidRPr="00956810">
        <w:rPr>
          <w:rStyle w:val="fontstyle21"/>
          <w:rFonts w:ascii="Arial" w:hAnsi="Arial" w:cs="Arial"/>
          <w:vertAlign w:val="subscript"/>
          <w:lang w:val="en-US"/>
        </w:rPr>
        <w:t>2</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 with a minor presence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HPO</w:t>
      </w:r>
      <w:r w:rsidRPr="00956810">
        <w:rPr>
          <w:rStyle w:val="fontstyle21"/>
          <w:rFonts w:ascii="Arial" w:hAnsi="Arial" w:cs="Arial"/>
          <w:vertAlign w:val="subscript"/>
          <w:lang w:val="en-US"/>
        </w:rPr>
        <w:t>4</w:t>
      </w:r>
      <w:r w:rsidRPr="00855753">
        <w:rPr>
          <w:rStyle w:val="fontstyle21"/>
          <w:rFonts w:ascii="Arial" w:hAnsi="Arial" w:cs="Arial"/>
          <w:lang w:val="en-US"/>
        </w:rPr>
        <w:t>. In contrast, DAP is predominantly composed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HPO</w:t>
      </w:r>
      <w:r w:rsidRPr="00956810">
        <w:rPr>
          <w:rStyle w:val="fontstyle21"/>
          <w:rFonts w:ascii="Arial" w:hAnsi="Arial" w:cs="Arial"/>
          <w:vertAlign w:val="subscript"/>
          <w:lang w:val="en-US"/>
        </w:rPr>
        <w:t>4</w:t>
      </w:r>
      <w:r w:rsidRPr="00855753">
        <w:rPr>
          <w:rStyle w:val="fontstyle21"/>
          <w:rFonts w:ascii="Arial" w:hAnsi="Arial" w:cs="Arial"/>
          <w:lang w:val="en-US"/>
        </w:rPr>
        <w:t>, along with a partial inclusion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3</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 as illustrated in Figure 3. The following compounds precipitate due to their low solubility: MgHPO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(3.06 Å), CaHPO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(3.38 Å), </w:t>
      </w:r>
      <w:r w:rsidRPr="00855753">
        <w:rPr>
          <w:rStyle w:val="fontstyle21"/>
          <w:rFonts w:ascii="Arial" w:hAnsi="Arial" w:cs="Arial"/>
          <w:lang w:val="en-US"/>
        </w:rPr>
        <w:lastRenderedPageBreak/>
        <w:t>CaHPO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(7.64; 4.286; 3.77; 3.06; 2.54; 1.90 Å), (</w:t>
      </w:r>
      <w:proofErr w:type="spellStart"/>
      <w:proofErr w:type="gramStart"/>
      <w:r w:rsidRPr="00855753">
        <w:rPr>
          <w:rStyle w:val="fontstyle21"/>
          <w:rFonts w:ascii="Arial" w:hAnsi="Arial" w:cs="Arial"/>
          <w:lang w:val="en-US"/>
        </w:rPr>
        <w:t>Al,Fe</w:t>
      </w:r>
      <w:proofErr w:type="spellEnd"/>
      <w:proofErr w:type="gramEnd"/>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(4.87; 3.33; 2.68 Å), AlPO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(2.71 Å), (</w:t>
      </w:r>
      <w:proofErr w:type="spellStart"/>
      <w:proofErr w:type="gramStart"/>
      <w:r w:rsidRPr="00855753">
        <w:rPr>
          <w:rStyle w:val="fontstyle21"/>
          <w:rFonts w:ascii="Arial" w:hAnsi="Arial" w:cs="Arial"/>
          <w:lang w:val="en-US"/>
        </w:rPr>
        <w:t>Fe,Mg</w:t>
      </w:r>
      <w:proofErr w:type="spellEnd"/>
      <w:proofErr w:type="gramEnd"/>
      <w:r w:rsidRPr="00855753">
        <w:rPr>
          <w:rStyle w:val="fontstyle21"/>
          <w:rFonts w:ascii="Arial" w:hAnsi="Arial" w:cs="Arial"/>
          <w:lang w:val="en-US"/>
        </w:rPr>
        <w:t>)Al</w:t>
      </w:r>
      <w:r w:rsidRPr="00956810">
        <w:rPr>
          <w:rStyle w:val="fontstyle21"/>
          <w:rFonts w:ascii="Arial" w:hAnsi="Arial" w:cs="Arial"/>
          <w:vertAlign w:val="subscript"/>
          <w:lang w:val="en-US"/>
        </w:rPr>
        <w:t>2</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(OH)</w:t>
      </w:r>
      <w:r w:rsidRPr="00956810">
        <w:rPr>
          <w:rStyle w:val="fontstyle21"/>
          <w:rFonts w:ascii="Arial" w:hAnsi="Arial" w:cs="Arial"/>
          <w:vertAlign w:val="subscript"/>
          <w:lang w:val="en-US"/>
        </w:rPr>
        <w:t>2</w:t>
      </w:r>
      <w:r w:rsidRPr="00855753">
        <w:rPr>
          <w:rStyle w:val="fontstyle21"/>
          <w:rFonts w:ascii="Arial" w:hAnsi="Arial" w:cs="Arial"/>
          <w:lang w:val="en-US"/>
        </w:rPr>
        <w:t xml:space="preserve"> (6.15; 2.27 Å), FePO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(8.63; 2.54 Å). Calcium is bound in the form of CaF</w:t>
      </w:r>
      <w:r w:rsidRPr="00956810">
        <w:rPr>
          <w:rStyle w:val="fontstyle21"/>
          <w:rFonts w:ascii="Arial" w:hAnsi="Arial" w:cs="Arial"/>
          <w:vertAlign w:val="subscript"/>
          <w:lang w:val="en-US"/>
        </w:rPr>
        <w:t>2</w:t>
      </w:r>
      <w:r w:rsidRPr="00855753">
        <w:rPr>
          <w:rStyle w:val="fontstyle21"/>
          <w:rFonts w:ascii="Arial" w:hAnsi="Arial" w:cs="Arial"/>
          <w:lang w:val="en-US"/>
        </w:rPr>
        <w:t xml:space="preserve"> (3.16 Å) and CaSO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(7.63; 4.29; 3.06; 2.87; 2.68 Å).</w:t>
      </w:r>
      <w:r>
        <w:rPr>
          <w:rFonts w:ascii="Arial" w:hAnsi="Arial" w:cs="Arial"/>
          <w:b/>
          <w:sz w:val="20"/>
          <w:szCs w:val="20"/>
          <w:lang w:val="uz-Cyrl-UZ"/>
        </w:rPr>
        <w:t xml:space="preserve"> </w:t>
      </w:r>
    </w:p>
    <w:p w14:paraId="57C1BD12" w14:textId="77777777" w:rsidR="00855753" w:rsidRPr="0088745B" w:rsidRDefault="00855753" w:rsidP="00855753">
      <w:pPr>
        <w:pStyle w:val="BodyTextBCREC"/>
        <w:spacing w:line="240" w:lineRule="auto"/>
        <w:ind w:firstLine="454"/>
        <w:rPr>
          <w:rFonts w:ascii="Times New Roman" w:hAnsi="Times New Roman"/>
          <w:sz w:val="22"/>
          <w:szCs w:val="22"/>
          <w:lang w:val="uz-Cyrl-UZ"/>
        </w:rPr>
      </w:pPr>
    </w:p>
    <w:p w14:paraId="3E7F2F89" w14:textId="77777777" w:rsidR="00855753" w:rsidRPr="00570D52" w:rsidRDefault="00855753" w:rsidP="004F54E3">
      <w:pPr>
        <w:spacing w:after="0"/>
        <w:jc w:val="center"/>
      </w:pPr>
      <w:r w:rsidRPr="00570D52">
        <w:rPr>
          <w:noProof/>
          <w:lang w:eastAsia="ru-RU"/>
        </w:rPr>
        <w:drawing>
          <wp:inline distT="0" distB="0" distL="0" distR="0" wp14:anchorId="455A6F3B" wp14:editId="396A0F5D">
            <wp:extent cx="2685533" cy="5831398"/>
            <wp:effectExtent l="8255" t="0" r="8890" b="8890"/>
            <wp:docPr id="1" name="Рисунок 1" descr="D:\Hujjatlar\ЎзРФА УКТИ\Очистка ЭФК\очистка эфк 2020\Рентген натижалар\Рентген хисоблари\Резервная_копия_Б-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ujjatlar\ЎзРФА УКТИ\Очистка ЭФК\очистка эфк 2020\Рентген натижалар\Рентген хисоблари\Резервная_копия_Б-6.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685533" cy="5831398"/>
                    </a:xfrm>
                    <a:prstGeom prst="rect">
                      <a:avLst/>
                    </a:prstGeom>
                    <a:noFill/>
                    <a:ln>
                      <a:noFill/>
                    </a:ln>
                  </pic:spPr>
                </pic:pic>
              </a:graphicData>
            </a:graphic>
          </wp:inline>
        </w:drawing>
      </w:r>
    </w:p>
    <w:p w14:paraId="304F6600" w14:textId="77777777" w:rsidR="00855753" w:rsidRDefault="00855753" w:rsidP="004F54E3">
      <w:pPr>
        <w:pStyle w:val="BodyTextBCREC"/>
        <w:spacing w:after="120" w:line="240" w:lineRule="auto"/>
        <w:jc w:val="center"/>
        <w:rPr>
          <w:rFonts w:ascii="Arial" w:hAnsi="Arial" w:cs="Arial"/>
          <w:b/>
          <w:sz w:val="20"/>
        </w:rPr>
      </w:pPr>
      <w:r w:rsidRPr="001747B3">
        <w:rPr>
          <w:rFonts w:ascii="Arial" w:hAnsi="Arial" w:cs="Arial"/>
          <w:b/>
          <w:sz w:val="20"/>
        </w:rPr>
        <w:t xml:space="preserve">Fig. 1. </w:t>
      </w:r>
      <w:r w:rsidRPr="00855753">
        <w:rPr>
          <w:rFonts w:ascii="Arial" w:hAnsi="Arial" w:cs="Arial"/>
          <w:b/>
          <w:sz w:val="20"/>
        </w:rPr>
        <w:t xml:space="preserve">X-ray diffraction pattern of the monoammonium phosphate sample </w:t>
      </w:r>
    </w:p>
    <w:p w14:paraId="7108CF8F" w14:textId="77777777" w:rsidR="00855753" w:rsidRPr="00570D52" w:rsidRDefault="00855753" w:rsidP="0088745B">
      <w:pPr>
        <w:pStyle w:val="BodyTextBCREC"/>
        <w:spacing w:line="240" w:lineRule="auto"/>
        <w:rPr>
          <w:rFonts w:ascii="Times New Roman" w:hAnsi="Times New Roman"/>
          <w:szCs w:val="24"/>
        </w:rPr>
      </w:pPr>
      <w:r w:rsidRPr="00855753">
        <w:rPr>
          <w:rFonts w:ascii="Arial Narrow" w:hAnsi="Arial Narrow"/>
          <w:noProof/>
          <w:szCs w:val="24"/>
          <w:lang w:val="ru-RU" w:eastAsia="ru-RU"/>
        </w:rPr>
        <w:drawing>
          <wp:inline distT="0" distB="0" distL="0" distR="0" wp14:anchorId="34DC2FF6" wp14:editId="7E28CDA6">
            <wp:extent cx="2678591" cy="5832000"/>
            <wp:effectExtent l="4445" t="0" r="0" b="0"/>
            <wp:docPr id="2" name="Рисунок 2" descr="D:\Hujjatlar\ЎзРФА УКТИ\Очистка ЭФК\очистка эфк 2020\Рентген натижалар\Рентген хисоблари\Б-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ujjatlar\ЎзРФА УКТИ\Очистка ЭФК\очистка эфк 2020\Рентген натижалар\Рентген хисоблари\Б-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678591" cy="5832000"/>
                    </a:xfrm>
                    <a:prstGeom prst="rect">
                      <a:avLst/>
                    </a:prstGeom>
                    <a:noFill/>
                    <a:ln>
                      <a:noFill/>
                    </a:ln>
                  </pic:spPr>
                </pic:pic>
              </a:graphicData>
            </a:graphic>
          </wp:inline>
        </w:drawing>
      </w:r>
    </w:p>
    <w:p w14:paraId="7A0F9EAD" w14:textId="77777777" w:rsidR="005938A4" w:rsidRPr="001747B3" w:rsidRDefault="005938A4" w:rsidP="004F54E3">
      <w:pPr>
        <w:spacing w:after="120"/>
        <w:jc w:val="center"/>
        <w:rPr>
          <w:rStyle w:val="fontstyle21"/>
          <w:rFonts w:ascii="Arial" w:hAnsi="Arial" w:cs="Arial"/>
          <w:b/>
          <w:lang w:val="en-US"/>
        </w:rPr>
      </w:pPr>
      <w:r w:rsidRPr="001747B3">
        <w:rPr>
          <w:rFonts w:ascii="Arial" w:hAnsi="Arial" w:cs="Arial"/>
          <w:b/>
          <w:sz w:val="20"/>
          <w:szCs w:val="20"/>
          <w:lang w:val="en-US"/>
        </w:rPr>
        <w:t xml:space="preserve">Fig. </w:t>
      </w:r>
      <w:r w:rsidR="00B3000C">
        <w:rPr>
          <w:rFonts w:ascii="Arial" w:hAnsi="Arial" w:cs="Arial"/>
          <w:b/>
          <w:sz w:val="20"/>
          <w:szCs w:val="20"/>
          <w:lang w:val="en-US"/>
        </w:rPr>
        <w:t>2</w:t>
      </w:r>
      <w:r w:rsidRPr="001747B3">
        <w:rPr>
          <w:rFonts w:ascii="Arial" w:hAnsi="Arial" w:cs="Arial"/>
          <w:b/>
          <w:sz w:val="20"/>
          <w:szCs w:val="20"/>
          <w:lang w:val="en-US"/>
        </w:rPr>
        <w:t xml:space="preserve">. </w:t>
      </w:r>
      <w:r w:rsidR="00855753" w:rsidRPr="00855753">
        <w:rPr>
          <w:rFonts w:ascii="Arial" w:hAnsi="Arial" w:cs="Arial"/>
          <w:b/>
          <w:sz w:val="20"/>
          <w:szCs w:val="20"/>
          <w:lang w:val="en-US"/>
        </w:rPr>
        <w:t xml:space="preserve">X-ray diffraction pattern of the diammonium phosphate sample </w:t>
      </w:r>
    </w:p>
    <w:p w14:paraId="44474B42" w14:textId="77777777" w:rsidR="00626718" w:rsidRDefault="0088745B" w:rsidP="0088745B">
      <w:pPr>
        <w:pStyle w:val="BodyTextIndent"/>
        <w:spacing w:after="0"/>
        <w:ind w:left="0"/>
        <w:jc w:val="center"/>
        <w:rPr>
          <w:rFonts w:ascii="Arial" w:hAnsi="Arial" w:cs="Arial"/>
          <w:b/>
          <w:sz w:val="20"/>
          <w:szCs w:val="20"/>
          <w:lang w:val="uz-Cyrl-UZ"/>
        </w:rPr>
      </w:pPr>
      <w:r w:rsidRPr="00570D52">
        <w:rPr>
          <w:rFonts w:ascii="Times New Roman" w:hAnsi="Times New Roman"/>
          <w:noProof/>
          <w:szCs w:val="24"/>
          <w:lang w:val="ru-RU" w:eastAsia="ru-RU"/>
        </w:rPr>
        <w:lastRenderedPageBreak/>
        <w:drawing>
          <wp:inline distT="0" distB="0" distL="0" distR="0" wp14:anchorId="7E665EF9" wp14:editId="38567875">
            <wp:extent cx="2747037" cy="5832000"/>
            <wp:effectExtent l="635" t="0" r="0" b="0"/>
            <wp:docPr id="3" name="Рисунок 3" descr="D:\Hujjatlar\ЎзРФА УКТИ\Очистка ЭФК\очистка эфк 2020\Рентген натижалар\Рентген хисоблари\Б-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ujjatlar\ЎзРФА УКТИ\Очистка ЭФК\очистка эфк 2020\Рентген натижалар\Рентген хисоблари\Б-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47037" cy="5832000"/>
                    </a:xfrm>
                    <a:prstGeom prst="rect">
                      <a:avLst/>
                    </a:prstGeom>
                    <a:noFill/>
                    <a:ln>
                      <a:noFill/>
                    </a:ln>
                  </pic:spPr>
                </pic:pic>
              </a:graphicData>
            </a:graphic>
          </wp:inline>
        </w:drawing>
      </w:r>
    </w:p>
    <w:p w14:paraId="7E1EF8EA" w14:textId="77777777" w:rsidR="006C0B71" w:rsidRDefault="00855753" w:rsidP="006C0B71">
      <w:pPr>
        <w:spacing w:after="0"/>
        <w:jc w:val="center"/>
        <w:rPr>
          <w:rFonts w:ascii="Arial" w:hAnsi="Arial" w:cs="Arial"/>
          <w:b/>
          <w:sz w:val="20"/>
          <w:szCs w:val="20"/>
          <w:lang w:val="en-US"/>
        </w:rPr>
      </w:pPr>
      <w:r w:rsidRPr="001747B3">
        <w:rPr>
          <w:rFonts w:ascii="Arial" w:hAnsi="Arial" w:cs="Arial"/>
          <w:b/>
          <w:sz w:val="20"/>
          <w:szCs w:val="20"/>
          <w:lang w:val="en-US"/>
        </w:rPr>
        <w:t xml:space="preserve">Fig. </w:t>
      </w:r>
      <w:r w:rsidR="00B3000C">
        <w:rPr>
          <w:rFonts w:ascii="Arial" w:hAnsi="Arial" w:cs="Arial"/>
          <w:b/>
          <w:sz w:val="20"/>
          <w:szCs w:val="20"/>
          <w:lang w:val="en-US"/>
        </w:rPr>
        <w:t>3</w:t>
      </w:r>
      <w:r w:rsidRPr="001747B3">
        <w:rPr>
          <w:rFonts w:ascii="Arial" w:hAnsi="Arial" w:cs="Arial"/>
          <w:b/>
          <w:sz w:val="20"/>
          <w:szCs w:val="20"/>
          <w:lang w:val="en-US"/>
        </w:rPr>
        <w:t xml:space="preserve">. </w:t>
      </w:r>
      <w:r w:rsidRPr="00855753">
        <w:rPr>
          <w:rFonts w:ascii="Arial" w:hAnsi="Arial" w:cs="Arial"/>
          <w:b/>
          <w:sz w:val="20"/>
          <w:szCs w:val="20"/>
          <w:lang w:val="en-US"/>
        </w:rPr>
        <w:t xml:space="preserve">X-ray diffraction pattern of the precipitate obtained when </w:t>
      </w:r>
    </w:p>
    <w:p w14:paraId="05403654" w14:textId="77777777" w:rsidR="003F4B27" w:rsidRPr="00855753" w:rsidRDefault="00956810" w:rsidP="004F54E3">
      <w:pPr>
        <w:spacing w:after="120"/>
        <w:jc w:val="center"/>
        <w:rPr>
          <w:rFonts w:ascii="Arial" w:hAnsi="Arial" w:cs="Arial"/>
          <w:b/>
          <w:sz w:val="20"/>
          <w:szCs w:val="20"/>
          <w:lang w:val="en-US"/>
        </w:rPr>
      </w:pPr>
      <w:r>
        <w:rPr>
          <w:rFonts w:ascii="Arial" w:hAnsi="Arial" w:cs="Arial"/>
          <w:b/>
          <w:sz w:val="20"/>
          <w:szCs w:val="20"/>
          <w:lang w:val="en-US"/>
        </w:rPr>
        <w:t>H</w:t>
      </w:r>
      <w:r w:rsidRPr="00956810">
        <w:rPr>
          <w:rFonts w:ascii="Arial" w:hAnsi="Arial" w:cs="Arial"/>
          <w:b/>
          <w:sz w:val="20"/>
          <w:szCs w:val="20"/>
          <w:vertAlign w:val="subscript"/>
          <w:lang w:val="en-US"/>
        </w:rPr>
        <w:t>3</w:t>
      </w:r>
      <w:r>
        <w:rPr>
          <w:rFonts w:ascii="Arial" w:hAnsi="Arial" w:cs="Arial"/>
          <w:b/>
          <w:sz w:val="20"/>
          <w:szCs w:val="20"/>
          <w:lang w:val="en-US"/>
        </w:rPr>
        <w:t>PO</w:t>
      </w:r>
      <w:r w:rsidRPr="00956810">
        <w:rPr>
          <w:rFonts w:ascii="Arial" w:hAnsi="Arial" w:cs="Arial"/>
          <w:b/>
          <w:sz w:val="20"/>
          <w:szCs w:val="20"/>
          <w:vertAlign w:val="subscript"/>
          <w:lang w:val="en-US"/>
        </w:rPr>
        <w:t>4</w:t>
      </w:r>
      <w:r w:rsidR="006C0B71">
        <w:rPr>
          <w:rFonts w:ascii="Arial" w:hAnsi="Arial" w:cs="Arial"/>
          <w:b/>
          <w:sz w:val="20"/>
          <w:szCs w:val="20"/>
          <w:lang w:val="en-US"/>
        </w:rPr>
        <w:t>:</w:t>
      </w:r>
      <w:r>
        <w:rPr>
          <w:rFonts w:ascii="Arial" w:hAnsi="Arial" w:cs="Arial"/>
          <w:b/>
          <w:sz w:val="20"/>
          <w:szCs w:val="20"/>
          <w:lang w:val="en-US"/>
        </w:rPr>
        <w:t>(</w:t>
      </w:r>
      <w:proofErr w:type="gramStart"/>
      <w:r>
        <w:rPr>
          <w:rFonts w:ascii="Arial" w:hAnsi="Arial" w:cs="Arial"/>
          <w:b/>
          <w:sz w:val="20"/>
          <w:szCs w:val="20"/>
          <w:lang w:val="en-US"/>
        </w:rPr>
        <w:t>C</w:t>
      </w:r>
      <w:r w:rsidRPr="00956810">
        <w:rPr>
          <w:rFonts w:ascii="Arial" w:hAnsi="Arial" w:cs="Arial"/>
          <w:b/>
          <w:sz w:val="20"/>
          <w:szCs w:val="20"/>
          <w:vertAlign w:val="subscript"/>
          <w:lang w:val="en-US"/>
        </w:rPr>
        <w:t>2</w:t>
      </w:r>
      <w:r>
        <w:rPr>
          <w:rFonts w:ascii="Arial" w:hAnsi="Arial" w:cs="Arial"/>
          <w:b/>
          <w:sz w:val="20"/>
          <w:szCs w:val="20"/>
          <w:lang w:val="en-US"/>
        </w:rPr>
        <w:t>H</w:t>
      </w:r>
      <w:r w:rsidRPr="00956810">
        <w:rPr>
          <w:rFonts w:ascii="Arial" w:hAnsi="Arial" w:cs="Arial"/>
          <w:b/>
          <w:sz w:val="20"/>
          <w:szCs w:val="20"/>
          <w:vertAlign w:val="subscript"/>
          <w:lang w:val="en-US"/>
        </w:rPr>
        <w:t>5</w:t>
      </w:r>
      <w:r w:rsidR="006C0B71">
        <w:rPr>
          <w:rFonts w:ascii="Arial" w:hAnsi="Arial" w:cs="Arial"/>
          <w:b/>
          <w:sz w:val="20"/>
          <w:szCs w:val="20"/>
          <w:lang w:val="en-US"/>
        </w:rPr>
        <w:t>OH</w:t>
      </w:r>
      <w:r>
        <w:rPr>
          <w:rFonts w:ascii="Arial" w:hAnsi="Arial" w:cs="Arial"/>
          <w:b/>
          <w:sz w:val="20"/>
          <w:szCs w:val="20"/>
          <w:lang w:val="en-US"/>
        </w:rPr>
        <w:t>:CH</w:t>
      </w:r>
      <w:r w:rsidRPr="00956810">
        <w:rPr>
          <w:rFonts w:ascii="Arial" w:hAnsi="Arial" w:cs="Arial"/>
          <w:b/>
          <w:sz w:val="20"/>
          <w:szCs w:val="20"/>
          <w:vertAlign w:val="subscript"/>
          <w:lang w:val="en-US"/>
        </w:rPr>
        <w:t>3</w:t>
      </w:r>
      <w:r>
        <w:rPr>
          <w:rFonts w:ascii="Arial" w:hAnsi="Arial" w:cs="Arial"/>
          <w:b/>
          <w:sz w:val="20"/>
          <w:szCs w:val="20"/>
          <w:lang w:val="en-US"/>
        </w:rPr>
        <w:t>COCH</w:t>
      </w:r>
      <w:r w:rsidRPr="00956810">
        <w:rPr>
          <w:rFonts w:ascii="Arial" w:hAnsi="Arial" w:cs="Arial"/>
          <w:b/>
          <w:sz w:val="20"/>
          <w:szCs w:val="20"/>
          <w:vertAlign w:val="subscript"/>
          <w:lang w:val="en-US"/>
        </w:rPr>
        <w:t>3</w:t>
      </w:r>
      <w:r w:rsidR="006C0B71">
        <w:rPr>
          <w:rFonts w:ascii="Arial" w:hAnsi="Arial" w:cs="Arial"/>
          <w:b/>
          <w:sz w:val="20"/>
          <w:szCs w:val="20"/>
          <w:lang w:val="en-US"/>
        </w:rPr>
        <w:t>)</w:t>
      </w:r>
      <w:r>
        <w:rPr>
          <w:rFonts w:ascii="Arial" w:hAnsi="Arial" w:cs="Arial"/>
          <w:b/>
          <w:sz w:val="20"/>
          <w:szCs w:val="20"/>
          <w:lang w:val="en-US"/>
        </w:rPr>
        <w:t>=</w:t>
      </w:r>
      <w:proofErr w:type="gramEnd"/>
      <w:r>
        <w:rPr>
          <w:rFonts w:ascii="Arial" w:hAnsi="Arial" w:cs="Arial"/>
          <w:b/>
          <w:sz w:val="20"/>
          <w:szCs w:val="20"/>
          <w:lang w:val="en-US"/>
        </w:rPr>
        <w:t>1</w:t>
      </w:r>
      <w:r w:rsidR="00855753" w:rsidRPr="00855753">
        <w:rPr>
          <w:rFonts w:ascii="Arial" w:hAnsi="Arial" w:cs="Arial"/>
          <w:b/>
          <w:sz w:val="20"/>
          <w:szCs w:val="20"/>
          <w:lang w:val="en-US"/>
        </w:rPr>
        <w:t>:0.33, τ</w:t>
      </w:r>
      <w:r>
        <w:rPr>
          <w:rFonts w:ascii="Arial" w:hAnsi="Arial" w:cs="Arial"/>
          <w:b/>
          <w:sz w:val="20"/>
          <w:szCs w:val="20"/>
          <w:lang w:val="en-US"/>
        </w:rPr>
        <w:t>-30 minutes; t-</w:t>
      </w:r>
      <w:r w:rsidR="00855753" w:rsidRPr="00855753">
        <w:rPr>
          <w:rFonts w:ascii="Arial" w:hAnsi="Arial" w:cs="Arial"/>
          <w:b/>
          <w:sz w:val="20"/>
          <w:szCs w:val="20"/>
          <w:lang w:val="en-US"/>
        </w:rPr>
        <w:t xml:space="preserve">25°C </w:t>
      </w:r>
    </w:p>
    <w:p w14:paraId="0B70D7CF"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The composition of the dried p</w:t>
      </w:r>
      <w:r w:rsidR="00A86020">
        <w:rPr>
          <w:rFonts w:ascii="Arial" w:hAnsi="Arial" w:cs="Arial"/>
          <w:noProof/>
          <w:sz w:val="20"/>
          <w:szCs w:val="24"/>
          <w:lang w:val="en-US" w:eastAsia="ru-RU"/>
        </w:rPr>
        <w:t>recipitate is as follows: 40.54</w:t>
      </w:r>
      <w:r w:rsidRPr="00B3000C">
        <w:rPr>
          <w:rFonts w:ascii="Arial" w:hAnsi="Arial" w:cs="Arial"/>
          <w:noProof/>
          <w:sz w:val="20"/>
          <w:szCs w:val="24"/>
          <w:lang w:val="en-US" w:eastAsia="ru-RU"/>
        </w:rPr>
        <w:t>% P</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5</w:t>
      </w:r>
      <w:r w:rsidRPr="00B3000C">
        <w:rPr>
          <w:rFonts w:ascii="Arial" w:hAnsi="Arial" w:cs="Arial"/>
          <w:noProof/>
          <w:sz w:val="20"/>
          <w:szCs w:val="24"/>
          <w:lang w:val="en-US" w:eastAsia="ru-RU"/>
        </w:rPr>
        <w:t>, 3.93% MgO, 8.49% CaO, 6.54% Al</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4.92% Fe</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3</w:t>
      </w:r>
      <w:r w:rsidR="00A86020">
        <w:rPr>
          <w:rFonts w:ascii="Arial" w:hAnsi="Arial" w:cs="Arial"/>
          <w:noProof/>
          <w:sz w:val="20"/>
          <w:szCs w:val="24"/>
          <w:lang w:val="en-US" w:eastAsia="ru-RU"/>
        </w:rPr>
        <w:t xml:space="preserve"> and 2.48</w:t>
      </w:r>
      <w:r w:rsidRPr="00B3000C">
        <w:rPr>
          <w:rFonts w:ascii="Arial" w:hAnsi="Arial" w:cs="Arial"/>
          <w:noProof/>
          <w:sz w:val="20"/>
          <w:szCs w:val="24"/>
          <w:lang w:val="en-US" w:eastAsia="ru-RU"/>
        </w:rPr>
        <w:t>% SO</w:t>
      </w:r>
      <w:r w:rsidRPr="00A86020">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It can be used as a concentrated phosphorus-containing fertilizer with prolonged </w:t>
      </w:r>
      <w:r w:rsidR="00A86020">
        <w:rPr>
          <w:rFonts w:ascii="Arial" w:hAnsi="Arial" w:cs="Arial"/>
          <w:noProof/>
          <w:sz w:val="20"/>
          <w:szCs w:val="24"/>
          <w:lang w:val="en-US" w:eastAsia="ru-RU"/>
        </w:rPr>
        <w:t>action. At the same time, 10.43</w:t>
      </w:r>
      <w:r w:rsidRPr="00B3000C">
        <w:rPr>
          <w:rFonts w:ascii="Arial" w:hAnsi="Arial" w:cs="Arial"/>
          <w:noProof/>
          <w:sz w:val="20"/>
          <w:szCs w:val="24"/>
          <w:lang w:val="en-US" w:eastAsia="ru-RU"/>
        </w:rPr>
        <w:t>% of the phosphorus pentoxide from the total content in the initial acid is bound in the form of salts (see figure 3): MgHPO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(3.06 Å), CaHPO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(3.38 Å), CaHPO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·2H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 (7.64; 4.288; 3.77; 3.06; 2.54; 1.90 Å), FePO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(8.63; 2.54 Å), (Fe,Mg)Al</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 xml:space="preserve"> (6.15; 2.27 Å), AlPO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(2.71 Å). Due to their low solubility, these salts precipitate. Calcium binds in the form of CaF</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 xml:space="preserve"> (3.16 Å) and CaSO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·2H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 (7.63; 4.29; 3.06; 2.87; 2.675 Å).</w:t>
      </w:r>
    </w:p>
    <w:p w14:paraId="0313E8E2"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Following the drying of these samples, infrared (IR) spectroscopic analyses were conducted. The analyses were carried out using a Perkin-Elmer FT-IR Spectrum 3 spectrophotometer [18], operating within a frequency range of 4000–400 cm</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The accuracy of the results obtained was ensured through verification against specific references [19, 20]. Figures 4–6 depict the outcomes of the IR spectroscopic analysis. At this location, we are discussing two important concepts: transmittance (% T) and wavenumber (cm</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w:t>
      </w:r>
    </w:p>
    <w:p w14:paraId="2DD9E0EC"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Figure 4 reveals the results of the IR spectroscopic analysis of the monoammonium phosphate sample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3029.23; 1439.85; 1403.74-(NH</w:t>
      </w:r>
      <w:r w:rsidRPr="00593142">
        <w:rPr>
          <w:rFonts w:ascii="Arial" w:hAnsi="Arial" w:cs="Arial"/>
          <w:noProof/>
          <w:sz w:val="20"/>
          <w:szCs w:val="24"/>
          <w:vertAlign w:val="subscript"/>
          <w:lang w:val="en-US" w:eastAsia="ru-RU"/>
        </w:rPr>
        <w:t>4</w:t>
      </w:r>
      <w:r w:rsidRPr="00A86020">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1269.11-(C–O), 1053.60-(H</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xml:space="preserve">), 887.92-(-OH), as suggested by certain sources. </w:t>
      </w:r>
    </w:p>
    <w:p w14:paraId="1A9687C5"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In Figure 5, the IR spectroscopic analysis of the diammonium phosphate sample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2798.98-(-OH), 1715.43 -(RR’N-COOR), 1453.57; 1403.51-(NH</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1194.74-(C–O), 1046.62; 947.32 and 893.46- are indicative of the HPO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2-</w:t>
      </w:r>
      <w:r w:rsidRPr="00B3000C">
        <w:rPr>
          <w:rFonts w:ascii="Arial" w:hAnsi="Arial" w:cs="Arial"/>
          <w:noProof/>
          <w:sz w:val="20"/>
          <w:szCs w:val="24"/>
          <w:lang w:val="en-US" w:eastAsia="ru-RU"/>
        </w:rPr>
        <w:t xml:space="preserve"> ion, as suggested by certain sources. </w:t>
      </w:r>
    </w:p>
    <w:p w14:paraId="1BE3465E"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Moving to Figure 6, the IR spectroscopic analysis of the precipitate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3404.04-(-OH), 1645.01 -(C-N), 1088.10 (PO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3-</w:t>
      </w:r>
      <w:r w:rsidRPr="00B3000C">
        <w:rPr>
          <w:rFonts w:ascii="Arial" w:hAnsi="Arial" w:cs="Arial"/>
          <w:noProof/>
          <w:sz w:val="20"/>
          <w:szCs w:val="24"/>
          <w:lang w:val="en-US" w:eastAsia="ru-RU"/>
        </w:rPr>
        <w:t xml:space="preserve">), as suggested by certain sources. </w:t>
      </w:r>
    </w:p>
    <w:p w14:paraId="790F47A8" w14:textId="77777777" w:rsidR="00273185"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The production of high-concentration ammonium phosphates that comply with international standards as a phosphorus source requires the use of purified WPA free from sulfates and other impurities, as evidenced by the findings of this study. It has been established that for desulfurization of WPA, CaCO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is the preferred</w:t>
      </w:r>
      <w:r w:rsidR="00593142">
        <w:rPr>
          <w:rFonts w:ascii="Arial" w:hAnsi="Arial" w:cs="Arial"/>
          <w:noProof/>
          <w:sz w:val="20"/>
          <w:szCs w:val="24"/>
          <w:lang w:val="en-US" w:eastAsia="ru-RU"/>
        </w:rPr>
        <w:t xml:space="preserve"> precipitant at a dosage of 125</w:t>
      </w:r>
      <w:r w:rsidRPr="00B3000C">
        <w:rPr>
          <w:rFonts w:ascii="Arial" w:hAnsi="Arial" w:cs="Arial"/>
          <w:noProof/>
          <w:sz w:val="20"/>
          <w:szCs w:val="24"/>
          <w:lang w:val="en-US" w:eastAsia="ru-RU"/>
        </w:rPr>
        <w:t>% of the stoichiometric amount, which results in a desu</w:t>
      </w:r>
      <w:r w:rsidR="00593142">
        <w:rPr>
          <w:rFonts w:ascii="Arial" w:hAnsi="Arial" w:cs="Arial"/>
          <w:noProof/>
          <w:sz w:val="20"/>
          <w:szCs w:val="24"/>
          <w:lang w:val="en-US" w:eastAsia="ru-RU"/>
        </w:rPr>
        <w:t>lfurization efficiency of 85.65</w:t>
      </w:r>
      <w:r w:rsidRPr="00B3000C">
        <w:rPr>
          <w:rFonts w:ascii="Arial" w:hAnsi="Arial" w:cs="Arial"/>
          <w:noProof/>
          <w:sz w:val="20"/>
          <w:szCs w:val="24"/>
          <w:lang w:val="en-US" w:eastAsia="ru-RU"/>
        </w:rPr>
        <w:t>%. Along with gypsum, other impurities (MgO, CaO, Al</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Fe</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and F) are also removed. The gypsum precipitate, containing 15-19% P</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5</w:t>
      </w:r>
      <w:r w:rsidRPr="00B3000C">
        <w:rPr>
          <w:rFonts w:ascii="Arial" w:hAnsi="Arial" w:cs="Arial"/>
          <w:noProof/>
          <w:sz w:val="20"/>
          <w:szCs w:val="24"/>
          <w:lang w:val="en-US" w:eastAsia="ru-RU"/>
        </w:rPr>
        <w:t>, can be used as a slow-release phosphorus fertilizer.</w:t>
      </w:r>
    </w:p>
    <w:p w14:paraId="5A3CEB1F" w14:textId="77777777" w:rsidR="00B3000C" w:rsidRDefault="00B3000C" w:rsidP="00B3000C">
      <w:pPr>
        <w:spacing w:after="0" w:line="240" w:lineRule="auto"/>
        <w:ind w:firstLine="708"/>
        <w:jc w:val="both"/>
        <w:rPr>
          <w:rFonts w:ascii="Arial" w:hAnsi="Arial" w:cs="Arial"/>
          <w:noProof/>
          <w:sz w:val="20"/>
          <w:szCs w:val="24"/>
          <w:lang w:val="en-US" w:eastAsia="ru-RU"/>
        </w:rPr>
      </w:pPr>
    </w:p>
    <w:p w14:paraId="6E14DE19" w14:textId="77777777" w:rsidR="00B3000C" w:rsidRDefault="00B3000C" w:rsidP="0088745B">
      <w:pPr>
        <w:spacing w:after="0" w:line="240" w:lineRule="auto"/>
        <w:jc w:val="center"/>
        <w:rPr>
          <w:rFonts w:ascii="Arial" w:hAnsi="Arial" w:cs="Arial"/>
          <w:noProof/>
          <w:sz w:val="20"/>
          <w:szCs w:val="24"/>
          <w:lang w:val="en-US" w:eastAsia="ru-RU"/>
        </w:rPr>
      </w:pPr>
      <w:r w:rsidRPr="006A0D8C">
        <w:rPr>
          <w:noProof/>
          <w:color w:val="FF0000"/>
          <w:lang w:eastAsia="ru-RU"/>
        </w:rPr>
        <w:lastRenderedPageBreak/>
        <w:drawing>
          <wp:inline distT="0" distB="0" distL="0" distR="0" wp14:anchorId="68580009" wp14:editId="130649D1">
            <wp:extent cx="5237108" cy="2160000"/>
            <wp:effectExtent l="0" t="0" r="1905" b="0"/>
            <wp:docPr id="6" name="Рисунок 6" descr="D:\Hujjatlar\ЎзРФА УКТИ\Очистка ЭФК\очистка эфк 2020\ИК анализ\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ujjatlar\ЎзРФА УКТИ\Очистка ЭФК\очистка эфк 2020\ИК анализ\6.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68" t="16030" r="1602"/>
                    <a:stretch/>
                  </pic:blipFill>
                  <pic:spPr bwMode="auto">
                    <a:xfrm>
                      <a:off x="0" y="0"/>
                      <a:ext cx="5237108"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31995D1E" w14:textId="77777777" w:rsidR="00B3000C" w:rsidRPr="00855753" w:rsidRDefault="00B3000C" w:rsidP="004F54E3">
      <w:pPr>
        <w:spacing w:after="120"/>
        <w:jc w:val="center"/>
        <w:rPr>
          <w:rFonts w:ascii="Arial" w:hAnsi="Arial" w:cs="Arial"/>
          <w:b/>
          <w:sz w:val="20"/>
          <w:szCs w:val="20"/>
          <w:lang w:val="en-US"/>
        </w:rPr>
      </w:pPr>
      <w:r w:rsidRPr="001747B3">
        <w:rPr>
          <w:rFonts w:ascii="Arial" w:hAnsi="Arial" w:cs="Arial"/>
          <w:b/>
          <w:sz w:val="20"/>
          <w:szCs w:val="20"/>
          <w:lang w:val="en-US"/>
        </w:rPr>
        <w:t xml:space="preserve">Fig. </w:t>
      </w:r>
      <w:r>
        <w:rPr>
          <w:rFonts w:ascii="Arial" w:hAnsi="Arial" w:cs="Arial"/>
          <w:b/>
          <w:sz w:val="20"/>
          <w:szCs w:val="20"/>
          <w:lang w:val="en-US"/>
        </w:rPr>
        <w:t>4</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monoammonium phosphate sample at 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00593142">
        <w:rPr>
          <w:rFonts w:ascii="Arial" w:hAnsi="Arial" w:cs="Arial"/>
          <w:b/>
          <w:sz w:val="20"/>
          <w:szCs w:val="20"/>
          <w:lang w:val="en-US"/>
        </w:rPr>
        <w:t>:</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00593142">
        <w:rPr>
          <w:rFonts w:ascii="Arial" w:hAnsi="Arial" w:cs="Arial"/>
          <w:b/>
          <w:sz w:val="20"/>
          <w:szCs w:val="20"/>
          <w:lang w:val="en-US"/>
        </w:rPr>
        <w:t>)=</w:t>
      </w:r>
      <w:proofErr w:type="gramEnd"/>
      <w:r w:rsidR="00593142">
        <w:rPr>
          <w:rFonts w:ascii="Arial" w:hAnsi="Arial" w:cs="Arial"/>
          <w:b/>
          <w:sz w:val="20"/>
          <w:szCs w:val="20"/>
          <w:lang w:val="en-US"/>
        </w:rPr>
        <w:t>1:</w:t>
      </w:r>
      <w:r w:rsidRPr="00B3000C">
        <w:rPr>
          <w:rFonts w:ascii="Arial" w:hAnsi="Arial" w:cs="Arial"/>
          <w:b/>
          <w:sz w:val="20"/>
          <w:szCs w:val="20"/>
          <w:lang w:val="en-US"/>
        </w:rPr>
        <w:t>0.33, τ</w:t>
      </w:r>
      <w:r w:rsidR="00593142">
        <w:rPr>
          <w:rFonts w:ascii="Arial" w:hAnsi="Arial" w:cs="Arial"/>
          <w:b/>
          <w:sz w:val="20"/>
          <w:szCs w:val="20"/>
          <w:lang w:val="en-US"/>
        </w:rPr>
        <w:t>-</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63962170" w14:textId="77777777" w:rsidR="00B3000C" w:rsidRDefault="00B3000C" w:rsidP="0088745B">
      <w:pPr>
        <w:spacing w:after="0" w:line="240" w:lineRule="auto"/>
        <w:jc w:val="center"/>
        <w:rPr>
          <w:rFonts w:ascii="Arial" w:hAnsi="Arial" w:cs="Arial"/>
          <w:sz w:val="20"/>
          <w:szCs w:val="28"/>
          <w:lang w:val="en-US"/>
        </w:rPr>
      </w:pPr>
      <w:r w:rsidRPr="006A0D8C">
        <w:rPr>
          <w:noProof/>
          <w:color w:val="FF0000"/>
          <w:shd w:val="clear" w:color="auto" w:fill="FFFFFF"/>
          <w:lang w:eastAsia="ru-RU"/>
        </w:rPr>
        <w:drawing>
          <wp:inline distT="0" distB="0" distL="0" distR="0" wp14:anchorId="734A83A8" wp14:editId="0CA9AEBC">
            <wp:extent cx="4944947" cy="2160000"/>
            <wp:effectExtent l="0" t="0" r="8255" b="0"/>
            <wp:docPr id="7" name="Рисунок 7" descr="D:\Hujjatlar\ЎзРФА УКТИ\Очистка ЭФК\очистка эфк 2020\ИК анализ\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ujjatlar\ЎзРФА УКТИ\Очистка ЭФК\очистка эфк 2020\ИК анализ\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015" b="272"/>
                    <a:stretch/>
                  </pic:blipFill>
                  <pic:spPr bwMode="auto">
                    <a:xfrm>
                      <a:off x="0" y="0"/>
                      <a:ext cx="4944947"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118DA1DA" w14:textId="77777777" w:rsidR="00B3000C" w:rsidRPr="00855753" w:rsidRDefault="00B3000C" w:rsidP="004F54E3">
      <w:pPr>
        <w:spacing w:after="120"/>
        <w:jc w:val="center"/>
        <w:rPr>
          <w:rFonts w:ascii="Arial" w:hAnsi="Arial" w:cs="Arial"/>
          <w:b/>
          <w:sz w:val="20"/>
          <w:szCs w:val="20"/>
          <w:lang w:val="en-US"/>
        </w:rPr>
      </w:pPr>
      <w:r w:rsidRPr="001747B3">
        <w:rPr>
          <w:rFonts w:ascii="Arial" w:hAnsi="Arial" w:cs="Arial"/>
          <w:b/>
          <w:sz w:val="20"/>
          <w:szCs w:val="20"/>
          <w:lang w:val="en-US"/>
        </w:rPr>
        <w:t xml:space="preserve">Fig. </w:t>
      </w:r>
      <w:r>
        <w:rPr>
          <w:rFonts w:ascii="Arial" w:hAnsi="Arial" w:cs="Arial"/>
          <w:b/>
          <w:sz w:val="20"/>
          <w:szCs w:val="20"/>
          <w:lang w:val="en-US"/>
        </w:rPr>
        <w:t>5</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diammonium phosphate sample at 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Pr="00B3000C">
        <w:rPr>
          <w:rFonts w:ascii="Arial" w:hAnsi="Arial" w:cs="Arial"/>
          <w:b/>
          <w:sz w:val="20"/>
          <w:szCs w:val="20"/>
          <w:lang w:val="en-US"/>
        </w:rPr>
        <w:t>)=</w:t>
      </w:r>
      <w:proofErr w:type="gramEnd"/>
      <w:r w:rsidRPr="00B3000C">
        <w:rPr>
          <w:rFonts w:ascii="Arial" w:hAnsi="Arial" w:cs="Arial"/>
          <w:b/>
          <w:sz w:val="20"/>
          <w:szCs w:val="20"/>
          <w:lang w:val="en-US"/>
        </w:rPr>
        <w:t xml:space="preserve">1:0.33, </w:t>
      </w:r>
      <w:r w:rsidR="00593142">
        <w:rPr>
          <w:rFonts w:ascii="Arial" w:hAnsi="Arial" w:cs="Arial"/>
          <w:b/>
          <w:sz w:val="20"/>
          <w:szCs w:val="20"/>
          <w:lang w:val="en-US"/>
        </w:rPr>
        <w:t>τ-</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0186EBB6" w14:textId="77777777" w:rsidR="00B3000C" w:rsidRDefault="00B3000C" w:rsidP="00B3000C">
      <w:pPr>
        <w:spacing w:after="0" w:line="240" w:lineRule="auto"/>
        <w:ind w:firstLine="708"/>
        <w:jc w:val="both"/>
        <w:rPr>
          <w:rFonts w:ascii="Arial" w:hAnsi="Arial" w:cs="Arial"/>
          <w:sz w:val="20"/>
          <w:szCs w:val="28"/>
          <w:lang w:val="en-US"/>
        </w:rPr>
      </w:pPr>
    </w:p>
    <w:p w14:paraId="300D4B7B" w14:textId="77777777" w:rsidR="00B3000C" w:rsidRDefault="00B3000C" w:rsidP="0088745B">
      <w:pPr>
        <w:spacing w:after="0" w:line="240" w:lineRule="auto"/>
        <w:jc w:val="center"/>
        <w:rPr>
          <w:rFonts w:ascii="Arial" w:hAnsi="Arial" w:cs="Arial"/>
          <w:sz w:val="20"/>
          <w:szCs w:val="28"/>
          <w:lang w:val="en-US"/>
        </w:rPr>
      </w:pPr>
      <w:r w:rsidRPr="001946B1">
        <w:rPr>
          <w:noProof/>
          <w:color w:val="FF0000"/>
          <w:shd w:val="clear" w:color="auto" w:fill="FFFFFF"/>
          <w:lang w:eastAsia="ru-RU"/>
        </w:rPr>
        <w:drawing>
          <wp:inline distT="0" distB="0" distL="0" distR="0" wp14:anchorId="64A10895" wp14:editId="10D3355E">
            <wp:extent cx="4692770" cy="2158365"/>
            <wp:effectExtent l="0" t="0" r="0" b="0"/>
            <wp:docPr id="5" name="Рисунок 5" descr="D:\Hujjatlar\ЎзРФА УКТИ\Очистка ЭФК\очистка эфк 2020\ИК анализ\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ujjatlar\ЎзРФА УКТИ\Очистка ЭФК\очистка эфк 2020\ИК анализ\8.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412" t="18856"/>
                    <a:stretch/>
                  </pic:blipFill>
                  <pic:spPr bwMode="auto">
                    <a:xfrm>
                      <a:off x="0" y="0"/>
                      <a:ext cx="4709497" cy="2166059"/>
                    </a:xfrm>
                    <a:prstGeom prst="rect">
                      <a:avLst/>
                    </a:prstGeom>
                    <a:noFill/>
                    <a:ln>
                      <a:noFill/>
                    </a:ln>
                    <a:extLst>
                      <a:ext uri="{53640926-AAD7-44D8-BBD7-CCE9431645EC}">
                        <a14:shadowObscured xmlns:a14="http://schemas.microsoft.com/office/drawing/2010/main"/>
                      </a:ext>
                    </a:extLst>
                  </pic:spPr>
                </pic:pic>
              </a:graphicData>
            </a:graphic>
          </wp:inline>
        </w:drawing>
      </w:r>
    </w:p>
    <w:p w14:paraId="09158787" w14:textId="079B8A20" w:rsidR="00593142" w:rsidRDefault="00B3000C" w:rsidP="00593142">
      <w:pPr>
        <w:spacing w:after="0"/>
        <w:jc w:val="center"/>
        <w:rPr>
          <w:rFonts w:ascii="Arial" w:hAnsi="Arial" w:cs="Arial"/>
          <w:b/>
          <w:sz w:val="20"/>
          <w:szCs w:val="20"/>
          <w:lang w:val="en-US"/>
        </w:rPr>
      </w:pPr>
      <w:r w:rsidRPr="001747B3">
        <w:rPr>
          <w:rFonts w:ascii="Arial" w:hAnsi="Arial" w:cs="Arial"/>
          <w:b/>
          <w:sz w:val="20"/>
          <w:szCs w:val="20"/>
          <w:lang w:val="en-US"/>
        </w:rPr>
        <w:t xml:space="preserve">Fig. </w:t>
      </w:r>
      <w:r w:rsidR="0077607E">
        <w:rPr>
          <w:rFonts w:ascii="Arial" w:hAnsi="Arial" w:cs="Arial"/>
          <w:b/>
          <w:sz w:val="20"/>
          <w:szCs w:val="20"/>
          <w:lang w:val="en-US"/>
        </w:rPr>
        <w:t>6</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precipitate at</w:t>
      </w:r>
    </w:p>
    <w:p w14:paraId="19FCFCDB" w14:textId="77777777" w:rsidR="00B3000C" w:rsidRPr="00855753" w:rsidRDefault="00B3000C" w:rsidP="004F54E3">
      <w:pPr>
        <w:spacing w:after="120"/>
        <w:jc w:val="center"/>
        <w:rPr>
          <w:rFonts w:ascii="Arial" w:hAnsi="Arial" w:cs="Arial"/>
          <w:b/>
          <w:sz w:val="20"/>
          <w:szCs w:val="20"/>
          <w:lang w:val="en-US"/>
        </w:rPr>
      </w:pPr>
      <w:r w:rsidRPr="00B3000C">
        <w:rPr>
          <w:rFonts w:ascii="Arial" w:hAnsi="Arial" w:cs="Arial"/>
          <w:b/>
          <w:sz w:val="20"/>
          <w:szCs w:val="20"/>
          <w:lang w:val="en-US"/>
        </w:rPr>
        <w:t>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00593142">
        <w:rPr>
          <w:rFonts w:ascii="Arial" w:hAnsi="Arial" w:cs="Arial"/>
          <w:b/>
          <w:sz w:val="20"/>
          <w:szCs w:val="20"/>
          <w:lang w:val="en-US"/>
        </w:rPr>
        <w:t>:</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Pr="00B3000C">
        <w:rPr>
          <w:rFonts w:ascii="Arial" w:hAnsi="Arial" w:cs="Arial"/>
          <w:b/>
          <w:sz w:val="20"/>
          <w:szCs w:val="20"/>
          <w:lang w:val="en-US"/>
        </w:rPr>
        <w:t>)=</w:t>
      </w:r>
      <w:proofErr w:type="gramEnd"/>
      <w:r w:rsidRPr="00B3000C">
        <w:rPr>
          <w:rFonts w:ascii="Arial" w:hAnsi="Arial" w:cs="Arial"/>
          <w:b/>
          <w:sz w:val="20"/>
          <w:szCs w:val="20"/>
          <w:lang w:val="en-US"/>
        </w:rPr>
        <w:t>1:</w:t>
      </w:r>
      <w:r w:rsidR="00593142">
        <w:rPr>
          <w:rFonts w:ascii="Arial" w:hAnsi="Arial" w:cs="Arial"/>
          <w:b/>
          <w:sz w:val="20"/>
          <w:szCs w:val="20"/>
          <w:lang w:val="en-US"/>
        </w:rPr>
        <w:t>0.33,</w:t>
      </w:r>
      <w:r w:rsidRPr="00B3000C">
        <w:rPr>
          <w:rFonts w:ascii="Arial" w:hAnsi="Arial" w:cs="Arial"/>
          <w:b/>
          <w:sz w:val="20"/>
          <w:szCs w:val="20"/>
          <w:lang w:val="en-US"/>
        </w:rPr>
        <w:t xml:space="preserve"> τ</w:t>
      </w:r>
      <w:r w:rsidR="00593142">
        <w:rPr>
          <w:rFonts w:ascii="Arial" w:hAnsi="Arial" w:cs="Arial"/>
          <w:b/>
          <w:sz w:val="20"/>
          <w:szCs w:val="20"/>
          <w:lang w:val="en-US"/>
        </w:rPr>
        <w:t>-</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197D1F3C" w14:textId="77777777" w:rsidR="00D46467" w:rsidRPr="00D46467" w:rsidRDefault="00D46467" w:rsidP="007F2674">
      <w:pPr>
        <w:pStyle w:val="BodyTextIndent"/>
        <w:numPr>
          <w:ilvl w:val="0"/>
          <w:numId w:val="3"/>
        </w:numPr>
        <w:spacing w:before="120"/>
        <w:ind w:left="924" w:hanging="357"/>
        <w:rPr>
          <w:rFonts w:ascii="Arial" w:hAnsi="Arial" w:cs="Arial"/>
          <w:b/>
          <w:sz w:val="20"/>
          <w:szCs w:val="20"/>
          <w:lang w:val="en-US"/>
        </w:rPr>
      </w:pPr>
      <w:r w:rsidRPr="00D46467">
        <w:rPr>
          <w:rFonts w:ascii="Arial" w:hAnsi="Arial" w:cs="Arial"/>
          <w:b/>
          <w:sz w:val="20"/>
          <w:szCs w:val="20"/>
          <w:lang w:val="en-US"/>
        </w:rPr>
        <w:t>CONCLUSION</w:t>
      </w:r>
    </w:p>
    <w:p w14:paraId="70240F6E" w14:textId="77777777" w:rsidR="00131ADB" w:rsidRDefault="00B3000C" w:rsidP="00B3000C">
      <w:pPr>
        <w:pStyle w:val="BodyTextIndent"/>
        <w:tabs>
          <w:tab w:val="left" w:pos="3765"/>
        </w:tabs>
        <w:spacing w:after="0"/>
        <w:ind w:left="0" w:firstLine="567"/>
        <w:jc w:val="both"/>
        <w:rPr>
          <w:rFonts w:ascii="Arial" w:hAnsi="Arial" w:cs="Arial"/>
          <w:sz w:val="20"/>
          <w:szCs w:val="20"/>
          <w:lang w:val="en-US"/>
        </w:rPr>
      </w:pPr>
      <w:r w:rsidRPr="00B3000C">
        <w:rPr>
          <w:rFonts w:ascii="Arial" w:hAnsi="Arial" w:cs="Arial"/>
          <w:sz w:val="20"/>
          <w:szCs w:val="20"/>
          <w:lang w:val="en-US"/>
        </w:rPr>
        <w:t xml:space="preserve">The purified and concentrated WPA served as the foundational material for synthesizing high-quality phosphorus-based fertilizers. By adjusting the pH of the purified WPA to 5.5 and 8.5, monoammonium phosphate (MAP) and diammonium phosphate (DAP) were successfully produced, respectively. This purified and concentrated phosphoric acid, derived from processed WPA, is highly suitable for manufacturing water-soluble phosphorus-containing fertilizers, such as ammonium phosphates and liquid complex fertilizers. These fertilizers are particularly effective for use in drip irrigation systems, making them ideal for greenhouse agriculture, including applications in orchards, berry farms, vineyards, and other high-value crops. This </w:t>
      </w:r>
      <w:r w:rsidRPr="00B3000C">
        <w:rPr>
          <w:rFonts w:ascii="Arial" w:hAnsi="Arial" w:cs="Arial"/>
          <w:sz w:val="20"/>
          <w:szCs w:val="20"/>
          <w:lang w:val="en-US"/>
        </w:rPr>
        <w:lastRenderedPageBreak/>
        <w:t>approach ensures the production of efficient and environmentally friendly fertilizers that meet the demands of modern precision agriculture.</w:t>
      </w:r>
    </w:p>
    <w:p w14:paraId="3270F439" w14:textId="77777777" w:rsidR="00B3000C" w:rsidRDefault="00B3000C" w:rsidP="00B3000C">
      <w:pPr>
        <w:pStyle w:val="BodyTextIndent"/>
        <w:tabs>
          <w:tab w:val="left" w:pos="3765"/>
        </w:tabs>
        <w:spacing w:after="0"/>
        <w:ind w:left="0" w:firstLine="567"/>
        <w:jc w:val="both"/>
        <w:rPr>
          <w:rFonts w:ascii="Arial" w:hAnsi="Arial" w:cs="Arial"/>
          <w:sz w:val="20"/>
          <w:szCs w:val="20"/>
          <w:lang w:val="uz-Cyrl-UZ"/>
        </w:rPr>
      </w:pPr>
    </w:p>
    <w:p w14:paraId="7B90073B" w14:textId="77777777" w:rsidR="00BD7D45" w:rsidRDefault="00BD7D45" w:rsidP="0084037B">
      <w:pPr>
        <w:spacing w:after="120"/>
        <w:ind w:firstLine="567"/>
        <w:rPr>
          <w:rFonts w:ascii="Arial" w:hAnsi="Arial" w:cs="Arial"/>
          <w:b/>
          <w:sz w:val="20"/>
          <w:szCs w:val="20"/>
          <w:lang w:val="en-US"/>
        </w:rPr>
      </w:pPr>
    </w:p>
    <w:p w14:paraId="43FF44C9" w14:textId="77777777" w:rsidR="00BD7D45" w:rsidRDefault="00BD7D45" w:rsidP="0084037B">
      <w:pPr>
        <w:spacing w:after="120"/>
        <w:ind w:firstLine="567"/>
        <w:rPr>
          <w:rFonts w:ascii="Arial" w:hAnsi="Arial" w:cs="Arial"/>
          <w:b/>
          <w:sz w:val="20"/>
          <w:szCs w:val="20"/>
          <w:lang w:val="en-US"/>
        </w:rPr>
      </w:pPr>
    </w:p>
    <w:p w14:paraId="6942FA64" w14:textId="5F726E53" w:rsidR="00FC3F95" w:rsidRPr="00575E4C" w:rsidRDefault="0084037B" w:rsidP="0084037B">
      <w:pPr>
        <w:spacing w:after="120"/>
        <w:ind w:firstLine="567"/>
        <w:rPr>
          <w:rFonts w:ascii="Arial" w:hAnsi="Arial" w:cs="Arial"/>
          <w:b/>
          <w:sz w:val="20"/>
          <w:szCs w:val="20"/>
          <w:lang w:val="en-US"/>
        </w:rPr>
      </w:pPr>
      <w:r w:rsidRPr="002774E0">
        <w:rPr>
          <w:rFonts w:ascii="Arial" w:hAnsi="Arial" w:cs="Arial"/>
          <w:b/>
          <w:sz w:val="20"/>
          <w:szCs w:val="20"/>
          <w:lang w:val="en-US"/>
        </w:rPr>
        <w:t>REFERENCES</w:t>
      </w:r>
    </w:p>
    <w:p w14:paraId="498CB8A7"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Patent №2408530 Russian, MPK С01V 25/234. (2011). Method for purification of extraction phosphoric acid /</w:t>
      </w:r>
      <w:r w:rsidR="00593142">
        <w:rPr>
          <w:rFonts w:ascii="Arial" w:hAnsi="Arial" w:cs="Arial"/>
          <w:bCs/>
          <w:sz w:val="20"/>
          <w:szCs w:val="20"/>
          <w:lang w:val="en-US"/>
        </w:rPr>
        <w:t>/</w:t>
      </w:r>
      <w:r w:rsidRPr="00575E4C">
        <w:rPr>
          <w:rFonts w:ascii="Arial" w:hAnsi="Arial" w:cs="Arial"/>
          <w:bCs/>
          <w:sz w:val="20"/>
          <w:szCs w:val="20"/>
          <w:lang w:val="uz-Cyrl-UZ"/>
        </w:rPr>
        <w:t xml:space="preserve"> L.V.Raksheeva, D.K.Klados, V.V.Kochetkova, T.I.Kuzmicheva, E.P.Zlobina, E.V.Bogach, P.V.Klassen. </w:t>
      </w:r>
      <w:hyperlink r:id="rId15" w:history="1">
        <w:r w:rsidR="00251819" w:rsidRPr="00135EFD">
          <w:rPr>
            <w:rStyle w:val="Hyperlink"/>
            <w:rFonts w:ascii="Arial" w:hAnsi="Arial" w:cs="Arial"/>
            <w:bCs/>
            <w:sz w:val="20"/>
            <w:szCs w:val="20"/>
            <w:lang w:val="uz-Cyrl-UZ"/>
          </w:rPr>
          <w:t>https://i.moscow/patents/ru2408530c1_20110110</w:t>
        </w:r>
      </w:hyperlink>
      <w:r w:rsidRPr="00575E4C">
        <w:rPr>
          <w:rFonts w:ascii="Arial" w:hAnsi="Arial" w:cs="Arial"/>
          <w:bCs/>
          <w:sz w:val="20"/>
          <w:szCs w:val="20"/>
          <w:lang w:val="uz-Cyrl-UZ"/>
        </w:rPr>
        <w:t>.</w:t>
      </w:r>
      <w:r w:rsidR="00251819">
        <w:rPr>
          <w:rFonts w:ascii="Arial" w:hAnsi="Arial" w:cs="Arial"/>
          <w:bCs/>
          <w:sz w:val="20"/>
          <w:szCs w:val="20"/>
          <w:lang w:val="en-US"/>
        </w:rPr>
        <w:t xml:space="preserve"> </w:t>
      </w:r>
    </w:p>
    <w:p w14:paraId="3694AED8"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Turdialiyeva, Sh.I., Alimov, U.K., Namazov, Sh.S., &amp; Seytnazarov, А.R. (2018). Concentration of weak extraction phosphoric acid and its physico-chemical properties, Chemical industry 95.4: 171-178.</w:t>
      </w:r>
    </w:p>
    <w:p w14:paraId="01045596"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Zlobina, E.P., Bushuev, N.N., Petropavlovsky, I.A., Rakcheeva, L.В., &amp; Kochetkov, S.P. (2002). Study of the process of purification of extraction phosphoric acid from sulfate ion with strontium carbonate, Chemical Technology, 12, 24-26.</w:t>
      </w:r>
    </w:p>
    <w:p w14:paraId="1E54090D"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Dmitrevskiy B.A., Yarosh Ye.B., Belkina Ye.I., Svetkov S.K. (2006). Theoretical and technological aspects of extraction phosphoric acid purification from impurities // Chemical in</w:t>
      </w:r>
      <w:r w:rsidR="00CD6A30">
        <w:rPr>
          <w:rFonts w:ascii="Arial" w:hAnsi="Arial" w:cs="Arial"/>
          <w:bCs/>
          <w:sz w:val="20"/>
          <w:szCs w:val="20"/>
          <w:lang w:val="uz-Cyrl-UZ"/>
        </w:rPr>
        <w:t>dustry, Moscow. 83, 9, 416-420.</w:t>
      </w:r>
    </w:p>
    <w:p w14:paraId="18EBFBFC"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Filatova L.N., Vendilo A.G., Kovaleva N.Ye., Retivov V.M. (2013). Problem of obtaining orthophosphoric acid of special purity // Chemical Industry Developments, Moscow. 10, 10-18.</w:t>
      </w:r>
    </w:p>
    <w:p w14:paraId="302EC3BC"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Smirnov N.N., Kochetkov S.P., Xromov S.V., Ilin A.P. (2004). Study of the adsorption-chemical interaction during the purification of extraction phosphoric acid on carbon adsorbents // Chemical industry, Moscow. 1, 14-18.</w:t>
      </w:r>
    </w:p>
    <w:p w14:paraId="0D17C294"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Levin B.V., Grinevich A.V., Moshkova V.G., Korneva Z.N., Kuznesov Y.M. (2004). Current state and prospects for the development of purified phosphoric acid production in Russia / Proceedings of the NIUIF (to the 85th anniversary of the NIUIF), Moscow. 119-129.</w:t>
      </w:r>
    </w:p>
    <w:p w14:paraId="6390573B"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 xml:space="preserve">Karshiev B.N., Kaxarov E.M., Namazov Sh.S., Seytnazarov A.R. (2018). Purification of extraction phosphoric acid from washed, fired phosphoconcentrate using acetic acid  // Universum: Technical Sciences: Electronic Scientific Journal. Moscow, 8(53). 20-27. </w:t>
      </w:r>
      <w:hyperlink r:id="rId16" w:history="1">
        <w:r w:rsidR="00593142" w:rsidRPr="00135EFD">
          <w:rPr>
            <w:rStyle w:val="Hyperlink"/>
            <w:rFonts w:ascii="Arial" w:hAnsi="Arial" w:cs="Arial"/>
            <w:bCs/>
            <w:sz w:val="20"/>
            <w:szCs w:val="20"/>
            <w:lang w:val="uz-Cyrl-UZ"/>
          </w:rPr>
          <w:t>http://7universum.com/ru/tech/archive/item/6265</w:t>
        </w:r>
      </w:hyperlink>
      <w:r w:rsidRPr="00575E4C">
        <w:rPr>
          <w:rFonts w:ascii="Arial" w:hAnsi="Arial" w:cs="Arial"/>
          <w:bCs/>
          <w:sz w:val="20"/>
          <w:szCs w:val="20"/>
          <w:lang w:val="uz-Cyrl-UZ"/>
        </w:rPr>
        <w:t>.</w:t>
      </w:r>
    </w:p>
    <w:p w14:paraId="336F621E"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Karshiev B., Seytnazarov A., Namazov Sh., Radzhabov R., Reymov A., Alimov U. (2020). Purification of wet process phosphoric acid using organic solvent // Journal of Critical Reviews. 7(17): 2913-2918. doi:10.31838/jcr.07.17.367</w:t>
      </w:r>
      <w:r w:rsidR="00CD6A30">
        <w:rPr>
          <w:rFonts w:ascii="Arial" w:hAnsi="Arial" w:cs="Arial"/>
          <w:bCs/>
          <w:sz w:val="20"/>
          <w:szCs w:val="20"/>
          <w:lang w:val="en-US"/>
        </w:rPr>
        <w:t>.</w:t>
      </w:r>
    </w:p>
    <w:p w14:paraId="5313D571"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Karshiev B.N., Kaxarov E.M., Seytnazarov A.R., Namazov Sh.S. (2020). Obessulfachivanie i ochistka ekstraksionnoy fosfornoy kisloti s pomoshyu kalsievix mineralov i asetona // Chemical industry, Moscow. 97.3: 136-144.</w:t>
      </w:r>
    </w:p>
    <w:p w14:paraId="3AF020E6"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 xml:space="preserve">Karshiev B.N., Seytnazarov A., Alimov U., Namazov Sh., Reymov А., Rasulov А. (2021). Purification of wet process phosphoric acid by desulfurization and ammonization // Issues of Chemistry and Chemical Technology, Ukraine.1, 24-34 ISSN 0321-4095. </w:t>
      </w:r>
      <w:hyperlink r:id="rId17" w:history="1">
        <w:r w:rsidR="00593142" w:rsidRPr="00135EFD">
          <w:rPr>
            <w:rStyle w:val="Hyperlink"/>
            <w:rFonts w:ascii="Arial" w:hAnsi="Arial" w:cs="Arial"/>
            <w:bCs/>
            <w:sz w:val="20"/>
            <w:szCs w:val="20"/>
            <w:lang w:val="uz-Cyrl-UZ"/>
          </w:rPr>
          <w:t>http://dx.doi.org/10.32434/0321-4095-2021-134-1-24-34</w:t>
        </w:r>
      </w:hyperlink>
      <w:r w:rsidR="00593142">
        <w:rPr>
          <w:rFonts w:ascii="Arial" w:hAnsi="Arial" w:cs="Arial"/>
          <w:bCs/>
          <w:sz w:val="20"/>
          <w:szCs w:val="20"/>
          <w:lang w:val="en-US"/>
        </w:rPr>
        <w:t xml:space="preserve"> </w:t>
      </w:r>
    </w:p>
    <w:p w14:paraId="292AF105"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 xml:space="preserve">Maftuna Akhtamova, Uktam Temirov, Navruzbek Khurramov, Azim Shukurov, Bekhzod Karshiev. (2023). Processing of phosphorites and additives with researching their thermodynamical properties // E3S Web of Conferences 434, 03016, </w:t>
      </w:r>
      <w:hyperlink r:id="rId18" w:history="1">
        <w:r w:rsidR="00593142" w:rsidRPr="00135EFD">
          <w:rPr>
            <w:rStyle w:val="Hyperlink"/>
            <w:rFonts w:ascii="Arial" w:hAnsi="Arial" w:cs="Arial"/>
            <w:bCs/>
            <w:sz w:val="20"/>
            <w:szCs w:val="20"/>
            <w:lang w:val="uz-Cyrl-UZ"/>
          </w:rPr>
          <w:t>https://doi.org/10.1051/e3sconf/202343403016</w:t>
        </w:r>
      </w:hyperlink>
      <w:r w:rsidRPr="00575E4C">
        <w:rPr>
          <w:rFonts w:ascii="Arial" w:hAnsi="Arial" w:cs="Arial"/>
          <w:bCs/>
          <w:sz w:val="20"/>
          <w:szCs w:val="20"/>
          <w:lang w:val="uz-Cyrl-UZ"/>
        </w:rPr>
        <w:t>.</w:t>
      </w:r>
      <w:r w:rsidR="00593142">
        <w:rPr>
          <w:rFonts w:ascii="Arial" w:hAnsi="Arial" w:cs="Arial"/>
          <w:bCs/>
          <w:sz w:val="20"/>
          <w:szCs w:val="20"/>
          <w:lang w:val="en-US"/>
        </w:rPr>
        <w:t xml:space="preserve"> </w:t>
      </w:r>
    </w:p>
    <w:p w14:paraId="6F6D2202"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Lembpikov, V.M., Stepanov A.A., Konyaxina L.V., Volkova V.V. (2005). Influence of humic substances accumulated in the extractant on the purification of phosphoric acid by tp-n-butyl phosphate // // Chemical industry, Moscow., 7, 2-5.</w:t>
      </w:r>
    </w:p>
    <w:p w14:paraId="48BE94B9"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Patent R.  N2128623, MPK6 S01V 25/234, S01V 25/46. (1999). Method for obtaining purified orthophosphoric acid / A.V.Grinevich, S.P.Kochetkov, Ye.P. Parfenov i dr. // N98109517/25; 10.</w:t>
      </w:r>
    </w:p>
    <w:p w14:paraId="525C498F"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Kochetkov S.P., Smirnov N.N., Ilin A.P. (2007). Concentration and purification of extraction phosphoric acid / GOUVPO Ivanovskiy State Chemical-Technological University. – Ivanovo, –304.</w:t>
      </w:r>
    </w:p>
    <w:p w14:paraId="397ED050"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Ilkhom Е. Khoshimov, Shakhzoda I.Turdialieva, Atanazar R.Seytnazarov, Shafaat S. Namazov, Mohamed A.L. Rifky. (2024).  Investigation of Vapor Pressure and Infrared Spectroscopic Analysis of Phosphoric Acid Extract Evaporation after Desulfation with SrCO</w:t>
      </w:r>
      <w:r w:rsidRPr="00575E4C">
        <w:rPr>
          <w:rFonts w:ascii="Cambria Math" w:hAnsi="Cambria Math" w:cs="Cambria Math"/>
          <w:bCs/>
          <w:sz w:val="20"/>
          <w:szCs w:val="20"/>
          <w:lang w:val="uz-Cyrl-UZ"/>
        </w:rPr>
        <w:t>₃</w:t>
      </w:r>
      <w:r w:rsidRPr="00575E4C">
        <w:rPr>
          <w:rFonts w:ascii="Arial" w:hAnsi="Arial" w:cs="Arial"/>
          <w:bCs/>
          <w:sz w:val="20"/>
          <w:szCs w:val="20"/>
          <w:lang w:val="uz-Cyrl-UZ"/>
        </w:rPr>
        <w:t xml:space="preserve">. </w:t>
      </w:r>
      <w:hyperlink r:id="rId19" w:history="1">
        <w:r w:rsidR="00593142" w:rsidRPr="00135EFD">
          <w:rPr>
            <w:rStyle w:val="Hyperlink"/>
            <w:rFonts w:ascii="Arial" w:hAnsi="Arial" w:cs="Arial"/>
            <w:bCs/>
            <w:sz w:val="20"/>
            <w:szCs w:val="20"/>
            <w:lang w:val="uz-Cyrl-UZ"/>
          </w:rPr>
          <w:t>https://doi.org/10.31489/2959-0663/4-24-4</w:t>
        </w:r>
      </w:hyperlink>
      <w:r w:rsidR="00593142">
        <w:rPr>
          <w:rFonts w:ascii="Arial" w:hAnsi="Arial" w:cs="Arial"/>
          <w:bCs/>
          <w:sz w:val="20"/>
          <w:szCs w:val="20"/>
          <w:lang w:val="uz-Cyrl-UZ"/>
        </w:rPr>
        <w:t xml:space="preserve">. </w:t>
      </w:r>
      <w:r w:rsidRPr="00575E4C">
        <w:rPr>
          <w:rFonts w:ascii="Arial" w:hAnsi="Arial" w:cs="Arial"/>
          <w:bCs/>
          <w:sz w:val="20"/>
          <w:szCs w:val="20"/>
          <w:lang w:val="uz-Cyrl-UZ"/>
        </w:rPr>
        <w:t>Eurasian Journal of Chemistry. vol 29. 4.</w:t>
      </w:r>
    </w:p>
    <w:p w14:paraId="510A4CFA"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Vinnik, М.М., Erbanova, L.N., &amp; Zaytsev. P.M. (1975). Methods for analyzing phosphate raw materials, phosphorus complex fertilizers, feed phosphates, Moscow. Chemistry, 21</w:t>
      </w:r>
      <w:r w:rsidR="00CD6A30">
        <w:rPr>
          <w:rFonts w:ascii="Arial" w:hAnsi="Arial" w:cs="Arial"/>
          <w:bCs/>
          <w:sz w:val="20"/>
          <w:szCs w:val="20"/>
          <w:lang w:val="uz-Cyrl-UZ"/>
        </w:rPr>
        <w:t>8</w:t>
      </w:r>
      <w:r w:rsidR="00CD6A30">
        <w:rPr>
          <w:rFonts w:ascii="Arial" w:hAnsi="Arial" w:cs="Arial"/>
          <w:bCs/>
          <w:sz w:val="20"/>
          <w:szCs w:val="20"/>
          <w:lang w:val="en-US"/>
        </w:rPr>
        <w:t>.</w:t>
      </w:r>
    </w:p>
    <w:p w14:paraId="1337EA57"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Diffraction Data cards and Alphabetical and Group Numerical Index of X-Ray. International Centre for Diffraction Data, 2013.</w:t>
      </w:r>
    </w:p>
    <w:p w14:paraId="6325C513"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Gorbacheva, S. B. (1963). Workshop on physical chemistry, Graduate School, 554</w:t>
      </w:r>
      <w:r w:rsidR="00CD6A30">
        <w:rPr>
          <w:rFonts w:ascii="Arial" w:hAnsi="Arial" w:cs="Arial"/>
          <w:bCs/>
          <w:sz w:val="20"/>
          <w:szCs w:val="20"/>
          <w:lang w:val="en-US"/>
        </w:rPr>
        <w:t>.</w:t>
      </w:r>
    </w:p>
    <w:p w14:paraId="3B064FF5" w14:textId="77777777" w:rsidR="00575E4C"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 xml:space="preserve">Sigma Aldrich. (Accessed 2024). IR Spectrum Table. [Online], Available at: </w:t>
      </w:r>
      <w:hyperlink r:id="rId20" w:history="1">
        <w:r w:rsidR="00593142" w:rsidRPr="00135EFD">
          <w:rPr>
            <w:rStyle w:val="Hyperlink"/>
            <w:rFonts w:ascii="Arial" w:hAnsi="Arial" w:cs="Arial"/>
            <w:bCs/>
            <w:sz w:val="20"/>
            <w:szCs w:val="20"/>
            <w:lang w:val="uz-Cyrl-UZ"/>
          </w:rPr>
          <w:t>https://www.sigmaaldrich.com/UZ/en/technical-documents/technical-article/analytical-chemistry/photometry-and-reflectometry/ir-spectrum-table</w:t>
        </w:r>
      </w:hyperlink>
      <w:r w:rsidRPr="00575E4C">
        <w:rPr>
          <w:rFonts w:ascii="Arial" w:hAnsi="Arial" w:cs="Arial"/>
          <w:bCs/>
          <w:sz w:val="20"/>
          <w:szCs w:val="20"/>
          <w:lang w:val="uz-Cyrl-UZ"/>
        </w:rPr>
        <w:t>.</w:t>
      </w:r>
      <w:r w:rsidR="00593142">
        <w:rPr>
          <w:rFonts w:ascii="Arial" w:hAnsi="Arial" w:cs="Arial"/>
          <w:bCs/>
          <w:sz w:val="20"/>
          <w:szCs w:val="20"/>
          <w:lang w:val="en-US"/>
        </w:rPr>
        <w:t xml:space="preserve"> </w:t>
      </w:r>
    </w:p>
    <w:p w14:paraId="7C362C9D" w14:textId="77777777" w:rsidR="00835EC2" w:rsidRPr="00575E4C" w:rsidRDefault="00575E4C" w:rsidP="00575E4C">
      <w:pPr>
        <w:pStyle w:val="ListParagraph"/>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lastRenderedPageBreak/>
        <w:t>LibreTexts. (Accessed 2024). Infrared Spectroscopy Absorption Table.[Online], Available at: https://chem.libretexts.org/Ancillary_Materials/Reference/Reference_Tables/Spectroscopic _Reference_Tables/Infrare</w:t>
      </w:r>
      <w:r w:rsidR="00593142">
        <w:rPr>
          <w:rFonts w:ascii="Arial" w:hAnsi="Arial" w:cs="Arial"/>
          <w:bCs/>
          <w:sz w:val="20"/>
          <w:szCs w:val="20"/>
          <w:lang w:val="uz-Cyrl-UZ"/>
        </w:rPr>
        <w:t>d_Spectroscopy_Absorption_Table.</w:t>
      </w:r>
    </w:p>
    <w:sectPr w:rsidR="00835EC2" w:rsidRPr="00575E4C" w:rsidSect="002672E8">
      <w:headerReference w:type="even" r:id="rId21"/>
      <w:headerReference w:type="default" r:id="rId22"/>
      <w:footerReference w:type="even" r:id="rId23"/>
      <w:footerReference w:type="default" r:id="rId24"/>
      <w:headerReference w:type="first" r:id="rId25"/>
      <w:footerReference w:type="first" r:id="rId26"/>
      <w:footnotePr>
        <w:numFmt w:val="chicago"/>
      </w:footnotePr>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7669" w14:textId="77777777" w:rsidR="009253BC" w:rsidRDefault="009253BC">
      <w:pPr>
        <w:spacing w:line="240" w:lineRule="auto"/>
      </w:pPr>
      <w:r>
        <w:separator/>
      </w:r>
    </w:p>
  </w:endnote>
  <w:endnote w:type="continuationSeparator" w:id="0">
    <w:p w14:paraId="7B3CAD24" w14:textId="77777777" w:rsidR="009253BC" w:rsidRDefault="00925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B1F0" w14:textId="77777777" w:rsidR="00BD7D45" w:rsidRDefault="00BD7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22DF" w14:textId="77777777" w:rsidR="00A86020" w:rsidRDefault="00A86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E468" w14:textId="77777777" w:rsidR="00BD7D45" w:rsidRDefault="00BD7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3E65" w14:textId="77777777" w:rsidR="009253BC" w:rsidRDefault="009253BC">
      <w:pPr>
        <w:spacing w:after="0"/>
      </w:pPr>
      <w:r>
        <w:separator/>
      </w:r>
    </w:p>
  </w:footnote>
  <w:footnote w:type="continuationSeparator" w:id="0">
    <w:p w14:paraId="4D727875" w14:textId="77777777" w:rsidR="009253BC" w:rsidRDefault="009253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CA4E" w14:textId="37345EB0" w:rsidR="00BD7D45" w:rsidRDefault="00BD7D45">
    <w:pPr>
      <w:pStyle w:val="Header"/>
    </w:pPr>
    <w:r>
      <w:rPr>
        <w:noProof/>
      </w:rPr>
      <w:pict w14:anchorId="086F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4"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96AE" w14:textId="473B3526" w:rsidR="00BD7D45" w:rsidRDefault="00BD7D45">
    <w:pPr>
      <w:pStyle w:val="Header"/>
    </w:pPr>
    <w:r>
      <w:rPr>
        <w:noProof/>
      </w:rPr>
      <w:pict w14:anchorId="75047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5"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C63B" w14:textId="77603B0C" w:rsidR="00BD7D45" w:rsidRDefault="00BD7D45">
    <w:pPr>
      <w:pStyle w:val="Header"/>
    </w:pPr>
    <w:r>
      <w:rPr>
        <w:noProof/>
      </w:rPr>
      <w:pict w14:anchorId="0730D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3"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7663058A"/>
    <w:multiLevelType w:val="hybridMultilevel"/>
    <w:tmpl w:val="FB4066EE"/>
    <w:lvl w:ilvl="0" w:tplc="2570944A">
      <w:start w:val="1"/>
      <w:numFmt w:val="decimal"/>
      <w:lvlText w:val="%1."/>
      <w:lvlJc w:val="left"/>
      <w:pPr>
        <w:ind w:left="360"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171065232">
    <w:abstractNumId w:val="1"/>
  </w:num>
  <w:num w:numId="2" w16cid:durableId="434179718">
    <w:abstractNumId w:val="2"/>
  </w:num>
  <w:num w:numId="3" w16cid:durableId="33352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hdrShapeDefaults>
    <o:shapedefaults v:ext="edit" spidmax="2050" fillcolor="white">
      <v:fill color="white"/>
    </o:shapedefaults>
    <o:shapelayout v:ext="edit">
      <o:idmap v:ext="edit" data="1"/>
    </o:shapelayout>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E3"/>
    <w:rsid w:val="0001158D"/>
    <w:rsid w:val="000134D1"/>
    <w:rsid w:val="00015F98"/>
    <w:rsid w:val="00020993"/>
    <w:rsid w:val="00036B22"/>
    <w:rsid w:val="00063A03"/>
    <w:rsid w:val="00064A32"/>
    <w:rsid w:val="000676F1"/>
    <w:rsid w:val="00080E27"/>
    <w:rsid w:val="00081A22"/>
    <w:rsid w:val="00082AFC"/>
    <w:rsid w:val="00082E1E"/>
    <w:rsid w:val="00082F16"/>
    <w:rsid w:val="000A64C5"/>
    <w:rsid w:val="000A64FE"/>
    <w:rsid w:val="000B0914"/>
    <w:rsid w:val="000C11D8"/>
    <w:rsid w:val="000C419F"/>
    <w:rsid w:val="000C5CFD"/>
    <w:rsid w:val="000D4938"/>
    <w:rsid w:val="0010096F"/>
    <w:rsid w:val="001026E9"/>
    <w:rsid w:val="001046E6"/>
    <w:rsid w:val="00106304"/>
    <w:rsid w:val="00115453"/>
    <w:rsid w:val="00127C7C"/>
    <w:rsid w:val="00127D11"/>
    <w:rsid w:val="001303D6"/>
    <w:rsid w:val="00131ADB"/>
    <w:rsid w:val="00136428"/>
    <w:rsid w:val="00147F8C"/>
    <w:rsid w:val="00151BB7"/>
    <w:rsid w:val="0015255D"/>
    <w:rsid w:val="001551BB"/>
    <w:rsid w:val="00155B3C"/>
    <w:rsid w:val="00166A55"/>
    <w:rsid w:val="001747B3"/>
    <w:rsid w:val="00181305"/>
    <w:rsid w:val="00182795"/>
    <w:rsid w:val="00187B3D"/>
    <w:rsid w:val="00193043"/>
    <w:rsid w:val="001A062F"/>
    <w:rsid w:val="001A1D3B"/>
    <w:rsid w:val="001A22DC"/>
    <w:rsid w:val="001A5D23"/>
    <w:rsid w:val="001B6D89"/>
    <w:rsid w:val="001C56CD"/>
    <w:rsid w:val="001D0EB8"/>
    <w:rsid w:val="001E75EE"/>
    <w:rsid w:val="001F16A5"/>
    <w:rsid w:val="0021598F"/>
    <w:rsid w:val="002170C6"/>
    <w:rsid w:val="00221A49"/>
    <w:rsid w:val="00222085"/>
    <w:rsid w:val="00223C66"/>
    <w:rsid w:val="00226B09"/>
    <w:rsid w:val="002402B2"/>
    <w:rsid w:val="0024110A"/>
    <w:rsid w:val="00251819"/>
    <w:rsid w:val="00254684"/>
    <w:rsid w:val="00260BD9"/>
    <w:rsid w:val="0026316C"/>
    <w:rsid w:val="002672E8"/>
    <w:rsid w:val="002707D5"/>
    <w:rsid w:val="00273185"/>
    <w:rsid w:val="00273DB4"/>
    <w:rsid w:val="002774E0"/>
    <w:rsid w:val="002840D8"/>
    <w:rsid w:val="002862F5"/>
    <w:rsid w:val="00297DAC"/>
    <w:rsid w:val="002A1B5B"/>
    <w:rsid w:val="002B78A1"/>
    <w:rsid w:val="002C5FEA"/>
    <w:rsid w:val="002D4396"/>
    <w:rsid w:val="002D5D6D"/>
    <w:rsid w:val="002E08E4"/>
    <w:rsid w:val="002E6023"/>
    <w:rsid w:val="002F0876"/>
    <w:rsid w:val="00310EE4"/>
    <w:rsid w:val="00331176"/>
    <w:rsid w:val="003316B2"/>
    <w:rsid w:val="00333208"/>
    <w:rsid w:val="00342B31"/>
    <w:rsid w:val="0034363A"/>
    <w:rsid w:val="00366593"/>
    <w:rsid w:val="00376233"/>
    <w:rsid w:val="003816A5"/>
    <w:rsid w:val="00385580"/>
    <w:rsid w:val="003C0836"/>
    <w:rsid w:val="003C2CE6"/>
    <w:rsid w:val="003E7F22"/>
    <w:rsid w:val="003F2F2B"/>
    <w:rsid w:val="003F4B27"/>
    <w:rsid w:val="003F6F2F"/>
    <w:rsid w:val="0040124A"/>
    <w:rsid w:val="00411C77"/>
    <w:rsid w:val="00411EE0"/>
    <w:rsid w:val="004319B2"/>
    <w:rsid w:val="00435125"/>
    <w:rsid w:val="00437B54"/>
    <w:rsid w:val="00447406"/>
    <w:rsid w:val="004559ED"/>
    <w:rsid w:val="00460F6F"/>
    <w:rsid w:val="00461DF2"/>
    <w:rsid w:val="00463156"/>
    <w:rsid w:val="00467417"/>
    <w:rsid w:val="00471D33"/>
    <w:rsid w:val="004760B0"/>
    <w:rsid w:val="004817A9"/>
    <w:rsid w:val="00481FF8"/>
    <w:rsid w:val="004943D8"/>
    <w:rsid w:val="004948DC"/>
    <w:rsid w:val="004971DD"/>
    <w:rsid w:val="004A5049"/>
    <w:rsid w:val="004B0C12"/>
    <w:rsid w:val="004B36DA"/>
    <w:rsid w:val="004C0156"/>
    <w:rsid w:val="004D414E"/>
    <w:rsid w:val="004F54E3"/>
    <w:rsid w:val="00500FE5"/>
    <w:rsid w:val="0050364E"/>
    <w:rsid w:val="00504E10"/>
    <w:rsid w:val="0050683A"/>
    <w:rsid w:val="0052729E"/>
    <w:rsid w:val="0054729E"/>
    <w:rsid w:val="00555008"/>
    <w:rsid w:val="00573505"/>
    <w:rsid w:val="00574387"/>
    <w:rsid w:val="00574FB0"/>
    <w:rsid w:val="00575E4C"/>
    <w:rsid w:val="005846A0"/>
    <w:rsid w:val="00593142"/>
    <w:rsid w:val="005938A4"/>
    <w:rsid w:val="005A0EF4"/>
    <w:rsid w:val="005A6B2C"/>
    <w:rsid w:val="005C6437"/>
    <w:rsid w:val="005F5929"/>
    <w:rsid w:val="005F7B19"/>
    <w:rsid w:val="00601944"/>
    <w:rsid w:val="0060713E"/>
    <w:rsid w:val="006074B7"/>
    <w:rsid w:val="00617E02"/>
    <w:rsid w:val="00626718"/>
    <w:rsid w:val="00636C12"/>
    <w:rsid w:val="00645452"/>
    <w:rsid w:val="00655C33"/>
    <w:rsid w:val="00657A86"/>
    <w:rsid w:val="00664E01"/>
    <w:rsid w:val="00664FA5"/>
    <w:rsid w:val="00670552"/>
    <w:rsid w:val="006733ED"/>
    <w:rsid w:val="00675B27"/>
    <w:rsid w:val="006762B4"/>
    <w:rsid w:val="00684ECA"/>
    <w:rsid w:val="00695D07"/>
    <w:rsid w:val="006A1B45"/>
    <w:rsid w:val="006A20A3"/>
    <w:rsid w:val="006A3C3B"/>
    <w:rsid w:val="006A61EC"/>
    <w:rsid w:val="006B0789"/>
    <w:rsid w:val="006B1512"/>
    <w:rsid w:val="006C0058"/>
    <w:rsid w:val="006C0B71"/>
    <w:rsid w:val="006D614B"/>
    <w:rsid w:val="006F1B1E"/>
    <w:rsid w:val="006F4361"/>
    <w:rsid w:val="007011E3"/>
    <w:rsid w:val="0070301E"/>
    <w:rsid w:val="007047FE"/>
    <w:rsid w:val="00712001"/>
    <w:rsid w:val="0072603F"/>
    <w:rsid w:val="00727F3F"/>
    <w:rsid w:val="00733F52"/>
    <w:rsid w:val="0073539B"/>
    <w:rsid w:val="00742406"/>
    <w:rsid w:val="007542FE"/>
    <w:rsid w:val="007550F8"/>
    <w:rsid w:val="007575FF"/>
    <w:rsid w:val="00761D9F"/>
    <w:rsid w:val="00771D59"/>
    <w:rsid w:val="00773B2A"/>
    <w:rsid w:val="0077607E"/>
    <w:rsid w:val="00784440"/>
    <w:rsid w:val="007A40D1"/>
    <w:rsid w:val="007A50EA"/>
    <w:rsid w:val="007B2260"/>
    <w:rsid w:val="007B267B"/>
    <w:rsid w:val="007B3F67"/>
    <w:rsid w:val="007C2F62"/>
    <w:rsid w:val="007C7264"/>
    <w:rsid w:val="007D124E"/>
    <w:rsid w:val="007D413B"/>
    <w:rsid w:val="007D693C"/>
    <w:rsid w:val="007F2674"/>
    <w:rsid w:val="008001EF"/>
    <w:rsid w:val="0081079D"/>
    <w:rsid w:val="0082144C"/>
    <w:rsid w:val="00821C8C"/>
    <w:rsid w:val="00835EC2"/>
    <w:rsid w:val="008376A7"/>
    <w:rsid w:val="0084037B"/>
    <w:rsid w:val="00845F45"/>
    <w:rsid w:val="0085191B"/>
    <w:rsid w:val="00853E8A"/>
    <w:rsid w:val="00855753"/>
    <w:rsid w:val="008661EE"/>
    <w:rsid w:val="00882518"/>
    <w:rsid w:val="0088745B"/>
    <w:rsid w:val="00891B51"/>
    <w:rsid w:val="008A2082"/>
    <w:rsid w:val="008A3255"/>
    <w:rsid w:val="008B08D5"/>
    <w:rsid w:val="008B5E6D"/>
    <w:rsid w:val="008B5EFE"/>
    <w:rsid w:val="008B7721"/>
    <w:rsid w:val="008C1FE3"/>
    <w:rsid w:val="008C5894"/>
    <w:rsid w:val="008E12F3"/>
    <w:rsid w:val="008F32D9"/>
    <w:rsid w:val="008F41CB"/>
    <w:rsid w:val="008F795D"/>
    <w:rsid w:val="00911379"/>
    <w:rsid w:val="00913F9B"/>
    <w:rsid w:val="00921D9D"/>
    <w:rsid w:val="009253BC"/>
    <w:rsid w:val="009409C7"/>
    <w:rsid w:val="00943521"/>
    <w:rsid w:val="00943B63"/>
    <w:rsid w:val="009450A5"/>
    <w:rsid w:val="00946EAF"/>
    <w:rsid w:val="00956810"/>
    <w:rsid w:val="00961831"/>
    <w:rsid w:val="0097262D"/>
    <w:rsid w:val="009807BE"/>
    <w:rsid w:val="00987E18"/>
    <w:rsid w:val="00994652"/>
    <w:rsid w:val="009C5F58"/>
    <w:rsid w:val="009C6A41"/>
    <w:rsid w:val="009E0963"/>
    <w:rsid w:val="009E0EDA"/>
    <w:rsid w:val="00A00C24"/>
    <w:rsid w:val="00A03025"/>
    <w:rsid w:val="00A12622"/>
    <w:rsid w:val="00A224ED"/>
    <w:rsid w:val="00A277B3"/>
    <w:rsid w:val="00A4396F"/>
    <w:rsid w:val="00A46315"/>
    <w:rsid w:val="00A6093B"/>
    <w:rsid w:val="00A623E9"/>
    <w:rsid w:val="00A63200"/>
    <w:rsid w:val="00A86020"/>
    <w:rsid w:val="00A90F0F"/>
    <w:rsid w:val="00AB1BA6"/>
    <w:rsid w:val="00AB28ED"/>
    <w:rsid w:val="00AC18B3"/>
    <w:rsid w:val="00AC3DE7"/>
    <w:rsid w:val="00AD35FC"/>
    <w:rsid w:val="00AE61EB"/>
    <w:rsid w:val="00AE6B62"/>
    <w:rsid w:val="00AE7325"/>
    <w:rsid w:val="00AE7B1D"/>
    <w:rsid w:val="00AF4389"/>
    <w:rsid w:val="00B0036B"/>
    <w:rsid w:val="00B01436"/>
    <w:rsid w:val="00B01C78"/>
    <w:rsid w:val="00B045DF"/>
    <w:rsid w:val="00B10B87"/>
    <w:rsid w:val="00B13342"/>
    <w:rsid w:val="00B151E5"/>
    <w:rsid w:val="00B3000C"/>
    <w:rsid w:val="00B30222"/>
    <w:rsid w:val="00B474DE"/>
    <w:rsid w:val="00B50239"/>
    <w:rsid w:val="00B505E1"/>
    <w:rsid w:val="00B52471"/>
    <w:rsid w:val="00B5399D"/>
    <w:rsid w:val="00B56CD2"/>
    <w:rsid w:val="00B7091D"/>
    <w:rsid w:val="00B7575B"/>
    <w:rsid w:val="00B75B4C"/>
    <w:rsid w:val="00B91394"/>
    <w:rsid w:val="00B95E6A"/>
    <w:rsid w:val="00BA47BE"/>
    <w:rsid w:val="00BC3BB6"/>
    <w:rsid w:val="00BD6EC0"/>
    <w:rsid w:val="00BD6FC9"/>
    <w:rsid w:val="00BD7D45"/>
    <w:rsid w:val="00C018F4"/>
    <w:rsid w:val="00C1572E"/>
    <w:rsid w:val="00C1576C"/>
    <w:rsid w:val="00C23AA8"/>
    <w:rsid w:val="00C47F3C"/>
    <w:rsid w:val="00C54283"/>
    <w:rsid w:val="00C57B39"/>
    <w:rsid w:val="00C6167C"/>
    <w:rsid w:val="00C632DC"/>
    <w:rsid w:val="00C727E3"/>
    <w:rsid w:val="00C7329D"/>
    <w:rsid w:val="00C745E0"/>
    <w:rsid w:val="00C85162"/>
    <w:rsid w:val="00C85D00"/>
    <w:rsid w:val="00C905C7"/>
    <w:rsid w:val="00CC4615"/>
    <w:rsid w:val="00CC65A0"/>
    <w:rsid w:val="00CD45E6"/>
    <w:rsid w:val="00CD6A30"/>
    <w:rsid w:val="00CD6B9E"/>
    <w:rsid w:val="00CD7E23"/>
    <w:rsid w:val="00CF4F6E"/>
    <w:rsid w:val="00D07053"/>
    <w:rsid w:val="00D10BA2"/>
    <w:rsid w:val="00D22D5D"/>
    <w:rsid w:val="00D33900"/>
    <w:rsid w:val="00D4223A"/>
    <w:rsid w:val="00D433FA"/>
    <w:rsid w:val="00D4628F"/>
    <w:rsid w:val="00D46467"/>
    <w:rsid w:val="00D65D34"/>
    <w:rsid w:val="00D73DBC"/>
    <w:rsid w:val="00D904BD"/>
    <w:rsid w:val="00DA2401"/>
    <w:rsid w:val="00DA6C7E"/>
    <w:rsid w:val="00DA74D2"/>
    <w:rsid w:val="00DB31D3"/>
    <w:rsid w:val="00DC09CF"/>
    <w:rsid w:val="00E03390"/>
    <w:rsid w:val="00E03A99"/>
    <w:rsid w:val="00E050E6"/>
    <w:rsid w:val="00E15E63"/>
    <w:rsid w:val="00E20C08"/>
    <w:rsid w:val="00E23EEC"/>
    <w:rsid w:val="00E273D8"/>
    <w:rsid w:val="00E31D41"/>
    <w:rsid w:val="00E41C81"/>
    <w:rsid w:val="00E446D2"/>
    <w:rsid w:val="00E51905"/>
    <w:rsid w:val="00E51AC7"/>
    <w:rsid w:val="00E51EC6"/>
    <w:rsid w:val="00E5294E"/>
    <w:rsid w:val="00E56AC1"/>
    <w:rsid w:val="00E60798"/>
    <w:rsid w:val="00E624C3"/>
    <w:rsid w:val="00E625B0"/>
    <w:rsid w:val="00E63AF8"/>
    <w:rsid w:val="00E65395"/>
    <w:rsid w:val="00E7528F"/>
    <w:rsid w:val="00E90E2F"/>
    <w:rsid w:val="00E92EA2"/>
    <w:rsid w:val="00E93BE2"/>
    <w:rsid w:val="00E94C33"/>
    <w:rsid w:val="00E9776D"/>
    <w:rsid w:val="00EA310E"/>
    <w:rsid w:val="00EB2D02"/>
    <w:rsid w:val="00EB4A87"/>
    <w:rsid w:val="00ED329B"/>
    <w:rsid w:val="00ED7CB7"/>
    <w:rsid w:val="00EE4D34"/>
    <w:rsid w:val="00EE605C"/>
    <w:rsid w:val="00EF03CE"/>
    <w:rsid w:val="00EF42FF"/>
    <w:rsid w:val="00F17E0F"/>
    <w:rsid w:val="00F27BC7"/>
    <w:rsid w:val="00F30282"/>
    <w:rsid w:val="00F32E71"/>
    <w:rsid w:val="00F42746"/>
    <w:rsid w:val="00F473E5"/>
    <w:rsid w:val="00F76A44"/>
    <w:rsid w:val="00F8322A"/>
    <w:rsid w:val="00F9083A"/>
    <w:rsid w:val="00F91E95"/>
    <w:rsid w:val="00FA0B07"/>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D0F47D"/>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rFonts w:cs="Times New Roman"/>
      <w:vertAlign w:val="superscript"/>
    </w:rPr>
  </w:style>
  <w:style w:type="character" w:styleId="Hyperlink">
    <w:name w:val="Hyperlink"/>
    <w:uiPriority w:val="99"/>
    <w:unhideWhenUsed/>
    <w:qFormat/>
    <w:rPr>
      <w:color w:val="0000FF"/>
      <w:u w:val="single"/>
    </w:rPr>
  </w:style>
  <w:style w:type="paragraph" w:styleId="PlainText">
    <w:name w:val="Plain Text"/>
    <w:basedOn w:val="Normal"/>
    <w:link w:val="PlainTextChar"/>
    <w:qFormat/>
    <w:pPr>
      <w:spacing w:after="0" w:line="288" w:lineRule="auto"/>
      <w:ind w:firstLine="567"/>
      <w:jc w:val="both"/>
    </w:pPr>
    <w:rPr>
      <w:rFonts w:ascii="Times New Roman" w:eastAsia="Times New Roman" w:hAnsi="Times New Roman" w:cs="Courier New"/>
      <w:sz w:val="20"/>
      <w:szCs w:val="20"/>
      <w:lang w:eastAsia="ru-RU"/>
    </w:rPr>
  </w:style>
  <w:style w:type="paragraph" w:styleId="Header">
    <w:name w:val="header"/>
    <w:basedOn w:val="Normal"/>
    <w:uiPriority w:val="99"/>
    <w:unhideWhenUsed/>
    <w:qFormat/>
    <w:pPr>
      <w:tabs>
        <w:tab w:val="center" w:pos="4153"/>
        <w:tab w:val="right" w:pos="8306"/>
      </w:tabs>
    </w:pPr>
  </w:style>
  <w:style w:type="paragraph" w:styleId="BodyText">
    <w:name w:val="Body Text"/>
    <w:basedOn w:val="Normal"/>
    <w:link w:val="BodyTextChar"/>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BodyTextIndent">
    <w:name w:val="Body Text Indent"/>
    <w:basedOn w:val="Normal"/>
    <w:link w:val="BodyTextIndentChar"/>
    <w:uiPriority w:val="99"/>
    <w:unhideWhenUsed/>
    <w:qFormat/>
    <w:pPr>
      <w:spacing w:after="120" w:line="240" w:lineRule="auto"/>
      <w:ind w:left="283"/>
    </w:pPr>
    <w:rPr>
      <w:rFonts w:ascii="Calibri" w:eastAsia="Calibri" w:hAnsi="Calibri" w:cs="Times New Roman"/>
      <w:lang w:val="zh-CN"/>
    </w:rPr>
  </w:style>
  <w:style w:type="paragraph" w:styleId="Footer">
    <w:name w:val="footer"/>
    <w:basedOn w:val="Normal"/>
    <w:link w:val="FooterChar"/>
    <w:uiPriority w:val="99"/>
    <w:unhideWhenUsed/>
    <w:qFormat/>
    <w:pPr>
      <w:tabs>
        <w:tab w:val="center" w:pos="4153"/>
        <w:tab w:val="right" w:pos="8306"/>
      </w:tabs>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Знак"/>
    <w:basedOn w:val="DefaultParagraphFont"/>
    <w:uiPriority w:val="99"/>
    <w:semiHidden/>
    <w:qFormat/>
  </w:style>
  <w:style w:type="character" w:customStyle="1" w:styleId="BodyTextChar">
    <w:name w:val="Body Text Char"/>
    <w:link w:val="BodyText"/>
    <w:qFormat/>
    <w:locked/>
    <w:rPr>
      <w:rFonts w:ascii="Times New Roman" w:eastAsia="Courier New" w:hAnsi="Times New Roman" w:cs="Times New Roman"/>
      <w:sz w:val="28"/>
      <w:szCs w:val="28"/>
      <w:shd w:val="clear" w:color="auto" w:fill="FFFFFF"/>
      <w:lang w:val="zh-CN" w:eastAsia="zh-CN"/>
    </w:rPr>
  </w:style>
  <w:style w:type="character" w:customStyle="1" w:styleId="a0">
    <w:name w:val="Текст Знак"/>
    <w:basedOn w:val="DefaultParagraphFont"/>
    <w:qFormat/>
    <w:rPr>
      <w:rFonts w:ascii="Consolas" w:hAnsi="Consolas" w:cs="Consolas"/>
      <w:sz w:val="21"/>
      <w:szCs w:val="21"/>
    </w:rPr>
  </w:style>
  <w:style w:type="character" w:customStyle="1" w:styleId="PlainTextChar">
    <w:name w:val="Plain Text Char"/>
    <w:link w:val="PlainText"/>
    <w:qFormat/>
    <w:locked/>
    <w:rPr>
      <w:rFonts w:ascii="Times New Roman" w:eastAsia="Times New Roman" w:hAnsi="Times New Roman" w:cs="Courier New"/>
      <w:sz w:val="20"/>
      <w:szCs w:val="20"/>
      <w:lang w:eastAsia="ru-RU"/>
    </w:rPr>
  </w:style>
  <w:style w:type="paragraph" w:styleId="NoSpacing">
    <w:name w:val="No Spacing"/>
    <w:uiPriority w:val="1"/>
    <w:qFormat/>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1">
    <w:name w:val="Аннотация"/>
    <w:basedOn w:val="PlainText"/>
    <w:link w:val="a2"/>
    <w:qFormat/>
    <w:pPr>
      <w:spacing w:line="240" w:lineRule="auto"/>
    </w:pPr>
    <w:rPr>
      <w:sz w:val="18"/>
      <w:szCs w:val="22"/>
      <w:lang w:val="en-US"/>
    </w:rPr>
  </w:style>
  <w:style w:type="character" w:customStyle="1" w:styleId="a2">
    <w:name w:val="Аннотация Знак"/>
    <w:link w:val="a1"/>
    <w:qFormat/>
    <w:rPr>
      <w:rFonts w:ascii="Times New Roman" w:eastAsia="Times New Roman" w:hAnsi="Times New Roman" w:cs="Courier New"/>
      <w:sz w:val="18"/>
      <w:lang w:val="en-US" w:eastAsia="ru-RU"/>
    </w:rPr>
  </w:style>
  <w:style w:type="paragraph" w:styleId="ListParagraph">
    <w:name w:val="List Paragraph"/>
    <w:basedOn w:val="Normal"/>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9E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DA"/>
    <w:rPr>
      <w:rFonts w:ascii="Tahoma" w:hAnsi="Tahoma" w:cs="Tahoma"/>
      <w:sz w:val="16"/>
      <w:szCs w:val="16"/>
      <w:lang w:eastAsia="en-US"/>
    </w:rPr>
  </w:style>
  <w:style w:type="character" w:styleId="PlaceholderText">
    <w:name w:val="Placeholder Text"/>
    <w:basedOn w:val="DefaultParagraphFont"/>
    <w:uiPriority w:val="99"/>
    <w:unhideWhenUsed/>
    <w:rsid w:val="00617E02"/>
    <w:rPr>
      <w:color w:val="808080"/>
    </w:rPr>
  </w:style>
  <w:style w:type="character" w:customStyle="1" w:styleId="FooterChar">
    <w:name w:val="Footer Char"/>
    <w:basedOn w:val="DefaultParagraphFont"/>
    <w:link w:val="Footer"/>
    <w:uiPriority w:val="99"/>
    <w:rsid w:val="00226B09"/>
    <w:rPr>
      <w:sz w:val="22"/>
      <w:szCs w:val="22"/>
      <w:lang w:eastAsia="en-US"/>
    </w:rPr>
  </w:style>
  <w:style w:type="paragraph" w:styleId="FootnoteText">
    <w:name w:val="footnote text"/>
    <w:basedOn w:val="Normal"/>
    <w:link w:val="FootnoteTextChar"/>
    <w:uiPriority w:val="99"/>
    <w:semiHidden/>
    <w:unhideWhenUsed/>
    <w:rsid w:val="0022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D414E"/>
    <w:rPr>
      <w:sz w:val="16"/>
      <w:szCs w:val="16"/>
    </w:rPr>
  </w:style>
  <w:style w:type="paragraph" w:styleId="CommentText">
    <w:name w:val="annotation text"/>
    <w:basedOn w:val="Normal"/>
    <w:link w:val="CommentTextChar"/>
    <w:uiPriority w:val="99"/>
    <w:semiHidden/>
    <w:unhideWhenUsed/>
    <w:rsid w:val="004D414E"/>
    <w:pPr>
      <w:spacing w:line="240" w:lineRule="auto"/>
    </w:pPr>
    <w:rPr>
      <w:sz w:val="20"/>
      <w:szCs w:val="20"/>
    </w:rPr>
  </w:style>
  <w:style w:type="character" w:customStyle="1" w:styleId="CommentTextChar">
    <w:name w:val="Comment Text Char"/>
    <w:basedOn w:val="DefaultParagraphFont"/>
    <w:link w:val="CommentText"/>
    <w:uiPriority w:val="99"/>
    <w:semiHidden/>
    <w:rsid w:val="004D414E"/>
    <w:rPr>
      <w:lang w:eastAsia="en-US"/>
    </w:rPr>
  </w:style>
  <w:style w:type="paragraph" w:styleId="CommentSubject">
    <w:name w:val="annotation subject"/>
    <w:basedOn w:val="CommentText"/>
    <w:next w:val="CommentText"/>
    <w:link w:val="CommentSubjectChar"/>
    <w:uiPriority w:val="99"/>
    <w:semiHidden/>
    <w:unhideWhenUsed/>
    <w:rsid w:val="004D414E"/>
    <w:rPr>
      <w:b/>
      <w:bCs/>
    </w:rPr>
  </w:style>
  <w:style w:type="character" w:customStyle="1" w:styleId="CommentSubjectChar">
    <w:name w:val="Comment Subject Char"/>
    <w:basedOn w:val="CommentTextChar"/>
    <w:link w:val="CommentSubject"/>
    <w:uiPriority w:val="99"/>
    <w:semiHidden/>
    <w:rsid w:val="004D414E"/>
    <w:rPr>
      <w:b/>
      <w:bCs/>
      <w:lang w:eastAsia="en-US"/>
    </w:rPr>
  </w:style>
  <w:style w:type="character" w:customStyle="1" w:styleId="fontstyle21">
    <w:name w:val="fontstyle21"/>
    <w:basedOn w:val="DefaultParagraphFont"/>
    <w:rsid w:val="00D46467"/>
    <w:rPr>
      <w:rFonts w:ascii="ArialMT" w:hAnsi="ArialMT" w:hint="default"/>
      <w:b w:val="0"/>
      <w:bCs w:val="0"/>
      <w:i w:val="0"/>
      <w:iCs w:val="0"/>
      <w:color w:val="000000"/>
      <w:sz w:val="20"/>
      <w:szCs w:val="20"/>
    </w:rPr>
  </w:style>
  <w:style w:type="paragraph" w:customStyle="1" w:styleId="ReferHead">
    <w:name w:val="Refer Head"/>
    <w:basedOn w:val="Normal"/>
    <w:rsid w:val="00151BB7"/>
    <w:pPr>
      <w:keepNext/>
      <w:spacing w:after="240" w:line="240" w:lineRule="auto"/>
    </w:pPr>
    <w:rPr>
      <w:rFonts w:ascii="Helvetica" w:eastAsia="Times New Roman" w:hAnsi="Helvetica" w:cs="Times New Roman"/>
      <w:b/>
      <w:caps/>
      <w:szCs w:val="20"/>
      <w:lang w:val="en-US"/>
    </w:rPr>
  </w:style>
  <w:style w:type="paragraph" w:customStyle="1" w:styleId="BodyTextBCREC">
    <w:name w:val="BodyText BCREC"/>
    <w:basedOn w:val="Normal"/>
    <w:link w:val="BodyTextBCRECChar"/>
    <w:qFormat/>
    <w:rsid w:val="00855753"/>
    <w:pPr>
      <w:widowControl w:val="0"/>
      <w:autoSpaceDE w:val="0"/>
      <w:autoSpaceDN w:val="0"/>
      <w:adjustRightInd w:val="0"/>
      <w:spacing w:after="0" w:line="360" w:lineRule="auto"/>
      <w:ind w:firstLine="340"/>
      <w:jc w:val="both"/>
      <w:textAlignment w:val="baseline"/>
    </w:pPr>
    <w:rPr>
      <w:rFonts w:ascii="Century Schoolbook" w:eastAsia="BatangChe" w:hAnsi="Century Schoolbook" w:cs="Times New Roman"/>
      <w:sz w:val="24"/>
      <w:szCs w:val="20"/>
      <w:lang w:val="en-US" w:eastAsia="ko-KR"/>
    </w:rPr>
  </w:style>
  <w:style w:type="character" w:customStyle="1" w:styleId="BodyTextBCRECChar">
    <w:name w:val="BodyText BCREC Char"/>
    <w:link w:val="BodyTextBCREC"/>
    <w:rsid w:val="00855753"/>
    <w:rPr>
      <w:rFonts w:ascii="Century Schoolbook" w:eastAsia="BatangChe" w:hAnsi="Century Schoolbook" w:cs="Times New Roman"/>
      <w:sz w:val="24"/>
      <w:lang w:val="en-US" w:eastAsia="ko-KR"/>
    </w:rPr>
  </w:style>
  <w:style w:type="paragraph" w:styleId="EndnoteText">
    <w:name w:val="endnote text"/>
    <w:basedOn w:val="Normal"/>
    <w:link w:val="EndnoteTextChar"/>
    <w:uiPriority w:val="99"/>
    <w:semiHidden/>
    <w:unhideWhenUsed/>
    <w:rsid w:val="00267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72E8"/>
    <w:rPr>
      <w:lang w:eastAsia="en-US"/>
    </w:rPr>
  </w:style>
  <w:style w:type="character" w:styleId="EndnoteReference">
    <w:name w:val="endnote reference"/>
    <w:basedOn w:val="DefaultParagraphFont"/>
    <w:uiPriority w:val="99"/>
    <w:semiHidden/>
    <w:unhideWhenUsed/>
    <w:rsid w:val="002672E8"/>
    <w:rPr>
      <w:vertAlign w:val="superscript"/>
    </w:rPr>
  </w:style>
  <w:style w:type="character" w:styleId="UnresolvedMention">
    <w:name w:val="Unresolved Mention"/>
    <w:basedOn w:val="DefaultParagraphFont"/>
    <w:uiPriority w:val="99"/>
    <w:semiHidden/>
    <w:unhideWhenUsed/>
    <w:rsid w:val="00776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1147">
      <w:bodyDiv w:val="1"/>
      <w:marLeft w:val="0"/>
      <w:marRight w:val="0"/>
      <w:marTop w:val="0"/>
      <w:marBottom w:val="0"/>
      <w:divBdr>
        <w:top w:val="none" w:sz="0" w:space="0" w:color="auto"/>
        <w:left w:val="none" w:sz="0" w:space="0" w:color="auto"/>
        <w:bottom w:val="none" w:sz="0" w:space="0" w:color="auto"/>
        <w:right w:val="none" w:sz="0" w:space="0" w:color="auto"/>
      </w:divBdr>
    </w:div>
    <w:div w:id="167079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51/e3sconf/202343403016"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dx.doi.org/10.32434/0321-4095-2021-134-1-24-3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7universum.com/ru/tech/archive/item/6265" TargetMode="External"/><Relationship Id="rId20" Type="http://schemas.openxmlformats.org/officeDocument/2006/relationships/hyperlink" Target="https://www.sigmaaldrich.com/UZ/en/technical-documents/technical-article/analytical-chemistry/photometry-and-reflectometry/ir-spectrum-tab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moscow/patents/ru2408530c1_201101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31489/2959-0663/4-24-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DBB5EEB-8E5A-4164-9A46-18410BB702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4327</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Editor-22</cp:lastModifiedBy>
  <cp:revision>11</cp:revision>
  <cp:lastPrinted>2024-06-06T12:34:00Z</cp:lastPrinted>
  <dcterms:created xsi:type="dcterms:W3CDTF">2025-04-29T12:04:00Z</dcterms:created>
  <dcterms:modified xsi:type="dcterms:W3CDTF">2025-04-30T11:28:00Z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ies>
</file>