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EBD5" w14:textId="77777777" w:rsidR="0037330A" w:rsidRPr="00DA36C4" w:rsidRDefault="0037330A" w:rsidP="0037330A">
      <w:pPr>
        <w:shd w:val="clear" w:color="auto" w:fill="FFFFFF"/>
        <w:spacing w:line="450" w:lineRule="atLeast"/>
        <w:outlineLvl w:val="0"/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</w:pPr>
      <w:proofErr w:type="spellStart"/>
      <w:r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>Prediction</w:t>
      </w:r>
      <w:proofErr w:type="spellEnd"/>
      <w:r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 xml:space="preserve"> of New </w:t>
      </w:r>
      <w:proofErr w:type="spellStart"/>
      <w:r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>Onset</w:t>
      </w:r>
      <w:proofErr w:type="spellEnd"/>
      <w:r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 xml:space="preserve"> Atrial Fibrillation in Acute </w:t>
      </w:r>
      <w:proofErr w:type="spellStart"/>
      <w:r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>Coronary</w:t>
      </w:r>
      <w:proofErr w:type="spellEnd"/>
      <w:r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 xml:space="preserve"> Syndrome : </w:t>
      </w:r>
      <w:proofErr w:type="spellStart"/>
      <w:r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>using</w:t>
      </w:r>
      <w:proofErr w:type="spellEnd"/>
      <w:r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 xml:space="preserve"> C</w:t>
      </w:r>
      <w:r w:rsidR="00D060F8"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>2</w:t>
      </w:r>
      <w:r w:rsidRPr="00DA36C4">
        <w:rPr>
          <w:rFonts w:eastAsia="Times New Roman" w:cstheme="minorHAnsi"/>
          <w:b/>
          <w:bCs/>
          <w:color w:val="1B1B1B"/>
          <w:kern w:val="36"/>
          <w:sz w:val="22"/>
          <w:szCs w:val="22"/>
          <w:u w:val="single"/>
          <w:lang w:eastAsia="fr-FR"/>
        </w:rPr>
        <w:t xml:space="preserve">HEST score </w:t>
      </w:r>
    </w:p>
    <w:p w14:paraId="031B263B" w14:textId="77777777" w:rsidR="0037330A" w:rsidRDefault="0037330A">
      <w:pPr>
        <w:rPr>
          <w:rFonts w:cstheme="minorHAnsi"/>
          <w:sz w:val="22"/>
          <w:szCs w:val="22"/>
        </w:rPr>
      </w:pPr>
    </w:p>
    <w:p w14:paraId="10512A56" w14:textId="77777777" w:rsidR="003C44AD" w:rsidRDefault="003C44AD">
      <w:pPr>
        <w:rPr>
          <w:rFonts w:cstheme="minorHAnsi"/>
          <w:sz w:val="22"/>
          <w:szCs w:val="22"/>
        </w:rPr>
      </w:pPr>
    </w:p>
    <w:p w14:paraId="52E98BB4" w14:textId="77777777" w:rsidR="003C44AD" w:rsidRDefault="003C44AD">
      <w:pPr>
        <w:rPr>
          <w:rFonts w:cstheme="minorHAnsi"/>
          <w:sz w:val="22"/>
          <w:szCs w:val="22"/>
        </w:rPr>
      </w:pPr>
    </w:p>
    <w:p w14:paraId="1BFEF18E" w14:textId="77777777" w:rsidR="003C44AD" w:rsidRPr="00DA36C4" w:rsidRDefault="003C44AD">
      <w:pPr>
        <w:rPr>
          <w:rFonts w:cstheme="minorHAnsi"/>
          <w:sz w:val="22"/>
          <w:szCs w:val="22"/>
        </w:rPr>
      </w:pPr>
    </w:p>
    <w:p w14:paraId="4396698B" w14:textId="77777777" w:rsidR="00577F70" w:rsidRPr="00DA36C4" w:rsidRDefault="00577F70" w:rsidP="00577F7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>Abstract</w:t>
      </w:r>
    </w:p>
    <w:p w14:paraId="7C5BD79B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Atrial fibrillation (AF)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common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complication of acute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coronary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syndrome (ACS)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associated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poorer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outcomes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. This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aims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assess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profile of ACS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AF and to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evaluate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predictive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value of the C₂HEST score. A total of 61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ACS and AF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were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analyzed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demographics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comorbidities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scores. Most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ST-segment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elevation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myocardial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infarction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(STEMI) (55.7%),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hypertension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diabetes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prevalent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comorbidities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. High C₂HEST scores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were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linked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to an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increased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complications.</w:t>
      </w:r>
    </w:p>
    <w:p w14:paraId="6A6B4B8B" w14:textId="77777777" w:rsidR="00577F70" w:rsidRDefault="00577F70" w:rsidP="00577F7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>Introduction</w:t>
      </w:r>
    </w:p>
    <w:p w14:paraId="313E059D" w14:textId="77777777" w:rsidR="00B10511" w:rsidRPr="00B10511" w:rsidRDefault="00B10511" w:rsidP="00B10511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r w:rsidRPr="00B10511">
        <w:rPr>
          <w:rFonts w:eastAsia="Times New Roman" w:cstheme="minorHAnsi"/>
          <w:sz w:val="22"/>
          <w:szCs w:val="22"/>
          <w:lang w:eastAsia="fr-FR"/>
        </w:rPr>
        <w:t xml:space="preserve">Atrial fibrillation (AF)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most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common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sustained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arrhythmia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often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complicating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course of acute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coronary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syndrome (ACS), a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leading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cause of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mortality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worldwide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.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presence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of AF in ACS patients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worsens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prognosis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by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increasing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of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mortality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heart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failure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, stroke, and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thromboembolic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events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>. New-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onset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AF in ACS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particularly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concerning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as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signifies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higher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morbidity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and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mortality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rates due to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combined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factors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of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ischemic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heart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disease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and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arrhythmias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. This highlights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necessity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for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early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identification and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stratification to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optimize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patient management and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improve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clinical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outcomes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>.</w:t>
      </w:r>
    </w:p>
    <w:p w14:paraId="336A2403" w14:textId="77777777" w:rsidR="00B10511" w:rsidRPr="00B10511" w:rsidRDefault="00B10511" w:rsidP="00B10511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Several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scoring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systems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have been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developed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to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predict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likelihood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of AF in patients, one of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most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well-known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being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C₂HEST score. This score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 simple,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clinically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useful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tool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designed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to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identify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patients at high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of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developing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AF. The C₂HEST score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takes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into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account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factors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such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as congestive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heart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failure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(C), hypertension (H),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age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≥75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years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(E),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diabetes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(D),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prior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stroke or transient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ischemic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attack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(S), and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female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sex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(T).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Higher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scores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suggest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greater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of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developing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AF,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which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can help guide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treatment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decisions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including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anticoagulation and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rhythm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control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therapies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>.</w:t>
      </w:r>
    </w:p>
    <w:p w14:paraId="09F467FA" w14:textId="77777777" w:rsidR="00B10511" w:rsidRPr="00B10511" w:rsidRDefault="00B10511" w:rsidP="00B10511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Given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that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burden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of AF in ACS patients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significant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this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study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aims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to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evaluate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clinical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profile of ACS patients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with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AF and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assess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predictive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value of the C₂HEST score in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this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population. By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understanding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relationship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between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C₂HEST score and patient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outcomes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,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this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study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seeks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to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contribute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valuable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insights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into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the management of 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these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high-</w:t>
      </w:r>
      <w:proofErr w:type="spellStart"/>
      <w:r w:rsidRPr="00B10511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B10511">
        <w:rPr>
          <w:rFonts w:eastAsia="Times New Roman" w:cstheme="minorHAnsi"/>
          <w:sz w:val="22"/>
          <w:szCs w:val="22"/>
          <w:lang w:eastAsia="fr-FR"/>
        </w:rPr>
        <w:t xml:space="preserve"> patients.</w:t>
      </w:r>
    </w:p>
    <w:p w14:paraId="00458FFB" w14:textId="77777777" w:rsidR="00B10511" w:rsidRPr="00B10511" w:rsidRDefault="00B10511" w:rsidP="00B10511"/>
    <w:p w14:paraId="07B13F78" w14:textId="77777777" w:rsidR="00577F70" w:rsidRPr="00DA36C4" w:rsidRDefault="00577F70" w:rsidP="00577F7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>Materials and Methods</w:t>
      </w:r>
    </w:p>
    <w:p w14:paraId="35DC8350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The C₂HEST score for incident AF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analyzed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61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subjects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hospitalized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acute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coronary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syndrome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complicated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by new-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onset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atrial fibrillation in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cardiology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department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Mohamed VI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Hospital,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November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2020 to March 2025.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were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stratified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categories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based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on the C₂HEST score.</w:t>
      </w:r>
    </w:p>
    <w:p w14:paraId="67A65610" w14:textId="77777777" w:rsidR="00577F70" w:rsidRDefault="00577F70" w:rsidP="00577F70">
      <w:pPr>
        <w:pStyle w:val="Heading1"/>
        <w:rPr>
          <w:rFonts w:asciiTheme="minorHAnsi" w:hAnsiTheme="minorHAnsi" w:cstheme="minorHAnsi"/>
          <w:sz w:val="22"/>
          <w:szCs w:val="22"/>
        </w:rPr>
      </w:pPr>
      <w:proofErr w:type="spellStart"/>
      <w:r w:rsidRPr="00DA36C4">
        <w:rPr>
          <w:rFonts w:asciiTheme="minorHAnsi" w:hAnsiTheme="minorHAnsi" w:cstheme="minorHAnsi"/>
          <w:sz w:val="22"/>
          <w:szCs w:val="22"/>
        </w:rPr>
        <w:lastRenderedPageBreak/>
        <w:t>Results</w:t>
      </w:r>
      <w:proofErr w:type="spellEnd"/>
    </w:p>
    <w:p w14:paraId="78F646EB" w14:textId="77777777" w:rsidR="003A3762" w:rsidRDefault="005C003F" w:rsidP="005C003F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r w:rsidRPr="005C003F">
        <w:rPr>
          <w:rFonts w:eastAsia="Times New Roman" w:cstheme="minorHAnsi"/>
          <w:sz w:val="22"/>
          <w:szCs w:val="22"/>
          <w:lang w:eastAsia="fr-FR"/>
        </w:rPr>
        <w:t xml:space="preserve">A total of 61 ACS patients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with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new-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onset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AF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were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included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in the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analysis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. </w:t>
      </w:r>
    </w:p>
    <w:p w14:paraId="734095B3" w14:textId="014CC38A" w:rsidR="005C003F" w:rsidRPr="005C003F" w:rsidRDefault="005C003F" w:rsidP="005C003F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r w:rsidRPr="005C003F">
        <w:rPr>
          <w:rFonts w:eastAsia="Times New Roman" w:cstheme="minorHAnsi"/>
          <w:sz w:val="22"/>
          <w:szCs w:val="22"/>
          <w:lang w:eastAsia="fr-FR"/>
        </w:rPr>
        <w:t xml:space="preserve">Table 1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below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provides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a breakdown of patient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demographics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and ACS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subtypes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>.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1114"/>
      </w:tblGrid>
      <w:tr w:rsidR="005C003F" w:rsidRPr="005C003F" w14:paraId="7FF298D1" w14:textId="77777777" w:rsidTr="005C00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BBF7D4" w14:textId="77777777" w:rsidR="005C003F" w:rsidRPr="005C003F" w:rsidRDefault="005C003F" w:rsidP="005C003F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Variable</w:t>
            </w:r>
          </w:p>
        </w:tc>
        <w:tc>
          <w:tcPr>
            <w:tcW w:w="0" w:type="auto"/>
            <w:vAlign w:val="center"/>
            <w:hideMark/>
          </w:tcPr>
          <w:p w14:paraId="391F46F9" w14:textId="77777777" w:rsidR="005C003F" w:rsidRPr="005C003F" w:rsidRDefault="005C003F" w:rsidP="005C003F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Value</w:t>
            </w:r>
          </w:p>
        </w:tc>
      </w:tr>
      <w:tr w:rsidR="005C003F" w:rsidRPr="005C003F" w14:paraId="0AA2A661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D8C61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Mean</w:t>
            </w:r>
            <w:proofErr w:type="spellEnd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 xml:space="preserve"> Age</w:t>
            </w:r>
          </w:p>
        </w:tc>
        <w:tc>
          <w:tcPr>
            <w:tcW w:w="0" w:type="auto"/>
            <w:vAlign w:val="center"/>
            <w:hideMark/>
          </w:tcPr>
          <w:p w14:paraId="065F21DC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63.18 </w:t>
            </w:r>
            <w:proofErr w:type="spellStart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years</w:t>
            </w:r>
            <w:proofErr w:type="spellEnd"/>
          </w:p>
        </w:tc>
      </w:tr>
      <w:tr w:rsidR="005C003F" w:rsidRPr="005C003F" w14:paraId="59EFC01E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58639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8AE7E9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24 (39.3%)</w:t>
            </w:r>
          </w:p>
        </w:tc>
      </w:tr>
      <w:tr w:rsidR="005C003F" w:rsidRPr="005C003F" w14:paraId="2856160A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A1D02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ACS Type</w:t>
            </w:r>
          </w:p>
        </w:tc>
        <w:tc>
          <w:tcPr>
            <w:tcW w:w="0" w:type="auto"/>
            <w:vAlign w:val="center"/>
            <w:hideMark/>
          </w:tcPr>
          <w:p w14:paraId="6227B4F5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</w:tr>
      <w:tr w:rsidR="005C003F" w:rsidRPr="005C003F" w14:paraId="6A3A8DA4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83ADA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- STEMI</w:t>
            </w:r>
          </w:p>
        </w:tc>
        <w:tc>
          <w:tcPr>
            <w:tcW w:w="0" w:type="auto"/>
            <w:vAlign w:val="center"/>
            <w:hideMark/>
          </w:tcPr>
          <w:p w14:paraId="30168008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34 (55.7%)</w:t>
            </w:r>
          </w:p>
        </w:tc>
      </w:tr>
      <w:tr w:rsidR="005C003F" w:rsidRPr="005C003F" w14:paraId="4447F5C4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8CB81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- NSTEMI</w:t>
            </w:r>
          </w:p>
        </w:tc>
        <w:tc>
          <w:tcPr>
            <w:tcW w:w="0" w:type="auto"/>
            <w:vAlign w:val="center"/>
            <w:hideMark/>
          </w:tcPr>
          <w:p w14:paraId="60840886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17 (27.9%)</w:t>
            </w:r>
          </w:p>
        </w:tc>
      </w:tr>
      <w:tr w:rsidR="005C003F" w:rsidRPr="005C003F" w14:paraId="3619F8C1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C2810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- STEMI </w:t>
            </w:r>
            <w:proofErr w:type="spellStart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equivalents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89A8B5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10 (16.4%)</w:t>
            </w:r>
          </w:p>
        </w:tc>
      </w:tr>
      <w:tr w:rsidR="005C003F" w:rsidRPr="005C003F" w14:paraId="21090BA5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8C527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Hypertension</w:t>
            </w:r>
          </w:p>
        </w:tc>
        <w:tc>
          <w:tcPr>
            <w:tcW w:w="0" w:type="auto"/>
            <w:vAlign w:val="center"/>
            <w:hideMark/>
          </w:tcPr>
          <w:p w14:paraId="5760361E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29 (47.5%)</w:t>
            </w:r>
          </w:p>
        </w:tc>
      </w:tr>
      <w:tr w:rsidR="005C003F" w:rsidRPr="005C003F" w14:paraId="4E101DDD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07E3F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Diabetes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C837C3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33 (54.1%)</w:t>
            </w:r>
          </w:p>
        </w:tc>
      </w:tr>
      <w:tr w:rsidR="005C003F" w:rsidRPr="005C003F" w14:paraId="1DFB1BCC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681F2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Dyslipidemia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C418E0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8 (13.1%)</w:t>
            </w:r>
          </w:p>
        </w:tc>
      </w:tr>
      <w:tr w:rsidR="005C003F" w:rsidRPr="005C003F" w14:paraId="7369DF99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63375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 xml:space="preserve">Active </w:t>
            </w: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Smokers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D0DAE1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14 (22.9%)</w:t>
            </w:r>
          </w:p>
        </w:tc>
      </w:tr>
      <w:tr w:rsidR="005C003F" w:rsidRPr="005C003F" w14:paraId="1ACC2317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3E625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Coronary</w:t>
            </w:r>
            <w:proofErr w:type="spellEnd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Artery</w:t>
            </w:r>
            <w:proofErr w:type="spellEnd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90F321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14 (22.9%)</w:t>
            </w:r>
          </w:p>
        </w:tc>
      </w:tr>
    </w:tbl>
    <w:p w14:paraId="246AE4A0" w14:textId="77777777" w:rsidR="005C003F" w:rsidRPr="005C003F" w:rsidRDefault="005C003F" w:rsidP="005C003F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r w:rsidRPr="005C003F">
        <w:rPr>
          <w:rFonts w:eastAsia="Times New Roman" w:cstheme="minorHAnsi"/>
          <w:sz w:val="22"/>
          <w:szCs w:val="22"/>
          <w:lang w:eastAsia="fr-FR"/>
        </w:rPr>
        <w:t xml:space="preserve">Table 2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below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illustrates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the distribution of C₂HEST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scores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among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study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gramStart"/>
      <w:r w:rsidRPr="005C003F">
        <w:rPr>
          <w:rFonts w:eastAsia="Times New Roman" w:cstheme="minorHAnsi"/>
          <w:sz w:val="22"/>
          <w:szCs w:val="22"/>
          <w:lang w:eastAsia="fr-FR"/>
        </w:rPr>
        <w:t>population:</w:t>
      </w:r>
      <w:proofErr w:type="gramEnd"/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1866"/>
        <w:gridCol w:w="1460"/>
      </w:tblGrid>
      <w:tr w:rsidR="005C003F" w:rsidRPr="005C003F" w14:paraId="08E3C9F9" w14:textId="77777777" w:rsidTr="005C00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D19B9A" w14:textId="77777777" w:rsidR="005C003F" w:rsidRPr="005C003F" w:rsidRDefault="005C003F" w:rsidP="005C003F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 xml:space="preserve">Risk </w:t>
            </w: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Category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4B35BF" w14:textId="77777777" w:rsidR="005C003F" w:rsidRPr="005C003F" w:rsidRDefault="005C003F" w:rsidP="005C003F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proofErr w:type="spellStart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Number</w:t>
            </w:r>
            <w:proofErr w:type="spellEnd"/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 xml:space="preserve"> of Patients</w:t>
            </w:r>
          </w:p>
        </w:tc>
        <w:tc>
          <w:tcPr>
            <w:tcW w:w="0" w:type="auto"/>
            <w:vAlign w:val="center"/>
            <w:hideMark/>
          </w:tcPr>
          <w:p w14:paraId="5F5988D9" w14:textId="77777777" w:rsidR="005C003F" w:rsidRPr="005C003F" w:rsidRDefault="005C003F" w:rsidP="005C003F"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Percentage (%)</w:t>
            </w:r>
          </w:p>
        </w:tc>
      </w:tr>
      <w:tr w:rsidR="005C003F" w:rsidRPr="005C003F" w14:paraId="765DB95A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80078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Low </w:t>
            </w:r>
            <w:proofErr w:type="spellStart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risk</w:t>
            </w:r>
            <w:proofErr w:type="spellEnd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(0-1 points)</w:t>
            </w:r>
          </w:p>
        </w:tc>
        <w:tc>
          <w:tcPr>
            <w:tcW w:w="0" w:type="auto"/>
            <w:vAlign w:val="center"/>
            <w:hideMark/>
          </w:tcPr>
          <w:p w14:paraId="04C6B91D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B845E1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6.6</w:t>
            </w:r>
          </w:p>
        </w:tc>
      </w:tr>
      <w:tr w:rsidR="005C003F" w:rsidRPr="005C003F" w14:paraId="273C297C" w14:textId="77777777" w:rsidTr="005C003F">
        <w:trPr>
          <w:trHeight w:val="30"/>
          <w:tblCellSpacing w:w="15" w:type="dxa"/>
        </w:trPr>
        <w:tc>
          <w:tcPr>
            <w:tcW w:w="0" w:type="auto"/>
            <w:vAlign w:val="center"/>
            <w:hideMark/>
          </w:tcPr>
          <w:p w14:paraId="049CB220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proofErr w:type="spellStart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Intermediate</w:t>
            </w:r>
            <w:proofErr w:type="spellEnd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risk</w:t>
            </w:r>
            <w:proofErr w:type="spellEnd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(2-3 points)</w:t>
            </w:r>
          </w:p>
        </w:tc>
        <w:tc>
          <w:tcPr>
            <w:tcW w:w="0" w:type="auto"/>
            <w:vAlign w:val="center"/>
            <w:hideMark/>
          </w:tcPr>
          <w:p w14:paraId="0A6A35FE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7A605E0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47.5</w:t>
            </w:r>
          </w:p>
        </w:tc>
      </w:tr>
      <w:tr w:rsidR="005C003F" w:rsidRPr="005C003F" w14:paraId="36094681" w14:textId="77777777" w:rsidTr="005C00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03BFC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High </w:t>
            </w:r>
            <w:proofErr w:type="spellStart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risk</w:t>
            </w:r>
            <w:proofErr w:type="spellEnd"/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 (&gt;4 points)</w:t>
            </w:r>
          </w:p>
        </w:tc>
        <w:tc>
          <w:tcPr>
            <w:tcW w:w="0" w:type="auto"/>
            <w:vAlign w:val="center"/>
            <w:hideMark/>
          </w:tcPr>
          <w:p w14:paraId="6BDA0664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6340DFC" w14:textId="77777777" w:rsidR="005C003F" w:rsidRPr="005C003F" w:rsidRDefault="005C003F" w:rsidP="005C003F">
            <w:pPr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5C003F">
              <w:rPr>
                <w:rFonts w:eastAsia="Times New Roman" w:cstheme="minorHAnsi"/>
                <w:sz w:val="22"/>
                <w:szCs w:val="22"/>
                <w:lang w:eastAsia="fr-FR"/>
              </w:rPr>
              <w:t>45.9</w:t>
            </w:r>
          </w:p>
        </w:tc>
      </w:tr>
    </w:tbl>
    <w:p w14:paraId="1CE2810E" w14:textId="77777777" w:rsidR="005C003F" w:rsidRPr="005C003F" w:rsidRDefault="005C003F" w:rsidP="005C003F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r w:rsidRPr="005C003F">
        <w:rPr>
          <w:rFonts w:eastAsia="Times New Roman" w:cstheme="minorHAnsi"/>
          <w:b/>
          <w:bCs/>
          <w:sz w:val="22"/>
          <w:szCs w:val="22"/>
          <w:lang w:eastAsia="fr-FR"/>
        </w:rPr>
        <w:t xml:space="preserve">Complications and Associated </w:t>
      </w:r>
      <w:proofErr w:type="gramStart"/>
      <w:r w:rsidRPr="005C003F">
        <w:rPr>
          <w:rFonts w:eastAsia="Times New Roman" w:cstheme="minorHAnsi"/>
          <w:b/>
          <w:bCs/>
          <w:sz w:val="22"/>
          <w:szCs w:val="22"/>
          <w:lang w:eastAsia="fr-FR"/>
        </w:rPr>
        <w:t>Conditions:</w:t>
      </w:r>
      <w:proofErr w:type="gram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The high-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group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based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on the C₂HEST score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showed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a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significantly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higher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rate of complications.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Notably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,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heart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failure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was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most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common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associated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condition in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these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patients,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affecting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38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individuals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(62.3%, p &lt; 0.01).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Furthermore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, 11 patients (18.0%)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were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diagnosed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with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significant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valvular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heart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disease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,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which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contributed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to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their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clinical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instability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during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5C003F">
        <w:rPr>
          <w:rFonts w:eastAsia="Times New Roman" w:cstheme="minorHAnsi"/>
          <w:sz w:val="22"/>
          <w:szCs w:val="22"/>
          <w:lang w:eastAsia="fr-FR"/>
        </w:rPr>
        <w:t>hospitalization</w:t>
      </w:r>
      <w:proofErr w:type="spellEnd"/>
      <w:r w:rsidRPr="005C003F">
        <w:rPr>
          <w:rFonts w:eastAsia="Times New Roman" w:cstheme="minorHAnsi"/>
          <w:sz w:val="22"/>
          <w:szCs w:val="22"/>
          <w:lang w:eastAsia="fr-FR"/>
        </w:rPr>
        <w:t>.</w:t>
      </w:r>
    </w:p>
    <w:p w14:paraId="387DC6C9" w14:textId="77777777" w:rsidR="005C003F" w:rsidRPr="005C003F" w:rsidRDefault="005C003F" w:rsidP="005C003F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spellStart"/>
      <w:r w:rsidRPr="005C003F">
        <w:rPr>
          <w:rStyle w:val="Strong"/>
          <w:rFonts w:cstheme="minorHAnsi"/>
          <w:sz w:val="22"/>
          <w:szCs w:val="22"/>
        </w:rPr>
        <w:t>Outcomes</w:t>
      </w:r>
      <w:proofErr w:type="spellEnd"/>
      <w:r w:rsidRPr="005C003F">
        <w:rPr>
          <w:rStyle w:val="Strong"/>
          <w:rFonts w:cstheme="minorHAnsi"/>
          <w:sz w:val="22"/>
          <w:szCs w:val="22"/>
        </w:rPr>
        <w:t xml:space="preserve"> and </w:t>
      </w:r>
      <w:proofErr w:type="spellStart"/>
      <w:r w:rsidRPr="005C003F">
        <w:rPr>
          <w:rStyle w:val="Strong"/>
          <w:rFonts w:cstheme="minorHAnsi"/>
          <w:sz w:val="22"/>
          <w:szCs w:val="22"/>
        </w:rPr>
        <w:t>Mortality</w:t>
      </w:r>
      <w:proofErr w:type="spellEnd"/>
      <w:r w:rsidRPr="005C003F">
        <w:rPr>
          <w:rFonts w:cstheme="minorHAnsi"/>
          <w:sz w:val="22"/>
          <w:szCs w:val="22"/>
        </w:rPr>
        <w:br/>
      </w:r>
      <w:proofErr w:type="spellStart"/>
      <w:r w:rsidRPr="005C003F">
        <w:rPr>
          <w:rFonts w:cstheme="minorHAnsi"/>
          <w:sz w:val="22"/>
          <w:szCs w:val="22"/>
        </w:rPr>
        <w:t>Among</w:t>
      </w:r>
      <w:proofErr w:type="spellEnd"/>
      <w:r w:rsidRPr="005C003F">
        <w:rPr>
          <w:rFonts w:cstheme="minorHAnsi"/>
          <w:sz w:val="22"/>
          <w:szCs w:val="22"/>
        </w:rPr>
        <w:t xml:space="preserve"> the 61 patients, 4 (6.6%) of </w:t>
      </w:r>
      <w:proofErr w:type="spellStart"/>
      <w:r w:rsidRPr="005C003F">
        <w:rPr>
          <w:rFonts w:cstheme="minorHAnsi"/>
          <w:sz w:val="22"/>
          <w:szCs w:val="22"/>
        </w:rPr>
        <w:t>those</w:t>
      </w:r>
      <w:proofErr w:type="spellEnd"/>
      <w:r w:rsidRPr="005C003F">
        <w:rPr>
          <w:rFonts w:cstheme="minorHAnsi"/>
          <w:sz w:val="22"/>
          <w:szCs w:val="22"/>
        </w:rPr>
        <w:t xml:space="preserve"> in the high-</w:t>
      </w:r>
      <w:proofErr w:type="spellStart"/>
      <w:r w:rsidRPr="005C003F">
        <w:rPr>
          <w:rFonts w:cstheme="minorHAnsi"/>
          <w:sz w:val="22"/>
          <w:szCs w:val="22"/>
        </w:rPr>
        <w:t>risk</w:t>
      </w:r>
      <w:proofErr w:type="spellEnd"/>
      <w:r w:rsidRPr="005C003F">
        <w:rPr>
          <w:rFonts w:cstheme="minorHAnsi"/>
          <w:sz w:val="22"/>
          <w:szCs w:val="22"/>
        </w:rPr>
        <w:t xml:space="preserve"> </w:t>
      </w:r>
      <w:proofErr w:type="spellStart"/>
      <w:r w:rsidRPr="005C003F">
        <w:rPr>
          <w:rFonts w:cstheme="minorHAnsi"/>
          <w:sz w:val="22"/>
          <w:szCs w:val="22"/>
        </w:rPr>
        <w:t>category</w:t>
      </w:r>
      <w:proofErr w:type="spellEnd"/>
      <w:r w:rsidRPr="005C003F">
        <w:rPr>
          <w:rFonts w:cstheme="minorHAnsi"/>
          <w:sz w:val="22"/>
          <w:szCs w:val="22"/>
        </w:rPr>
        <w:t xml:space="preserve"> </w:t>
      </w:r>
      <w:proofErr w:type="spellStart"/>
      <w:r w:rsidRPr="005C003F">
        <w:rPr>
          <w:rFonts w:cstheme="minorHAnsi"/>
          <w:sz w:val="22"/>
          <w:szCs w:val="22"/>
        </w:rPr>
        <w:t>succumbed</w:t>
      </w:r>
      <w:proofErr w:type="spellEnd"/>
      <w:r w:rsidRPr="005C003F">
        <w:rPr>
          <w:rFonts w:cstheme="minorHAnsi"/>
          <w:sz w:val="22"/>
          <w:szCs w:val="22"/>
        </w:rPr>
        <w:t xml:space="preserve"> to </w:t>
      </w:r>
      <w:proofErr w:type="spellStart"/>
      <w:r w:rsidRPr="005C003F">
        <w:rPr>
          <w:rFonts w:cstheme="minorHAnsi"/>
          <w:sz w:val="22"/>
          <w:szCs w:val="22"/>
        </w:rPr>
        <w:t>their</w:t>
      </w:r>
      <w:proofErr w:type="spellEnd"/>
      <w:r w:rsidRPr="005C003F">
        <w:rPr>
          <w:rFonts w:cstheme="minorHAnsi"/>
          <w:sz w:val="22"/>
          <w:szCs w:val="22"/>
        </w:rPr>
        <w:t xml:space="preserve"> condition, </w:t>
      </w:r>
      <w:proofErr w:type="spellStart"/>
      <w:r w:rsidRPr="005C003F">
        <w:rPr>
          <w:rFonts w:cstheme="minorHAnsi"/>
          <w:sz w:val="22"/>
          <w:szCs w:val="22"/>
        </w:rPr>
        <w:t>emphasizing</w:t>
      </w:r>
      <w:proofErr w:type="spellEnd"/>
      <w:r w:rsidRPr="005C003F">
        <w:rPr>
          <w:rFonts w:cstheme="minorHAnsi"/>
          <w:sz w:val="22"/>
          <w:szCs w:val="22"/>
        </w:rPr>
        <w:t xml:space="preserve"> the </w:t>
      </w:r>
      <w:proofErr w:type="spellStart"/>
      <w:r w:rsidRPr="005C003F">
        <w:rPr>
          <w:rFonts w:cstheme="minorHAnsi"/>
          <w:sz w:val="22"/>
          <w:szCs w:val="22"/>
        </w:rPr>
        <w:t>correlation</w:t>
      </w:r>
      <w:proofErr w:type="spellEnd"/>
      <w:r w:rsidRPr="005C003F">
        <w:rPr>
          <w:rFonts w:cstheme="minorHAnsi"/>
          <w:sz w:val="22"/>
          <w:szCs w:val="22"/>
        </w:rPr>
        <w:t xml:space="preserve"> </w:t>
      </w:r>
      <w:proofErr w:type="spellStart"/>
      <w:r w:rsidRPr="005C003F">
        <w:rPr>
          <w:rFonts w:cstheme="minorHAnsi"/>
          <w:sz w:val="22"/>
          <w:szCs w:val="22"/>
        </w:rPr>
        <w:t>between</w:t>
      </w:r>
      <w:proofErr w:type="spellEnd"/>
      <w:r w:rsidRPr="005C003F">
        <w:rPr>
          <w:rFonts w:cstheme="minorHAnsi"/>
          <w:sz w:val="22"/>
          <w:szCs w:val="22"/>
        </w:rPr>
        <w:t xml:space="preserve"> high C₂HEST scores and adverse </w:t>
      </w:r>
      <w:proofErr w:type="spellStart"/>
      <w:r w:rsidRPr="005C003F">
        <w:rPr>
          <w:rFonts w:cstheme="minorHAnsi"/>
          <w:sz w:val="22"/>
          <w:szCs w:val="22"/>
        </w:rPr>
        <w:t>outcomes</w:t>
      </w:r>
      <w:proofErr w:type="spellEnd"/>
      <w:r w:rsidRPr="005C003F">
        <w:rPr>
          <w:rFonts w:cstheme="minorHAnsi"/>
          <w:sz w:val="22"/>
          <w:szCs w:val="22"/>
        </w:rPr>
        <w:t xml:space="preserve">. The </w:t>
      </w:r>
      <w:proofErr w:type="spellStart"/>
      <w:r w:rsidRPr="005C003F">
        <w:rPr>
          <w:rFonts w:cstheme="minorHAnsi"/>
          <w:sz w:val="22"/>
          <w:szCs w:val="22"/>
        </w:rPr>
        <w:t>average</w:t>
      </w:r>
      <w:proofErr w:type="spellEnd"/>
      <w:r w:rsidRPr="005C003F">
        <w:rPr>
          <w:rFonts w:cstheme="minorHAnsi"/>
          <w:sz w:val="22"/>
          <w:szCs w:val="22"/>
        </w:rPr>
        <w:t xml:space="preserve"> </w:t>
      </w:r>
      <w:proofErr w:type="spellStart"/>
      <w:r w:rsidRPr="005C003F">
        <w:rPr>
          <w:rFonts w:cstheme="minorHAnsi"/>
          <w:sz w:val="22"/>
          <w:szCs w:val="22"/>
        </w:rPr>
        <w:t>length</w:t>
      </w:r>
      <w:proofErr w:type="spellEnd"/>
      <w:r w:rsidRPr="005C003F">
        <w:rPr>
          <w:rFonts w:cstheme="minorHAnsi"/>
          <w:sz w:val="22"/>
          <w:szCs w:val="22"/>
        </w:rPr>
        <w:t xml:space="preserve"> of </w:t>
      </w:r>
      <w:proofErr w:type="spellStart"/>
      <w:r w:rsidRPr="005C003F">
        <w:rPr>
          <w:rFonts w:cstheme="minorHAnsi"/>
          <w:sz w:val="22"/>
          <w:szCs w:val="22"/>
        </w:rPr>
        <w:t>hospitalization</w:t>
      </w:r>
      <w:proofErr w:type="spellEnd"/>
      <w:r w:rsidRPr="005C003F">
        <w:rPr>
          <w:rFonts w:cstheme="minorHAnsi"/>
          <w:sz w:val="22"/>
          <w:szCs w:val="22"/>
        </w:rPr>
        <w:t xml:space="preserve"> for all patients </w:t>
      </w:r>
      <w:proofErr w:type="spellStart"/>
      <w:r w:rsidRPr="005C003F">
        <w:rPr>
          <w:rFonts w:cstheme="minorHAnsi"/>
          <w:sz w:val="22"/>
          <w:szCs w:val="22"/>
        </w:rPr>
        <w:t>was</w:t>
      </w:r>
      <w:proofErr w:type="spellEnd"/>
      <w:r w:rsidRPr="005C003F">
        <w:rPr>
          <w:rFonts w:cstheme="minorHAnsi"/>
          <w:sz w:val="22"/>
          <w:szCs w:val="22"/>
        </w:rPr>
        <w:t xml:space="preserve"> 5.5 </w:t>
      </w:r>
      <w:proofErr w:type="spellStart"/>
      <w:r w:rsidRPr="005C003F">
        <w:rPr>
          <w:rFonts w:cstheme="minorHAnsi"/>
          <w:sz w:val="22"/>
          <w:szCs w:val="22"/>
        </w:rPr>
        <w:t>days</w:t>
      </w:r>
      <w:proofErr w:type="spellEnd"/>
      <w:r w:rsidRPr="005C003F">
        <w:rPr>
          <w:rFonts w:cstheme="minorHAnsi"/>
          <w:sz w:val="22"/>
          <w:szCs w:val="22"/>
        </w:rPr>
        <w:t xml:space="preserve">, </w:t>
      </w:r>
      <w:proofErr w:type="spellStart"/>
      <w:r w:rsidRPr="005C003F">
        <w:rPr>
          <w:rFonts w:cstheme="minorHAnsi"/>
          <w:sz w:val="22"/>
          <w:szCs w:val="22"/>
        </w:rPr>
        <w:t>with</w:t>
      </w:r>
      <w:proofErr w:type="spellEnd"/>
      <w:r w:rsidRPr="005C003F">
        <w:rPr>
          <w:rFonts w:cstheme="minorHAnsi"/>
          <w:sz w:val="22"/>
          <w:szCs w:val="22"/>
        </w:rPr>
        <w:t xml:space="preserve"> the range </w:t>
      </w:r>
      <w:proofErr w:type="spellStart"/>
      <w:r w:rsidRPr="005C003F">
        <w:rPr>
          <w:rFonts w:cstheme="minorHAnsi"/>
          <w:sz w:val="22"/>
          <w:szCs w:val="22"/>
        </w:rPr>
        <w:t>spanning</w:t>
      </w:r>
      <w:proofErr w:type="spellEnd"/>
      <w:r w:rsidRPr="005C003F">
        <w:rPr>
          <w:rFonts w:cstheme="minorHAnsi"/>
          <w:sz w:val="22"/>
          <w:szCs w:val="22"/>
        </w:rPr>
        <w:t xml:space="preserve"> </w:t>
      </w:r>
      <w:proofErr w:type="spellStart"/>
      <w:r w:rsidRPr="005C003F">
        <w:rPr>
          <w:rFonts w:cstheme="minorHAnsi"/>
          <w:sz w:val="22"/>
          <w:szCs w:val="22"/>
        </w:rPr>
        <w:t>from</w:t>
      </w:r>
      <w:proofErr w:type="spellEnd"/>
      <w:r w:rsidRPr="005C003F">
        <w:rPr>
          <w:rFonts w:cstheme="minorHAnsi"/>
          <w:sz w:val="22"/>
          <w:szCs w:val="22"/>
        </w:rPr>
        <w:t xml:space="preserve"> 24 </w:t>
      </w:r>
      <w:proofErr w:type="spellStart"/>
      <w:r w:rsidRPr="005C003F">
        <w:rPr>
          <w:rFonts w:cstheme="minorHAnsi"/>
          <w:sz w:val="22"/>
          <w:szCs w:val="22"/>
        </w:rPr>
        <w:t>hours</w:t>
      </w:r>
      <w:proofErr w:type="spellEnd"/>
      <w:r w:rsidRPr="005C003F">
        <w:rPr>
          <w:rFonts w:cstheme="minorHAnsi"/>
          <w:sz w:val="22"/>
          <w:szCs w:val="22"/>
        </w:rPr>
        <w:t xml:space="preserve"> to 25 </w:t>
      </w:r>
      <w:proofErr w:type="spellStart"/>
      <w:r w:rsidRPr="005C003F">
        <w:rPr>
          <w:rFonts w:cstheme="minorHAnsi"/>
          <w:sz w:val="22"/>
          <w:szCs w:val="22"/>
        </w:rPr>
        <w:t>days</w:t>
      </w:r>
      <w:proofErr w:type="spellEnd"/>
      <w:r w:rsidRPr="005C003F">
        <w:rPr>
          <w:rFonts w:cstheme="minorHAnsi"/>
          <w:sz w:val="22"/>
          <w:szCs w:val="22"/>
        </w:rPr>
        <w:t>. Patients in the high-</w:t>
      </w:r>
      <w:proofErr w:type="spellStart"/>
      <w:r w:rsidRPr="005C003F">
        <w:rPr>
          <w:rFonts w:cstheme="minorHAnsi"/>
          <w:sz w:val="22"/>
          <w:szCs w:val="22"/>
        </w:rPr>
        <w:t>risk</w:t>
      </w:r>
      <w:proofErr w:type="spellEnd"/>
      <w:r w:rsidRPr="005C003F">
        <w:rPr>
          <w:rFonts w:cstheme="minorHAnsi"/>
          <w:sz w:val="22"/>
          <w:szCs w:val="22"/>
        </w:rPr>
        <w:t xml:space="preserve"> </w:t>
      </w:r>
      <w:proofErr w:type="spellStart"/>
      <w:r w:rsidRPr="005C003F">
        <w:rPr>
          <w:rFonts w:cstheme="minorHAnsi"/>
          <w:sz w:val="22"/>
          <w:szCs w:val="22"/>
        </w:rPr>
        <w:t>category</w:t>
      </w:r>
      <w:proofErr w:type="spellEnd"/>
      <w:r w:rsidRPr="005C003F">
        <w:rPr>
          <w:rFonts w:cstheme="minorHAnsi"/>
          <w:sz w:val="22"/>
          <w:szCs w:val="22"/>
        </w:rPr>
        <w:t xml:space="preserve"> </w:t>
      </w:r>
      <w:proofErr w:type="spellStart"/>
      <w:r w:rsidRPr="005C003F">
        <w:rPr>
          <w:rFonts w:cstheme="minorHAnsi"/>
          <w:sz w:val="22"/>
          <w:szCs w:val="22"/>
        </w:rPr>
        <w:t>tended</w:t>
      </w:r>
      <w:proofErr w:type="spellEnd"/>
      <w:r w:rsidRPr="005C003F">
        <w:rPr>
          <w:rFonts w:cstheme="minorHAnsi"/>
          <w:sz w:val="22"/>
          <w:szCs w:val="22"/>
        </w:rPr>
        <w:t xml:space="preserve"> to have longer </w:t>
      </w:r>
      <w:proofErr w:type="spellStart"/>
      <w:r w:rsidRPr="005C003F">
        <w:rPr>
          <w:rFonts w:cstheme="minorHAnsi"/>
          <w:sz w:val="22"/>
          <w:szCs w:val="22"/>
        </w:rPr>
        <w:t>hospital</w:t>
      </w:r>
      <w:proofErr w:type="spellEnd"/>
      <w:r w:rsidRPr="005C003F">
        <w:rPr>
          <w:rFonts w:cstheme="minorHAnsi"/>
          <w:sz w:val="22"/>
          <w:szCs w:val="22"/>
        </w:rPr>
        <w:t xml:space="preserve"> </w:t>
      </w:r>
      <w:proofErr w:type="spellStart"/>
      <w:r w:rsidRPr="005C003F">
        <w:rPr>
          <w:rFonts w:cstheme="minorHAnsi"/>
          <w:sz w:val="22"/>
          <w:szCs w:val="22"/>
        </w:rPr>
        <w:t>stays</w:t>
      </w:r>
      <w:proofErr w:type="spellEnd"/>
      <w:r w:rsidRPr="005C003F">
        <w:rPr>
          <w:rFonts w:cstheme="minorHAnsi"/>
          <w:sz w:val="22"/>
          <w:szCs w:val="22"/>
        </w:rPr>
        <w:t xml:space="preserve">, </w:t>
      </w:r>
      <w:proofErr w:type="spellStart"/>
      <w:r w:rsidRPr="005C003F">
        <w:rPr>
          <w:rFonts w:cstheme="minorHAnsi"/>
          <w:sz w:val="22"/>
          <w:szCs w:val="22"/>
        </w:rPr>
        <w:t>reflecting</w:t>
      </w:r>
      <w:proofErr w:type="spellEnd"/>
      <w:r w:rsidRPr="005C003F">
        <w:rPr>
          <w:rFonts w:cstheme="minorHAnsi"/>
          <w:sz w:val="22"/>
          <w:szCs w:val="22"/>
        </w:rPr>
        <w:t xml:space="preserve"> the </w:t>
      </w:r>
      <w:proofErr w:type="spellStart"/>
      <w:r w:rsidRPr="005C003F">
        <w:rPr>
          <w:rFonts w:cstheme="minorHAnsi"/>
          <w:sz w:val="22"/>
          <w:szCs w:val="22"/>
        </w:rPr>
        <w:t>increased</w:t>
      </w:r>
      <w:proofErr w:type="spellEnd"/>
      <w:r w:rsidRPr="005C003F">
        <w:rPr>
          <w:rFonts w:cstheme="minorHAnsi"/>
          <w:sz w:val="22"/>
          <w:szCs w:val="22"/>
        </w:rPr>
        <w:t xml:space="preserve"> </w:t>
      </w:r>
      <w:proofErr w:type="spellStart"/>
      <w:r w:rsidRPr="005C003F">
        <w:rPr>
          <w:rFonts w:cstheme="minorHAnsi"/>
          <w:sz w:val="22"/>
          <w:szCs w:val="22"/>
        </w:rPr>
        <w:t>severity</w:t>
      </w:r>
      <w:proofErr w:type="spellEnd"/>
      <w:r w:rsidRPr="005C003F">
        <w:rPr>
          <w:rFonts w:cstheme="minorHAnsi"/>
          <w:sz w:val="22"/>
          <w:szCs w:val="22"/>
        </w:rPr>
        <w:t xml:space="preserve"> of </w:t>
      </w:r>
      <w:proofErr w:type="spellStart"/>
      <w:r w:rsidRPr="005C003F">
        <w:rPr>
          <w:rFonts w:cstheme="minorHAnsi"/>
          <w:sz w:val="22"/>
          <w:szCs w:val="22"/>
        </w:rPr>
        <w:t>their</w:t>
      </w:r>
      <w:proofErr w:type="spellEnd"/>
      <w:r w:rsidRPr="005C003F">
        <w:rPr>
          <w:rFonts w:cstheme="minorHAnsi"/>
          <w:sz w:val="22"/>
          <w:szCs w:val="22"/>
        </w:rPr>
        <w:t xml:space="preserve"> condition.</w:t>
      </w:r>
    </w:p>
    <w:p w14:paraId="4C3FD88C" w14:textId="77777777" w:rsidR="005C003F" w:rsidRPr="005C003F" w:rsidRDefault="005C003F" w:rsidP="005C003F"/>
    <w:p w14:paraId="4863504B" w14:textId="77777777" w:rsidR="00577F70" w:rsidRPr="00DA36C4" w:rsidRDefault="00577F70" w:rsidP="00577F7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>Discussion</w:t>
      </w:r>
    </w:p>
    <w:p w14:paraId="250C3A7E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Society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Cardiology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(ESC)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defines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atrial fibrillation (AF) as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most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common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sustained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cardiac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arrhythmia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. It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supraventricular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rhythm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disorder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characterized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uncoordinated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atrial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electrical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activation,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leads to ineffective atrial contraction. On surface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lastRenderedPageBreak/>
        <w:t>electrocardiography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(ECG), AF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marked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by the absence of distinct P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waves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and an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irregularly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irregular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ventricular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response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no consistent RR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interval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pattern in the absence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atrioventricular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(AV) block [1].</w:t>
      </w:r>
    </w:p>
    <w:p w14:paraId="612CC72B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The incidence of AF in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context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acute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coronary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syndromes (ACS)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variable,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ranging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2% and 23% [2]. 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conducted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our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center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demonstrated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10% of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admitted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ACS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developed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new-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onset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atrial fibrillation [3].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Notably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experiencing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myocardial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infarction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(MI) have a 60–77%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increased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developing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new-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onset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AF (NOAF) [4]. AF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itself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associated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higher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adverse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outcomes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both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ST-segment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elevation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and non-ST-segment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elevation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MI [5].</w:t>
      </w:r>
    </w:p>
    <w:p w14:paraId="0DE19CD5" w14:textId="77777777" w:rsidR="002861D9" w:rsidRPr="00DA36C4" w:rsidRDefault="002861D9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Several</w:t>
      </w:r>
      <w:proofErr w:type="spellEnd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 xml:space="preserve"> </w:t>
      </w:r>
      <w:proofErr w:type="spellStart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theories</w:t>
      </w:r>
      <w:proofErr w:type="spellEnd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</w:t>
      </w:r>
      <w:proofErr w:type="spellStart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suggest</w:t>
      </w:r>
      <w:proofErr w:type="spellEnd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 xml:space="preserve"> a </w:t>
      </w:r>
      <w:proofErr w:type="spellStart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significant</w:t>
      </w:r>
      <w:proofErr w:type="spellEnd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 xml:space="preserve"> </w:t>
      </w:r>
      <w:proofErr w:type="spellStart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link</w:t>
      </w:r>
      <w:proofErr w:type="spellEnd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 xml:space="preserve"> </w:t>
      </w:r>
      <w:proofErr w:type="spellStart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between</w:t>
      </w:r>
      <w:proofErr w:type="spellEnd"/>
      <w:r w:rsidRPr="00DA36C4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 xml:space="preserve"> AF and ACS : </w:t>
      </w:r>
    </w:p>
    <w:p w14:paraId="234A538C" w14:textId="77777777" w:rsidR="002861D9" w:rsidRPr="002861D9" w:rsidRDefault="002861D9" w:rsidP="002861D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 xml:space="preserve">  </w:t>
      </w:r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Structural</w:t>
      </w:r>
      <w:proofErr w:type="gramEnd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 xml:space="preserve"> </w:t>
      </w:r>
      <w:proofErr w:type="gramStart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Changes</w:t>
      </w:r>
      <w:r w:rsidRPr="002861D9">
        <w:rPr>
          <w:rFonts w:eastAsia="Times New Roman" w:cstheme="minorHAnsi"/>
          <w:sz w:val="22"/>
          <w:szCs w:val="22"/>
          <w:lang w:eastAsia="fr-FR"/>
        </w:rPr>
        <w:t>:</w:t>
      </w:r>
      <w:proofErr w:type="gramEnd"/>
    </w:p>
    <w:p w14:paraId="7573F63A" w14:textId="77777777" w:rsidR="002861D9" w:rsidRPr="002861D9" w:rsidRDefault="002861D9" w:rsidP="002861D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Myocardial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infarction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leads to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necrosis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and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remodeling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of the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heart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tissue,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particularly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affecting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atria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. This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remodeling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includes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atrial dilation and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fibrosis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,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which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disrupt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normal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electrical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conduction and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increase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the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of AF.</w:t>
      </w:r>
      <w:r w:rsidRPr="00DA36C4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DA36C4">
        <w:rPr>
          <w:rFonts w:cstheme="minorHAnsi"/>
          <w:sz w:val="22"/>
          <w:szCs w:val="22"/>
        </w:rPr>
        <w:t>[6].</w:t>
      </w:r>
    </w:p>
    <w:p w14:paraId="7CB9FD23" w14:textId="77777777" w:rsidR="002861D9" w:rsidRPr="002861D9" w:rsidRDefault="002861D9" w:rsidP="002861D9">
      <w:pPr>
        <w:spacing w:before="100" w:beforeAutospacing="1" w:after="100" w:afterAutospacing="1"/>
        <w:ind w:left="720"/>
        <w:rPr>
          <w:rFonts w:eastAsia="Times New Roman" w:cstheme="minorHAnsi"/>
          <w:sz w:val="22"/>
          <w:szCs w:val="22"/>
          <w:lang w:eastAsia="fr-FR"/>
        </w:rPr>
      </w:pPr>
    </w:p>
    <w:p w14:paraId="0631217A" w14:textId="77777777" w:rsidR="002861D9" w:rsidRPr="002861D9" w:rsidRDefault="002861D9" w:rsidP="002861D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 xml:space="preserve">  </w:t>
      </w:r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Inflammation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>:</w:t>
      </w:r>
    </w:p>
    <w:p w14:paraId="25DDFF3E" w14:textId="77777777" w:rsidR="002861D9" w:rsidRPr="002861D9" w:rsidRDefault="002861D9" w:rsidP="002861D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r w:rsidRPr="002861D9">
        <w:rPr>
          <w:rFonts w:eastAsia="Times New Roman" w:cstheme="minorHAnsi"/>
          <w:sz w:val="22"/>
          <w:szCs w:val="22"/>
          <w:lang w:eastAsia="fr-FR"/>
        </w:rPr>
        <w:t xml:space="preserve">MI triggers a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systemic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inflammatory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response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, releasing cytokines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that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can lead to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electrical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remodeling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of atrial tissue. This inflammation can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contribute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to the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development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of AF by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altering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ion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channel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expression and </w:t>
      </w:r>
      <w:proofErr w:type="spellStart"/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function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>.</w:t>
      </w:r>
      <w:r w:rsidRPr="00DA36C4">
        <w:rPr>
          <w:rFonts w:eastAsia="Times New Roman" w:cstheme="minorHAnsi"/>
          <w:sz w:val="22"/>
          <w:szCs w:val="22"/>
          <w:lang w:eastAsia="fr-FR"/>
        </w:rPr>
        <w:t>(</w:t>
      </w:r>
      <w:proofErr w:type="gramEnd"/>
      <w:r w:rsidRPr="00DA36C4">
        <w:rPr>
          <w:rFonts w:eastAsia="Times New Roman" w:cstheme="minorHAnsi"/>
          <w:sz w:val="22"/>
          <w:szCs w:val="22"/>
          <w:lang w:eastAsia="fr-FR"/>
        </w:rPr>
        <w:t>7)</w:t>
      </w:r>
    </w:p>
    <w:p w14:paraId="5095B0A9" w14:textId="77777777" w:rsidR="002861D9" w:rsidRPr="002861D9" w:rsidRDefault="002861D9" w:rsidP="002861D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 xml:space="preserve">  </w:t>
      </w:r>
      <w:proofErr w:type="spellStart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Autonomic</w:t>
      </w:r>
      <w:proofErr w:type="spellEnd"/>
      <w:proofErr w:type="gramEnd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Nervous</w:t>
      </w:r>
      <w:proofErr w:type="spellEnd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 xml:space="preserve"> System </w:t>
      </w:r>
      <w:proofErr w:type="gramStart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Changes</w:t>
      </w:r>
      <w:r w:rsidRPr="002861D9">
        <w:rPr>
          <w:rFonts w:eastAsia="Times New Roman" w:cstheme="minorHAnsi"/>
          <w:sz w:val="22"/>
          <w:szCs w:val="22"/>
          <w:lang w:eastAsia="fr-FR"/>
        </w:rPr>
        <w:t>:</w:t>
      </w:r>
      <w:proofErr w:type="gramEnd"/>
    </w:p>
    <w:p w14:paraId="19A713A5" w14:textId="77777777" w:rsidR="002861D9" w:rsidRPr="002861D9" w:rsidRDefault="002861D9" w:rsidP="002861D9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After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an MI,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there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is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often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an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imbalance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in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autonomic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tone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,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with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increased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vagal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activity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or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sympathetic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activation.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These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changes can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precipitate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AF by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affecting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the atrial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electrical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activity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>.</w:t>
      </w:r>
      <w:r w:rsidRPr="00DA36C4">
        <w:rPr>
          <w:rFonts w:eastAsia="Times New Roman" w:cstheme="minorHAnsi"/>
          <w:sz w:val="22"/>
          <w:szCs w:val="22"/>
          <w:lang w:eastAsia="fr-FR"/>
        </w:rPr>
        <w:t>(</w:t>
      </w:r>
      <w:proofErr w:type="gramEnd"/>
      <w:r w:rsidRPr="00DA36C4">
        <w:rPr>
          <w:rFonts w:eastAsia="Times New Roman" w:cstheme="minorHAnsi"/>
          <w:sz w:val="22"/>
          <w:szCs w:val="22"/>
          <w:lang w:eastAsia="fr-FR"/>
        </w:rPr>
        <w:t xml:space="preserve"> 8) </w:t>
      </w:r>
    </w:p>
    <w:p w14:paraId="39A96906" w14:textId="77777777" w:rsidR="002861D9" w:rsidRPr="002861D9" w:rsidRDefault="002861D9" w:rsidP="002861D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 xml:space="preserve">  </w:t>
      </w:r>
      <w:proofErr w:type="spellStart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Electrophysiological</w:t>
      </w:r>
      <w:proofErr w:type="spellEnd"/>
      <w:proofErr w:type="gramEnd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 xml:space="preserve"> </w:t>
      </w:r>
      <w:proofErr w:type="gramStart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Changes</w:t>
      </w:r>
      <w:r w:rsidRPr="002861D9">
        <w:rPr>
          <w:rFonts w:eastAsia="Times New Roman" w:cstheme="minorHAnsi"/>
          <w:sz w:val="22"/>
          <w:szCs w:val="22"/>
          <w:lang w:eastAsia="fr-FR"/>
        </w:rPr>
        <w:t>:</w:t>
      </w:r>
      <w:proofErr w:type="gramEnd"/>
    </w:p>
    <w:p w14:paraId="332EDAFB" w14:textId="77777777" w:rsidR="002861D9" w:rsidRPr="002861D9" w:rsidRDefault="002861D9" w:rsidP="002861D9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Ischemia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during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an MI can lead to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alterations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in atrial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repolarization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and conduction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velocity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.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These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electrophysiological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changes can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create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substrate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for AF,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especially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in the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presence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of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pre-existing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risk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factors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>.</w:t>
      </w:r>
      <w:r w:rsidRPr="00DA36C4">
        <w:rPr>
          <w:rFonts w:eastAsia="Times New Roman" w:cstheme="minorHAnsi"/>
          <w:sz w:val="22"/>
          <w:szCs w:val="22"/>
          <w:lang w:eastAsia="fr-FR"/>
        </w:rPr>
        <w:t xml:space="preserve"> (9) </w:t>
      </w:r>
    </w:p>
    <w:p w14:paraId="279393D2" w14:textId="77777777" w:rsidR="002861D9" w:rsidRPr="00DA36C4" w:rsidRDefault="002861D9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639AA173" w14:textId="77777777" w:rsidR="002861D9" w:rsidRPr="00DA36C4" w:rsidRDefault="002861D9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E30A187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recent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Rotterdam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provides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compelling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evidence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linking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late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unrecognized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myocardial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infarction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(MI) to an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increased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developing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atrial fibrillation (AF). This prospective, population-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based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cohort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followed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6,175 participants over 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mean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period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11.7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years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. It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found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men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unrecognized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MI,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identified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through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electrocardiographic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(ECG)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signs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had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more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than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double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developing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compared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to men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without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any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history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MI (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hazard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A36C4">
        <w:rPr>
          <w:rFonts w:asciiTheme="minorHAnsi" w:hAnsiTheme="minorHAnsi" w:cstheme="minorHAnsi"/>
          <w:sz w:val="22"/>
          <w:szCs w:val="22"/>
        </w:rPr>
        <w:t>ratio: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2.21, 95% </w:t>
      </w:r>
      <w:proofErr w:type="gramStart"/>
      <w:r w:rsidRPr="00DA36C4">
        <w:rPr>
          <w:rFonts w:asciiTheme="minorHAnsi" w:hAnsiTheme="minorHAnsi" w:cstheme="minorHAnsi"/>
          <w:sz w:val="22"/>
          <w:szCs w:val="22"/>
        </w:rPr>
        <w:t>CI: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1.51–3.23). This association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remained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significant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even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adjusting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age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cardiovascular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factors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Interestingly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association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observed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women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[</w:t>
      </w:r>
      <w:r w:rsidR="00DA36C4" w:rsidRPr="00DA36C4">
        <w:rPr>
          <w:rFonts w:asciiTheme="minorHAnsi" w:hAnsiTheme="minorHAnsi" w:cstheme="minorHAnsi"/>
          <w:sz w:val="22"/>
          <w:szCs w:val="22"/>
        </w:rPr>
        <w:t>10</w:t>
      </w:r>
      <w:r w:rsidRPr="00DA36C4">
        <w:rPr>
          <w:rFonts w:asciiTheme="minorHAnsi" w:hAnsiTheme="minorHAnsi" w:cstheme="minorHAnsi"/>
          <w:sz w:val="22"/>
          <w:szCs w:val="22"/>
        </w:rPr>
        <w:t xml:space="preserve">]. This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lastRenderedPageBreak/>
        <w:t>research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underscores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importance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early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detection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and management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myocardial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infarctions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those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are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unrecognized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to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mitigate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subsequent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atrial fibrillation.</w:t>
      </w:r>
    </w:p>
    <w:p w14:paraId="6AB18F55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Timely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appropriate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stratification are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critical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identifying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patients at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increased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AF,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especially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during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acute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cardiovascular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events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Preventive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strategies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reduce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complications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such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thromboembolism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failure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increased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mortality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[</w:t>
      </w:r>
      <w:r w:rsidR="00DA36C4" w:rsidRPr="00DA36C4">
        <w:rPr>
          <w:rFonts w:asciiTheme="minorHAnsi" w:hAnsiTheme="minorHAnsi" w:cstheme="minorHAnsi"/>
          <w:sz w:val="22"/>
          <w:szCs w:val="22"/>
        </w:rPr>
        <w:t>11</w:t>
      </w:r>
      <w:r w:rsidRPr="00DA36C4">
        <w:rPr>
          <w:rFonts w:asciiTheme="minorHAnsi" w:hAnsiTheme="minorHAnsi" w:cstheme="minorHAnsi"/>
          <w:sz w:val="22"/>
          <w:szCs w:val="22"/>
        </w:rPr>
        <w:t>].</w:t>
      </w:r>
    </w:p>
    <w:p w14:paraId="38D4A12C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One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promising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tool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AF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assessment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C₂HEST score, a simple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validated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stratification model.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acronym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stands </w:t>
      </w:r>
      <w:proofErr w:type="gramStart"/>
      <w:r w:rsidRPr="00DA36C4">
        <w:rPr>
          <w:rFonts w:asciiTheme="minorHAnsi" w:hAnsiTheme="minorHAnsi" w:cstheme="minorHAnsi"/>
          <w:sz w:val="22"/>
          <w:szCs w:val="22"/>
        </w:rPr>
        <w:t>for:</w:t>
      </w:r>
      <w:proofErr w:type="gramEnd"/>
    </w:p>
    <w:p w14:paraId="5037E109" w14:textId="77777777" w:rsidR="00577F70" w:rsidRPr="00DA36C4" w:rsidRDefault="00577F70" w:rsidP="00577F70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>C</w:t>
      </w:r>
      <w:proofErr w:type="gramStart"/>
      <w:r w:rsidRPr="00DA36C4">
        <w:rPr>
          <w:rFonts w:cstheme="minorHAnsi"/>
          <w:sz w:val="22"/>
          <w:szCs w:val="22"/>
        </w:rPr>
        <w:t>₂:</w:t>
      </w:r>
      <w:proofErr w:type="gram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Coronary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artery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disease</w:t>
      </w:r>
      <w:proofErr w:type="spellEnd"/>
      <w:r w:rsidRPr="00DA36C4">
        <w:rPr>
          <w:rFonts w:cstheme="minorHAnsi"/>
          <w:sz w:val="22"/>
          <w:szCs w:val="22"/>
        </w:rPr>
        <w:t xml:space="preserve"> (CAD) and </w:t>
      </w:r>
      <w:proofErr w:type="spellStart"/>
      <w:r w:rsidRPr="00DA36C4">
        <w:rPr>
          <w:rFonts w:cstheme="minorHAnsi"/>
          <w:sz w:val="22"/>
          <w:szCs w:val="22"/>
        </w:rPr>
        <w:t>Chronic</w:t>
      </w:r>
      <w:proofErr w:type="spellEnd"/>
      <w:r w:rsidRPr="00DA36C4">
        <w:rPr>
          <w:rFonts w:cstheme="minorHAnsi"/>
          <w:sz w:val="22"/>
          <w:szCs w:val="22"/>
        </w:rPr>
        <w:t xml:space="preserve"> Obstructive </w:t>
      </w:r>
      <w:proofErr w:type="spellStart"/>
      <w:r w:rsidRPr="00DA36C4">
        <w:rPr>
          <w:rFonts w:cstheme="minorHAnsi"/>
          <w:sz w:val="22"/>
          <w:szCs w:val="22"/>
        </w:rPr>
        <w:t>Pulmonary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Disease</w:t>
      </w:r>
      <w:proofErr w:type="spellEnd"/>
      <w:r w:rsidRPr="00DA36C4">
        <w:rPr>
          <w:rFonts w:cstheme="minorHAnsi"/>
          <w:sz w:val="22"/>
          <w:szCs w:val="22"/>
        </w:rPr>
        <w:t xml:space="preserve"> (COPD) – 1 point </w:t>
      </w:r>
      <w:proofErr w:type="spellStart"/>
      <w:r w:rsidRPr="00DA36C4">
        <w:rPr>
          <w:rFonts w:cstheme="minorHAnsi"/>
          <w:sz w:val="22"/>
          <w:szCs w:val="22"/>
        </w:rPr>
        <w:t>each</w:t>
      </w:r>
      <w:proofErr w:type="spellEnd"/>
    </w:p>
    <w:p w14:paraId="0AC0FE20" w14:textId="77777777" w:rsidR="00577F70" w:rsidRPr="00DA36C4" w:rsidRDefault="00577F70" w:rsidP="00577F70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proofErr w:type="gramStart"/>
      <w:r w:rsidRPr="00DA36C4">
        <w:rPr>
          <w:rFonts w:cstheme="minorHAnsi"/>
          <w:sz w:val="22"/>
          <w:szCs w:val="22"/>
        </w:rPr>
        <w:t>H:</w:t>
      </w:r>
      <w:proofErr w:type="gramEnd"/>
      <w:r w:rsidRPr="00DA36C4">
        <w:rPr>
          <w:rFonts w:cstheme="minorHAnsi"/>
          <w:sz w:val="22"/>
          <w:szCs w:val="22"/>
        </w:rPr>
        <w:t xml:space="preserve"> Hypertension – 1 point</w:t>
      </w:r>
    </w:p>
    <w:p w14:paraId="28E1BBA9" w14:textId="77777777" w:rsidR="00577F70" w:rsidRPr="00DA36C4" w:rsidRDefault="00577F70" w:rsidP="00577F70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proofErr w:type="gramStart"/>
      <w:r w:rsidRPr="00DA36C4">
        <w:rPr>
          <w:rFonts w:cstheme="minorHAnsi"/>
          <w:sz w:val="22"/>
          <w:szCs w:val="22"/>
        </w:rPr>
        <w:t>E:</w:t>
      </w:r>
      <w:proofErr w:type="gram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Elderly</w:t>
      </w:r>
      <w:proofErr w:type="spellEnd"/>
      <w:r w:rsidRPr="00DA36C4">
        <w:rPr>
          <w:rFonts w:cstheme="minorHAnsi"/>
          <w:sz w:val="22"/>
          <w:szCs w:val="22"/>
        </w:rPr>
        <w:t xml:space="preserve"> (</w:t>
      </w:r>
      <w:proofErr w:type="spellStart"/>
      <w:r w:rsidRPr="00DA36C4">
        <w:rPr>
          <w:rFonts w:cstheme="minorHAnsi"/>
          <w:sz w:val="22"/>
          <w:szCs w:val="22"/>
        </w:rPr>
        <w:t>age</w:t>
      </w:r>
      <w:proofErr w:type="spellEnd"/>
      <w:r w:rsidRPr="00DA36C4">
        <w:rPr>
          <w:rFonts w:cstheme="minorHAnsi"/>
          <w:sz w:val="22"/>
          <w:szCs w:val="22"/>
        </w:rPr>
        <w:t xml:space="preserve"> ≥ 75 </w:t>
      </w:r>
      <w:proofErr w:type="spellStart"/>
      <w:r w:rsidRPr="00DA36C4">
        <w:rPr>
          <w:rFonts w:cstheme="minorHAnsi"/>
          <w:sz w:val="22"/>
          <w:szCs w:val="22"/>
        </w:rPr>
        <w:t>years</w:t>
      </w:r>
      <w:proofErr w:type="spellEnd"/>
      <w:r w:rsidRPr="00DA36C4">
        <w:rPr>
          <w:rFonts w:cstheme="minorHAnsi"/>
          <w:sz w:val="22"/>
          <w:szCs w:val="22"/>
        </w:rPr>
        <w:t>) – 2 points</w:t>
      </w:r>
    </w:p>
    <w:p w14:paraId="76E91869" w14:textId="77777777" w:rsidR="00577F70" w:rsidRPr="00DA36C4" w:rsidRDefault="00577F70" w:rsidP="00577F70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proofErr w:type="gramStart"/>
      <w:r w:rsidRPr="00DA36C4">
        <w:rPr>
          <w:rFonts w:cstheme="minorHAnsi"/>
          <w:sz w:val="22"/>
          <w:szCs w:val="22"/>
        </w:rPr>
        <w:t>S:</w:t>
      </w:r>
      <w:proofErr w:type="gram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Systolic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heart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failure</w:t>
      </w:r>
      <w:proofErr w:type="spellEnd"/>
      <w:r w:rsidRPr="00DA36C4">
        <w:rPr>
          <w:rFonts w:cstheme="minorHAnsi"/>
          <w:sz w:val="22"/>
          <w:szCs w:val="22"/>
        </w:rPr>
        <w:t xml:space="preserve"> – 2 points</w:t>
      </w:r>
    </w:p>
    <w:p w14:paraId="675A6210" w14:textId="77777777" w:rsidR="00577F70" w:rsidRPr="00DA36C4" w:rsidRDefault="00577F70" w:rsidP="00577F70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proofErr w:type="gramStart"/>
      <w:r w:rsidRPr="00DA36C4">
        <w:rPr>
          <w:rFonts w:cstheme="minorHAnsi"/>
          <w:sz w:val="22"/>
          <w:szCs w:val="22"/>
        </w:rPr>
        <w:t>T:</w:t>
      </w:r>
      <w:proofErr w:type="gram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Thyroid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disease</w:t>
      </w:r>
      <w:proofErr w:type="spellEnd"/>
      <w:r w:rsidRPr="00DA36C4">
        <w:rPr>
          <w:rFonts w:cstheme="minorHAnsi"/>
          <w:sz w:val="22"/>
          <w:szCs w:val="22"/>
        </w:rPr>
        <w:t xml:space="preserve"> (</w:t>
      </w:r>
      <w:proofErr w:type="spellStart"/>
      <w:r w:rsidRPr="00DA36C4">
        <w:rPr>
          <w:rFonts w:cstheme="minorHAnsi"/>
          <w:sz w:val="22"/>
          <w:szCs w:val="22"/>
        </w:rPr>
        <w:t>hyperthyroidism</w:t>
      </w:r>
      <w:proofErr w:type="spellEnd"/>
      <w:r w:rsidRPr="00DA36C4">
        <w:rPr>
          <w:rFonts w:cstheme="minorHAnsi"/>
          <w:sz w:val="22"/>
          <w:szCs w:val="22"/>
        </w:rPr>
        <w:t>) – 1 point [</w:t>
      </w:r>
      <w:r w:rsidR="00DA36C4" w:rsidRPr="00DA36C4">
        <w:rPr>
          <w:rFonts w:cstheme="minorHAnsi"/>
          <w:sz w:val="22"/>
          <w:szCs w:val="22"/>
        </w:rPr>
        <w:t>12</w:t>
      </w:r>
      <w:r w:rsidRPr="00DA36C4">
        <w:rPr>
          <w:rFonts w:cstheme="minorHAnsi"/>
          <w:sz w:val="22"/>
          <w:szCs w:val="22"/>
        </w:rPr>
        <w:t>]</w:t>
      </w:r>
    </w:p>
    <w:p w14:paraId="1170EBA3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The C₂HEST score has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shown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predictive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value in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various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scenarios. For instance,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has been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used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both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in-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hospital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and six-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month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mortality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as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well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as non-fatal adverse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events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such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as acute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kidney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injury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acute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failure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cardiogenic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shock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among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elderly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COVID-19 patients [</w:t>
      </w:r>
      <w:r w:rsidR="002861D9" w:rsidRPr="00DA36C4">
        <w:rPr>
          <w:rFonts w:asciiTheme="minorHAnsi" w:hAnsiTheme="minorHAnsi" w:cstheme="minorHAnsi"/>
          <w:sz w:val="22"/>
          <w:szCs w:val="22"/>
        </w:rPr>
        <w:t>1</w:t>
      </w:r>
      <w:r w:rsidR="00DA36C4" w:rsidRPr="00DA36C4">
        <w:rPr>
          <w:rFonts w:asciiTheme="minorHAnsi" w:hAnsiTheme="minorHAnsi" w:cstheme="minorHAnsi"/>
          <w:sz w:val="22"/>
          <w:szCs w:val="22"/>
        </w:rPr>
        <w:t>3</w:t>
      </w:r>
      <w:r w:rsidRPr="00DA36C4">
        <w:rPr>
          <w:rFonts w:asciiTheme="minorHAnsi" w:hAnsiTheme="minorHAnsi" w:cstheme="minorHAnsi"/>
          <w:sz w:val="22"/>
          <w:szCs w:val="22"/>
        </w:rPr>
        <w:t xml:space="preserve">].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Additionally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has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demonstrated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utility in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NOAF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during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hospitalization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community-acquired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pneumonia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(CAP) [1</w:t>
      </w:r>
      <w:r w:rsidR="00DA36C4" w:rsidRPr="00DA36C4">
        <w:rPr>
          <w:rFonts w:asciiTheme="minorHAnsi" w:hAnsiTheme="minorHAnsi" w:cstheme="minorHAnsi"/>
          <w:sz w:val="22"/>
          <w:szCs w:val="22"/>
        </w:rPr>
        <w:t>4</w:t>
      </w:r>
      <w:r w:rsidRPr="00DA36C4">
        <w:rPr>
          <w:rFonts w:asciiTheme="minorHAnsi" w:hAnsiTheme="minorHAnsi" w:cstheme="minorHAnsi"/>
          <w:sz w:val="22"/>
          <w:szCs w:val="22"/>
        </w:rPr>
        <w:t>].</w:t>
      </w:r>
    </w:p>
    <w:p w14:paraId="340C8E4D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recent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in the International Journal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Cardiology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assessed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predictive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value of the C₂HEST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mC₂HEST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scores for new-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onset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atrial fibrillation (NOAF) in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acute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coronary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syndrome (ACS)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undergoing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percutaneous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coronary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intervention (PCI).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utilized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multicenter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REALE-ACS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registry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included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from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various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centers.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findings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indicated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both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C₂HEST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mC₂HEST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scores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demonstrated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notable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predictive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value for NOAF in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setting.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Specifically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the C₂HEST score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exhibited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 area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under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curve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(AUC) of 0.71,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suggesting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moderate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discriminatory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ability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. In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fact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DA36C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C₂HEST score &gt;3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significantly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associated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development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NOAF in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presenting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A36C4">
        <w:rPr>
          <w:rFonts w:asciiTheme="minorHAnsi" w:hAnsiTheme="minorHAnsi" w:cstheme="minorHAnsi"/>
          <w:sz w:val="22"/>
          <w:szCs w:val="22"/>
        </w:rPr>
        <w:t>ACS;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these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support the utility of the C₂HEST score in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identifying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ACS patients at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higher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developing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NOAF [1</w:t>
      </w:r>
      <w:r w:rsidR="00DA36C4" w:rsidRPr="00DA36C4">
        <w:rPr>
          <w:rFonts w:asciiTheme="minorHAnsi" w:hAnsiTheme="minorHAnsi" w:cstheme="minorHAnsi"/>
          <w:sz w:val="22"/>
          <w:szCs w:val="22"/>
        </w:rPr>
        <w:t>5</w:t>
      </w:r>
      <w:r w:rsidRPr="00DA36C4">
        <w:rPr>
          <w:rFonts w:asciiTheme="minorHAnsi" w:hAnsiTheme="minorHAnsi" w:cstheme="minorHAnsi"/>
          <w:sz w:val="22"/>
          <w:szCs w:val="22"/>
        </w:rPr>
        <w:t>].</w:t>
      </w:r>
    </w:p>
    <w:p w14:paraId="60BC01C1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Additionally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another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in BMC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Cardiovascular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Disorders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explored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predictive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value of the C₂HEST score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combined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platelet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>-to-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albumin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ratio (PAR) for NOAF in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elderly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acute ST-segment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elevation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myocardial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infarction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(STEMI).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found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both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C₂HEST score and PAR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were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independent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factors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NOAF in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patient population.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Furthermore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combining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these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two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markers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improved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prediction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accuracy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higher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area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under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curve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(AUC)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compared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individual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indicators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[1</w:t>
      </w:r>
      <w:r w:rsidR="00DA36C4" w:rsidRPr="00DA36C4">
        <w:rPr>
          <w:rFonts w:asciiTheme="minorHAnsi" w:hAnsiTheme="minorHAnsi" w:cstheme="minorHAnsi"/>
          <w:sz w:val="22"/>
          <w:szCs w:val="22"/>
        </w:rPr>
        <w:t>6</w:t>
      </w:r>
      <w:r w:rsidRPr="00DA36C4">
        <w:rPr>
          <w:rFonts w:asciiTheme="minorHAnsi" w:hAnsiTheme="minorHAnsi" w:cstheme="minorHAnsi"/>
          <w:sz w:val="22"/>
          <w:szCs w:val="22"/>
        </w:rPr>
        <w:t>].</w:t>
      </w:r>
    </w:p>
    <w:p w14:paraId="279C2487" w14:textId="77777777" w:rsidR="00577F70" w:rsidRPr="00DA36C4" w:rsidRDefault="00577F70" w:rsidP="00577F7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>Conclusion</w:t>
      </w:r>
    </w:p>
    <w:p w14:paraId="2C321999" w14:textId="77777777" w:rsidR="00577F70" w:rsidRPr="00DA36C4" w:rsidRDefault="00577F70" w:rsidP="00577F7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AF in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context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ACS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associated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significant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comorbidities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and adverse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outcomes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. The C₂HEST score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effectively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stratifies patients by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serve as 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useful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tool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early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identification of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individuals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 high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risk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AF-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related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complications,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enabling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targeted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management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strategies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>.</w:t>
      </w:r>
    </w:p>
    <w:p w14:paraId="190CD229" w14:textId="77777777" w:rsidR="00577F70" w:rsidRPr="00DA36C4" w:rsidRDefault="00577F70" w:rsidP="00577F70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A36C4">
        <w:rPr>
          <w:rFonts w:asciiTheme="minorHAnsi" w:hAnsiTheme="minorHAnsi" w:cstheme="minorHAnsi"/>
          <w:sz w:val="22"/>
          <w:szCs w:val="22"/>
        </w:rPr>
        <w:t xml:space="preserve">Limitations : </w:t>
      </w:r>
    </w:p>
    <w:p w14:paraId="1BE71EA0" w14:textId="77777777" w:rsidR="00936E0B" w:rsidRPr="00DA36C4" w:rsidRDefault="00936E0B" w:rsidP="00DA36C4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>Sample</w:t>
      </w:r>
      <w:proofErr w:type="spellEnd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gramStart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>Size</w:t>
      </w:r>
      <w:r w:rsidRPr="00DA36C4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The total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participants (61)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relatively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small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limit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generalizability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findings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>.</w:t>
      </w:r>
    </w:p>
    <w:p w14:paraId="0C8EAEA7" w14:textId="77777777" w:rsidR="00936E0B" w:rsidRPr="00DA36C4" w:rsidRDefault="00936E0B" w:rsidP="00DA36C4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lastRenderedPageBreak/>
        <w:t xml:space="preserve">Single-Center </w:t>
      </w:r>
      <w:proofErr w:type="spellStart"/>
      <w:proofErr w:type="gramStart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Conducting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 a single center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introduce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bias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reduce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applicability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to a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broader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population.</w:t>
      </w:r>
    </w:p>
    <w:p w14:paraId="58CEFDEE" w14:textId="77777777" w:rsidR="00936E0B" w:rsidRPr="00DA36C4" w:rsidRDefault="00936E0B" w:rsidP="00DA36C4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 xml:space="preserve">Exclusion </w:t>
      </w:r>
      <w:proofErr w:type="spellStart"/>
      <w:proofErr w:type="gramStart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>Criteria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Patients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pre-existing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atrial fibrillation or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significant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comorbidities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were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excluded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reflect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typical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population.</w:t>
      </w:r>
    </w:p>
    <w:p w14:paraId="17F07552" w14:textId="77777777" w:rsidR="00936E0B" w:rsidRPr="00DA36C4" w:rsidRDefault="00936E0B" w:rsidP="00DA36C4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 xml:space="preserve">Time to </w:t>
      </w:r>
      <w:proofErr w:type="gramStart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>Consultation</w:t>
      </w:r>
      <w:r w:rsidRPr="00DA36C4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average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time to consultation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53.9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hours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indicating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potential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delays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in management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could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affect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outcomes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>.</w:t>
      </w:r>
    </w:p>
    <w:p w14:paraId="7ED186CE" w14:textId="77777777" w:rsidR="00936E0B" w:rsidRPr="00DA36C4" w:rsidRDefault="00936E0B" w:rsidP="00DA36C4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>Lack</w:t>
      </w:r>
      <w:proofErr w:type="spellEnd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 xml:space="preserve"> of Long-</w:t>
      </w:r>
      <w:proofErr w:type="spellStart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>Term</w:t>
      </w:r>
      <w:proofErr w:type="spellEnd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 xml:space="preserve"> Follow-</w:t>
      </w:r>
      <w:proofErr w:type="gramStart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>Up</w:t>
      </w:r>
      <w:r w:rsidRPr="00DA36C4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study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primarily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focuses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on in-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hospital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outcomes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not capture long-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term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complications or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recurrence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of atrial fibrillation.</w:t>
      </w:r>
    </w:p>
    <w:p w14:paraId="472D79A2" w14:textId="77777777" w:rsidR="00936E0B" w:rsidRPr="00DA36C4" w:rsidRDefault="00936E0B" w:rsidP="00DA36C4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 xml:space="preserve">Limited Risk </w:t>
      </w:r>
      <w:proofErr w:type="spellStart"/>
      <w:proofErr w:type="gramStart"/>
      <w:r w:rsidRPr="00DA36C4">
        <w:rPr>
          <w:rStyle w:val="Strong"/>
          <w:rFonts w:asciiTheme="minorHAnsi" w:eastAsiaTheme="majorEastAsia" w:hAnsiTheme="minorHAnsi" w:cstheme="minorHAnsi"/>
          <w:sz w:val="22"/>
          <w:szCs w:val="22"/>
        </w:rPr>
        <w:t>Factors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While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C₂HEST score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includes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several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important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factors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relevant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clinical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variables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may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not have been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considered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possibly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impacting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predictive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36C4">
        <w:rPr>
          <w:rFonts w:asciiTheme="minorHAnsi" w:hAnsiTheme="minorHAnsi" w:cstheme="minorHAnsi"/>
          <w:sz w:val="22"/>
          <w:szCs w:val="22"/>
        </w:rPr>
        <w:t>accuracy</w:t>
      </w:r>
      <w:proofErr w:type="spellEnd"/>
      <w:r w:rsidRPr="00DA36C4">
        <w:rPr>
          <w:rFonts w:asciiTheme="minorHAnsi" w:hAnsiTheme="minorHAnsi" w:cstheme="minorHAnsi"/>
          <w:sz w:val="22"/>
          <w:szCs w:val="22"/>
        </w:rPr>
        <w:t>.</w:t>
      </w:r>
    </w:p>
    <w:p w14:paraId="36A00BCD" w14:textId="77777777" w:rsidR="00936E0B" w:rsidRPr="00DA36C4" w:rsidRDefault="00936E0B" w:rsidP="00936E0B">
      <w:pPr>
        <w:rPr>
          <w:rFonts w:cstheme="minorHAnsi"/>
          <w:sz w:val="22"/>
          <w:szCs w:val="22"/>
        </w:rPr>
      </w:pPr>
    </w:p>
    <w:p w14:paraId="34F18A0B" w14:textId="77777777" w:rsidR="00577F70" w:rsidRPr="00DA36C4" w:rsidRDefault="00577F70" w:rsidP="00577F70">
      <w:pPr>
        <w:pStyle w:val="Heading1"/>
        <w:rPr>
          <w:rFonts w:asciiTheme="minorHAnsi" w:hAnsiTheme="minorHAnsi" w:cstheme="minorHAnsi"/>
          <w:sz w:val="22"/>
          <w:szCs w:val="22"/>
        </w:rPr>
      </w:pPr>
      <w:proofErr w:type="spellStart"/>
      <w:r w:rsidRPr="00DA36C4">
        <w:rPr>
          <w:rFonts w:asciiTheme="minorHAnsi" w:hAnsiTheme="minorHAnsi" w:cstheme="minorHAnsi"/>
          <w:sz w:val="22"/>
          <w:szCs w:val="22"/>
        </w:rPr>
        <w:t>References</w:t>
      </w:r>
      <w:proofErr w:type="spellEnd"/>
    </w:p>
    <w:p w14:paraId="3149A848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 xml:space="preserve">2024 ESC Guidelines for the Management of Atrial Fibrillation. ESC </w:t>
      </w:r>
      <w:proofErr w:type="spellStart"/>
      <w:r w:rsidRPr="00DA36C4">
        <w:rPr>
          <w:rFonts w:cstheme="minorHAnsi"/>
          <w:sz w:val="22"/>
          <w:szCs w:val="22"/>
        </w:rPr>
        <w:t>Clinical</w:t>
      </w:r>
      <w:proofErr w:type="spellEnd"/>
      <w:r w:rsidRPr="00DA36C4">
        <w:rPr>
          <w:rFonts w:cstheme="minorHAnsi"/>
          <w:sz w:val="22"/>
          <w:szCs w:val="22"/>
        </w:rPr>
        <w:t xml:space="preserve"> Practice Guidelines, 30 </w:t>
      </w:r>
      <w:proofErr w:type="spellStart"/>
      <w:r w:rsidRPr="00DA36C4">
        <w:rPr>
          <w:rFonts w:cstheme="minorHAnsi"/>
          <w:sz w:val="22"/>
          <w:szCs w:val="22"/>
        </w:rPr>
        <w:t>Aug</w:t>
      </w:r>
      <w:proofErr w:type="spellEnd"/>
      <w:r w:rsidRPr="00DA36C4">
        <w:rPr>
          <w:rFonts w:cstheme="minorHAnsi"/>
          <w:sz w:val="22"/>
          <w:szCs w:val="22"/>
        </w:rPr>
        <w:t xml:space="preserve"> 2024.</w:t>
      </w:r>
    </w:p>
    <w:p w14:paraId="71C9954A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 xml:space="preserve">Gonzalez-Pacheco H, Marquez MF, Arias-Mendoza A, et al. </w:t>
      </w:r>
      <w:proofErr w:type="spellStart"/>
      <w:r w:rsidRPr="00DA36C4">
        <w:rPr>
          <w:rFonts w:cstheme="minorHAnsi"/>
          <w:sz w:val="22"/>
          <w:szCs w:val="22"/>
        </w:rPr>
        <w:t>Clinical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features</w:t>
      </w:r>
      <w:proofErr w:type="spellEnd"/>
      <w:r w:rsidRPr="00DA36C4">
        <w:rPr>
          <w:rFonts w:cstheme="minorHAnsi"/>
          <w:sz w:val="22"/>
          <w:szCs w:val="22"/>
        </w:rPr>
        <w:t xml:space="preserve"> and in-</w:t>
      </w:r>
      <w:proofErr w:type="spellStart"/>
      <w:r w:rsidRPr="00DA36C4">
        <w:rPr>
          <w:rFonts w:cstheme="minorHAnsi"/>
          <w:sz w:val="22"/>
          <w:szCs w:val="22"/>
        </w:rPr>
        <w:t>hospital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mortality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associated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with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different</w:t>
      </w:r>
      <w:proofErr w:type="spellEnd"/>
      <w:r w:rsidRPr="00DA36C4">
        <w:rPr>
          <w:rFonts w:cstheme="minorHAnsi"/>
          <w:sz w:val="22"/>
          <w:szCs w:val="22"/>
        </w:rPr>
        <w:t xml:space="preserve"> types of atrial fibrillation in patients </w:t>
      </w:r>
      <w:proofErr w:type="spellStart"/>
      <w:r w:rsidRPr="00DA36C4">
        <w:rPr>
          <w:rFonts w:cstheme="minorHAnsi"/>
          <w:sz w:val="22"/>
          <w:szCs w:val="22"/>
        </w:rPr>
        <w:t>with</w:t>
      </w:r>
      <w:proofErr w:type="spellEnd"/>
      <w:r w:rsidRPr="00DA36C4">
        <w:rPr>
          <w:rFonts w:cstheme="minorHAnsi"/>
          <w:sz w:val="22"/>
          <w:szCs w:val="22"/>
        </w:rPr>
        <w:t xml:space="preserve"> acute </w:t>
      </w:r>
      <w:proofErr w:type="spellStart"/>
      <w:r w:rsidRPr="00DA36C4">
        <w:rPr>
          <w:rFonts w:cstheme="minorHAnsi"/>
          <w:sz w:val="22"/>
          <w:szCs w:val="22"/>
        </w:rPr>
        <w:t>coronary</w:t>
      </w:r>
      <w:proofErr w:type="spellEnd"/>
      <w:r w:rsidRPr="00DA36C4">
        <w:rPr>
          <w:rFonts w:cstheme="minorHAnsi"/>
          <w:sz w:val="22"/>
          <w:szCs w:val="22"/>
        </w:rPr>
        <w:t xml:space="preserve"> syndrome </w:t>
      </w:r>
      <w:proofErr w:type="spellStart"/>
      <w:r w:rsidRPr="00DA36C4">
        <w:rPr>
          <w:rFonts w:cstheme="minorHAnsi"/>
          <w:sz w:val="22"/>
          <w:szCs w:val="22"/>
        </w:rPr>
        <w:t>with</w:t>
      </w:r>
      <w:proofErr w:type="spellEnd"/>
      <w:r w:rsidRPr="00DA36C4">
        <w:rPr>
          <w:rFonts w:cstheme="minorHAnsi"/>
          <w:sz w:val="22"/>
          <w:szCs w:val="22"/>
        </w:rPr>
        <w:t xml:space="preserve"> and </w:t>
      </w:r>
      <w:proofErr w:type="spellStart"/>
      <w:r w:rsidRPr="00DA36C4">
        <w:rPr>
          <w:rFonts w:cstheme="minorHAnsi"/>
          <w:sz w:val="22"/>
          <w:szCs w:val="22"/>
        </w:rPr>
        <w:t>without</w:t>
      </w:r>
      <w:proofErr w:type="spellEnd"/>
      <w:r w:rsidRPr="00DA36C4">
        <w:rPr>
          <w:rFonts w:cstheme="minorHAnsi"/>
          <w:sz w:val="22"/>
          <w:szCs w:val="22"/>
        </w:rPr>
        <w:t xml:space="preserve"> ST </w:t>
      </w:r>
      <w:proofErr w:type="spellStart"/>
      <w:r w:rsidRPr="00DA36C4">
        <w:rPr>
          <w:rFonts w:cstheme="minorHAnsi"/>
          <w:sz w:val="22"/>
          <w:szCs w:val="22"/>
        </w:rPr>
        <w:t>elevation</w:t>
      </w:r>
      <w:proofErr w:type="spellEnd"/>
      <w:r w:rsidRPr="00DA36C4">
        <w:rPr>
          <w:rFonts w:cstheme="minorHAnsi"/>
          <w:sz w:val="22"/>
          <w:szCs w:val="22"/>
        </w:rPr>
        <w:t xml:space="preserve">. J </w:t>
      </w:r>
      <w:proofErr w:type="spellStart"/>
      <w:r w:rsidRPr="00DA36C4">
        <w:rPr>
          <w:rFonts w:cstheme="minorHAnsi"/>
          <w:sz w:val="22"/>
          <w:szCs w:val="22"/>
        </w:rPr>
        <w:t>Cardiol</w:t>
      </w:r>
      <w:proofErr w:type="spellEnd"/>
      <w:r w:rsidRPr="00DA36C4">
        <w:rPr>
          <w:rFonts w:cstheme="minorHAnsi"/>
          <w:sz w:val="22"/>
          <w:szCs w:val="22"/>
        </w:rPr>
        <w:t xml:space="preserve">. </w:t>
      </w:r>
      <w:proofErr w:type="gramStart"/>
      <w:r w:rsidRPr="00DA36C4">
        <w:rPr>
          <w:rFonts w:cstheme="minorHAnsi"/>
          <w:sz w:val="22"/>
          <w:szCs w:val="22"/>
        </w:rPr>
        <w:t>2015;66:</w:t>
      </w:r>
      <w:proofErr w:type="gramEnd"/>
      <w:r w:rsidRPr="00DA36C4">
        <w:rPr>
          <w:rFonts w:cstheme="minorHAnsi"/>
          <w:sz w:val="22"/>
          <w:szCs w:val="22"/>
        </w:rPr>
        <w:t xml:space="preserve">148–54. </w:t>
      </w:r>
      <w:hyperlink r:id="rId7" w:tgtFrame="_blank" w:history="1">
        <w:r w:rsidRPr="00DA36C4">
          <w:rPr>
            <w:rStyle w:val="Hyperlink"/>
            <w:rFonts w:cstheme="minorHAnsi"/>
            <w:sz w:val="22"/>
            <w:szCs w:val="22"/>
          </w:rPr>
          <w:t>https://doi.org/10.1016/j.jjcc.2014.11.001</w:t>
        </w:r>
      </w:hyperlink>
    </w:p>
    <w:p w14:paraId="5D712E7E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 xml:space="preserve">Ait Y, </w:t>
      </w:r>
      <w:proofErr w:type="spellStart"/>
      <w:r w:rsidRPr="00DA36C4">
        <w:rPr>
          <w:rFonts w:cstheme="minorHAnsi"/>
          <w:sz w:val="22"/>
          <w:szCs w:val="22"/>
        </w:rPr>
        <w:t>Abdelkarima</w:t>
      </w:r>
      <w:proofErr w:type="spellEnd"/>
      <w:r w:rsidRPr="00DA36C4">
        <w:rPr>
          <w:rFonts w:cstheme="minorHAnsi"/>
          <w:sz w:val="22"/>
          <w:szCs w:val="22"/>
        </w:rPr>
        <w:t xml:space="preserve"> A, et al. New-</w:t>
      </w:r>
      <w:proofErr w:type="spellStart"/>
      <w:r w:rsidRPr="00DA36C4">
        <w:rPr>
          <w:rFonts w:cstheme="minorHAnsi"/>
          <w:sz w:val="22"/>
          <w:szCs w:val="22"/>
        </w:rPr>
        <w:t>onset</w:t>
      </w:r>
      <w:proofErr w:type="spellEnd"/>
      <w:r w:rsidRPr="00DA36C4">
        <w:rPr>
          <w:rFonts w:cstheme="minorHAnsi"/>
          <w:sz w:val="22"/>
          <w:szCs w:val="22"/>
        </w:rPr>
        <w:t xml:space="preserve"> atrial fibrillation </w:t>
      </w:r>
      <w:proofErr w:type="spellStart"/>
      <w:r w:rsidRPr="00DA36C4">
        <w:rPr>
          <w:rFonts w:cstheme="minorHAnsi"/>
          <w:sz w:val="22"/>
          <w:szCs w:val="22"/>
        </w:rPr>
        <w:t>after</w:t>
      </w:r>
      <w:proofErr w:type="spellEnd"/>
      <w:r w:rsidRPr="00DA36C4">
        <w:rPr>
          <w:rFonts w:cstheme="minorHAnsi"/>
          <w:sz w:val="22"/>
          <w:szCs w:val="22"/>
        </w:rPr>
        <w:t xml:space="preserve"> an acute </w:t>
      </w:r>
      <w:proofErr w:type="spellStart"/>
      <w:r w:rsidRPr="00DA36C4">
        <w:rPr>
          <w:rFonts w:cstheme="minorHAnsi"/>
          <w:sz w:val="22"/>
          <w:szCs w:val="22"/>
        </w:rPr>
        <w:t>coronary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gramStart"/>
      <w:r w:rsidRPr="00DA36C4">
        <w:rPr>
          <w:rFonts w:cstheme="minorHAnsi"/>
          <w:sz w:val="22"/>
          <w:szCs w:val="22"/>
        </w:rPr>
        <w:t>syndrome:</w:t>
      </w:r>
      <w:proofErr w:type="gram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experience</w:t>
      </w:r>
      <w:proofErr w:type="spellEnd"/>
      <w:r w:rsidRPr="00DA36C4">
        <w:rPr>
          <w:rFonts w:cstheme="minorHAnsi"/>
          <w:sz w:val="22"/>
          <w:szCs w:val="22"/>
        </w:rPr>
        <w:t xml:space="preserve"> of the </w:t>
      </w:r>
      <w:proofErr w:type="spellStart"/>
      <w:r w:rsidRPr="00DA36C4">
        <w:rPr>
          <w:rFonts w:cstheme="minorHAnsi"/>
          <w:sz w:val="22"/>
          <w:szCs w:val="22"/>
        </w:rPr>
        <w:t>cardiology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department</w:t>
      </w:r>
      <w:proofErr w:type="spellEnd"/>
      <w:r w:rsidRPr="00DA36C4">
        <w:rPr>
          <w:rFonts w:cstheme="minorHAnsi"/>
          <w:sz w:val="22"/>
          <w:szCs w:val="22"/>
        </w:rPr>
        <w:t xml:space="preserve"> at Mohammed VI </w:t>
      </w:r>
      <w:proofErr w:type="spellStart"/>
      <w:r w:rsidRPr="00DA36C4">
        <w:rPr>
          <w:rFonts w:cstheme="minorHAnsi"/>
          <w:sz w:val="22"/>
          <w:szCs w:val="22"/>
        </w:rPr>
        <w:t>University</w:t>
      </w:r>
      <w:proofErr w:type="spellEnd"/>
      <w:r w:rsidRPr="00DA36C4">
        <w:rPr>
          <w:rFonts w:cstheme="minorHAnsi"/>
          <w:sz w:val="22"/>
          <w:szCs w:val="22"/>
        </w:rPr>
        <w:t xml:space="preserve"> Hospital in Marrakech. </w:t>
      </w:r>
      <w:proofErr w:type="spellStart"/>
      <w:r w:rsidRPr="00DA36C4">
        <w:rPr>
          <w:rFonts w:cstheme="minorHAnsi"/>
          <w:sz w:val="22"/>
          <w:szCs w:val="22"/>
        </w:rPr>
        <w:t>Cardiology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Research</w:t>
      </w:r>
      <w:proofErr w:type="spellEnd"/>
      <w:r w:rsidRPr="00DA36C4">
        <w:rPr>
          <w:rFonts w:cstheme="minorHAnsi"/>
          <w:sz w:val="22"/>
          <w:szCs w:val="22"/>
        </w:rPr>
        <w:t xml:space="preserve"> and Reports. </w:t>
      </w:r>
      <w:proofErr w:type="gramStart"/>
      <w:r w:rsidRPr="00DA36C4">
        <w:rPr>
          <w:rFonts w:cstheme="minorHAnsi"/>
          <w:sz w:val="22"/>
          <w:szCs w:val="22"/>
        </w:rPr>
        <w:t>2025;</w:t>
      </w:r>
      <w:proofErr w:type="gramEnd"/>
      <w:r w:rsidRPr="00DA36C4">
        <w:rPr>
          <w:rFonts w:cstheme="minorHAnsi"/>
          <w:sz w:val="22"/>
          <w:szCs w:val="22"/>
        </w:rPr>
        <w:t xml:space="preserve">7(1). </w:t>
      </w:r>
      <w:proofErr w:type="gramStart"/>
      <w:r w:rsidRPr="00DA36C4">
        <w:rPr>
          <w:rFonts w:cstheme="minorHAnsi"/>
          <w:sz w:val="22"/>
          <w:szCs w:val="22"/>
        </w:rPr>
        <w:t>DOI:</w:t>
      </w:r>
      <w:proofErr w:type="gramEnd"/>
      <w:r w:rsidRPr="00DA36C4">
        <w:rPr>
          <w:rFonts w:cstheme="minorHAnsi"/>
          <w:sz w:val="22"/>
          <w:szCs w:val="22"/>
        </w:rPr>
        <w:t>10.31579/2692-9759/150</w:t>
      </w:r>
    </w:p>
    <w:p w14:paraId="5A11864B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 xml:space="preserve">Kors JA, et al. </w:t>
      </w:r>
      <w:proofErr w:type="spellStart"/>
      <w:r w:rsidRPr="00DA36C4">
        <w:rPr>
          <w:rFonts w:cstheme="minorHAnsi"/>
          <w:sz w:val="22"/>
          <w:szCs w:val="22"/>
        </w:rPr>
        <w:t>Unrecognized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myocardial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infarction</w:t>
      </w:r>
      <w:proofErr w:type="spellEnd"/>
      <w:r w:rsidRPr="00DA36C4">
        <w:rPr>
          <w:rFonts w:cstheme="minorHAnsi"/>
          <w:sz w:val="22"/>
          <w:szCs w:val="22"/>
        </w:rPr>
        <w:t xml:space="preserve"> and </w:t>
      </w:r>
      <w:proofErr w:type="spellStart"/>
      <w:r w:rsidRPr="00DA36C4">
        <w:rPr>
          <w:rFonts w:cstheme="minorHAnsi"/>
          <w:sz w:val="22"/>
          <w:szCs w:val="22"/>
        </w:rPr>
        <w:t>risk</w:t>
      </w:r>
      <w:proofErr w:type="spellEnd"/>
      <w:r w:rsidRPr="00DA36C4">
        <w:rPr>
          <w:rFonts w:cstheme="minorHAnsi"/>
          <w:sz w:val="22"/>
          <w:szCs w:val="22"/>
        </w:rPr>
        <w:t xml:space="preserve"> of atrial </w:t>
      </w:r>
      <w:proofErr w:type="gramStart"/>
      <w:r w:rsidRPr="00DA36C4">
        <w:rPr>
          <w:rFonts w:cstheme="minorHAnsi"/>
          <w:sz w:val="22"/>
          <w:szCs w:val="22"/>
        </w:rPr>
        <w:t>fibrillation:</w:t>
      </w:r>
      <w:proofErr w:type="gramEnd"/>
      <w:r w:rsidRPr="00DA36C4">
        <w:rPr>
          <w:rFonts w:cstheme="minorHAnsi"/>
          <w:sz w:val="22"/>
          <w:szCs w:val="22"/>
        </w:rPr>
        <w:t xml:space="preserve"> the Rotterdam </w:t>
      </w:r>
      <w:proofErr w:type="spellStart"/>
      <w:r w:rsidRPr="00DA36C4">
        <w:rPr>
          <w:rFonts w:cstheme="minorHAnsi"/>
          <w:sz w:val="22"/>
          <w:szCs w:val="22"/>
        </w:rPr>
        <w:t>Study</w:t>
      </w:r>
      <w:proofErr w:type="spellEnd"/>
      <w:r w:rsidRPr="00DA36C4">
        <w:rPr>
          <w:rFonts w:cstheme="minorHAnsi"/>
          <w:sz w:val="22"/>
          <w:szCs w:val="22"/>
        </w:rPr>
        <w:t xml:space="preserve">. Int J </w:t>
      </w:r>
      <w:proofErr w:type="spellStart"/>
      <w:r w:rsidRPr="00DA36C4">
        <w:rPr>
          <w:rFonts w:cstheme="minorHAnsi"/>
          <w:sz w:val="22"/>
          <w:szCs w:val="22"/>
        </w:rPr>
        <w:t>Cardiol</w:t>
      </w:r>
      <w:proofErr w:type="spellEnd"/>
      <w:r w:rsidRPr="00DA36C4">
        <w:rPr>
          <w:rFonts w:cstheme="minorHAnsi"/>
          <w:sz w:val="22"/>
          <w:szCs w:val="22"/>
        </w:rPr>
        <w:t xml:space="preserve">. </w:t>
      </w:r>
      <w:proofErr w:type="gramStart"/>
      <w:r w:rsidRPr="00DA36C4">
        <w:rPr>
          <w:rFonts w:cstheme="minorHAnsi"/>
          <w:sz w:val="22"/>
          <w:szCs w:val="22"/>
        </w:rPr>
        <w:t>2013;168:</w:t>
      </w:r>
      <w:proofErr w:type="gramEnd"/>
      <w:r w:rsidRPr="00DA36C4">
        <w:rPr>
          <w:rFonts w:cstheme="minorHAnsi"/>
          <w:sz w:val="22"/>
          <w:szCs w:val="22"/>
        </w:rPr>
        <w:t xml:space="preserve">1453–7. </w:t>
      </w:r>
      <w:hyperlink r:id="rId8" w:tgtFrame="_blank" w:history="1">
        <w:r w:rsidRPr="00DA36C4">
          <w:rPr>
            <w:rStyle w:val="Hyperlink"/>
            <w:rFonts w:cstheme="minorHAnsi"/>
            <w:sz w:val="22"/>
            <w:szCs w:val="22"/>
          </w:rPr>
          <w:t>https://doi.org/10.1016/j.ijcard.2012.12.057</w:t>
        </w:r>
      </w:hyperlink>
    </w:p>
    <w:p w14:paraId="6D59C203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 xml:space="preserve">Soliman EZ, et al. Atrial fibrillation and the </w:t>
      </w:r>
      <w:proofErr w:type="spellStart"/>
      <w:r w:rsidRPr="00DA36C4">
        <w:rPr>
          <w:rFonts w:cstheme="minorHAnsi"/>
          <w:sz w:val="22"/>
          <w:szCs w:val="22"/>
        </w:rPr>
        <w:t>risk</w:t>
      </w:r>
      <w:proofErr w:type="spellEnd"/>
      <w:r w:rsidRPr="00DA36C4">
        <w:rPr>
          <w:rFonts w:cstheme="minorHAnsi"/>
          <w:sz w:val="22"/>
          <w:szCs w:val="22"/>
        </w:rPr>
        <w:t xml:space="preserve"> of </w:t>
      </w:r>
      <w:proofErr w:type="spellStart"/>
      <w:r w:rsidRPr="00DA36C4">
        <w:rPr>
          <w:rFonts w:cstheme="minorHAnsi"/>
          <w:sz w:val="22"/>
          <w:szCs w:val="22"/>
        </w:rPr>
        <w:t>myocardial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infarction</w:t>
      </w:r>
      <w:proofErr w:type="spellEnd"/>
      <w:r w:rsidRPr="00DA36C4">
        <w:rPr>
          <w:rFonts w:cstheme="minorHAnsi"/>
          <w:sz w:val="22"/>
          <w:szCs w:val="22"/>
        </w:rPr>
        <w:t xml:space="preserve">. JAMA </w:t>
      </w:r>
      <w:proofErr w:type="spellStart"/>
      <w:r w:rsidRPr="00DA36C4">
        <w:rPr>
          <w:rFonts w:cstheme="minorHAnsi"/>
          <w:sz w:val="22"/>
          <w:szCs w:val="22"/>
        </w:rPr>
        <w:t>Intern</w:t>
      </w:r>
      <w:proofErr w:type="spellEnd"/>
      <w:r w:rsidRPr="00DA36C4">
        <w:rPr>
          <w:rFonts w:cstheme="minorHAnsi"/>
          <w:sz w:val="22"/>
          <w:szCs w:val="22"/>
        </w:rPr>
        <w:t xml:space="preserve"> Med. </w:t>
      </w:r>
      <w:proofErr w:type="gramStart"/>
      <w:r w:rsidRPr="00DA36C4">
        <w:rPr>
          <w:rFonts w:cstheme="minorHAnsi"/>
          <w:sz w:val="22"/>
          <w:szCs w:val="22"/>
        </w:rPr>
        <w:t>2014;174:</w:t>
      </w:r>
      <w:proofErr w:type="gramEnd"/>
      <w:r w:rsidRPr="00DA36C4">
        <w:rPr>
          <w:rFonts w:cstheme="minorHAnsi"/>
          <w:sz w:val="22"/>
          <w:szCs w:val="22"/>
        </w:rPr>
        <w:t xml:space="preserve">107–14. </w:t>
      </w:r>
      <w:hyperlink r:id="rId9" w:tgtFrame="_blank" w:history="1">
        <w:r w:rsidRPr="00DA36C4">
          <w:rPr>
            <w:rStyle w:val="Hyperlink"/>
            <w:rFonts w:cstheme="minorHAnsi"/>
            <w:sz w:val="22"/>
            <w:szCs w:val="22"/>
          </w:rPr>
          <w:t>https://doi.org/10.1001/jamainternmed.2013.11912</w:t>
        </w:r>
      </w:hyperlink>
    </w:p>
    <w:p w14:paraId="2774D3F8" w14:textId="77777777" w:rsidR="002861D9" w:rsidRPr="00DA36C4" w:rsidRDefault="002861D9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Kotecha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D, et al. "Atrial Fibrillation and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Heart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Failure: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Review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." </w:t>
      </w:r>
      <w:r w:rsidRPr="002861D9">
        <w:rPr>
          <w:rFonts w:eastAsia="Times New Roman" w:cstheme="minorHAnsi"/>
          <w:i/>
          <w:iCs/>
          <w:sz w:val="22"/>
          <w:szCs w:val="22"/>
          <w:lang w:eastAsia="fr-FR"/>
        </w:rPr>
        <w:t xml:space="preserve">JACC </w:t>
      </w:r>
      <w:proofErr w:type="spellStart"/>
      <w:r w:rsidRPr="002861D9">
        <w:rPr>
          <w:rFonts w:eastAsia="Times New Roman" w:cstheme="minorHAnsi"/>
          <w:i/>
          <w:iCs/>
          <w:sz w:val="22"/>
          <w:szCs w:val="22"/>
          <w:lang w:eastAsia="fr-FR"/>
        </w:rPr>
        <w:t>Heart</w:t>
      </w:r>
      <w:proofErr w:type="spellEnd"/>
      <w:r w:rsidRPr="002861D9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Fail</w:t>
      </w:r>
      <w:r w:rsidRPr="002861D9">
        <w:rPr>
          <w:rFonts w:eastAsia="Times New Roman" w:cstheme="minorHAnsi"/>
          <w:sz w:val="22"/>
          <w:szCs w:val="22"/>
          <w:lang w:eastAsia="fr-FR"/>
        </w:rPr>
        <w:t xml:space="preserve">.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2018;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>6(1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):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66-78.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doi:10.1016/j.jchf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>.2017.08.017.</w:t>
      </w:r>
    </w:p>
    <w:p w14:paraId="47F493B4" w14:textId="77777777" w:rsidR="002861D9" w:rsidRPr="002861D9" w:rsidRDefault="002861D9" w:rsidP="002861D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gramStart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Reference</w:t>
      </w:r>
      <w:r w:rsidRPr="002861D9">
        <w:rPr>
          <w:rFonts w:eastAsia="Times New Roman" w:cstheme="minorHAnsi"/>
          <w:sz w:val="22"/>
          <w:szCs w:val="22"/>
          <w:lang w:eastAsia="fr-FR"/>
        </w:rPr>
        <w:t>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Soliman EZ, et al. "Inflammation and Atrial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Fibrillation: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Review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." </w:t>
      </w:r>
      <w:r w:rsidRPr="002861D9">
        <w:rPr>
          <w:rFonts w:eastAsia="Times New Roman" w:cstheme="minorHAnsi"/>
          <w:i/>
          <w:iCs/>
          <w:sz w:val="22"/>
          <w:szCs w:val="22"/>
          <w:lang w:eastAsia="fr-FR"/>
        </w:rPr>
        <w:t xml:space="preserve">J </w:t>
      </w:r>
      <w:proofErr w:type="spellStart"/>
      <w:r w:rsidRPr="002861D9">
        <w:rPr>
          <w:rFonts w:eastAsia="Times New Roman" w:cstheme="minorHAnsi"/>
          <w:i/>
          <w:iCs/>
          <w:sz w:val="22"/>
          <w:szCs w:val="22"/>
          <w:lang w:eastAsia="fr-FR"/>
        </w:rPr>
        <w:t>Inflamm</w:t>
      </w:r>
      <w:proofErr w:type="spellEnd"/>
      <w:r w:rsidRPr="002861D9">
        <w:rPr>
          <w:rFonts w:eastAsia="Times New Roman" w:cstheme="minorHAnsi"/>
          <w:i/>
          <w:iCs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i/>
          <w:iCs/>
          <w:sz w:val="22"/>
          <w:szCs w:val="22"/>
          <w:lang w:eastAsia="fr-FR"/>
        </w:rPr>
        <w:t>Res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.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2021;14: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487-496.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doi: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>10.2147/JIR.S287397.</w:t>
      </w:r>
    </w:p>
    <w:p w14:paraId="0CD34C97" w14:textId="77777777" w:rsidR="002861D9" w:rsidRPr="002861D9" w:rsidRDefault="002861D9" w:rsidP="002861D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gramStart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Reference</w:t>
      </w:r>
      <w:r w:rsidRPr="002861D9">
        <w:rPr>
          <w:rFonts w:eastAsia="Times New Roman" w:cstheme="minorHAnsi"/>
          <w:sz w:val="22"/>
          <w:szCs w:val="22"/>
          <w:lang w:eastAsia="fr-FR"/>
        </w:rPr>
        <w:t>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Mamas MA, et al. "Atrial Fibrillation Following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Myocardial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Infarction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>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A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Review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." </w:t>
      </w:r>
      <w:proofErr w:type="spellStart"/>
      <w:r w:rsidRPr="002861D9">
        <w:rPr>
          <w:rFonts w:eastAsia="Times New Roman" w:cstheme="minorHAnsi"/>
          <w:i/>
          <w:iCs/>
          <w:sz w:val="22"/>
          <w:szCs w:val="22"/>
          <w:lang w:eastAsia="fr-FR"/>
        </w:rPr>
        <w:t>Heart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.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2015;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>101(19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):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1508-1514.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doi: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>10.1136/heartjnl-2014-306357.</w:t>
      </w:r>
    </w:p>
    <w:p w14:paraId="212DFB6C" w14:textId="77777777" w:rsidR="002861D9" w:rsidRPr="00DA36C4" w:rsidRDefault="002861D9" w:rsidP="002861D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fr-FR"/>
        </w:rPr>
      </w:pPr>
      <w:proofErr w:type="gramStart"/>
      <w:r w:rsidRPr="002861D9">
        <w:rPr>
          <w:rFonts w:eastAsia="Times New Roman" w:cstheme="minorHAnsi"/>
          <w:b/>
          <w:bCs/>
          <w:sz w:val="22"/>
          <w:szCs w:val="22"/>
          <w:lang w:eastAsia="fr-FR"/>
        </w:rPr>
        <w:t>Reference</w:t>
      </w:r>
      <w:r w:rsidRPr="002861D9">
        <w:rPr>
          <w:rFonts w:eastAsia="Times New Roman" w:cstheme="minorHAnsi"/>
          <w:sz w:val="22"/>
          <w:szCs w:val="22"/>
          <w:lang w:eastAsia="fr-FR"/>
        </w:rPr>
        <w:t>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Desteghe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L, et al. "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Electrophysiological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Mechanisms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 of Atrial Fibrillation." </w:t>
      </w:r>
      <w:proofErr w:type="spellStart"/>
      <w:r w:rsidRPr="002861D9">
        <w:rPr>
          <w:rFonts w:eastAsia="Times New Roman" w:cstheme="minorHAnsi"/>
          <w:i/>
          <w:iCs/>
          <w:sz w:val="22"/>
          <w:szCs w:val="22"/>
          <w:lang w:eastAsia="fr-FR"/>
        </w:rPr>
        <w:t>Europace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.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2018;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>20(4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):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 xml:space="preserve">557-566. </w:t>
      </w:r>
      <w:proofErr w:type="gramStart"/>
      <w:r w:rsidRPr="002861D9">
        <w:rPr>
          <w:rFonts w:eastAsia="Times New Roman" w:cstheme="minorHAnsi"/>
          <w:sz w:val="22"/>
          <w:szCs w:val="22"/>
          <w:lang w:eastAsia="fr-FR"/>
        </w:rPr>
        <w:t>doi:</w:t>
      </w:r>
      <w:proofErr w:type="gramEnd"/>
      <w:r w:rsidRPr="002861D9">
        <w:rPr>
          <w:rFonts w:eastAsia="Times New Roman" w:cstheme="minorHAnsi"/>
          <w:sz w:val="22"/>
          <w:szCs w:val="22"/>
          <w:lang w:eastAsia="fr-FR"/>
        </w:rPr>
        <w:t>10.1093/</w:t>
      </w:r>
      <w:proofErr w:type="spellStart"/>
      <w:r w:rsidRPr="002861D9">
        <w:rPr>
          <w:rFonts w:eastAsia="Times New Roman" w:cstheme="minorHAnsi"/>
          <w:sz w:val="22"/>
          <w:szCs w:val="22"/>
          <w:lang w:eastAsia="fr-FR"/>
        </w:rPr>
        <w:t>europace</w:t>
      </w:r>
      <w:proofErr w:type="spellEnd"/>
      <w:r w:rsidRPr="002861D9">
        <w:rPr>
          <w:rFonts w:eastAsia="Times New Roman" w:cstheme="minorHAnsi"/>
          <w:sz w:val="22"/>
          <w:szCs w:val="22"/>
          <w:lang w:eastAsia="fr-FR"/>
        </w:rPr>
        <w:t>/eux198.</w:t>
      </w:r>
    </w:p>
    <w:p w14:paraId="7C132B68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proofErr w:type="spellStart"/>
      <w:r w:rsidRPr="00DA36C4">
        <w:rPr>
          <w:rFonts w:cstheme="minorHAnsi"/>
          <w:sz w:val="22"/>
          <w:szCs w:val="22"/>
        </w:rPr>
        <w:t>Krijthe</w:t>
      </w:r>
      <w:proofErr w:type="spellEnd"/>
      <w:r w:rsidRPr="00DA36C4">
        <w:rPr>
          <w:rFonts w:cstheme="minorHAnsi"/>
          <w:sz w:val="22"/>
          <w:szCs w:val="22"/>
        </w:rPr>
        <w:t xml:space="preserve"> BP, et al. </w:t>
      </w:r>
      <w:proofErr w:type="spellStart"/>
      <w:r w:rsidRPr="00DA36C4">
        <w:rPr>
          <w:rFonts w:cstheme="minorHAnsi"/>
          <w:sz w:val="22"/>
          <w:szCs w:val="22"/>
        </w:rPr>
        <w:t>Unrecognized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myocardial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infarction</w:t>
      </w:r>
      <w:proofErr w:type="spellEnd"/>
      <w:r w:rsidRPr="00DA36C4">
        <w:rPr>
          <w:rFonts w:cstheme="minorHAnsi"/>
          <w:sz w:val="22"/>
          <w:szCs w:val="22"/>
        </w:rPr>
        <w:t xml:space="preserve"> and </w:t>
      </w:r>
      <w:proofErr w:type="spellStart"/>
      <w:r w:rsidRPr="00DA36C4">
        <w:rPr>
          <w:rFonts w:cstheme="minorHAnsi"/>
          <w:sz w:val="22"/>
          <w:szCs w:val="22"/>
        </w:rPr>
        <w:t>risk</w:t>
      </w:r>
      <w:proofErr w:type="spellEnd"/>
      <w:r w:rsidRPr="00DA36C4">
        <w:rPr>
          <w:rFonts w:cstheme="minorHAnsi"/>
          <w:sz w:val="22"/>
          <w:szCs w:val="22"/>
        </w:rPr>
        <w:t xml:space="preserve"> of atrial </w:t>
      </w:r>
      <w:proofErr w:type="gramStart"/>
      <w:r w:rsidRPr="00DA36C4">
        <w:rPr>
          <w:rFonts w:cstheme="minorHAnsi"/>
          <w:sz w:val="22"/>
          <w:szCs w:val="22"/>
        </w:rPr>
        <w:t>fibrillation:</w:t>
      </w:r>
      <w:proofErr w:type="gramEnd"/>
      <w:r w:rsidRPr="00DA36C4">
        <w:rPr>
          <w:rFonts w:cstheme="minorHAnsi"/>
          <w:sz w:val="22"/>
          <w:szCs w:val="22"/>
        </w:rPr>
        <w:t xml:space="preserve"> the Rotterdam </w:t>
      </w:r>
      <w:proofErr w:type="spellStart"/>
      <w:r w:rsidRPr="00DA36C4">
        <w:rPr>
          <w:rFonts w:cstheme="minorHAnsi"/>
          <w:sz w:val="22"/>
          <w:szCs w:val="22"/>
        </w:rPr>
        <w:t>Study</w:t>
      </w:r>
      <w:proofErr w:type="spellEnd"/>
      <w:r w:rsidRPr="00DA36C4">
        <w:rPr>
          <w:rFonts w:cstheme="minorHAnsi"/>
          <w:sz w:val="22"/>
          <w:szCs w:val="22"/>
        </w:rPr>
        <w:t xml:space="preserve">. Int J </w:t>
      </w:r>
      <w:proofErr w:type="spellStart"/>
      <w:r w:rsidRPr="00DA36C4">
        <w:rPr>
          <w:rFonts w:cstheme="minorHAnsi"/>
          <w:sz w:val="22"/>
          <w:szCs w:val="22"/>
        </w:rPr>
        <w:t>Cardiol</w:t>
      </w:r>
      <w:proofErr w:type="spellEnd"/>
      <w:r w:rsidRPr="00DA36C4">
        <w:rPr>
          <w:rFonts w:cstheme="minorHAnsi"/>
          <w:sz w:val="22"/>
          <w:szCs w:val="22"/>
        </w:rPr>
        <w:t xml:space="preserve">. </w:t>
      </w:r>
      <w:proofErr w:type="gramStart"/>
      <w:r w:rsidRPr="00DA36C4">
        <w:rPr>
          <w:rFonts w:cstheme="minorHAnsi"/>
          <w:sz w:val="22"/>
          <w:szCs w:val="22"/>
        </w:rPr>
        <w:t>2013;</w:t>
      </w:r>
      <w:proofErr w:type="gramEnd"/>
      <w:r w:rsidRPr="00DA36C4">
        <w:rPr>
          <w:rFonts w:cstheme="minorHAnsi"/>
          <w:sz w:val="22"/>
          <w:szCs w:val="22"/>
        </w:rPr>
        <w:t>168(2</w:t>
      </w:r>
      <w:proofErr w:type="gramStart"/>
      <w:r w:rsidRPr="00DA36C4">
        <w:rPr>
          <w:rFonts w:cstheme="minorHAnsi"/>
          <w:sz w:val="22"/>
          <w:szCs w:val="22"/>
        </w:rPr>
        <w:t>):</w:t>
      </w:r>
      <w:proofErr w:type="gramEnd"/>
      <w:r w:rsidRPr="00DA36C4">
        <w:rPr>
          <w:rFonts w:cstheme="minorHAnsi"/>
          <w:sz w:val="22"/>
          <w:szCs w:val="22"/>
        </w:rPr>
        <w:t xml:space="preserve">1453-7. </w:t>
      </w:r>
      <w:proofErr w:type="spellStart"/>
      <w:proofErr w:type="gramStart"/>
      <w:r w:rsidRPr="00DA36C4">
        <w:rPr>
          <w:rFonts w:cstheme="minorHAnsi"/>
          <w:sz w:val="22"/>
          <w:szCs w:val="22"/>
        </w:rPr>
        <w:t>doi</w:t>
      </w:r>
      <w:proofErr w:type="spellEnd"/>
      <w:r w:rsidRPr="00DA36C4">
        <w:rPr>
          <w:rFonts w:cstheme="minorHAnsi"/>
          <w:sz w:val="22"/>
          <w:szCs w:val="22"/>
        </w:rPr>
        <w:t>:</w:t>
      </w:r>
      <w:proofErr w:type="gramEnd"/>
      <w:r w:rsidRPr="00DA36C4">
        <w:rPr>
          <w:rFonts w:cstheme="minorHAnsi"/>
          <w:sz w:val="22"/>
          <w:szCs w:val="22"/>
        </w:rPr>
        <w:t xml:space="preserve"> 10.1016/j.ijcard.2012.12.057.</w:t>
      </w:r>
    </w:p>
    <w:p w14:paraId="0675386F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 xml:space="preserve">Chao T-F, Chen S-A. Stroke </w:t>
      </w:r>
      <w:proofErr w:type="spellStart"/>
      <w:r w:rsidRPr="00DA36C4">
        <w:rPr>
          <w:rFonts w:cstheme="minorHAnsi"/>
          <w:sz w:val="22"/>
          <w:szCs w:val="22"/>
        </w:rPr>
        <w:t>risk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predictor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scoring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systems</w:t>
      </w:r>
      <w:proofErr w:type="spellEnd"/>
      <w:r w:rsidRPr="00DA36C4">
        <w:rPr>
          <w:rFonts w:cstheme="minorHAnsi"/>
          <w:sz w:val="22"/>
          <w:szCs w:val="22"/>
        </w:rPr>
        <w:t xml:space="preserve"> in atrial fibrillation. J </w:t>
      </w:r>
      <w:proofErr w:type="spellStart"/>
      <w:r w:rsidRPr="00DA36C4">
        <w:rPr>
          <w:rFonts w:cstheme="minorHAnsi"/>
          <w:sz w:val="22"/>
          <w:szCs w:val="22"/>
        </w:rPr>
        <w:t>Atr</w:t>
      </w:r>
      <w:proofErr w:type="spellEnd"/>
      <w:r w:rsidRPr="00DA36C4">
        <w:rPr>
          <w:rFonts w:cstheme="minorHAnsi"/>
          <w:sz w:val="22"/>
          <w:szCs w:val="22"/>
        </w:rPr>
        <w:t xml:space="preserve"> Fibrillation. </w:t>
      </w:r>
      <w:proofErr w:type="gramStart"/>
      <w:r w:rsidRPr="00DA36C4">
        <w:rPr>
          <w:rFonts w:cstheme="minorHAnsi"/>
          <w:sz w:val="22"/>
          <w:szCs w:val="22"/>
        </w:rPr>
        <w:t>2014;</w:t>
      </w:r>
      <w:proofErr w:type="gramEnd"/>
      <w:r w:rsidRPr="00DA36C4">
        <w:rPr>
          <w:rFonts w:cstheme="minorHAnsi"/>
          <w:sz w:val="22"/>
          <w:szCs w:val="22"/>
        </w:rPr>
        <w:t>6(5</w:t>
      </w:r>
      <w:proofErr w:type="gramStart"/>
      <w:r w:rsidRPr="00DA36C4">
        <w:rPr>
          <w:rFonts w:cstheme="minorHAnsi"/>
          <w:sz w:val="22"/>
          <w:szCs w:val="22"/>
        </w:rPr>
        <w:t>):</w:t>
      </w:r>
      <w:proofErr w:type="gramEnd"/>
      <w:r w:rsidRPr="00DA36C4">
        <w:rPr>
          <w:rFonts w:cstheme="minorHAnsi"/>
          <w:sz w:val="22"/>
          <w:szCs w:val="22"/>
        </w:rPr>
        <w:t>998.</w:t>
      </w:r>
    </w:p>
    <w:p w14:paraId="5A02B358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 xml:space="preserve">Li YG, et al. A Simple </w:t>
      </w:r>
      <w:proofErr w:type="spellStart"/>
      <w:r w:rsidRPr="00DA36C4">
        <w:rPr>
          <w:rFonts w:cstheme="minorHAnsi"/>
          <w:sz w:val="22"/>
          <w:szCs w:val="22"/>
        </w:rPr>
        <w:t>Clinical</w:t>
      </w:r>
      <w:proofErr w:type="spellEnd"/>
      <w:r w:rsidRPr="00DA36C4">
        <w:rPr>
          <w:rFonts w:cstheme="minorHAnsi"/>
          <w:sz w:val="22"/>
          <w:szCs w:val="22"/>
        </w:rPr>
        <w:t xml:space="preserve"> Risk Score (C2HEST) for </w:t>
      </w:r>
      <w:proofErr w:type="spellStart"/>
      <w:r w:rsidRPr="00DA36C4">
        <w:rPr>
          <w:rFonts w:cstheme="minorHAnsi"/>
          <w:sz w:val="22"/>
          <w:szCs w:val="22"/>
        </w:rPr>
        <w:t>Predicting</w:t>
      </w:r>
      <w:proofErr w:type="spellEnd"/>
      <w:r w:rsidRPr="00DA36C4">
        <w:rPr>
          <w:rFonts w:cstheme="minorHAnsi"/>
          <w:sz w:val="22"/>
          <w:szCs w:val="22"/>
        </w:rPr>
        <w:t xml:space="preserve"> Incident Atrial Fibrillation in Asian </w:t>
      </w:r>
      <w:proofErr w:type="spellStart"/>
      <w:r w:rsidRPr="00DA36C4">
        <w:rPr>
          <w:rFonts w:cstheme="minorHAnsi"/>
          <w:sz w:val="22"/>
          <w:szCs w:val="22"/>
        </w:rPr>
        <w:t>Subjects</w:t>
      </w:r>
      <w:proofErr w:type="spellEnd"/>
      <w:r w:rsidRPr="00DA36C4">
        <w:rPr>
          <w:rFonts w:cstheme="minorHAnsi"/>
          <w:sz w:val="22"/>
          <w:szCs w:val="22"/>
        </w:rPr>
        <w:t xml:space="preserve">. </w:t>
      </w:r>
      <w:proofErr w:type="spellStart"/>
      <w:r w:rsidRPr="00DA36C4">
        <w:rPr>
          <w:rFonts w:cstheme="minorHAnsi"/>
          <w:sz w:val="22"/>
          <w:szCs w:val="22"/>
        </w:rPr>
        <w:t>Chest</w:t>
      </w:r>
      <w:proofErr w:type="spellEnd"/>
      <w:r w:rsidRPr="00DA36C4">
        <w:rPr>
          <w:rFonts w:cstheme="minorHAnsi"/>
          <w:sz w:val="22"/>
          <w:szCs w:val="22"/>
        </w:rPr>
        <w:t xml:space="preserve">. </w:t>
      </w:r>
      <w:proofErr w:type="gramStart"/>
      <w:r w:rsidRPr="00DA36C4">
        <w:rPr>
          <w:rFonts w:cstheme="minorHAnsi"/>
          <w:sz w:val="22"/>
          <w:szCs w:val="22"/>
        </w:rPr>
        <w:t>2019;</w:t>
      </w:r>
      <w:proofErr w:type="gramEnd"/>
      <w:r w:rsidRPr="00DA36C4">
        <w:rPr>
          <w:rFonts w:cstheme="minorHAnsi"/>
          <w:sz w:val="22"/>
          <w:szCs w:val="22"/>
        </w:rPr>
        <w:t>155(3</w:t>
      </w:r>
      <w:proofErr w:type="gramStart"/>
      <w:r w:rsidRPr="00DA36C4">
        <w:rPr>
          <w:rFonts w:cstheme="minorHAnsi"/>
          <w:sz w:val="22"/>
          <w:szCs w:val="22"/>
        </w:rPr>
        <w:t>):</w:t>
      </w:r>
      <w:proofErr w:type="gramEnd"/>
      <w:r w:rsidRPr="00DA36C4">
        <w:rPr>
          <w:rFonts w:cstheme="minorHAnsi"/>
          <w:sz w:val="22"/>
          <w:szCs w:val="22"/>
        </w:rPr>
        <w:t xml:space="preserve">510-518. </w:t>
      </w:r>
      <w:proofErr w:type="spellStart"/>
      <w:proofErr w:type="gramStart"/>
      <w:r w:rsidRPr="00DA36C4">
        <w:rPr>
          <w:rFonts w:cstheme="minorHAnsi"/>
          <w:sz w:val="22"/>
          <w:szCs w:val="22"/>
        </w:rPr>
        <w:t>doi</w:t>
      </w:r>
      <w:proofErr w:type="spellEnd"/>
      <w:r w:rsidRPr="00DA36C4">
        <w:rPr>
          <w:rFonts w:cstheme="minorHAnsi"/>
          <w:sz w:val="22"/>
          <w:szCs w:val="22"/>
        </w:rPr>
        <w:t>:</w:t>
      </w:r>
      <w:proofErr w:type="gramEnd"/>
      <w:r w:rsidRPr="00DA36C4">
        <w:rPr>
          <w:rFonts w:cstheme="minorHAnsi"/>
          <w:sz w:val="22"/>
          <w:szCs w:val="22"/>
        </w:rPr>
        <w:t xml:space="preserve"> 10.1016/j.chest.2018.09.011.</w:t>
      </w:r>
    </w:p>
    <w:p w14:paraId="34A71993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 xml:space="preserve">Rola P, et al. </w:t>
      </w:r>
      <w:proofErr w:type="spellStart"/>
      <w:r w:rsidRPr="00DA36C4">
        <w:rPr>
          <w:rFonts w:cstheme="minorHAnsi"/>
          <w:sz w:val="22"/>
          <w:szCs w:val="22"/>
        </w:rPr>
        <w:t>Mortality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Predictive</w:t>
      </w:r>
      <w:proofErr w:type="spellEnd"/>
      <w:r w:rsidRPr="00DA36C4">
        <w:rPr>
          <w:rFonts w:cstheme="minorHAnsi"/>
          <w:sz w:val="22"/>
          <w:szCs w:val="22"/>
        </w:rPr>
        <w:t xml:space="preserve"> Value of the C2HEST Score in </w:t>
      </w:r>
      <w:proofErr w:type="spellStart"/>
      <w:r w:rsidRPr="00DA36C4">
        <w:rPr>
          <w:rFonts w:cstheme="minorHAnsi"/>
          <w:sz w:val="22"/>
          <w:szCs w:val="22"/>
        </w:rPr>
        <w:t>Elderly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Subjects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with</w:t>
      </w:r>
      <w:proofErr w:type="spellEnd"/>
      <w:r w:rsidRPr="00DA36C4">
        <w:rPr>
          <w:rFonts w:cstheme="minorHAnsi"/>
          <w:sz w:val="22"/>
          <w:szCs w:val="22"/>
        </w:rPr>
        <w:t xml:space="preserve"> COVID-</w:t>
      </w:r>
      <w:proofErr w:type="gramStart"/>
      <w:r w:rsidRPr="00DA36C4">
        <w:rPr>
          <w:rFonts w:cstheme="minorHAnsi"/>
          <w:sz w:val="22"/>
          <w:szCs w:val="22"/>
        </w:rPr>
        <w:t>19:</w:t>
      </w:r>
      <w:proofErr w:type="gramEnd"/>
      <w:r w:rsidRPr="00DA36C4">
        <w:rPr>
          <w:rFonts w:cstheme="minorHAnsi"/>
          <w:sz w:val="22"/>
          <w:szCs w:val="22"/>
        </w:rPr>
        <w:t xml:space="preserve"> A </w:t>
      </w:r>
      <w:proofErr w:type="spellStart"/>
      <w:r w:rsidRPr="00DA36C4">
        <w:rPr>
          <w:rFonts w:cstheme="minorHAnsi"/>
          <w:sz w:val="22"/>
          <w:szCs w:val="22"/>
        </w:rPr>
        <w:t>Subanalysis</w:t>
      </w:r>
      <w:proofErr w:type="spellEnd"/>
      <w:r w:rsidRPr="00DA36C4">
        <w:rPr>
          <w:rFonts w:cstheme="minorHAnsi"/>
          <w:sz w:val="22"/>
          <w:szCs w:val="22"/>
        </w:rPr>
        <w:t xml:space="preserve"> of the COLOS </w:t>
      </w:r>
      <w:proofErr w:type="spellStart"/>
      <w:r w:rsidRPr="00DA36C4">
        <w:rPr>
          <w:rFonts w:cstheme="minorHAnsi"/>
          <w:sz w:val="22"/>
          <w:szCs w:val="22"/>
        </w:rPr>
        <w:t>Study</w:t>
      </w:r>
      <w:proofErr w:type="spellEnd"/>
      <w:r w:rsidRPr="00DA36C4">
        <w:rPr>
          <w:rFonts w:cstheme="minorHAnsi"/>
          <w:sz w:val="22"/>
          <w:szCs w:val="22"/>
        </w:rPr>
        <w:t xml:space="preserve">. J Clin Med. </w:t>
      </w:r>
      <w:proofErr w:type="gramStart"/>
      <w:r w:rsidRPr="00DA36C4">
        <w:rPr>
          <w:rFonts w:cstheme="minorHAnsi"/>
          <w:sz w:val="22"/>
          <w:szCs w:val="22"/>
        </w:rPr>
        <w:t>2022;</w:t>
      </w:r>
      <w:proofErr w:type="gramEnd"/>
      <w:r w:rsidRPr="00DA36C4">
        <w:rPr>
          <w:rFonts w:cstheme="minorHAnsi"/>
          <w:sz w:val="22"/>
          <w:szCs w:val="22"/>
        </w:rPr>
        <w:t>11(4</w:t>
      </w:r>
      <w:proofErr w:type="gramStart"/>
      <w:r w:rsidRPr="00DA36C4">
        <w:rPr>
          <w:rFonts w:cstheme="minorHAnsi"/>
          <w:sz w:val="22"/>
          <w:szCs w:val="22"/>
        </w:rPr>
        <w:t>):</w:t>
      </w:r>
      <w:proofErr w:type="gramEnd"/>
      <w:r w:rsidRPr="00DA36C4">
        <w:rPr>
          <w:rFonts w:cstheme="minorHAnsi"/>
          <w:sz w:val="22"/>
          <w:szCs w:val="22"/>
        </w:rPr>
        <w:t xml:space="preserve">992. </w:t>
      </w:r>
      <w:proofErr w:type="spellStart"/>
      <w:proofErr w:type="gramStart"/>
      <w:r w:rsidRPr="00DA36C4">
        <w:rPr>
          <w:rFonts w:cstheme="minorHAnsi"/>
          <w:sz w:val="22"/>
          <w:szCs w:val="22"/>
        </w:rPr>
        <w:t>doi</w:t>
      </w:r>
      <w:proofErr w:type="spellEnd"/>
      <w:r w:rsidRPr="00DA36C4">
        <w:rPr>
          <w:rFonts w:cstheme="minorHAnsi"/>
          <w:sz w:val="22"/>
          <w:szCs w:val="22"/>
        </w:rPr>
        <w:t>:</w:t>
      </w:r>
      <w:proofErr w:type="gramEnd"/>
      <w:r w:rsidRPr="00DA36C4">
        <w:rPr>
          <w:rFonts w:cstheme="minorHAnsi"/>
          <w:sz w:val="22"/>
          <w:szCs w:val="22"/>
        </w:rPr>
        <w:t xml:space="preserve"> 10.3390/jcm11040992.</w:t>
      </w:r>
    </w:p>
    <w:p w14:paraId="098CF7BE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proofErr w:type="spellStart"/>
      <w:r w:rsidRPr="00DA36C4">
        <w:rPr>
          <w:rFonts w:cstheme="minorHAnsi"/>
          <w:sz w:val="22"/>
          <w:szCs w:val="22"/>
        </w:rPr>
        <w:t>Pastori</w:t>
      </w:r>
      <w:proofErr w:type="spellEnd"/>
      <w:r w:rsidRPr="00DA36C4">
        <w:rPr>
          <w:rFonts w:cstheme="minorHAnsi"/>
          <w:sz w:val="22"/>
          <w:szCs w:val="22"/>
        </w:rPr>
        <w:t xml:space="preserve"> D, et al. </w:t>
      </w:r>
      <w:proofErr w:type="spellStart"/>
      <w:r w:rsidRPr="00DA36C4">
        <w:rPr>
          <w:rFonts w:cstheme="minorHAnsi"/>
          <w:sz w:val="22"/>
          <w:szCs w:val="22"/>
        </w:rPr>
        <w:t>Prediction</w:t>
      </w:r>
      <w:proofErr w:type="spellEnd"/>
      <w:r w:rsidRPr="00DA36C4">
        <w:rPr>
          <w:rFonts w:cstheme="minorHAnsi"/>
          <w:sz w:val="22"/>
          <w:szCs w:val="22"/>
        </w:rPr>
        <w:t xml:space="preserve"> of new-</w:t>
      </w:r>
      <w:proofErr w:type="spellStart"/>
      <w:r w:rsidRPr="00DA36C4">
        <w:rPr>
          <w:rFonts w:cstheme="minorHAnsi"/>
          <w:sz w:val="22"/>
          <w:szCs w:val="22"/>
        </w:rPr>
        <w:t>onset</w:t>
      </w:r>
      <w:proofErr w:type="spellEnd"/>
      <w:r w:rsidRPr="00DA36C4">
        <w:rPr>
          <w:rFonts w:cstheme="minorHAnsi"/>
          <w:sz w:val="22"/>
          <w:szCs w:val="22"/>
        </w:rPr>
        <w:t xml:space="preserve"> atrial fibrillation </w:t>
      </w:r>
      <w:proofErr w:type="spellStart"/>
      <w:r w:rsidRPr="00DA36C4">
        <w:rPr>
          <w:rFonts w:cstheme="minorHAnsi"/>
          <w:sz w:val="22"/>
          <w:szCs w:val="22"/>
        </w:rPr>
        <w:t>with</w:t>
      </w:r>
      <w:proofErr w:type="spellEnd"/>
      <w:r w:rsidRPr="00DA36C4">
        <w:rPr>
          <w:rFonts w:cstheme="minorHAnsi"/>
          <w:sz w:val="22"/>
          <w:szCs w:val="22"/>
        </w:rPr>
        <w:t xml:space="preserve"> the C2HEST score in patients </w:t>
      </w:r>
      <w:proofErr w:type="spellStart"/>
      <w:r w:rsidRPr="00DA36C4">
        <w:rPr>
          <w:rFonts w:cstheme="minorHAnsi"/>
          <w:sz w:val="22"/>
          <w:szCs w:val="22"/>
        </w:rPr>
        <w:t>admitted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with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community-acquired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pneumonia</w:t>
      </w:r>
      <w:proofErr w:type="spellEnd"/>
      <w:r w:rsidRPr="00DA36C4">
        <w:rPr>
          <w:rFonts w:cstheme="minorHAnsi"/>
          <w:sz w:val="22"/>
          <w:szCs w:val="22"/>
        </w:rPr>
        <w:t xml:space="preserve">. Infection. </w:t>
      </w:r>
      <w:proofErr w:type="gramStart"/>
      <w:r w:rsidRPr="00DA36C4">
        <w:rPr>
          <w:rFonts w:cstheme="minorHAnsi"/>
          <w:sz w:val="22"/>
          <w:szCs w:val="22"/>
        </w:rPr>
        <w:t>2024;52:</w:t>
      </w:r>
      <w:proofErr w:type="gramEnd"/>
      <w:r w:rsidRPr="00DA36C4">
        <w:rPr>
          <w:rFonts w:cstheme="minorHAnsi"/>
          <w:sz w:val="22"/>
          <w:szCs w:val="22"/>
        </w:rPr>
        <w:t xml:space="preserve">1539–1546. </w:t>
      </w:r>
      <w:hyperlink r:id="rId10" w:tgtFrame="_blank" w:history="1">
        <w:r w:rsidRPr="00DA36C4">
          <w:rPr>
            <w:rStyle w:val="Hyperlink"/>
            <w:rFonts w:cstheme="minorHAnsi"/>
            <w:sz w:val="22"/>
            <w:szCs w:val="22"/>
          </w:rPr>
          <w:t>https://doi.org/10.1007/s15010-024-02286-x</w:t>
        </w:r>
      </w:hyperlink>
    </w:p>
    <w:p w14:paraId="0008F79D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proofErr w:type="spellStart"/>
      <w:r w:rsidRPr="00DA36C4">
        <w:rPr>
          <w:rFonts w:cstheme="minorHAnsi"/>
          <w:sz w:val="22"/>
          <w:szCs w:val="22"/>
        </w:rPr>
        <w:lastRenderedPageBreak/>
        <w:t>Biccirè</w:t>
      </w:r>
      <w:proofErr w:type="spellEnd"/>
      <w:r w:rsidRPr="00DA36C4">
        <w:rPr>
          <w:rFonts w:cstheme="minorHAnsi"/>
          <w:sz w:val="22"/>
          <w:szCs w:val="22"/>
        </w:rPr>
        <w:t xml:space="preserve"> FG, et al. </w:t>
      </w:r>
      <w:proofErr w:type="spellStart"/>
      <w:r w:rsidRPr="00DA36C4">
        <w:rPr>
          <w:rFonts w:cstheme="minorHAnsi"/>
          <w:sz w:val="22"/>
          <w:szCs w:val="22"/>
        </w:rPr>
        <w:t>Prediction</w:t>
      </w:r>
      <w:proofErr w:type="spellEnd"/>
      <w:r w:rsidRPr="00DA36C4">
        <w:rPr>
          <w:rFonts w:cstheme="minorHAnsi"/>
          <w:sz w:val="22"/>
          <w:szCs w:val="22"/>
        </w:rPr>
        <w:t xml:space="preserve"> of new </w:t>
      </w:r>
      <w:proofErr w:type="spellStart"/>
      <w:r w:rsidRPr="00DA36C4">
        <w:rPr>
          <w:rFonts w:cstheme="minorHAnsi"/>
          <w:sz w:val="22"/>
          <w:szCs w:val="22"/>
        </w:rPr>
        <w:t>onset</w:t>
      </w:r>
      <w:proofErr w:type="spellEnd"/>
      <w:r w:rsidRPr="00DA36C4">
        <w:rPr>
          <w:rFonts w:cstheme="minorHAnsi"/>
          <w:sz w:val="22"/>
          <w:szCs w:val="22"/>
        </w:rPr>
        <w:t xml:space="preserve"> atrial fibrillation in patients </w:t>
      </w:r>
      <w:proofErr w:type="spellStart"/>
      <w:r w:rsidRPr="00DA36C4">
        <w:rPr>
          <w:rFonts w:cstheme="minorHAnsi"/>
          <w:sz w:val="22"/>
          <w:szCs w:val="22"/>
        </w:rPr>
        <w:t>with</w:t>
      </w:r>
      <w:proofErr w:type="spellEnd"/>
      <w:r w:rsidRPr="00DA36C4">
        <w:rPr>
          <w:rFonts w:cstheme="minorHAnsi"/>
          <w:sz w:val="22"/>
          <w:szCs w:val="22"/>
        </w:rPr>
        <w:t xml:space="preserve"> acute </w:t>
      </w:r>
      <w:proofErr w:type="spellStart"/>
      <w:r w:rsidRPr="00DA36C4">
        <w:rPr>
          <w:rFonts w:cstheme="minorHAnsi"/>
          <w:sz w:val="22"/>
          <w:szCs w:val="22"/>
        </w:rPr>
        <w:t>coronary</w:t>
      </w:r>
      <w:proofErr w:type="spellEnd"/>
      <w:r w:rsidRPr="00DA36C4">
        <w:rPr>
          <w:rFonts w:cstheme="minorHAnsi"/>
          <w:sz w:val="22"/>
          <w:szCs w:val="22"/>
        </w:rPr>
        <w:t xml:space="preserve"> syndrome </w:t>
      </w:r>
      <w:proofErr w:type="spellStart"/>
      <w:r w:rsidRPr="00DA36C4">
        <w:rPr>
          <w:rFonts w:cstheme="minorHAnsi"/>
          <w:sz w:val="22"/>
          <w:szCs w:val="22"/>
        </w:rPr>
        <w:t>undergoing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percutaneous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coronary</w:t>
      </w:r>
      <w:proofErr w:type="spellEnd"/>
      <w:r w:rsidRPr="00DA36C4">
        <w:rPr>
          <w:rFonts w:cstheme="minorHAnsi"/>
          <w:sz w:val="22"/>
          <w:szCs w:val="22"/>
        </w:rPr>
        <w:t xml:space="preserve"> intervention </w:t>
      </w:r>
      <w:proofErr w:type="spellStart"/>
      <w:r w:rsidRPr="00DA36C4">
        <w:rPr>
          <w:rFonts w:cstheme="minorHAnsi"/>
          <w:sz w:val="22"/>
          <w:szCs w:val="22"/>
        </w:rPr>
        <w:t>using</w:t>
      </w:r>
      <w:proofErr w:type="spellEnd"/>
      <w:r w:rsidRPr="00DA36C4">
        <w:rPr>
          <w:rFonts w:cstheme="minorHAnsi"/>
          <w:sz w:val="22"/>
          <w:szCs w:val="22"/>
        </w:rPr>
        <w:t xml:space="preserve"> the C2HEST and mC2HEST scores. Int J </w:t>
      </w:r>
      <w:proofErr w:type="spellStart"/>
      <w:r w:rsidRPr="00DA36C4">
        <w:rPr>
          <w:rFonts w:cstheme="minorHAnsi"/>
          <w:sz w:val="22"/>
          <w:szCs w:val="22"/>
        </w:rPr>
        <w:t>Cardiol</w:t>
      </w:r>
      <w:proofErr w:type="spellEnd"/>
      <w:r w:rsidRPr="00DA36C4">
        <w:rPr>
          <w:rFonts w:cstheme="minorHAnsi"/>
          <w:sz w:val="22"/>
          <w:szCs w:val="22"/>
        </w:rPr>
        <w:t xml:space="preserve">. </w:t>
      </w:r>
      <w:proofErr w:type="gramStart"/>
      <w:r w:rsidRPr="00DA36C4">
        <w:rPr>
          <w:rFonts w:cstheme="minorHAnsi"/>
          <w:sz w:val="22"/>
          <w:szCs w:val="22"/>
        </w:rPr>
        <w:t>2023;386:</w:t>
      </w:r>
      <w:proofErr w:type="gramEnd"/>
      <w:r w:rsidRPr="00DA36C4">
        <w:rPr>
          <w:rFonts w:cstheme="minorHAnsi"/>
          <w:sz w:val="22"/>
          <w:szCs w:val="22"/>
        </w:rPr>
        <w:t xml:space="preserve">45-49. </w:t>
      </w:r>
      <w:proofErr w:type="spellStart"/>
      <w:proofErr w:type="gramStart"/>
      <w:r w:rsidRPr="00DA36C4">
        <w:rPr>
          <w:rFonts w:cstheme="minorHAnsi"/>
          <w:sz w:val="22"/>
          <w:szCs w:val="22"/>
        </w:rPr>
        <w:t>doi</w:t>
      </w:r>
      <w:proofErr w:type="spellEnd"/>
      <w:r w:rsidRPr="00DA36C4">
        <w:rPr>
          <w:rFonts w:cstheme="minorHAnsi"/>
          <w:sz w:val="22"/>
          <w:szCs w:val="22"/>
        </w:rPr>
        <w:t>:</w:t>
      </w:r>
      <w:proofErr w:type="gramEnd"/>
      <w:r w:rsidRPr="00DA36C4">
        <w:rPr>
          <w:rFonts w:cstheme="minorHAnsi"/>
          <w:sz w:val="22"/>
          <w:szCs w:val="22"/>
        </w:rPr>
        <w:t xml:space="preserve"> 10.1016/j.ijcard.2023.05.023.</w:t>
      </w:r>
    </w:p>
    <w:p w14:paraId="730FEF5D" w14:textId="77777777" w:rsidR="00577F70" w:rsidRPr="00DA36C4" w:rsidRDefault="00577F70" w:rsidP="00577F70">
      <w:pPr>
        <w:numPr>
          <w:ilvl w:val="0"/>
          <w:numId w:val="6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 w:rsidRPr="00DA36C4">
        <w:rPr>
          <w:rFonts w:cstheme="minorHAnsi"/>
          <w:sz w:val="22"/>
          <w:szCs w:val="22"/>
        </w:rPr>
        <w:t xml:space="preserve">Wang F, et al. </w:t>
      </w:r>
      <w:proofErr w:type="spellStart"/>
      <w:r w:rsidRPr="00DA36C4">
        <w:rPr>
          <w:rFonts w:cstheme="minorHAnsi"/>
          <w:sz w:val="22"/>
          <w:szCs w:val="22"/>
        </w:rPr>
        <w:t>Predictive</w:t>
      </w:r>
      <w:proofErr w:type="spellEnd"/>
      <w:r w:rsidRPr="00DA36C4">
        <w:rPr>
          <w:rFonts w:cstheme="minorHAnsi"/>
          <w:sz w:val="22"/>
          <w:szCs w:val="22"/>
        </w:rPr>
        <w:t xml:space="preserve"> value of </w:t>
      </w:r>
      <w:proofErr w:type="spellStart"/>
      <w:r w:rsidRPr="00DA36C4">
        <w:rPr>
          <w:rFonts w:cstheme="minorHAnsi"/>
          <w:sz w:val="22"/>
          <w:szCs w:val="22"/>
        </w:rPr>
        <w:t>platelet</w:t>
      </w:r>
      <w:proofErr w:type="spellEnd"/>
      <w:r w:rsidRPr="00DA36C4">
        <w:rPr>
          <w:rFonts w:cstheme="minorHAnsi"/>
          <w:sz w:val="22"/>
          <w:szCs w:val="22"/>
        </w:rPr>
        <w:t>-to-</w:t>
      </w:r>
      <w:proofErr w:type="spellStart"/>
      <w:r w:rsidRPr="00DA36C4">
        <w:rPr>
          <w:rFonts w:cstheme="minorHAnsi"/>
          <w:sz w:val="22"/>
          <w:szCs w:val="22"/>
        </w:rPr>
        <w:t>albumin</w:t>
      </w:r>
      <w:proofErr w:type="spellEnd"/>
      <w:r w:rsidRPr="00DA36C4">
        <w:rPr>
          <w:rFonts w:cstheme="minorHAnsi"/>
          <w:sz w:val="22"/>
          <w:szCs w:val="22"/>
        </w:rPr>
        <w:t xml:space="preserve"> ratio </w:t>
      </w:r>
      <w:proofErr w:type="spellStart"/>
      <w:r w:rsidRPr="00DA36C4">
        <w:rPr>
          <w:rFonts w:cstheme="minorHAnsi"/>
          <w:sz w:val="22"/>
          <w:szCs w:val="22"/>
        </w:rPr>
        <w:t>combined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with</w:t>
      </w:r>
      <w:proofErr w:type="spellEnd"/>
      <w:r w:rsidRPr="00DA36C4">
        <w:rPr>
          <w:rFonts w:cstheme="minorHAnsi"/>
          <w:sz w:val="22"/>
          <w:szCs w:val="22"/>
        </w:rPr>
        <w:t xml:space="preserve"> the C2HEST score for New-</w:t>
      </w:r>
      <w:proofErr w:type="spellStart"/>
      <w:r w:rsidRPr="00DA36C4">
        <w:rPr>
          <w:rFonts w:cstheme="minorHAnsi"/>
          <w:sz w:val="22"/>
          <w:szCs w:val="22"/>
        </w:rPr>
        <w:t>Onset</w:t>
      </w:r>
      <w:proofErr w:type="spellEnd"/>
      <w:r w:rsidRPr="00DA36C4">
        <w:rPr>
          <w:rFonts w:cstheme="minorHAnsi"/>
          <w:sz w:val="22"/>
          <w:szCs w:val="22"/>
        </w:rPr>
        <w:t xml:space="preserve"> atrial fibrillation in </w:t>
      </w:r>
      <w:proofErr w:type="spellStart"/>
      <w:r w:rsidRPr="00DA36C4">
        <w:rPr>
          <w:rFonts w:cstheme="minorHAnsi"/>
          <w:sz w:val="22"/>
          <w:szCs w:val="22"/>
        </w:rPr>
        <w:t>elderly</w:t>
      </w:r>
      <w:proofErr w:type="spellEnd"/>
      <w:r w:rsidRPr="00DA36C4">
        <w:rPr>
          <w:rFonts w:cstheme="minorHAnsi"/>
          <w:sz w:val="22"/>
          <w:szCs w:val="22"/>
        </w:rPr>
        <w:t xml:space="preserve"> patients </w:t>
      </w:r>
      <w:proofErr w:type="spellStart"/>
      <w:r w:rsidRPr="00DA36C4">
        <w:rPr>
          <w:rFonts w:cstheme="minorHAnsi"/>
          <w:sz w:val="22"/>
          <w:szCs w:val="22"/>
        </w:rPr>
        <w:t>with</w:t>
      </w:r>
      <w:proofErr w:type="spellEnd"/>
      <w:r w:rsidRPr="00DA36C4">
        <w:rPr>
          <w:rFonts w:cstheme="minorHAnsi"/>
          <w:sz w:val="22"/>
          <w:szCs w:val="22"/>
        </w:rPr>
        <w:t xml:space="preserve"> acute ST-segment </w:t>
      </w:r>
      <w:proofErr w:type="spellStart"/>
      <w:r w:rsidRPr="00DA36C4">
        <w:rPr>
          <w:rFonts w:cstheme="minorHAnsi"/>
          <w:sz w:val="22"/>
          <w:szCs w:val="22"/>
        </w:rPr>
        <w:t>elevation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myocardial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infarction</w:t>
      </w:r>
      <w:proofErr w:type="spellEnd"/>
      <w:r w:rsidRPr="00DA36C4">
        <w:rPr>
          <w:rFonts w:cstheme="minorHAnsi"/>
          <w:sz w:val="22"/>
          <w:szCs w:val="22"/>
        </w:rPr>
        <w:t xml:space="preserve">. BMC </w:t>
      </w:r>
      <w:proofErr w:type="spellStart"/>
      <w:r w:rsidRPr="00DA36C4">
        <w:rPr>
          <w:rFonts w:cstheme="minorHAnsi"/>
          <w:sz w:val="22"/>
          <w:szCs w:val="22"/>
        </w:rPr>
        <w:t>Cardiovasc</w:t>
      </w:r>
      <w:proofErr w:type="spellEnd"/>
      <w:r w:rsidRPr="00DA36C4">
        <w:rPr>
          <w:rFonts w:cstheme="minorHAnsi"/>
          <w:sz w:val="22"/>
          <w:szCs w:val="22"/>
        </w:rPr>
        <w:t xml:space="preserve"> </w:t>
      </w:r>
      <w:proofErr w:type="spellStart"/>
      <w:r w:rsidRPr="00DA36C4">
        <w:rPr>
          <w:rFonts w:cstheme="minorHAnsi"/>
          <w:sz w:val="22"/>
          <w:szCs w:val="22"/>
        </w:rPr>
        <w:t>Disord</w:t>
      </w:r>
      <w:proofErr w:type="spellEnd"/>
      <w:r w:rsidRPr="00DA36C4">
        <w:rPr>
          <w:rFonts w:cstheme="minorHAnsi"/>
          <w:sz w:val="22"/>
          <w:szCs w:val="22"/>
        </w:rPr>
        <w:t xml:space="preserve">. </w:t>
      </w:r>
      <w:proofErr w:type="gramStart"/>
      <w:r w:rsidRPr="00DA36C4">
        <w:rPr>
          <w:rFonts w:cstheme="minorHAnsi"/>
          <w:sz w:val="22"/>
          <w:szCs w:val="22"/>
        </w:rPr>
        <w:t>2024;24:</w:t>
      </w:r>
      <w:proofErr w:type="gramEnd"/>
      <w:r w:rsidRPr="00DA36C4">
        <w:rPr>
          <w:rFonts w:cstheme="minorHAnsi"/>
          <w:sz w:val="22"/>
          <w:szCs w:val="22"/>
        </w:rPr>
        <w:t xml:space="preserve">521. </w:t>
      </w:r>
      <w:hyperlink r:id="rId11" w:tgtFrame="_blank" w:history="1">
        <w:r w:rsidRPr="00DA36C4">
          <w:rPr>
            <w:rStyle w:val="Hyperlink"/>
            <w:rFonts w:cstheme="minorHAnsi"/>
            <w:sz w:val="22"/>
            <w:szCs w:val="22"/>
          </w:rPr>
          <w:t>https://doi.org/10.1186/s12872-024-04200-7</w:t>
        </w:r>
      </w:hyperlink>
      <w:r w:rsidRPr="00DA36C4">
        <w:rPr>
          <w:rFonts w:cstheme="minorHAnsi"/>
          <w:sz w:val="22"/>
          <w:szCs w:val="22"/>
        </w:rPr>
        <w:t>.</w:t>
      </w:r>
    </w:p>
    <w:p w14:paraId="455EBEDE" w14:textId="77777777" w:rsidR="003A50C5" w:rsidRPr="00D354D9" w:rsidRDefault="003A50C5" w:rsidP="003A50C5">
      <w:pPr>
        <w:pStyle w:val="ListParagraph"/>
        <w:rPr>
          <w:rFonts w:cstheme="minorHAnsi"/>
          <w:sz w:val="22"/>
          <w:szCs w:val="22"/>
        </w:rPr>
      </w:pPr>
    </w:p>
    <w:sectPr w:rsidR="003A50C5" w:rsidRPr="00D354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E3BE" w14:textId="77777777" w:rsidR="00EE0E27" w:rsidRDefault="00EE0E27" w:rsidP="003C44AD">
      <w:r>
        <w:separator/>
      </w:r>
    </w:p>
  </w:endnote>
  <w:endnote w:type="continuationSeparator" w:id="0">
    <w:p w14:paraId="03BA62EE" w14:textId="77777777" w:rsidR="00EE0E27" w:rsidRDefault="00EE0E27" w:rsidP="003C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0DDBD" w14:textId="77777777" w:rsidR="003C44AD" w:rsidRDefault="003C4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B3FB" w14:textId="77777777" w:rsidR="003C44AD" w:rsidRDefault="003C4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64F6" w14:textId="77777777" w:rsidR="003C44AD" w:rsidRDefault="003C4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07EE7" w14:textId="77777777" w:rsidR="00EE0E27" w:rsidRDefault="00EE0E27" w:rsidP="003C44AD">
      <w:r>
        <w:separator/>
      </w:r>
    </w:p>
  </w:footnote>
  <w:footnote w:type="continuationSeparator" w:id="0">
    <w:p w14:paraId="69689F40" w14:textId="77777777" w:rsidR="00EE0E27" w:rsidRDefault="00EE0E27" w:rsidP="003C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E6ED" w14:textId="18A8B697" w:rsidR="003C44AD" w:rsidRDefault="003C44AD">
    <w:pPr>
      <w:pStyle w:val="Header"/>
    </w:pPr>
    <w:r>
      <w:rPr>
        <w:noProof/>
      </w:rPr>
      <w:pict w14:anchorId="26229B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442672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F827" w14:textId="2EEEC2B3" w:rsidR="003C44AD" w:rsidRDefault="003C44AD">
    <w:pPr>
      <w:pStyle w:val="Header"/>
    </w:pPr>
    <w:r>
      <w:rPr>
        <w:noProof/>
      </w:rPr>
      <w:pict w14:anchorId="286B14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442673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67BC9" w14:textId="09FBCFA6" w:rsidR="003C44AD" w:rsidRDefault="003C44AD">
    <w:pPr>
      <w:pStyle w:val="Header"/>
    </w:pPr>
    <w:r>
      <w:rPr>
        <w:noProof/>
      </w:rPr>
      <w:pict w14:anchorId="5B1D31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442671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0E6"/>
    <w:multiLevelType w:val="multilevel"/>
    <w:tmpl w:val="8DF0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C7FC1"/>
    <w:multiLevelType w:val="hybridMultilevel"/>
    <w:tmpl w:val="8512A4FC"/>
    <w:lvl w:ilvl="0" w:tplc="6A9E94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171F"/>
    <w:multiLevelType w:val="hybridMultilevel"/>
    <w:tmpl w:val="B2642AE6"/>
    <w:lvl w:ilvl="0" w:tplc="9524141C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color w:val="2121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6FBE"/>
    <w:multiLevelType w:val="multilevel"/>
    <w:tmpl w:val="3FDC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460CE"/>
    <w:multiLevelType w:val="multilevel"/>
    <w:tmpl w:val="0EE2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A3B47"/>
    <w:multiLevelType w:val="hybridMultilevel"/>
    <w:tmpl w:val="89E22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E2B06"/>
    <w:multiLevelType w:val="multilevel"/>
    <w:tmpl w:val="7F90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D4C05"/>
    <w:multiLevelType w:val="multilevel"/>
    <w:tmpl w:val="248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75B34"/>
    <w:multiLevelType w:val="multilevel"/>
    <w:tmpl w:val="43EE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040A2"/>
    <w:multiLevelType w:val="multilevel"/>
    <w:tmpl w:val="7E4A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7514B"/>
    <w:multiLevelType w:val="hybridMultilevel"/>
    <w:tmpl w:val="4B4C1AEE"/>
    <w:lvl w:ilvl="0" w:tplc="CA9C6C7C">
      <w:start w:val="30"/>
      <w:numFmt w:val="decimal"/>
      <w:lvlText w:val="%1"/>
      <w:lvlJc w:val="left"/>
      <w:pPr>
        <w:ind w:left="1080" w:hanging="360"/>
      </w:pPr>
      <w:rPr>
        <w:rFonts w:ascii="interstateregular" w:eastAsia="Times New Roman" w:hAnsi="interstateregular" w:cs="Times New Roman" w:hint="default"/>
        <w:color w:val="333333"/>
        <w:sz w:val="23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2092829">
    <w:abstractNumId w:val="2"/>
  </w:num>
  <w:num w:numId="2" w16cid:durableId="1802116061">
    <w:abstractNumId w:val="1"/>
  </w:num>
  <w:num w:numId="3" w16cid:durableId="57242313">
    <w:abstractNumId w:val="10"/>
  </w:num>
  <w:num w:numId="4" w16cid:durableId="1593931284">
    <w:abstractNumId w:val="6"/>
  </w:num>
  <w:num w:numId="5" w16cid:durableId="2058429469">
    <w:abstractNumId w:val="9"/>
  </w:num>
  <w:num w:numId="6" w16cid:durableId="913978864">
    <w:abstractNumId w:val="3"/>
  </w:num>
  <w:num w:numId="7" w16cid:durableId="1818257696">
    <w:abstractNumId w:val="7"/>
  </w:num>
  <w:num w:numId="8" w16cid:durableId="1337805191">
    <w:abstractNumId w:val="4"/>
  </w:num>
  <w:num w:numId="9" w16cid:durableId="821968461">
    <w:abstractNumId w:val="0"/>
  </w:num>
  <w:num w:numId="10" w16cid:durableId="1728063574">
    <w:abstractNumId w:val="8"/>
  </w:num>
  <w:num w:numId="11" w16cid:durableId="339158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D7"/>
    <w:rsid w:val="00036332"/>
    <w:rsid w:val="00041DD3"/>
    <w:rsid w:val="00092DAE"/>
    <w:rsid w:val="0011148A"/>
    <w:rsid w:val="00153ACC"/>
    <w:rsid w:val="00191650"/>
    <w:rsid w:val="001C1F80"/>
    <w:rsid w:val="001E7C30"/>
    <w:rsid w:val="002861D9"/>
    <w:rsid w:val="00301E3B"/>
    <w:rsid w:val="0037330A"/>
    <w:rsid w:val="003A3762"/>
    <w:rsid w:val="003A4C48"/>
    <w:rsid w:val="003A50C5"/>
    <w:rsid w:val="003C44AD"/>
    <w:rsid w:val="004823BD"/>
    <w:rsid w:val="004D2A99"/>
    <w:rsid w:val="00577F70"/>
    <w:rsid w:val="005A3F9E"/>
    <w:rsid w:val="005C003F"/>
    <w:rsid w:val="007C1885"/>
    <w:rsid w:val="007C58DA"/>
    <w:rsid w:val="008D2FF9"/>
    <w:rsid w:val="00936E0B"/>
    <w:rsid w:val="00940812"/>
    <w:rsid w:val="00966ED5"/>
    <w:rsid w:val="00A85442"/>
    <w:rsid w:val="00AD4856"/>
    <w:rsid w:val="00B10511"/>
    <w:rsid w:val="00B12401"/>
    <w:rsid w:val="00B353EF"/>
    <w:rsid w:val="00B754A0"/>
    <w:rsid w:val="00BB57D0"/>
    <w:rsid w:val="00C17E3E"/>
    <w:rsid w:val="00D00133"/>
    <w:rsid w:val="00D060F8"/>
    <w:rsid w:val="00D11675"/>
    <w:rsid w:val="00D354D9"/>
    <w:rsid w:val="00D67AC0"/>
    <w:rsid w:val="00DA36C4"/>
    <w:rsid w:val="00DE2A35"/>
    <w:rsid w:val="00E67ED7"/>
    <w:rsid w:val="00E736A6"/>
    <w:rsid w:val="00ED4256"/>
    <w:rsid w:val="00EE0E27"/>
    <w:rsid w:val="00EF30F4"/>
    <w:rsid w:val="00F9319C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A9345"/>
  <w15:chartTrackingRefBased/>
  <w15:docId w15:val="{DD468416-DD5E-F14B-838A-A486007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E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E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E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E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E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E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7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E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E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E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E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E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E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E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E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ED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5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7D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12401"/>
    <w:rPr>
      <w:i/>
      <w:iCs/>
    </w:rPr>
  </w:style>
  <w:style w:type="character" w:customStyle="1" w:styleId="content-date">
    <w:name w:val="content-date"/>
    <w:basedOn w:val="DefaultParagraphFont"/>
    <w:rsid w:val="00A85442"/>
  </w:style>
  <w:style w:type="character" w:styleId="Strong">
    <w:name w:val="Strong"/>
    <w:basedOn w:val="DefaultParagraphFont"/>
    <w:uiPriority w:val="22"/>
    <w:qFormat/>
    <w:rsid w:val="00D060F8"/>
    <w:rPr>
      <w:b/>
      <w:bCs/>
    </w:rPr>
  </w:style>
  <w:style w:type="character" w:customStyle="1" w:styleId="relative">
    <w:name w:val="relative"/>
    <w:basedOn w:val="DefaultParagraphFont"/>
    <w:rsid w:val="004823BD"/>
  </w:style>
  <w:style w:type="paragraph" w:styleId="NormalWeb">
    <w:name w:val="Normal (Web)"/>
    <w:basedOn w:val="Normal"/>
    <w:uiPriority w:val="99"/>
    <w:semiHidden/>
    <w:unhideWhenUsed/>
    <w:rsid w:val="00577F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3C4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4AD"/>
  </w:style>
  <w:style w:type="paragraph" w:styleId="Footer">
    <w:name w:val="footer"/>
    <w:basedOn w:val="Normal"/>
    <w:link w:val="FooterChar"/>
    <w:uiPriority w:val="99"/>
    <w:unhideWhenUsed/>
    <w:rsid w:val="003C4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card.2012.12.05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jcc.2014.11.00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86/s12872-024-04200-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1007/s15010-024-02286-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1/jamainternmed.2013.119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Editor-22</cp:lastModifiedBy>
  <cp:revision>17</cp:revision>
  <dcterms:created xsi:type="dcterms:W3CDTF">2025-03-18T20:52:00Z</dcterms:created>
  <dcterms:modified xsi:type="dcterms:W3CDTF">2025-04-29T06:40:00Z</dcterms:modified>
</cp:coreProperties>
</file>