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8993E" w14:textId="77777777" w:rsidR="0049481F" w:rsidRDefault="0049481F">
      <w:pPr>
        <w:sectPr w:rsidR="004948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860" w:right="1417" w:bottom="280" w:left="1275" w:header="360" w:footer="360" w:gutter="0"/>
          <w:pgNumType w:start="1"/>
          <w:cols w:num="2" w:space="720" w:equalWidth="0">
            <w:col w:w="4594" w:space="40"/>
            <w:col w:w="4594" w:space="0"/>
          </w:cols>
        </w:sectPr>
      </w:pPr>
    </w:p>
    <w:p w14:paraId="3CABBE02" w14:textId="77777777" w:rsidR="0049481F" w:rsidRDefault="0049481F">
      <w:pPr>
        <w:pBdr>
          <w:top w:val="nil"/>
          <w:left w:val="nil"/>
          <w:bottom w:val="nil"/>
          <w:right w:val="nil"/>
          <w:between w:val="nil"/>
        </w:pBdr>
        <w:spacing w:before="30"/>
        <w:rPr>
          <w:rFonts w:ascii="Calibri" w:eastAsia="Calibri" w:hAnsi="Calibri" w:cs="Calibri"/>
          <w:b/>
          <w:color w:val="000000"/>
        </w:rPr>
      </w:pPr>
    </w:p>
    <w:p w14:paraId="4353FDA4" w14:textId="77777777" w:rsidR="00E35E9A" w:rsidRDefault="00E35E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65" w:right="82"/>
        <w:rPr>
          <w:b/>
          <w:i/>
          <w:sz w:val="26"/>
          <w:szCs w:val="26"/>
        </w:rPr>
      </w:pPr>
      <w:r w:rsidRPr="00E35E9A">
        <w:rPr>
          <w:b/>
          <w:bCs/>
          <w:i/>
          <w:iCs/>
          <w:sz w:val="26"/>
          <w:szCs w:val="26"/>
          <w:u w:val="single"/>
          <w:lang w:val="en-US"/>
        </w:rPr>
        <w:t>Short communication</w:t>
      </w:r>
      <w:r w:rsidRPr="00E35E9A">
        <w:rPr>
          <w:b/>
          <w:i/>
          <w:sz w:val="26"/>
          <w:szCs w:val="26"/>
        </w:rPr>
        <w:t xml:space="preserve"> </w:t>
      </w:r>
    </w:p>
    <w:p w14:paraId="23A52E71" w14:textId="0CD7869D" w:rsidR="0049481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65" w:right="82"/>
        <w:rPr>
          <w:b/>
        </w:rPr>
      </w:pPr>
      <w:r>
        <w:rPr>
          <w:b/>
          <w:i/>
          <w:sz w:val="26"/>
          <w:szCs w:val="26"/>
        </w:rPr>
        <w:t xml:space="preserve">Management of </w:t>
      </w:r>
      <w:proofErr w:type="spellStart"/>
      <w:r>
        <w:rPr>
          <w:b/>
          <w:i/>
          <w:sz w:val="26"/>
          <w:szCs w:val="26"/>
        </w:rPr>
        <w:t>Metastatic</w:t>
      </w:r>
      <w:proofErr w:type="spellEnd"/>
      <w:r>
        <w:rPr>
          <w:b/>
          <w:i/>
          <w:sz w:val="26"/>
          <w:szCs w:val="26"/>
        </w:rPr>
        <w:t xml:space="preserve"> Colorectal Cancer</w:t>
      </w:r>
      <w:r w:rsidR="00F93185">
        <w:rPr>
          <w:b/>
          <w:i/>
          <w:sz w:val="26"/>
          <w:szCs w:val="26"/>
        </w:rPr>
        <w:t xml:space="preserve"> : </w:t>
      </w:r>
      <w:r>
        <w:rPr>
          <w:b/>
          <w:i/>
          <w:sz w:val="26"/>
          <w:szCs w:val="26"/>
        </w:rPr>
        <w:t xml:space="preserve">A Case </w:t>
      </w:r>
      <w:proofErr w:type="spellStart"/>
      <w:r>
        <w:rPr>
          <w:b/>
          <w:i/>
          <w:sz w:val="26"/>
          <w:szCs w:val="26"/>
        </w:rPr>
        <w:t>Series</w:t>
      </w:r>
      <w:proofErr w:type="spellEnd"/>
      <w:r>
        <w:rPr>
          <w:b/>
          <w:i/>
          <w:sz w:val="26"/>
          <w:szCs w:val="26"/>
        </w:rPr>
        <w:t xml:space="preserve"> of 20 Patients</w:t>
      </w:r>
      <w:r>
        <w:rPr>
          <w:b/>
        </w:rPr>
        <w:t xml:space="preserve"> </w:t>
      </w:r>
    </w:p>
    <w:p w14:paraId="6A55283D" w14:textId="77777777" w:rsidR="0049481F" w:rsidRDefault="00494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65" w:right="82"/>
      </w:pPr>
    </w:p>
    <w:p w14:paraId="5FF59129" w14:textId="77777777" w:rsidR="0049481F" w:rsidRDefault="00000000">
      <w:pPr>
        <w:spacing w:before="240" w:after="240" w:line="276" w:lineRule="auto"/>
        <w:rPr>
          <w:b/>
        </w:rPr>
      </w:pPr>
      <w:r>
        <w:rPr>
          <w:b/>
        </w:rPr>
        <w:t>Abstract</w:t>
      </w:r>
    </w:p>
    <w:p w14:paraId="6ACECC66" w14:textId="77777777" w:rsidR="0049481F" w:rsidRDefault="00000000">
      <w:pPr>
        <w:spacing w:before="240" w:after="240" w:line="276" w:lineRule="auto"/>
      </w:pPr>
      <w:proofErr w:type="spellStart"/>
      <w:r>
        <w:t>Metastatic</w:t>
      </w:r>
      <w:proofErr w:type="spellEnd"/>
      <w:r>
        <w:t xml:space="preserve"> colorectal cancer (</w:t>
      </w:r>
      <w:proofErr w:type="spellStart"/>
      <w:r>
        <w:t>mCRC</w:t>
      </w:r>
      <w:proofErr w:type="spellEnd"/>
      <w:r>
        <w:t xml:space="preserve">) </w:t>
      </w:r>
      <w:proofErr w:type="spellStart"/>
      <w:r>
        <w:t>represents</w:t>
      </w:r>
      <w:proofErr w:type="spellEnd"/>
      <w:r>
        <w:t xml:space="preserve"> a major public </w:t>
      </w:r>
      <w:proofErr w:type="spellStart"/>
      <w:r>
        <w:t>health</w:t>
      </w:r>
      <w:proofErr w:type="spellEnd"/>
      <w:r>
        <w:t xml:space="preserve"> challenge, </w:t>
      </w:r>
      <w:proofErr w:type="spellStart"/>
      <w:r>
        <w:t>characterized</w:t>
      </w:r>
      <w:proofErr w:type="spellEnd"/>
      <w:r>
        <w:t xml:space="preserve"> by high </w:t>
      </w:r>
      <w:proofErr w:type="spellStart"/>
      <w:r>
        <w:t>morbidity</w:t>
      </w:r>
      <w:proofErr w:type="spellEnd"/>
      <w:r>
        <w:t xml:space="preserve"> and </w:t>
      </w:r>
      <w:proofErr w:type="spellStart"/>
      <w:r>
        <w:t>mortality</w:t>
      </w:r>
      <w:proofErr w:type="spellEnd"/>
      <w:r>
        <w:t xml:space="preserve">. This </w:t>
      </w:r>
      <w:proofErr w:type="spellStart"/>
      <w:r>
        <w:t>retrospective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conducted</w:t>
      </w:r>
      <w:proofErr w:type="spellEnd"/>
      <w:r>
        <w:t xml:space="preserve"> at Ibn Rochd </w:t>
      </w:r>
      <w:proofErr w:type="spellStart"/>
      <w:r>
        <w:t>University</w:t>
      </w:r>
      <w:proofErr w:type="spellEnd"/>
      <w:r>
        <w:t xml:space="preserve"> Hospital in Casablanca </w:t>
      </w:r>
      <w:proofErr w:type="spellStart"/>
      <w:r>
        <w:t>from</w:t>
      </w:r>
      <w:proofErr w:type="spellEnd"/>
      <w:r>
        <w:t xml:space="preserve"> 2019 to 2023, </w:t>
      </w:r>
      <w:proofErr w:type="spellStart"/>
      <w:r>
        <w:t>analyzes</w:t>
      </w:r>
      <w:proofErr w:type="spellEnd"/>
      <w:r>
        <w:t xml:space="preserve"> the </w:t>
      </w:r>
      <w:proofErr w:type="spellStart"/>
      <w:r>
        <w:t>epidemiological</w:t>
      </w:r>
      <w:proofErr w:type="spellEnd"/>
      <w:r>
        <w:t xml:space="preserve">, </w:t>
      </w:r>
      <w:proofErr w:type="spellStart"/>
      <w:r>
        <w:t>clinical</w:t>
      </w:r>
      <w:proofErr w:type="spellEnd"/>
      <w:r>
        <w:t xml:space="preserve">, and </w:t>
      </w:r>
      <w:proofErr w:type="spellStart"/>
      <w:r>
        <w:t>therapeutic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of 20 patients </w:t>
      </w:r>
      <w:proofErr w:type="spellStart"/>
      <w:r>
        <w:t>diagnosed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mCRC</w:t>
      </w:r>
      <w:proofErr w:type="spellEnd"/>
      <w:r>
        <w:t xml:space="preserve">. The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56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 male </w:t>
      </w:r>
      <w:proofErr w:type="spellStart"/>
      <w:r>
        <w:t>predominance</w:t>
      </w:r>
      <w:proofErr w:type="spellEnd"/>
      <w:r>
        <w:t xml:space="preserve">. The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metastatic</w:t>
      </w:r>
      <w:proofErr w:type="spellEnd"/>
      <w:r>
        <w:t xml:space="preserve"> site. Management </w:t>
      </w:r>
      <w:proofErr w:type="spellStart"/>
      <w:r>
        <w:t>relied</w:t>
      </w:r>
      <w:proofErr w:type="spellEnd"/>
      <w:r>
        <w:t xml:space="preserve"> on a </w:t>
      </w:r>
      <w:proofErr w:type="spellStart"/>
      <w:r>
        <w:t>multidisciplinary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combining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, </w:t>
      </w:r>
      <w:proofErr w:type="spellStart"/>
      <w:r>
        <w:t>chemotherapy</w:t>
      </w:r>
      <w:proofErr w:type="spellEnd"/>
      <w:r>
        <w:t xml:space="preserve">, and, in </w:t>
      </w:r>
      <w:proofErr w:type="spellStart"/>
      <w:r>
        <w:t>selected</w:t>
      </w:r>
      <w:proofErr w:type="spellEnd"/>
      <w:r>
        <w:t xml:space="preserve"> cases, </w:t>
      </w:r>
      <w:proofErr w:type="spellStart"/>
      <w:r>
        <w:t>radiotherapy</w:t>
      </w:r>
      <w:proofErr w:type="spellEnd"/>
      <w:r>
        <w:t xml:space="preserve">. The FOLFOX </w:t>
      </w:r>
      <w:proofErr w:type="spellStart"/>
      <w:r>
        <w:t>regimen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frequently</w:t>
      </w:r>
      <w:proofErr w:type="spellEnd"/>
      <w:r>
        <w:t xml:space="preserve"> </w:t>
      </w:r>
      <w:proofErr w:type="spellStart"/>
      <w:r>
        <w:t>administered</w:t>
      </w:r>
      <w:proofErr w:type="spellEnd"/>
      <w:r>
        <w:t xml:space="preserve">. The </w:t>
      </w:r>
      <w:proofErr w:type="spellStart"/>
      <w:r>
        <w:t>resectability</w:t>
      </w:r>
      <w:proofErr w:type="spellEnd"/>
      <w:r>
        <w:t xml:space="preserve"> rate of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metastases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40%. </w:t>
      </w:r>
      <w:proofErr w:type="spellStart"/>
      <w:r>
        <w:t>Median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survival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12.6 </w:t>
      </w:r>
      <w:proofErr w:type="spellStart"/>
      <w:r>
        <w:t>months</w:t>
      </w:r>
      <w:proofErr w:type="spellEnd"/>
      <w:r>
        <w:t xml:space="preserve">.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advances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personalized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and </w:t>
      </w:r>
      <w:proofErr w:type="spellStart"/>
      <w:r>
        <w:t>liver</w:t>
      </w:r>
      <w:proofErr w:type="spellEnd"/>
      <w:r>
        <w:t xml:space="preserve"> transplantation, </w:t>
      </w:r>
      <w:proofErr w:type="spellStart"/>
      <w:r>
        <w:t>offer</w:t>
      </w:r>
      <w:proofErr w:type="spellEnd"/>
      <w:r>
        <w:t xml:space="preserve"> new </w:t>
      </w:r>
      <w:proofErr w:type="spellStart"/>
      <w:r>
        <w:t>opportunities</w:t>
      </w:r>
      <w:proofErr w:type="spellEnd"/>
      <w:r>
        <w:t xml:space="preserve"> for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survival</w:t>
      </w:r>
      <w:proofErr w:type="spellEnd"/>
      <w:r>
        <w:t xml:space="preserve"> and </w:t>
      </w:r>
      <w:proofErr w:type="spellStart"/>
      <w:r>
        <w:t>quality</w:t>
      </w:r>
      <w:proofErr w:type="spellEnd"/>
      <w:r>
        <w:t xml:space="preserve"> of life in </w:t>
      </w:r>
      <w:proofErr w:type="spellStart"/>
      <w:r>
        <w:t>these</w:t>
      </w:r>
      <w:proofErr w:type="spellEnd"/>
      <w:r>
        <w:t xml:space="preserve"> patients.</w:t>
      </w:r>
    </w:p>
    <w:p w14:paraId="1A846496" w14:textId="77777777" w:rsidR="0049481F" w:rsidRDefault="0049481F">
      <w:pPr>
        <w:spacing w:before="299" w:line="276" w:lineRule="auto"/>
        <w:ind w:left="165"/>
      </w:pPr>
    </w:p>
    <w:p w14:paraId="641387F6" w14:textId="77777777" w:rsidR="0049481F" w:rsidRDefault="00000000">
      <w:pPr>
        <w:spacing w:before="240" w:after="240" w:line="276" w:lineRule="auto"/>
        <w:rPr>
          <w:b/>
        </w:rPr>
      </w:pPr>
      <w:r>
        <w:rPr>
          <w:b/>
        </w:rPr>
        <w:t>Introduction</w:t>
      </w:r>
    </w:p>
    <w:p w14:paraId="5C53CE6B" w14:textId="77777777" w:rsidR="0049481F" w:rsidRDefault="00000000">
      <w:pPr>
        <w:spacing w:before="240" w:after="240" w:line="276" w:lineRule="auto"/>
      </w:pPr>
      <w:r>
        <w:t xml:space="preserve">Colorectal cancer </w:t>
      </w:r>
      <w:proofErr w:type="spellStart"/>
      <w:r>
        <w:t>ranks</w:t>
      </w:r>
      <w:proofErr w:type="spellEnd"/>
      <w:r>
        <w:t xml:space="preserve"> as the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cancer </w:t>
      </w:r>
      <w:proofErr w:type="spellStart"/>
      <w:r>
        <w:t>worldwide</w:t>
      </w:r>
      <w:proofErr w:type="spellEnd"/>
      <w:r>
        <w:t xml:space="preserve"> and the second </w:t>
      </w:r>
      <w:proofErr w:type="spellStart"/>
      <w:r>
        <w:t>leading</w:t>
      </w:r>
      <w:proofErr w:type="spellEnd"/>
      <w:r>
        <w:t xml:space="preserve"> cause of cancer-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mortality</w:t>
      </w:r>
      <w:proofErr w:type="spellEnd"/>
      <w:r>
        <w:t xml:space="preserve">. In Morocco, </w:t>
      </w:r>
      <w:proofErr w:type="spellStart"/>
      <w:r>
        <w:t>it</w:t>
      </w:r>
      <w:proofErr w:type="spellEnd"/>
      <w:r>
        <w:t xml:space="preserve"> </w:t>
      </w:r>
      <w:proofErr w:type="spellStart"/>
      <w:r>
        <w:t>accounts</w:t>
      </w:r>
      <w:proofErr w:type="spellEnd"/>
      <w:r>
        <w:t xml:space="preserve"> for 8.7% of all cancer cases,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the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frequent</w:t>
      </w:r>
      <w:proofErr w:type="spellEnd"/>
      <w:r>
        <w:t xml:space="preserve"> </w:t>
      </w:r>
      <w:proofErr w:type="spellStart"/>
      <w:r>
        <w:t>malignancy</w:t>
      </w:r>
      <w:proofErr w:type="spellEnd"/>
      <w:r>
        <w:t xml:space="preserve">. </w:t>
      </w:r>
      <w:proofErr w:type="spellStart"/>
      <w:r>
        <w:t>Between</w:t>
      </w:r>
      <w:proofErr w:type="spellEnd"/>
      <w:r>
        <w:t xml:space="preserve"> 40% and 60% of patients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metastases</w:t>
      </w:r>
      <w:proofErr w:type="spellEnd"/>
      <w:r>
        <w:t xml:space="preserve">, </w:t>
      </w:r>
      <w:proofErr w:type="spellStart"/>
      <w:r>
        <w:t>primarily</w:t>
      </w:r>
      <w:proofErr w:type="spellEnd"/>
      <w:r>
        <w:t xml:space="preserve"> in the </w:t>
      </w:r>
      <w:proofErr w:type="spellStart"/>
      <w:r>
        <w:t>liver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heavily</w:t>
      </w:r>
      <w:proofErr w:type="spellEnd"/>
      <w:r>
        <w:t xml:space="preserve"> impacts </w:t>
      </w:r>
      <w:proofErr w:type="spellStart"/>
      <w:r>
        <w:t>prognosis</w:t>
      </w:r>
      <w:proofErr w:type="spellEnd"/>
      <w:r>
        <w:t xml:space="preserve">.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therapeutic</w:t>
      </w:r>
      <w:proofErr w:type="spellEnd"/>
      <w:r>
        <w:t xml:space="preserve"> </w:t>
      </w:r>
      <w:proofErr w:type="spellStart"/>
      <w:r>
        <w:t>advancements</w:t>
      </w:r>
      <w:proofErr w:type="spellEnd"/>
      <w:r>
        <w:t xml:space="preserve">, </w:t>
      </w:r>
      <w:proofErr w:type="spellStart"/>
      <w:r>
        <w:t>mCRC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prognosis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in </w:t>
      </w:r>
      <w:proofErr w:type="spellStart"/>
      <w:r>
        <w:t>low-resource</w:t>
      </w:r>
      <w:proofErr w:type="spellEnd"/>
      <w:r>
        <w:t xml:space="preserve"> settings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delayed</w:t>
      </w:r>
      <w:proofErr w:type="spellEnd"/>
      <w:r>
        <w:t xml:space="preserve">. The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share</w:t>
      </w:r>
      <w:proofErr w:type="spellEnd"/>
      <w:r>
        <w:t xml:space="preserve"> the </w:t>
      </w:r>
      <w:proofErr w:type="spellStart"/>
      <w:r>
        <w:t>experience</w:t>
      </w:r>
      <w:proofErr w:type="spellEnd"/>
      <w:r>
        <w:t xml:space="preserve"> of a </w:t>
      </w:r>
      <w:proofErr w:type="spellStart"/>
      <w:r>
        <w:t>Moroccan</w:t>
      </w:r>
      <w:proofErr w:type="spellEnd"/>
      <w:r>
        <w:t xml:space="preserve"> </w:t>
      </w:r>
      <w:proofErr w:type="spellStart"/>
      <w:r>
        <w:t>referral</w:t>
      </w:r>
      <w:proofErr w:type="spellEnd"/>
      <w:r>
        <w:t xml:space="preserve"> center in 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mCRC</w:t>
      </w:r>
      <w:proofErr w:type="spellEnd"/>
      <w:r>
        <w:t xml:space="preserve"> and to compare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international </w:t>
      </w:r>
      <w:proofErr w:type="spellStart"/>
      <w:r>
        <w:t>recommendations</w:t>
      </w:r>
      <w:proofErr w:type="spellEnd"/>
      <w:r>
        <w:t>.</w:t>
      </w:r>
    </w:p>
    <w:p w14:paraId="1622C7D9" w14:textId="77777777" w:rsidR="0049481F" w:rsidRDefault="0049481F">
      <w:pPr>
        <w:spacing w:before="299" w:line="276" w:lineRule="auto"/>
        <w:ind w:left="165"/>
      </w:pPr>
    </w:p>
    <w:p w14:paraId="4F5995AA" w14:textId="77777777" w:rsidR="0049481F" w:rsidRDefault="00000000">
      <w:pPr>
        <w:spacing w:before="240" w:after="240" w:line="276" w:lineRule="auto"/>
        <w:rPr>
          <w:b/>
        </w:rPr>
      </w:pPr>
      <w:r>
        <w:rPr>
          <w:b/>
        </w:rPr>
        <w:t>Materials and Methods</w:t>
      </w:r>
    </w:p>
    <w:p w14:paraId="3ACF7FB0" w14:textId="77777777" w:rsidR="0049481F" w:rsidRDefault="00000000">
      <w:pPr>
        <w:spacing w:before="240" w:after="240" w:line="276" w:lineRule="auto"/>
      </w:pPr>
      <w:r>
        <w:t xml:space="preserve">This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retrospective</w:t>
      </w:r>
      <w:proofErr w:type="spellEnd"/>
      <w:r>
        <w:t xml:space="preserve"> descriptive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 2019 to </w:t>
      </w:r>
      <w:proofErr w:type="spellStart"/>
      <w:r>
        <w:t>December</w:t>
      </w:r>
      <w:proofErr w:type="spellEnd"/>
      <w:r>
        <w:t xml:space="preserve"> 2023 at the Digestive </w:t>
      </w:r>
      <w:proofErr w:type="spellStart"/>
      <w:r>
        <w:t>Oncology</w:t>
      </w:r>
      <w:proofErr w:type="spellEnd"/>
      <w:r>
        <w:t xml:space="preserve"> and </w:t>
      </w:r>
      <w:proofErr w:type="spellStart"/>
      <w:r>
        <w:t>Liver</w:t>
      </w:r>
      <w:proofErr w:type="spellEnd"/>
      <w:r>
        <w:t xml:space="preserve"> Transplantation </w:t>
      </w:r>
      <w:proofErr w:type="spellStart"/>
      <w:r>
        <w:t>Surgery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of Ibn Rochd </w:t>
      </w:r>
      <w:proofErr w:type="spellStart"/>
      <w:r>
        <w:t>University</w:t>
      </w:r>
      <w:proofErr w:type="spellEnd"/>
      <w:r>
        <w:t xml:space="preserve"> Hospital, Casablanca. Twenty patients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histologically</w:t>
      </w:r>
      <w:proofErr w:type="spellEnd"/>
      <w:r>
        <w:t xml:space="preserve"> </w:t>
      </w:r>
      <w:proofErr w:type="spellStart"/>
      <w:r>
        <w:t>confirmed</w:t>
      </w:r>
      <w:proofErr w:type="spellEnd"/>
      <w:r>
        <w:t xml:space="preserve"> </w:t>
      </w:r>
      <w:proofErr w:type="spellStart"/>
      <w:r>
        <w:t>mCRC</w:t>
      </w:r>
      <w:proofErr w:type="spellEnd"/>
      <w:r>
        <w:t>—</w:t>
      </w:r>
      <w:proofErr w:type="spellStart"/>
      <w:r>
        <w:t>either</w:t>
      </w:r>
      <w:proofErr w:type="spellEnd"/>
      <w:r>
        <w:t xml:space="preserve"> colon or rectal cancers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synchronous</w:t>
      </w:r>
      <w:proofErr w:type="spellEnd"/>
      <w:r>
        <w:t xml:space="preserve"> or </w:t>
      </w:r>
      <w:proofErr w:type="spellStart"/>
      <w:r>
        <w:t>metachronous</w:t>
      </w:r>
      <w:proofErr w:type="spellEnd"/>
      <w:r>
        <w:t xml:space="preserve"> </w:t>
      </w:r>
      <w:proofErr w:type="spellStart"/>
      <w:r>
        <w:t>metastases</w:t>
      </w:r>
      <w:proofErr w:type="spellEnd"/>
      <w:r>
        <w:t>—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>. Non-</w:t>
      </w:r>
      <w:proofErr w:type="spellStart"/>
      <w:r>
        <w:t>metastatic</w:t>
      </w:r>
      <w:proofErr w:type="spellEnd"/>
      <w:r>
        <w:t xml:space="preserve"> cases and </w:t>
      </w:r>
      <w:proofErr w:type="spellStart"/>
      <w:r>
        <w:t>incomplete</w:t>
      </w:r>
      <w:proofErr w:type="spellEnd"/>
      <w:r>
        <w:t xml:space="preserve"> records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excluded</w:t>
      </w:r>
      <w:proofErr w:type="spellEnd"/>
      <w:r>
        <w:t xml:space="preserve">. Data </w:t>
      </w:r>
      <w:proofErr w:type="spellStart"/>
      <w:r>
        <w:t>collected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demographics</w:t>
      </w:r>
      <w:proofErr w:type="spellEnd"/>
      <w:r>
        <w:t xml:space="preserve"> (</w:t>
      </w:r>
      <w:proofErr w:type="spellStart"/>
      <w:r>
        <w:t>age</w:t>
      </w:r>
      <w:proofErr w:type="spellEnd"/>
      <w:r>
        <w:t xml:space="preserve">, </w:t>
      </w:r>
      <w:proofErr w:type="spellStart"/>
      <w:r>
        <w:t>sex</w:t>
      </w:r>
      <w:proofErr w:type="spellEnd"/>
      <w:r>
        <w:t xml:space="preserve">, </w:t>
      </w:r>
      <w:proofErr w:type="spellStart"/>
      <w:r>
        <w:t>origin</w:t>
      </w:r>
      <w:proofErr w:type="spellEnd"/>
      <w:r>
        <w:t xml:space="preserve">),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(diagnostic </w:t>
      </w:r>
      <w:proofErr w:type="spellStart"/>
      <w:r>
        <w:t>delay</w:t>
      </w:r>
      <w:proofErr w:type="spellEnd"/>
      <w:r>
        <w:t xml:space="preserve">, </w:t>
      </w:r>
      <w:proofErr w:type="spellStart"/>
      <w:r>
        <w:t>symptoms</w:t>
      </w:r>
      <w:proofErr w:type="spellEnd"/>
      <w:r>
        <w:t xml:space="preserve">), </w:t>
      </w:r>
      <w:proofErr w:type="spellStart"/>
      <w:r>
        <w:t>paraclinical</w:t>
      </w:r>
      <w:proofErr w:type="spellEnd"/>
      <w:r>
        <w:t xml:space="preserve"> data (</w:t>
      </w:r>
      <w:proofErr w:type="spellStart"/>
      <w:r>
        <w:t>endoscopy</w:t>
      </w:r>
      <w:proofErr w:type="spellEnd"/>
      <w:r>
        <w:t xml:space="preserve">, </w:t>
      </w:r>
      <w:proofErr w:type="spellStart"/>
      <w:r>
        <w:t>imaging</w:t>
      </w:r>
      <w:proofErr w:type="spellEnd"/>
      <w:r>
        <w:t xml:space="preserve">, </w:t>
      </w:r>
      <w:proofErr w:type="spellStart"/>
      <w:r>
        <w:t>biomarkers</w:t>
      </w:r>
      <w:proofErr w:type="spellEnd"/>
      <w:r>
        <w:t xml:space="preserve">), </w:t>
      </w:r>
      <w:proofErr w:type="spellStart"/>
      <w:r>
        <w:t>histopathology</w:t>
      </w:r>
      <w:proofErr w:type="spellEnd"/>
      <w:r>
        <w:t xml:space="preserve"> (</w:t>
      </w:r>
      <w:proofErr w:type="spellStart"/>
      <w:r>
        <w:t>histologic</w:t>
      </w:r>
      <w:proofErr w:type="spellEnd"/>
      <w:r>
        <w:t xml:space="preserve"> type, grade),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modalities</w:t>
      </w:r>
      <w:proofErr w:type="spellEnd"/>
      <w:r>
        <w:t xml:space="preserve"> (</w:t>
      </w:r>
      <w:proofErr w:type="spellStart"/>
      <w:r>
        <w:t>surgery</w:t>
      </w:r>
      <w:proofErr w:type="spellEnd"/>
      <w:r>
        <w:t xml:space="preserve">, </w:t>
      </w:r>
      <w:proofErr w:type="spellStart"/>
      <w:r>
        <w:t>chemotherapy</w:t>
      </w:r>
      <w:proofErr w:type="spellEnd"/>
      <w:r>
        <w:t xml:space="preserve">, </w:t>
      </w:r>
      <w:proofErr w:type="spellStart"/>
      <w:r>
        <w:t>radiotherapy</w:t>
      </w:r>
      <w:proofErr w:type="spellEnd"/>
      <w:r>
        <w:t xml:space="preserve">), and </w:t>
      </w:r>
      <w:proofErr w:type="spellStart"/>
      <w:r>
        <w:t>outcomes</w:t>
      </w:r>
      <w:proofErr w:type="spellEnd"/>
      <w:r>
        <w:t xml:space="preserve"> (</w:t>
      </w:r>
      <w:proofErr w:type="spellStart"/>
      <w:r>
        <w:t>morbidity</w:t>
      </w:r>
      <w:proofErr w:type="spellEnd"/>
      <w:r>
        <w:t xml:space="preserve">, </w:t>
      </w:r>
      <w:proofErr w:type="spellStart"/>
      <w:r>
        <w:t>mortality</w:t>
      </w:r>
      <w:proofErr w:type="spellEnd"/>
      <w:r>
        <w:t xml:space="preserve">, </w:t>
      </w:r>
      <w:proofErr w:type="spellStart"/>
      <w:r>
        <w:t>survival</w:t>
      </w:r>
      <w:proofErr w:type="spellEnd"/>
      <w:r>
        <w:t xml:space="preserve">). </w:t>
      </w:r>
      <w:proofErr w:type="spellStart"/>
      <w:r>
        <w:t>Categorical</w:t>
      </w:r>
      <w:proofErr w:type="spellEnd"/>
      <w:r>
        <w:t xml:space="preserve"> variables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expressed</w:t>
      </w:r>
      <w:proofErr w:type="spellEnd"/>
      <w:r>
        <w:t xml:space="preserve"> as percentages, and </w:t>
      </w:r>
      <w:proofErr w:type="spellStart"/>
      <w:r>
        <w:t>continuous</w:t>
      </w:r>
      <w:proofErr w:type="spellEnd"/>
      <w:r>
        <w:t xml:space="preserve"> variables as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ranges.</w:t>
      </w:r>
    </w:p>
    <w:p w14:paraId="4562501D" w14:textId="77777777" w:rsidR="0049481F" w:rsidRDefault="0049481F">
      <w:pPr>
        <w:pBdr>
          <w:top w:val="nil"/>
          <w:left w:val="nil"/>
          <w:bottom w:val="nil"/>
          <w:right w:val="nil"/>
          <w:between w:val="nil"/>
        </w:pBdr>
        <w:spacing w:before="299" w:line="276" w:lineRule="auto"/>
        <w:ind w:left="165"/>
        <w:rPr>
          <w:b/>
        </w:rPr>
        <w:sectPr w:rsidR="0049481F">
          <w:type w:val="continuous"/>
          <w:pgSz w:w="11920" w:h="16840"/>
          <w:pgMar w:top="1860" w:right="1417" w:bottom="280" w:left="1275" w:header="360" w:footer="360" w:gutter="0"/>
          <w:cols w:space="720"/>
        </w:sectPr>
      </w:pPr>
    </w:p>
    <w:p w14:paraId="67A845D2" w14:textId="77777777" w:rsidR="0049481F" w:rsidRDefault="00000000">
      <w:pPr>
        <w:spacing w:before="240" w:after="240" w:line="276" w:lineRule="auto"/>
      </w:pPr>
      <w:proofErr w:type="spellStart"/>
      <w:r>
        <w:lastRenderedPageBreak/>
        <w:t>Results</w:t>
      </w:r>
      <w:proofErr w:type="spellEnd"/>
    </w:p>
    <w:p w14:paraId="3D8B6899" w14:textId="77777777" w:rsidR="0049481F" w:rsidRDefault="00000000">
      <w:pPr>
        <w:spacing w:before="240" w:after="240" w:line="276" w:lineRule="auto"/>
      </w:pPr>
      <w:r>
        <w:t xml:space="preserve">The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20 patients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of 56 </w:t>
      </w:r>
      <w:proofErr w:type="spellStart"/>
      <w:r>
        <w:t>years</w:t>
      </w:r>
      <w:proofErr w:type="spellEnd"/>
      <w:r>
        <w:t xml:space="preserve">. Most of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men, </w:t>
      </w:r>
      <w:proofErr w:type="spellStart"/>
      <w:r>
        <w:t>with</w:t>
      </w:r>
      <w:proofErr w:type="spellEnd"/>
      <w:r>
        <w:t xml:space="preserve"> a male-to-</w:t>
      </w:r>
      <w:proofErr w:type="spellStart"/>
      <w:r>
        <w:t>female</w:t>
      </w:r>
      <w:proofErr w:type="spellEnd"/>
      <w:r>
        <w:t xml:space="preserve"> </w:t>
      </w:r>
      <w:proofErr w:type="spellStart"/>
      <w:r>
        <w:t>sex</w:t>
      </w:r>
      <w:proofErr w:type="spellEnd"/>
      <w:r>
        <w:t xml:space="preserve"> ratio of 1.85. A </w:t>
      </w:r>
      <w:proofErr w:type="spellStart"/>
      <w:r>
        <w:t>majority</w:t>
      </w:r>
      <w:proofErr w:type="spellEnd"/>
      <w:r>
        <w:t xml:space="preserve"> of the patients (85%)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urban</w:t>
      </w:r>
      <w:proofErr w:type="spellEnd"/>
      <w:r>
        <w:t xml:space="preserve"> areas. The </w:t>
      </w:r>
      <w:proofErr w:type="spellStart"/>
      <w:r>
        <w:t>average</w:t>
      </w:r>
      <w:proofErr w:type="spellEnd"/>
      <w:r>
        <w:t xml:space="preserve"> time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onset</w:t>
      </w:r>
      <w:proofErr w:type="spellEnd"/>
      <w:r>
        <w:t xml:space="preserve"> of </w:t>
      </w:r>
      <w:proofErr w:type="spellStart"/>
      <w:r>
        <w:t>symptoms</w:t>
      </w:r>
      <w:proofErr w:type="spellEnd"/>
      <w:r>
        <w:t xml:space="preserve"> to the first </w:t>
      </w:r>
      <w:proofErr w:type="spellStart"/>
      <w:r>
        <w:t>medical</w:t>
      </w:r>
      <w:proofErr w:type="spellEnd"/>
      <w:r>
        <w:t xml:space="preserve"> consultation </w:t>
      </w:r>
      <w:proofErr w:type="spellStart"/>
      <w:r>
        <w:t>was</w:t>
      </w:r>
      <w:proofErr w:type="spellEnd"/>
      <w:r>
        <w:t xml:space="preserve"> 9 </w:t>
      </w:r>
      <w:proofErr w:type="spellStart"/>
      <w:r>
        <w:t>months</w:t>
      </w:r>
      <w:proofErr w:type="spellEnd"/>
      <w:r>
        <w:t xml:space="preserve">, and 85% of patients </w:t>
      </w:r>
      <w:proofErr w:type="spellStart"/>
      <w:r>
        <w:t>sought</w:t>
      </w:r>
      <w:proofErr w:type="spellEnd"/>
      <w:r>
        <w:t xml:space="preserve"> consultation </w:t>
      </w:r>
      <w:proofErr w:type="spellStart"/>
      <w:r>
        <w:t>after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6 </w:t>
      </w:r>
      <w:proofErr w:type="spellStart"/>
      <w:r>
        <w:t>months</w:t>
      </w:r>
      <w:proofErr w:type="spellEnd"/>
      <w:r>
        <w:t xml:space="preserve"> of </w:t>
      </w:r>
      <w:proofErr w:type="spellStart"/>
      <w:r>
        <w:t>symptom</w:t>
      </w:r>
      <w:proofErr w:type="spellEnd"/>
      <w:r>
        <w:t xml:space="preserve"> progression.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commonly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abdominal pain, rectal </w:t>
      </w:r>
      <w:proofErr w:type="spellStart"/>
      <w:r>
        <w:t>bleeding</w:t>
      </w:r>
      <w:proofErr w:type="spellEnd"/>
      <w:r>
        <w:t xml:space="preserve">, and a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decline</w:t>
      </w:r>
      <w:proofErr w:type="spellEnd"/>
      <w:r>
        <w:t xml:space="preserve"> in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status</w:t>
      </w:r>
      <w:proofErr w:type="spellEnd"/>
      <w:r>
        <w:t>.</w:t>
      </w:r>
    </w:p>
    <w:p w14:paraId="28389139" w14:textId="77777777" w:rsidR="0049481F" w:rsidRDefault="00000000">
      <w:pPr>
        <w:spacing w:before="240" w:after="240" w:line="276" w:lineRule="auto"/>
      </w:pPr>
      <w:proofErr w:type="spellStart"/>
      <w:r>
        <w:t>Regarding</w:t>
      </w:r>
      <w:proofErr w:type="spellEnd"/>
      <w:r>
        <w:t xml:space="preserve"> </w:t>
      </w:r>
      <w:proofErr w:type="spellStart"/>
      <w:r>
        <w:t>metastatic</w:t>
      </w:r>
      <w:proofErr w:type="spellEnd"/>
      <w:r>
        <w:t xml:space="preserve"> sites, the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all patients. </w:t>
      </w:r>
      <w:proofErr w:type="spellStart"/>
      <w:r>
        <w:t>In</w:t>
      </w:r>
      <w:proofErr w:type="spellEnd"/>
      <w:r>
        <w:t xml:space="preserve"> 70% of cases,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involvement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isolated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30% </w:t>
      </w:r>
      <w:proofErr w:type="spellStart"/>
      <w:r>
        <w:t>had</w:t>
      </w:r>
      <w:proofErr w:type="spellEnd"/>
      <w:r>
        <w:t xml:space="preserve">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metastases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sites.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, 15% </w:t>
      </w:r>
      <w:proofErr w:type="spellStart"/>
      <w:r>
        <w:t>had</w:t>
      </w:r>
      <w:proofErr w:type="spellEnd"/>
      <w:r>
        <w:t xml:space="preserve"> concurrent </w:t>
      </w:r>
      <w:proofErr w:type="spellStart"/>
      <w:r>
        <w:t>lung</w:t>
      </w:r>
      <w:proofErr w:type="spellEnd"/>
      <w:r>
        <w:t xml:space="preserve"> </w:t>
      </w:r>
      <w:proofErr w:type="spellStart"/>
      <w:r>
        <w:t>metastases</w:t>
      </w:r>
      <w:proofErr w:type="spellEnd"/>
      <w:r>
        <w:t xml:space="preserve">, 10% </w:t>
      </w:r>
      <w:proofErr w:type="spellStart"/>
      <w:r>
        <w:t>had</w:t>
      </w:r>
      <w:proofErr w:type="spellEnd"/>
      <w:r>
        <w:t xml:space="preserve"> </w:t>
      </w:r>
      <w:proofErr w:type="spellStart"/>
      <w:r>
        <w:t>peritoneal</w:t>
      </w:r>
      <w:proofErr w:type="spellEnd"/>
      <w:r>
        <w:t xml:space="preserve"> </w:t>
      </w:r>
      <w:proofErr w:type="spellStart"/>
      <w:r>
        <w:t>metastases</w:t>
      </w:r>
      <w:proofErr w:type="spellEnd"/>
      <w:r>
        <w:t xml:space="preserve">, and 5% </w:t>
      </w:r>
      <w:proofErr w:type="spellStart"/>
      <w:r>
        <w:t>had</w:t>
      </w:r>
      <w:proofErr w:type="spellEnd"/>
      <w:r>
        <w:t xml:space="preserve"> </w:t>
      </w:r>
      <w:proofErr w:type="spellStart"/>
      <w:r>
        <w:t>lymph</w:t>
      </w:r>
      <w:proofErr w:type="spellEnd"/>
      <w:r>
        <w:t xml:space="preserve"> </w:t>
      </w:r>
      <w:proofErr w:type="spellStart"/>
      <w:r>
        <w:t>node</w:t>
      </w:r>
      <w:proofErr w:type="spellEnd"/>
      <w:r>
        <w:t xml:space="preserve"> </w:t>
      </w:r>
      <w:proofErr w:type="spellStart"/>
      <w:r>
        <w:t>involvement</w:t>
      </w:r>
      <w:proofErr w:type="spellEnd"/>
      <w:r>
        <w:t xml:space="preserve">. </w:t>
      </w:r>
      <w:proofErr w:type="spellStart"/>
      <w:r>
        <w:t>Synchronous</w:t>
      </w:r>
      <w:proofErr w:type="spellEnd"/>
      <w:r>
        <w:t xml:space="preserve"> </w:t>
      </w:r>
      <w:proofErr w:type="spellStart"/>
      <w:r>
        <w:t>metastases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85% of patients, </w:t>
      </w:r>
      <w:proofErr w:type="spellStart"/>
      <w:r>
        <w:t>whereas</w:t>
      </w:r>
      <w:proofErr w:type="spellEnd"/>
      <w:r>
        <w:t xml:space="preserve"> 15% </w:t>
      </w:r>
      <w:proofErr w:type="spellStart"/>
      <w:r>
        <w:t>had</w:t>
      </w:r>
      <w:proofErr w:type="spellEnd"/>
      <w:r>
        <w:t xml:space="preserve"> </w:t>
      </w:r>
      <w:proofErr w:type="spellStart"/>
      <w:r>
        <w:t>metachronous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>.</w:t>
      </w:r>
    </w:p>
    <w:p w14:paraId="1D27F0CE" w14:textId="77777777" w:rsidR="0049481F" w:rsidRDefault="0049481F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165" w:right="82"/>
      </w:pPr>
    </w:p>
    <w:p w14:paraId="204DD20D" w14:textId="77777777" w:rsidR="0049481F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ind w:left="165"/>
      </w:pPr>
      <w:r>
        <w:t xml:space="preserve">Figure 1. Distribution of patients </w:t>
      </w:r>
      <w:proofErr w:type="spellStart"/>
      <w:r>
        <w:t>according</w:t>
      </w:r>
      <w:proofErr w:type="spellEnd"/>
      <w:r>
        <w:t xml:space="preserve"> to the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metastatic</w:t>
      </w:r>
      <w:proofErr w:type="spellEnd"/>
      <w:r>
        <w:t xml:space="preserve"> sites</w:t>
      </w:r>
    </w:p>
    <w:p w14:paraId="5BBDE736" w14:textId="77777777" w:rsidR="00D93056" w:rsidRDefault="00D93056">
      <w:pPr>
        <w:pBdr>
          <w:top w:val="nil"/>
          <w:left w:val="nil"/>
          <w:bottom w:val="nil"/>
          <w:right w:val="nil"/>
          <w:between w:val="nil"/>
        </w:pBdr>
        <w:spacing w:before="240"/>
        <w:ind w:left="165"/>
      </w:pPr>
    </w:p>
    <w:p w14:paraId="78A8CB76" w14:textId="77777777" w:rsidR="00D93056" w:rsidRDefault="00D93056">
      <w:pPr>
        <w:pBdr>
          <w:top w:val="nil"/>
          <w:left w:val="nil"/>
          <w:bottom w:val="nil"/>
          <w:right w:val="nil"/>
          <w:between w:val="nil"/>
        </w:pBdr>
        <w:spacing w:before="240"/>
        <w:ind w:left="165"/>
      </w:pPr>
    </w:p>
    <w:p w14:paraId="5275DBA2" w14:textId="5FA1880C" w:rsidR="00D93056" w:rsidRDefault="00D93056">
      <w:pPr>
        <w:pBdr>
          <w:top w:val="nil"/>
          <w:left w:val="nil"/>
          <w:bottom w:val="nil"/>
          <w:right w:val="nil"/>
          <w:between w:val="nil"/>
        </w:pBdr>
        <w:spacing w:before="240"/>
        <w:ind w:left="165"/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52ED1744" wp14:editId="6CA25C8C">
            <wp:simplePos x="0" y="0"/>
            <wp:positionH relativeFrom="column">
              <wp:posOffset>0</wp:posOffset>
            </wp:positionH>
            <wp:positionV relativeFrom="paragraph">
              <wp:posOffset>307975</wp:posOffset>
            </wp:positionV>
            <wp:extent cx="5772150" cy="283845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838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98DF98" w14:textId="77777777" w:rsidR="00D93056" w:rsidRDefault="00D93056">
      <w:pPr>
        <w:pBdr>
          <w:top w:val="nil"/>
          <w:left w:val="nil"/>
          <w:bottom w:val="nil"/>
          <w:right w:val="nil"/>
          <w:between w:val="nil"/>
        </w:pBdr>
        <w:spacing w:before="240"/>
        <w:ind w:left="165"/>
      </w:pPr>
    </w:p>
    <w:p w14:paraId="5CE483E6" w14:textId="77777777" w:rsidR="00D93056" w:rsidRDefault="00D93056">
      <w:pPr>
        <w:pBdr>
          <w:top w:val="nil"/>
          <w:left w:val="nil"/>
          <w:bottom w:val="nil"/>
          <w:right w:val="nil"/>
          <w:between w:val="nil"/>
        </w:pBdr>
        <w:spacing w:before="240"/>
        <w:ind w:left="165"/>
      </w:pPr>
    </w:p>
    <w:p w14:paraId="65A4A319" w14:textId="77777777" w:rsidR="00D93056" w:rsidRDefault="00D93056">
      <w:pPr>
        <w:pBdr>
          <w:top w:val="nil"/>
          <w:left w:val="nil"/>
          <w:bottom w:val="nil"/>
          <w:right w:val="nil"/>
          <w:between w:val="nil"/>
        </w:pBdr>
        <w:spacing w:before="240"/>
        <w:ind w:left="165"/>
      </w:pPr>
    </w:p>
    <w:p w14:paraId="5FF1F06E" w14:textId="77777777" w:rsidR="00D93056" w:rsidRDefault="00D93056">
      <w:pPr>
        <w:pBdr>
          <w:top w:val="nil"/>
          <w:left w:val="nil"/>
          <w:bottom w:val="nil"/>
          <w:right w:val="nil"/>
          <w:between w:val="nil"/>
        </w:pBdr>
        <w:spacing w:before="240"/>
        <w:ind w:left="165"/>
        <w:rPr>
          <w:color w:val="000000"/>
        </w:rPr>
      </w:pPr>
    </w:p>
    <w:p w14:paraId="647FED93" w14:textId="77777777" w:rsidR="0049481F" w:rsidRDefault="0049481F">
      <w:pPr>
        <w:pBdr>
          <w:top w:val="nil"/>
          <w:left w:val="nil"/>
          <w:bottom w:val="nil"/>
          <w:right w:val="nil"/>
          <w:between w:val="nil"/>
        </w:pBdr>
        <w:spacing w:before="107" w:after="1"/>
        <w:rPr>
          <w:color w:val="000000"/>
          <w:sz w:val="20"/>
          <w:szCs w:val="20"/>
        </w:rPr>
      </w:pPr>
    </w:p>
    <w:tbl>
      <w:tblPr>
        <w:tblStyle w:val="a"/>
        <w:tblW w:w="908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363"/>
        <w:gridCol w:w="3143"/>
        <w:gridCol w:w="2578"/>
      </w:tblGrid>
      <w:tr w:rsidR="0049481F" w14:paraId="264E7B6C" w14:textId="77777777" w:rsidTr="00D93056">
        <w:trPr>
          <w:trHeight w:val="434"/>
          <w:jc w:val="center"/>
        </w:trPr>
        <w:tc>
          <w:tcPr>
            <w:tcW w:w="336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8EAADA"/>
          </w:tcPr>
          <w:p w14:paraId="1ACA0ABA" w14:textId="77777777" w:rsidR="004948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Metastatic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site</w:t>
            </w:r>
          </w:p>
        </w:tc>
        <w:tc>
          <w:tcPr>
            <w:tcW w:w="314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8EAADA"/>
          </w:tcPr>
          <w:p w14:paraId="540A51BE" w14:textId="77777777" w:rsidR="004948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7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cases</w:t>
            </w:r>
          </w:p>
        </w:tc>
        <w:tc>
          <w:tcPr>
            <w:tcW w:w="257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8EAADA"/>
          </w:tcPr>
          <w:p w14:paraId="2AEECD80" w14:textId="77777777" w:rsidR="004948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Percentage (%)</w:t>
            </w:r>
          </w:p>
        </w:tc>
      </w:tr>
      <w:tr w:rsidR="0049481F" w14:paraId="6F337192" w14:textId="77777777" w:rsidTr="00D93056">
        <w:trPr>
          <w:trHeight w:val="424"/>
          <w:jc w:val="center"/>
        </w:trPr>
        <w:tc>
          <w:tcPr>
            <w:tcW w:w="3363" w:type="dxa"/>
            <w:tcBorders>
              <w:top w:val="single" w:sz="18" w:space="0" w:color="000000"/>
            </w:tcBorders>
          </w:tcPr>
          <w:p w14:paraId="2BE1A27F" w14:textId="77777777" w:rsidR="004948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Liver</w:t>
            </w:r>
            <w:proofErr w:type="spellEnd"/>
          </w:p>
        </w:tc>
        <w:tc>
          <w:tcPr>
            <w:tcW w:w="3143" w:type="dxa"/>
            <w:tcBorders>
              <w:top w:val="single" w:sz="18" w:space="0" w:color="000000"/>
            </w:tcBorders>
          </w:tcPr>
          <w:p w14:paraId="0A23A7D3" w14:textId="77777777" w:rsidR="004948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7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78" w:type="dxa"/>
            <w:tcBorders>
              <w:top w:val="single" w:sz="18" w:space="0" w:color="000000"/>
            </w:tcBorders>
          </w:tcPr>
          <w:p w14:paraId="14E9FA49" w14:textId="77777777" w:rsidR="004948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9481F" w14:paraId="2C660401" w14:textId="77777777" w:rsidTr="00D93056">
        <w:trPr>
          <w:trHeight w:val="450"/>
          <w:jc w:val="center"/>
        </w:trPr>
        <w:tc>
          <w:tcPr>
            <w:tcW w:w="3363" w:type="dxa"/>
          </w:tcPr>
          <w:p w14:paraId="2398F0F1" w14:textId="77777777" w:rsidR="004948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1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Isolated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involvement</w:t>
            </w:r>
            <w:proofErr w:type="spellEnd"/>
          </w:p>
        </w:tc>
        <w:tc>
          <w:tcPr>
            <w:tcW w:w="3143" w:type="dxa"/>
          </w:tcPr>
          <w:p w14:paraId="3D600D9D" w14:textId="77777777" w:rsidR="004948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7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78" w:type="dxa"/>
          </w:tcPr>
          <w:p w14:paraId="28F7257D" w14:textId="77777777" w:rsidR="004948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49481F" w14:paraId="0D49EBE2" w14:textId="77777777" w:rsidTr="00D93056">
        <w:trPr>
          <w:trHeight w:val="449"/>
          <w:jc w:val="center"/>
        </w:trPr>
        <w:tc>
          <w:tcPr>
            <w:tcW w:w="3363" w:type="dxa"/>
          </w:tcPr>
          <w:p w14:paraId="60B45ACD" w14:textId="77777777" w:rsidR="004948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Associated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involvement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3143" w:type="dxa"/>
          </w:tcPr>
          <w:p w14:paraId="020C4C68" w14:textId="77777777" w:rsidR="004948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7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14:paraId="2CDBF4C5" w14:textId="77777777" w:rsidR="004948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9481F" w14:paraId="755BF2FC" w14:textId="77777777" w:rsidTr="00D93056">
        <w:trPr>
          <w:trHeight w:val="451"/>
          <w:jc w:val="center"/>
        </w:trPr>
        <w:tc>
          <w:tcPr>
            <w:tcW w:w="3363" w:type="dxa"/>
          </w:tcPr>
          <w:p w14:paraId="67EAFE10" w14:textId="77777777" w:rsidR="004948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4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lung</w:t>
            </w:r>
            <w:proofErr w:type="spellEnd"/>
          </w:p>
        </w:tc>
        <w:tc>
          <w:tcPr>
            <w:tcW w:w="3143" w:type="dxa"/>
          </w:tcPr>
          <w:p w14:paraId="3D219829" w14:textId="77777777" w:rsidR="004948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7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14:paraId="4CD72965" w14:textId="77777777" w:rsidR="004948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9481F" w14:paraId="13BF9599" w14:textId="77777777" w:rsidTr="00D93056">
        <w:trPr>
          <w:trHeight w:val="450"/>
          <w:jc w:val="center"/>
        </w:trPr>
        <w:tc>
          <w:tcPr>
            <w:tcW w:w="3363" w:type="dxa"/>
          </w:tcPr>
          <w:p w14:paraId="6385B1F1" w14:textId="77777777" w:rsidR="004948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4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peritoneum</w:t>
            </w:r>
            <w:proofErr w:type="spellEnd"/>
          </w:p>
        </w:tc>
        <w:tc>
          <w:tcPr>
            <w:tcW w:w="3143" w:type="dxa"/>
          </w:tcPr>
          <w:p w14:paraId="1B086942" w14:textId="77777777" w:rsidR="004948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7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14:paraId="2CBAC260" w14:textId="77777777" w:rsidR="004948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9481F" w14:paraId="4B084201" w14:textId="77777777" w:rsidTr="00D93056">
        <w:trPr>
          <w:trHeight w:val="449"/>
          <w:jc w:val="center"/>
        </w:trPr>
        <w:tc>
          <w:tcPr>
            <w:tcW w:w="3363" w:type="dxa"/>
            <w:tcBorders>
              <w:bottom w:val="single" w:sz="18" w:space="0" w:color="000000"/>
            </w:tcBorders>
          </w:tcPr>
          <w:p w14:paraId="37DAD551" w14:textId="77777777" w:rsidR="004948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4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lymph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nodes</w:t>
            </w:r>
            <w:proofErr w:type="spellEnd"/>
          </w:p>
        </w:tc>
        <w:tc>
          <w:tcPr>
            <w:tcW w:w="3143" w:type="dxa"/>
            <w:tcBorders>
              <w:bottom w:val="single" w:sz="18" w:space="0" w:color="000000"/>
            </w:tcBorders>
          </w:tcPr>
          <w:p w14:paraId="613649E2" w14:textId="77777777" w:rsidR="004948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7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8" w:type="dxa"/>
            <w:tcBorders>
              <w:bottom w:val="single" w:sz="18" w:space="0" w:color="000000"/>
            </w:tcBorders>
          </w:tcPr>
          <w:p w14:paraId="7ABD4B8C" w14:textId="77777777" w:rsidR="004948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16D8FBDB" w14:textId="77777777" w:rsidR="0049481F" w:rsidRDefault="00000000">
      <w:pPr>
        <w:pBdr>
          <w:top w:val="nil"/>
          <w:left w:val="nil"/>
          <w:bottom w:val="nil"/>
          <w:right w:val="nil"/>
          <w:between w:val="nil"/>
        </w:pBdr>
        <w:spacing w:before="193"/>
        <w:ind w:left="16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Table 1. Distribution by </w:t>
      </w:r>
      <w:proofErr w:type="spellStart"/>
      <w:r>
        <w:rPr>
          <w:rFonts w:ascii="Times New Roman" w:eastAsia="Times New Roman" w:hAnsi="Times New Roman" w:cs="Times New Roman"/>
        </w:rPr>
        <w:t>metastatic</w:t>
      </w:r>
      <w:proofErr w:type="spellEnd"/>
      <w:r>
        <w:rPr>
          <w:rFonts w:ascii="Times New Roman" w:eastAsia="Times New Roman" w:hAnsi="Times New Roman" w:cs="Times New Roman"/>
        </w:rPr>
        <w:t xml:space="preserve"> sites (n = 20)</w:t>
      </w:r>
    </w:p>
    <w:p w14:paraId="1D42ABB8" w14:textId="5B154846" w:rsidR="0049481F" w:rsidRDefault="0049481F">
      <w:pPr>
        <w:pBdr>
          <w:top w:val="nil"/>
          <w:left w:val="nil"/>
          <w:bottom w:val="nil"/>
          <w:right w:val="nil"/>
          <w:between w:val="nil"/>
        </w:pBdr>
        <w:spacing w:before="24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9481F">
          <w:pgSz w:w="11920" w:h="16840"/>
          <w:pgMar w:top="1380" w:right="1417" w:bottom="280" w:left="1275" w:header="360" w:footer="360" w:gutter="0"/>
          <w:cols w:space="720"/>
        </w:sectPr>
      </w:pPr>
    </w:p>
    <w:p w14:paraId="21C27D4C" w14:textId="77777777" w:rsidR="0049481F" w:rsidRDefault="00000000">
      <w:pPr>
        <w:spacing w:before="240" w:after="240" w:line="276" w:lineRule="auto"/>
      </w:pPr>
      <w:proofErr w:type="spellStart"/>
      <w:r>
        <w:lastRenderedPageBreak/>
        <w:t>Histological</w:t>
      </w:r>
      <w:proofErr w:type="spellEnd"/>
      <w:r>
        <w:t xml:space="preserve"> confirmation of </w:t>
      </w:r>
      <w:proofErr w:type="spellStart"/>
      <w:r>
        <w:t>diagnosis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colonoscopy</w:t>
      </w:r>
      <w:proofErr w:type="spellEnd"/>
      <w:r>
        <w:t xml:space="preserve"> or </w:t>
      </w:r>
      <w:proofErr w:type="spellStart"/>
      <w:r>
        <w:t>rectoscopy</w:t>
      </w:r>
      <w:proofErr w:type="spellEnd"/>
      <w:r>
        <w:t xml:space="preserve"> in all patients.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histological</w:t>
      </w:r>
      <w:proofErr w:type="spellEnd"/>
      <w:r>
        <w:t xml:space="preserve"> type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moderately</w:t>
      </w:r>
      <w:proofErr w:type="spellEnd"/>
      <w:r>
        <w:t xml:space="preserve"> </w:t>
      </w:r>
      <w:proofErr w:type="spellStart"/>
      <w:r>
        <w:t>differentiated</w:t>
      </w:r>
      <w:proofErr w:type="spellEnd"/>
      <w:r>
        <w:t xml:space="preserve"> </w:t>
      </w:r>
      <w:proofErr w:type="spellStart"/>
      <w:r>
        <w:t>adenocarcinoma</w:t>
      </w:r>
      <w:proofErr w:type="spellEnd"/>
      <w:r>
        <w:t xml:space="preserve"> of the Lieberkühn type, </w:t>
      </w:r>
      <w:proofErr w:type="spellStart"/>
      <w:r>
        <w:t>accounting</w:t>
      </w:r>
      <w:proofErr w:type="spellEnd"/>
      <w:r>
        <w:t xml:space="preserve"> for 65% of cases. </w:t>
      </w:r>
      <w:proofErr w:type="spellStart"/>
      <w:r>
        <w:t>Tumor</w:t>
      </w:r>
      <w:proofErr w:type="spellEnd"/>
      <w:r>
        <w:t xml:space="preserve"> markers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elevated</w:t>
      </w:r>
      <w:proofErr w:type="spellEnd"/>
      <w:r>
        <w:t xml:space="preserve"> in </w:t>
      </w:r>
      <w:proofErr w:type="spellStart"/>
      <w:r>
        <w:t>most</w:t>
      </w:r>
      <w:proofErr w:type="spellEnd"/>
      <w:r>
        <w:t xml:space="preserve"> patients,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carcinoembryonic</w:t>
      </w:r>
      <w:proofErr w:type="spellEnd"/>
      <w:r>
        <w:t xml:space="preserve"> </w:t>
      </w:r>
      <w:proofErr w:type="spellStart"/>
      <w:r>
        <w:t>antigen</w:t>
      </w:r>
      <w:proofErr w:type="spellEnd"/>
      <w:r>
        <w:t xml:space="preserve"> (CEA) </w:t>
      </w:r>
      <w:proofErr w:type="spellStart"/>
      <w:r>
        <w:t>elevated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60% and carbohydrate </w:t>
      </w:r>
      <w:proofErr w:type="spellStart"/>
      <w:r>
        <w:t>antigen</w:t>
      </w:r>
      <w:proofErr w:type="spellEnd"/>
      <w:r>
        <w:t xml:space="preserve"> 19-9 (CA 19-9) </w:t>
      </w:r>
      <w:proofErr w:type="spellStart"/>
      <w:r>
        <w:t>elevated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45% of cases.</w:t>
      </w:r>
    </w:p>
    <w:p w14:paraId="3D4DA314" w14:textId="77777777" w:rsidR="0049481F" w:rsidRDefault="00000000">
      <w:pPr>
        <w:spacing w:before="240" w:after="240" w:line="276" w:lineRule="auto"/>
      </w:pPr>
      <w:proofErr w:type="spellStart"/>
      <w:r>
        <w:t>Surgical</w:t>
      </w:r>
      <w:proofErr w:type="spellEnd"/>
      <w:r>
        <w:t xml:space="preserve"> </w:t>
      </w:r>
      <w:proofErr w:type="spellStart"/>
      <w:r>
        <w:t>resection</w:t>
      </w:r>
      <w:proofErr w:type="spellEnd"/>
      <w:r>
        <w:t xml:space="preserve"> of the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tumor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feasible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95% of patients. </w:t>
      </w:r>
      <w:proofErr w:type="spellStart"/>
      <w:r>
        <w:t>Hepatic</w:t>
      </w:r>
      <w:proofErr w:type="spellEnd"/>
      <w:r>
        <w:t xml:space="preserve"> </w:t>
      </w:r>
      <w:proofErr w:type="spellStart"/>
      <w:r>
        <w:t>metastasectomy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40% of cases. All patients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systemic</w:t>
      </w:r>
      <w:proofErr w:type="spellEnd"/>
      <w:r>
        <w:t xml:space="preserve"> </w:t>
      </w:r>
      <w:proofErr w:type="spellStart"/>
      <w:r>
        <w:t>chemotherapy</w:t>
      </w:r>
      <w:proofErr w:type="spellEnd"/>
      <w:r>
        <w:t xml:space="preserve">. The FOLFOX4 </w:t>
      </w:r>
      <w:proofErr w:type="spellStart"/>
      <w:r>
        <w:t>regimen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commonly</w:t>
      </w:r>
      <w:proofErr w:type="spellEnd"/>
      <w:r>
        <w:t xml:space="preserve"> </w:t>
      </w:r>
      <w:proofErr w:type="spellStart"/>
      <w:r>
        <w:t>administered</w:t>
      </w:r>
      <w:proofErr w:type="spellEnd"/>
      <w:r>
        <w:t xml:space="preserve">, </w:t>
      </w:r>
      <w:proofErr w:type="spellStart"/>
      <w:r>
        <w:t>followed</w:t>
      </w:r>
      <w:proofErr w:type="spellEnd"/>
      <w:r>
        <w:t xml:space="preserve"> by XELOX, FOLFIRINOX, XELIRI, and FOLFIRI, </w:t>
      </w:r>
      <w:proofErr w:type="spellStart"/>
      <w:r>
        <w:t>with</w:t>
      </w:r>
      <w:proofErr w:type="spellEnd"/>
      <w:r>
        <w:t xml:space="preserve"> the addition of </w:t>
      </w:r>
      <w:proofErr w:type="spellStart"/>
      <w:r>
        <w:t>panitumumab</w:t>
      </w:r>
      <w:proofErr w:type="spellEnd"/>
      <w:r>
        <w:t xml:space="preserve"> in patients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molecular</w:t>
      </w:r>
      <w:proofErr w:type="spellEnd"/>
      <w:r>
        <w:t xml:space="preserve"> profiles </w:t>
      </w:r>
      <w:proofErr w:type="spellStart"/>
      <w:r>
        <w:t>permitted</w:t>
      </w:r>
      <w:proofErr w:type="spellEnd"/>
      <w:r>
        <w:t xml:space="preserve"> </w:t>
      </w:r>
      <w:proofErr w:type="spellStart"/>
      <w:r>
        <w:t>targeted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. Five patients </w:t>
      </w:r>
      <w:proofErr w:type="spellStart"/>
      <w:r>
        <w:t>with</w:t>
      </w:r>
      <w:proofErr w:type="spellEnd"/>
      <w:r>
        <w:t xml:space="preserve"> rectal </w:t>
      </w:r>
      <w:proofErr w:type="spellStart"/>
      <w:r>
        <w:t>tumors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perioperative</w:t>
      </w:r>
      <w:proofErr w:type="spellEnd"/>
      <w:r>
        <w:t xml:space="preserve"> </w:t>
      </w:r>
      <w:proofErr w:type="spellStart"/>
      <w:r>
        <w:t>radiotherapy</w:t>
      </w:r>
      <w:proofErr w:type="spellEnd"/>
      <w:r>
        <w:t>.</w:t>
      </w:r>
    </w:p>
    <w:p w14:paraId="66760144" w14:textId="77777777" w:rsidR="0049481F" w:rsidRDefault="00000000">
      <w:pPr>
        <w:spacing w:before="240" w:after="240" w:line="276" w:lineRule="auto"/>
      </w:pPr>
      <w:proofErr w:type="spellStart"/>
      <w:r>
        <w:t>Postoperative</w:t>
      </w:r>
      <w:proofErr w:type="spellEnd"/>
      <w:r>
        <w:t xml:space="preserve"> </w:t>
      </w:r>
      <w:proofErr w:type="spellStart"/>
      <w:r>
        <w:t>mortality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10%, and </w:t>
      </w:r>
      <w:proofErr w:type="spellStart"/>
      <w:r>
        <w:t>postoperative</w:t>
      </w:r>
      <w:proofErr w:type="spellEnd"/>
      <w:r>
        <w:t xml:space="preserve"> </w:t>
      </w:r>
      <w:proofErr w:type="spellStart"/>
      <w:r>
        <w:t>morbidity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10%. The </w:t>
      </w:r>
      <w:proofErr w:type="spellStart"/>
      <w:r>
        <w:t>median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survival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12.6 </w:t>
      </w:r>
      <w:proofErr w:type="spellStart"/>
      <w:r>
        <w:t>months</w:t>
      </w:r>
      <w:proofErr w:type="spellEnd"/>
      <w:r>
        <w:t xml:space="preserve">, </w:t>
      </w:r>
      <w:proofErr w:type="spellStart"/>
      <w:r>
        <w:t>ranging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2 to 36 </w:t>
      </w:r>
      <w:proofErr w:type="spellStart"/>
      <w:r>
        <w:t>months</w:t>
      </w:r>
      <w:proofErr w:type="spellEnd"/>
      <w:r>
        <w:t xml:space="preserve">. At the end of the follow-up </w:t>
      </w:r>
      <w:proofErr w:type="spellStart"/>
      <w:r>
        <w:t>period</w:t>
      </w:r>
      <w:proofErr w:type="spellEnd"/>
      <w:r>
        <w:t xml:space="preserve">, 65% of patients </w:t>
      </w:r>
      <w:proofErr w:type="spellStart"/>
      <w:r>
        <w:t>had</w:t>
      </w:r>
      <w:proofErr w:type="spellEnd"/>
      <w:r>
        <w:t xml:space="preserve"> </w:t>
      </w:r>
      <w:proofErr w:type="spellStart"/>
      <w:r>
        <w:t>died</w:t>
      </w:r>
      <w:proofErr w:type="spellEnd"/>
      <w:r>
        <w:t xml:space="preserve">, 20%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undergoing</w:t>
      </w:r>
      <w:proofErr w:type="spellEnd"/>
      <w:r>
        <w:t xml:space="preserve"> </w:t>
      </w:r>
      <w:proofErr w:type="spellStart"/>
      <w:r>
        <w:t>chemotherapy</w:t>
      </w:r>
      <w:proofErr w:type="spellEnd"/>
      <w:r>
        <w:t xml:space="preserve">, and 15% </w:t>
      </w:r>
      <w:proofErr w:type="spellStart"/>
      <w:r>
        <w:t>showed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progression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treatment</w:t>
      </w:r>
      <w:proofErr w:type="spellEnd"/>
    </w:p>
    <w:p w14:paraId="581B8716" w14:textId="77777777" w:rsidR="0049481F" w:rsidRDefault="0049481F">
      <w:pPr>
        <w:pStyle w:val="Heading1"/>
        <w:spacing w:before="1"/>
        <w:ind w:left="0"/>
      </w:pPr>
    </w:p>
    <w:p w14:paraId="331A3AB9" w14:textId="77777777" w:rsidR="0049481F" w:rsidRDefault="00000000">
      <w:pPr>
        <w:spacing w:before="240" w:after="240" w:line="276" w:lineRule="auto"/>
        <w:rPr>
          <w:b/>
        </w:rPr>
      </w:pPr>
      <w:r>
        <w:rPr>
          <w:b/>
        </w:rPr>
        <w:t>Discussion</w:t>
      </w:r>
    </w:p>
    <w:p w14:paraId="104B9BFC" w14:textId="77777777" w:rsidR="0049481F" w:rsidRDefault="00000000">
      <w:pPr>
        <w:spacing w:before="240" w:after="240" w:line="276" w:lineRule="auto"/>
      </w:pPr>
      <w:proofErr w:type="spellStart"/>
      <w:proofErr w:type="gramStart"/>
      <w:r>
        <w:t>mCRC</w:t>
      </w:r>
      <w:proofErr w:type="spellEnd"/>
      <w:proofErr w:type="gramEnd"/>
      <w:r>
        <w:t xml:space="preserve"> </w:t>
      </w:r>
      <w:proofErr w:type="spellStart"/>
      <w:r>
        <w:t>remains</w:t>
      </w:r>
      <w:proofErr w:type="spellEnd"/>
      <w:r>
        <w:t xml:space="preserve"> a </w:t>
      </w:r>
      <w:proofErr w:type="spellStart"/>
      <w:r>
        <w:t>critical</w:t>
      </w:r>
      <w:proofErr w:type="spellEnd"/>
      <w:r>
        <w:t xml:space="preserve"> public </w:t>
      </w:r>
      <w:proofErr w:type="spellStart"/>
      <w:r>
        <w:t>health</w:t>
      </w:r>
      <w:proofErr w:type="spellEnd"/>
      <w:r>
        <w:t xml:space="preserve"> issue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prevalence</w:t>
      </w:r>
      <w:proofErr w:type="spellEnd"/>
      <w:r>
        <w:t xml:space="preserve"> and </w:t>
      </w:r>
      <w:proofErr w:type="spellStart"/>
      <w:r>
        <w:t>complex</w:t>
      </w:r>
      <w:proofErr w:type="spellEnd"/>
      <w:r>
        <w:t xml:space="preserve"> management. Our patients </w:t>
      </w:r>
      <w:proofErr w:type="spellStart"/>
      <w:r>
        <w:t>presented</w:t>
      </w:r>
      <w:proofErr w:type="spellEnd"/>
      <w:r>
        <w:t xml:space="preserve"> at an </w:t>
      </w:r>
      <w:proofErr w:type="spellStart"/>
      <w:r>
        <w:t>advanced</w:t>
      </w:r>
      <w:proofErr w:type="spellEnd"/>
      <w:r>
        <w:t xml:space="preserve"> stage, </w:t>
      </w:r>
      <w:proofErr w:type="spellStart"/>
      <w:r>
        <w:t>with</w:t>
      </w:r>
      <w:proofErr w:type="spellEnd"/>
      <w:r>
        <w:t xml:space="preserve"> long </w:t>
      </w:r>
      <w:proofErr w:type="spellStart"/>
      <w:r>
        <w:t>delays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consultation—</w:t>
      </w:r>
      <w:proofErr w:type="spellStart"/>
      <w:r>
        <w:t>common</w:t>
      </w:r>
      <w:proofErr w:type="spellEnd"/>
      <w:r>
        <w:t xml:space="preserve"> in </w:t>
      </w:r>
      <w:proofErr w:type="spellStart"/>
      <w:r>
        <w:t>low-resource</w:t>
      </w:r>
      <w:proofErr w:type="spellEnd"/>
      <w:r>
        <w:t xml:space="preserve"> countries </w:t>
      </w:r>
      <w:proofErr w:type="spellStart"/>
      <w:r>
        <w:t>where</w:t>
      </w:r>
      <w:proofErr w:type="spellEnd"/>
      <w:r>
        <w:t xml:space="preserve"> screening programs are </w:t>
      </w:r>
      <w:proofErr w:type="spellStart"/>
      <w:r>
        <w:t>limited</w:t>
      </w:r>
      <w:proofErr w:type="spellEnd"/>
      <w:r>
        <w:t xml:space="preserve">. Our </w:t>
      </w:r>
      <w:proofErr w:type="spellStart"/>
      <w:r>
        <w:t>demographic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(male </w:t>
      </w:r>
      <w:proofErr w:type="spellStart"/>
      <w:r>
        <w:t>predominance</w:t>
      </w:r>
      <w:proofErr w:type="spellEnd"/>
      <w:r>
        <w:t xml:space="preserve">,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of 56) are consistent </w:t>
      </w:r>
      <w:proofErr w:type="spellStart"/>
      <w:r>
        <w:t>with</w:t>
      </w:r>
      <w:proofErr w:type="spellEnd"/>
      <w:r>
        <w:t xml:space="preserve"> global data,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incidence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younger</w:t>
      </w:r>
      <w:proofErr w:type="spellEnd"/>
      <w:r>
        <w:t xml:space="preserve"> populations has been </w:t>
      </w:r>
      <w:proofErr w:type="spellStart"/>
      <w:r>
        <w:t>reported</w:t>
      </w:r>
      <w:proofErr w:type="spellEnd"/>
      <w:r>
        <w:t>.</w:t>
      </w:r>
    </w:p>
    <w:p w14:paraId="3FABBEAE" w14:textId="77777777" w:rsidR="0049481F" w:rsidRDefault="00000000">
      <w:pPr>
        <w:spacing w:before="240" w:after="240" w:line="276" w:lineRule="auto"/>
      </w:pPr>
      <w:r>
        <w:t xml:space="preserve">The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main site of </w:t>
      </w:r>
      <w:proofErr w:type="spellStart"/>
      <w:r>
        <w:t>metastasis</w:t>
      </w:r>
      <w:proofErr w:type="spellEnd"/>
      <w:r>
        <w:t xml:space="preserve"> due to the portal drainage of the colon and rectum. </w:t>
      </w:r>
      <w:proofErr w:type="spellStart"/>
      <w:r>
        <w:t>Synchronous</w:t>
      </w:r>
      <w:proofErr w:type="spellEnd"/>
      <w:r>
        <w:t xml:space="preserve"> </w:t>
      </w:r>
      <w:proofErr w:type="spellStart"/>
      <w:r>
        <w:t>metastases</w:t>
      </w:r>
      <w:proofErr w:type="spellEnd"/>
      <w:r>
        <w:t xml:space="preserve">—more </w:t>
      </w:r>
      <w:proofErr w:type="spellStart"/>
      <w:r>
        <w:t>frequent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metachronous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—are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worse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>.</w:t>
      </w:r>
    </w:p>
    <w:p w14:paraId="3ABEF287" w14:textId="77777777" w:rsidR="0049481F" w:rsidRDefault="00000000">
      <w:pPr>
        <w:spacing w:before="240" w:after="240" w:line="276" w:lineRule="auto"/>
      </w:pPr>
      <w:proofErr w:type="spellStart"/>
      <w:r>
        <w:t>Histological</w:t>
      </w:r>
      <w:proofErr w:type="spellEnd"/>
      <w:r>
        <w:t xml:space="preserve"> confirmation and </w:t>
      </w:r>
      <w:proofErr w:type="spellStart"/>
      <w:r>
        <w:t>tumor</w:t>
      </w:r>
      <w:proofErr w:type="spellEnd"/>
      <w:r>
        <w:t xml:space="preserve"> marker </w:t>
      </w:r>
      <w:proofErr w:type="spellStart"/>
      <w:r>
        <w:t>assessment</w:t>
      </w:r>
      <w:proofErr w:type="spellEnd"/>
      <w:r>
        <w:t xml:space="preserve"> are essential, but </w:t>
      </w:r>
      <w:proofErr w:type="spellStart"/>
      <w:r>
        <w:t>molecular</w:t>
      </w:r>
      <w:proofErr w:type="spellEnd"/>
      <w:r>
        <w:t xml:space="preserve"> profiling (RAS, BRAF, MSI/</w:t>
      </w:r>
      <w:proofErr w:type="spellStart"/>
      <w:r>
        <w:t>dMMR</w:t>
      </w:r>
      <w:proofErr w:type="spellEnd"/>
      <w:r>
        <w:t xml:space="preserve">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for </w:t>
      </w:r>
      <w:proofErr w:type="spellStart"/>
      <w:r>
        <w:t>selecting</w:t>
      </w:r>
      <w:proofErr w:type="spellEnd"/>
      <w:r>
        <w:t xml:space="preserve"> </w:t>
      </w:r>
      <w:proofErr w:type="spellStart"/>
      <w:r>
        <w:t>targeted</w:t>
      </w:r>
      <w:proofErr w:type="spellEnd"/>
      <w:r>
        <w:t xml:space="preserve"> </w:t>
      </w:r>
      <w:proofErr w:type="spellStart"/>
      <w:r>
        <w:t>therapies</w:t>
      </w:r>
      <w:proofErr w:type="spellEnd"/>
      <w:r>
        <w:t xml:space="preserve"> or </w:t>
      </w:r>
      <w:proofErr w:type="spellStart"/>
      <w:r>
        <w:t>immunotherapy</w:t>
      </w:r>
      <w:proofErr w:type="spellEnd"/>
      <w:r>
        <w:t xml:space="preserve">. </w:t>
      </w:r>
      <w:proofErr w:type="spellStart"/>
      <w:r>
        <w:t>Unfortunately</w:t>
      </w:r>
      <w:proofErr w:type="spellEnd"/>
      <w:r>
        <w:t xml:space="preserve">,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molecular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context</w:t>
      </w:r>
      <w:proofErr w:type="spellEnd"/>
      <w:r>
        <w:t>.</w:t>
      </w:r>
    </w:p>
    <w:p w14:paraId="4A6AEC4D" w14:textId="77777777" w:rsidR="0049481F" w:rsidRDefault="00000000">
      <w:pPr>
        <w:spacing w:before="240" w:after="240" w:line="276" w:lineRule="auto"/>
      </w:pPr>
      <w:r>
        <w:t xml:space="preserve">A </w:t>
      </w:r>
      <w:proofErr w:type="spellStart"/>
      <w:r>
        <w:t>multidisciplinary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essential.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tumor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for complications or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metastasectomy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feasible</w:t>
      </w:r>
      <w:proofErr w:type="spellEnd"/>
      <w:r>
        <w:t xml:space="preserve">. </w:t>
      </w:r>
      <w:proofErr w:type="spellStart"/>
      <w:r>
        <w:t>Only</w:t>
      </w:r>
      <w:proofErr w:type="spellEnd"/>
      <w:r>
        <w:t xml:space="preserve"> 40% of </w:t>
      </w:r>
      <w:proofErr w:type="spellStart"/>
      <w:r>
        <w:t>our</w:t>
      </w:r>
      <w:proofErr w:type="spellEnd"/>
      <w:r>
        <w:t xml:space="preserve"> patients </w:t>
      </w:r>
      <w:proofErr w:type="spellStart"/>
      <w:r>
        <w:t>underwent</w:t>
      </w:r>
      <w:proofErr w:type="spellEnd"/>
      <w:r>
        <w:t xml:space="preserve">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metastasectomy</w:t>
      </w:r>
      <w:proofErr w:type="spellEnd"/>
      <w:r>
        <w:t xml:space="preserve">, in line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. Innovative techniques </w:t>
      </w:r>
      <w:proofErr w:type="spellStart"/>
      <w:r>
        <w:t>such</w:t>
      </w:r>
      <w:proofErr w:type="spellEnd"/>
      <w:r>
        <w:t xml:space="preserve"> as ablation, portal </w:t>
      </w:r>
      <w:proofErr w:type="spellStart"/>
      <w:r>
        <w:t>vein</w:t>
      </w:r>
      <w:proofErr w:type="spellEnd"/>
      <w:r>
        <w:t xml:space="preserve"> </w:t>
      </w:r>
      <w:proofErr w:type="spellStart"/>
      <w:r>
        <w:t>embolization</w:t>
      </w:r>
      <w:proofErr w:type="spellEnd"/>
      <w:r>
        <w:t xml:space="preserve">, and combination </w:t>
      </w:r>
      <w:proofErr w:type="spellStart"/>
      <w:r>
        <w:t>treatments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resectability</w:t>
      </w:r>
      <w:proofErr w:type="spellEnd"/>
      <w:r>
        <w:t xml:space="preserve"> but are not </w:t>
      </w:r>
      <w:proofErr w:type="spellStart"/>
      <w:r>
        <w:t>widely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>.</w:t>
      </w:r>
    </w:p>
    <w:p w14:paraId="02F815DA" w14:textId="77777777" w:rsidR="0049481F" w:rsidRDefault="00000000">
      <w:pPr>
        <w:spacing w:before="240" w:after="240" w:line="276" w:lineRule="auto"/>
      </w:pPr>
      <w:proofErr w:type="spellStart"/>
      <w:r>
        <w:t>Systemic</w:t>
      </w:r>
      <w:proofErr w:type="spellEnd"/>
      <w:r>
        <w:t xml:space="preserve"> </w:t>
      </w:r>
      <w:proofErr w:type="spellStart"/>
      <w:r>
        <w:t>chemotherapy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or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targeted</w:t>
      </w:r>
      <w:proofErr w:type="spellEnd"/>
      <w:r>
        <w:t xml:space="preserve"> agents </w:t>
      </w:r>
      <w:proofErr w:type="spellStart"/>
      <w:r>
        <w:t>remains</w:t>
      </w:r>
      <w:proofErr w:type="spellEnd"/>
      <w:r>
        <w:t xml:space="preserve"> central.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guided</w:t>
      </w:r>
      <w:proofErr w:type="spellEnd"/>
      <w:r>
        <w:t xml:space="preserve"> by </w:t>
      </w:r>
      <w:proofErr w:type="spellStart"/>
      <w:r>
        <w:t>tumor</w:t>
      </w:r>
      <w:proofErr w:type="spellEnd"/>
      <w:r>
        <w:t xml:space="preserve"> location and </w:t>
      </w:r>
      <w:proofErr w:type="spellStart"/>
      <w:r>
        <w:t>molecular</w:t>
      </w:r>
      <w:proofErr w:type="spellEnd"/>
      <w:r>
        <w:t xml:space="preserve"> profile. </w:t>
      </w:r>
      <w:proofErr w:type="spellStart"/>
      <w:r>
        <w:t>Immunotherapy</w:t>
      </w:r>
      <w:proofErr w:type="spellEnd"/>
      <w:r>
        <w:t xml:space="preserve"> has </w:t>
      </w:r>
      <w:proofErr w:type="spellStart"/>
      <w:r>
        <w:t>shown</w:t>
      </w:r>
      <w:proofErr w:type="spellEnd"/>
      <w:r>
        <w:t xml:space="preserve"> excellent </w:t>
      </w:r>
      <w:proofErr w:type="spellStart"/>
      <w:r>
        <w:t>results</w:t>
      </w:r>
      <w:proofErr w:type="spellEnd"/>
      <w:r>
        <w:t xml:space="preserve"> in MSI/</w:t>
      </w:r>
      <w:proofErr w:type="spellStart"/>
      <w:r>
        <w:t>dMMR</w:t>
      </w:r>
      <w:proofErr w:type="spellEnd"/>
      <w:r>
        <w:t xml:space="preserve"> </w:t>
      </w:r>
      <w:proofErr w:type="spellStart"/>
      <w:r>
        <w:t>tumors</w:t>
      </w:r>
      <w:proofErr w:type="spellEnd"/>
      <w:r>
        <w:t xml:space="preserve">,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inaccessible for </w:t>
      </w:r>
      <w:proofErr w:type="spellStart"/>
      <w:r>
        <w:t>many</w:t>
      </w:r>
      <w:proofErr w:type="spellEnd"/>
      <w:r>
        <w:t>.</w:t>
      </w:r>
    </w:p>
    <w:p w14:paraId="026AF170" w14:textId="77777777" w:rsidR="0049481F" w:rsidRDefault="00000000">
      <w:pPr>
        <w:spacing w:before="240" w:after="240" w:line="276" w:lineRule="auto"/>
      </w:pPr>
      <w:proofErr w:type="spellStart"/>
      <w:r>
        <w:t>Liver</w:t>
      </w:r>
      <w:proofErr w:type="spellEnd"/>
      <w:r>
        <w:t xml:space="preserve"> transplantation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emerging</w:t>
      </w:r>
      <w:proofErr w:type="spellEnd"/>
      <w:r>
        <w:t xml:space="preserve"> as a </w:t>
      </w:r>
      <w:proofErr w:type="spellStart"/>
      <w:r>
        <w:t>promising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for </w:t>
      </w:r>
      <w:proofErr w:type="spellStart"/>
      <w:r>
        <w:t>unresectable</w:t>
      </w:r>
      <w:proofErr w:type="spellEnd"/>
      <w:r>
        <w:t xml:space="preserve"> </w:t>
      </w:r>
      <w:proofErr w:type="spellStart"/>
      <w:r>
        <w:t>hepatic</w:t>
      </w:r>
      <w:proofErr w:type="spellEnd"/>
      <w:r>
        <w:t xml:space="preserve"> </w:t>
      </w:r>
      <w:proofErr w:type="spellStart"/>
      <w:r>
        <w:t>metastases</w:t>
      </w:r>
      <w:proofErr w:type="spellEnd"/>
      <w:r>
        <w:t xml:space="preserve">. The </w:t>
      </w:r>
      <w:proofErr w:type="spellStart"/>
      <w:r>
        <w:t>TransMet</w:t>
      </w:r>
      <w:proofErr w:type="spellEnd"/>
      <w:r>
        <w:t xml:space="preserve"> trial (2024) </w:t>
      </w:r>
      <w:proofErr w:type="spellStart"/>
      <w:r>
        <w:t>demonstrated</w:t>
      </w:r>
      <w:proofErr w:type="spellEnd"/>
      <w:r>
        <w:t xml:space="preserve"> 5-year </w:t>
      </w:r>
      <w:proofErr w:type="spellStart"/>
      <w:r>
        <w:t>survival</w:t>
      </w:r>
      <w:proofErr w:type="spellEnd"/>
      <w:r>
        <w:t xml:space="preserve"> rates of 73% </w:t>
      </w:r>
      <w:proofErr w:type="spellStart"/>
      <w:r>
        <w:t>with</w:t>
      </w:r>
      <w:proofErr w:type="spellEnd"/>
      <w:r>
        <w:t xml:space="preserve"> transplantation, versus 9%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chemotherapy</w:t>
      </w:r>
      <w:proofErr w:type="spellEnd"/>
      <w:r>
        <w:t xml:space="preserve"> </w:t>
      </w:r>
      <w:proofErr w:type="spellStart"/>
      <w:r>
        <w:t>alone</w:t>
      </w:r>
      <w:proofErr w:type="spellEnd"/>
      <w:r>
        <w:t>—</w:t>
      </w:r>
      <w:proofErr w:type="spellStart"/>
      <w:r>
        <w:t>highlighting</w:t>
      </w:r>
      <w:proofErr w:type="spellEnd"/>
      <w:r>
        <w:t xml:space="preserve"> a </w:t>
      </w:r>
      <w:proofErr w:type="spellStart"/>
      <w:r>
        <w:t>paradigm</w:t>
      </w:r>
      <w:proofErr w:type="spellEnd"/>
      <w:r>
        <w:t xml:space="preserve"> shift. </w:t>
      </w:r>
      <w:proofErr w:type="spellStart"/>
      <w:r>
        <w:t>However</w:t>
      </w:r>
      <w:proofErr w:type="spellEnd"/>
      <w:r>
        <w:t xml:space="preserve">, </w:t>
      </w:r>
      <w:r>
        <w:lastRenderedPageBreak/>
        <w:t xml:space="preserve">challenges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graft</w:t>
      </w:r>
      <w:proofErr w:type="spellEnd"/>
      <w:r>
        <w:t xml:space="preserve"> </w:t>
      </w:r>
      <w:proofErr w:type="spellStart"/>
      <w:r>
        <w:t>availability</w:t>
      </w:r>
      <w:proofErr w:type="spellEnd"/>
      <w:r>
        <w:t xml:space="preserve">, patient </w:t>
      </w:r>
      <w:proofErr w:type="spellStart"/>
      <w:r>
        <w:t>selection</w:t>
      </w:r>
      <w:proofErr w:type="spellEnd"/>
      <w:r>
        <w:t xml:space="preserve">, and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considerations</w:t>
      </w:r>
      <w:proofErr w:type="spellEnd"/>
      <w:r>
        <w:t>.</w:t>
      </w:r>
    </w:p>
    <w:p w14:paraId="5BBD13BB" w14:textId="77777777" w:rsidR="0049481F" w:rsidRDefault="00000000">
      <w:pPr>
        <w:spacing w:before="240" w:after="240" w:line="276" w:lineRule="auto"/>
      </w:pPr>
      <w:proofErr w:type="spellStart"/>
      <w:r>
        <w:t>Despite</w:t>
      </w:r>
      <w:proofErr w:type="spellEnd"/>
      <w:r>
        <w:t xml:space="preserve"> </w:t>
      </w:r>
      <w:proofErr w:type="spellStart"/>
      <w:r>
        <w:t>advances</w:t>
      </w:r>
      <w:proofErr w:type="spellEnd"/>
      <w:r>
        <w:t xml:space="preserve">, the </w:t>
      </w:r>
      <w:proofErr w:type="spellStart"/>
      <w:r>
        <w:t>prognosis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in </w:t>
      </w:r>
      <w:proofErr w:type="spellStart"/>
      <w:r>
        <w:t>low-resource</w:t>
      </w:r>
      <w:proofErr w:type="spellEnd"/>
      <w:r>
        <w:t xml:space="preserve"> settings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median</w:t>
      </w:r>
      <w:proofErr w:type="spellEnd"/>
      <w:r>
        <w:t xml:space="preserve"> </w:t>
      </w:r>
      <w:proofErr w:type="spellStart"/>
      <w:r>
        <w:t>survival</w:t>
      </w:r>
      <w:proofErr w:type="spellEnd"/>
      <w:r>
        <w:t xml:space="preserve"> </w:t>
      </w:r>
      <w:proofErr w:type="spellStart"/>
      <w:r>
        <w:t>rarely</w:t>
      </w:r>
      <w:proofErr w:type="spellEnd"/>
      <w:r>
        <w:t xml:space="preserve"> </w:t>
      </w:r>
      <w:proofErr w:type="spellStart"/>
      <w:r>
        <w:t>exceeds</w:t>
      </w:r>
      <w:proofErr w:type="spellEnd"/>
      <w:r>
        <w:t xml:space="preserve"> 15 </w:t>
      </w:r>
      <w:proofErr w:type="spellStart"/>
      <w:r>
        <w:t>months</w:t>
      </w:r>
      <w:proofErr w:type="spellEnd"/>
      <w:r>
        <w:t xml:space="preserve">.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prognostic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multiple </w:t>
      </w:r>
      <w:proofErr w:type="spellStart"/>
      <w:r>
        <w:t>metastatic</w:t>
      </w:r>
      <w:proofErr w:type="spellEnd"/>
      <w:r>
        <w:t xml:space="preserve"> sites,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, </w:t>
      </w:r>
      <w:proofErr w:type="spellStart"/>
      <w:r>
        <w:t>unfavorable</w:t>
      </w:r>
      <w:proofErr w:type="spellEnd"/>
      <w:r>
        <w:t xml:space="preserve"> mutations, and </w:t>
      </w:r>
      <w:proofErr w:type="spellStart"/>
      <w:r>
        <w:t>unresectability</w:t>
      </w:r>
      <w:proofErr w:type="spellEnd"/>
      <w:r>
        <w:t>.</w:t>
      </w:r>
    </w:p>
    <w:p w14:paraId="7FAAC6B0" w14:textId="77777777" w:rsidR="0049481F" w:rsidRDefault="00000000">
      <w:pPr>
        <w:spacing w:before="80" w:line="276" w:lineRule="auto"/>
        <w:ind w:left="165" w:right="105"/>
      </w:pPr>
      <w:r>
        <w:pict w14:anchorId="77C7FF1E">
          <v:rect id="_x0000_i1025" style="width:0;height:1.5pt" o:hralign="center" o:hrstd="t" o:hr="t" fillcolor="#a0a0a0" stroked="f"/>
        </w:pict>
      </w:r>
    </w:p>
    <w:p w14:paraId="55955DB9" w14:textId="77777777" w:rsidR="0049481F" w:rsidRDefault="00000000">
      <w:pPr>
        <w:spacing w:before="240" w:after="240" w:line="276" w:lineRule="auto"/>
        <w:rPr>
          <w:b/>
        </w:rPr>
      </w:pPr>
      <w:r>
        <w:rPr>
          <w:b/>
        </w:rPr>
        <w:t>Conclusion</w:t>
      </w:r>
    </w:p>
    <w:p w14:paraId="5E3971EC" w14:textId="77777777" w:rsidR="0049481F" w:rsidRDefault="00000000">
      <w:pPr>
        <w:spacing w:before="240" w:after="240" w:line="276" w:lineRule="auto"/>
      </w:pPr>
      <w:proofErr w:type="spellStart"/>
      <w:r>
        <w:t>Metastatic</w:t>
      </w:r>
      <w:proofErr w:type="spellEnd"/>
      <w:r>
        <w:t xml:space="preserve"> colorectal cancer continues to have a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prognosis</w:t>
      </w:r>
      <w:proofErr w:type="spellEnd"/>
      <w:r>
        <w:t xml:space="preserve">, </w:t>
      </w:r>
      <w:proofErr w:type="spellStart"/>
      <w:r>
        <w:t>particularly</w:t>
      </w:r>
      <w:proofErr w:type="spellEnd"/>
      <w:r>
        <w:t xml:space="preserve"> in </w:t>
      </w:r>
      <w:proofErr w:type="spellStart"/>
      <w:r>
        <w:t>low-resource</w:t>
      </w:r>
      <w:proofErr w:type="spellEnd"/>
      <w:r>
        <w:t xml:space="preserve"> </w:t>
      </w:r>
      <w:proofErr w:type="spellStart"/>
      <w:r>
        <w:t>environments</w:t>
      </w:r>
      <w:proofErr w:type="spellEnd"/>
      <w:r>
        <w:t xml:space="preserve">. </w:t>
      </w:r>
      <w:proofErr w:type="spellStart"/>
      <w:r>
        <w:t>Improved</w:t>
      </w:r>
      <w:proofErr w:type="spellEnd"/>
      <w:r>
        <w:t xml:space="preserve"> </w:t>
      </w:r>
      <w:proofErr w:type="spellStart"/>
      <w:r>
        <w:t>survival</w:t>
      </w:r>
      <w:proofErr w:type="spellEnd"/>
      <w:r>
        <w:t xml:space="preserve"> </w:t>
      </w:r>
      <w:proofErr w:type="spellStart"/>
      <w:r>
        <w:t>depends</w:t>
      </w:r>
      <w:proofErr w:type="spellEnd"/>
      <w:r>
        <w:t xml:space="preserve"> on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, </w:t>
      </w:r>
      <w:proofErr w:type="spellStart"/>
      <w:r>
        <w:t>multidisciplinary</w:t>
      </w:r>
      <w:proofErr w:type="spellEnd"/>
      <w:r>
        <w:t xml:space="preserve"> care,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molecular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, and innovative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liver</w:t>
      </w:r>
      <w:proofErr w:type="spellEnd"/>
      <w:r>
        <w:t xml:space="preserve"> transplantation for </w:t>
      </w:r>
      <w:proofErr w:type="spellStart"/>
      <w:r>
        <w:t>unresectable</w:t>
      </w:r>
      <w:proofErr w:type="spellEnd"/>
      <w:r>
        <w:t xml:space="preserve"> cases.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developments</w:t>
      </w:r>
      <w:proofErr w:type="spellEnd"/>
      <w:r>
        <w:t xml:space="preserve"> warrant </w:t>
      </w:r>
      <w:proofErr w:type="spellStart"/>
      <w:r>
        <w:t>continuous</w:t>
      </w:r>
      <w:proofErr w:type="spellEnd"/>
      <w:r>
        <w:t xml:space="preserve"> updates to management guidelines to </w:t>
      </w:r>
      <w:proofErr w:type="spellStart"/>
      <w:r>
        <w:t>ensure</w:t>
      </w:r>
      <w:proofErr w:type="spellEnd"/>
      <w:r>
        <w:t xml:space="preserve"> optimal patient care.</w:t>
      </w:r>
    </w:p>
    <w:p w14:paraId="5CD46444" w14:textId="77777777" w:rsidR="0049481F" w:rsidRDefault="0049481F">
      <w:pPr>
        <w:spacing w:before="240" w:after="240" w:line="276" w:lineRule="auto"/>
      </w:pPr>
    </w:p>
    <w:p w14:paraId="5B17765E" w14:textId="77777777" w:rsidR="0049481F" w:rsidRDefault="00000000">
      <w:pPr>
        <w:spacing w:before="240" w:after="240" w:line="276" w:lineRule="auto"/>
        <w:rPr>
          <w:b/>
        </w:rPr>
      </w:pPr>
      <w:proofErr w:type="gramStart"/>
      <w:r>
        <w:rPr>
          <w:b/>
        </w:rPr>
        <w:t>Consent:</w:t>
      </w:r>
      <w:proofErr w:type="gramEnd"/>
    </w:p>
    <w:p w14:paraId="2E24E30B" w14:textId="77777777" w:rsidR="0049481F" w:rsidRDefault="00000000">
      <w:pPr>
        <w:spacing w:before="240" w:after="240" w:line="276" w:lineRule="auto"/>
      </w:pPr>
      <w:r>
        <w:t xml:space="preserve">As per international standard or </w:t>
      </w:r>
      <w:proofErr w:type="spellStart"/>
      <w:r>
        <w:t>university</w:t>
      </w:r>
      <w:proofErr w:type="spellEnd"/>
      <w:r>
        <w:t xml:space="preserve"> standard, patient(s) </w:t>
      </w:r>
      <w:proofErr w:type="spellStart"/>
      <w:r>
        <w:t>written</w:t>
      </w:r>
      <w:proofErr w:type="spellEnd"/>
      <w:r>
        <w:t xml:space="preserve"> consent has been </w:t>
      </w:r>
      <w:proofErr w:type="spellStart"/>
      <w:r>
        <w:t>collected</w:t>
      </w:r>
      <w:proofErr w:type="spellEnd"/>
      <w:r>
        <w:t xml:space="preserve"> and </w:t>
      </w:r>
      <w:proofErr w:type="spellStart"/>
      <w:r>
        <w:t>preserved</w:t>
      </w:r>
      <w:proofErr w:type="spellEnd"/>
      <w:r>
        <w:t xml:space="preserve"> by the </w:t>
      </w:r>
      <w:proofErr w:type="spellStart"/>
      <w:r>
        <w:t>author</w:t>
      </w:r>
      <w:proofErr w:type="spellEnd"/>
      <w:r>
        <w:t>(s).</w:t>
      </w:r>
    </w:p>
    <w:p w14:paraId="5826F03E" w14:textId="77777777" w:rsidR="0049481F" w:rsidRDefault="00000000">
      <w:pPr>
        <w:spacing w:before="240" w:after="240" w:line="276" w:lineRule="auto"/>
      </w:pPr>
      <w:proofErr w:type="spellStart"/>
      <w:r>
        <w:t>Ethical</w:t>
      </w:r>
      <w:proofErr w:type="spellEnd"/>
      <w:r>
        <w:t xml:space="preserve"> </w:t>
      </w:r>
      <w:proofErr w:type="spellStart"/>
      <w:proofErr w:type="gramStart"/>
      <w:r>
        <w:t>Approval</w:t>
      </w:r>
      <w:proofErr w:type="spellEnd"/>
      <w:r>
        <w:t>:</w:t>
      </w:r>
      <w:proofErr w:type="gramEnd"/>
    </w:p>
    <w:p w14:paraId="68DB4CCB" w14:textId="77777777" w:rsidR="0049481F" w:rsidRDefault="00000000">
      <w:pPr>
        <w:spacing w:before="240" w:after="240" w:line="276" w:lineRule="auto"/>
      </w:pPr>
      <w:r>
        <w:t xml:space="preserve">This </w:t>
      </w:r>
      <w:proofErr w:type="spellStart"/>
      <w:r>
        <w:t>study</w:t>
      </w:r>
      <w:proofErr w:type="spellEnd"/>
      <w:r>
        <w:t xml:space="preserve"> has been </w:t>
      </w:r>
      <w:proofErr w:type="spellStart"/>
      <w:r>
        <w:t>approved</w:t>
      </w:r>
      <w:proofErr w:type="spellEnd"/>
      <w:r>
        <w:t xml:space="preserve"> by the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of the </w:t>
      </w:r>
      <w:proofErr w:type="spellStart"/>
      <w:r>
        <w:t>Department</w:t>
      </w:r>
      <w:proofErr w:type="spellEnd"/>
      <w:r>
        <w:t xml:space="preserve"> of General </w:t>
      </w:r>
      <w:proofErr w:type="spellStart"/>
      <w:r>
        <w:t>Surgery</w:t>
      </w:r>
      <w:proofErr w:type="spellEnd"/>
      <w:r>
        <w:t xml:space="preserve"> at IBN ROCHD </w:t>
      </w:r>
      <w:proofErr w:type="spellStart"/>
      <w:r>
        <w:t>University</w:t>
      </w:r>
      <w:proofErr w:type="spellEnd"/>
      <w:r>
        <w:t xml:space="preserve"> Hospital, Casablanca, Morocco. The </w:t>
      </w:r>
      <w:proofErr w:type="spellStart"/>
      <w:r>
        <w:t>principles</w:t>
      </w:r>
      <w:proofErr w:type="spellEnd"/>
      <w:r>
        <w:t xml:space="preserve"> of the Helsinki </w:t>
      </w:r>
      <w:proofErr w:type="spellStart"/>
      <w:r>
        <w:t>Declaration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>.</w:t>
      </w:r>
    </w:p>
    <w:p w14:paraId="401DF285" w14:textId="77777777" w:rsidR="0049481F" w:rsidRDefault="0049481F">
      <w:pPr>
        <w:spacing w:before="240" w:after="240" w:line="276" w:lineRule="auto"/>
      </w:pPr>
    </w:p>
    <w:p w14:paraId="57EDABEF" w14:textId="77777777" w:rsidR="0049481F" w:rsidRDefault="0049481F">
      <w:pPr>
        <w:spacing w:before="240" w:after="240" w:line="276" w:lineRule="auto"/>
      </w:pPr>
    </w:p>
    <w:p w14:paraId="53E9E4F0" w14:textId="77777777" w:rsidR="0049481F" w:rsidRDefault="00000000">
      <w:pPr>
        <w:spacing w:before="240" w:after="240" w:line="276" w:lineRule="auto"/>
      </w:pPr>
      <w:r>
        <w:t>Disclaimer (</w:t>
      </w:r>
      <w:proofErr w:type="spellStart"/>
      <w:r>
        <w:t>Artificial</w:t>
      </w:r>
      <w:proofErr w:type="spellEnd"/>
      <w:r>
        <w:t xml:space="preserve"> Intelligence</w:t>
      </w:r>
      <w:proofErr w:type="gramStart"/>
      <w:r>
        <w:t>):</w:t>
      </w:r>
      <w:proofErr w:type="gramEnd"/>
      <w:r>
        <w:t xml:space="preserve"> Option </w:t>
      </w:r>
      <w:proofErr w:type="gramStart"/>
      <w:r>
        <w:t>1:</w:t>
      </w:r>
      <w:proofErr w:type="gramEnd"/>
    </w:p>
    <w:p w14:paraId="4F00A15B" w14:textId="77777777" w:rsidR="0049481F" w:rsidRDefault="00000000">
      <w:pPr>
        <w:spacing w:before="240" w:after="240" w:line="276" w:lineRule="auto"/>
      </w:pPr>
      <w:r>
        <w:t xml:space="preserve"> </w:t>
      </w:r>
      <w:proofErr w:type="spellStart"/>
      <w:r>
        <w:t>Author</w:t>
      </w:r>
      <w:proofErr w:type="spellEnd"/>
      <w:r>
        <w:t xml:space="preserve">(s)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NO </w:t>
      </w:r>
      <w:proofErr w:type="spellStart"/>
      <w:r>
        <w:t>generative</w:t>
      </w:r>
      <w:proofErr w:type="spellEnd"/>
      <w:r>
        <w:t xml:space="preserve"> AI technologies </w:t>
      </w:r>
      <w:proofErr w:type="spellStart"/>
      <w:r>
        <w:t>such</w:t>
      </w:r>
      <w:proofErr w:type="spellEnd"/>
      <w:r>
        <w:t xml:space="preserve"> as Large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(</w:t>
      </w:r>
      <w:proofErr w:type="spellStart"/>
      <w:r>
        <w:t>ChatGPT</w:t>
      </w:r>
      <w:proofErr w:type="spellEnd"/>
      <w:r>
        <w:t xml:space="preserve">, COPILOT, etc.) and </w:t>
      </w:r>
      <w:proofErr w:type="spellStart"/>
      <w:r>
        <w:t>text</w:t>
      </w:r>
      <w:proofErr w:type="spellEnd"/>
      <w:r>
        <w:t xml:space="preserve">-to-image </w:t>
      </w:r>
      <w:proofErr w:type="spellStart"/>
      <w:r>
        <w:t>generators</w:t>
      </w:r>
      <w:proofErr w:type="spellEnd"/>
      <w:r>
        <w:t xml:space="preserve"> have been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writing</w:t>
      </w:r>
      <w:proofErr w:type="spellEnd"/>
      <w:r>
        <w:t xml:space="preserve"> or </w:t>
      </w:r>
      <w:proofErr w:type="spellStart"/>
      <w:r>
        <w:t>editing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>.</w:t>
      </w:r>
    </w:p>
    <w:p w14:paraId="663AF58D" w14:textId="77777777" w:rsidR="0049481F" w:rsidRDefault="0049481F">
      <w:pPr>
        <w:pBdr>
          <w:top w:val="nil"/>
          <w:left w:val="nil"/>
          <w:bottom w:val="nil"/>
          <w:right w:val="nil"/>
          <w:between w:val="nil"/>
        </w:pBdr>
        <w:spacing w:before="107"/>
        <w:rPr>
          <w:color w:val="000000"/>
        </w:rPr>
      </w:pPr>
    </w:p>
    <w:p w14:paraId="7EEB05B9" w14:textId="77777777" w:rsidR="0049481F" w:rsidRDefault="00000000">
      <w:pPr>
        <w:tabs>
          <w:tab w:val="left" w:pos="882"/>
          <w:tab w:val="left" w:pos="885"/>
        </w:tabs>
        <w:spacing w:before="240" w:after="240" w:line="276" w:lineRule="auto"/>
        <w:rPr>
          <w:b/>
        </w:rPr>
      </w:pPr>
      <w:proofErr w:type="spellStart"/>
      <w:r>
        <w:rPr>
          <w:b/>
        </w:rPr>
        <w:t>References</w:t>
      </w:r>
      <w:proofErr w:type="spellEnd"/>
    </w:p>
    <w:p w14:paraId="194792CE" w14:textId="77777777" w:rsidR="0049481F" w:rsidRDefault="00000000">
      <w:pPr>
        <w:numPr>
          <w:ilvl w:val="0"/>
          <w:numId w:val="1"/>
        </w:numPr>
        <w:tabs>
          <w:tab w:val="left" w:pos="882"/>
          <w:tab w:val="left" w:pos="885"/>
        </w:tabs>
        <w:spacing w:before="240" w:line="276" w:lineRule="auto"/>
      </w:pPr>
      <w:r>
        <w:t xml:space="preserve">Sung H, </w:t>
      </w:r>
      <w:proofErr w:type="spellStart"/>
      <w:r>
        <w:t>Ferlay</w:t>
      </w:r>
      <w:proofErr w:type="spellEnd"/>
      <w:r>
        <w:t xml:space="preserve"> J, Siegel RL, et al. Global Cancer </w:t>
      </w:r>
      <w:proofErr w:type="spellStart"/>
      <w:r>
        <w:t>Statistics</w:t>
      </w:r>
      <w:proofErr w:type="spellEnd"/>
      <w:r>
        <w:t xml:space="preserve"> </w:t>
      </w:r>
      <w:proofErr w:type="gramStart"/>
      <w:r>
        <w:t>2020:</w:t>
      </w:r>
      <w:proofErr w:type="gramEnd"/>
      <w:r>
        <w:t xml:space="preserve"> GLOBOCAN </w:t>
      </w:r>
      <w:proofErr w:type="spellStart"/>
      <w:r>
        <w:t>Estimates</w:t>
      </w:r>
      <w:proofErr w:type="spellEnd"/>
      <w:r>
        <w:t xml:space="preserve"> of Incidence and </w:t>
      </w:r>
      <w:proofErr w:type="spellStart"/>
      <w:r>
        <w:t>Mortality</w:t>
      </w:r>
      <w:proofErr w:type="spellEnd"/>
      <w:r>
        <w:t xml:space="preserve"> Worldwide for 36 Cancers </w:t>
      </w:r>
      <w:proofErr w:type="spellStart"/>
      <w:r>
        <w:t>in</w:t>
      </w:r>
      <w:proofErr w:type="spellEnd"/>
      <w:r>
        <w:t xml:space="preserve"> 185 Countries. </w:t>
      </w:r>
      <w:r>
        <w:rPr>
          <w:i/>
        </w:rPr>
        <w:t>CA Cancer J Clin.</w:t>
      </w:r>
      <w:r>
        <w:t xml:space="preserve"> </w:t>
      </w:r>
      <w:proofErr w:type="gramStart"/>
      <w:r>
        <w:t>2021;</w:t>
      </w:r>
      <w:proofErr w:type="gramEnd"/>
      <w:r>
        <w:t>71(3</w:t>
      </w:r>
      <w:proofErr w:type="gramStart"/>
      <w:r>
        <w:t>):</w:t>
      </w:r>
      <w:proofErr w:type="gramEnd"/>
      <w:r>
        <w:t>209-249.</w:t>
      </w:r>
      <w:r>
        <w:br/>
      </w:r>
    </w:p>
    <w:p w14:paraId="69D7A168" w14:textId="77777777" w:rsidR="0049481F" w:rsidRDefault="00000000">
      <w:pPr>
        <w:numPr>
          <w:ilvl w:val="0"/>
          <w:numId w:val="1"/>
        </w:numPr>
        <w:tabs>
          <w:tab w:val="left" w:pos="882"/>
          <w:tab w:val="left" w:pos="885"/>
        </w:tabs>
        <w:spacing w:line="276" w:lineRule="auto"/>
      </w:pPr>
      <w:r>
        <w:t xml:space="preserve">Grand Casablanca Cancer </w:t>
      </w:r>
      <w:proofErr w:type="spellStart"/>
      <w:r>
        <w:t>Registry</w:t>
      </w:r>
      <w:proofErr w:type="spellEnd"/>
      <w:r>
        <w:t xml:space="preserve">. Report 2018–2021. National </w:t>
      </w:r>
      <w:proofErr w:type="spellStart"/>
      <w:r>
        <w:t>Oncology</w:t>
      </w:r>
      <w:proofErr w:type="spellEnd"/>
      <w:r>
        <w:t xml:space="preserve"> Institute, </w:t>
      </w:r>
      <w:proofErr w:type="gramStart"/>
      <w:r>
        <w:t>Morocco;</w:t>
      </w:r>
      <w:proofErr w:type="gramEnd"/>
      <w:r>
        <w:t xml:space="preserve"> 2022.</w:t>
      </w:r>
      <w:r>
        <w:br/>
      </w:r>
    </w:p>
    <w:p w14:paraId="1057F1F2" w14:textId="77777777" w:rsidR="0049481F" w:rsidRDefault="00000000">
      <w:pPr>
        <w:numPr>
          <w:ilvl w:val="0"/>
          <w:numId w:val="1"/>
        </w:numPr>
        <w:tabs>
          <w:tab w:val="left" w:pos="882"/>
          <w:tab w:val="left" w:pos="885"/>
        </w:tabs>
        <w:spacing w:line="276" w:lineRule="auto"/>
      </w:pPr>
      <w:proofErr w:type="spellStart"/>
      <w:r>
        <w:t>OncoNormandie</w:t>
      </w:r>
      <w:proofErr w:type="spellEnd"/>
      <w:r>
        <w:t xml:space="preserve">. TNCD – </w:t>
      </w:r>
      <w:proofErr w:type="spellStart"/>
      <w:r>
        <w:t>Chapter</w:t>
      </w:r>
      <w:proofErr w:type="spellEnd"/>
      <w:r>
        <w:t xml:space="preserve"> </w:t>
      </w:r>
      <w:proofErr w:type="gramStart"/>
      <w:r>
        <w:t>4:</w:t>
      </w:r>
      <w:proofErr w:type="gramEnd"/>
      <w:r>
        <w:t xml:space="preserve"> </w:t>
      </w:r>
      <w:proofErr w:type="spellStart"/>
      <w:r>
        <w:t>Metastatic</w:t>
      </w:r>
      <w:proofErr w:type="spellEnd"/>
      <w:r>
        <w:t xml:space="preserve"> Colorectal Cancer. March 2024 version.</w:t>
      </w:r>
      <w:r>
        <w:br/>
      </w:r>
    </w:p>
    <w:p w14:paraId="18E97841" w14:textId="77777777" w:rsidR="0049481F" w:rsidRDefault="00000000">
      <w:pPr>
        <w:numPr>
          <w:ilvl w:val="0"/>
          <w:numId w:val="1"/>
        </w:numPr>
        <w:tabs>
          <w:tab w:val="left" w:pos="882"/>
          <w:tab w:val="left" w:pos="885"/>
        </w:tabs>
        <w:spacing w:line="276" w:lineRule="auto"/>
      </w:pPr>
      <w:r>
        <w:t xml:space="preserve">Laurent-Puig P, Bachet JB. Colorectal cancer in the </w:t>
      </w:r>
      <w:proofErr w:type="spellStart"/>
      <w:r>
        <w:t>era</w:t>
      </w:r>
      <w:proofErr w:type="spellEnd"/>
      <w:r>
        <w:t xml:space="preserve"> of </w:t>
      </w:r>
      <w:proofErr w:type="spellStart"/>
      <w:r>
        <w:t>precision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. </w:t>
      </w:r>
      <w:r>
        <w:rPr>
          <w:i/>
        </w:rPr>
        <w:t xml:space="preserve">Ann </w:t>
      </w:r>
      <w:proofErr w:type="spellStart"/>
      <w:r>
        <w:rPr>
          <w:i/>
        </w:rPr>
        <w:t>Pathol</w:t>
      </w:r>
      <w:proofErr w:type="spellEnd"/>
      <w:r>
        <w:rPr>
          <w:i/>
        </w:rPr>
        <w:t>.</w:t>
      </w:r>
      <w:r>
        <w:t xml:space="preserve"> </w:t>
      </w:r>
      <w:proofErr w:type="gramStart"/>
      <w:r>
        <w:t>2023;</w:t>
      </w:r>
      <w:proofErr w:type="gramEnd"/>
      <w:r>
        <w:t>43(6</w:t>
      </w:r>
      <w:proofErr w:type="gramStart"/>
      <w:r>
        <w:t>):</w:t>
      </w:r>
      <w:proofErr w:type="gramEnd"/>
      <w:r>
        <w:t>507–518.</w:t>
      </w:r>
      <w:r>
        <w:br/>
      </w:r>
    </w:p>
    <w:p w14:paraId="4FB716F3" w14:textId="77777777" w:rsidR="0049481F" w:rsidRDefault="00000000">
      <w:pPr>
        <w:numPr>
          <w:ilvl w:val="0"/>
          <w:numId w:val="1"/>
        </w:numPr>
        <w:tabs>
          <w:tab w:val="left" w:pos="882"/>
          <w:tab w:val="left" w:pos="885"/>
        </w:tabs>
        <w:spacing w:line="276" w:lineRule="auto"/>
      </w:pPr>
      <w:r>
        <w:t xml:space="preserve">Punt CJ, et al. FOLFOX plus </w:t>
      </w:r>
      <w:proofErr w:type="spellStart"/>
      <w:r>
        <w:t>panitumumab</w:t>
      </w:r>
      <w:proofErr w:type="spellEnd"/>
      <w:r>
        <w:t xml:space="preserve"> vs FOLFOX plus </w:t>
      </w:r>
      <w:proofErr w:type="spellStart"/>
      <w:r>
        <w:t>bevacizumab</w:t>
      </w:r>
      <w:proofErr w:type="spellEnd"/>
      <w:r>
        <w:t xml:space="preserve"> in RAS </w:t>
      </w:r>
      <w:proofErr w:type="spellStart"/>
      <w:r>
        <w:t>wild</w:t>
      </w:r>
      <w:proofErr w:type="spellEnd"/>
      <w:r>
        <w:t xml:space="preserve">-type </w:t>
      </w:r>
      <w:proofErr w:type="spellStart"/>
      <w:r>
        <w:t>metastatic</w:t>
      </w:r>
      <w:proofErr w:type="spellEnd"/>
      <w:r>
        <w:t xml:space="preserve"> colorectal cancer (PARADIGM</w:t>
      </w:r>
      <w:proofErr w:type="gramStart"/>
      <w:r>
        <w:t>):</w:t>
      </w:r>
      <w:proofErr w:type="gramEnd"/>
      <w:r>
        <w:t xml:space="preserve"> phase 3 trial. </w:t>
      </w:r>
      <w:r>
        <w:rPr>
          <w:i/>
        </w:rPr>
        <w:t xml:space="preserve">Lancet </w:t>
      </w:r>
      <w:proofErr w:type="spellStart"/>
      <w:r>
        <w:rPr>
          <w:i/>
        </w:rPr>
        <w:t>Oncol</w:t>
      </w:r>
      <w:proofErr w:type="spellEnd"/>
      <w:r>
        <w:rPr>
          <w:i/>
        </w:rPr>
        <w:t>.</w:t>
      </w:r>
      <w:r>
        <w:t xml:space="preserve"> </w:t>
      </w:r>
      <w:proofErr w:type="gramStart"/>
      <w:r>
        <w:t>2022;</w:t>
      </w:r>
      <w:proofErr w:type="gramEnd"/>
      <w:r>
        <w:t>23(1</w:t>
      </w:r>
      <w:proofErr w:type="gramStart"/>
      <w:r>
        <w:t>):</w:t>
      </w:r>
      <w:proofErr w:type="gramEnd"/>
      <w:r>
        <w:t>39–51.</w:t>
      </w:r>
      <w:r>
        <w:br/>
      </w:r>
    </w:p>
    <w:p w14:paraId="3DF8511A" w14:textId="77777777" w:rsidR="0049481F" w:rsidRDefault="00000000">
      <w:pPr>
        <w:numPr>
          <w:ilvl w:val="0"/>
          <w:numId w:val="1"/>
        </w:numPr>
        <w:tabs>
          <w:tab w:val="left" w:pos="882"/>
          <w:tab w:val="left" w:pos="885"/>
        </w:tabs>
        <w:spacing w:line="276" w:lineRule="auto"/>
      </w:pPr>
      <w:r>
        <w:t xml:space="preserve">ASCO 2024. </w:t>
      </w:r>
      <w:proofErr w:type="spellStart"/>
      <w:r>
        <w:t>Liver</w:t>
      </w:r>
      <w:proofErr w:type="spellEnd"/>
      <w:r>
        <w:t xml:space="preserve"> transplantation in </w:t>
      </w:r>
      <w:proofErr w:type="spellStart"/>
      <w:proofErr w:type="gramStart"/>
      <w:r>
        <w:t>mCRC</w:t>
      </w:r>
      <w:proofErr w:type="spellEnd"/>
      <w:r>
        <w:t>: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potentially</w:t>
      </w:r>
      <w:proofErr w:type="spellEnd"/>
      <w:r>
        <w:t xml:space="preserve"> curative option. </w:t>
      </w:r>
      <w:proofErr w:type="spellStart"/>
      <w:r>
        <w:rPr>
          <w:i/>
        </w:rPr>
        <w:t>Cancerologie</w:t>
      </w:r>
      <w:proofErr w:type="spellEnd"/>
      <w:r>
        <w:rPr>
          <w:i/>
        </w:rPr>
        <w:t xml:space="preserve"> Pratique.</w:t>
      </w:r>
      <w:r>
        <w:t xml:space="preserve"> 2024.</w:t>
      </w:r>
      <w:r>
        <w:br/>
      </w:r>
    </w:p>
    <w:p w14:paraId="7A4C30B4" w14:textId="77777777" w:rsidR="0049481F" w:rsidRDefault="00000000">
      <w:pPr>
        <w:numPr>
          <w:ilvl w:val="0"/>
          <w:numId w:val="1"/>
        </w:numPr>
        <w:tabs>
          <w:tab w:val="left" w:pos="882"/>
          <w:tab w:val="left" w:pos="885"/>
        </w:tabs>
        <w:spacing w:line="276" w:lineRule="auto"/>
      </w:pPr>
      <w:r>
        <w:t xml:space="preserve">Sorbonne Université. </w:t>
      </w:r>
      <w:proofErr w:type="spellStart"/>
      <w:r>
        <w:t>Breakthrough</w:t>
      </w:r>
      <w:proofErr w:type="spellEnd"/>
      <w:r>
        <w:t xml:space="preserve"> in </w:t>
      </w:r>
      <w:proofErr w:type="spellStart"/>
      <w:r>
        <w:t>immunotherapy</w:t>
      </w:r>
      <w:proofErr w:type="spellEnd"/>
      <w:r>
        <w:t xml:space="preserve"> for </w:t>
      </w:r>
      <w:proofErr w:type="spellStart"/>
      <w:r>
        <w:t>metastatic</w:t>
      </w:r>
      <w:proofErr w:type="spellEnd"/>
      <w:r>
        <w:t xml:space="preserve"> colorectal cancer. </w:t>
      </w:r>
      <w:proofErr w:type="spellStart"/>
      <w:r>
        <w:t>December</w:t>
      </w:r>
      <w:proofErr w:type="spellEnd"/>
      <w:r>
        <w:t xml:space="preserve"> 2024.</w:t>
      </w:r>
      <w:r>
        <w:br/>
      </w:r>
    </w:p>
    <w:p w14:paraId="57F5568F" w14:textId="77777777" w:rsidR="0049481F" w:rsidRDefault="00000000">
      <w:pPr>
        <w:numPr>
          <w:ilvl w:val="0"/>
          <w:numId w:val="1"/>
        </w:numPr>
        <w:tabs>
          <w:tab w:val="left" w:pos="882"/>
          <w:tab w:val="left" w:pos="885"/>
        </w:tabs>
        <w:spacing w:line="276" w:lineRule="auto"/>
      </w:pPr>
      <w:proofErr w:type="spellStart"/>
      <w:r>
        <w:t>FMCGastro</w:t>
      </w:r>
      <w:proofErr w:type="spellEnd"/>
      <w:r>
        <w:t xml:space="preserve">.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therapeutic</w:t>
      </w:r>
      <w:proofErr w:type="spellEnd"/>
      <w:r>
        <w:t xml:space="preserve"> </w:t>
      </w:r>
      <w:proofErr w:type="spellStart"/>
      <w:r>
        <w:t>advances</w:t>
      </w:r>
      <w:proofErr w:type="spellEnd"/>
      <w:r>
        <w:t xml:space="preserve"> in </w:t>
      </w:r>
      <w:proofErr w:type="spellStart"/>
      <w:r>
        <w:t>metastatic</w:t>
      </w:r>
      <w:proofErr w:type="spellEnd"/>
      <w:r>
        <w:t xml:space="preserve"> colorectal cancer. 2024.</w:t>
      </w:r>
      <w:r>
        <w:br/>
      </w:r>
    </w:p>
    <w:p w14:paraId="7A069ED0" w14:textId="77777777" w:rsidR="0049481F" w:rsidRDefault="00000000">
      <w:pPr>
        <w:numPr>
          <w:ilvl w:val="0"/>
          <w:numId w:val="1"/>
        </w:numPr>
        <w:tabs>
          <w:tab w:val="left" w:pos="882"/>
          <w:tab w:val="left" w:pos="885"/>
        </w:tabs>
        <w:spacing w:line="276" w:lineRule="auto"/>
      </w:pPr>
      <w:r>
        <w:t xml:space="preserve">Adam R, et al. </w:t>
      </w:r>
      <w:proofErr w:type="spellStart"/>
      <w:r>
        <w:t>Liver</w:t>
      </w:r>
      <w:proofErr w:type="spellEnd"/>
      <w:r>
        <w:t xml:space="preserve"> transplantation for </w:t>
      </w:r>
      <w:proofErr w:type="spellStart"/>
      <w:r>
        <w:t>unresectable</w:t>
      </w:r>
      <w:proofErr w:type="spellEnd"/>
      <w:r>
        <w:t xml:space="preserve"> colorectal </w:t>
      </w:r>
      <w:proofErr w:type="spellStart"/>
      <w:proofErr w:type="gramStart"/>
      <w:r>
        <w:t>metastases</w:t>
      </w:r>
      <w:proofErr w:type="spellEnd"/>
      <w:r>
        <w:t>:</w:t>
      </w:r>
      <w:proofErr w:type="gramEnd"/>
      <w:r>
        <w:t xml:space="preserve"> The </w:t>
      </w:r>
      <w:proofErr w:type="spellStart"/>
      <w:r>
        <w:t>TransMet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. </w:t>
      </w:r>
      <w:r>
        <w:rPr>
          <w:i/>
        </w:rPr>
        <w:t>Lancet.</w:t>
      </w:r>
      <w:r>
        <w:t xml:space="preserve"> </w:t>
      </w:r>
      <w:proofErr w:type="gramStart"/>
      <w:r>
        <w:t>2024;</w:t>
      </w:r>
      <w:proofErr w:type="gramEnd"/>
      <w:r>
        <w:t>404(10398</w:t>
      </w:r>
      <w:proofErr w:type="gramStart"/>
      <w:r>
        <w:t>):</w:t>
      </w:r>
      <w:proofErr w:type="gramEnd"/>
      <w:r>
        <w:t>1234–1245.</w:t>
      </w:r>
      <w:r>
        <w:br/>
      </w:r>
    </w:p>
    <w:p w14:paraId="6B077CDC" w14:textId="77777777" w:rsidR="0049481F" w:rsidRDefault="00000000">
      <w:pPr>
        <w:numPr>
          <w:ilvl w:val="0"/>
          <w:numId w:val="1"/>
        </w:numPr>
        <w:tabs>
          <w:tab w:val="left" w:pos="882"/>
          <w:tab w:val="left" w:pos="885"/>
        </w:tabs>
        <w:spacing w:line="276" w:lineRule="auto"/>
      </w:pPr>
      <w:r>
        <w:t xml:space="preserve">Van </w:t>
      </w:r>
      <w:proofErr w:type="spellStart"/>
      <w:r>
        <w:t>Cutsem</w:t>
      </w:r>
      <w:proofErr w:type="spellEnd"/>
      <w:r>
        <w:t xml:space="preserve"> E, et al. ESMO consensus guidelines for </w:t>
      </w:r>
      <w:proofErr w:type="spellStart"/>
      <w:r>
        <w:t>mCRC</w:t>
      </w:r>
      <w:proofErr w:type="spellEnd"/>
      <w:r>
        <w:t xml:space="preserve"> management. </w:t>
      </w:r>
      <w:r>
        <w:rPr>
          <w:i/>
        </w:rPr>
        <w:t xml:space="preserve">Ann </w:t>
      </w:r>
      <w:proofErr w:type="spellStart"/>
      <w:r>
        <w:rPr>
          <w:i/>
        </w:rPr>
        <w:t>Oncol</w:t>
      </w:r>
      <w:proofErr w:type="spellEnd"/>
      <w:r>
        <w:rPr>
          <w:i/>
        </w:rPr>
        <w:t>.</w:t>
      </w:r>
      <w:r>
        <w:t xml:space="preserve"> </w:t>
      </w:r>
      <w:proofErr w:type="gramStart"/>
      <w:r>
        <w:t>2016;</w:t>
      </w:r>
      <w:proofErr w:type="gramEnd"/>
      <w:r>
        <w:t>27(8</w:t>
      </w:r>
      <w:proofErr w:type="gramStart"/>
      <w:r>
        <w:t>):</w:t>
      </w:r>
      <w:proofErr w:type="gramEnd"/>
      <w:r>
        <w:t>1386–1422.</w:t>
      </w:r>
      <w:r>
        <w:br/>
      </w:r>
    </w:p>
    <w:p w14:paraId="194DE1F6" w14:textId="77777777" w:rsidR="0049481F" w:rsidRDefault="00000000">
      <w:pPr>
        <w:numPr>
          <w:ilvl w:val="0"/>
          <w:numId w:val="1"/>
        </w:numPr>
        <w:tabs>
          <w:tab w:val="left" w:pos="882"/>
          <w:tab w:val="left" w:pos="885"/>
        </w:tabs>
        <w:spacing w:line="276" w:lineRule="auto"/>
      </w:pPr>
      <w:r>
        <w:t xml:space="preserve">Yoshino T, et al. </w:t>
      </w:r>
      <w:proofErr w:type="spellStart"/>
      <w:r>
        <w:t>Panitumumab</w:t>
      </w:r>
      <w:proofErr w:type="spellEnd"/>
      <w:r>
        <w:t xml:space="preserve"> vs </w:t>
      </w:r>
      <w:proofErr w:type="spellStart"/>
      <w:r>
        <w:t>bevacizumab</w:t>
      </w:r>
      <w:proofErr w:type="spellEnd"/>
      <w:r>
        <w:t xml:space="preserve"> in </w:t>
      </w:r>
      <w:proofErr w:type="spellStart"/>
      <w:r>
        <w:t>left-sided</w:t>
      </w:r>
      <w:proofErr w:type="spellEnd"/>
      <w:r>
        <w:t xml:space="preserve"> RAS </w:t>
      </w:r>
      <w:proofErr w:type="spellStart"/>
      <w:r>
        <w:t>wild</w:t>
      </w:r>
      <w:proofErr w:type="spellEnd"/>
      <w:r>
        <w:t xml:space="preserve">-type </w:t>
      </w:r>
      <w:proofErr w:type="spellStart"/>
      <w:proofErr w:type="gramStart"/>
      <w:r>
        <w:t>mCRC</w:t>
      </w:r>
      <w:proofErr w:type="spellEnd"/>
      <w:r>
        <w:t>:</w:t>
      </w:r>
      <w:proofErr w:type="gramEnd"/>
      <w:r>
        <w:t xml:space="preserve"> PARADIGM </w:t>
      </w:r>
      <w:proofErr w:type="spellStart"/>
      <w:r>
        <w:t>study</w:t>
      </w:r>
      <w:proofErr w:type="spellEnd"/>
      <w:r>
        <w:t xml:space="preserve">. </w:t>
      </w:r>
      <w:r>
        <w:rPr>
          <w:i/>
        </w:rPr>
        <w:t xml:space="preserve">Lancet </w:t>
      </w:r>
      <w:proofErr w:type="spellStart"/>
      <w:r>
        <w:rPr>
          <w:i/>
        </w:rPr>
        <w:t>Oncol</w:t>
      </w:r>
      <w:proofErr w:type="spellEnd"/>
      <w:r>
        <w:rPr>
          <w:i/>
        </w:rPr>
        <w:t>.</w:t>
      </w:r>
      <w:r>
        <w:t xml:space="preserve"> </w:t>
      </w:r>
      <w:proofErr w:type="gramStart"/>
      <w:r>
        <w:t>2022;</w:t>
      </w:r>
      <w:proofErr w:type="gramEnd"/>
      <w:r>
        <w:t>23(1</w:t>
      </w:r>
      <w:proofErr w:type="gramStart"/>
      <w:r>
        <w:t>):</w:t>
      </w:r>
      <w:proofErr w:type="gramEnd"/>
      <w:r>
        <w:t>39–51.</w:t>
      </w:r>
      <w:r>
        <w:br/>
      </w:r>
    </w:p>
    <w:p w14:paraId="5BE24C58" w14:textId="77777777" w:rsidR="0049481F" w:rsidRDefault="00000000">
      <w:pPr>
        <w:numPr>
          <w:ilvl w:val="0"/>
          <w:numId w:val="1"/>
        </w:numPr>
        <w:tabs>
          <w:tab w:val="left" w:pos="882"/>
          <w:tab w:val="left" w:pos="885"/>
        </w:tabs>
        <w:spacing w:line="276" w:lineRule="auto"/>
      </w:pPr>
      <w:r>
        <w:t xml:space="preserve">André T, et al. Pembrolizumab in Microsatellite </w:t>
      </w:r>
      <w:proofErr w:type="spellStart"/>
      <w:r>
        <w:t>Instability</w:t>
      </w:r>
      <w:proofErr w:type="spellEnd"/>
      <w:r>
        <w:t xml:space="preserve">–High Advanced Colorectal Cancer. </w:t>
      </w:r>
      <w:r>
        <w:rPr>
          <w:i/>
        </w:rPr>
        <w:t xml:space="preserve">N </w:t>
      </w:r>
      <w:proofErr w:type="spellStart"/>
      <w:r>
        <w:rPr>
          <w:i/>
        </w:rPr>
        <w:t>Engl</w:t>
      </w:r>
      <w:proofErr w:type="spellEnd"/>
      <w:r>
        <w:rPr>
          <w:i/>
        </w:rPr>
        <w:t xml:space="preserve"> J Med.</w:t>
      </w:r>
      <w:r>
        <w:t xml:space="preserve"> </w:t>
      </w:r>
      <w:proofErr w:type="gramStart"/>
      <w:r>
        <w:t>2020;</w:t>
      </w:r>
      <w:proofErr w:type="gramEnd"/>
      <w:r>
        <w:t>383(23</w:t>
      </w:r>
      <w:proofErr w:type="gramStart"/>
      <w:r>
        <w:t>):</w:t>
      </w:r>
      <w:proofErr w:type="gramEnd"/>
      <w:r>
        <w:t>2207–2218.</w:t>
      </w:r>
      <w:r>
        <w:br/>
      </w:r>
    </w:p>
    <w:p w14:paraId="1397ABBB" w14:textId="77777777" w:rsidR="0049481F" w:rsidRDefault="00000000">
      <w:pPr>
        <w:numPr>
          <w:ilvl w:val="0"/>
          <w:numId w:val="1"/>
        </w:numPr>
        <w:tabs>
          <w:tab w:val="left" w:pos="882"/>
          <w:tab w:val="left" w:pos="885"/>
        </w:tabs>
        <w:spacing w:line="276" w:lineRule="auto"/>
      </w:pPr>
      <w:r>
        <w:t xml:space="preserve">AP-HP. </w:t>
      </w:r>
      <w:proofErr w:type="spellStart"/>
      <w:r>
        <w:t>Liver</w:t>
      </w:r>
      <w:proofErr w:type="spellEnd"/>
      <w:r>
        <w:t xml:space="preserve"> transplantation </w:t>
      </w:r>
      <w:proofErr w:type="spellStart"/>
      <w:r>
        <w:t>improves</w:t>
      </w:r>
      <w:proofErr w:type="spellEnd"/>
      <w:r>
        <w:t xml:space="preserve"> </w:t>
      </w:r>
      <w:proofErr w:type="spellStart"/>
      <w:r>
        <w:t>survival</w:t>
      </w:r>
      <w:proofErr w:type="spellEnd"/>
      <w:r>
        <w:t xml:space="preserve"> in </w:t>
      </w:r>
      <w:proofErr w:type="spellStart"/>
      <w:r>
        <w:t>mCRC</w:t>
      </w:r>
      <w:proofErr w:type="spellEnd"/>
      <w:r>
        <w:t xml:space="preserve"> patients. </w:t>
      </w:r>
      <w:proofErr w:type="spellStart"/>
      <w:r>
        <w:t>October</w:t>
      </w:r>
      <w:proofErr w:type="spellEnd"/>
      <w:r>
        <w:t xml:space="preserve"> 2024.</w:t>
      </w:r>
      <w:r>
        <w:br/>
      </w:r>
    </w:p>
    <w:p w14:paraId="3CA3DDA8" w14:textId="77777777" w:rsidR="0049481F" w:rsidRDefault="00000000">
      <w:pPr>
        <w:numPr>
          <w:ilvl w:val="0"/>
          <w:numId w:val="1"/>
        </w:numPr>
        <w:tabs>
          <w:tab w:val="left" w:pos="882"/>
          <w:tab w:val="left" w:pos="885"/>
        </w:tabs>
        <w:spacing w:after="240" w:line="276" w:lineRule="auto"/>
      </w:pPr>
      <w:r>
        <w:t xml:space="preserve">Adam R, et al. International consensus on </w:t>
      </w:r>
      <w:proofErr w:type="spellStart"/>
      <w:r>
        <w:t>surgical</w:t>
      </w:r>
      <w:proofErr w:type="spellEnd"/>
      <w:r>
        <w:t xml:space="preserve"> management of colorectal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metastases</w:t>
      </w:r>
      <w:proofErr w:type="spellEnd"/>
      <w:r>
        <w:t xml:space="preserve">. </w:t>
      </w:r>
      <w:proofErr w:type="spellStart"/>
      <w:r>
        <w:rPr>
          <w:i/>
        </w:rPr>
        <w:t>Oncologist</w:t>
      </w:r>
      <w:proofErr w:type="spellEnd"/>
      <w:r>
        <w:rPr>
          <w:i/>
        </w:rPr>
        <w:t>.</w:t>
      </w:r>
      <w:r>
        <w:t xml:space="preserve"> </w:t>
      </w:r>
      <w:proofErr w:type="gramStart"/>
      <w:r>
        <w:t>2012;</w:t>
      </w:r>
      <w:proofErr w:type="gramEnd"/>
      <w:r>
        <w:t>17(10</w:t>
      </w:r>
      <w:proofErr w:type="gramStart"/>
      <w:r>
        <w:t>):</w:t>
      </w:r>
      <w:proofErr w:type="gramEnd"/>
      <w:r>
        <w:t>1225–1239.</w:t>
      </w:r>
    </w:p>
    <w:p w14:paraId="757B3CC3" w14:textId="77777777" w:rsidR="0049481F" w:rsidRDefault="0049481F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  <w:tab w:val="left" w:pos="885"/>
        </w:tabs>
        <w:spacing w:line="276" w:lineRule="auto"/>
        <w:ind w:right="288"/>
      </w:pPr>
    </w:p>
    <w:sectPr w:rsidR="0049481F">
      <w:pgSz w:w="11920" w:h="16840"/>
      <w:pgMar w:top="1900" w:right="1417" w:bottom="280" w:left="1275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2D3C6" w14:textId="77777777" w:rsidR="003A74F3" w:rsidRDefault="003A74F3" w:rsidP="003A40BD">
      <w:r>
        <w:separator/>
      </w:r>
    </w:p>
  </w:endnote>
  <w:endnote w:type="continuationSeparator" w:id="0">
    <w:p w14:paraId="5E7AA304" w14:textId="77777777" w:rsidR="003A74F3" w:rsidRDefault="003A74F3" w:rsidP="003A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F483B" w14:textId="77777777" w:rsidR="003A40BD" w:rsidRDefault="003A40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6D224" w14:textId="77777777" w:rsidR="003A40BD" w:rsidRDefault="003A40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6C1E0" w14:textId="77777777" w:rsidR="003A40BD" w:rsidRDefault="003A4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DE5BA" w14:textId="77777777" w:rsidR="003A74F3" w:rsidRDefault="003A74F3" w:rsidP="003A40BD">
      <w:r>
        <w:separator/>
      </w:r>
    </w:p>
  </w:footnote>
  <w:footnote w:type="continuationSeparator" w:id="0">
    <w:p w14:paraId="14ECC6F4" w14:textId="77777777" w:rsidR="003A74F3" w:rsidRDefault="003A74F3" w:rsidP="003A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EADC1" w14:textId="0B4796CD" w:rsidR="003A40BD" w:rsidRDefault="003A40BD">
    <w:pPr>
      <w:pStyle w:val="Header"/>
    </w:pPr>
    <w:r>
      <w:rPr>
        <w:noProof/>
      </w:rPr>
      <w:pict w14:anchorId="1E21A1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351032" o:spid="_x0000_s1026" type="#_x0000_t136" style="position:absolute;margin-left:0;margin-top:0;width:585.45pt;height:65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AD2B7" w14:textId="28E9ADF4" w:rsidR="003A40BD" w:rsidRDefault="003A40BD">
    <w:pPr>
      <w:pStyle w:val="Header"/>
    </w:pPr>
    <w:r>
      <w:rPr>
        <w:noProof/>
      </w:rPr>
      <w:pict w14:anchorId="773E37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351033" o:spid="_x0000_s1027" type="#_x0000_t136" style="position:absolute;margin-left:0;margin-top:0;width:585.45pt;height:65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CA1DC" w14:textId="77A3AE37" w:rsidR="003A40BD" w:rsidRDefault="003A40BD">
    <w:pPr>
      <w:pStyle w:val="Header"/>
    </w:pPr>
    <w:r>
      <w:rPr>
        <w:noProof/>
      </w:rPr>
      <w:pict w14:anchorId="6B5359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351031" o:spid="_x0000_s1025" type="#_x0000_t136" style="position:absolute;margin-left:0;margin-top:0;width:585.45pt;height:65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E7D40"/>
    <w:multiLevelType w:val="multilevel"/>
    <w:tmpl w:val="AC06E0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5866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81F"/>
    <w:rsid w:val="00206B4A"/>
    <w:rsid w:val="003A40BD"/>
    <w:rsid w:val="003A74F3"/>
    <w:rsid w:val="0049481F"/>
    <w:rsid w:val="007E6BC9"/>
    <w:rsid w:val="00844888"/>
    <w:rsid w:val="008613E8"/>
    <w:rsid w:val="00D93056"/>
    <w:rsid w:val="00E35E9A"/>
    <w:rsid w:val="00F9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654E0"/>
  <w15:docId w15:val="{ADBEDF91-9CF9-4D98-A3A1-8DFE9EFF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-FR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165"/>
      <w:outlineLvl w:val="0"/>
    </w:pPr>
    <w:rPr>
      <w:b/>
      <w:sz w:val="34"/>
      <w:szCs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ind w:right="1397"/>
      <w:jc w:val="center"/>
    </w:pPr>
    <w:rPr>
      <w:rFonts w:ascii="Calibri" w:eastAsia="Calibri" w:hAnsi="Calibri" w:cs="Calibri"/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40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0BD"/>
  </w:style>
  <w:style w:type="paragraph" w:styleId="Footer">
    <w:name w:val="footer"/>
    <w:basedOn w:val="Normal"/>
    <w:link w:val="FooterChar"/>
    <w:uiPriority w:val="99"/>
    <w:unhideWhenUsed/>
    <w:rsid w:val="003A40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1435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Editor-22</cp:lastModifiedBy>
  <cp:revision>6</cp:revision>
  <dcterms:created xsi:type="dcterms:W3CDTF">2025-05-19T07:06:00Z</dcterms:created>
  <dcterms:modified xsi:type="dcterms:W3CDTF">2025-05-19T10:06:00Z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2025-05-17T00:00:00Z</vt:lpwstr>
  </property>
  <property fmtid="{D5CDD505-2E9C-101B-9397-08002B2CF9AE}" pid="3" name="LastSaved">
    <vt:lpwstr>2025-05-17T00:00:00Z</vt:lpwstr>
  </property>
  <property fmtid="{D5CDD505-2E9C-101B-9397-08002B2CF9AE}" pid="4" name="Producer">
    <vt:lpwstr>3-Heights(TM) PDF Security Shell 4.8.25.2 (http://www.pdf-tools.com)</vt:lpwstr>
  </property>
</Properties>
</file>