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81B3D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b/>
        </w:rPr>
      </w:pPr>
      <w:r w:rsidRPr="002D6C04">
        <w:rPr>
          <w:rFonts w:ascii="Arial" w:hAnsi="Arial" w:cs="Arial"/>
          <w:b/>
          <w:color w:val="000000"/>
        </w:rPr>
        <w:t>A Centripetal Approach to Incisional Hernia Repair: Reflections from a Personal Surgical Evolution</w:t>
      </w:r>
    </w:p>
    <w:p w14:paraId="30B9A3A4" w14:textId="77777777" w:rsidR="00662FC7" w:rsidRPr="002D6C04" w:rsidRDefault="00662FC7" w:rsidP="00662FC7">
      <w:pPr>
        <w:pStyle w:val="p2"/>
        <w:spacing w:beforeLines="30" w:before="72" w:beforeAutospacing="0" w:afterLines="30" w:after="72" w:afterAutospacing="0"/>
        <w:rPr>
          <w:rFonts w:ascii="Arial" w:hAnsi="Arial" w:cs="Arial"/>
          <w:b/>
        </w:rPr>
      </w:pPr>
    </w:p>
    <w:p w14:paraId="2DA4D4BE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b/>
          <w:color w:val="000000"/>
        </w:rPr>
      </w:pPr>
    </w:p>
    <w:p w14:paraId="27823BD1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b/>
        </w:rPr>
      </w:pPr>
      <w:r w:rsidRPr="002D6C04">
        <w:rPr>
          <w:rFonts w:ascii="Arial" w:hAnsi="Arial" w:cs="Arial"/>
          <w:b/>
          <w:color w:val="000000"/>
        </w:rPr>
        <w:t>Abstract</w:t>
      </w:r>
    </w:p>
    <w:p w14:paraId="4A3D7CA5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  <w:u w:val="single"/>
        </w:rPr>
        <w:t>Background:</w:t>
      </w:r>
      <w:r w:rsidRPr="002D6C04">
        <w:rPr>
          <w:rFonts w:ascii="Arial" w:hAnsi="Arial" w:cs="Arial"/>
          <w:color w:val="000000"/>
        </w:rPr>
        <w:t xml:space="preserve"> Incisional hernia repair is fraught with challenges—high recurrence, complex anatomy, and inconsistent healing. Over my three-decade-long surgical career, I have refined a technique I call the centripetal approach. This method begins with a wide incision in healthy tissue and proceeds inward, enabling </w:t>
      </w:r>
      <w:proofErr w:type="spellStart"/>
      <w:r w:rsidRPr="002D6C04">
        <w:rPr>
          <w:rFonts w:ascii="Arial" w:hAnsi="Arial" w:cs="Arial"/>
          <w:color w:val="000000"/>
        </w:rPr>
        <w:t>en</w:t>
      </w:r>
      <w:proofErr w:type="spellEnd"/>
      <w:r w:rsidRPr="002D6C04">
        <w:rPr>
          <w:rFonts w:ascii="Arial" w:hAnsi="Arial" w:cs="Arial"/>
          <w:color w:val="000000"/>
        </w:rPr>
        <w:t xml:space="preserve">-bloc removal of the hernia sac and all compromised tissues. Anatomical closure is reinforced with self-adhering mesh placed with wide overlap. In large defects, a dual mesh is used while preserving the sac to protect viscera. </w:t>
      </w:r>
      <w:proofErr w:type="spellStart"/>
      <w:r w:rsidRPr="002D6C04">
        <w:rPr>
          <w:rFonts w:ascii="Arial" w:hAnsi="Arial" w:cs="Arial"/>
          <w:color w:val="000000"/>
        </w:rPr>
        <w:t>LigaSure</w:t>
      </w:r>
      <w:proofErr w:type="spellEnd"/>
      <w:r w:rsidRPr="002D6C04">
        <w:rPr>
          <w:rFonts w:ascii="Arial" w:hAnsi="Arial" w:cs="Arial"/>
          <w:color w:val="000000"/>
        </w:rPr>
        <w:t xml:space="preserve"> energy devices assist in achieving near-bloodless dissection, and wound care is supported with VAC dressings when necessary.</w:t>
      </w:r>
    </w:p>
    <w:p w14:paraId="33E396DD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  <w:u w:val="single"/>
        </w:rPr>
        <w:t>Methods:</w:t>
      </w:r>
      <w:r w:rsidRPr="002D6C04">
        <w:rPr>
          <w:rFonts w:ascii="Arial" w:hAnsi="Arial" w:cs="Arial"/>
          <w:color w:val="000000"/>
        </w:rPr>
        <w:t xml:space="preserve"> This approach was born from cumulative experience with complex and recurrent hernias. A wide elliptical incision is made in healthy skin, progressing centripetally. Attenuated skin, fat, fascia, and the sac are removed </w:t>
      </w:r>
      <w:proofErr w:type="spellStart"/>
      <w:r w:rsidRPr="002D6C04">
        <w:rPr>
          <w:rFonts w:ascii="Arial" w:hAnsi="Arial" w:cs="Arial"/>
          <w:color w:val="000000"/>
        </w:rPr>
        <w:t>en</w:t>
      </w:r>
      <w:proofErr w:type="spellEnd"/>
      <w:r w:rsidRPr="002D6C04">
        <w:rPr>
          <w:rFonts w:ascii="Arial" w:hAnsi="Arial" w:cs="Arial"/>
          <w:color w:val="000000"/>
        </w:rPr>
        <w:t>-bloc. Primary closure is achieved with loop</w:t>
      </w:r>
      <w:r w:rsidR="00D465AA">
        <w:rPr>
          <w:rFonts w:ascii="Arial" w:hAnsi="Arial" w:cs="Arial"/>
          <w:color w:val="000000"/>
        </w:rPr>
        <w:t xml:space="preserve"> Polydioxanone</w:t>
      </w:r>
      <w:r w:rsidRPr="002D6C04">
        <w:rPr>
          <w:rFonts w:ascii="Arial" w:hAnsi="Arial" w:cs="Arial"/>
          <w:color w:val="000000"/>
        </w:rPr>
        <w:t xml:space="preserve"> </w:t>
      </w:r>
      <w:r w:rsidR="00D465AA">
        <w:rPr>
          <w:rFonts w:ascii="Arial" w:hAnsi="Arial" w:cs="Arial"/>
          <w:color w:val="000000"/>
        </w:rPr>
        <w:t>(PDS) or Polyamide black (</w:t>
      </w:r>
      <w:proofErr w:type="spellStart"/>
      <w:r w:rsidRPr="002D6C04">
        <w:rPr>
          <w:rFonts w:ascii="Arial" w:hAnsi="Arial" w:cs="Arial"/>
          <w:color w:val="000000"/>
        </w:rPr>
        <w:t>Ethilon</w:t>
      </w:r>
      <w:proofErr w:type="spellEnd"/>
      <w:r w:rsidR="00D465AA">
        <w:rPr>
          <w:rFonts w:ascii="Arial" w:hAnsi="Arial" w:cs="Arial"/>
          <w:color w:val="000000"/>
        </w:rPr>
        <w:t>)</w:t>
      </w:r>
      <w:r w:rsidRPr="002D6C04">
        <w:rPr>
          <w:rFonts w:ascii="Arial" w:hAnsi="Arial" w:cs="Arial"/>
          <w:color w:val="000000"/>
        </w:rPr>
        <w:t xml:space="preserve"> sutures. A </w:t>
      </w:r>
      <w:r w:rsidR="00D465AA">
        <w:rPr>
          <w:rFonts w:ascii="Arial" w:hAnsi="Arial" w:cs="Arial"/>
          <w:color w:val="000000"/>
        </w:rPr>
        <w:t>Prolene - preferably self-adherent (</w:t>
      </w:r>
      <w:proofErr w:type="spellStart"/>
      <w:r w:rsidR="00D465AA">
        <w:rPr>
          <w:rFonts w:ascii="Arial" w:hAnsi="Arial" w:cs="Arial"/>
          <w:color w:val="000000"/>
        </w:rPr>
        <w:t>ProGrip</w:t>
      </w:r>
      <w:proofErr w:type="spellEnd"/>
      <w:r w:rsidR="00D465AA">
        <w:rPr>
          <w:rFonts w:ascii="Arial" w:hAnsi="Arial" w:cs="Arial"/>
          <w:color w:val="000000"/>
        </w:rPr>
        <w:t>)</w:t>
      </w:r>
      <w:r w:rsidRPr="002D6C04">
        <w:rPr>
          <w:rFonts w:ascii="Arial" w:hAnsi="Arial" w:cs="Arial"/>
          <w:color w:val="000000"/>
        </w:rPr>
        <w:t xml:space="preserve"> mesh overlaps the repair by 5–10 cm. If the defect risks compartment syndrome, a dual mesh is inserted, and the sac is retained. Closure is done in three layers: Scarpa, subcutaneous, and dermal with inverted sutures. Suction drains and VAC dressings are used as needed.</w:t>
      </w:r>
    </w:p>
    <w:p w14:paraId="3D1F7CB8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  <w:u w:val="single"/>
        </w:rPr>
        <w:t>Results and Conclusion:</w:t>
      </w:r>
      <w:r w:rsidRPr="002D6C04">
        <w:rPr>
          <w:rFonts w:ascii="Arial" w:hAnsi="Arial" w:cs="Arial"/>
          <w:color w:val="000000"/>
        </w:rPr>
        <w:t xml:space="preserve"> This technique has provided durable, reproducible results across a range of complex cases. With minimal dissection, reduced bleeding, and excellent wound integrity, it offers a balanced and robust alternative to more extensive or compartment-separating approaches. Supported by surgical literature and grounded in personal surgical evolution, this method deserves wider recognition and application.</w:t>
      </w:r>
    </w:p>
    <w:p w14:paraId="7C006FEA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37D25261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1AAF1C25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AD7872A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9693A49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64EDEF2A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16FD06A3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03F44FAB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EA10C4A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  <w:u w:val="single"/>
        </w:rPr>
        <w:t>Keywords:</w:t>
      </w:r>
      <w:r w:rsidRPr="002D6C04">
        <w:rPr>
          <w:rFonts w:ascii="Arial" w:hAnsi="Arial" w:cs="Arial"/>
          <w:color w:val="000000"/>
        </w:rPr>
        <w:t xml:space="preserve"> </w:t>
      </w:r>
      <w:r w:rsidRPr="002D6C04">
        <w:rPr>
          <w:rFonts w:ascii="Arial" w:hAnsi="Arial" w:cs="Arial"/>
          <w:i/>
          <w:color w:val="000000"/>
        </w:rPr>
        <w:t xml:space="preserve">Incisional hernia, centripetal approach, </w:t>
      </w:r>
      <w:proofErr w:type="spellStart"/>
      <w:r w:rsidRPr="002D6C04">
        <w:rPr>
          <w:rFonts w:ascii="Arial" w:hAnsi="Arial" w:cs="Arial"/>
          <w:i/>
          <w:color w:val="000000"/>
        </w:rPr>
        <w:t>en</w:t>
      </w:r>
      <w:proofErr w:type="spellEnd"/>
      <w:r w:rsidRPr="002D6C04">
        <w:rPr>
          <w:rFonts w:ascii="Arial" w:hAnsi="Arial" w:cs="Arial"/>
          <w:i/>
          <w:color w:val="000000"/>
        </w:rPr>
        <w:t xml:space="preserve">-bloc excision, dual mesh, </w:t>
      </w:r>
      <w:proofErr w:type="spellStart"/>
      <w:r w:rsidRPr="002D6C04">
        <w:rPr>
          <w:rFonts w:ascii="Arial" w:hAnsi="Arial" w:cs="Arial"/>
          <w:i/>
          <w:color w:val="000000"/>
        </w:rPr>
        <w:t>ProGrip</w:t>
      </w:r>
      <w:proofErr w:type="spellEnd"/>
      <w:r w:rsidRPr="002D6C04">
        <w:rPr>
          <w:rFonts w:ascii="Arial" w:hAnsi="Arial" w:cs="Arial"/>
          <w:i/>
          <w:color w:val="000000"/>
        </w:rPr>
        <w:t xml:space="preserve"> mesh, anatomical closure, </w:t>
      </w:r>
      <w:proofErr w:type="spellStart"/>
      <w:r w:rsidRPr="002D6C04">
        <w:rPr>
          <w:rFonts w:ascii="Arial" w:hAnsi="Arial" w:cs="Arial"/>
          <w:i/>
          <w:color w:val="000000"/>
        </w:rPr>
        <w:t>LigaSure</w:t>
      </w:r>
      <w:proofErr w:type="spellEnd"/>
      <w:r w:rsidRPr="002D6C04">
        <w:rPr>
          <w:rFonts w:ascii="Arial" w:hAnsi="Arial" w:cs="Arial"/>
          <w:i/>
          <w:color w:val="000000"/>
        </w:rPr>
        <w:t>, VAC dressing, mesh overlap.</w:t>
      </w:r>
    </w:p>
    <w:p w14:paraId="1361636E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128F08EE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b/>
        </w:rPr>
      </w:pPr>
      <w:r w:rsidRPr="002D6C04">
        <w:rPr>
          <w:rFonts w:ascii="Arial" w:hAnsi="Arial" w:cs="Arial"/>
          <w:b/>
          <w:color w:val="000000"/>
        </w:rPr>
        <w:lastRenderedPageBreak/>
        <w:t>Introduction</w:t>
      </w:r>
    </w:p>
    <w:p w14:paraId="1456451E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CA63B48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Incisional hernias remain a vexing complication of abdominal surgery, with reported incidences ranging from 10–20% postoperatively [1,2]. Despite the integration of mesh repair techniques, recurrence rates continue to hover between 15–30% [3], and in some series, higher in complex or re-recurrent cases. The search for the most effective, durable, and safe method of repair is ongoing.</w:t>
      </w:r>
    </w:p>
    <w:p w14:paraId="203D1984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In this context, I share my personal evolution toward what I now refer to as the centripetal approach. This is a technique shaped not in textbooks but through years of </w:t>
      </w:r>
      <w:r w:rsidR="00D465AA" w:rsidRPr="002D6C04">
        <w:rPr>
          <w:rFonts w:ascii="Arial" w:hAnsi="Arial" w:cs="Arial"/>
          <w:color w:val="000000"/>
        </w:rPr>
        <w:t>first-hand</w:t>
      </w:r>
      <w:r w:rsidRPr="002D6C04">
        <w:rPr>
          <w:rFonts w:ascii="Arial" w:hAnsi="Arial" w:cs="Arial"/>
          <w:color w:val="000000"/>
        </w:rPr>
        <w:t xml:space="preserve"> encounters with challenging abdominal wall reconstructions, multi-recurrent hernias, and patients whose lives were marred by failed repairs.</w:t>
      </w:r>
    </w:p>
    <w:p w14:paraId="6308A70E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This method </w:t>
      </w:r>
      <w:proofErr w:type="spellStart"/>
      <w:r w:rsidRPr="002D6C04">
        <w:rPr>
          <w:rFonts w:ascii="Arial" w:hAnsi="Arial" w:cs="Arial"/>
          <w:color w:val="000000"/>
        </w:rPr>
        <w:t>centers</w:t>
      </w:r>
      <w:proofErr w:type="spellEnd"/>
      <w:r w:rsidRPr="002D6C04">
        <w:rPr>
          <w:rFonts w:ascii="Arial" w:hAnsi="Arial" w:cs="Arial"/>
          <w:color w:val="000000"/>
        </w:rPr>
        <w:t xml:space="preserve"> on three principles:</w:t>
      </w:r>
    </w:p>
    <w:p w14:paraId="5DFDB693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1. Wide exposure and </w:t>
      </w:r>
      <w:proofErr w:type="spellStart"/>
      <w:r w:rsidRPr="002D6C04">
        <w:rPr>
          <w:rFonts w:ascii="Arial" w:hAnsi="Arial" w:cs="Arial"/>
          <w:color w:val="000000"/>
        </w:rPr>
        <w:t>en</w:t>
      </w:r>
      <w:proofErr w:type="spellEnd"/>
      <w:r w:rsidRPr="002D6C04">
        <w:rPr>
          <w:rFonts w:ascii="Arial" w:hAnsi="Arial" w:cs="Arial"/>
          <w:color w:val="000000"/>
        </w:rPr>
        <w:t>-bloc removal of all attenuated tissue.</w:t>
      </w:r>
    </w:p>
    <w:p w14:paraId="69521438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2. Meticulous anatomical repair without component separation.</w:t>
      </w:r>
    </w:p>
    <w:p w14:paraId="0CDE9AFD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3. Generous mesh reinforcement, ensuring wide overlap.</w:t>
      </w:r>
    </w:p>
    <w:p w14:paraId="52EC8BF0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In its simplicity lies its strength. My objective is not to present an invention, but a refinement—an approach forged from experience, precision, and consistency.</w:t>
      </w:r>
    </w:p>
    <w:p w14:paraId="57C16096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30A331A3" w14:textId="77777777" w:rsidR="002D6C04" w:rsidRDefault="002D6C04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FB3F734" w14:textId="77777777" w:rsidR="002D6C04" w:rsidRDefault="002D6C04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F6019ED" w14:textId="5C72A37D" w:rsidR="002D6C04" w:rsidRPr="002D6C04" w:rsidRDefault="00195485" w:rsidP="002D6C04">
      <w:pPr>
        <w:pStyle w:val="NormalWeb"/>
        <w:spacing w:before="0" w:beforeAutospacing="0" w:after="18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Case presentation</w:t>
      </w:r>
    </w:p>
    <w:p w14:paraId="04CF7EC7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273F5E6D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The surgery begins with a wide elliptical incision in healthy, non-attenuated skin, well beyond the edges of the defect. This centripetal dissection—moving from normal to abnormal—provides a clean plane and enables safe, bloodless entry. Compromised skin, subcutaneous fat, fascia, and the hernia sac are excised </w:t>
      </w:r>
      <w:proofErr w:type="spellStart"/>
      <w:r w:rsidRPr="002D6C04">
        <w:rPr>
          <w:rFonts w:ascii="Arial" w:hAnsi="Arial" w:cs="Arial"/>
          <w:color w:val="000000"/>
        </w:rPr>
        <w:t>en</w:t>
      </w:r>
      <w:proofErr w:type="spellEnd"/>
      <w:r w:rsidRPr="002D6C04">
        <w:rPr>
          <w:rFonts w:ascii="Arial" w:hAnsi="Arial" w:cs="Arial"/>
          <w:color w:val="000000"/>
        </w:rPr>
        <w:t>-bloc, minimizing dead space and potential infection [4].</w:t>
      </w:r>
    </w:p>
    <w:p w14:paraId="45165609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The hernial contents are gently separated from the sac using </w:t>
      </w:r>
      <w:proofErr w:type="spellStart"/>
      <w:r w:rsidRPr="002D6C04">
        <w:rPr>
          <w:rFonts w:ascii="Arial" w:hAnsi="Arial" w:cs="Arial"/>
          <w:color w:val="000000"/>
        </w:rPr>
        <w:t>LigaSure</w:t>
      </w:r>
      <w:proofErr w:type="spellEnd"/>
      <w:r w:rsidRPr="002D6C04">
        <w:rPr>
          <w:rFonts w:ascii="Arial" w:hAnsi="Arial" w:cs="Arial"/>
          <w:color w:val="000000"/>
        </w:rPr>
        <w:t xml:space="preserve"> instruments: Exact for precision, Impact for deeper tissue, and vascular pedicles. These devices reduce lateral thermal injury and enhance </w:t>
      </w:r>
      <w:proofErr w:type="spellStart"/>
      <w:r w:rsidRPr="002D6C04">
        <w:rPr>
          <w:rFonts w:ascii="Arial" w:hAnsi="Arial" w:cs="Arial"/>
          <w:color w:val="000000"/>
        </w:rPr>
        <w:t>hemostasis</w:t>
      </w:r>
      <w:proofErr w:type="spellEnd"/>
      <w:r w:rsidRPr="002D6C04">
        <w:rPr>
          <w:rFonts w:ascii="Arial" w:hAnsi="Arial" w:cs="Arial"/>
          <w:color w:val="000000"/>
        </w:rPr>
        <w:t xml:space="preserve"> [5,6].</w:t>
      </w:r>
    </w:p>
    <w:p w14:paraId="04EF7A54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The defect is closed anatomically using loop </w:t>
      </w:r>
      <w:r w:rsidR="00D465AA">
        <w:rPr>
          <w:rFonts w:ascii="Arial" w:hAnsi="Arial" w:cs="Arial"/>
          <w:color w:val="000000"/>
        </w:rPr>
        <w:t>Polydioxanone</w:t>
      </w:r>
      <w:r w:rsidR="00D465AA" w:rsidRPr="002D6C04">
        <w:rPr>
          <w:rFonts w:ascii="Arial" w:hAnsi="Arial" w:cs="Arial"/>
          <w:color w:val="000000"/>
        </w:rPr>
        <w:t xml:space="preserve"> </w:t>
      </w:r>
      <w:r w:rsidR="00D465AA">
        <w:rPr>
          <w:rFonts w:ascii="Arial" w:hAnsi="Arial" w:cs="Arial"/>
          <w:color w:val="000000"/>
        </w:rPr>
        <w:t>(PDS) or Polyamide black (</w:t>
      </w:r>
      <w:proofErr w:type="spellStart"/>
      <w:r w:rsidR="00D465AA" w:rsidRPr="002D6C04">
        <w:rPr>
          <w:rFonts w:ascii="Arial" w:hAnsi="Arial" w:cs="Arial"/>
          <w:color w:val="000000"/>
        </w:rPr>
        <w:t>Ethilon</w:t>
      </w:r>
      <w:proofErr w:type="spellEnd"/>
      <w:r w:rsidR="00D465AA">
        <w:rPr>
          <w:rFonts w:ascii="Arial" w:hAnsi="Arial" w:cs="Arial"/>
          <w:color w:val="000000"/>
        </w:rPr>
        <w:t xml:space="preserve">) </w:t>
      </w:r>
      <w:r w:rsidRPr="002D6C04">
        <w:rPr>
          <w:rFonts w:ascii="Arial" w:hAnsi="Arial" w:cs="Arial"/>
          <w:color w:val="000000"/>
        </w:rPr>
        <w:t xml:space="preserve">sutures, respecting native tissue alignment. I avoid component separation to limit dissection and the risk of postoperative complications [7]. Over the repair, a </w:t>
      </w:r>
      <w:r w:rsidR="00D465AA">
        <w:rPr>
          <w:rFonts w:ascii="Arial" w:hAnsi="Arial" w:cs="Arial"/>
          <w:color w:val="000000"/>
        </w:rPr>
        <w:t>Prolene (</w:t>
      </w:r>
      <w:proofErr w:type="spellStart"/>
      <w:r w:rsidRPr="002D6C04">
        <w:rPr>
          <w:rFonts w:ascii="Arial" w:hAnsi="Arial" w:cs="Arial"/>
          <w:color w:val="000000"/>
        </w:rPr>
        <w:t>ProGrip</w:t>
      </w:r>
      <w:proofErr w:type="spellEnd"/>
      <w:r w:rsidR="00D465AA">
        <w:rPr>
          <w:rFonts w:ascii="Arial" w:hAnsi="Arial" w:cs="Arial"/>
          <w:color w:val="000000"/>
        </w:rPr>
        <w:t>)</w:t>
      </w:r>
      <w:r w:rsidRPr="002D6C04">
        <w:rPr>
          <w:rFonts w:ascii="Arial" w:hAnsi="Arial" w:cs="Arial"/>
          <w:color w:val="000000"/>
        </w:rPr>
        <w:t xml:space="preserve"> self-adhering mesh is placed, ensuring at least 5–10 cm of overlap in all directions [8,9]. Studies affirm that inadequate overlap is a leading cause of recurrence [10].</w:t>
      </w:r>
    </w:p>
    <w:p w14:paraId="7234A0EF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In cases where closure may risk abdominal compartment syndrome, I employ a dual mesh inlay. Importantly, I retain the hernia sac to serve as a biological barrier between the viscera and mesh, minimizing adhesions and fistula risks [11].</w:t>
      </w:r>
    </w:p>
    <w:p w14:paraId="680EE868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Closure proceeds in three layers:</w:t>
      </w:r>
    </w:p>
    <w:p w14:paraId="1EF6DA17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lastRenderedPageBreak/>
        <w:t>• Scarpa’s fascia</w:t>
      </w:r>
    </w:p>
    <w:p w14:paraId="7F1964F1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• Subcutaneous fat</w:t>
      </w:r>
    </w:p>
    <w:p w14:paraId="0C42616C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• Inverted dermal sutures (critical for skin integrity over 3–4 weeks)</w:t>
      </w:r>
    </w:p>
    <w:p w14:paraId="69A0270D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A suction drain is always placed </w:t>
      </w:r>
      <w:r w:rsidR="00D465AA">
        <w:rPr>
          <w:rFonts w:ascii="Arial" w:hAnsi="Arial" w:cs="Arial"/>
          <w:color w:val="000000"/>
        </w:rPr>
        <w:t>over</w:t>
      </w:r>
      <w:r w:rsidRPr="002D6C04">
        <w:rPr>
          <w:rFonts w:ascii="Arial" w:hAnsi="Arial" w:cs="Arial"/>
          <w:color w:val="000000"/>
        </w:rPr>
        <w:t xml:space="preserve"> the mesh. If signs of seroma or infection emerge, I promptly use VAC dressings, which support faster wound healing and prevent breakdown [12,13].</w:t>
      </w:r>
    </w:p>
    <w:p w14:paraId="40070E1E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69B55A0E" w14:textId="77777777" w:rsidR="002D6C04" w:rsidRPr="002D6C04" w:rsidRDefault="002D6C04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D4CBE06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3422DE72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38BC9567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35BC7007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19228DB1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5DA28E46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038FE81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658863FE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3C70EBE7" w14:textId="77777777" w:rsidR="005746E1" w:rsidRDefault="005746E1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5316D495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b/>
        </w:rPr>
      </w:pPr>
      <w:r w:rsidRPr="002D6C04">
        <w:rPr>
          <w:rFonts w:ascii="Arial" w:hAnsi="Arial" w:cs="Arial"/>
          <w:b/>
          <w:color w:val="000000"/>
        </w:rPr>
        <w:t>Discussion</w:t>
      </w:r>
    </w:p>
    <w:p w14:paraId="2DE645E6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2D6C04">
        <w:rPr>
          <w:rFonts w:ascii="Arial" w:hAnsi="Arial" w:cs="Arial"/>
          <w:color w:val="000000"/>
          <w:u w:val="single"/>
        </w:rPr>
        <w:t>The Problem of Recurrence</w:t>
      </w:r>
    </w:p>
    <w:p w14:paraId="7614665D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Despite advancements, incisional hernia repair often fails—not because of surgical inadequacy, but due to small oversights: missed secondary defects, poor mesh integration, or excessive dead space. Studies report recurrence rates exceeding 20% even with mesh [3,14]. The centripetal approach counters this by ensuring wide exposure, clean dissection, and no missed defects.</w:t>
      </w:r>
    </w:p>
    <w:p w14:paraId="07A7E783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F694B74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2D6C04">
        <w:rPr>
          <w:rFonts w:ascii="Arial" w:hAnsi="Arial" w:cs="Arial"/>
          <w:color w:val="000000"/>
          <w:u w:val="single"/>
        </w:rPr>
        <w:t>Mesh Integration and Overlap</w:t>
      </w:r>
    </w:p>
    <w:p w14:paraId="15808A31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Literature overwhelmingly supports mesh use, but emphasizes sufficient overlap—a minimum of 5 cm is often cited [9,10]. Shrinkage, tissue creep, and mechanical strain can otherwise unseat the mesh. My practice extends overlap to 7–10 cm wherever anatomy permits.</w:t>
      </w:r>
    </w:p>
    <w:p w14:paraId="7F424699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C9B62C1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2D6C04">
        <w:rPr>
          <w:rFonts w:ascii="Arial" w:hAnsi="Arial" w:cs="Arial"/>
          <w:color w:val="000000"/>
          <w:u w:val="single"/>
        </w:rPr>
        <w:t>Why Not Component Separation?</w:t>
      </w:r>
    </w:p>
    <w:p w14:paraId="602853AA" w14:textId="70376AFF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While effective, component separation adds morbidity. Dissection extends laterally, risking infection and delayed healing [7]. </w:t>
      </w:r>
      <w:r w:rsidR="00B44020">
        <w:rPr>
          <w:rFonts w:ascii="Arial" w:hAnsi="Arial" w:cs="Arial"/>
          <w:color w:val="000000"/>
        </w:rPr>
        <w:t xml:space="preserve">It is </w:t>
      </w:r>
      <w:r w:rsidRPr="002D6C04">
        <w:rPr>
          <w:rFonts w:ascii="Arial" w:hAnsi="Arial" w:cs="Arial"/>
          <w:color w:val="000000"/>
        </w:rPr>
        <w:t xml:space="preserve">found that by completely removing the sac and compromised tissue, </w:t>
      </w:r>
      <w:r w:rsidR="00B44020">
        <w:rPr>
          <w:rFonts w:ascii="Arial" w:hAnsi="Arial" w:cs="Arial"/>
          <w:color w:val="000000"/>
        </w:rPr>
        <w:t>this</w:t>
      </w:r>
      <w:r w:rsidRPr="002D6C04">
        <w:rPr>
          <w:rFonts w:ascii="Arial" w:hAnsi="Arial" w:cs="Arial"/>
          <w:color w:val="000000"/>
        </w:rPr>
        <w:t xml:space="preserve"> could usually achieve tension-free closure without additional separation.</w:t>
      </w:r>
    </w:p>
    <w:p w14:paraId="061E7A87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5A4F3162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proofErr w:type="spellStart"/>
      <w:r w:rsidRPr="002D6C04">
        <w:rPr>
          <w:rFonts w:ascii="Arial" w:hAnsi="Arial" w:cs="Arial"/>
          <w:color w:val="000000"/>
          <w:u w:val="single"/>
        </w:rPr>
        <w:t>LigaSure</w:t>
      </w:r>
      <w:proofErr w:type="spellEnd"/>
      <w:r w:rsidRPr="002D6C04">
        <w:rPr>
          <w:rFonts w:ascii="Arial" w:hAnsi="Arial" w:cs="Arial"/>
          <w:color w:val="000000"/>
          <w:u w:val="single"/>
        </w:rPr>
        <w:t xml:space="preserve"> and Bloodless Surgery</w:t>
      </w:r>
    </w:p>
    <w:p w14:paraId="2B265A1D" w14:textId="29B0D750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lastRenderedPageBreak/>
        <w:t xml:space="preserve">The use of energy sealing systems like </w:t>
      </w:r>
      <w:proofErr w:type="spellStart"/>
      <w:r w:rsidRPr="002D6C04">
        <w:rPr>
          <w:rFonts w:ascii="Arial" w:hAnsi="Arial" w:cs="Arial"/>
          <w:color w:val="000000"/>
        </w:rPr>
        <w:t>LigaSure</w:t>
      </w:r>
      <w:proofErr w:type="spellEnd"/>
      <w:r w:rsidRPr="002D6C04">
        <w:rPr>
          <w:rFonts w:ascii="Arial" w:hAnsi="Arial" w:cs="Arial"/>
          <w:color w:val="000000"/>
        </w:rPr>
        <w:t xml:space="preserve"> has transformed hernia repair. Compared to conventional cautery, they offer faster dissection, better </w:t>
      </w:r>
      <w:proofErr w:type="spellStart"/>
      <w:r w:rsidRPr="002D6C04">
        <w:rPr>
          <w:rFonts w:ascii="Arial" w:hAnsi="Arial" w:cs="Arial"/>
          <w:color w:val="000000"/>
        </w:rPr>
        <w:t>hemostasis</w:t>
      </w:r>
      <w:proofErr w:type="spellEnd"/>
      <w:r w:rsidRPr="002D6C04">
        <w:rPr>
          <w:rFonts w:ascii="Arial" w:hAnsi="Arial" w:cs="Arial"/>
          <w:color w:val="000000"/>
        </w:rPr>
        <w:t xml:space="preserve">, and fewer seromas [5,6]. </w:t>
      </w:r>
      <w:r w:rsidR="00B44020">
        <w:rPr>
          <w:rFonts w:ascii="Arial" w:hAnsi="Arial" w:cs="Arial"/>
          <w:color w:val="000000"/>
        </w:rPr>
        <w:t>B</w:t>
      </w:r>
      <w:r w:rsidRPr="002D6C04">
        <w:rPr>
          <w:rFonts w:ascii="Arial" w:hAnsi="Arial" w:cs="Arial"/>
          <w:color w:val="000000"/>
        </w:rPr>
        <w:t>lood loss rarely exceeds 5 mL in even the most extensive cases.</w:t>
      </w:r>
    </w:p>
    <w:p w14:paraId="795BD862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53891D3D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2D6C04">
        <w:rPr>
          <w:rFonts w:ascii="Arial" w:hAnsi="Arial" w:cs="Arial"/>
          <w:color w:val="000000"/>
          <w:u w:val="single"/>
        </w:rPr>
        <w:t>VAC Dressings: Prevention, Not Rescue</w:t>
      </w:r>
    </w:p>
    <w:p w14:paraId="4E338DE4" w14:textId="6C82205F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Seromas are a known complication, particularly in </w:t>
      </w:r>
      <w:proofErr w:type="spellStart"/>
      <w:r w:rsidRPr="002D6C04">
        <w:rPr>
          <w:rFonts w:ascii="Arial" w:hAnsi="Arial" w:cs="Arial"/>
          <w:color w:val="000000"/>
        </w:rPr>
        <w:t>onlay</w:t>
      </w:r>
      <w:proofErr w:type="spellEnd"/>
      <w:r w:rsidRPr="002D6C04">
        <w:rPr>
          <w:rFonts w:ascii="Arial" w:hAnsi="Arial" w:cs="Arial"/>
          <w:color w:val="000000"/>
        </w:rPr>
        <w:t xml:space="preserve"> mesh repairs. </w:t>
      </w:r>
      <w:r w:rsidR="00B44020">
        <w:rPr>
          <w:rFonts w:ascii="Arial" w:hAnsi="Arial" w:cs="Arial"/>
          <w:color w:val="000000"/>
        </w:rPr>
        <w:t>It is</w:t>
      </w:r>
      <w:r w:rsidRPr="002D6C04">
        <w:rPr>
          <w:rFonts w:ascii="Arial" w:hAnsi="Arial" w:cs="Arial"/>
          <w:color w:val="000000"/>
        </w:rPr>
        <w:t xml:space="preserve"> proactively monitor for collections and use VAC dressings early, not as a rescue but as a preventive adjunct. Literature supports VAC for reducing wound tension, improving vascularity, and preventing infection [12,13].</w:t>
      </w:r>
    </w:p>
    <w:p w14:paraId="2AD750C7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u w:val="single"/>
        </w:rPr>
      </w:pPr>
    </w:p>
    <w:p w14:paraId="214299D1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2D6C04">
        <w:rPr>
          <w:rFonts w:ascii="Arial" w:hAnsi="Arial" w:cs="Arial"/>
          <w:color w:val="000000"/>
          <w:u w:val="single"/>
        </w:rPr>
        <w:t>Lessons from Recurrent Cases</w:t>
      </w:r>
    </w:p>
    <w:p w14:paraId="1313B142" w14:textId="2748752D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Many of </w:t>
      </w:r>
      <w:r w:rsidR="00B44020">
        <w:rPr>
          <w:rFonts w:ascii="Arial" w:hAnsi="Arial" w:cs="Arial"/>
          <w:color w:val="000000"/>
        </w:rPr>
        <w:t>the</w:t>
      </w:r>
      <w:r w:rsidRPr="002D6C04">
        <w:rPr>
          <w:rFonts w:ascii="Arial" w:hAnsi="Arial" w:cs="Arial"/>
          <w:color w:val="000000"/>
        </w:rPr>
        <w:t xml:space="preserve"> patients are re-recurrent—sometimes after laparoscopic, sometimes open mesh repairs. The two most frequent causes are:</w:t>
      </w:r>
    </w:p>
    <w:p w14:paraId="7583EBA4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• Missed secondary defects</w:t>
      </w:r>
    </w:p>
    <w:p w14:paraId="60F3FB65" w14:textId="77777777" w:rsidR="002D6C04" w:rsidRPr="002D6C04" w:rsidRDefault="002D6C04" w:rsidP="005746E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• Insufficient mesh overlap</w:t>
      </w:r>
    </w:p>
    <w:p w14:paraId="0B00459C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247B2513" w14:textId="69426D88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Thus, </w:t>
      </w:r>
      <w:r w:rsidR="00B44020">
        <w:rPr>
          <w:rFonts w:ascii="Arial" w:hAnsi="Arial" w:cs="Arial"/>
          <w:color w:val="000000"/>
        </w:rPr>
        <w:t xml:space="preserve">it is </w:t>
      </w:r>
      <w:r w:rsidRPr="002D6C04">
        <w:rPr>
          <w:rFonts w:ascii="Arial" w:hAnsi="Arial" w:cs="Arial"/>
          <w:color w:val="000000"/>
        </w:rPr>
        <w:t xml:space="preserve">never </w:t>
      </w:r>
      <w:r w:rsidR="00B44020" w:rsidRPr="002D6C04">
        <w:rPr>
          <w:rFonts w:ascii="Arial" w:hAnsi="Arial" w:cs="Arial"/>
          <w:color w:val="000000"/>
        </w:rPr>
        <w:t>beginning</w:t>
      </w:r>
      <w:r w:rsidRPr="002D6C04">
        <w:rPr>
          <w:rFonts w:ascii="Arial" w:hAnsi="Arial" w:cs="Arial"/>
          <w:color w:val="000000"/>
        </w:rPr>
        <w:t xml:space="preserve"> closure without full exposure of the abdominal wall. The centripetal approach naturally ensures this.</w:t>
      </w:r>
    </w:p>
    <w:p w14:paraId="24A05524" w14:textId="77777777" w:rsidR="002D6C04" w:rsidRDefault="002D6C04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5EF156E" w14:textId="77777777" w:rsidR="002D6C04" w:rsidRDefault="002D6C04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015DE26" w14:textId="77777777" w:rsidR="005746E1" w:rsidRDefault="005746E1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51F832B1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b/>
        </w:rPr>
      </w:pPr>
      <w:r w:rsidRPr="002D6C04">
        <w:rPr>
          <w:rFonts w:ascii="Arial" w:hAnsi="Arial" w:cs="Arial"/>
          <w:b/>
          <w:color w:val="000000"/>
        </w:rPr>
        <w:t>Conclusion</w:t>
      </w:r>
    </w:p>
    <w:p w14:paraId="43DA0092" w14:textId="77E57D87" w:rsidR="002D6C04" w:rsidRDefault="00B44020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This study</w:t>
      </w:r>
      <w:r w:rsidR="002D6C04" w:rsidRPr="002D6C04">
        <w:rPr>
          <w:rFonts w:ascii="Arial" w:hAnsi="Arial" w:cs="Arial"/>
          <w:color w:val="000000"/>
        </w:rPr>
        <w:t xml:space="preserve"> is a narrative of surgical evolution. Over the years, </w:t>
      </w:r>
      <w:r>
        <w:rPr>
          <w:rFonts w:ascii="Arial" w:hAnsi="Arial" w:cs="Arial"/>
          <w:color w:val="000000"/>
        </w:rPr>
        <w:t>we</w:t>
      </w:r>
      <w:r w:rsidR="002D6C04" w:rsidRPr="002D6C04">
        <w:rPr>
          <w:rFonts w:ascii="Arial" w:hAnsi="Arial" w:cs="Arial"/>
          <w:color w:val="000000"/>
        </w:rPr>
        <w:t xml:space="preserve"> moved from conventional midline incisions and cautious dissection to a confident, centripetal approach that begins in untouched skin, exposes everything, and restores integrity layer by layer.</w:t>
      </w:r>
      <w:r>
        <w:rPr>
          <w:rFonts w:ascii="Arial" w:hAnsi="Arial" w:cs="Arial"/>
        </w:rPr>
        <w:t xml:space="preserve"> </w:t>
      </w:r>
      <w:r w:rsidR="002D6C04" w:rsidRPr="002D6C04">
        <w:rPr>
          <w:rFonts w:ascii="Arial" w:hAnsi="Arial" w:cs="Arial"/>
          <w:color w:val="000000"/>
        </w:rPr>
        <w:t>The hernia repair becomes not just a mechanical act, but a conversation with the tissues, an effort to restore wholeness with minimal trauma. This approach has served well across a spectrum of patients—from minor bulges to hanging abdomens.</w:t>
      </w:r>
    </w:p>
    <w:p w14:paraId="1D54BF73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5B95120C" w14:textId="77777777" w:rsidR="00296F79" w:rsidRDefault="00296F79" w:rsidP="00296F79">
      <w:pPr>
        <w:spacing w:line="240" w:lineRule="auto"/>
      </w:pPr>
      <w:r>
        <w:rPr>
          <w:rFonts w:ascii="Sylfaen" w:eastAsia="Times New Roman" w:hAnsi="Sylfaen"/>
          <w:b/>
          <w:bCs/>
          <w:sz w:val="24"/>
          <w:szCs w:val="24"/>
        </w:rPr>
        <w:t>Ethics approval</w:t>
      </w:r>
      <w:r>
        <w:rPr>
          <w:rFonts w:ascii="Sylfaen" w:eastAsia="Times New Roman" w:hAnsi="Sylfaen"/>
          <w:sz w:val="24"/>
          <w:szCs w:val="24"/>
        </w:rPr>
        <w:t>: This article is in compliance with ethical principles.</w:t>
      </w:r>
    </w:p>
    <w:p w14:paraId="00E23A18" w14:textId="77777777" w:rsidR="002D6C04" w:rsidRDefault="002D6C04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1DB5522" w14:textId="77777777" w:rsidR="00296F79" w:rsidRDefault="00296F79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65DA57C" w14:textId="77777777" w:rsidR="00296F79" w:rsidRDefault="00296F79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1A26ADC" w14:textId="77777777" w:rsidR="00296F79" w:rsidRDefault="00296F79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EEA5F3A" w14:textId="77777777" w:rsidR="00296F79" w:rsidRDefault="00296F79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053FDB9" w14:textId="77777777" w:rsidR="00296F79" w:rsidRDefault="00296F79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1399140" w14:textId="77777777" w:rsidR="00296F79" w:rsidRDefault="00296F79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8862594" w14:textId="77777777" w:rsidR="00296F79" w:rsidRDefault="00296F79" w:rsidP="002D6C0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6D3F1EB" w14:textId="77777777" w:rsid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6B3B6B6A" w14:textId="77777777" w:rsidR="007A3117" w:rsidRDefault="007A3117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20966EF0" w14:textId="77777777" w:rsidR="007A3117" w:rsidRDefault="007A3117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6C0F0F2E" w14:textId="77777777" w:rsidR="007A3117" w:rsidRPr="002D6C04" w:rsidRDefault="007A3117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3BF4CE9D" w14:textId="77777777" w:rsidR="002D6C04" w:rsidRPr="00296F79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b/>
        </w:rPr>
      </w:pPr>
      <w:r w:rsidRPr="00296F79">
        <w:rPr>
          <w:rFonts w:ascii="Arial" w:hAnsi="Arial" w:cs="Arial"/>
          <w:b/>
          <w:color w:val="000000"/>
        </w:rPr>
        <w:t>References</w:t>
      </w:r>
    </w:p>
    <w:p w14:paraId="39A73BD2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1. </w:t>
      </w:r>
      <w:proofErr w:type="spellStart"/>
      <w:r w:rsidRPr="002D6C04">
        <w:rPr>
          <w:rFonts w:ascii="Arial" w:hAnsi="Arial" w:cs="Arial"/>
          <w:color w:val="000000"/>
        </w:rPr>
        <w:t>Luijendijk</w:t>
      </w:r>
      <w:proofErr w:type="spellEnd"/>
      <w:r w:rsidRPr="002D6C04">
        <w:rPr>
          <w:rFonts w:ascii="Arial" w:hAnsi="Arial" w:cs="Arial"/>
          <w:color w:val="000000"/>
        </w:rPr>
        <w:t xml:space="preserve"> RW, et al. A comparison of suture repair with mesh repair for incisional hernia. N Engl J Med. 2000;343(6):392–8.</w:t>
      </w:r>
    </w:p>
    <w:p w14:paraId="5FAEB882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2. Baucom RB, et al. Incidence and risk factors for hernia recurrence after repair. JAMA Surg. 2015;150(3):210–7.</w:t>
      </w:r>
    </w:p>
    <w:p w14:paraId="4CE94F88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3. Burger JW, et al. Long-term follow-up of a randomized controlled trial of suture versus mesh repair. Ann Surg. 2004;240(4):578–83.</w:t>
      </w:r>
    </w:p>
    <w:p w14:paraId="2D9CFB5C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4. Bittner R, et al. Guidelines for laparoscopic treatment of ventral and incisional abdominal wall hernias. </w:t>
      </w:r>
      <w:proofErr w:type="spellStart"/>
      <w:r w:rsidRPr="002D6C04">
        <w:rPr>
          <w:rFonts w:ascii="Arial" w:hAnsi="Arial" w:cs="Arial"/>
          <w:color w:val="000000"/>
        </w:rPr>
        <w:t>Surg</w:t>
      </w:r>
      <w:proofErr w:type="spellEnd"/>
      <w:r w:rsidRPr="002D6C04">
        <w:rPr>
          <w:rFonts w:ascii="Arial" w:hAnsi="Arial" w:cs="Arial"/>
          <w:color w:val="000000"/>
        </w:rPr>
        <w:t xml:space="preserve"> </w:t>
      </w:r>
      <w:proofErr w:type="spellStart"/>
      <w:r w:rsidRPr="002D6C04">
        <w:rPr>
          <w:rFonts w:ascii="Arial" w:hAnsi="Arial" w:cs="Arial"/>
          <w:color w:val="000000"/>
        </w:rPr>
        <w:t>Endosc</w:t>
      </w:r>
      <w:proofErr w:type="spellEnd"/>
      <w:r w:rsidRPr="002D6C04">
        <w:rPr>
          <w:rFonts w:ascii="Arial" w:hAnsi="Arial" w:cs="Arial"/>
          <w:color w:val="000000"/>
        </w:rPr>
        <w:t xml:space="preserve">. </w:t>
      </w:r>
      <w:proofErr w:type="gramStart"/>
      <w:r w:rsidRPr="002D6C04">
        <w:rPr>
          <w:rFonts w:ascii="Arial" w:hAnsi="Arial" w:cs="Arial"/>
          <w:color w:val="000000"/>
        </w:rPr>
        <w:t>2014;28:2</w:t>
      </w:r>
      <w:proofErr w:type="gramEnd"/>
      <w:r w:rsidRPr="002D6C04">
        <w:rPr>
          <w:rFonts w:ascii="Arial" w:hAnsi="Arial" w:cs="Arial"/>
          <w:color w:val="000000"/>
        </w:rPr>
        <w:t>–29.</w:t>
      </w:r>
    </w:p>
    <w:p w14:paraId="7A63C1EC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5. Jayne DG, et al. Energy-based vessel sealing devices in abdominal surgery. Br J Surg. 2012;99(3):301–10.</w:t>
      </w:r>
    </w:p>
    <w:p w14:paraId="60138234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6. Arenal JJ, et al. </w:t>
      </w:r>
      <w:proofErr w:type="spellStart"/>
      <w:r w:rsidRPr="002D6C04">
        <w:rPr>
          <w:rFonts w:ascii="Arial" w:hAnsi="Arial" w:cs="Arial"/>
          <w:color w:val="000000"/>
        </w:rPr>
        <w:t>LigaSure</w:t>
      </w:r>
      <w:proofErr w:type="spellEnd"/>
      <w:r w:rsidRPr="002D6C04">
        <w:rPr>
          <w:rFonts w:ascii="Arial" w:hAnsi="Arial" w:cs="Arial"/>
          <w:color w:val="000000"/>
        </w:rPr>
        <w:t xml:space="preserve"> vs conventional dissection: comparative study. Int J Colorectal Dis. 2005;20(3):250–4.</w:t>
      </w:r>
    </w:p>
    <w:p w14:paraId="6776EE50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7. Novitsky YW, et al. Open preperitoneal ventral hernia repair with component separation. </w:t>
      </w:r>
      <w:proofErr w:type="spellStart"/>
      <w:r w:rsidRPr="002D6C04">
        <w:rPr>
          <w:rFonts w:ascii="Arial" w:hAnsi="Arial" w:cs="Arial"/>
          <w:color w:val="000000"/>
        </w:rPr>
        <w:t>Surg</w:t>
      </w:r>
      <w:proofErr w:type="spellEnd"/>
      <w:r w:rsidRPr="002D6C04">
        <w:rPr>
          <w:rFonts w:ascii="Arial" w:hAnsi="Arial" w:cs="Arial"/>
          <w:color w:val="000000"/>
        </w:rPr>
        <w:t xml:space="preserve"> Innov. 2009;16(3):235–9.</w:t>
      </w:r>
    </w:p>
    <w:p w14:paraId="58A162B4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8. </w:t>
      </w:r>
      <w:proofErr w:type="spellStart"/>
      <w:r w:rsidRPr="002D6C04">
        <w:rPr>
          <w:rFonts w:ascii="Arial" w:hAnsi="Arial" w:cs="Arial"/>
          <w:color w:val="000000"/>
        </w:rPr>
        <w:t>Deerenberg</w:t>
      </w:r>
      <w:proofErr w:type="spellEnd"/>
      <w:r w:rsidRPr="002D6C04">
        <w:rPr>
          <w:rFonts w:ascii="Arial" w:hAnsi="Arial" w:cs="Arial"/>
          <w:color w:val="000000"/>
        </w:rPr>
        <w:t xml:space="preserve"> EB, et al. Importance of mesh overlap in hernia repair: a systematic review. Hernia. 2020;24(2):165–73.</w:t>
      </w:r>
    </w:p>
    <w:p w14:paraId="425485F5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9. Timmermans L, et al. Mesh size and recurrence in incisional hernia repair. Hernia. 2012;16(5):521–6.</w:t>
      </w:r>
    </w:p>
    <w:p w14:paraId="3FA3D76E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10. LeBlanc KA. Laparoscopic incisional and ventral hernia repair. </w:t>
      </w:r>
      <w:proofErr w:type="spellStart"/>
      <w:r w:rsidRPr="002D6C04">
        <w:rPr>
          <w:rFonts w:ascii="Arial" w:hAnsi="Arial" w:cs="Arial"/>
          <w:color w:val="000000"/>
        </w:rPr>
        <w:t>Surg</w:t>
      </w:r>
      <w:proofErr w:type="spellEnd"/>
      <w:r w:rsidRPr="002D6C04">
        <w:rPr>
          <w:rFonts w:ascii="Arial" w:hAnsi="Arial" w:cs="Arial"/>
          <w:color w:val="000000"/>
        </w:rPr>
        <w:t xml:space="preserve"> Clin North Am. 2000;80(4):1113–30.</w:t>
      </w:r>
    </w:p>
    <w:p w14:paraId="0B8C5F1F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11. Bellows CF, et al. Positioning of mesh in hernia repair: implications for adhesions. </w:t>
      </w:r>
      <w:proofErr w:type="spellStart"/>
      <w:r w:rsidRPr="002D6C04">
        <w:rPr>
          <w:rFonts w:ascii="Arial" w:hAnsi="Arial" w:cs="Arial"/>
          <w:color w:val="000000"/>
        </w:rPr>
        <w:t>Surg</w:t>
      </w:r>
      <w:proofErr w:type="spellEnd"/>
      <w:r w:rsidRPr="002D6C04">
        <w:rPr>
          <w:rFonts w:ascii="Arial" w:hAnsi="Arial" w:cs="Arial"/>
          <w:color w:val="000000"/>
        </w:rPr>
        <w:t xml:space="preserve"> Clin North Am. 2013;93(5):1255–70.</w:t>
      </w:r>
    </w:p>
    <w:p w14:paraId="2329D8AB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>12. Stannard JP, et al. Negative pressure wound therapy after ventral hernia repair. Ann Surg. 2012;255(4):696–702.</w:t>
      </w:r>
    </w:p>
    <w:p w14:paraId="1769D8A3" w14:textId="77777777" w:rsidR="002D6C04" w:rsidRPr="002D6C04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2D6C04">
        <w:rPr>
          <w:rFonts w:ascii="Arial" w:hAnsi="Arial" w:cs="Arial"/>
          <w:color w:val="000000"/>
        </w:rPr>
        <w:t xml:space="preserve">13. </w:t>
      </w:r>
      <w:proofErr w:type="spellStart"/>
      <w:r w:rsidRPr="002D6C04">
        <w:rPr>
          <w:rFonts w:ascii="Arial" w:hAnsi="Arial" w:cs="Arial"/>
          <w:color w:val="000000"/>
        </w:rPr>
        <w:t>Dessy</w:t>
      </w:r>
      <w:proofErr w:type="spellEnd"/>
      <w:r w:rsidRPr="002D6C04">
        <w:rPr>
          <w:rFonts w:ascii="Arial" w:hAnsi="Arial" w:cs="Arial"/>
          <w:color w:val="000000"/>
        </w:rPr>
        <w:t xml:space="preserve"> LA, et al. VAC system in wound healing after hernia repair. Ann Plast Surg. 2013;71(1):30–6.</w:t>
      </w:r>
    </w:p>
    <w:p w14:paraId="52A8A7C0" w14:textId="77777777" w:rsidR="003104E0" w:rsidRDefault="002D6C0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  <w:r w:rsidRPr="002D6C04">
        <w:rPr>
          <w:rFonts w:ascii="Arial" w:hAnsi="Arial" w:cs="Arial"/>
          <w:color w:val="000000"/>
        </w:rPr>
        <w:t>14. Holihan JL, et al. Mesh location affects recurrence: a meta-analysis. Ann Surg. 2016;263(3):576–82.</w:t>
      </w:r>
    </w:p>
    <w:p w14:paraId="2B3855FB" w14:textId="77777777" w:rsidR="001C7774" w:rsidRDefault="001C777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</w:p>
    <w:p w14:paraId="2B4740DF" w14:textId="77777777" w:rsidR="001C7774" w:rsidRDefault="001C777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</w:p>
    <w:p w14:paraId="679077D0" w14:textId="77777777" w:rsidR="001C7774" w:rsidRDefault="001C777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</w:p>
    <w:p w14:paraId="2C51475F" w14:textId="77777777" w:rsidR="001C7774" w:rsidRDefault="001C777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</w:p>
    <w:p w14:paraId="452BD510" w14:textId="77777777" w:rsidR="001C7774" w:rsidRDefault="001C777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</w:p>
    <w:p w14:paraId="3D99A094" w14:textId="77777777" w:rsidR="001C7774" w:rsidRDefault="001C777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</w:p>
    <w:p w14:paraId="49B21878" w14:textId="77777777" w:rsidR="001C7774" w:rsidRDefault="001C7774" w:rsidP="002D6C04">
      <w:pPr>
        <w:pStyle w:val="NormalWeb"/>
        <w:spacing w:before="0" w:beforeAutospacing="0" w:after="180" w:afterAutospacing="0"/>
        <w:rPr>
          <w:rFonts w:ascii="Arial" w:hAnsi="Arial" w:cs="Arial"/>
          <w:color w:val="000000"/>
        </w:rPr>
      </w:pPr>
    </w:p>
    <w:p w14:paraId="5061911B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>Figure 1.</w:t>
      </w:r>
    </w:p>
    <w:p w14:paraId="4A0886A9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 xml:space="preserve">Wide elliptical incision and centripetal dissection demonstrating </w:t>
      </w:r>
      <w:proofErr w:type="spellStart"/>
      <w:r w:rsidRPr="001C7774">
        <w:rPr>
          <w:rFonts w:ascii="Arial" w:hAnsi="Arial" w:cs="Arial"/>
          <w:color w:val="000000"/>
        </w:rPr>
        <w:t>en</w:t>
      </w:r>
      <w:proofErr w:type="spellEnd"/>
      <w:r w:rsidRPr="001C7774">
        <w:rPr>
          <w:rFonts w:ascii="Arial" w:hAnsi="Arial" w:cs="Arial"/>
          <w:color w:val="000000"/>
        </w:rPr>
        <w:t xml:space="preserve">-bloc separation of skin, subcutaneous fat, fascia, and sac from the </w:t>
      </w:r>
      <w:proofErr w:type="spellStart"/>
      <w:r w:rsidRPr="001C7774">
        <w:rPr>
          <w:rFonts w:ascii="Arial" w:hAnsi="Arial" w:cs="Arial"/>
          <w:color w:val="000000"/>
        </w:rPr>
        <w:t>parietes</w:t>
      </w:r>
      <w:proofErr w:type="spellEnd"/>
      <w:r w:rsidRPr="001C7774">
        <w:rPr>
          <w:rFonts w:ascii="Arial" w:hAnsi="Arial" w:cs="Arial"/>
          <w:color w:val="000000"/>
        </w:rPr>
        <w:t>.</w:t>
      </w:r>
      <w:r w:rsidR="005746E1">
        <w:rPr>
          <w:rFonts w:ascii="Arial" w:hAnsi="Arial" w:cs="Arial"/>
        </w:rPr>
        <w:t xml:space="preserve"> </w:t>
      </w:r>
      <w:r w:rsidRPr="001C7774">
        <w:rPr>
          <w:rFonts w:ascii="Arial" w:hAnsi="Arial" w:cs="Arial"/>
          <w:color w:val="000000"/>
        </w:rPr>
        <w:t xml:space="preserve">This intraoperative image highlights the hallmark of the centripetal approach—a wide local elliptical incision taken in healthy </w:t>
      </w:r>
      <w:proofErr w:type="spellStart"/>
      <w:r w:rsidRPr="001C7774">
        <w:rPr>
          <w:rFonts w:ascii="Arial" w:hAnsi="Arial" w:cs="Arial"/>
          <w:color w:val="000000"/>
        </w:rPr>
        <w:t>parietes</w:t>
      </w:r>
      <w:proofErr w:type="spellEnd"/>
      <w:r w:rsidRPr="001C7774">
        <w:rPr>
          <w:rFonts w:ascii="Arial" w:hAnsi="Arial" w:cs="Arial"/>
          <w:color w:val="000000"/>
        </w:rPr>
        <w:t>, progressing inward, with the attenuated anterior abdominal wall tissues being carefully lifted as one composite layer.</w:t>
      </w:r>
    </w:p>
    <w:p w14:paraId="4422D0AB" w14:textId="77777777" w:rsidR="001C7774" w:rsidRPr="001C7774" w:rsidRDefault="00077821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>
        <w:rPr>
          <w:rFonts w:ascii="Arial" w:hAnsi="Arial" w:cs="Arial"/>
        </w:rPr>
        <w:pict w14:anchorId="34FC4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201.75pt">
            <v:imagedata r:id="rId8" o:title="1"/>
          </v:shape>
        </w:pict>
      </w:r>
    </w:p>
    <w:p w14:paraId="06AC10B5" w14:textId="77777777" w:rsidR="001C7774" w:rsidRPr="001C7774" w:rsidRDefault="001C7774" w:rsidP="001C777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209A867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178E372F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>Figure 2.</w:t>
      </w:r>
    </w:p>
    <w:p w14:paraId="45E7CFA7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 xml:space="preserve">Multiple discrete hernial defects with visible umbilicus, sac, and </w:t>
      </w:r>
      <w:proofErr w:type="spellStart"/>
      <w:r w:rsidRPr="001C7774">
        <w:rPr>
          <w:rFonts w:ascii="Arial" w:hAnsi="Arial" w:cs="Arial"/>
          <w:color w:val="000000"/>
        </w:rPr>
        <w:t>omentum</w:t>
      </w:r>
      <w:proofErr w:type="spellEnd"/>
      <w:r w:rsidRPr="001C7774">
        <w:rPr>
          <w:rFonts w:ascii="Arial" w:hAnsi="Arial" w:cs="Arial"/>
          <w:color w:val="000000"/>
        </w:rPr>
        <w:t xml:space="preserve"> after tissue separation.</w:t>
      </w:r>
      <w:r w:rsidR="005746E1">
        <w:rPr>
          <w:rFonts w:ascii="Arial" w:hAnsi="Arial" w:cs="Arial"/>
        </w:rPr>
        <w:t xml:space="preserve"> </w:t>
      </w:r>
      <w:r w:rsidRPr="001C7774">
        <w:rPr>
          <w:rFonts w:ascii="Arial" w:hAnsi="Arial" w:cs="Arial"/>
          <w:color w:val="000000"/>
        </w:rPr>
        <w:t xml:space="preserve">Following </w:t>
      </w:r>
      <w:proofErr w:type="spellStart"/>
      <w:r w:rsidRPr="001C7774">
        <w:rPr>
          <w:rFonts w:ascii="Arial" w:hAnsi="Arial" w:cs="Arial"/>
          <w:color w:val="000000"/>
        </w:rPr>
        <w:t>en</w:t>
      </w:r>
      <w:proofErr w:type="spellEnd"/>
      <w:r w:rsidRPr="001C7774">
        <w:rPr>
          <w:rFonts w:ascii="Arial" w:hAnsi="Arial" w:cs="Arial"/>
          <w:color w:val="000000"/>
        </w:rPr>
        <w:t xml:space="preserve">-bloc excision of attenuated tissues, the anatomical extent of the hernia is clearly seen, with punctate and separated fascial defects, hernial sac, and </w:t>
      </w:r>
      <w:proofErr w:type="spellStart"/>
      <w:r w:rsidRPr="001C7774">
        <w:rPr>
          <w:rFonts w:ascii="Arial" w:hAnsi="Arial" w:cs="Arial"/>
          <w:color w:val="000000"/>
        </w:rPr>
        <w:t>omentum</w:t>
      </w:r>
      <w:proofErr w:type="spellEnd"/>
      <w:r w:rsidRPr="001C7774">
        <w:rPr>
          <w:rFonts w:ascii="Arial" w:hAnsi="Arial" w:cs="Arial"/>
          <w:color w:val="000000"/>
        </w:rPr>
        <w:t xml:space="preserve"> visualized distinctly.</w:t>
      </w:r>
    </w:p>
    <w:p w14:paraId="691621BE" w14:textId="77777777" w:rsidR="001C7774" w:rsidRPr="001C7774" w:rsidRDefault="00077821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>
        <w:rPr>
          <w:rFonts w:ascii="Arial" w:hAnsi="Arial" w:cs="Arial"/>
        </w:rPr>
        <w:pict w14:anchorId="4C69B17A">
          <v:shape id="_x0000_i1026" type="#_x0000_t75" style="width:271.5pt;height:218.25pt">
            <v:imagedata r:id="rId9" o:title="2"/>
          </v:shape>
        </w:pict>
      </w:r>
    </w:p>
    <w:p w14:paraId="11195B54" w14:textId="77777777" w:rsidR="001C7774" w:rsidRPr="001C7774" w:rsidRDefault="001C7774" w:rsidP="001C777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4D16F2C" w14:textId="77777777" w:rsidR="005746E1" w:rsidRDefault="005746E1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1A2B3AA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>Figure 3.</w:t>
      </w:r>
    </w:p>
    <w:p w14:paraId="19D361F1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>Final mesh placement following anatomical closure of all defects.</w:t>
      </w:r>
      <w:r w:rsidR="005746E1">
        <w:rPr>
          <w:rFonts w:ascii="Arial" w:hAnsi="Arial" w:cs="Arial"/>
        </w:rPr>
        <w:t xml:space="preserve"> </w:t>
      </w:r>
      <w:r w:rsidRPr="001C7774">
        <w:rPr>
          <w:rFonts w:ascii="Arial" w:hAnsi="Arial" w:cs="Arial"/>
          <w:color w:val="000000"/>
        </w:rPr>
        <w:t xml:space="preserve">A self-adhering </w:t>
      </w:r>
      <w:proofErr w:type="spellStart"/>
      <w:r w:rsidRPr="001C7774">
        <w:rPr>
          <w:rFonts w:ascii="Arial" w:hAnsi="Arial" w:cs="Arial"/>
          <w:color w:val="000000"/>
        </w:rPr>
        <w:t>ProGrip</w:t>
      </w:r>
      <w:proofErr w:type="spellEnd"/>
      <w:r w:rsidRPr="001C7774">
        <w:rPr>
          <w:rFonts w:ascii="Arial" w:hAnsi="Arial" w:cs="Arial"/>
          <w:color w:val="000000"/>
        </w:rPr>
        <w:t xml:space="preserve"> mesh has been quilted in place, covering the entire repair site with at least 5–10 cm overlap. All defects have been primarily closed before mesh reinforcement.</w:t>
      </w:r>
    </w:p>
    <w:p w14:paraId="5D612494" w14:textId="77777777" w:rsidR="001C7774" w:rsidRPr="001C7774" w:rsidRDefault="00077821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>
        <w:rPr>
          <w:rFonts w:ascii="Arial" w:hAnsi="Arial" w:cs="Arial"/>
        </w:rPr>
        <w:pict w14:anchorId="0DCA7754">
          <v:shape id="_x0000_i1027" type="#_x0000_t75" style="width:309pt;height:203.25pt">
            <v:imagedata r:id="rId10" o:title="3"/>
          </v:shape>
        </w:pict>
      </w:r>
    </w:p>
    <w:p w14:paraId="72C52D49" w14:textId="77777777" w:rsidR="001C7774" w:rsidRPr="001C7774" w:rsidRDefault="001C7774" w:rsidP="001C777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1673C76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</w:p>
    <w:p w14:paraId="408746EB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>Figure 4.</w:t>
      </w:r>
    </w:p>
    <w:p w14:paraId="20B88D39" w14:textId="77777777" w:rsidR="001C7774" w:rsidRPr="001C7774" w:rsidRDefault="001C7774" w:rsidP="001C777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1C7774">
        <w:rPr>
          <w:rFonts w:ascii="Arial" w:hAnsi="Arial" w:cs="Arial"/>
          <w:color w:val="000000"/>
        </w:rPr>
        <w:t xml:space="preserve">Excised specimen demonstrating attenuated parietal tissues and </w:t>
      </w:r>
      <w:proofErr w:type="spellStart"/>
      <w:r w:rsidRPr="001C7774">
        <w:rPr>
          <w:rFonts w:ascii="Arial" w:hAnsi="Arial" w:cs="Arial"/>
          <w:color w:val="000000"/>
        </w:rPr>
        <w:t>omentum</w:t>
      </w:r>
      <w:proofErr w:type="spellEnd"/>
      <w:r w:rsidRPr="001C7774">
        <w:rPr>
          <w:rFonts w:ascii="Arial" w:hAnsi="Arial" w:cs="Arial"/>
          <w:color w:val="000000"/>
        </w:rPr>
        <w:t>.</w:t>
      </w:r>
      <w:r w:rsidR="005746E1">
        <w:rPr>
          <w:rFonts w:ascii="Arial" w:hAnsi="Arial" w:cs="Arial"/>
        </w:rPr>
        <w:t xml:space="preserve"> </w:t>
      </w:r>
      <w:r w:rsidRPr="001C7774">
        <w:rPr>
          <w:rFonts w:ascii="Arial" w:hAnsi="Arial" w:cs="Arial"/>
          <w:color w:val="000000"/>
        </w:rPr>
        <w:t xml:space="preserve">This image shows the complete specimen removed </w:t>
      </w:r>
      <w:proofErr w:type="spellStart"/>
      <w:r w:rsidRPr="001C7774">
        <w:rPr>
          <w:rFonts w:ascii="Arial" w:hAnsi="Arial" w:cs="Arial"/>
          <w:color w:val="000000"/>
        </w:rPr>
        <w:t>en</w:t>
      </w:r>
      <w:proofErr w:type="spellEnd"/>
      <w:r w:rsidRPr="001C7774">
        <w:rPr>
          <w:rFonts w:ascii="Arial" w:hAnsi="Arial" w:cs="Arial"/>
          <w:color w:val="000000"/>
        </w:rPr>
        <w:t xml:space="preserve">-bloc, including skin, fat, fascial elements, and adherent </w:t>
      </w:r>
      <w:proofErr w:type="spellStart"/>
      <w:r w:rsidRPr="001C7774">
        <w:rPr>
          <w:rFonts w:ascii="Arial" w:hAnsi="Arial" w:cs="Arial"/>
          <w:color w:val="000000"/>
        </w:rPr>
        <w:t>omentum</w:t>
      </w:r>
      <w:proofErr w:type="spellEnd"/>
      <w:r w:rsidRPr="001C7774">
        <w:rPr>
          <w:rFonts w:ascii="Arial" w:hAnsi="Arial" w:cs="Arial"/>
          <w:color w:val="000000"/>
        </w:rPr>
        <w:t>, alongside a measurement scale to illustrate its size and extent.</w:t>
      </w:r>
    </w:p>
    <w:p w14:paraId="630E941A" w14:textId="77777777" w:rsidR="001C7774" w:rsidRDefault="00077821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B509B79">
          <v:shape id="_x0000_i1028" type="#_x0000_t75" style="width:292.5pt;height:285.75pt">
            <v:imagedata r:id="rId11" o:title="4"/>
          </v:shape>
        </w:pict>
      </w:r>
    </w:p>
    <w:p w14:paraId="4154A5D4" w14:textId="77777777" w:rsidR="005746E1" w:rsidRPr="005746E1" w:rsidRDefault="005746E1" w:rsidP="005746E1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5746E1">
        <w:rPr>
          <w:rFonts w:ascii="Arial" w:hAnsi="Arial" w:cs="Arial"/>
          <w:color w:val="000000"/>
        </w:rPr>
        <w:t>Figure 5.</w:t>
      </w:r>
    </w:p>
    <w:p w14:paraId="676A7D92" w14:textId="77777777" w:rsidR="005746E1" w:rsidRDefault="005746E1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 w:rsidRPr="005746E1">
        <w:rPr>
          <w:rFonts w:ascii="Arial" w:hAnsi="Arial" w:cs="Arial"/>
          <w:color w:val="000000"/>
        </w:rPr>
        <w:t>Final layered closure of the incision after mesh placement.</w:t>
      </w:r>
      <w:r w:rsidRPr="005746E1">
        <w:rPr>
          <w:rFonts w:ascii="Arial" w:hAnsi="Arial" w:cs="Arial"/>
        </w:rPr>
        <w:t xml:space="preserve"> </w:t>
      </w:r>
      <w:r w:rsidRPr="005746E1">
        <w:rPr>
          <w:rFonts w:ascii="Arial" w:hAnsi="Arial" w:cs="Arial"/>
          <w:color w:val="000000"/>
        </w:rPr>
        <w:t>The surgical site following anatomical repair and mesh reinforcement shows a tension-free, multi-layered closure with approximation of Scarpa’s fascia, subcutaneous tissues, and inverted dermal sutures. The incision demonstrates a clean, well-aligned wound suitable for optimal healing.</w:t>
      </w:r>
    </w:p>
    <w:p w14:paraId="7B6035C8" w14:textId="77777777" w:rsidR="005746E1" w:rsidRPr="001C7774" w:rsidRDefault="005746E1" w:rsidP="002D6C04">
      <w:pPr>
        <w:pStyle w:val="NormalWeb"/>
        <w:spacing w:before="0" w:beforeAutospacing="0" w:after="18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692F26" wp14:editId="34429581">
            <wp:extent cx="3955312" cy="246473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14" cy="24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6E1" w:rsidRPr="001C777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3F578" w14:textId="77777777" w:rsidR="00FC713A" w:rsidRDefault="00FC713A" w:rsidP="00932C5C">
      <w:pPr>
        <w:spacing w:after="0" w:line="240" w:lineRule="auto"/>
      </w:pPr>
      <w:r>
        <w:separator/>
      </w:r>
    </w:p>
  </w:endnote>
  <w:endnote w:type="continuationSeparator" w:id="0">
    <w:p w14:paraId="0052A2F1" w14:textId="77777777" w:rsidR="00FC713A" w:rsidRDefault="00FC713A" w:rsidP="0093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F469C" w14:textId="77777777" w:rsidR="00932C5C" w:rsidRDefault="0093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0CC8E" w14:textId="77777777" w:rsidR="00932C5C" w:rsidRDefault="0093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17CDA" w14:textId="77777777" w:rsidR="00932C5C" w:rsidRDefault="00932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F7963" w14:textId="77777777" w:rsidR="00FC713A" w:rsidRDefault="00FC713A" w:rsidP="00932C5C">
      <w:pPr>
        <w:spacing w:after="0" w:line="240" w:lineRule="auto"/>
      </w:pPr>
      <w:r>
        <w:separator/>
      </w:r>
    </w:p>
  </w:footnote>
  <w:footnote w:type="continuationSeparator" w:id="0">
    <w:p w14:paraId="7B4FE1FE" w14:textId="77777777" w:rsidR="00FC713A" w:rsidRDefault="00FC713A" w:rsidP="00932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B87BD" w14:textId="365C5901" w:rsidR="00932C5C" w:rsidRDefault="00932C5C">
    <w:pPr>
      <w:pStyle w:val="Header"/>
    </w:pPr>
    <w:r>
      <w:rPr>
        <w:noProof/>
      </w:rPr>
      <w:pict w14:anchorId="2E5CBA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645313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8C340" w14:textId="3013F27E" w:rsidR="00932C5C" w:rsidRDefault="00932C5C">
    <w:pPr>
      <w:pStyle w:val="Header"/>
    </w:pPr>
    <w:r>
      <w:rPr>
        <w:noProof/>
      </w:rPr>
      <w:pict w14:anchorId="57B75A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645314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1B7F6" w14:textId="76F2A40E" w:rsidR="00932C5C" w:rsidRDefault="00932C5C">
    <w:pPr>
      <w:pStyle w:val="Header"/>
    </w:pPr>
    <w:r>
      <w:rPr>
        <w:noProof/>
      </w:rPr>
      <w:pict w14:anchorId="26571C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645312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47E59"/>
    <w:multiLevelType w:val="hybridMultilevel"/>
    <w:tmpl w:val="E59079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467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LQ0MzQ3NLCwNLAwMDdV0lEKTi0uzszPAykwrAUASFSatCwAAAA="/>
  </w:docVars>
  <w:rsids>
    <w:rsidRoot w:val="00662FC7"/>
    <w:rsid w:val="00077821"/>
    <w:rsid w:val="00112925"/>
    <w:rsid w:val="00195485"/>
    <w:rsid w:val="001C7774"/>
    <w:rsid w:val="00296F79"/>
    <w:rsid w:val="002D6C04"/>
    <w:rsid w:val="003104E0"/>
    <w:rsid w:val="00322C5C"/>
    <w:rsid w:val="00342AFE"/>
    <w:rsid w:val="00391B3A"/>
    <w:rsid w:val="003F09D6"/>
    <w:rsid w:val="003F3CCC"/>
    <w:rsid w:val="00413D6D"/>
    <w:rsid w:val="00487E07"/>
    <w:rsid w:val="005746E1"/>
    <w:rsid w:val="00662FC7"/>
    <w:rsid w:val="007A3117"/>
    <w:rsid w:val="009053AA"/>
    <w:rsid w:val="00932C5C"/>
    <w:rsid w:val="00B44020"/>
    <w:rsid w:val="00B92AFC"/>
    <w:rsid w:val="00BC3708"/>
    <w:rsid w:val="00D112C7"/>
    <w:rsid w:val="00D465AA"/>
    <w:rsid w:val="00DE3093"/>
    <w:rsid w:val="00E629FB"/>
    <w:rsid w:val="00FC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C0429"/>
  <w15:chartTrackingRefBased/>
  <w15:docId w15:val="{F4EAD7A7-602C-4185-B5E4-27D2C42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2F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paragraph" w:customStyle="1" w:styleId="p1">
    <w:name w:val="p1"/>
    <w:basedOn w:val="Normal"/>
    <w:rsid w:val="00662F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paragraph" w:customStyle="1" w:styleId="p2">
    <w:name w:val="p2"/>
    <w:basedOn w:val="Normal"/>
    <w:rsid w:val="00662F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662FC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C0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42A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2C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C5C"/>
  </w:style>
  <w:style w:type="paragraph" w:styleId="Footer">
    <w:name w:val="footer"/>
    <w:basedOn w:val="Normal"/>
    <w:link w:val="FooterChar"/>
    <w:uiPriority w:val="99"/>
    <w:unhideWhenUsed/>
    <w:rsid w:val="00932C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6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14FB1-19D3-4B0C-B96F-793C91A2C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Rajnish Talwar</dc:creator>
  <cp:keywords/>
  <dc:description/>
  <cp:lastModifiedBy>Editor-22</cp:lastModifiedBy>
  <cp:revision>36</cp:revision>
  <cp:lastPrinted>2025-04-05T08:54:00Z</cp:lastPrinted>
  <dcterms:created xsi:type="dcterms:W3CDTF">2025-04-05T04:20:00Z</dcterms:created>
  <dcterms:modified xsi:type="dcterms:W3CDTF">2025-04-24T12:01:00Z</dcterms:modified>
</cp:coreProperties>
</file>