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9B08" w14:textId="77777777" w:rsidR="00275751" w:rsidRPr="00275751" w:rsidRDefault="00275751" w:rsidP="00275751">
      <w:pPr>
        <w:pStyle w:val="Author"/>
        <w:rPr>
          <w:rFonts w:ascii="Arial" w:hAnsi="Arial" w:cs="Arial"/>
          <w:bCs/>
          <w:i/>
          <w:iCs/>
          <w:kern w:val="28"/>
          <w:sz w:val="18"/>
          <w:szCs w:val="18"/>
          <w:u w:val="single"/>
        </w:rPr>
      </w:pPr>
      <w:bookmarkStart w:id="0" w:name="_GoBack"/>
      <w:bookmarkEnd w:id="0"/>
      <w:r w:rsidRPr="00275751">
        <w:rPr>
          <w:rFonts w:ascii="Arial" w:hAnsi="Arial" w:cs="Arial"/>
          <w:bCs/>
          <w:i/>
          <w:iCs/>
          <w:kern w:val="28"/>
          <w:sz w:val="18"/>
          <w:szCs w:val="18"/>
          <w:u w:val="single"/>
        </w:rPr>
        <w:t xml:space="preserve">Case report </w:t>
      </w:r>
    </w:p>
    <w:p w14:paraId="25D8C923" w14:textId="77777777" w:rsidR="007177CB" w:rsidRDefault="007177CB" w:rsidP="007177CB">
      <w:pPr>
        <w:pStyle w:val="Author"/>
        <w:spacing w:line="240" w:lineRule="auto"/>
        <w:rPr>
          <w:rFonts w:ascii="Arial" w:hAnsi="Arial" w:cs="Arial"/>
          <w:bCs/>
          <w:iCs/>
          <w:kern w:val="28"/>
          <w:sz w:val="36"/>
        </w:rPr>
      </w:pPr>
    </w:p>
    <w:p w14:paraId="08A90355" w14:textId="77777777" w:rsidR="007177CB" w:rsidRPr="00163BC4" w:rsidRDefault="00A970D8" w:rsidP="007177CB">
      <w:pPr>
        <w:pStyle w:val="Author"/>
        <w:spacing w:line="240" w:lineRule="auto"/>
        <w:rPr>
          <w:rFonts w:ascii="Arial" w:hAnsi="Arial" w:cs="Arial"/>
          <w:bCs/>
          <w:iCs/>
          <w:kern w:val="28"/>
          <w:sz w:val="36"/>
        </w:rPr>
      </w:pPr>
      <w:r>
        <w:rPr>
          <w:rFonts w:ascii="Arial" w:hAnsi="Arial" w:cs="Arial"/>
          <w:bCs/>
          <w:iCs/>
          <w:kern w:val="28"/>
          <w:sz w:val="36"/>
        </w:rPr>
        <w:t xml:space="preserve">Bilateral central retinal vein occlusion revealing malignant hypertension and terminal renal </w:t>
      </w:r>
      <w:proofErr w:type="gramStart"/>
      <w:r>
        <w:rPr>
          <w:rFonts w:ascii="Arial" w:hAnsi="Arial" w:cs="Arial"/>
          <w:bCs/>
          <w:iCs/>
          <w:kern w:val="28"/>
          <w:sz w:val="36"/>
        </w:rPr>
        <w:t xml:space="preserve">failure </w:t>
      </w:r>
      <w:r w:rsidR="007177CB">
        <w:rPr>
          <w:rFonts w:ascii="Arial" w:hAnsi="Arial" w:cs="Arial"/>
          <w:bCs/>
          <w:iCs/>
          <w:kern w:val="28"/>
          <w:sz w:val="36"/>
        </w:rPr>
        <w:t>:</w:t>
      </w:r>
      <w:proofErr w:type="gramEnd"/>
      <w:r w:rsidR="007177CB">
        <w:rPr>
          <w:rFonts w:ascii="Arial" w:hAnsi="Arial" w:cs="Arial"/>
          <w:bCs/>
          <w:iCs/>
          <w:kern w:val="28"/>
          <w:sz w:val="36"/>
        </w:rPr>
        <w:t xml:space="preserve"> a case report   </w:t>
      </w:r>
    </w:p>
    <w:p w14:paraId="56F18F85" w14:textId="77777777" w:rsidR="007177CB" w:rsidRPr="00790ADA" w:rsidRDefault="007177CB" w:rsidP="007177CB">
      <w:pPr>
        <w:pStyle w:val="Author"/>
        <w:spacing w:line="240" w:lineRule="auto"/>
        <w:jc w:val="both"/>
        <w:rPr>
          <w:rFonts w:ascii="Arial" w:hAnsi="Arial" w:cs="Arial"/>
          <w:sz w:val="36"/>
        </w:rPr>
      </w:pPr>
    </w:p>
    <w:p w14:paraId="5956849E" w14:textId="77777777" w:rsidR="007177CB" w:rsidRDefault="007177CB" w:rsidP="007177CB">
      <w:pPr>
        <w:pStyle w:val="AbstHead"/>
        <w:spacing w:after="0"/>
        <w:jc w:val="both"/>
        <w:rPr>
          <w:rFonts w:ascii="Arial" w:hAnsi="Arial" w:cs="Arial"/>
        </w:rPr>
      </w:pPr>
      <w:r w:rsidRPr="00FB3A86">
        <w:rPr>
          <w:rFonts w:ascii="Arial" w:hAnsi="Arial" w:cs="Arial"/>
        </w:rPr>
        <w:t>ABSTRACT</w:t>
      </w:r>
    </w:p>
    <w:p w14:paraId="672A83ED" w14:textId="77777777" w:rsidR="007177CB" w:rsidRPr="00FB3A86" w:rsidRDefault="007177CB" w:rsidP="007177C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7CB" w:rsidRPr="001E44FE" w14:paraId="309A0D4E" w14:textId="77777777" w:rsidTr="002A5051">
        <w:tc>
          <w:tcPr>
            <w:tcW w:w="9576" w:type="dxa"/>
            <w:shd w:val="clear" w:color="auto" w:fill="F2F2F2"/>
          </w:tcPr>
          <w:p w14:paraId="651415D4" w14:textId="77777777" w:rsidR="007177CB" w:rsidRDefault="007177CB" w:rsidP="007177CB">
            <w:pPr>
              <w:spacing w:before="100" w:beforeAutospacing="1" w:after="100" w:afterAutospacing="1" w:line="360" w:lineRule="auto"/>
              <w:rPr>
                <w:rFonts w:ascii="Arial" w:hAnsi="Arial" w:cs="Arial"/>
                <w:sz w:val="22"/>
                <w:szCs w:val="22"/>
              </w:rPr>
            </w:pPr>
            <w:r w:rsidRPr="00AA3AA8">
              <w:rPr>
                <w:rFonts w:ascii="Arial" w:eastAsia="Calibri" w:hAnsi="Arial" w:cs="Arial"/>
                <w:b/>
                <w:szCs w:val="22"/>
              </w:rPr>
              <w:t>AIMS:</w:t>
            </w:r>
            <w:r w:rsidRPr="00AA3AA8">
              <w:rPr>
                <w:rFonts w:ascii="Arial" w:eastAsia="Calibri" w:hAnsi="Arial" w:cs="Arial"/>
                <w:bCs/>
                <w:szCs w:val="22"/>
              </w:rPr>
              <w:t xml:space="preserve"> </w:t>
            </w:r>
            <w:r w:rsidRPr="007177CB">
              <w:rPr>
                <w:rFonts w:ascii="Arial" w:hAnsi="Arial" w:cs="Arial"/>
              </w:rPr>
              <w:t>This case highlights the critical need for routine blood pressure monitoring, as unrecognized hypertension can lead to devastating complications. Early diagnosis and timely intervention are essential to prevent irreversible target organ damage and improve long-term cardiovascular and renal outcomes</w:t>
            </w:r>
            <w:r w:rsidRPr="004B2C32">
              <w:rPr>
                <w:rFonts w:ascii="Arial" w:hAnsi="Arial" w:cs="Arial"/>
                <w:sz w:val="22"/>
                <w:szCs w:val="22"/>
              </w:rPr>
              <w:t>.</w:t>
            </w:r>
          </w:p>
          <w:p w14:paraId="4E965416" w14:textId="77777777" w:rsidR="007177CB" w:rsidRPr="007177CB" w:rsidRDefault="007177CB" w:rsidP="007177CB">
            <w:pPr>
              <w:spacing w:before="100" w:beforeAutospacing="1" w:after="100" w:afterAutospacing="1" w:line="360" w:lineRule="auto"/>
              <w:rPr>
                <w:rFonts w:ascii="Arial" w:eastAsia="Calibri" w:hAnsi="Arial" w:cs="Arial"/>
                <w:bCs/>
                <w:sz w:val="18"/>
              </w:rPr>
            </w:pPr>
            <w:r w:rsidRPr="00AA3AA8">
              <w:rPr>
                <w:rFonts w:ascii="Arial" w:eastAsia="Calibri" w:hAnsi="Arial" w:cs="Arial"/>
                <w:b/>
                <w:szCs w:val="22"/>
              </w:rPr>
              <w:t>Case report:</w:t>
            </w:r>
            <w:r w:rsidRPr="00AA3AA8">
              <w:rPr>
                <w:rFonts w:ascii="Arial" w:eastAsia="Calibri" w:hAnsi="Arial" w:cs="Arial"/>
                <w:bCs/>
                <w:szCs w:val="22"/>
              </w:rPr>
              <w:t xml:space="preserve"> </w:t>
            </w:r>
            <w:r w:rsidRPr="007177CB">
              <w:rPr>
                <w:rFonts w:ascii="Arial" w:hAnsi="Arial" w:cs="Arial"/>
              </w:rPr>
              <w:t>We present the case of a 35-year-old male who developed acute bilateral vision loss due to grade IV hypertensive retinopathy. Further investigations revealed previously undiagnosed malignant arterial hypertension, complicated by end-stage renal disease and severe left ventricular hypertrophy. Despite prompt initiation of intensive antihypertensive therapy, renal function remained irreversibly impaired, necessitating kidney transplantation six months later. Over a one-year follow-up period, hypertensive retinopathy gradually resolved.</w:t>
            </w:r>
          </w:p>
          <w:p w14:paraId="7824A34F" w14:textId="77777777" w:rsidR="007177CB" w:rsidRPr="00BA1B01" w:rsidRDefault="007177CB" w:rsidP="007177CB">
            <w:pPr>
              <w:pStyle w:val="Body"/>
              <w:spacing w:after="0"/>
              <w:rPr>
                <w:rFonts w:ascii="Arial" w:eastAsia="Calibri" w:hAnsi="Arial" w:cs="Arial"/>
                <w:szCs w:val="22"/>
              </w:rPr>
            </w:pPr>
            <w:r w:rsidRPr="00AA3AA8">
              <w:rPr>
                <w:rFonts w:ascii="Arial" w:eastAsia="Calibri" w:hAnsi="Arial" w:cs="Arial"/>
                <w:b/>
                <w:szCs w:val="22"/>
              </w:rPr>
              <w:t>Conclusion:</w:t>
            </w:r>
            <w:r w:rsidRPr="00AA3AA8">
              <w:rPr>
                <w:rFonts w:ascii="Arial" w:eastAsia="Calibri" w:hAnsi="Arial" w:cs="Arial"/>
                <w:bCs/>
                <w:szCs w:val="22"/>
              </w:rPr>
              <w:t xml:space="preserve"> </w:t>
            </w:r>
            <w:r w:rsidRPr="007177CB">
              <w:rPr>
                <w:rFonts w:ascii="Arial" w:hAnsi="Arial" w:cs="Arial"/>
              </w:rPr>
              <w:t>Malignant hypertension is a severe and life-threatening condition that can lead to multiorgan damage if left undiagnosed and untreated.</w:t>
            </w:r>
          </w:p>
        </w:tc>
      </w:tr>
    </w:tbl>
    <w:p w14:paraId="20FD29B4" w14:textId="77777777" w:rsidR="007177CB" w:rsidRDefault="007177CB" w:rsidP="007177CB">
      <w:pPr>
        <w:pStyle w:val="Body"/>
        <w:spacing w:after="0"/>
        <w:rPr>
          <w:rFonts w:ascii="Arial" w:hAnsi="Arial" w:cs="Arial"/>
          <w:i/>
        </w:rPr>
      </w:pPr>
    </w:p>
    <w:p w14:paraId="2B3592FE" w14:textId="77777777" w:rsidR="007177CB" w:rsidRPr="00A24E7E" w:rsidRDefault="007177CB" w:rsidP="007177CB">
      <w:pPr>
        <w:pStyle w:val="Body"/>
        <w:spacing w:after="0"/>
        <w:rPr>
          <w:rFonts w:ascii="Arial" w:hAnsi="Arial" w:cs="Arial"/>
          <w:i/>
        </w:rPr>
      </w:pPr>
    </w:p>
    <w:p w14:paraId="4154E161" w14:textId="77777777" w:rsidR="007177CB" w:rsidRPr="00FB3A86" w:rsidRDefault="007177CB" w:rsidP="007177CB">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0572E89" w14:textId="77777777" w:rsidR="007177CB" w:rsidRPr="009A6DE1" w:rsidRDefault="007177CB" w:rsidP="009A6DE1">
      <w:pPr>
        <w:spacing w:before="100" w:beforeAutospacing="1" w:after="100" w:afterAutospacing="1" w:line="360" w:lineRule="auto"/>
        <w:rPr>
          <w:rFonts w:ascii="Arial" w:hAnsi="Arial" w:cs="Arial"/>
          <w:sz w:val="22"/>
          <w:szCs w:val="22"/>
        </w:rPr>
      </w:pPr>
      <w:r w:rsidRPr="007177CB">
        <w:rPr>
          <w:rFonts w:ascii="Arial" w:hAnsi="Arial" w:cs="Arial"/>
        </w:rPr>
        <w:t xml:space="preserve">Central retinal vein occlusion (CRVO) is a common retinal vascular disorder typically associated with systemic vascular diseases and cardiovascular risk factors, with hypertension being the most significant. Although CRVO can occur at any age, it predominantly affects individuals over 50 years old, with only 10% of cases reported in patients under 40 </w:t>
      </w:r>
      <w:r w:rsidRPr="007177CB">
        <w:rPr>
          <w:rFonts w:ascii="Arial" w:hAnsi="Arial" w:cs="Arial"/>
        </w:rPr>
        <w:fldChar w:fldCharType="begin"/>
      </w:r>
      <w:r w:rsidRPr="007177CB">
        <w:rPr>
          <w:rFonts w:ascii="Arial" w:hAnsi="Arial" w:cs="Arial"/>
        </w:rPr>
        <w:instrText xml:space="preserve"> ADDIN ZOTERO_ITEM CSL_CITATION {"citationID":"j01fukDQ","properties":{"formattedCitation":"[1]","plainCitation":"[1]","noteIndex":0},"citationItems":[{"id":259,"uris":["http://zotero.org/users/13642106/items/IGEXRP83"],"itemData":{"id":259,"type":"article-journal","abstract":"Retinal vein occlusion (RVO) is a relatively common disease that is often associated with a variety of systemic disorders including arterial hypertension, diabetes mellitus, dyslipidemia, and systemic vasculitis. There are various types of RVO, categorized on the basis of the site of occlusion and on the type of consequent vascular damage. Central retinal vein occlusion (CRVO) is the most frequently occurring and clinically relevant type of RVO. In addition to the well-known classical risk factors, new hemostasis-related ones have been investigated in patients affected by CRVO. The data concerning a number of parameters remain contradictory; yet, high levels of type 1 plasminogen activator inhibitor (PAI-1) and hyperhomocysteinemia appear to play a significant role in the pathogenesis of this disease. Although based on a limited number of studies, this new knowledge could eventually provide important indications regarding prognosis and therapeutic strategies.","container-title":"European Journal of Internal Medicine","DOI":"10.1016/S0953-6205(02)00025-0","ISSN":"0953-6205","issue":"3","journalAbbreviation":"European Journal of Internal Medicine","page":"163-169","source":"ScienceDirect","title":"Cardiovascular and thrombophilic risk factors for central retinal vein occlusion","volume":"13","author":[{"family":"Prisco","given":"Domenico"},{"family":"Marcucci","given":"Rossella"},{"family":"Bertini","given":"Laura"},{"family":"Gori","given":"Anna Maria"}],"issued":{"date-parts":[["2002",5,1]]}}}],"schema":"https://github.com/citation-style-language/schema/raw/master/csl-citation.json"} </w:instrText>
      </w:r>
      <w:r w:rsidRPr="007177CB">
        <w:rPr>
          <w:rFonts w:ascii="Arial" w:hAnsi="Arial" w:cs="Arial"/>
        </w:rPr>
        <w:fldChar w:fldCharType="separate"/>
      </w:r>
      <w:r w:rsidRPr="007177CB">
        <w:rPr>
          <w:rFonts w:ascii="Arial" w:hAnsi="Arial" w:cs="Arial"/>
        </w:rPr>
        <w:t>[1]</w:t>
      </w:r>
      <w:r w:rsidRPr="007177CB">
        <w:rPr>
          <w:rFonts w:ascii="Arial" w:hAnsi="Arial" w:cs="Arial"/>
        </w:rPr>
        <w:fldChar w:fldCharType="end"/>
      </w:r>
      <w:r w:rsidRPr="007177CB">
        <w:rPr>
          <w:rFonts w:ascii="Arial" w:hAnsi="Arial" w:cs="Arial"/>
        </w:rPr>
        <w:t xml:space="preserve">. The most frequently associated cardiovascular risk factors include hypertension, diabetes mellitus, ischemic heart disease, coagulation disorders, vasculitis, autoimmune diseases, malignancies, alcohol consumption, and oral contraceptive use </w:t>
      </w:r>
      <w:r w:rsidRPr="007177CB">
        <w:rPr>
          <w:rFonts w:ascii="Arial" w:hAnsi="Arial" w:cs="Arial"/>
        </w:rPr>
        <w:fldChar w:fldCharType="begin"/>
      </w:r>
      <w:r w:rsidRPr="007177CB">
        <w:rPr>
          <w:rFonts w:ascii="Arial" w:hAnsi="Arial" w:cs="Arial"/>
        </w:rPr>
        <w:instrText xml:space="preserve"> ADDIN ZOTERO_ITEM CSL_CITATION {"citationID":"TQc0tVp2","properties":{"formattedCitation":"[2]","plainCitation":"[2]","noteIndex":0},"citationItems":[{"id":263,"uris":["http://zotero.org/users/13642106/items/IPQJDLEH"],"itemData":{"id":263,"type":"article-journal","abstract":"Retinal vein occlusion (RVO) is a relatively common disease, often associated with the presence of diseases related to internal medicine. It is well known that RVO is associated with common systemic vascular disorders such as hypertension, arteriosclerosis and diabetes. Several studies using hospital-based controls have shown an increased risk of RVO in patients with arteriopathy, or high levels of plasma glucose and arterial blood pressure. Patients are categorized into six types of RVO based on the site of occlusion and on the type of consequent vascular damage. Central retinal vein occlusion (CRVO) is the most frequently-occurring and clinically relevant type of RVO. In addition to the well-known classical risk factors, new haemostasis-related ones have been investigated in patients affected by CRVO. While data concerning a number of parameters remain contradictory, high levels of type 1 plasminogen activator inhibitor (PAI-1) and hyperhomocysteinemia appear to play a significant role in the pathogenesis of this disease. Although based on a limited number of studies, this new knowledge could eventually provide important indications regarding prognosis and therapeutic strategies. There is no established treatment for CRVO. Treatment consists primarily of managing any identified underlying systemic disease. The increasing role of hypercoagulability in patients with CRVO supports the use of antithrombotic drugs in the treatment of this disease. Vitamin treatment to correct hyperhomocysteinemia should also be taken into consideration. However, the approach to CRVO treatment with antithrombotic drugs is not evidence-based yet. There is urgent need of intervention trials to evaluate the role of these drugs in CRVO patients.","container-title":"Pathophysiology of Haemostasis and Thrombosis","DOI":"10.1159/000073587","ISSN":"1424-8832","issue":"5-6","journalAbbreviation":"Pathophysiol Haemost Thromb","language":"eng","note":"PMID: 13679663","page":"308-311","source":"PubMed","title":"Retinal vein thrombosis: risk factors, pathogenesis and therapeutic approach","title-short":"Retinal vein thrombosis","volume":"32","author":[{"family":"Prisco","given":"Domenico"},{"family":"Marcucci","given":"Rossella"}],"issued":{"date-parts":[["2002"]]}}}],"schema":"https://github.com/citation-style-language/schema/raw/master/csl-citation.json"} </w:instrText>
      </w:r>
      <w:r w:rsidRPr="007177CB">
        <w:rPr>
          <w:rFonts w:ascii="Arial" w:hAnsi="Arial" w:cs="Arial"/>
        </w:rPr>
        <w:fldChar w:fldCharType="separate"/>
      </w:r>
      <w:r w:rsidRPr="007177CB">
        <w:rPr>
          <w:rFonts w:ascii="Arial" w:hAnsi="Arial" w:cs="Arial"/>
        </w:rPr>
        <w:t>[2]</w:t>
      </w:r>
      <w:r w:rsidRPr="007177CB">
        <w:rPr>
          <w:rFonts w:ascii="Arial" w:hAnsi="Arial" w:cs="Arial"/>
        </w:rPr>
        <w:fldChar w:fldCharType="end"/>
      </w:r>
      <w:r w:rsidRPr="007177CB">
        <w:rPr>
          <w:rFonts w:ascii="Arial" w:hAnsi="Arial" w:cs="Arial"/>
        </w:rPr>
        <w:t xml:space="preserve">. The management of CRVO depends on the type and severity of the occlusion, regardless of its underlying etiology. We present a rare case of bilateral CRVO in a young male, incidentally, diagnosed along with hypertensive nephropathy. </w:t>
      </w:r>
    </w:p>
    <w:p w14:paraId="5BA137FA" w14:textId="77777777" w:rsidR="007177CB" w:rsidRPr="00FB3A86" w:rsidRDefault="007177CB" w:rsidP="007177CB">
      <w:pPr>
        <w:pStyle w:val="AbstHead"/>
        <w:spacing w:after="0"/>
        <w:jc w:val="both"/>
        <w:rPr>
          <w:rFonts w:ascii="Arial" w:hAnsi="Arial" w:cs="Arial"/>
        </w:rPr>
      </w:pPr>
      <w:r>
        <w:rPr>
          <w:rFonts w:ascii="Arial" w:hAnsi="Arial" w:cs="Arial"/>
        </w:rPr>
        <w:lastRenderedPageBreak/>
        <w:t>2. CASE REPORT</w:t>
      </w:r>
    </w:p>
    <w:p w14:paraId="52ED558D"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We report the case of a 36-year-old male with no significant medical or surgical history, except for a mild COVID-19 infection from which he had fully recovered six months prior to admission. He presented to the emergency department, with a sudden and severe decrease in visual acuity, accompanied by intense headaches and profound fatigue.</w:t>
      </w:r>
    </w:p>
    <w:p w14:paraId="75F7D2FE" w14:textId="77777777" w:rsidR="007177CB" w:rsidRDefault="007177CB" w:rsidP="007177CB">
      <w:pPr>
        <w:shd w:val="clear" w:color="auto" w:fill="FFFFFF"/>
        <w:spacing w:line="360" w:lineRule="auto"/>
        <w:rPr>
          <w:rFonts w:ascii="Arial" w:hAnsi="Arial" w:cs="Arial"/>
        </w:rPr>
      </w:pPr>
      <w:r w:rsidRPr="007177CB">
        <w:rPr>
          <w:rFonts w:ascii="Arial" w:hAnsi="Arial" w:cs="Arial"/>
        </w:rPr>
        <w:t>At the time of admission, the patient was found to have previously undiagnosed severe hypertension, with a blood pressure of 210/110 mmHg, tachycardia at 136 pulse/</w:t>
      </w:r>
      <w:proofErr w:type="spellStart"/>
      <w:r w:rsidRPr="007177CB">
        <w:rPr>
          <w:rFonts w:ascii="Arial" w:hAnsi="Arial" w:cs="Arial"/>
        </w:rPr>
        <w:t>mn</w:t>
      </w:r>
      <w:proofErr w:type="spellEnd"/>
      <w:r w:rsidRPr="007177CB">
        <w:rPr>
          <w:rFonts w:ascii="Arial" w:hAnsi="Arial" w:cs="Arial"/>
        </w:rPr>
        <w:t xml:space="preserve"> associated to visual loss acuity at 04/10 for the right eye and 5/10 for the left one. Int</w:t>
      </w:r>
      <w:r w:rsidR="009A6DE1">
        <w:rPr>
          <w:rFonts w:ascii="Arial" w:hAnsi="Arial" w:cs="Arial"/>
        </w:rPr>
        <w:t>raocular pressure was correct (</w:t>
      </w:r>
      <w:r w:rsidRPr="007177CB">
        <w:rPr>
          <w:rFonts w:ascii="Arial" w:hAnsi="Arial" w:cs="Arial"/>
        </w:rPr>
        <w:t xml:space="preserve">15/16 </w:t>
      </w:r>
      <w:proofErr w:type="spellStart"/>
      <w:r w:rsidRPr="007177CB">
        <w:rPr>
          <w:rFonts w:ascii="Arial" w:hAnsi="Arial" w:cs="Arial"/>
        </w:rPr>
        <w:t>mmhg</w:t>
      </w:r>
      <w:proofErr w:type="spellEnd"/>
      <w:r w:rsidRPr="007177CB">
        <w:rPr>
          <w:rFonts w:ascii="Arial" w:hAnsi="Arial" w:cs="Arial"/>
        </w:rPr>
        <w:t xml:space="preserve">) and anterior ocular segment examination revealed no abnormalities. </w:t>
      </w:r>
      <w:proofErr w:type="spellStart"/>
      <w:r w:rsidRPr="007177CB">
        <w:rPr>
          <w:rFonts w:ascii="Arial" w:hAnsi="Arial" w:cs="Arial"/>
        </w:rPr>
        <w:t>Funduscopy</w:t>
      </w:r>
      <w:proofErr w:type="spellEnd"/>
      <w:r w:rsidRPr="007177CB">
        <w:rPr>
          <w:rFonts w:ascii="Arial" w:hAnsi="Arial" w:cs="Arial"/>
        </w:rPr>
        <w:t xml:space="preserve"> of both eyes showed characteristic central retinal vein occlusion signs such as significant venous dilatations associated to </w:t>
      </w:r>
      <w:proofErr w:type="spellStart"/>
      <w:r w:rsidRPr="007177CB">
        <w:rPr>
          <w:rFonts w:ascii="Arial" w:hAnsi="Arial" w:cs="Arial"/>
        </w:rPr>
        <w:t>tortuosities</w:t>
      </w:r>
      <w:proofErr w:type="spellEnd"/>
      <w:r w:rsidRPr="007177CB">
        <w:rPr>
          <w:rFonts w:ascii="Arial" w:hAnsi="Arial" w:cs="Arial"/>
        </w:rPr>
        <w:t>, flame-shaped hemorrhages, exudates, cotton-wool spots of the four quadrants and diffuse macular edema w</w:t>
      </w:r>
      <w:r w:rsidR="007D1CDA">
        <w:rPr>
          <w:rFonts w:ascii="Arial" w:hAnsi="Arial" w:cs="Arial"/>
        </w:rPr>
        <w:t>ith no frank papilledema (figure</w:t>
      </w:r>
      <w:r w:rsidRPr="007177CB">
        <w:rPr>
          <w:rFonts w:ascii="Arial" w:hAnsi="Arial" w:cs="Arial"/>
        </w:rPr>
        <w:t xml:space="preserve"> 1). </w:t>
      </w:r>
    </w:p>
    <w:p w14:paraId="3F665322" w14:textId="77777777" w:rsidR="007177CB" w:rsidRDefault="007177CB" w:rsidP="007177CB">
      <w:pPr>
        <w:shd w:val="clear" w:color="auto" w:fill="FFFFFF"/>
        <w:spacing w:line="360" w:lineRule="auto"/>
        <w:rPr>
          <w:rFonts w:ascii="Arial" w:hAnsi="Arial" w:cs="Arial"/>
        </w:rPr>
      </w:pPr>
    </w:p>
    <w:p w14:paraId="539018BD" w14:textId="77777777" w:rsidR="007177CB" w:rsidRPr="007177CB" w:rsidRDefault="005E0669" w:rsidP="007177CB">
      <w:pPr>
        <w:shd w:val="clear" w:color="auto" w:fill="FFFFFF"/>
        <w:spacing w:line="360" w:lineRule="auto"/>
        <w:rPr>
          <w:rFonts w:ascii="Arial" w:hAnsi="Arial" w:cs="Arial"/>
        </w:rPr>
      </w:pPr>
      <w:r>
        <w:rPr>
          <w:rFonts w:ascii="Arial" w:hAnsi="Arial" w:cs="Arial"/>
          <w:noProof/>
          <w:lang w:val="fr-FR" w:eastAsia="fr-FR"/>
        </w:rPr>
        <w:drawing>
          <wp:inline distT="0" distB="0" distL="0" distR="0" wp14:anchorId="1F25DA55" wp14:editId="0A35AB20">
            <wp:extent cx="5212080" cy="2044065"/>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2080" cy="2044065"/>
                    </a:xfrm>
                    <a:prstGeom prst="rect">
                      <a:avLst/>
                    </a:prstGeom>
                  </pic:spPr>
                </pic:pic>
              </a:graphicData>
            </a:graphic>
          </wp:inline>
        </w:drawing>
      </w:r>
    </w:p>
    <w:p w14:paraId="5A11FF3F" w14:textId="77777777" w:rsidR="007177CB" w:rsidRPr="007D1CDA" w:rsidRDefault="009A6DE1" w:rsidP="009A6DE1">
      <w:pPr>
        <w:shd w:val="clear" w:color="auto" w:fill="FFFFFF"/>
        <w:spacing w:line="360" w:lineRule="auto"/>
        <w:rPr>
          <w:rFonts w:ascii="Arial" w:hAnsi="Arial" w:cs="Arial"/>
          <w:b/>
          <w:bCs/>
        </w:rPr>
      </w:pPr>
      <w:r w:rsidRPr="007D1CDA">
        <w:rPr>
          <w:rFonts w:ascii="Arial" w:hAnsi="Arial" w:cs="Arial"/>
          <w:b/>
          <w:bCs/>
        </w:rPr>
        <w:t>Fig</w:t>
      </w:r>
      <w:r w:rsidR="007D1CDA">
        <w:rPr>
          <w:rFonts w:ascii="Arial" w:hAnsi="Arial" w:cs="Arial"/>
          <w:b/>
          <w:bCs/>
        </w:rPr>
        <w:t>ure</w:t>
      </w:r>
      <w:r w:rsidRPr="007D1CDA">
        <w:rPr>
          <w:rFonts w:ascii="Arial" w:hAnsi="Arial" w:cs="Arial"/>
          <w:b/>
          <w:bCs/>
        </w:rPr>
        <w:t xml:space="preserve"> 1: figure showing characteristic central retinal vein occlusion signs: venous dilatations associated to </w:t>
      </w:r>
      <w:proofErr w:type="spellStart"/>
      <w:proofErr w:type="gramStart"/>
      <w:r w:rsidRPr="007D1CDA">
        <w:rPr>
          <w:rFonts w:ascii="Arial" w:hAnsi="Arial" w:cs="Arial"/>
          <w:b/>
          <w:bCs/>
        </w:rPr>
        <w:t>tortuosities</w:t>
      </w:r>
      <w:proofErr w:type="spellEnd"/>
      <w:r w:rsidRPr="007D1CDA">
        <w:rPr>
          <w:rFonts w:ascii="Arial" w:hAnsi="Arial" w:cs="Arial"/>
          <w:b/>
          <w:bCs/>
        </w:rPr>
        <w:t>(</w:t>
      </w:r>
      <w:proofErr w:type="gramEnd"/>
      <w:r w:rsidR="005E0669" w:rsidRPr="007D1CDA">
        <w:rPr>
          <w:rFonts w:ascii="Arial" w:hAnsi="Arial" w:cs="Arial"/>
          <w:b/>
          <w:bCs/>
        </w:rPr>
        <w:t>green line)</w:t>
      </w:r>
      <w:r w:rsidRPr="007D1CDA">
        <w:rPr>
          <w:rFonts w:ascii="Arial" w:hAnsi="Arial" w:cs="Arial"/>
          <w:b/>
          <w:bCs/>
        </w:rPr>
        <w:t xml:space="preserve"> , flame-shaped hemorrhages</w:t>
      </w:r>
      <w:r w:rsidR="005E0669" w:rsidRPr="007D1CDA">
        <w:rPr>
          <w:rFonts w:ascii="Arial" w:hAnsi="Arial" w:cs="Arial"/>
          <w:b/>
          <w:bCs/>
        </w:rPr>
        <w:t>(blue narrow)</w:t>
      </w:r>
      <w:r w:rsidRPr="007D1CDA">
        <w:rPr>
          <w:rFonts w:ascii="Arial" w:hAnsi="Arial" w:cs="Arial"/>
          <w:b/>
          <w:bCs/>
        </w:rPr>
        <w:t>, exudates, cotton-wool spots</w:t>
      </w:r>
      <w:r w:rsidR="005E0669" w:rsidRPr="007D1CDA">
        <w:rPr>
          <w:rFonts w:ascii="Arial" w:hAnsi="Arial" w:cs="Arial"/>
          <w:b/>
          <w:bCs/>
        </w:rPr>
        <w:t>(yellow narrow)</w:t>
      </w:r>
      <w:r w:rsidRPr="007D1CDA">
        <w:rPr>
          <w:rFonts w:ascii="Arial" w:hAnsi="Arial" w:cs="Arial"/>
          <w:b/>
          <w:bCs/>
        </w:rPr>
        <w:t xml:space="preserve"> of the four quadrants and diffuse macular edema.</w:t>
      </w:r>
    </w:p>
    <w:p w14:paraId="7F7A0600" w14:textId="77777777" w:rsidR="00421807" w:rsidRDefault="00421807" w:rsidP="007177CB">
      <w:pPr>
        <w:shd w:val="clear" w:color="auto" w:fill="FFFFFF"/>
        <w:spacing w:line="360" w:lineRule="auto"/>
        <w:rPr>
          <w:rFonts w:ascii="Arial" w:hAnsi="Arial" w:cs="Arial"/>
        </w:rPr>
      </w:pPr>
    </w:p>
    <w:p w14:paraId="07452058" w14:textId="77777777" w:rsidR="007177CB" w:rsidRDefault="007177CB" w:rsidP="00225F37">
      <w:pPr>
        <w:shd w:val="clear" w:color="auto" w:fill="FFFFFF"/>
        <w:spacing w:line="360" w:lineRule="auto"/>
        <w:rPr>
          <w:rFonts w:ascii="Arial" w:hAnsi="Arial" w:cs="Arial"/>
        </w:rPr>
      </w:pPr>
      <w:r w:rsidRPr="007177CB">
        <w:rPr>
          <w:rFonts w:ascii="Arial" w:hAnsi="Arial" w:cs="Arial"/>
        </w:rPr>
        <w:t>Ophthalmological investigations included fluorescein angiography, which showed prolonged arm-retinal time, multiple microaneurysms, engorged and tortuous veins with irregular filling pattern, multiple areas of blocked fluorescence and intravascular abnormalities</w:t>
      </w:r>
      <w:r w:rsidR="00225F37">
        <w:rPr>
          <w:rFonts w:ascii="Arial" w:hAnsi="Arial" w:cs="Arial"/>
        </w:rPr>
        <w:t xml:space="preserve"> </w:t>
      </w:r>
      <w:r w:rsidR="00225F37" w:rsidRPr="007177CB">
        <w:rPr>
          <w:rFonts w:ascii="Arial" w:hAnsi="Arial" w:cs="Arial"/>
        </w:rPr>
        <w:t>(f</w:t>
      </w:r>
      <w:r w:rsidR="00225F37">
        <w:rPr>
          <w:rFonts w:ascii="Arial" w:hAnsi="Arial" w:cs="Arial"/>
        </w:rPr>
        <w:t>igure 2)</w:t>
      </w:r>
      <w:r w:rsidRPr="007177CB">
        <w:rPr>
          <w:rFonts w:ascii="Arial" w:hAnsi="Arial" w:cs="Arial"/>
        </w:rPr>
        <w:t>, and optical coherence tomography, which showed macular edema and the presence of subretinal fluid in the posterior pole</w:t>
      </w:r>
      <w:r w:rsidR="00225F37">
        <w:rPr>
          <w:rFonts w:ascii="Arial" w:hAnsi="Arial" w:cs="Arial"/>
        </w:rPr>
        <w:t xml:space="preserve"> (figure 3).</w:t>
      </w:r>
      <w:r w:rsidRPr="007177CB">
        <w:rPr>
          <w:rFonts w:ascii="Arial" w:hAnsi="Arial" w:cs="Arial"/>
        </w:rPr>
        <w:t xml:space="preserve"> </w:t>
      </w:r>
    </w:p>
    <w:p w14:paraId="01F68AA4" w14:textId="77777777" w:rsidR="00E344BF" w:rsidRDefault="00E344BF" w:rsidP="007177CB">
      <w:pPr>
        <w:shd w:val="clear" w:color="auto" w:fill="FFFFFF"/>
        <w:spacing w:line="360" w:lineRule="auto"/>
        <w:rPr>
          <w:rFonts w:ascii="Arial" w:hAnsi="Arial" w:cs="Arial"/>
        </w:rPr>
      </w:pPr>
    </w:p>
    <w:p w14:paraId="6A3171AB" w14:textId="77777777" w:rsidR="007C0ACD" w:rsidRDefault="00E344BF" w:rsidP="0010573F">
      <w:pPr>
        <w:shd w:val="clear" w:color="auto" w:fill="FFFFFF"/>
        <w:spacing w:line="360" w:lineRule="auto"/>
        <w:rPr>
          <w:rFonts w:ascii="Arial" w:hAnsi="Arial" w:cs="Arial"/>
        </w:rPr>
      </w:pPr>
      <w:r>
        <w:rPr>
          <w:rFonts w:ascii="Arial" w:hAnsi="Arial" w:cs="Arial"/>
          <w:noProof/>
          <w:lang w:val="fr-FR" w:eastAsia="fr-FR"/>
        </w:rPr>
        <w:lastRenderedPageBreak/>
        <w:drawing>
          <wp:inline distT="0" distB="0" distL="0" distR="0" wp14:anchorId="47F2AB1A" wp14:editId="439AD6AE">
            <wp:extent cx="5072333" cy="205418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4012" cy="2054860"/>
                    </a:xfrm>
                    <a:prstGeom prst="rect">
                      <a:avLst/>
                    </a:prstGeom>
                  </pic:spPr>
                </pic:pic>
              </a:graphicData>
            </a:graphic>
          </wp:inline>
        </w:drawing>
      </w:r>
    </w:p>
    <w:p w14:paraId="05E2A0E4" w14:textId="77777777" w:rsidR="00E344BF" w:rsidRDefault="00421807" w:rsidP="007177CB">
      <w:pPr>
        <w:shd w:val="clear" w:color="auto" w:fill="FFFFFF"/>
        <w:spacing w:line="360" w:lineRule="auto"/>
        <w:rPr>
          <w:rFonts w:ascii="Arial" w:hAnsi="Arial" w:cs="Arial"/>
        </w:rPr>
      </w:pPr>
      <w:r>
        <w:rPr>
          <w:rFonts w:ascii="Arial" w:hAnsi="Arial" w:cs="Arial"/>
          <w:noProof/>
          <w:lang w:val="fr-FR" w:eastAsia="fr-FR"/>
        </w:rPr>
        <w:drawing>
          <wp:inline distT="0" distB="0" distL="0" distR="0" wp14:anchorId="262AA548" wp14:editId="4D138D5A">
            <wp:extent cx="2576423" cy="19323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7276" cy="1932957"/>
                    </a:xfrm>
                    <a:prstGeom prst="rect">
                      <a:avLst/>
                    </a:prstGeom>
                  </pic:spPr>
                </pic:pic>
              </a:graphicData>
            </a:graphic>
          </wp:inline>
        </w:drawing>
      </w:r>
      <w:r w:rsidR="0010573F">
        <w:rPr>
          <w:rFonts w:ascii="Arial" w:hAnsi="Arial" w:cs="Arial"/>
          <w:noProof/>
          <w:lang w:val="fr-FR" w:eastAsia="fr-FR"/>
        </w:rPr>
        <w:drawing>
          <wp:inline distT="0" distB="0" distL="0" distR="0" wp14:anchorId="02229981" wp14:editId="04679B3F">
            <wp:extent cx="2541918" cy="193231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2759" cy="1932957"/>
                    </a:xfrm>
                    <a:prstGeom prst="rect">
                      <a:avLst/>
                    </a:prstGeom>
                  </pic:spPr>
                </pic:pic>
              </a:graphicData>
            </a:graphic>
          </wp:inline>
        </w:drawing>
      </w:r>
    </w:p>
    <w:p w14:paraId="6243074B" w14:textId="77777777" w:rsidR="007177CB" w:rsidRDefault="007177CB" w:rsidP="007177CB">
      <w:pPr>
        <w:shd w:val="clear" w:color="auto" w:fill="FFFFFF"/>
        <w:spacing w:line="360" w:lineRule="auto"/>
        <w:rPr>
          <w:rFonts w:ascii="Arial" w:hAnsi="Arial" w:cs="Arial"/>
        </w:rPr>
      </w:pPr>
    </w:p>
    <w:p w14:paraId="407BB87D" w14:textId="77777777" w:rsidR="0010573F" w:rsidRPr="007D1CDA" w:rsidRDefault="0010573F" w:rsidP="0010573F">
      <w:pPr>
        <w:shd w:val="clear" w:color="auto" w:fill="FFFFFF"/>
        <w:spacing w:line="360" w:lineRule="auto"/>
        <w:rPr>
          <w:rFonts w:ascii="Arial" w:hAnsi="Arial" w:cs="Arial"/>
          <w:b/>
          <w:bCs/>
        </w:rPr>
      </w:pPr>
      <w:r w:rsidRPr="007D1CDA">
        <w:rPr>
          <w:rFonts w:ascii="Arial" w:hAnsi="Arial" w:cs="Arial"/>
          <w:b/>
          <w:bCs/>
        </w:rPr>
        <w:t>Fig</w:t>
      </w:r>
      <w:r w:rsidR="007D1CDA" w:rsidRPr="007D1CDA">
        <w:rPr>
          <w:rFonts w:ascii="Arial" w:hAnsi="Arial" w:cs="Arial"/>
          <w:b/>
          <w:bCs/>
        </w:rPr>
        <w:t>ure</w:t>
      </w:r>
      <w:r w:rsidRPr="007D1CDA">
        <w:rPr>
          <w:rFonts w:ascii="Arial" w:hAnsi="Arial" w:cs="Arial"/>
          <w:b/>
          <w:bCs/>
        </w:rPr>
        <w:t xml:space="preserve"> </w:t>
      </w:r>
      <w:proofErr w:type="gramStart"/>
      <w:r w:rsidRPr="007D1CDA">
        <w:rPr>
          <w:rFonts w:ascii="Arial" w:hAnsi="Arial" w:cs="Arial"/>
          <w:b/>
          <w:bCs/>
        </w:rPr>
        <w:t>2.(</w:t>
      </w:r>
      <w:proofErr w:type="gramEnd"/>
      <w:r w:rsidRPr="007D1CDA">
        <w:rPr>
          <w:rFonts w:ascii="Arial" w:hAnsi="Arial" w:cs="Arial"/>
          <w:b/>
          <w:bCs/>
        </w:rPr>
        <w:t>a-b-c): a-figure of fluorescein retinal angiography, showing prolonged arm-retinal time, multiple microaneurysms, engorged and tortuous veins with irregular filling pattern, multiple areas of blocked fluorescence and intravascular abnormalities. b- left eye. c- right eye.</w:t>
      </w:r>
    </w:p>
    <w:p w14:paraId="656170FE"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The first-line biological workup revealed an incidentally found severe end-stage renal failure with preserved diuresis. A uremic syndrome associated nausea, vomiting and a plasma urea at 2.26 g/L with serum creatinine at 1268 </w:t>
      </w:r>
      <w:r w:rsidRPr="007177CB">
        <w:rPr>
          <w:rFonts w:ascii="Arial" w:hAnsi="Arial" w:cs="Arial"/>
        </w:rPr>
        <w:sym w:font="Symbol" w:char="F06D"/>
      </w:r>
      <w:r w:rsidRPr="007177CB">
        <w:rPr>
          <w:rFonts w:ascii="Arial" w:hAnsi="Arial" w:cs="Arial"/>
        </w:rPr>
        <w:t>mol/L (GFR at 4.1 ml/min MDRD) was also found, requiring emergency hemodialysis treatment. Glycemia level, lipid profile and sedimentation rate were in the normal range.</w:t>
      </w:r>
    </w:p>
    <w:p w14:paraId="6638BB74" w14:textId="77777777" w:rsidR="00225F37" w:rsidRDefault="00225F37" w:rsidP="007177CB">
      <w:pPr>
        <w:spacing w:before="100" w:beforeAutospacing="1" w:after="100" w:afterAutospacing="1" w:line="360" w:lineRule="auto"/>
        <w:rPr>
          <w:rFonts w:ascii="Arial" w:hAnsi="Arial" w:cs="Arial"/>
        </w:rPr>
      </w:pPr>
    </w:p>
    <w:p w14:paraId="297C42A9" w14:textId="77777777" w:rsidR="00225F37" w:rsidRDefault="00225F37" w:rsidP="007177CB">
      <w:pPr>
        <w:spacing w:before="100" w:beforeAutospacing="1" w:after="100" w:afterAutospacing="1" w:line="360" w:lineRule="auto"/>
        <w:rPr>
          <w:rFonts w:ascii="Arial" w:hAnsi="Arial" w:cs="Arial"/>
        </w:rPr>
      </w:pPr>
      <w:r>
        <w:rPr>
          <w:rFonts w:ascii="Arial" w:hAnsi="Arial" w:cs="Arial"/>
          <w:noProof/>
          <w:lang w:val="fr-FR" w:eastAsia="fr-FR"/>
        </w:rPr>
        <w:lastRenderedPageBreak/>
        <w:drawing>
          <wp:inline distT="0" distB="0" distL="0" distR="0" wp14:anchorId="15BB67E7" wp14:editId="518DD33D">
            <wp:extent cx="5212080" cy="1689735"/>
            <wp:effectExtent l="0" t="0" r="762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0">
                      <a:extLst>
                        <a:ext uri="{28A0092B-C50C-407E-A947-70E740481C1C}">
                          <a14:useLocalDpi xmlns:a14="http://schemas.microsoft.com/office/drawing/2010/main" val="0"/>
                        </a:ext>
                      </a:extLst>
                    </a:blip>
                    <a:stretch>
                      <a:fillRect/>
                    </a:stretch>
                  </pic:blipFill>
                  <pic:spPr>
                    <a:xfrm>
                      <a:off x="0" y="0"/>
                      <a:ext cx="5212080" cy="1689735"/>
                    </a:xfrm>
                    <a:prstGeom prst="rect">
                      <a:avLst/>
                    </a:prstGeom>
                  </pic:spPr>
                </pic:pic>
              </a:graphicData>
            </a:graphic>
          </wp:inline>
        </w:drawing>
      </w:r>
    </w:p>
    <w:p w14:paraId="1F1607FE" w14:textId="77777777" w:rsidR="00225F37" w:rsidRPr="007D1CDA" w:rsidRDefault="00225F37" w:rsidP="00151A17">
      <w:pPr>
        <w:spacing w:before="100" w:beforeAutospacing="1" w:after="100" w:afterAutospacing="1" w:line="360" w:lineRule="auto"/>
        <w:rPr>
          <w:rFonts w:ascii="Arial" w:hAnsi="Arial" w:cs="Arial"/>
          <w:b/>
          <w:bCs/>
        </w:rPr>
      </w:pPr>
      <w:r w:rsidRPr="007D1CDA">
        <w:rPr>
          <w:rFonts w:ascii="Arial" w:hAnsi="Arial" w:cs="Arial"/>
          <w:b/>
          <w:bCs/>
        </w:rPr>
        <w:t xml:space="preserve">Figure </w:t>
      </w:r>
      <w:proofErr w:type="gramStart"/>
      <w:r w:rsidRPr="007D1CDA">
        <w:rPr>
          <w:rFonts w:ascii="Arial" w:hAnsi="Arial" w:cs="Arial"/>
          <w:b/>
          <w:bCs/>
        </w:rPr>
        <w:t>3 :</w:t>
      </w:r>
      <w:proofErr w:type="gramEnd"/>
      <w:r w:rsidRPr="007D1CDA">
        <w:rPr>
          <w:rFonts w:ascii="Arial" w:hAnsi="Arial" w:cs="Arial"/>
          <w:b/>
          <w:bCs/>
        </w:rPr>
        <w:t xml:space="preserve"> </w:t>
      </w:r>
      <w:r w:rsidR="00151A17" w:rsidRPr="007D1CDA">
        <w:rPr>
          <w:rFonts w:ascii="Arial" w:hAnsi="Arial" w:cs="Arial"/>
          <w:b/>
          <w:bCs/>
        </w:rPr>
        <w:t>optical coherence tomography showing macular edema and the presence of subretinal fluid in the posterior pole (left eye).</w:t>
      </w:r>
    </w:p>
    <w:p w14:paraId="2B3D5066"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Severe arterial hypertension (Grade 3) had been validated by a 24-hour ABPM (arterial blood pressure monitoring), and a follow-up on the following days had confirmed terminal CKD. Cerebral and abdominal CT angiography found no cerebral process nor renal arteries/veins abnormalities. The diagnosis of malignant hypertension with damage to two target organs was therefore suspected.</w:t>
      </w:r>
    </w:p>
    <w:p w14:paraId="6A422A93" w14:textId="77777777" w:rsidR="00421807" w:rsidRDefault="007177CB" w:rsidP="00421807">
      <w:pPr>
        <w:spacing w:before="100" w:beforeAutospacing="1" w:after="100" w:afterAutospacing="1" w:line="360" w:lineRule="auto"/>
        <w:rPr>
          <w:rFonts w:ascii="Arial" w:hAnsi="Arial" w:cs="Arial"/>
        </w:rPr>
      </w:pPr>
      <w:r w:rsidRPr="007177CB">
        <w:rPr>
          <w:rFonts w:ascii="Arial" w:hAnsi="Arial" w:cs="Arial"/>
        </w:rPr>
        <w:t>The rest of the workup showed signs of chronic kidney disease, namely: hypocalcemia at 2.08 mmol/L, hyperphosphatemia at 2.12 mmol/L, secondary hyperparathyroidism at 122 ng/L (twice the normal value), and anemia (Hb at 10 g/dL), normochromic (MCHR 27.8), and normocytic (GMV 80.6).</w:t>
      </w:r>
    </w:p>
    <w:p w14:paraId="07683B39" w14:textId="77777777" w:rsidR="007177CB" w:rsidRPr="007177CB" w:rsidRDefault="007177CB" w:rsidP="00421807">
      <w:pPr>
        <w:spacing w:before="100" w:beforeAutospacing="1" w:after="100" w:afterAutospacing="1" w:line="360" w:lineRule="auto"/>
        <w:rPr>
          <w:rFonts w:ascii="Arial" w:hAnsi="Arial" w:cs="Arial"/>
        </w:rPr>
      </w:pPr>
      <w:r w:rsidRPr="007177CB">
        <w:rPr>
          <w:rFonts w:ascii="Arial" w:hAnsi="Arial" w:cs="Arial"/>
        </w:rPr>
        <w:t>As part of the etiological workup, abdominal ultrasound had shown poor cortico-medullary differentiation. No image of calculus or dilatation of the urine cavities was visualized. A cardiac echocardiography had detected a concentric left ventricular hypertrophy testifying to a chronic hypertension. EKG and carotid doppler ultrasound were normal. Serum proteins electrophoresis, immunological tests (ANA, native anti-DNA, anti-SSA/SSB, anti-MPO, anti-PR3, anti-MBG) and serologies (HBV, HCV, HIV, Syphilis) were negative. An endocrine workup was also requested but also came back strictly without abnormalities (cortisol cycle, methoxylated derivatives dosage, serum ACE level, adrenal CT).</w:t>
      </w:r>
    </w:p>
    <w:p w14:paraId="44B4A9D0"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Systemic diseases were ruled out by an internal medicine specialist. The patient underwent a complete evaluation for thrombophilia risk factors, including assessment for active protein C resistance, factor V Leiden mutation, deficiencies in protein C, protein S, and antithrombin, prothrombin gene mutation, as well as analysis of homocysteine levels, anticardiolipin antibodies, and lupus anticoagulant. </w:t>
      </w:r>
    </w:p>
    <w:p w14:paraId="61E35B90" w14:textId="77777777" w:rsidR="007177CB" w:rsidRDefault="007177CB" w:rsidP="007177CB">
      <w:pPr>
        <w:spacing w:before="100" w:beforeAutospacing="1" w:after="100" w:afterAutospacing="1" w:line="360" w:lineRule="auto"/>
        <w:rPr>
          <w:rFonts w:ascii="Arial" w:hAnsi="Arial" w:cs="Arial"/>
        </w:rPr>
      </w:pPr>
      <w:r w:rsidRPr="007177CB">
        <w:rPr>
          <w:rFonts w:ascii="Arial" w:hAnsi="Arial" w:cs="Arial"/>
        </w:rPr>
        <w:lastRenderedPageBreak/>
        <w:t xml:space="preserve">The evolution was marked by a normalization of the blood pressure after 01 month of bi-therapy treatment with both calcic inhibitor and conversion enzyme inhibitor. A gradual resolution of hypertensive retinopathy was observed, with a noticeable improvement in retinal findings. Central retinal vein occlusion (CRVO), initially present at admission, showed a significant reduction in severity, with marked and complete </w:t>
      </w:r>
      <w:r w:rsidR="00151A17">
        <w:rPr>
          <w:rFonts w:ascii="Arial" w:hAnsi="Arial" w:cs="Arial"/>
        </w:rPr>
        <w:t>visual acuity recovery (figure 4</w:t>
      </w:r>
      <w:r w:rsidRPr="007177CB">
        <w:rPr>
          <w:rFonts w:ascii="Arial" w:hAnsi="Arial" w:cs="Arial"/>
        </w:rPr>
        <w:t xml:space="preserve">). This positive response was attributed to both intravitreal injection of anti-VEGF and improvement in systemic hypertension. However, there was no significant improvement in renal function, with persistence of end-stage CKD, hence the initiation of chronic hemodialysis. The patient underwent successful kidney transplant 6 months later. </w:t>
      </w:r>
    </w:p>
    <w:p w14:paraId="6A3C9CB2" w14:textId="77777777" w:rsidR="00421807" w:rsidRPr="007177CB" w:rsidRDefault="007D1CDA" w:rsidP="007177CB">
      <w:pPr>
        <w:spacing w:before="100" w:beforeAutospacing="1" w:after="100" w:afterAutospacing="1" w:line="360" w:lineRule="auto"/>
        <w:rPr>
          <w:rFonts w:ascii="Arial" w:hAnsi="Arial" w:cs="Arial"/>
        </w:rPr>
      </w:pPr>
      <w:r>
        <w:rPr>
          <w:rFonts w:ascii="Arial" w:hAnsi="Arial" w:cs="Arial"/>
          <w:noProof/>
          <w:lang w:val="fr-FR" w:eastAsia="fr-FR"/>
        </w:rPr>
        <w:drawing>
          <wp:inline distT="0" distB="0" distL="0" distR="0" wp14:anchorId="48ED9CF2" wp14:editId="5EAAC089">
            <wp:extent cx="5212080" cy="2055495"/>
            <wp:effectExtent l="0" t="0" r="762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9282975_20240816_123004_2UP_N_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2080" cy="2055495"/>
                    </a:xfrm>
                    <a:prstGeom prst="rect">
                      <a:avLst/>
                    </a:prstGeom>
                  </pic:spPr>
                </pic:pic>
              </a:graphicData>
            </a:graphic>
          </wp:inline>
        </w:drawing>
      </w:r>
    </w:p>
    <w:p w14:paraId="32543C65" w14:textId="77777777" w:rsidR="007177CB" w:rsidRPr="007D1CDA" w:rsidRDefault="007D1CDA" w:rsidP="007D1CDA">
      <w:pPr>
        <w:pStyle w:val="Body"/>
        <w:spacing w:after="0"/>
        <w:rPr>
          <w:rFonts w:ascii="Arial" w:hAnsi="Arial" w:cs="Arial"/>
          <w:b/>
          <w:bCs/>
        </w:rPr>
      </w:pPr>
      <w:r w:rsidRPr="007D1CDA">
        <w:rPr>
          <w:rFonts w:ascii="Arial" w:hAnsi="Arial" w:cs="Arial"/>
          <w:b/>
          <w:bCs/>
        </w:rPr>
        <w:t>Fig</w:t>
      </w:r>
      <w:r>
        <w:rPr>
          <w:rFonts w:ascii="Arial" w:hAnsi="Arial" w:cs="Arial"/>
          <w:b/>
          <w:bCs/>
        </w:rPr>
        <w:t>ure</w:t>
      </w:r>
      <w:r w:rsidRPr="007D1CDA">
        <w:rPr>
          <w:rFonts w:ascii="Arial" w:hAnsi="Arial" w:cs="Arial"/>
          <w:b/>
          <w:bCs/>
        </w:rPr>
        <w:t xml:space="preserve"> </w:t>
      </w:r>
      <w:proofErr w:type="gramStart"/>
      <w:r w:rsidRPr="007D1CDA">
        <w:rPr>
          <w:rFonts w:ascii="Arial" w:hAnsi="Arial" w:cs="Arial"/>
          <w:b/>
          <w:bCs/>
        </w:rPr>
        <w:t>4</w:t>
      </w:r>
      <w:r w:rsidR="00421807" w:rsidRPr="007D1CDA">
        <w:rPr>
          <w:rFonts w:ascii="Arial" w:hAnsi="Arial" w:cs="Arial"/>
          <w:b/>
          <w:bCs/>
        </w:rPr>
        <w:t xml:space="preserve"> :</w:t>
      </w:r>
      <w:proofErr w:type="gramEnd"/>
      <w:r w:rsidR="009A6DE1" w:rsidRPr="007D1CDA">
        <w:rPr>
          <w:rFonts w:ascii="Arial" w:hAnsi="Arial" w:cs="Arial"/>
          <w:b/>
          <w:bCs/>
        </w:rPr>
        <w:t xml:space="preserve"> </w:t>
      </w:r>
      <w:r w:rsidR="00421807" w:rsidRPr="007D1CDA">
        <w:rPr>
          <w:rFonts w:ascii="Arial" w:hAnsi="Arial" w:cs="Arial"/>
          <w:b/>
          <w:bCs/>
        </w:rPr>
        <w:t xml:space="preserve"> </w:t>
      </w:r>
      <w:r w:rsidRPr="007D1CDA">
        <w:rPr>
          <w:rFonts w:ascii="Arial" w:hAnsi="Arial" w:cs="Arial"/>
          <w:b/>
          <w:bCs/>
        </w:rPr>
        <w:t>figure showing a significant reduction in severity of CRVO.</w:t>
      </w:r>
    </w:p>
    <w:p w14:paraId="649DBF76" w14:textId="77777777" w:rsidR="009A6DE1" w:rsidRDefault="009A6DE1" w:rsidP="007177CB">
      <w:pPr>
        <w:pStyle w:val="Body"/>
        <w:spacing w:after="0"/>
        <w:rPr>
          <w:rFonts w:ascii="Arial" w:hAnsi="Arial" w:cs="Arial"/>
        </w:rPr>
      </w:pPr>
    </w:p>
    <w:p w14:paraId="12C70ABB" w14:textId="77777777" w:rsidR="009A6DE1" w:rsidRPr="00FB3A86" w:rsidRDefault="009A6DE1" w:rsidP="007177CB">
      <w:pPr>
        <w:pStyle w:val="Body"/>
        <w:spacing w:after="0"/>
        <w:rPr>
          <w:rFonts w:ascii="Arial" w:hAnsi="Arial" w:cs="Arial"/>
        </w:rPr>
      </w:pPr>
    </w:p>
    <w:p w14:paraId="78F35AE2" w14:textId="77777777" w:rsidR="007177CB" w:rsidRDefault="007177CB" w:rsidP="007177CB">
      <w:pPr>
        <w:pStyle w:val="Head1"/>
        <w:spacing w:after="0"/>
        <w:jc w:val="both"/>
        <w:rPr>
          <w:rFonts w:ascii="Arial" w:hAnsi="Arial" w:cs="Arial"/>
        </w:rPr>
      </w:pPr>
      <w:r>
        <w:rPr>
          <w:rFonts w:ascii="Arial" w:hAnsi="Arial" w:cs="Arial"/>
        </w:rPr>
        <w:t>3. discussion</w:t>
      </w:r>
    </w:p>
    <w:p w14:paraId="2AF27DB9"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The central retinal artery and vein are encased within a shared adventitial sheath as they traverse the lamina cribrosa, a confined space that predisposes the retinal veins to circulatory insufficiency. In the presence of hypertension and/or arteriosclerosis, the rigid arterial walls may compress the more pliable central retinal vein, resulting in hemodynamic disturbances and thrombus formation within the ocular fundus </w:t>
      </w:r>
      <w:r w:rsidRPr="007177CB">
        <w:rPr>
          <w:rFonts w:ascii="Arial" w:hAnsi="Arial" w:cs="Arial"/>
        </w:rPr>
        <w:fldChar w:fldCharType="begin"/>
      </w:r>
      <w:r w:rsidRPr="007177CB">
        <w:rPr>
          <w:rFonts w:ascii="Arial" w:hAnsi="Arial" w:cs="Arial"/>
        </w:rPr>
        <w:instrText xml:space="preserve"> ADDIN ZOTERO_ITEM CSL_CITATION {"citationID":"Q7GWPWBU","properties":{"formattedCitation":"[3]","plainCitation":"[3]","noteIndex":0},"citationItems":[{"id":265,"uris":["http://zotero.org/users/13642106/items/FJV9URZA"],"itemData":{"id":265,"type":"article-journal","abstract":"Purpose\nAtherosclerotic and thrombophilic risk factors may be causes of central retinal vein occlusion (CRVO). The aim of this study was to evaluate the prevalence of the aforesaid risk factors in patients with recurrent CRVOs and patients with a single episode of CRVO.\nMethods\nSeventeen patients with recurrent CRVO and 30 with a single episode of CRVO were enrolled. The atherosclerotic risk factors investigated were hypertension, diabetes, smoking, and dyslipidemia. Specific laboratory tests for the following thrombophilic markers were performed: homocystinemia (Hcy), lipoprotein (a), factor VIII, factor II G20210A and factor V G1691A polymorphisms, lupus anticoagulant, anticardiolipin antibodies, plasminogen activator inhibitor-1, and deficit of vitamins B6, B12, and folic acid. A multivariate analysis, adjusted for age, gender, traditional and thrombophilic risk factors, was performed. Statistical significance was set at pp≤0.05.\nResults\nHypercholesterolemia, hypertriglyceridemia, fasting, and postmethionine hyperhomocysteinemia (HHcy) were more prevalent in recurrent CRVO patients (pp&lt;0.001, pp&lt;0.001, p=0.006, and p=0.005, respectively). At multivariate analysis, hypercholesterolemia (OR: 5.04, 95% CI 1.39–18.17; p=0.025), hypertriglyceridemia (OR: 5.60, 95% CI 1.52–20.61; p=0.017), fasting HHcy (OR: 5.77, 95% CI 1.39–23.89; p=0.028), and postmethionine HHcy (OR: 10.88, 95% CI 2.50–47.42; p=0.002) were found to be significantly associated with recurrent CRVO.\nConclusions\nDyslipidemia and hyperhomocysteinemia are independent risk factors for the occurrence of recurrent CRVO. A complete assessment of atherosclerotic and thrombophilic risk factors is recommended in CRVO patients. In addition, the need for a specific treatment is suggested.","container-title":"European Journal of Ophthalmology","DOI":"10.1177/112067210801800211","ISSN":"1120-6721","issue":"2","language":"en","note":"publisher: SAGE Publications","page":"233-238","source":"SAGE Journals","title":"Atherosclerotic and Thrombophilic Risk Factors in Patients with Recurrent Central Retinal Vein Occlusion","volume":"18","author":[{"family":"Sodi","given":"A."},{"family":"Giambene","given":"B."},{"family":"Marcucci","given":"R."},{"family":"Sofi","given":"F"},{"family":"Bolli","given":"P."},{"family":"Abbate","given":"R."},{"family":"Prisco","given":"D."},{"family":"Menchini","given":"U."}],"issued":{"date-parts":[["2008",3,1]]}}}],"schema":"https://github.com/citation-style-language/schema/raw/master/csl-citation.json"} </w:instrText>
      </w:r>
      <w:r w:rsidRPr="007177CB">
        <w:rPr>
          <w:rFonts w:ascii="Arial" w:hAnsi="Arial" w:cs="Arial"/>
        </w:rPr>
        <w:fldChar w:fldCharType="separate"/>
      </w:r>
      <w:r w:rsidRPr="007177CB">
        <w:rPr>
          <w:rFonts w:ascii="Arial" w:hAnsi="Arial" w:cs="Arial"/>
          <w:noProof/>
        </w:rPr>
        <w:t>[3]</w:t>
      </w:r>
      <w:r w:rsidRPr="007177CB">
        <w:rPr>
          <w:rFonts w:ascii="Arial" w:hAnsi="Arial" w:cs="Arial"/>
        </w:rPr>
        <w:fldChar w:fldCharType="end"/>
      </w:r>
      <w:r w:rsidRPr="007177CB">
        <w:rPr>
          <w:rFonts w:ascii="Arial" w:hAnsi="Arial" w:cs="Arial"/>
        </w:rPr>
        <w:t xml:space="preserve">. In this patient, we hypothesize that the bilateral central retinal vein occlusion (CRVO) was primarily caused by venous compression induced by hypertension. This mechanism likely led to impaired venous circulation and subsequent thrombus formation within the retinal veins. </w:t>
      </w:r>
    </w:p>
    <w:p w14:paraId="33CDF228"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The literature also includes reports of </w:t>
      </w:r>
      <w:proofErr w:type="spellStart"/>
      <w:r w:rsidRPr="007177CB">
        <w:rPr>
          <w:rFonts w:ascii="Arial" w:hAnsi="Arial" w:cs="Arial"/>
        </w:rPr>
        <w:t>hyperviscosity</w:t>
      </w:r>
      <w:proofErr w:type="spellEnd"/>
      <w:r w:rsidRPr="007177CB">
        <w:rPr>
          <w:rFonts w:ascii="Arial" w:hAnsi="Arial" w:cs="Arial"/>
        </w:rPr>
        <w:t xml:space="preserve">-induced bilateral central retinal vein occlusion (CRVO) </w:t>
      </w:r>
      <w:r w:rsidRPr="007177CB">
        <w:rPr>
          <w:rFonts w:ascii="Arial" w:hAnsi="Arial" w:cs="Arial"/>
        </w:rPr>
        <w:fldChar w:fldCharType="begin"/>
      </w:r>
      <w:r w:rsidRPr="007177CB">
        <w:rPr>
          <w:rFonts w:ascii="Arial" w:hAnsi="Arial" w:cs="Arial"/>
        </w:rPr>
        <w:instrText xml:space="preserve"> ADDIN ZOTERO_ITEM CSL_CITATION {"citationID":"ukoymniL","properties":{"formattedCitation":"[4]","plainCitation":"[4]","noteIndex":0},"citationItems":[{"id":266,"uris":["http://zotero.org/users/13642106/items/YJKYF9IE"],"itemData":{"id":266,"type":"article-journal","abstract":"Central retinal vein occlusion is a common cause of permanent visual loss. Work up and laboratory evaluation of patients requires the clinician to rule out hypertension, diabetes, hyperlipidemia, and glaucoma. Patients without an identifiable risk factor are often subject to extensive testing for primary and secondary thrombophilias. The purpose this paper is to review the literature to determine which of these tests is associated with central retinal vein occlusion. Antiphospholipid antibodies and elevated plasma homocysteine levels appear to be the tests associated most commonly in patients with central retinal vein occlusion in most controlled studies. Primary thrombophilias are found rarely when screening patients with central retinal vein occlusion. Extensive testing for thrombophilias is not warranted in the vast majority of patients with central retinal vein occlusion. Older patients with any of the common vascular risk factors do not require thrombophilic screening. By carefully selecting the patients who are evaluated for thrombophilias, the likelihood of finding true-positive tests is increased.","container-title":"Current Opinion in Pulmonary Medicine","ISSN":"1070-5287","issue":"5","language":"en-US","page":"385","source":"journals.lww.com","title":"Hypercoagulable states and central retinal vein occlusion","volume":"9","author":[{"family":"Lahey","given":"J. Michael"},{"family":"Kearney","given":"John J."},{"family":"Tunc","given":"Murat"}],"issued":{"date-parts":[["2003",9]]}}}],"schema":"https://github.com/citation-style-language/schema/raw/master/csl-citation.json"} </w:instrText>
      </w:r>
      <w:r w:rsidRPr="007177CB">
        <w:rPr>
          <w:rFonts w:ascii="Arial" w:hAnsi="Arial" w:cs="Arial"/>
        </w:rPr>
        <w:fldChar w:fldCharType="separate"/>
      </w:r>
      <w:r w:rsidRPr="007177CB">
        <w:rPr>
          <w:rFonts w:ascii="Arial" w:hAnsi="Arial" w:cs="Arial"/>
          <w:noProof/>
        </w:rPr>
        <w:t>[4]</w:t>
      </w:r>
      <w:r w:rsidRPr="007177CB">
        <w:rPr>
          <w:rFonts w:ascii="Arial" w:hAnsi="Arial" w:cs="Arial"/>
        </w:rPr>
        <w:fldChar w:fldCharType="end"/>
      </w:r>
      <w:r w:rsidRPr="007177CB">
        <w:rPr>
          <w:rFonts w:ascii="Arial" w:hAnsi="Arial" w:cs="Arial"/>
        </w:rPr>
        <w:t xml:space="preserve">. Similarly, a case of bilateral CRVO resulting from malignant hypertension has also been documented, akin to the condition observed in our patient </w:t>
      </w:r>
      <w:r w:rsidRPr="007177CB">
        <w:rPr>
          <w:rFonts w:ascii="Arial" w:hAnsi="Arial" w:cs="Arial"/>
        </w:rPr>
        <w:fldChar w:fldCharType="begin"/>
      </w:r>
      <w:r w:rsidRPr="007177CB">
        <w:rPr>
          <w:rFonts w:ascii="Arial" w:hAnsi="Arial" w:cs="Arial"/>
        </w:rPr>
        <w:instrText xml:space="preserve"> ADDIN ZOTERO_ITEM CSL_CITATION {"citationID":"xLWrLd7p","properties":{"formattedCitation":"[5]","plainCitation":"[5]","noteIndex":0},"citationItems":[{"id":34,"uris":["http://zotero.org/users/13642106/items/Q87392T2"],"itemData":{"id":34,"type":"article-journal","abstract":"A 15-year-old girl presented with acute bilateral loss of central visual acuity due to hypertensive retinopathy level IV.","container-title":"Pediatrics International","DOI":"10.1111/ped.12525","ISSN":"1328-8067, 1442-200X","issue":"2","journalAbbreviation":"Pediatrics International","language":"en","source":"DOI.org (Crossref)","title":"Severe visual loss caused by unrecognized malignant hypertension in a 15</w:instrText>
      </w:r>
      <w:r w:rsidRPr="007177CB">
        <w:rPr>
          <w:rFonts w:ascii="Cambria Math" w:hAnsi="Cambria Math" w:cs="Cambria Math"/>
        </w:rPr>
        <w:instrText>‐</w:instrText>
      </w:r>
      <w:r w:rsidRPr="007177CB">
        <w:rPr>
          <w:rFonts w:ascii="Arial" w:hAnsi="Arial" w:cs="Arial"/>
        </w:rPr>
        <w:instrText>year</w:instrText>
      </w:r>
      <w:r w:rsidRPr="007177CB">
        <w:rPr>
          <w:rFonts w:ascii="Cambria Math" w:hAnsi="Cambria Math" w:cs="Cambria Math"/>
        </w:rPr>
        <w:instrText>‐</w:instrText>
      </w:r>
      <w:r w:rsidRPr="007177CB">
        <w:rPr>
          <w:rFonts w:ascii="Arial" w:hAnsi="Arial" w:cs="Arial"/>
        </w:rPr>
        <w:instrText xml:space="preserve">old girl","URL":"https://onlinelibrary.wiley.com/doi/10.1111/ped.12525","volume":"57","author":[{"family":"Cortina","given":"Gerard"},{"family":"Hofer","given":"Johannes"},{"family":"Giner","given":"Thomas"},{"family":"Jungraithmayr","given":"Therese"}],"accessed":{"date-parts":[["2024",2,26]]},"issued":{"date-parts":[["2015",4]]}}}],"schema":"https://github.com/citation-style-language/schema/raw/master/csl-citation.json"} </w:instrText>
      </w:r>
      <w:r w:rsidRPr="007177CB">
        <w:rPr>
          <w:rFonts w:ascii="Arial" w:hAnsi="Arial" w:cs="Arial"/>
        </w:rPr>
        <w:fldChar w:fldCharType="separate"/>
      </w:r>
      <w:r w:rsidRPr="007177CB">
        <w:rPr>
          <w:rFonts w:ascii="Arial" w:hAnsi="Arial" w:cs="Arial"/>
          <w:noProof/>
        </w:rPr>
        <w:t>[5]</w:t>
      </w:r>
      <w:r w:rsidRPr="007177CB">
        <w:rPr>
          <w:rFonts w:ascii="Arial" w:hAnsi="Arial" w:cs="Arial"/>
        </w:rPr>
        <w:fldChar w:fldCharType="end"/>
      </w:r>
      <w:r w:rsidRPr="007177CB">
        <w:rPr>
          <w:rFonts w:ascii="Arial" w:hAnsi="Arial" w:cs="Arial"/>
        </w:rPr>
        <w:t xml:space="preserve">. </w:t>
      </w:r>
    </w:p>
    <w:p w14:paraId="7ECFBB19"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lastRenderedPageBreak/>
        <w:t xml:space="preserve">Only few cases have been reported in the literature where bilateral central retinal vein occlusion (CRVO) was associated with </w:t>
      </w:r>
      <w:proofErr w:type="spellStart"/>
      <w:r w:rsidRPr="007177CB">
        <w:rPr>
          <w:rFonts w:ascii="Arial" w:hAnsi="Arial" w:cs="Arial"/>
        </w:rPr>
        <w:t>hyperviscosity</w:t>
      </w:r>
      <w:proofErr w:type="spellEnd"/>
      <w:r w:rsidRPr="007177CB">
        <w:rPr>
          <w:rFonts w:ascii="Arial" w:hAnsi="Arial" w:cs="Arial"/>
        </w:rPr>
        <w:t xml:space="preserve"> syndrome. In these instances, the underlying conditions were multiple myeloma and Waldenström's macroglobulinemia </w:t>
      </w:r>
      <w:r w:rsidRPr="007177CB">
        <w:rPr>
          <w:rFonts w:ascii="Arial" w:hAnsi="Arial" w:cs="Arial"/>
        </w:rPr>
        <w:fldChar w:fldCharType="begin"/>
      </w:r>
      <w:r w:rsidRPr="007177CB">
        <w:rPr>
          <w:rFonts w:ascii="Arial" w:hAnsi="Arial" w:cs="Arial"/>
        </w:rPr>
        <w:instrText xml:space="preserve"> ADDIN ZOTERO_ITEM CSL_CITATION {"citationID":"kf3enyJ3","properties":{"formattedCitation":"[6], [7]","plainCitation":"[6], [7]","noteIndex":0},"citationItems":[{"id":268,"uris":["http://zotero.org/users/13642106/items/4ZDIN2XE"],"itemData":{"id":268,"type":"article-journal","abstract":"Purpose: To report a case of simultaneous bilateral central retinal vein occlusion (CRVO) associated with multiple myeloma. Methods: A 65-year-old woman had sudden, painless loss of vision in both eyes for 20 days. Ophthalmologic examination revealed bilateral CRVO. Appropriate medical workup was conducted, and multiple myeloma was diagnosed as the underlying cause. Results: Clinical support and chemotherapy effectively controlled paraprotein production, leading to improvement of both systemic and ocular alterations. Conclusions: Many conditions have been noted to be associated with CRVO. Based on a Medline search, this is the first report of simultaneous bilateral CRVO as the first manifestation of multiple myeloma, illustrating the need for a primary care ophthalmologist to be involved in the basic assessment for associated underlying diseases in retinal disorders.","container-title":"Ophthalmologica","DOI":"10.1159/000078622","ISSN":"0030-3755","issue":"4","journalAbbreviation":"Ophthalmologica","page":"283-287","source":"Silverchair","title":"Bilateral Central Retinal Vein Occlusion Associated with Multiple Myeloma","volume":"218","author":[{"family":"Aggio","given":"Fabio B."},{"family":"Cariello","given":"Angelino J."},{"family":"Almeida","given":"Manuella S.S."},{"family":"Rodrigues","given":"Celso A."},{"family":"Moraes","given":"Nilva S.B.","non-dropping-particle":"de"},{"family":"Colleoni","given":"Gisele W.B."},{"family":"Farah","given":"Michel E."}],"issued":{"date-parts":[["2004",7,6]]}}},{"id":270,"uris":["http://zotero.org/users/13642106/items/A4L6NQYS"],"itemData":{"id":270,"type":"article-journal","abstract":"Central retinal vein occlusions (CRVOs) are rarely treatable; most therapy is directed towards prevention or treatment of complications. Bilateral CRVO can be due to serum hyperviscosity, which affects 15% of all patients with Waldenstrom's macroglobulinaemia (WM). Although previously reported in a handful of cases, bilateral CRVO is a rare presenting feature.","container-title":"Eye","DOI":"10.1038/eye.2008.193","ISSN":"1476-5454","issue":"8","language":"en","license":"2008 Royal College of Ophthalmologists","note":"publisher: Nature Publishing Group","page":"1089-1092","source":"www.nature.com","title":"Bilateral simultaneous central retinal vein occlusion secondary to hyperviscosity in Waldenstrom's macroglobulinaemia","volume":"22","author":[{"family":"Alexander","given":"P."},{"family":"Flanagan","given":"D."},{"family":"Rege","given":"K."},{"family":"Foss","given":"A."},{"family":"Hingorani","given":"M."}],"issued":{"date-parts":[["2008",8]]}}}],"schema":"https://github.com/citation-style-language/schema/raw/master/csl-citation.json"} </w:instrText>
      </w:r>
      <w:r w:rsidRPr="007177CB">
        <w:rPr>
          <w:rFonts w:ascii="Arial" w:hAnsi="Arial" w:cs="Arial"/>
        </w:rPr>
        <w:fldChar w:fldCharType="separate"/>
      </w:r>
      <w:r w:rsidRPr="007177CB">
        <w:rPr>
          <w:rFonts w:ascii="Arial" w:hAnsi="Arial" w:cs="Arial"/>
          <w:noProof/>
        </w:rPr>
        <w:t>[6], [7]</w:t>
      </w:r>
      <w:r w:rsidRPr="007177CB">
        <w:rPr>
          <w:rFonts w:ascii="Arial" w:hAnsi="Arial" w:cs="Arial"/>
        </w:rPr>
        <w:fldChar w:fldCharType="end"/>
      </w:r>
      <w:r w:rsidRPr="007177CB">
        <w:rPr>
          <w:rFonts w:ascii="Arial" w:hAnsi="Arial" w:cs="Arial"/>
        </w:rPr>
        <w:t>. In contrast, our patient exhibited extremely high blood pressure, which likely caused the circulatory insufficiency in the retinal fundus. The patient, a 36-year-old male, had no history of significant illness and no evidence of thrombophilia. Autoimmune or inflammatory diseases were excluded, with the diagnosis ultimately confirming malignant hypertension as the underlying cause.</w:t>
      </w:r>
    </w:p>
    <w:p w14:paraId="0249B4BB" w14:textId="77777777" w:rsidR="007177CB" w:rsidRPr="007177CB" w:rsidRDefault="007177CB" w:rsidP="007177CB">
      <w:pPr>
        <w:spacing w:before="100" w:beforeAutospacing="1" w:after="100" w:afterAutospacing="1" w:line="360" w:lineRule="auto"/>
        <w:rPr>
          <w:rFonts w:ascii="Arial" w:hAnsi="Arial" w:cs="Arial"/>
        </w:rPr>
      </w:pPr>
      <w:r w:rsidRPr="007177CB">
        <w:rPr>
          <w:rFonts w:ascii="Arial" w:hAnsi="Arial" w:cs="Arial"/>
        </w:rPr>
        <w:t xml:space="preserve">Hypertension is a silent condition, often asymptomatic, which can progress undetected until it manifests through clinical signs such as ischemic heart disease, stroke, or, as seen in our case, visual impairment. Structural damage related to hypertension typically remains unnoticed during routine clinical evaluations. It is essential for primary care physicians, including ophthalmologists, cardiologists, and nephrologists, to assess both typical and atypical risk factors for retinal vein occlusion in order to mitigate further ocular complications and prevent systemic repercussions. Preventing the long-term progression of hypertension requires a collaborative, multidisciplinary approach, emphasizing early intervention and comprehensive management </w:t>
      </w:r>
      <w:r w:rsidRPr="007177CB">
        <w:rPr>
          <w:rFonts w:ascii="Arial" w:hAnsi="Arial" w:cs="Arial"/>
        </w:rPr>
        <w:fldChar w:fldCharType="begin"/>
      </w:r>
      <w:r w:rsidRPr="007177CB">
        <w:rPr>
          <w:rFonts w:ascii="Arial" w:hAnsi="Arial" w:cs="Arial"/>
        </w:rPr>
        <w:instrText xml:space="preserve"> ADDIN ZOTERO_ITEM CSL_CITATION {"citationID":"bEcgOCGn","properties":{"formattedCitation":"[8]","plainCitation":"[8]","noteIndex":0},"citationItems":[{"id":32,"uris":["http://zotero.org/users/13642106/items/5PN977RZ"],"itemData":{"id":32,"type":"article-journal","container-title":"American Journal of Ophthalmology","DOI":"10.1016/j.ajo.2007.07.036","ISSN":"00029394","issue":"6","journalAbbreviation":"American Journal of Ophthalmology","language":"en","page":"858-863.e1","source":"DOI.org (Crossref)","title":"Central Retinal Vein Occlusion Case-Control Study","volume":"144","author":[{"family":"Koizumi","given":"Hideki"},{"family":"Ferrara","given":"Daniela C."},{"family":"Bruè","given":"Claudia"},{"family":"Spaide","given":"Richard F."}],"issued":{"date-parts":[["2007",12]]}}}],"schema":"https://github.com/citation-style-language/schema/raw/master/csl-citation.json"} </w:instrText>
      </w:r>
      <w:r w:rsidRPr="007177CB">
        <w:rPr>
          <w:rFonts w:ascii="Arial" w:hAnsi="Arial" w:cs="Arial"/>
        </w:rPr>
        <w:fldChar w:fldCharType="separate"/>
      </w:r>
      <w:r w:rsidRPr="007177CB">
        <w:rPr>
          <w:rFonts w:ascii="Arial" w:hAnsi="Arial" w:cs="Arial"/>
          <w:noProof/>
        </w:rPr>
        <w:t>[8]</w:t>
      </w:r>
      <w:r w:rsidRPr="007177CB">
        <w:rPr>
          <w:rFonts w:ascii="Arial" w:hAnsi="Arial" w:cs="Arial"/>
        </w:rPr>
        <w:fldChar w:fldCharType="end"/>
      </w:r>
      <w:r w:rsidRPr="007177CB">
        <w:rPr>
          <w:rFonts w:ascii="Arial" w:hAnsi="Arial" w:cs="Arial"/>
        </w:rPr>
        <w:t>.</w:t>
      </w:r>
    </w:p>
    <w:p w14:paraId="60A72D25" w14:textId="77777777" w:rsidR="007177CB" w:rsidRPr="00FB3A86" w:rsidRDefault="007177CB" w:rsidP="007177CB">
      <w:pPr>
        <w:pStyle w:val="Body"/>
        <w:spacing w:after="0"/>
        <w:rPr>
          <w:rFonts w:ascii="Arial" w:hAnsi="Arial" w:cs="Arial"/>
        </w:rPr>
      </w:pPr>
      <w:r>
        <w:rPr>
          <w:rFonts w:ascii="Arial" w:hAnsi="Arial" w:cs="Arial"/>
        </w:rPr>
        <w:t>.</w:t>
      </w:r>
    </w:p>
    <w:p w14:paraId="087BBBAA" w14:textId="77777777" w:rsidR="007177CB" w:rsidRDefault="007177CB" w:rsidP="007177CB">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C2E1FC9" w14:textId="60A43FF8" w:rsidR="007177CB" w:rsidRPr="00AA3AA8" w:rsidRDefault="007177CB" w:rsidP="00723EC3">
      <w:pPr>
        <w:spacing w:before="100" w:beforeAutospacing="1" w:after="100" w:afterAutospacing="1" w:line="360" w:lineRule="auto"/>
        <w:rPr>
          <w:rFonts w:ascii="Arial" w:hAnsi="Arial" w:cs="Arial"/>
        </w:rPr>
      </w:pPr>
      <w:r w:rsidRPr="007177CB">
        <w:rPr>
          <w:rFonts w:ascii="Arial" w:hAnsi="Arial" w:cs="Arial"/>
        </w:rPr>
        <w:t>This case underscores the critical association between malignant hypertension and its potential to cause severe ocular and renal complications, such as bilateral central retinal vein occlusion (CRVO) and end-stage renal failure. Despite the challenges of managing such a complex clinical presentation, early recognition and prompt antihypertensive therapy are essential to prevent irreversible target organ damage. In this case, while the hypertensive retinopathy gradually resolved over time, renal function did not recover, necessitating a kidney transplant. This highlights the importance of routine blood pressure monitoring, especially in young patients with no previous history of hypertension, to prevent the onset of catastrophic organ damage.</w:t>
      </w:r>
    </w:p>
    <w:p w14:paraId="608618CA" w14:textId="77777777" w:rsidR="007177CB" w:rsidRPr="00AA3AA8" w:rsidRDefault="007177CB" w:rsidP="007177CB">
      <w:pPr>
        <w:pStyle w:val="ReferHead"/>
        <w:jc w:val="both"/>
        <w:rPr>
          <w:rFonts w:ascii="Arial" w:hAnsi="Arial" w:cs="Arial"/>
        </w:rPr>
      </w:pPr>
      <w:r w:rsidRPr="00AA3AA8">
        <w:rPr>
          <w:rFonts w:ascii="Arial" w:hAnsi="Arial" w:cs="Arial"/>
        </w:rPr>
        <w:lastRenderedPageBreak/>
        <w:t>CONSENT</w:t>
      </w:r>
    </w:p>
    <w:p w14:paraId="1371F51F" w14:textId="77777777" w:rsidR="007177CB" w:rsidRPr="00AA3AA8" w:rsidRDefault="007177CB" w:rsidP="007177CB">
      <w:pPr>
        <w:pStyle w:val="ReferHead"/>
        <w:jc w:val="both"/>
        <w:rPr>
          <w:rFonts w:ascii="Arial" w:hAnsi="Arial" w:cs="Arial"/>
          <w:b w:val="0"/>
          <w:bCs/>
          <w:sz w:val="20"/>
        </w:rPr>
      </w:pPr>
      <w:r w:rsidRPr="00AA3AA8">
        <w:rPr>
          <w:rFonts w:ascii="Arial" w:hAnsi="Arial" w:cs="Arial"/>
          <w:b w:val="0"/>
          <w:bCs/>
          <w:caps w:val="0"/>
          <w:sz w:val="20"/>
        </w:rPr>
        <w:t xml:space="preserve">As   per   international   standards   or   university standards, patient(s) </w:t>
      </w:r>
      <w:proofErr w:type="gramStart"/>
      <w:r w:rsidRPr="00AA3AA8">
        <w:rPr>
          <w:rFonts w:ascii="Arial" w:hAnsi="Arial" w:cs="Arial"/>
          <w:b w:val="0"/>
          <w:bCs/>
          <w:caps w:val="0"/>
          <w:sz w:val="20"/>
        </w:rPr>
        <w:t>written  consent</w:t>
      </w:r>
      <w:proofErr w:type="gramEnd"/>
      <w:r w:rsidRPr="00AA3AA8">
        <w:rPr>
          <w:rFonts w:ascii="Arial" w:hAnsi="Arial" w:cs="Arial"/>
          <w:b w:val="0"/>
          <w:bCs/>
          <w:caps w:val="0"/>
          <w:sz w:val="20"/>
        </w:rPr>
        <w:t xml:space="preserve">  has  been collected and preserved by the author(s).</w:t>
      </w:r>
    </w:p>
    <w:p w14:paraId="15D563C8" w14:textId="77777777" w:rsidR="007177CB" w:rsidRPr="00AA3AA8" w:rsidRDefault="007177CB" w:rsidP="007177CB">
      <w:pPr>
        <w:pStyle w:val="ReferHead"/>
        <w:jc w:val="both"/>
        <w:rPr>
          <w:rFonts w:ascii="Arial" w:hAnsi="Arial" w:cs="Arial"/>
        </w:rPr>
      </w:pPr>
    </w:p>
    <w:p w14:paraId="3661A801" w14:textId="77777777" w:rsidR="007177CB" w:rsidRPr="00AA3AA8" w:rsidRDefault="007177CB" w:rsidP="007177CB">
      <w:pPr>
        <w:pStyle w:val="ReferHead"/>
        <w:jc w:val="both"/>
        <w:rPr>
          <w:rFonts w:ascii="Arial" w:hAnsi="Arial" w:cs="Arial"/>
        </w:rPr>
      </w:pPr>
      <w:r w:rsidRPr="00AA3AA8">
        <w:rPr>
          <w:rFonts w:ascii="Arial" w:hAnsi="Arial" w:cs="Arial"/>
        </w:rPr>
        <w:t>ETHICAL APPROVAL</w:t>
      </w:r>
    </w:p>
    <w:p w14:paraId="5B76F89E" w14:textId="77777777" w:rsidR="007177CB" w:rsidRPr="00AA3AA8" w:rsidRDefault="007177CB" w:rsidP="007177CB">
      <w:pPr>
        <w:pStyle w:val="ReferHead"/>
        <w:spacing w:after="0"/>
        <w:jc w:val="both"/>
        <w:rPr>
          <w:rFonts w:ascii="Arial" w:hAnsi="Arial" w:cs="Arial"/>
          <w:b w:val="0"/>
          <w:bCs/>
          <w:sz w:val="20"/>
          <w:szCs w:val="18"/>
        </w:rPr>
      </w:pPr>
      <w:r w:rsidRPr="00AA3AA8">
        <w:rPr>
          <w:rFonts w:ascii="Arial" w:hAnsi="Arial" w:cs="Arial"/>
          <w:b w:val="0"/>
          <w:bCs/>
          <w:caps w:val="0"/>
          <w:sz w:val="20"/>
          <w:szCs w:val="18"/>
        </w:rPr>
        <w:t>It is not applicable</w:t>
      </w:r>
      <w:r w:rsidRPr="00AA3AA8">
        <w:rPr>
          <w:rFonts w:ascii="Arial" w:hAnsi="Arial" w:cs="Arial"/>
          <w:b w:val="0"/>
          <w:bCs/>
          <w:sz w:val="20"/>
          <w:szCs w:val="18"/>
        </w:rPr>
        <w:t>.</w:t>
      </w:r>
    </w:p>
    <w:p w14:paraId="7E2C9F75" w14:textId="77777777" w:rsidR="007177CB" w:rsidRDefault="007177CB" w:rsidP="007177CB">
      <w:pPr>
        <w:pStyle w:val="ReferHead"/>
        <w:spacing w:after="0"/>
        <w:jc w:val="both"/>
        <w:rPr>
          <w:rFonts w:ascii="Arial" w:hAnsi="Arial" w:cs="Arial"/>
        </w:rPr>
      </w:pPr>
    </w:p>
    <w:p w14:paraId="10EE5872" w14:textId="77777777" w:rsidR="007177CB" w:rsidRDefault="007177CB" w:rsidP="007177CB">
      <w:pPr>
        <w:pStyle w:val="ReferHead"/>
        <w:spacing w:after="0"/>
        <w:jc w:val="both"/>
        <w:rPr>
          <w:rFonts w:ascii="Arial" w:hAnsi="Arial" w:cs="Arial"/>
        </w:rPr>
      </w:pPr>
      <w:r w:rsidRPr="00FB3A86">
        <w:rPr>
          <w:rFonts w:ascii="Arial" w:hAnsi="Arial" w:cs="Arial"/>
        </w:rPr>
        <w:t>References</w:t>
      </w:r>
    </w:p>
    <w:p w14:paraId="22C3DA84" w14:textId="77777777" w:rsidR="007177CB" w:rsidRDefault="007177CB" w:rsidP="007177CB">
      <w:pPr>
        <w:pStyle w:val="Appendix"/>
        <w:spacing w:after="0"/>
        <w:jc w:val="both"/>
        <w:rPr>
          <w:rFonts w:ascii="Arial" w:hAnsi="Arial" w:cs="Arial"/>
          <w:b w:val="0"/>
        </w:rPr>
      </w:pPr>
    </w:p>
    <w:p w14:paraId="4EA2D045"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rPr>
        <w:fldChar w:fldCharType="begin"/>
      </w:r>
      <w:r w:rsidRPr="007177CB">
        <w:rPr>
          <w:rFonts w:asciiTheme="minorBidi" w:hAnsiTheme="minorBidi" w:cstheme="minorBidi"/>
          <w:sz w:val="20"/>
          <w:szCs w:val="20"/>
          <w:lang w:val="en-US"/>
        </w:rPr>
        <w:instrText xml:space="preserve"> ADDIN ZOTERO_BIBL {"uncited":[],"omitted":[],"custom":[]} CSL_BIBLIOGRAPHY </w:instrText>
      </w:r>
      <w:r w:rsidRPr="007177CB">
        <w:rPr>
          <w:rFonts w:asciiTheme="minorBidi" w:hAnsiTheme="minorBidi" w:cstheme="minorBidi"/>
          <w:sz w:val="20"/>
          <w:szCs w:val="20"/>
        </w:rPr>
        <w:fldChar w:fldCharType="separate"/>
      </w:r>
      <w:r w:rsidRPr="007177CB">
        <w:rPr>
          <w:rFonts w:asciiTheme="minorBidi" w:hAnsiTheme="minorBidi" w:cstheme="minorBidi"/>
          <w:sz w:val="20"/>
          <w:szCs w:val="20"/>
          <w:lang w:val="en-US"/>
        </w:rPr>
        <w:t>[1]</w:t>
      </w:r>
      <w:r w:rsidRPr="007177CB">
        <w:rPr>
          <w:rFonts w:asciiTheme="minorBidi" w:hAnsiTheme="minorBidi" w:cstheme="minorBidi"/>
          <w:sz w:val="20"/>
          <w:szCs w:val="20"/>
          <w:lang w:val="en-US"/>
        </w:rPr>
        <w:tab/>
        <w:t xml:space="preserve">D. Prisco, R. Marcucci, L. Bertini, and A. M. Gori, ‘Cardiovascular and thrombophilic risk factors for central retinal vein occlusion’, </w:t>
      </w:r>
      <w:r w:rsidRPr="007177CB">
        <w:rPr>
          <w:rFonts w:asciiTheme="minorBidi" w:hAnsiTheme="minorBidi" w:cstheme="minorBidi"/>
          <w:i/>
          <w:iCs/>
          <w:sz w:val="20"/>
          <w:szCs w:val="20"/>
          <w:lang w:val="en-US"/>
        </w:rPr>
        <w:t>Eur. J. Intern. Med.</w:t>
      </w:r>
      <w:r w:rsidRPr="007177CB">
        <w:rPr>
          <w:rFonts w:asciiTheme="minorBidi" w:hAnsiTheme="minorBidi" w:cstheme="minorBidi"/>
          <w:sz w:val="20"/>
          <w:szCs w:val="20"/>
          <w:lang w:val="en-US"/>
        </w:rPr>
        <w:t>, vol. 13, no. 3, pp. 163–169, May 2002, doi: 10.1016/S0953-6205(02)00025-0.</w:t>
      </w:r>
    </w:p>
    <w:p w14:paraId="571CCA7F"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[2]</w:t>
      </w:r>
      <w:r w:rsidRPr="007177CB">
        <w:rPr>
          <w:rFonts w:asciiTheme="minorBidi" w:hAnsiTheme="minorBidi" w:cstheme="minorBidi"/>
          <w:sz w:val="20"/>
          <w:szCs w:val="20"/>
          <w:lang w:val="en-US"/>
        </w:rPr>
        <w:tab/>
        <w:t xml:space="preserve">D. Prisco and R. Marcucci, ‘Retinal vein thrombosis: risk factors, pathogenesis and therapeutic approach’, </w:t>
      </w:r>
      <w:r w:rsidRPr="007177CB">
        <w:rPr>
          <w:rFonts w:asciiTheme="minorBidi" w:hAnsiTheme="minorBidi" w:cstheme="minorBidi"/>
          <w:i/>
          <w:iCs/>
          <w:sz w:val="20"/>
          <w:szCs w:val="20"/>
          <w:lang w:val="en-US"/>
        </w:rPr>
        <w:t>Pathophysiol. Haemost. Thromb.</w:t>
      </w:r>
      <w:r w:rsidRPr="007177CB">
        <w:rPr>
          <w:rFonts w:asciiTheme="minorBidi" w:hAnsiTheme="minorBidi" w:cstheme="minorBidi"/>
          <w:sz w:val="20"/>
          <w:szCs w:val="20"/>
          <w:lang w:val="en-US"/>
        </w:rPr>
        <w:t>, vol. 32, no. 5–6, pp. 308–311, 2002, doi: 10.1159/000073587.</w:t>
      </w:r>
    </w:p>
    <w:p w14:paraId="06914567"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[3]</w:t>
      </w:r>
      <w:r w:rsidRPr="007177CB">
        <w:rPr>
          <w:rFonts w:asciiTheme="minorBidi" w:hAnsiTheme="minorBidi" w:cstheme="minorBidi"/>
          <w:sz w:val="20"/>
          <w:szCs w:val="20"/>
          <w:lang w:val="en-US"/>
        </w:rPr>
        <w:tab/>
        <w:t xml:space="preserve">A. Sodi </w:t>
      </w:r>
      <w:r w:rsidRPr="007177CB">
        <w:rPr>
          <w:rFonts w:asciiTheme="minorBidi" w:hAnsiTheme="minorBidi" w:cstheme="minorBidi"/>
          <w:i/>
          <w:iCs/>
          <w:sz w:val="20"/>
          <w:szCs w:val="20"/>
          <w:lang w:val="en-US"/>
        </w:rPr>
        <w:t>et al.</w:t>
      </w:r>
      <w:r w:rsidRPr="007177CB">
        <w:rPr>
          <w:rFonts w:asciiTheme="minorBidi" w:hAnsiTheme="minorBidi" w:cstheme="minorBidi"/>
          <w:sz w:val="20"/>
          <w:szCs w:val="20"/>
          <w:lang w:val="en-US"/>
        </w:rPr>
        <w:t xml:space="preserve">, ‘Atherosclerotic and Thrombophilic Risk Factors in Patients with Recurrent Central Retinal Vein Occlusion’, </w:t>
      </w:r>
      <w:r w:rsidRPr="007177CB">
        <w:rPr>
          <w:rFonts w:asciiTheme="minorBidi" w:hAnsiTheme="minorBidi" w:cstheme="minorBidi"/>
          <w:i/>
          <w:iCs/>
          <w:sz w:val="20"/>
          <w:szCs w:val="20"/>
          <w:lang w:val="en-US"/>
        </w:rPr>
        <w:t>Eur. J. Ophthalmol.</w:t>
      </w:r>
      <w:r w:rsidRPr="007177CB">
        <w:rPr>
          <w:rFonts w:asciiTheme="minorBidi" w:hAnsiTheme="minorBidi" w:cstheme="minorBidi"/>
          <w:sz w:val="20"/>
          <w:szCs w:val="20"/>
          <w:lang w:val="en-US"/>
        </w:rPr>
        <w:t>, vol. 18, no. 2, pp. 233–238, Mar. 2008, doi: 10.1177/112067210801800211.</w:t>
      </w:r>
    </w:p>
    <w:p w14:paraId="0E203D0A"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[4]</w:t>
      </w:r>
      <w:r w:rsidRPr="007177CB">
        <w:rPr>
          <w:rFonts w:asciiTheme="minorBidi" w:hAnsiTheme="minorBidi" w:cstheme="minorBidi"/>
          <w:sz w:val="20"/>
          <w:szCs w:val="20"/>
          <w:lang w:val="en-US"/>
        </w:rPr>
        <w:tab/>
        <w:t xml:space="preserve">J. M. Lahey, J. J. Kearney, and M. Tunc, ‘Hypercoagulable states and central retinal vein occlusion’, </w:t>
      </w:r>
      <w:r w:rsidRPr="007177CB">
        <w:rPr>
          <w:rFonts w:asciiTheme="minorBidi" w:hAnsiTheme="minorBidi" w:cstheme="minorBidi"/>
          <w:i/>
          <w:iCs/>
          <w:sz w:val="20"/>
          <w:szCs w:val="20"/>
          <w:lang w:val="en-US"/>
        </w:rPr>
        <w:t>Curr. Opin. Pulm. Med.</w:t>
      </w:r>
      <w:r w:rsidRPr="007177CB">
        <w:rPr>
          <w:rFonts w:asciiTheme="minorBidi" w:hAnsiTheme="minorBidi" w:cstheme="minorBidi"/>
          <w:sz w:val="20"/>
          <w:szCs w:val="20"/>
          <w:lang w:val="en-US"/>
        </w:rPr>
        <w:t>, vol. 9, no. 5, p. 385, Sep. 2003.</w:t>
      </w:r>
    </w:p>
    <w:p w14:paraId="05D25A17"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[5]</w:t>
      </w:r>
      <w:r w:rsidRPr="007177CB">
        <w:rPr>
          <w:rFonts w:asciiTheme="minorBidi" w:hAnsiTheme="minorBidi" w:cstheme="minorBidi"/>
          <w:sz w:val="20"/>
          <w:szCs w:val="20"/>
          <w:lang w:val="en-US"/>
        </w:rPr>
        <w:tab/>
        <w:t>G. Cortina, J. Hofer, T. Giner, and T. Jungraithmayr, ‘Severe visual loss caused by unrecognized malignant hypertension in a 15</w:t>
      </w:r>
      <w:r w:rsidRPr="007177CB">
        <w:rPr>
          <w:rFonts w:ascii="Cambria Math" w:hAnsi="Cambria Math" w:cs="Cambria Math"/>
          <w:sz w:val="20"/>
          <w:szCs w:val="20"/>
          <w:lang w:val="en-US"/>
        </w:rPr>
        <w:t>‐</w:t>
      </w:r>
      <w:r w:rsidRPr="007177CB">
        <w:rPr>
          <w:rFonts w:asciiTheme="minorBidi" w:hAnsiTheme="minorBidi" w:cstheme="minorBidi"/>
          <w:sz w:val="20"/>
          <w:szCs w:val="20"/>
          <w:lang w:val="en-US"/>
        </w:rPr>
        <w:t>year</w:t>
      </w:r>
      <w:r w:rsidRPr="007177CB">
        <w:rPr>
          <w:rFonts w:ascii="Cambria Math" w:hAnsi="Cambria Math" w:cs="Cambria Math"/>
          <w:sz w:val="20"/>
          <w:szCs w:val="20"/>
          <w:lang w:val="en-US"/>
        </w:rPr>
        <w:t>‐</w:t>
      </w:r>
      <w:r w:rsidRPr="007177CB">
        <w:rPr>
          <w:rFonts w:asciiTheme="minorBidi" w:hAnsiTheme="minorBidi" w:cstheme="minorBidi"/>
          <w:sz w:val="20"/>
          <w:szCs w:val="20"/>
          <w:lang w:val="en-US"/>
        </w:rPr>
        <w:t>old girl</w:t>
      </w:r>
      <w:r w:rsidRPr="007177CB">
        <w:rPr>
          <w:rFonts w:ascii="Arial" w:hAnsi="Arial" w:cs="Arial"/>
          <w:sz w:val="20"/>
          <w:szCs w:val="20"/>
          <w:lang w:val="en-US"/>
        </w:rPr>
        <w:t>’</w:t>
      </w:r>
      <w:r w:rsidRPr="007177CB">
        <w:rPr>
          <w:rFonts w:asciiTheme="minorBidi" w:hAnsiTheme="minorBidi" w:cstheme="minorBidi"/>
          <w:sz w:val="20"/>
          <w:szCs w:val="20"/>
          <w:lang w:val="en-US"/>
        </w:rPr>
        <w:t xml:space="preserve">, </w:t>
      </w:r>
      <w:r w:rsidRPr="007177CB">
        <w:rPr>
          <w:rFonts w:asciiTheme="minorBidi" w:hAnsiTheme="minorBidi" w:cstheme="minorBidi"/>
          <w:i/>
          <w:iCs/>
          <w:sz w:val="20"/>
          <w:szCs w:val="20"/>
          <w:lang w:val="en-US"/>
        </w:rPr>
        <w:t>Pediatr. Int.</w:t>
      </w:r>
      <w:r w:rsidRPr="007177CB">
        <w:rPr>
          <w:rFonts w:asciiTheme="minorBidi" w:hAnsiTheme="minorBidi" w:cstheme="minorBidi"/>
          <w:sz w:val="20"/>
          <w:szCs w:val="20"/>
          <w:lang w:val="en-US"/>
        </w:rPr>
        <w:t>, vol. 57, no. 2, Apr. 2015, doi: 10.1111/ped.12525.</w:t>
      </w:r>
    </w:p>
    <w:p w14:paraId="71D6D355"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[6]</w:t>
      </w:r>
      <w:r w:rsidRPr="007177CB">
        <w:rPr>
          <w:rFonts w:asciiTheme="minorBidi" w:hAnsiTheme="minorBidi" w:cstheme="minorBidi"/>
          <w:sz w:val="20"/>
          <w:szCs w:val="20"/>
          <w:lang w:val="en-US"/>
        </w:rPr>
        <w:tab/>
        <w:t xml:space="preserve">F. B. Aggio </w:t>
      </w:r>
      <w:r w:rsidRPr="007177CB">
        <w:rPr>
          <w:rFonts w:asciiTheme="minorBidi" w:hAnsiTheme="minorBidi" w:cstheme="minorBidi"/>
          <w:i/>
          <w:iCs/>
          <w:sz w:val="20"/>
          <w:szCs w:val="20"/>
          <w:lang w:val="en-US"/>
        </w:rPr>
        <w:t>et al.</w:t>
      </w:r>
      <w:r w:rsidRPr="007177CB">
        <w:rPr>
          <w:rFonts w:asciiTheme="minorBidi" w:hAnsiTheme="minorBidi" w:cstheme="minorBidi"/>
          <w:sz w:val="20"/>
          <w:szCs w:val="20"/>
          <w:lang w:val="en-US"/>
        </w:rPr>
        <w:t xml:space="preserve">, ‘Bilateral Central Retinal Vein Occlusion Associated with Multiple Myeloma’, </w:t>
      </w:r>
      <w:r w:rsidRPr="007177CB">
        <w:rPr>
          <w:rFonts w:asciiTheme="minorBidi" w:hAnsiTheme="minorBidi" w:cstheme="minorBidi"/>
          <w:i/>
          <w:iCs/>
          <w:sz w:val="20"/>
          <w:szCs w:val="20"/>
          <w:lang w:val="en-US"/>
        </w:rPr>
        <w:t>Ophthalmologica</w:t>
      </w:r>
      <w:r w:rsidRPr="007177CB">
        <w:rPr>
          <w:rFonts w:asciiTheme="minorBidi" w:hAnsiTheme="minorBidi" w:cstheme="minorBidi"/>
          <w:sz w:val="20"/>
          <w:szCs w:val="20"/>
          <w:lang w:val="en-US"/>
        </w:rPr>
        <w:t>, vol. 218, no. 4, pp. 283–287, Jul. 2004, doi: 10.1159/000078622.</w:t>
      </w:r>
    </w:p>
    <w:p w14:paraId="59765FCF"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[7]</w:t>
      </w:r>
      <w:r w:rsidRPr="007177CB">
        <w:rPr>
          <w:rFonts w:asciiTheme="minorBidi" w:hAnsiTheme="minorBidi" w:cstheme="minorBidi"/>
          <w:sz w:val="20"/>
          <w:szCs w:val="20"/>
          <w:lang w:val="en-US"/>
        </w:rPr>
        <w:tab/>
        <w:t xml:space="preserve">P. Alexander, D. Flanagan, K. Rege, A. Foss, and M. Hingorani, ‘Bilateral simultaneous central retinal vein occlusion secondary to hyperviscosity in Waldenstrom’s macroglobulinaemia’, </w:t>
      </w:r>
      <w:r w:rsidRPr="007177CB">
        <w:rPr>
          <w:rFonts w:asciiTheme="minorBidi" w:hAnsiTheme="minorBidi" w:cstheme="minorBidi"/>
          <w:i/>
          <w:iCs/>
          <w:sz w:val="20"/>
          <w:szCs w:val="20"/>
          <w:lang w:val="en-US"/>
        </w:rPr>
        <w:t>Eye</w:t>
      </w:r>
      <w:r w:rsidRPr="007177CB">
        <w:rPr>
          <w:rFonts w:asciiTheme="minorBidi" w:hAnsiTheme="minorBidi" w:cstheme="minorBidi"/>
          <w:sz w:val="20"/>
          <w:szCs w:val="20"/>
          <w:lang w:val="en-US"/>
        </w:rPr>
        <w:t>, vol. 22, no. 8, pp. 1089–1092, Aug. 2008, doi: 10.1038/eye.2008.193.</w:t>
      </w:r>
    </w:p>
    <w:p w14:paraId="2D4672D3" w14:textId="77777777" w:rsidR="007177CB" w:rsidRPr="007177CB" w:rsidRDefault="007177CB" w:rsidP="007177CB">
      <w:pPr>
        <w:pStyle w:val="Bibliographie2"/>
        <w:rPr>
          <w:rFonts w:asciiTheme="minorBidi" w:hAnsiTheme="minorBidi" w:cstheme="minorBidi"/>
          <w:sz w:val="20"/>
          <w:szCs w:val="20"/>
          <w:lang w:val="en-US"/>
        </w:rPr>
      </w:pPr>
      <w:r w:rsidRPr="007177CB">
        <w:rPr>
          <w:rFonts w:asciiTheme="minorBidi" w:hAnsiTheme="minorBidi" w:cstheme="minorBidi"/>
          <w:sz w:val="20"/>
          <w:szCs w:val="20"/>
          <w:lang w:val="en-US"/>
        </w:rPr>
        <w:t>[8]</w:t>
      </w:r>
      <w:r w:rsidRPr="007177CB">
        <w:rPr>
          <w:rFonts w:asciiTheme="minorBidi" w:hAnsiTheme="minorBidi" w:cstheme="minorBidi"/>
          <w:sz w:val="20"/>
          <w:szCs w:val="20"/>
          <w:lang w:val="en-US"/>
        </w:rPr>
        <w:tab/>
        <w:t xml:space="preserve">H. Koizumi, D. C. Ferrara, C. Bruè, and R. F. Spaide, ‘Central Retinal Vein Occlusion Case-Control Study’, </w:t>
      </w:r>
      <w:r w:rsidRPr="007177CB">
        <w:rPr>
          <w:rFonts w:asciiTheme="minorBidi" w:hAnsiTheme="minorBidi" w:cstheme="minorBidi"/>
          <w:i/>
          <w:iCs/>
          <w:sz w:val="20"/>
          <w:szCs w:val="20"/>
          <w:lang w:val="en-US"/>
        </w:rPr>
        <w:t>Am. J. Ophthalmol.</w:t>
      </w:r>
      <w:r w:rsidRPr="007177CB">
        <w:rPr>
          <w:rFonts w:asciiTheme="minorBidi" w:hAnsiTheme="minorBidi" w:cstheme="minorBidi"/>
          <w:sz w:val="20"/>
          <w:szCs w:val="20"/>
          <w:lang w:val="en-US"/>
        </w:rPr>
        <w:t>, vol. 144, no. 6, pp. 858-863.e1, Dec. 2007, doi: 10.1016/j.ajo.2007.07.036.</w:t>
      </w:r>
    </w:p>
    <w:p w14:paraId="02AFCE57" w14:textId="77777777" w:rsidR="007177CB" w:rsidRPr="00FB3A86" w:rsidRDefault="007177CB" w:rsidP="007177CB">
      <w:pPr>
        <w:pStyle w:val="Appendix"/>
        <w:spacing w:after="0"/>
        <w:jc w:val="both"/>
        <w:rPr>
          <w:rFonts w:ascii="Arial" w:hAnsi="Arial" w:cs="Arial"/>
          <w:b w:val="0"/>
        </w:rPr>
        <w:sectPr w:rsidR="007177CB" w:rsidRPr="00FB3A86" w:rsidSect="00723EC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r w:rsidRPr="007177CB">
        <w:rPr>
          <w:rFonts w:asciiTheme="minorBidi" w:hAnsiTheme="minorBidi" w:cstheme="minorBidi"/>
          <w:color w:val="000000"/>
          <w:sz w:val="20"/>
        </w:rPr>
        <w:fldChar w:fldCharType="end"/>
      </w:r>
    </w:p>
    <w:p w14:paraId="2D8B903C" w14:textId="77777777" w:rsidR="007177CB" w:rsidRPr="00FB3A86" w:rsidRDefault="007177CB" w:rsidP="007177CB">
      <w:pPr>
        <w:pStyle w:val="Appendix"/>
        <w:spacing w:after="0"/>
        <w:jc w:val="both"/>
        <w:rPr>
          <w:rFonts w:ascii="Arial" w:hAnsi="Arial" w:cs="Arial"/>
          <w:b w:val="0"/>
        </w:rPr>
      </w:pPr>
    </w:p>
    <w:p w14:paraId="5E292337" w14:textId="77777777" w:rsidR="00970AFE" w:rsidRDefault="00970AFE"/>
    <w:sectPr w:rsidR="00970AFE" w:rsidSect="00723E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1330" w14:textId="77777777" w:rsidR="009E2104" w:rsidRDefault="009E2104" w:rsidP="007177CB">
      <w:r>
        <w:separator/>
      </w:r>
    </w:p>
  </w:endnote>
  <w:endnote w:type="continuationSeparator" w:id="0">
    <w:p w14:paraId="4181278A" w14:textId="77777777" w:rsidR="009E2104" w:rsidRDefault="009E2104" w:rsidP="0071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A2FD" w14:textId="77777777" w:rsidR="002619C2" w:rsidRDefault="0026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6659" w14:textId="77777777" w:rsidR="00932091" w:rsidRPr="00C37E61" w:rsidRDefault="0093209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A3DF" w14:textId="77777777" w:rsidR="002619C2" w:rsidRDefault="0026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8E99" w14:textId="77777777" w:rsidR="009E2104" w:rsidRDefault="009E2104" w:rsidP="007177CB">
      <w:r>
        <w:separator/>
      </w:r>
    </w:p>
  </w:footnote>
  <w:footnote w:type="continuationSeparator" w:id="0">
    <w:p w14:paraId="56321CD8" w14:textId="77777777" w:rsidR="009E2104" w:rsidRDefault="009E2104" w:rsidP="0071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E74E" w14:textId="2ED1D00D" w:rsidR="002619C2" w:rsidRDefault="002619C2">
    <w:pPr>
      <w:pStyle w:val="Header"/>
    </w:pPr>
    <w:r>
      <w:rPr>
        <w:noProof/>
      </w:rPr>
      <w:pict w14:anchorId="51EDE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17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D918" w14:textId="5E0695CB" w:rsidR="002619C2" w:rsidRDefault="002619C2">
    <w:pPr>
      <w:pStyle w:val="Header"/>
    </w:pPr>
    <w:r>
      <w:rPr>
        <w:noProof/>
      </w:rPr>
      <w:pict w14:anchorId="2EE33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17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D55C" w14:textId="16B5E6E7" w:rsidR="002619C2" w:rsidRDefault="002619C2">
    <w:pPr>
      <w:pStyle w:val="Header"/>
    </w:pPr>
    <w:r>
      <w:rPr>
        <w:noProof/>
      </w:rPr>
      <w:pict w14:anchorId="77050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1778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7CB"/>
    <w:rsid w:val="000E6538"/>
    <w:rsid w:val="0010573F"/>
    <w:rsid w:val="00151A17"/>
    <w:rsid w:val="0017347E"/>
    <w:rsid w:val="00196D8E"/>
    <w:rsid w:val="00225F37"/>
    <w:rsid w:val="00231291"/>
    <w:rsid w:val="002619C2"/>
    <w:rsid w:val="00275751"/>
    <w:rsid w:val="0028168E"/>
    <w:rsid w:val="002D3A1B"/>
    <w:rsid w:val="00421807"/>
    <w:rsid w:val="004E3ED2"/>
    <w:rsid w:val="005E0669"/>
    <w:rsid w:val="00600C89"/>
    <w:rsid w:val="00613021"/>
    <w:rsid w:val="00697CA4"/>
    <w:rsid w:val="006C6AF6"/>
    <w:rsid w:val="007177CB"/>
    <w:rsid w:val="00723EC3"/>
    <w:rsid w:val="0078789C"/>
    <w:rsid w:val="007C0ACD"/>
    <w:rsid w:val="007C2C56"/>
    <w:rsid w:val="007D1CDA"/>
    <w:rsid w:val="008B35A4"/>
    <w:rsid w:val="00932091"/>
    <w:rsid w:val="00952195"/>
    <w:rsid w:val="00970AFE"/>
    <w:rsid w:val="009A6DE1"/>
    <w:rsid w:val="009E2104"/>
    <w:rsid w:val="00A25869"/>
    <w:rsid w:val="00A970D8"/>
    <w:rsid w:val="00E344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B7FB9E"/>
  <w15:docId w15:val="{85195AE9-6950-4041-93A8-0D5E31D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7CB"/>
    <w:pPr>
      <w:spacing w:after="0" w:line="240" w:lineRule="auto"/>
    </w:pPr>
    <w:rPr>
      <w:rFonts w:ascii="Helvetica" w:eastAsia="Times New Roman" w:hAnsi="Helvetica" w:cs="Times New Roman"/>
      <w:sz w:val="20"/>
      <w:szCs w:val="20"/>
      <w:lang w:val="en-US"/>
    </w:rPr>
  </w:style>
  <w:style w:type="paragraph" w:styleId="Heading9">
    <w:name w:val="heading 9"/>
    <w:basedOn w:val="Normal"/>
    <w:next w:val="Normal"/>
    <w:link w:val="Heading9Char"/>
    <w:uiPriority w:val="9"/>
    <w:semiHidden/>
    <w:unhideWhenUsed/>
    <w:qFormat/>
    <w:rsid w:val="007177CB"/>
    <w:pPr>
      <w:keepNext/>
      <w:keepLines/>
      <w:outlineLvl w:val="8"/>
    </w:pPr>
    <w:rPr>
      <w:rFonts w:asciiTheme="minorHAnsi" w:eastAsiaTheme="majorEastAsia" w:hAnsiTheme="minorHAnsi" w:cstheme="majorBidi"/>
      <w:color w:val="272727" w:themeColor="text1" w:themeTint="D8"/>
      <w:kern w:val="2"/>
      <w:sz w:val="24"/>
      <w:szCs w:val="24"/>
      <w:lang w:val="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7177CB"/>
    <w:pPr>
      <w:spacing w:line="280" w:lineRule="exact"/>
      <w:jc w:val="right"/>
    </w:pPr>
    <w:rPr>
      <w:b/>
      <w:sz w:val="24"/>
    </w:rPr>
  </w:style>
  <w:style w:type="paragraph" w:customStyle="1" w:styleId="Affiliation">
    <w:name w:val="Affiliation"/>
    <w:basedOn w:val="Normal"/>
    <w:rsid w:val="007177CB"/>
    <w:pPr>
      <w:spacing w:after="240" w:line="240" w:lineRule="exact"/>
      <w:jc w:val="right"/>
    </w:pPr>
  </w:style>
  <w:style w:type="paragraph" w:customStyle="1" w:styleId="Body">
    <w:name w:val="Body"/>
    <w:basedOn w:val="Normal"/>
    <w:rsid w:val="007177CB"/>
    <w:pPr>
      <w:spacing w:after="240"/>
      <w:jc w:val="both"/>
    </w:pPr>
  </w:style>
  <w:style w:type="paragraph" w:customStyle="1" w:styleId="AbstHead">
    <w:name w:val="Abst Head"/>
    <w:basedOn w:val="Normal"/>
    <w:rsid w:val="007177CB"/>
    <w:pPr>
      <w:keepNext/>
      <w:spacing w:after="240"/>
    </w:pPr>
    <w:rPr>
      <w:b/>
      <w:caps/>
      <w:sz w:val="22"/>
    </w:rPr>
  </w:style>
  <w:style w:type="paragraph" w:customStyle="1" w:styleId="ConcHead">
    <w:name w:val="Conc Head"/>
    <w:basedOn w:val="Normal"/>
    <w:rsid w:val="007177CB"/>
    <w:pPr>
      <w:keepNext/>
      <w:spacing w:after="240"/>
    </w:pPr>
    <w:rPr>
      <w:b/>
      <w:caps/>
      <w:sz w:val="22"/>
    </w:rPr>
  </w:style>
  <w:style w:type="paragraph" w:customStyle="1" w:styleId="ReferHead">
    <w:name w:val="Refer Head"/>
    <w:basedOn w:val="Normal"/>
    <w:rsid w:val="007177CB"/>
    <w:pPr>
      <w:keepNext/>
      <w:spacing w:after="240"/>
    </w:pPr>
    <w:rPr>
      <w:b/>
      <w:caps/>
      <w:sz w:val="22"/>
    </w:rPr>
  </w:style>
  <w:style w:type="paragraph" w:customStyle="1" w:styleId="Copyright">
    <w:name w:val="Copyright"/>
    <w:basedOn w:val="Normal"/>
    <w:rsid w:val="007177CB"/>
    <w:pPr>
      <w:spacing w:after="960" w:line="200" w:lineRule="exact"/>
    </w:pPr>
    <w:rPr>
      <w:sz w:val="16"/>
    </w:rPr>
  </w:style>
  <w:style w:type="paragraph" w:customStyle="1" w:styleId="Head1">
    <w:name w:val="Head1"/>
    <w:basedOn w:val="Normal"/>
    <w:rsid w:val="007177CB"/>
    <w:pPr>
      <w:keepNext/>
      <w:spacing w:after="240"/>
    </w:pPr>
    <w:rPr>
      <w:b/>
      <w:caps/>
      <w:sz w:val="22"/>
    </w:rPr>
  </w:style>
  <w:style w:type="paragraph" w:customStyle="1" w:styleId="Appendix">
    <w:name w:val="Appendix"/>
    <w:basedOn w:val="Normal"/>
    <w:rsid w:val="007177CB"/>
    <w:pPr>
      <w:keepNext/>
      <w:spacing w:after="240"/>
    </w:pPr>
    <w:rPr>
      <w:b/>
      <w:caps/>
      <w:sz w:val="22"/>
    </w:rPr>
  </w:style>
  <w:style w:type="paragraph" w:styleId="Footer">
    <w:name w:val="footer"/>
    <w:basedOn w:val="Normal"/>
    <w:link w:val="FooterChar"/>
    <w:rsid w:val="007177CB"/>
    <w:pPr>
      <w:tabs>
        <w:tab w:val="center" w:pos="4320"/>
        <w:tab w:val="right" w:pos="8640"/>
      </w:tabs>
    </w:pPr>
  </w:style>
  <w:style w:type="character" w:customStyle="1" w:styleId="FooterChar">
    <w:name w:val="Footer Char"/>
    <w:basedOn w:val="DefaultParagraphFont"/>
    <w:link w:val="Footer"/>
    <w:rsid w:val="007177CB"/>
    <w:rPr>
      <w:rFonts w:ascii="Helvetica" w:eastAsia="Times New Roman" w:hAnsi="Helvetica" w:cs="Times New Roman"/>
      <w:sz w:val="20"/>
      <w:szCs w:val="20"/>
      <w:lang w:val="en-US"/>
    </w:rPr>
  </w:style>
  <w:style w:type="paragraph" w:styleId="Header">
    <w:name w:val="header"/>
    <w:basedOn w:val="Normal"/>
    <w:link w:val="HeaderChar"/>
    <w:rsid w:val="007177CB"/>
    <w:pPr>
      <w:tabs>
        <w:tab w:val="center" w:pos="4320"/>
        <w:tab w:val="right" w:pos="8640"/>
      </w:tabs>
    </w:pPr>
  </w:style>
  <w:style w:type="character" w:customStyle="1" w:styleId="HeaderChar">
    <w:name w:val="Header Char"/>
    <w:basedOn w:val="DefaultParagraphFont"/>
    <w:link w:val="Header"/>
    <w:rsid w:val="007177CB"/>
    <w:rPr>
      <w:rFonts w:ascii="Helvetica" w:eastAsia="Times New Roman" w:hAnsi="Helvetica" w:cs="Times New Roman"/>
      <w:sz w:val="20"/>
      <w:szCs w:val="20"/>
      <w:lang w:val="en-US"/>
    </w:rPr>
  </w:style>
  <w:style w:type="character" w:styleId="LineNumber">
    <w:name w:val="line number"/>
    <w:basedOn w:val="DefaultParagraphFont"/>
    <w:uiPriority w:val="99"/>
    <w:semiHidden/>
    <w:unhideWhenUsed/>
    <w:rsid w:val="007177CB"/>
  </w:style>
  <w:style w:type="paragraph" w:styleId="BalloonText">
    <w:name w:val="Balloon Text"/>
    <w:basedOn w:val="Normal"/>
    <w:link w:val="BalloonTextChar"/>
    <w:uiPriority w:val="99"/>
    <w:semiHidden/>
    <w:unhideWhenUsed/>
    <w:rsid w:val="007177CB"/>
    <w:rPr>
      <w:rFonts w:ascii="Tahoma" w:hAnsi="Tahoma" w:cs="Tahoma"/>
      <w:sz w:val="16"/>
      <w:szCs w:val="16"/>
    </w:rPr>
  </w:style>
  <w:style w:type="character" w:customStyle="1" w:styleId="BalloonTextChar">
    <w:name w:val="Balloon Text Char"/>
    <w:basedOn w:val="DefaultParagraphFont"/>
    <w:link w:val="BalloonText"/>
    <w:uiPriority w:val="99"/>
    <w:semiHidden/>
    <w:rsid w:val="007177CB"/>
    <w:rPr>
      <w:rFonts w:ascii="Tahoma" w:eastAsia="Times New Roman" w:hAnsi="Tahoma" w:cs="Tahoma"/>
      <w:sz w:val="16"/>
      <w:szCs w:val="16"/>
      <w:lang w:val="en-US"/>
    </w:rPr>
  </w:style>
  <w:style w:type="paragraph" w:customStyle="1" w:styleId="p2">
    <w:name w:val="p2"/>
    <w:basedOn w:val="Normal"/>
    <w:rsid w:val="007177CB"/>
    <w:rPr>
      <w:color w:val="000000"/>
      <w:sz w:val="17"/>
      <w:szCs w:val="17"/>
      <w:lang w:val="fr-FR" w:eastAsia="fr-FR"/>
    </w:rPr>
  </w:style>
  <w:style w:type="character" w:customStyle="1" w:styleId="Heading9Char">
    <w:name w:val="Heading 9 Char"/>
    <w:basedOn w:val="DefaultParagraphFont"/>
    <w:link w:val="Heading9"/>
    <w:uiPriority w:val="9"/>
    <w:semiHidden/>
    <w:rsid w:val="007177CB"/>
    <w:rPr>
      <w:rFonts w:eastAsiaTheme="majorEastAsia" w:cstheme="majorBidi"/>
      <w:color w:val="272727" w:themeColor="text1" w:themeTint="D8"/>
      <w:kern w:val="2"/>
      <w:sz w:val="24"/>
      <w:szCs w:val="24"/>
      <w14:ligatures w14:val="standardContextual"/>
    </w:rPr>
  </w:style>
  <w:style w:type="paragraph" w:customStyle="1" w:styleId="Bibliographie2">
    <w:name w:val="Bibliographie2"/>
    <w:basedOn w:val="Normal"/>
    <w:link w:val="BibliographyCar1"/>
    <w:rsid w:val="007177CB"/>
    <w:pPr>
      <w:tabs>
        <w:tab w:val="left" w:pos="380"/>
      </w:tabs>
      <w:ind w:left="384" w:hanging="384"/>
    </w:pPr>
    <w:rPr>
      <w:rFonts w:ascii="Times" w:hAnsi="Times"/>
      <w:color w:val="000000"/>
      <w:sz w:val="27"/>
      <w:szCs w:val="27"/>
      <w:lang w:val="fr-FR" w:eastAsia="fr-FR"/>
    </w:rPr>
  </w:style>
  <w:style w:type="character" w:customStyle="1" w:styleId="BibliographyCar1">
    <w:name w:val="Bibliography Car1"/>
    <w:basedOn w:val="DefaultParagraphFont"/>
    <w:link w:val="Bibliographie2"/>
    <w:rsid w:val="007177CB"/>
    <w:rPr>
      <w:rFonts w:ascii="Times" w:eastAsia="Times New Roman" w:hAnsi="Times" w:cs="Times New Roman"/>
      <w:color w:val="000000"/>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7</Pages>
  <Words>3963</Words>
  <Characters>22593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dc:creator>
  <cp:lastModifiedBy>SDI 1084</cp:lastModifiedBy>
  <cp:revision>23</cp:revision>
  <dcterms:created xsi:type="dcterms:W3CDTF">2025-04-23T11:04:00Z</dcterms:created>
  <dcterms:modified xsi:type="dcterms:W3CDTF">2025-05-12T07:11:00Z</dcterms:modified>
</cp:coreProperties>
</file>