
<file path=[Content_Types].xml><?xml version="1.0" encoding="utf-8"?>
<Types xmlns="http://schemas.openxmlformats.org/package/2006/content-types">
  <Default Extension="png" ContentType="image/png"/>
  <Default Extension="svg" ContentType="image/svg+xml"/>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B829B" w14:textId="2A3A41C0" w:rsidR="00B832B6" w:rsidRPr="00B832B6" w:rsidRDefault="00B832B6" w:rsidP="00B832B6">
      <w:pPr>
        <w:rPr>
          <w:rFonts w:ascii="Arial" w:hAnsi="Arial" w:cs="Arial"/>
          <w:b/>
          <w:bCs/>
          <w:i/>
          <w:iCs/>
          <w:sz w:val="24"/>
          <w:szCs w:val="24"/>
          <w:u w:val="single"/>
        </w:rPr>
      </w:pPr>
      <w:r w:rsidRPr="00B832B6">
        <w:rPr>
          <w:rFonts w:ascii="Arial" w:hAnsi="Arial" w:cs="Arial"/>
          <w:b/>
          <w:bCs/>
          <w:i/>
          <w:iCs/>
          <w:sz w:val="24"/>
          <w:szCs w:val="24"/>
          <w:u w:val="single"/>
        </w:rPr>
        <w:t>Original Research Article</w:t>
      </w:r>
    </w:p>
    <w:p w14:paraId="3479179E" w14:textId="08155C88" w:rsidR="00AE3945" w:rsidRPr="00DA7684" w:rsidRDefault="00DA7684" w:rsidP="00EB6D5A">
      <w:pPr>
        <w:jc w:val="right"/>
        <w:rPr>
          <w:rFonts w:ascii="Arial" w:hAnsi="Arial" w:cs="Arial"/>
          <w:b/>
          <w:bCs/>
          <w:sz w:val="36"/>
          <w:szCs w:val="36"/>
        </w:rPr>
      </w:pPr>
      <w:r w:rsidRPr="00DA7684">
        <w:rPr>
          <w:rFonts w:ascii="Arial" w:hAnsi="Arial" w:cs="Arial"/>
          <w:b/>
          <w:bCs/>
          <w:sz w:val="36"/>
          <w:szCs w:val="36"/>
        </w:rPr>
        <w:t xml:space="preserve">Optimized </w:t>
      </w:r>
      <w:proofErr w:type="spellStart"/>
      <w:r w:rsidRPr="00DA7684">
        <w:rPr>
          <w:rFonts w:ascii="Arial" w:hAnsi="Arial" w:cs="Arial"/>
          <w:b/>
          <w:bCs/>
          <w:sz w:val="36"/>
          <w:szCs w:val="36"/>
        </w:rPr>
        <w:t>nanosponges</w:t>
      </w:r>
      <w:proofErr w:type="spellEnd"/>
      <w:r w:rsidRPr="00DA7684">
        <w:rPr>
          <w:rFonts w:ascii="Arial" w:hAnsi="Arial" w:cs="Arial"/>
          <w:b/>
          <w:bCs/>
          <w:sz w:val="36"/>
          <w:szCs w:val="36"/>
        </w:rPr>
        <w:t xml:space="preserve"> for topical delivery of posaconazole: a promising approach for enhanced antifungal therapy</w:t>
      </w:r>
    </w:p>
    <w:p w14:paraId="27E24E55" w14:textId="6F2E7E62" w:rsidR="003968C3" w:rsidRPr="00725A3C" w:rsidRDefault="00AE7360" w:rsidP="002154E1">
      <w:pPr>
        <w:jc w:val="both"/>
        <w:rPr>
          <w:rFonts w:ascii="Arial" w:hAnsi="Arial" w:cs="Arial"/>
          <w:b/>
          <w:bCs/>
        </w:rPr>
      </w:pPr>
      <w:r>
        <w:rPr>
          <w:rFonts w:ascii="Arial" w:hAnsi="Arial" w:cs="Arial"/>
          <w:b/>
          <w:bCs/>
          <w:noProof/>
        </w:rPr>
        <mc:AlternateContent>
          <mc:Choice Requires="wps">
            <w:drawing>
              <wp:anchor distT="0" distB="0" distL="114300" distR="114300" simplePos="0" relativeHeight="251659264" behindDoc="0" locked="0" layoutInCell="1" allowOverlap="1" wp14:anchorId="65B36B76" wp14:editId="35AF33B8">
                <wp:simplePos x="0" y="0"/>
                <wp:positionH relativeFrom="column">
                  <wp:posOffset>-55232</wp:posOffset>
                </wp:positionH>
                <wp:positionV relativeFrom="paragraph">
                  <wp:posOffset>272023</wp:posOffset>
                </wp:positionV>
                <wp:extent cx="5854615" cy="4387893"/>
                <wp:effectExtent l="0" t="0" r="13335" b="12700"/>
                <wp:wrapNone/>
                <wp:docPr id="1000497519" name="Rectangle 1"/>
                <wp:cNvGraphicFramePr/>
                <a:graphic xmlns:a="http://schemas.openxmlformats.org/drawingml/2006/main">
                  <a:graphicData uri="http://schemas.microsoft.com/office/word/2010/wordprocessingShape">
                    <wps:wsp>
                      <wps:cNvSpPr/>
                      <wps:spPr>
                        <a:xfrm>
                          <a:off x="0" y="0"/>
                          <a:ext cx="5854615" cy="438789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0B213A1" id="Rectangle 1" o:spid="_x0000_s1026" style="position:absolute;margin-left:-4.35pt;margin-top:21.4pt;width:461pt;height:34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" filled="f" strokecolor="#09101d [484]" strokeweight="1pt"/>
            </w:pict>
          </mc:Fallback>
        </mc:AlternateContent>
      </w:r>
      <w:r w:rsidR="00725A3C" w:rsidRPr="00725A3C">
        <w:rPr>
          <w:rFonts w:ascii="Arial" w:hAnsi="Arial" w:cs="Arial"/>
          <w:b/>
          <w:bCs/>
        </w:rPr>
        <w:t>ABSTRACT</w:t>
      </w:r>
    </w:p>
    <w:p w14:paraId="74E0CF60" w14:textId="77777777" w:rsidR="001E1279" w:rsidRPr="001E1279" w:rsidRDefault="001E1279" w:rsidP="001E1279">
      <w:pPr>
        <w:jc w:val="both"/>
        <w:rPr>
          <w:rFonts w:ascii="Arial" w:hAnsi="Arial" w:cs="Arial"/>
          <w:sz w:val="20"/>
          <w:szCs w:val="20"/>
        </w:rPr>
      </w:pPr>
      <w:r w:rsidRPr="001E1279">
        <w:rPr>
          <w:rFonts w:ascii="Arial" w:hAnsi="Arial" w:cs="Arial"/>
          <w:b/>
          <w:bCs/>
        </w:rPr>
        <w:t>Aim:</w:t>
      </w:r>
      <w:r w:rsidRPr="001E1279">
        <w:rPr>
          <w:rFonts w:ascii="Arial" w:hAnsi="Arial" w:cs="Arial"/>
          <w:sz w:val="20"/>
          <w:szCs w:val="20"/>
        </w:rPr>
        <w:br/>
        <w:t>This study focuses on the development and evaluation of a transdermal drug delivery system (TDDS) for Vinpocetine to enhance its bioavailability and ensure sustained drug release, thereby improving therapeutic efficiency and patient adherence.</w:t>
      </w:r>
    </w:p>
    <w:p w14:paraId="6F807F85" w14:textId="77777777" w:rsidR="001E1279" w:rsidRPr="001E1279" w:rsidRDefault="001E1279" w:rsidP="001E1279">
      <w:pPr>
        <w:jc w:val="both"/>
        <w:rPr>
          <w:rFonts w:ascii="Arial" w:hAnsi="Arial" w:cs="Arial"/>
          <w:sz w:val="20"/>
          <w:szCs w:val="20"/>
        </w:rPr>
      </w:pPr>
      <w:r w:rsidRPr="001E1279">
        <w:rPr>
          <w:rFonts w:ascii="Arial" w:hAnsi="Arial" w:cs="Arial"/>
          <w:b/>
          <w:bCs/>
        </w:rPr>
        <w:t>Objective:</w:t>
      </w:r>
      <w:r w:rsidRPr="001E1279">
        <w:rPr>
          <w:rFonts w:ascii="Arial" w:hAnsi="Arial" w:cs="Arial"/>
          <w:sz w:val="20"/>
          <w:szCs w:val="20"/>
        </w:rPr>
        <w:br/>
        <w:t>The research objectives involve formulating matrix-type transdermal patches using various polymers, characterizing their physical and chemical properties, assessing drug release and permeation through in vitro and ex vivo methods, and evaluating the optimized patch for drug-excipient compatibility and dermal safety.</w:t>
      </w:r>
    </w:p>
    <w:p w14:paraId="2FA91604" w14:textId="77777777" w:rsidR="001E1279" w:rsidRPr="001E1279" w:rsidRDefault="001E1279" w:rsidP="001E1279">
      <w:pPr>
        <w:jc w:val="both"/>
        <w:rPr>
          <w:rFonts w:ascii="Arial" w:hAnsi="Arial" w:cs="Arial"/>
          <w:sz w:val="20"/>
          <w:szCs w:val="20"/>
        </w:rPr>
      </w:pPr>
      <w:r w:rsidRPr="001E1279">
        <w:rPr>
          <w:rFonts w:ascii="Arial" w:hAnsi="Arial" w:cs="Arial"/>
          <w:b/>
          <w:bCs/>
        </w:rPr>
        <w:t>Methodology:</w:t>
      </w:r>
      <w:r w:rsidRPr="001E1279">
        <w:rPr>
          <w:rFonts w:ascii="Arial" w:hAnsi="Arial" w:cs="Arial"/>
          <w:sz w:val="20"/>
          <w:szCs w:val="20"/>
        </w:rPr>
        <w:br/>
        <w:t xml:space="preserve">Transdermal patches were formulated via the solvent evaporation technique using polymers such as HPMC, EC, and Eudragit RS100 in different ratios, with PEG 400 as the plasticizer. The patches were </w:t>
      </w:r>
      <w:proofErr w:type="spellStart"/>
      <w:r w:rsidRPr="001E1279">
        <w:rPr>
          <w:rFonts w:ascii="Arial" w:hAnsi="Arial" w:cs="Arial"/>
          <w:sz w:val="20"/>
          <w:szCs w:val="20"/>
        </w:rPr>
        <w:t>analyzed</w:t>
      </w:r>
      <w:proofErr w:type="spellEnd"/>
      <w:r w:rsidRPr="001E1279">
        <w:rPr>
          <w:rFonts w:ascii="Arial" w:hAnsi="Arial" w:cs="Arial"/>
          <w:sz w:val="20"/>
          <w:szCs w:val="20"/>
        </w:rPr>
        <w:t xml:space="preserve"> for thickness, weight uniformity, folding endurance, tensile strength, moisture-related parameters, drug content, and </w:t>
      </w:r>
      <w:proofErr w:type="spellStart"/>
      <w:r w:rsidRPr="001E1279">
        <w:rPr>
          <w:rFonts w:ascii="Arial" w:hAnsi="Arial" w:cs="Arial"/>
          <w:sz w:val="20"/>
          <w:szCs w:val="20"/>
        </w:rPr>
        <w:t>pH.</w:t>
      </w:r>
      <w:proofErr w:type="spellEnd"/>
      <w:r w:rsidRPr="001E1279">
        <w:rPr>
          <w:rFonts w:ascii="Arial" w:hAnsi="Arial" w:cs="Arial"/>
          <w:sz w:val="20"/>
          <w:szCs w:val="20"/>
        </w:rPr>
        <w:t xml:space="preserve"> In vitro drug release was assessed using Franz diffusion cells, while ex vivo skin permeation was performed on rat abdominal skin. Compatibility was evaluated using FTIR spectroscopy, and skin irritation potential was examined using albino rats.</w:t>
      </w:r>
    </w:p>
    <w:p w14:paraId="04BE654F" w14:textId="77777777" w:rsidR="001E1279" w:rsidRPr="001E1279" w:rsidRDefault="001E1279" w:rsidP="001E1279">
      <w:pPr>
        <w:jc w:val="both"/>
        <w:rPr>
          <w:rFonts w:ascii="Arial" w:hAnsi="Arial" w:cs="Arial"/>
          <w:sz w:val="20"/>
          <w:szCs w:val="20"/>
        </w:rPr>
      </w:pPr>
      <w:r w:rsidRPr="001E1279">
        <w:rPr>
          <w:rFonts w:ascii="Arial" w:hAnsi="Arial" w:cs="Arial"/>
          <w:b/>
          <w:bCs/>
        </w:rPr>
        <w:t>Results:</w:t>
      </w:r>
      <w:r w:rsidRPr="001E1279">
        <w:rPr>
          <w:rFonts w:ascii="Arial" w:hAnsi="Arial" w:cs="Arial"/>
          <w:sz w:val="20"/>
          <w:szCs w:val="20"/>
        </w:rPr>
        <w:br/>
        <w:t>Formulation F3 (HPMC:EC 1:1) showed optimal characteristics, including good mechanical integrity, high drug loading (98.23%), and sustained release over 24 hours (94.67%). FTIR results confirmed no significant drug-polymer interaction. Ex vivo studies demonstrated prolonged permeation without skin irritation.</w:t>
      </w:r>
    </w:p>
    <w:p w14:paraId="1741309D" w14:textId="77777777" w:rsidR="001E1279" w:rsidRPr="001E1279" w:rsidRDefault="001E1279" w:rsidP="001E1279">
      <w:pPr>
        <w:jc w:val="both"/>
        <w:rPr>
          <w:rFonts w:ascii="Arial" w:hAnsi="Arial" w:cs="Arial"/>
          <w:sz w:val="20"/>
          <w:szCs w:val="20"/>
        </w:rPr>
      </w:pPr>
      <w:r w:rsidRPr="001E1279">
        <w:rPr>
          <w:rFonts w:ascii="Arial" w:hAnsi="Arial" w:cs="Arial"/>
          <w:b/>
          <w:bCs/>
        </w:rPr>
        <w:t>Conclusion:</w:t>
      </w:r>
      <w:r w:rsidRPr="001E1279">
        <w:rPr>
          <w:rFonts w:ascii="Arial" w:hAnsi="Arial" w:cs="Arial"/>
          <w:sz w:val="20"/>
          <w:szCs w:val="20"/>
        </w:rPr>
        <w:br/>
        <w:t xml:space="preserve">The developed Vinpocetine transdermal patch showed </w:t>
      </w:r>
      <w:proofErr w:type="spellStart"/>
      <w:r w:rsidRPr="001E1279">
        <w:rPr>
          <w:rFonts w:ascii="Arial" w:hAnsi="Arial" w:cs="Arial"/>
          <w:sz w:val="20"/>
          <w:szCs w:val="20"/>
        </w:rPr>
        <w:t>favorable</w:t>
      </w:r>
      <w:proofErr w:type="spellEnd"/>
      <w:r w:rsidRPr="001E1279">
        <w:rPr>
          <w:rFonts w:ascii="Arial" w:hAnsi="Arial" w:cs="Arial"/>
          <w:sz w:val="20"/>
          <w:szCs w:val="20"/>
        </w:rPr>
        <w:t xml:space="preserve"> release and safety profiles, suggesting its potential as an effective alternative to oral delivery by improving bioavailability and reducing the need for frequent administration.</w:t>
      </w:r>
    </w:p>
    <w:p w14:paraId="218D9CB6" w14:textId="7CD3A2F7" w:rsidR="00AE3945" w:rsidRPr="00495802" w:rsidRDefault="00495802" w:rsidP="002154E1">
      <w:pPr>
        <w:jc w:val="both"/>
        <w:rPr>
          <w:rFonts w:ascii="Arial" w:hAnsi="Arial" w:cs="Arial"/>
          <w:b/>
          <w:bCs/>
          <w:sz w:val="20"/>
          <w:szCs w:val="20"/>
        </w:rPr>
      </w:pPr>
      <w:r w:rsidRPr="00495802">
        <w:rPr>
          <w:rFonts w:ascii="Arial" w:hAnsi="Arial" w:cs="Arial"/>
          <w:b/>
          <w:bCs/>
          <w:sz w:val="20"/>
          <w:szCs w:val="20"/>
        </w:rPr>
        <w:t>1.</w:t>
      </w:r>
      <w:r>
        <w:rPr>
          <w:rFonts w:ascii="Arial" w:hAnsi="Arial" w:cs="Arial"/>
          <w:b/>
          <w:bCs/>
          <w:sz w:val="20"/>
          <w:szCs w:val="20"/>
        </w:rPr>
        <w:t xml:space="preserve"> </w:t>
      </w:r>
      <w:r w:rsidR="00454250" w:rsidRPr="00454250">
        <w:rPr>
          <w:rFonts w:ascii="Arial" w:hAnsi="Arial" w:cs="Arial"/>
          <w:b/>
          <w:bCs/>
        </w:rPr>
        <w:t>INTRODUCTION</w:t>
      </w:r>
    </w:p>
    <w:p w14:paraId="69693D52" w14:textId="77777777" w:rsidR="00167A26" w:rsidRPr="00CE5B93" w:rsidRDefault="00167A26" w:rsidP="002154E1">
      <w:pPr>
        <w:jc w:val="both"/>
        <w:rPr>
          <w:rFonts w:ascii="Arial" w:hAnsi="Arial" w:cs="Arial"/>
          <w:sz w:val="20"/>
          <w:szCs w:val="20"/>
        </w:rPr>
      </w:pPr>
      <w:r w:rsidRPr="00CE5B93">
        <w:rPr>
          <w:rFonts w:ascii="Arial" w:hAnsi="Arial" w:cs="Arial"/>
          <w:sz w:val="20"/>
          <w:szCs w:val="20"/>
        </w:rPr>
        <w:t>Topical fungal infections present a significant therapeutic challenge due to their recurrent nature, chronic course, and the poor skin penetration of antifungal agents like posaconazole (PCZ). PCZ, a triazole with broad-spectrum efficacy against dermatophytes and zygomycetes, suffers from low water solubility and limited skin absorption, placing it in BCS Class II, which restricts its effectiveness in topical applications (1,5).</w:t>
      </w:r>
    </w:p>
    <w:p w14:paraId="05626AE7" w14:textId="77777777" w:rsidR="00167A26" w:rsidRPr="00CE5B93" w:rsidRDefault="00167A26" w:rsidP="002154E1">
      <w:pPr>
        <w:jc w:val="both"/>
        <w:rPr>
          <w:rFonts w:ascii="Arial" w:hAnsi="Arial" w:cs="Arial"/>
          <w:sz w:val="20"/>
          <w:szCs w:val="20"/>
        </w:rPr>
      </w:pPr>
      <w:r w:rsidRPr="00CE5B93">
        <w:rPr>
          <w:rFonts w:ascii="Arial" w:hAnsi="Arial" w:cs="Arial"/>
          <w:sz w:val="20"/>
          <w:szCs w:val="20"/>
        </w:rPr>
        <w:t xml:space="preserve">To address these limitations, </w:t>
      </w:r>
      <w:proofErr w:type="spellStart"/>
      <w:r w:rsidRPr="00CE5B93">
        <w:rPr>
          <w:rFonts w:ascii="Arial" w:hAnsi="Arial" w:cs="Arial"/>
          <w:sz w:val="20"/>
          <w:szCs w:val="20"/>
        </w:rPr>
        <w:t>nanosponges</w:t>
      </w:r>
      <w:proofErr w:type="spellEnd"/>
      <w:r w:rsidRPr="00CE5B93">
        <w:rPr>
          <w:rFonts w:ascii="Arial" w:hAnsi="Arial" w:cs="Arial"/>
          <w:sz w:val="20"/>
          <w:szCs w:val="20"/>
        </w:rPr>
        <w:t xml:space="preserve"> (NS)—a novel class of porous polymer-based drug carriers—have demonstrated potential in enhancing drug solubility, modulating release kinetics, and improving dermal delivery. Their sponge-like architecture allows for high drug entrapment, resistance to degradation, and controlled drug release (2,6,7). Among various polymers, polycaprolactone (PCL) has gained particular attention for its excellent biocompatibility, biodegradability, and ability to facilitate both targeted and sustained drug delivery. These characteristics make PCL-based nanoparticles ideal for localized drug administration due to their prolonged circulation, effective tissue targeting, and reduced uptake by phagocytic cells (3,9).</w:t>
      </w:r>
    </w:p>
    <w:p w14:paraId="12D53FC0" w14:textId="77777777" w:rsidR="007C1EA1" w:rsidRPr="00CE5B93" w:rsidRDefault="007C1EA1" w:rsidP="002154E1">
      <w:pPr>
        <w:jc w:val="both"/>
        <w:rPr>
          <w:rFonts w:ascii="Arial" w:hAnsi="Arial" w:cs="Arial"/>
          <w:sz w:val="20"/>
          <w:szCs w:val="20"/>
        </w:rPr>
      </w:pPr>
      <w:r w:rsidRPr="00CE5B93">
        <w:rPr>
          <w:rFonts w:ascii="Arial" w:hAnsi="Arial" w:cs="Arial"/>
          <w:sz w:val="20"/>
          <w:szCs w:val="20"/>
        </w:rPr>
        <w:lastRenderedPageBreak/>
        <w:t xml:space="preserve">In this study, the solvent evaporation method was employed to develop </w:t>
      </w:r>
      <w:proofErr w:type="spellStart"/>
      <w:r w:rsidRPr="00CE5B93">
        <w:rPr>
          <w:rFonts w:ascii="Arial" w:hAnsi="Arial" w:cs="Arial"/>
          <w:sz w:val="20"/>
          <w:szCs w:val="20"/>
        </w:rPr>
        <w:t>posaconazole</w:t>
      </w:r>
      <w:proofErr w:type="spellEnd"/>
      <w:r w:rsidRPr="00CE5B93">
        <w:rPr>
          <w:rFonts w:ascii="Arial" w:hAnsi="Arial" w:cs="Arial"/>
          <w:sz w:val="20"/>
          <w:szCs w:val="20"/>
        </w:rPr>
        <w:t xml:space="preserve">-loaded </w:t>
      </w:r>
      <w:proofErr w:type="spellStart"/>
      <w:r w:rsidRPr="00CE5B93">
        <w:rPr>
          <w:rFonts w:ascii="Arial" w:hAnsi="Arial" w:cs="Arial"/>
          <w:sz w:val="20"/>
          <w:szCs w:val="20"/>
        </w:rPr>
        <w:t>nanosponges</w:t>
      </w:r>
      <w:proofErr w:type="spellEnd"/>
      <w:r w:rsidRPr="00CE5B93">
        <w:rPr>
          <w:rFonts w:ascii="Arial" w:hAnsi="Arial" w:cs="Arial"/>
          <w:sz w:val="20"/>
          <w:szCs w:val="20"/>
        </w:rPr>
        <w:t xml:space="preserve"> using polycaprolactone (PCL) as the polymeric base. This technique, recognized for producing nanocarriers with controlled morphology and particle size, involves emulsifying a drug-polymer solution in an organic solvent into an aqueous phase containing a stabilizer, followed by the evaporation of the solvent to form </w:t>
      </w:r>
      <w:proofErr w:type="spellStart"/>
      <w:r w:rsidRPr="00CE5B93">
        <w:rPr>
          <w:rFonts w:ascii="Arial" w:hAnsi="Arial" w:cs="Arial"/>
          <w:sz w:val="20"/>
          <w:szCs w:val="20"/>
        </w:rPr>
        <w:t>nanosponges</w:t>
      </w:r>
      <w:proofErr w:type="spellEnd"/>
      <w:r w:rsidRPr="00CE5B93">
        <w:rPr>
          <w:rFonts w:ascii="Arial" w:hAnsi="Arial" w:cs="Arial"/>
          <w:sz w:val="20"/>
          <w:szCs w:val="20"/>
        </w:rPr>
        <w:t xml:space="preserve"> (8,10). The resulting drug-loaded </w:t>
      </w:r>
      <w:proofErr w:type="spellStart"/>
      <w:r w:rsidRPr="00CE5B93">
        <w:rPr>
          <w:rFonts w:ascii="Arial" w:hAnsi="Arial" w:cs="Arial"/>
          <w:sz w:val="20"/>
          <w:szCs w:val="20"/>
        </w:rPr>
        <w:t>nanosponges</w:t>
      </w:r>
      <w:proofErr w:type="spellEnd"/>
      <w:r w:rsidRPr="00CE5B93">
        <w:rPr>
          <w:rFonts w:ascii="Arial" w:hAnsi="Arial" w:cs="Arial"/>
          <w:sz w:val="20"/>
          <w:szCs w:val="20"/>
        </w:rPr>
        <w:t xml:space="preserve"> were subsequently incorporated into a Carbopol 934-based hydrogel, which enhances skin adherence, facilitates ease of application, and promotes better patient compliance (1,4).</w:t>
      </w:r>
    </w:p>
    <w:p w14:paraId="19FB54F6" w14:textId="77777777" w:rsidR="007C1EA1" w:rsidRPr="00CE5B93" w:rsidRDefault="007C1EA1" w:rsidP="002154E1">
      <w:pPr>
        <w:jc w:val="both"/>
        <w:rPr>
          <w:rFonts w:ascii="Arial" w:hAnsi="Arial" w:cs="Arial"/>
          <w:sz w:val="20"/>
          <w:szCs w:val="20"/>
        </w:rPr>
      </w:pPr>
      <w:r w:rsidRPr="00CE5B93">
        <w:rPr>
          <w:rFonts w:ascii="Arial" w:hAnsi="Arial" w:cs="Arial"/>
          <w:sz w:val="20"/>
          <w:szCs w:val="20"/>
        </w:rPr>
        <w:t xml:space="preserve">Comprehensive evaluations were carried out to study the </w:t>
      </w:r>
      <w:proofErr w:type="spellStart"/>
      <w:r w:rsidRPr="00CE5B93">
        <w:rPr>
          <w:rFonts w:ascii="Arial" w:hAnsi="Arial" w:cs="Arial"/>
          <w:sz w:val="20"/>
          <w:szCs w:val="20"/>
        </w:rPr>
        <w:t>nanosponge</w:t>
      </w:r>
      <w:proofErr w:type="spellEnd"/>
      <w:r w:rsidRPr="00CE5B93">
        <w:rPr>
          <w:rFonts w:ascii="Arial" w:hAnsi="Arial" w:cs="Arial"/>
          <w:sz w:val="20"/>
          <w:szCs w:val="20"/>
        </w:rPr>
        <w:t xml:space="preserve"> gel’s physicochemical properties, drug release </w:t>
      </w:r>
      <w:proofErr w:type="spellStart"/>
      <w:r w:rsidRPr="00CE5B93">
        <w:rPr>
          <w:rFonts w:ascii="Arial" w:hAnsi="Arial" w:cs="Arial"/>
          <w:sz w:val="20"/>
          <w:szCs w:val="20"/>
        </w:rPr>
        <w:t>behavior</w:t>
      </w:r>
      <w:proofErr w:type="spellEnd"/>
      <w:r w:rsidRPr="00CE5B93">
        <w:rPr>
          <w:rFonts w:ascii="Arial" w:hAnsi="Arial" w:cs="Arial"/>
          <w:sz w:val="20"/>
          <w:szCs w:val="20"/>
        </w:rPr>
        <w:t>, and potential for sustained antifungal activity. This formulation approach aims to overcome the limitations of conventional topical treatments and provide a more effective and targeted therapy for fungal skin infections (10).</w:t>
      </w:r>
    </w:p>
    <w:p w14:paraId="0CA8C1F5" w14:textId="23E801E1" w:rsidR="00A6173B" w:rsidRPr="00CE5B93" w:rsidRDefault="00A6173B" w:rsidP="002154E1">
      <w:pPr>
        <w:jc w:val="both"/>
        <w:rPr>
          <w:rFonts w:ascii="Arial" w:hAnsi="Arial" w:cs="Arial"/>
          <w:sz w:val="20"/>
          <w:szCs w:val="20"/>
        </w:rPr>
      </w:pPr>
      <w:r w:rsidRPr="00CE5B93">
        <w:rPr>
          <w:rFonts w:ascii="Arial" w:hAnsi="Arial" w:cs="Arial"/>
          <w:noProof/>
          <w:sz w:val="20"/>
          <w:szCs w:val="20"/>
        </w:rPr>
        <w:drawing>
          <wp:inline distT="0" distB="0" distL="0" distR="0" wp14:anchorId="169CD208" wp14:editId="4878D0D0">
            <wp:extent cx="3152776" cy="1106805"/>
            <wp:effectExtent l="0" t="0" r="9525" b="0"/>
            <wp:docPr id="121010201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02019" name=""/>
                    <pic:cNvPicPr/>
                  </pic:nvPicPr>
                  <pic:blipFill>
                    <a:blip r:embed="rId7">
                      <a:extLst>
                        <a:ext uri="{96DAC541-7B7A-43D3-8B79-37D633B846F1}">
                          <asvg:svgBlip xmlns:asvg="http://schemas.microsoft.com/office/drawing/2016/SVG/main" r:embed="rId8"/>
                        </a:ext>
                      </a:extLst>
                    </a:blip>
                    <a:stretch>
                      <a:fillRect/>
                    </a:stretch>
                  </pic:blipFill>
                  <pic:spPr>
                    <a:xfrm>
                      <a:off x="0" y="0"/>
                      <a:ext cx="3206756" cy="1125755"/>
                    </a:xfrm>
                    <a:prstGeom prst="rect">
                      <a:avLst/>
                    </a:prstGeom>
                  </pic:spPr>
                </pic:pic>
              </a:graphicData>
            </a:graphic>
          </wp:inline>
        </w:drawing>
      </w:r>
    </w:p>
    <w:p w14:paraId="4BC1B4DC" w14:textId="2C9443C9" w:rsidR="00AE3945" w:rsidRPr="00CE5B93" w:rsidRDefault="00B21106" w:rsidP="002154E1">
      <w:pPr>
        <w:jc w:val="both"/>
        <w:rPr>
          <w:rFonts w:ascii="Arial" w:hAnsi="Arial" w:cs="Arial"/>
          <w:sz w:val="20"/>
          <w:szCs w:val="20"/>
        </w:rPr>
      </w:pPr>
      <w:r w:rsidRPr="00CE5B93">
        <w:rPr>
          <w:rFonts w:ascii="Arial" w:hAnsi="Arial" w:cs="Arial"/>
          <w:sz w:val="20"/>
          <w:szCs w:val="20"/>
        </w:rPr>
        <w:t xml:space="preserve">Figure 1: </w:t>
      </w:r>
      <w:r w:rsidR="002A2FE1" w:rsidRPr="00CE5B93">
        <w:rPr>
          <w:rFonts w:ascii="Arial" w:hAnsi="Arial" w:cs="Arial"/>
          <w:sz w:val="20"/>
          <w:szCs w:val="20"/>
        </w:rPr>
        <w:t>Nano sponges</w:t>
      </w:r>
      <w:r w:rsidRPr="00CE5B93">
        <w:rPr>
          <w:rFonts w:ascii="Arial" w:hAnsi="Arial" w:cs="Arial"/>
          <w:sz w:val="20"/>
          <w:szCs w:val="20"/>
        </w:rPr>
        <w:t xml:space="preserve"> encapsulating drug</w:t>
      </w:r>
    </w:p>
    <w:tbl>
      <w:tblPr>
        <w:tblStyle w:val="TableGrid"/>
        <w:tblW w:w="0" w:type="auto"/>
        <w:jc w:val="center"/>
        <w:tblLook w:val="04A0" w:firstRow="1" w:lastRow="0" w:firstColumn="1" w:lastColumn="0" w:noHBand="0" w:noVBand="1"/>
      </w:tblPr>
      <w:tblGrid>
        <w:gridCol w:w="1111"/>
        <w:gridCol w:w="1112"/>
        <w:gridCol w:w="1111"/>
        <w:gridCol w:w="1091"/>
        <w:gridCol w:w="1103"/>
        <w:gridCol w:w="1398"/>
        <w:gridCol w:w="1045"/>
      </w:tblGrid>
      <w:tr w:rsidR="00860AA0" w:rsidRPr="00CE5B93" w14:paraId="6B4C7385" w14:textId="77777777" w:rsidTr="00431A47">
        <w:trPr>
          <w:jc w:val="center"/>
        </w:trPr>
        <w:tc>
          <w:tcPr>
            <w:tcW w:w="1111" w:type="dxa"/>
          </w:tcPr>
          <w:p w14:paraId="3999DA68" w14:textId="22998D16" w:rsidR="00860AA0" w:rsidRPr="00CE5B93" w:rsidRDefault="00860AA0" w:rsidP="002154E1">
            <w:pPr>
              <w:jc w:val="both"/>
              <w:rPr>
                <w:rFonts w:ascii="Arial" w:hAnsi="Arial" w:cs="Arial"/>
                <w:sz w:val="20"/>
                <w:szCs w:val="20"/>
              </w:rPr>
            </w:pPr>
            <w:r w:rsidRPr="00CE5B93">
              <w:rPr>
                <w:rFonts w:ascii="Arial" w:hAnsi="Arial" w:cs="Arial"/>
                <w:sz w:val="20"/>
                <w:szCs w:val="20"/>
              </w:rPr>
              <w:t>Formula</w:t>
            </w:r>
          </w:p>
        </w:tc>
        <w:tc>
          <w:tcPr>
            <w:tcW w:w="1112" w:type="dxa"/>
          </w:tcPr>
          <w:p w14:paraId="5E5C95DB" w14:textId="6FB468DC" w:rsidR="00860AA0" w:rsidRPr="00CE5B93" w:rsidRDefault="002A2FE1" w:rsidP="002154E1">
            <w:pPr>
              <w:jc w:val="both"/>
              <w:rPr>
                <w:rFonts w:ascii="Arial" w:hAnsi="Arial" w:cs="Arial"/>
                <w:sz w:val="20"/>
                <w:szCs w:val="20"/>
              </w:rPr>
            </w:pPr>
            <w:r w:rsidRPr="00CE5B93">
              <w:rPr>
                <w:rFonts w:ascii="Arial" w:hAnsi="Arial" w:cs="Arial"/>
                <w:sz w:val="20"/>
                <w:szCs w:val="20"/>
              </w:rPr>
              <w:t>PCZ (</w:t>
            </w:r>
            <w:r w:rsidR="00860AA0" w:rsidRPr="00CE5B93">
              <w:rPr>
                <w:rFonts w:ascii="Arial" w:hAnsi="Arial" w:cs="Arial"/>
                <w:sz w:val="20"/>
                <w:szCs w:val="20"/>
              </w:rPr>
              <w:t>mg)</w:t>
            </w:r>
          </w:p>
        </w:tc>
        <w:tc>
          <w:tcPr>
            <w:tcW w:w="1111" w:type="dxa"/>
          </w:tcPr>
          <w:p w14:paraId="20EDD6BD" w14:textId="0999EC3D" w:rsidR="00860AA0" w:rsidRPr="00CE5B93" w:rsidRDefault="002A2FE1" w:rsidP="002154E1">
            <w:pPr>
              <w:jc w:val="both"/>
              <w:rPr>
                <w:rFonts w:ascii="Arial" w:hAnsi="Arial" w:cs="Arial"/>
                <w:sz w:val="20"/>
                <w:szCs w:val="20"/>
              </w:rPr>
            </w:pPr>
            <w:r w:rsidRPr="00CE5B93">
              <w:rPr>
                <w:rFonts w:ascii="Arial" w:hAnsi="Arial" w:cs="Arial"/>
                <w:sz w:val="20"/>
                <w:szCs w:val="20"/>
              </w:rPr>
              <w:t>PCL (</w:t>
            </w:r>
            <w:r w:rsidR="00860AA0" w:rsidRPr="00CE5B93">
              <w:rPr>
                <w:rFonts w:ascii="Arial" w:hAnsi="Arial" w:cs="Arial"/>
                <w:sz w:val="20"/>
                <w:szCs w:val="20"/>
              </w:rPr>
              <w:t>mg)</w:t>
            </w:r>
          </w:p>
        </w:tc>
        <w:tc>
          <w:tcPr>
            <w:tcW w:w="1091" w:type="dxa"/>
          </w:tcPr>
          <w:p w14:paraId="5F53E4E1" w14:textId="1B10AAF8" w:rsidR="00860AA0" w:rsidRPr="00CE5B93" w:rsidRDefault="00860AA0" w:rsidP="002154E1">
            <w:pPr>
              <w:jc w:val="both"/>
              <w:rPr>
                <w:rFonts w:ascii="Arial" w:hAnsi="Arial" w:cs="Arial"/>
                <w:sz w:val="20"/>
                <w:szCs w:val="20"/>
              </w:rPr>
            </w:pPr>
            <w:r w:rsidRPr="00CE5B93">
              <w:rPr>
                <w:rFonts w:ascii="Arial" w:hAnsi="Arial" w:cs="Arial"/>
                <w:sz w:val="20"/>
                <w:szCs w:val="20"/>
              </w:rPr>
              <w:t>PVA%</w:t>
            </w:r>
          </w:p>
        </w:tc>
        <w:tc>
          <w:tcPr>
            <w:tcW w:w="1103" w:type="dxa"/>
          </w:tcPr>
          <w:p w14:paraId="30806BDF" w14:textId="167C8109" w:rsidR="00860AA0" w:rsidRPr="00CE5B93" w:rsidRDefault="00860AA0" w:rsidP="002154E1">
            <w:pPr>
              <w:jc w:val="both"/>
              <w:rPr>
                <w:rFonts w:ascii="Arial" w:hAnsi="Arial" w:cs="Arial"/>
                <w:sz w:val="20"/>
                <w:szCs w:val="20"/>
              </w:rPr>
            </w:pPr>
            <w:r w:rsidRPr="00CE5B93">
              <w:rPr>
                <w:rFonts w:ascii="Arial" w:hAnsi="Arial" w:cs="Arial"/>
                <w:sz w:val="20"/>
                <w:szCs w:val="20"/>
              </w:rPr>
              <w:t>Stirring Speed (rpm)</w:t>
            </w:r>
          </w:p>
        </w:tc>
        <w:tc>
          <w:tcPr>
            <w:tcW w:w="1398" w:type="dxa"/>
          </w:tcPr>
          <w:p w14:paraId="49B72593" w14:textId="71089043" w:rsidR="00860AA0" w:rsidRPr="00CE5B93" w:rsidRDefault="00860AA0" w:rsidP="002154E1">
            <w:pPr>
              <w:jc w:val="both"/>
              <w:rPr>
                <w:rFonts w:ascii="Arial" w:hAnsi="Arial" w:cs="Arial"/>
                <w:sz w:val="20"/>
                <w:szCs w:val="20"/>
              </w:rPr>
            </w:pPr>
            <w:r w:rsidRPr="00CE5B93">
              <w:rPr>
                <w:rFonts w:ascii="Arial" w:hAnsi="Arial" w:cs="Arial"/>
                <w:sz w:val="20"/>
                <w:szCs w:val="20"/>
              </w:rPr>
              <w:t>DCM:</w:t>
            </w:r>
            <w:r w:rsidR="002A2FE1" w:rsidRPr="00CE5B93">
              <w:rPr>
                <w:rFonts w:ascii="Arial" w:hAnsi="Arial" w:cs="Arial"/>
                <w:sz w:val="20"/>
                <w:szCs w:val="20"/>
              </w:rPr>
              <w:t xml:space="preserve"> </w:t>
            </w:r>
            <w:r w:rsidRPr="00CE5B93">
              <w:rPr>
                <w:rFonts w:ascii="Arial" w:hAnsi="Arial" w:cs="Arial"/>
                <w:sz w:val="20"/>
                <w:szCs w:val="20"/>
              </w:rPr>
              <w:t>Ethanol (mL) 3:1</w:t>
            </w:r>
          </w:p>
        </w:tc>
        <w:tc>
          <w:tcPr>
            <w:tcW w:w="1045" w:type="dxa"/>
          </w:tcPr>
          <w:p w14:paraId="122950E5" w14:textId="7DA13C9A" w:rsidR="00860AA0" w:rsidRPr="00CE5B93" w:rsidRDefault="002A2FE1" w:rsidP="002154E1">
            <w:pPr>
              <w:jc w:val="both"/>
              <w:rPr>
                <w:rFonts w:ascii="Arial" w:hAnsi="Arial" w:cs="Arial"/>
                <w:sz w:val="20"/>
                <w:szCs w:val="20"/>
              </w:rPr>
            </w:pPr>
            <w:r w:rsidRPr="00CE5B93">
              <w:rPr>
                <w:rFonts w:ascii="Arial" w:hAnsi="Arial" w:cs="Arial"/>
                <w:sz w:val="20"/>
                <w:szCs w:val="20"/>
              </w:rPr>
              <w:t>DW (</w:t>
            </w:r>
            <w:r w:rsidR="00860AA0" w:rsidRPr="00CE5B93">
              <w:rPr>
                <w:rFonts w:ascii="Arial" w:hAnsi="Arial" w:cs="Arial"/>
                <w:sz w:val="20"/>
                <w:szCs w:val="20"/>
              </w:rPr>
              <w:t>ml)</w:t>
            </w:r>
          </w:p>
        </w:tc>
      </w:tr>
      <w:tr w:rsidR="00C747CA" w:rsidRPr="00CE5B93" w14:paraId="0826529B" w14:textId="77777777" w:rsidTr="00431A47">
        <w:trPr>
          <w:jc w:val="center"/>
        </w:trPr>
        <w:tc>
          <w:tcPr>
            <w:tcW w:w="1111" w:type="dxa"/>
          </w:tcPr>
          <w:p w14:paraId="6EF8A329" w14:textId="71CA1681" w:rsidR="00C747CA" w:rsidRPr="00CE5B93" w:rsidRDefault="00C747CA" w:rsidP="002154E1">
            <w:pPr>
              <w:jc w:val="both"/>
              <w:rPr>
                <w:rFonts w:ascii="Arial" w:hAnsi="Arial" w:cs="Arial"/>
                <w:sz w:val="20"/>
                <w:szCs w:val="20"/>
              </w:rPr>
            </w:pPr>
            <w:r w:rsidRPr="00CE5B93">
              <w:rPr>
                <w:rFonts w:ascii="Arial" w:hAnsi="Arial" w:cs="Arial"/>
                <w:sz w:val="20"/>
                <w:szCs w:val="20"/>
              </w:rPr>
              <w:t>F1</w:t>
            </w:r>
          </w:p>
        </w:tc>
        <w:tc>
          <w:tcPr>
            <w:tcW w:w="1112" w:type="dxa"/>
          </w:tcPr>
          <w:p w14:paraId="539840D2" w14:textId="286AAC43" w:rsidR="00C747CA" w:rsidRPr="00CE5B93" w:rsidRDefault="00C747CA" w:rsidP="002154E1">
            <w:pPr>
              <w:jc w:val="both"/>
              <w:rPr>
                <w:rFonts w:ascii="Arial" w:hAnsi="Arial" w:cs="Arial"/>
                <w:sz w:val="20"/>
                <w:szCs w:val="20"/>
              </w:rPr>
            </w:pPr>
            <w:r w:rsidRPr="00CE5B93">
              <w:rPr>
                <w:rFonts w:ascii="Arial" w:hAnsi="Arial" w:cs="Arial"/>
                <w:sz w:val="20"/>
                <w:szCs w:val="20"/>
              </w:rPr>
              <w:t>500</w:t>
            </w:r>
          </w:p>
        </w:tc>
        <w:tc>
          <w:tcPr>
            <w:tcW w:w="1111" w:type="dxa"/>
          </w:tcPr>
          <w:p w14:paraId="12FBABE8" w14:textId="6076B3C7" w:rsidR="00C747CA" w:rsidRPr="00CE5B93" w:rsidRDefault="00C747CA" w:rsidP="002154E1">
            <w:pPr>
              <w:jc w:val="both"/>
              <w:rPr>
                <w:rFonts w:ascii="Arial" w:hAnsi="Arial" w:cs="Arial"/>
                <w:sz w:val="20"/>
                <w:szCs w:val="20"/>
              </w:rPr>
            </w:pPr>
            <w:r w:rsidRPr="00CE5B93">
              <w:rPr>
                <w:rFonts w:ascii="Arial" w:hAnsi="Arial" w:cs="Arial"/>
                <w:sz w:val="20"/>
                <w:szCs w:val="20"/>
              </w:rPr>
              <w:t>300</w:t>
            </w:r>
          </w:p>
        </w:tc>
        <w:tc>
          <w:tcPr>
            <w:tcW w:w="1091" w:type="dxa"/>
          </w:tcPr>
          <w:p w14:paraId="5BFEA12C" w14:textId="5A0850DB" w:rsidR="00C747CA" w:rsidRPr="00CE5B93" w:rsidRDefault="00C747CA" w:rsidP="002154E1">
            <w:pPr>
              <w:jc w:val="both"/>
              <w:rPr>
                <w:rFonts w:ascii="Arial" w:hAnsi="Arial" w:cs="Arial"/>
                <w:sz w:val="20"/>
                <w:szCs w:val="20"/>
              </w:rPr>
            </w:pPr>
            <w:r w:rsidRPr="00CE5B93">
              <w:rPr>
                <w:rFonts w:ascii="Arial" w:hAnsi="Arial" w:cs="Arial"/>
                <w:sz w:val="20"/>
                <w:szCs w:val="20"/>
              </w:rPr>
              <w:t>0.6</w:t>
            </w:r>
          </w:p>
        </w:tc>
        <w:tc>
          <w:tcPr>
            <w:tcW w:w="1103" w:type="dxa"/>
          </w:tcPr>
          <w:p w14:paraId="5279F02C" w14:textId="329434E8" w:rsidR="00C747CA" w:rsidRPr="00CE5B93" w:rsidRDefault="00C747CA" w:rsidP="002154E1">
            <w:pPr>
              <w:jc w:val="both"/>
              <w:rPr>
                <w:rFonts w:ascii="Arial" w:hAnsi="Arial" w:cs="Arial"/>
                <w:sz w:val="20"/>
                <w:szCs w:val="20"/>
              </w:rPr>
            </w:pPr>
            <w:r w:rsidRPr="00CE5B93">
              <w:rPr>
                <w:rFonts w:ascii="Arial" w:hAnsi="Arial" w:cs="Arial"/>
                <w:sz w:val="20"/>
                <w:szCs w:val="20"/>
              </w:rPr>
              <w:t>1500</w:t>
            </w:r>
          </w:p>
        </w:tc>
        <w:tc>
          <w:tcPr>
            <w:tcW w:w="1398" w:type="dxa"/>
          </w:tcPr>
          <w:p w14:paraId="2AFFA3FF" w14:textId="51AC29DD" w:rsidR="00C747CA" w:rsidRPr="00CE5B93" w:rsidRDefault="00C747CA" w:rsidP="002154E1">
            <w:pPr>
              <w:jc w:val="both"/>
              <w:rPr>
                <w:rFonts w:ascii="Arial" w:hAnsi="Arial" w:cs="Arial"/>
                <w:sz w:val="20"/>
                <w:szCs w:val="20"/>
              </w:rPr>
            </w:pPr>
            <w:r w:rsidRPr="00CE5B93">
              <w:rPr>
                <w:rFonts w:ascii="Arial" w:hAnsi="Arial" w:cs="Arial"/>
                <w:sz w:val="20"/>
                <w:szCs w:val="20"/>
              </w:rPr>
              <w:t>20</w:t>
            </w:r>
          </w:p>
        </w:tc>
        <w:tc>
          <w:tcPr>
            <w:tcW w:w="1045" w:type="dxa"/>
          </w:tcPr>
          <w:p w14:paraId="2C434993" w14:textId="6AC29C9B" w:rsidR="00C747CA" w:rsidRPr="00CE5B93" w:rsidRDefault="00C747CA" w:rsidP="002154E1">
            <w:pPr>
              <w:jc w:val="both"/>
              <w:rPr>
                <w:rFonts w:ascii="Arial" w:hAnsi="Arial" w:cs="Arial"/>
                <w:sz w:val="20"/>
                <w:szCs w:val="20"/>
              </w:rPr>
            </w:pPr>
            <w:r w:rsidRPr="00CE5B93">
              <w:rPr>
                <w:rFonts w:ascii="Arial" w:hAnsi="Arial" w:cs="Arial"/>
                <w:sz w:val="20"/>
                <w:szCs w:val="20"/>
              </w:rPr>
              <w:t>100</w:t>
            </w:r>
          </w:p>
        </w:tc>
      </w:tr>
      <w:tr w:rsidR="00C747CA" w:rsidRPr="00CE5B93" w14:paraId="261A7ADF" w14:textId="77777777" w:rsidTr="00431A47">
        <w:trPr>
          <w:jc w:val="center"/>
        </w:trPr>
        <w:tc>
          <w:tcPr>
            <w:tcW w:w="1111" w:type="dxa"/>
          </w:tcPr>
          <w:p w14:paraId="413BB6A9" w14:textId="371D4BF9" w:rsidR="00C747CA" w:rsidRPr="00CE5B93" w:rsidRDefault="00C747CA" w:rsidP="002154E1">
            <w:pPr>
              <w:jc w:val="both"/>
              <w:rPr>
                <w:rFonts w:ascii="Arial" w:hAnsi="Arial" w:cs="Arial"/>
                <w:sz w:val="20"/>
                <w:szCs w:val="20"/>
              </w:rPr>
            </w:pPr>
            <w:r w:rsidRPr="00CE5B93">
              <w:rPr>
                <w:rFonts w:ascii="Arial" w:hAnsi="Arial" w:cs="Arial"/>
                <w:sz w:val="20"/>
                <w:szCs w:val="20"/>
              </w:rPr>
              <w:t>F2</w:t>
            </w:r>
          </w:p>
        </w:tc>
        <w:tc>
          <w:tcPr>
            <w:tcW w:w="1112" w:type="dxa"/>
          </w:tcPr>
          <w:p w14:paraId="2ADB4DA2" w14:textId="6EAFDF74" w:rsidR="00C747CA" w:rsidRPr="00CE5B93" w:rsidRDefault="00C747CA" w:rsidP="002154E1">
            <w:pPr>
              <w:jc w:val="both"/>
              <w:rPr>
                <w:rFonts w:ascii="Arial" w:hAnsi="Arial" w:cs="Arial"/>
                <w:sz w:val="20"/>
                <w:szCs w:val="20"/>
              </w:rPr>
            </w:pPr>
            <w:r w:rsidRPr="00CE5B93">
              <w:rPr>
                <w:rFonts w:ascii="Arial" w:hAnsi="Arial" w:cs="Arial"/>
                <w:sz w:val="20"/>
                <w:szCs w:val="20"/>
              </w:rPr>
              <w:t>500</w:t>
            </w:r>
          </w:p>
        </w:tc>
        <w:tc>
          <w:tcPr>
            <w:tcW w:w="1111" w:type="dxa"/>
          </w:tcPr>
          <w:p w14:paraId="3A3E0A55" w14:textId="443AE4F7" w:rsidR="00C747CA" w:rsidRPr="00CE5B93" w:rsidRDefault="00C747CA" w:rsidP="002154E1">
            <w:pPr>
              <w:jc w:val="both"/>
              <w:rPr>
                <w:rFonts w:ascii="Arial" w:hAnsi="Arial" w:cs="Arial"/>
                <w:sz w:val="20"/>
                <w:szCs w:val="20"/>
              </w:rPr>
            </w:pPr>
            <w:r w:rsidRPr="00CE5B93">
              <w:rPr>
                <w:rFonts w:ascii="Arial" w:hAnsi="Arial" w:cs="Arial"/>
                <w:sz w:val="20"/>
                <w:szCs w:val="20"/>
              </w:rPr>
              <w:t>100</w:t>
            </w:r>
          </w:p>
        </w:tc>
        <w:tc>
          <w:tcPr>
            <w:tcW w:w="1091" w:type="dxa"/>
          </w:tcPr>
          <w:p w14:paraId="791F277B" w14:textId="3F953851" w:rsidR="00C747CA" w:rsidRPr="00CE5B93" w:rsidRDefault="00C747CA" w:rsidP="002154E1">
            <w:pPr>
              <w:jc w:val="both"/>
              <w:rPr>
                <w:rFonts w:ascii="Arial" w:hAnsi="Arial" w:cs="Arial"/>
                <w:sz w:val="20"/>
                <w:szCs w:val="20"/>
              </w:rPr>
            </w:pPr>
            <w:r w:rsidRPr="00CE5B93">
              <w:rPr>
                <w:rFonts w:ascii="Arial" w:hAnsi="Arial" w:cs="Arial"/>
                <w:sz w:val="20"/>
                <w:szCs w:val="20"/>
              </w:rPr>
              <w:t>0.75</w:t>
            </w:r>
          </w:p>
        </w:tc>
        <w:tc>
          <w:tcPr>
            <w:tcW w:w="1103" w:type="dxa"/>
          </w:tcPr>
          <w:p w14:paraId="3B3A9A43" w14:textId="7B2860BE" w:rsidR="00C747CA" w:rsidRPr="00CE5B93" w:rsidRDefault="00C747CA" w:rsidP="002154E1">
            <w:pPr>
              <w:jc w:val="both"/>
              <w:rPr>
                <w:rFonts w:ascii="Arial" w:hAnsi="Arial" w:cs="Arial"/>
                <w:sz w:val="20"/>
                <w:szCs w:val="20"/>
              </w:rPr>
            </w:pPr>
            <w:r w:rsidRPr="00CE5B93">
              <w:rPr>
                <w:rFonts w:ascii="Arial" w:hAnsi="Arial" w:cs="Arial"/>
                <w:sz w:val="20"/>
                <w:szCs w:val="20"/>
              </w:rPr>
              <w:t>1200</w:t>
            </w:r>
          </w:p>
        </w:tc>
        <w:tc>
          <w:tcPr>
            <w:tcW w:w="1398" w:type="dxa"/>
          </w:tcPr>
          <w:p w14:paraId="523CCA7D" w14:textId="1D6AD8CB" w:rsidR="00C747CA" w:rsidRPr="00CE5B93" w:rsidRDefault="00C747CA" w:rsidP="002154E1">
            <w:pPr>
              <w:jc w:val="both"/>
              <w:rPr>
                <w:rFonts w:ascii="Arial" w:hAnsi="Arial" w:cs="Arial"/>
                <w:sz w:val="20"/>
                <w:szCs w:val="20"/>
              </w:rPr>
            </w:pPr>
            <w:r w:rsidRPr="00CE5B93">
              <w:rPr>
                <w:rFonts w:ascii="Arial" w:hAnsi="Arial" w:cs="Arial"/>
                <w:sz w:val="20"/>
                <w:szCs w:val="20"/>
              </w:rPr>
              <w:t>20</w:t>
            </w:r>
          </w:p>
        </w:tc>
        <w:tc>
          <w:tcPr>
            <w:tcW w:w="1045" w:type="dxa"/>
          </w:tcPr>
          <w:p w14:paraId="01310890" w14:textId="46FEE0D1" w:rsidR="00C747CA" w:rsidRPr="00CE5B93" w:rsidRDefault="00C747CA" w:rsidP="002154E1">
            <w:pPr>
              <w:jc w:val="both"/>
              <w:rPr>
                <w:rFonts w:ascii="Arial" w:hAnsi="Arial" w:cs="Arial"/>
                <w:sz w:val="20"/>
                <w:szCs w:val="20"/>
              </w:rPr>
            </w:pPr>
            <w:r w:rsidRPr="00CE5B93">
              <w:rPr>
                <w:rFonts w:ascii="Arial" w:hAnsi="Arial" w:cs="Arial"/>
                <w:sz w:val="20"/>
                <w:szCs w:val="20"/>
              </w:rPr>
              <w:t>100</w:t>
            </w:r>
          </w:p>
        </w:tc>
      </w:tr>
      <w:tr w:rsidR="00C747CA" w:rsidRPr="00CE5B93" w14:paraId="0B0B7E47" w14:textId="77777777" w:rsidTr="00431A47">
        <w:trPr>
          <w:jc w:val="center"/>
        </w:trPr>
        <w:tc>
          <w:tcPr>
            <w:tcW w:w="1111" w:type="dxa"/>
          </w:tcPr>
          <w:p w14:paraId="60E87A27" w14:textId="48C167BB" w:rsidR="00C747CA" w:rsidRPr="00CE5B93" w:rsidRDefault="00C747CA" w:rsidP="002154E1">
            <w:pPr>
              <w:jc w:val="both"/>
              <w:rPr>
                <w:rFonts w:ascii="Arial" w:hAnsi="Arial" w:cs="Arial"/>
                <w:sz w:val="20"/>
                <w:szCs w:val="20"/>
              </w:rPr>
            </w:pPr>
            <w:r w:rsidRPr="00CE5B93">
              <w:rPr>
                <w:rFonts w:ascii="Arial" w:hAnsi="Arial" w:cs="Arial"/>
                <w:sz w:val="20"/>
                <w:szCs w:val="20"/>
              </w:rPr>
              <w:t>F3</w:t>
            </w:r>
          </w:p>
        </w:tc>
        <w:tc>
          <w:tcPr>
            <w:tcW w:w="1112" w:type="dxa"/>
          </w:tcPr>
          <w:p w14:paraId="51A30C66" w14:textId="4309BC13" w:rsidR="00C747CA" w:rsidRPr="00CE5B93" w:rsidRDefault="00C747CA" w:rsidP="002154E1">
            <w:pPr>
              <w:jc w:val="both"/>
              <w:rPr>
                <w:rFonts w:ascii="Arial" w:hAnsi="Arial" w:cs="Arial"/>
                <w:sz w:val="20"/>
                <w:szCs w:val="20"/>
              </w:rPr>
            </w:pPr>
            <w:r w:rsidRPr="00CE5B93">
              <w:rPr>
                <w:rFonts w:ascii="Arial" w:hAnsi="Arial" w:cs="Arial"/>
                <w:sz w:val="20"/>
                <w:szCs w:val="20"/>
              </w:rPr>
              <w:t>500</w:t>
            </w:r>
          </w:p>
        </w:tc>
        <w:tc>
          <w:tcPr>
            <w:tcW w:w="1111" w:type="dxa"/>
          </w:tcPr>
          <w:p w14:paraId="771F83E9" w14:textId="5FB9D76B" w:rsidR="00C747CA" w:rsidRPr="00CE5B93" w:rsidRDefault="00C747CA" w:rsidP="002154E1">
            <w:pPr>
              <w:jc w:val="both"/>
              <w:rPr>
                <w:rFonts w:ascii="Arial" w:hAnsi="Arial" w:cs="Arial"/>
                <w:sz w:val="20"/>
                <w:szCs w:val="20"/>
              </w:rPr>
            </w:pPr>
            <w:r w:rsidRPr="00CE5B93">
              <w:rPr>
                <w:rFonts w:ascii="Arial" w:hAnsi="Arial" w:cs="Arial"/>
                <w:sz w:val="20"/>
                <w:szCs w:val="20"/>
              </w:rPr>
              <w:t>500</w:t>
            </w:r>
          </w:p>
        </w:tc>
        <w:tc>
          <w:tcPr>
            <w:tcW w:w="1091" w:type="dxa"/>
          </w:tcPr>
          <w:p w14:paraId="0F148034" w14:textId="16C1A318" w:rsidR="00C747CA" w:rsidRPr="00CE5B93" w:rsidRDefault="00C747CA" w:rsidP="002154E1">
            <w:pPr>
              <w:jc w:val="both"/>
              <w:rPr>
                <w:rFonts w:ascii="Arial" w:hAnsi="Arial" w:cs="Arial"/>
                <w:sz w:val="20"/>
                <w:szCs w:val="20"/>
              </w:rPr>
            </w:pPr>
            <w:r w:rsidRPr="00CE5B93">
              <w:rPr>
                <w:rFonts w:ascii="Arial" w:hAnsi="Arial" w:cs="Arial"/>
                <w:sz w:val="20"/>
                <w:szCs w:val="20"/>
              </w:rPr>
              <w:t>0.75</w:t>
            </w:r>
          </w:p>
        </w:tc>
        <w:tc>
          <w:tcPr>
            <w:tcW w:w="1103" w:type="dxa"/>
          </w:tcPr>
          <w:p w14:paraId="2086F66D" w14:textId="36D2AD23" w:rsidR="00C747CA" w:rsidRPr="00CE5B93" w:rsidRDefault="00C747CA" w:rsidP="002154E1">
            <w:pPr>
              <w:jc w:val="both"/>
              <w:rPr>
                <w:rFonts w:ascii="Arial" w:hAnsi="Arial" w:cs="Arial"/>
                <w:sz w:val="20"/>
                <w:szCs w:val="20"/>
              </w:rPr>
            </w:pPr>
            <w:r w:rsidRPr="00CE5B93">
              <w:rPr>
                <w:rFonts w:ascii="Arial" w:hAnsi="Arial" w:cs="Arial"/>
                <w:sz w:val="20"/>
                <w:szCs w:val="20"/>
              </w:rPr>
              <w:t>1000</w:t>
            </w:r>
          </w:p>
        </w:tc>
        <w:tc>
          <w:tcPr>
            <w:tcW w:w="1398" w:type="dxa"/>
          </w:tcPr>
          <w:p w14:paraId="74A87B87" w14:textId="04B7C03C" w:rsidR="00C747CA" w:rsidRPr="00CE5B93" w:rsidRDefault="00C747CA" w:rsidP="002154E1">
            <w:pPr>
              <w:jc w:val="both"/>
              <w:rPr>
                <w:rFonts w:ascii="Arial" w:hAnsi="Arial" w:cs="Arial"/>
                <w:sz w:val="20"/>
                <w:szCs w:val="20"/>
              </w:rPr>
            </w:pPr>
            <w:r w:rsidRPr="00CE5B93">
              <w:rPr>
                <w:rFonts w:ascii="Arial" w:hAnsi="Arial" w:cs="Arial"/>
                <w:sz w:val="20"/>
                <w:szCs w:val="20"/>
              </w:rPr>
              <w:t>20</w:t>
            </w:r>
          </w:p>
        </w:tc>
        <w:tc>
          <w:tcPr>
            <w:tcW w:w="1045" w:type="dxa"/>
          </w:tcPr>
          <w:p w14:paraId="7E97D244" w14:textId="3B038B17" w:rsidR="00C747CA" w:rsidRPr="00CE5B93" w:rsidRDefault="00C747CA" w:rsidP="002154E1">
            <w:pPr>
              <w:jc w:val="both"/>
              <w:rPr>
                <w:rFonts w:ascii="Arial" w:hAnsi="Arial" w:cs="Arial"/>
                <w:sz w:val="20"/>
                <w:szCs w:val="20"/>
              </w:rPr>
            </w:pPr>
            <w:r w:rsidRPr="00CE5B93">
              <w:rPr>
                <w:rFonts w:ascii="Arial" w:hAnsi="Arial" w:cs="Arial"/>
                <w:sz w:val="20"/>
                <w:szCs w:val="20"/>
              </w:rPr>
              <w:t>100</w:t>
            </w:r>
          </w:p>
        </w:tc>
      </w:tr>
      <w:tr w:rsidR="00C747CA" w:rsidRPr="00CE5B93" w14:paraId="4315EB69" w14:textId="77777777" w:rsidTr="00431A47">
        <w:trPr>
          <w:jc w:val="center"/>
        </w:trPr>
        <w:tc>
          <w:tcPr>
            <w:tcW w:w="1111" w:type="dxa"/>
          </w:tcPr>
          <w:p w14:paraId="52F80FB5" w14:textId="4CF3D4BD" w:rsidR="00C747CA" w:rsidRPr="00CE5B93" w:rsidRDefault="00C747CA" w:rsidP="002154E1">
            <w:pPr>
              <w:jc w:val="both"/>
              <w:rPr>
                <w:rFonts w:ascii="Arial" w:hAnsi="Arial" w:cs="Arial"/>
                <w:sz w:val="20"/>
                <w:szCs w:val="20"/>
              </w:rPr>
            </w:pPr>
            <w:r w:rsidRPr="00CE5B93">
              <w:rPr>
                <w:rFonts w:ascii="Arial" w:hAnsi="Arial" w:cs="Arial"/>
                <w:sz w:val="20"/>
                <w:szCs w:val="20"/>
              </w:rPr>
              <w:t>F4</w:t>
            </w:r>
          </w:p>
        </w:tc>
        <w:tc>
          <w:tcPr>
            <w:tcW w:w="1112" w:type="dxa"/>
          </w:tcPr>
          <w:p w14:paraId="117F6926" w14:textId="5B5ABB57" w:rsidR="00C747CA" w:rsidRPr="00CE5B93" w:rsidRDefault="00C747CA" w:rsidP="002154E1">
            <w:pPr>
              <w:jc w:val="both"/>
              <w:rPr>
                <w:rFonts w:ascii="Arial" w:hAnsi="Arial" w:cs="Arial"/>
                <w:sz w:val="20"/>
                <w:szCs w:val="20"/>
              </w:rPr>
            </w:pPr>
            <w:r w:rsidRPr="00CE5B93">
              <w:rPr>
                <w:rFonts w:ascii="Arial" w:hAnsi="Arial" w:cs="Arial"/>
                <w:sz w:val="20"/>
                <w:szCs w:val="20"/>
              </w:rPr>
              <w:t>500</w:t>
            </w:r>
          </w:p>
        </w:tc>
        <w:tc>
          <w:tcPr>
            <w:tcW w:w="1111" w:type="dxa"/>
          </w:tcPr>
          <w:p w14:paraId="5FF19AD7" w14:textId="5299A255" w:rsidR="00C747CA" w:rsidRPr="00CE5B93" w:rsidRDefault="00C747CA" w:rsidP="002154E1">
            <w:pPr>
              <w:jc w:val="both"/>
              <w:rPr>
                <w:rFonts w:ascii="Arial" w:hAnsi="Arial" w:cs="Arial"/>
                <w:sz w:val="20"/>
                <w:szCs w:val="20"/>
              </w:rPr>
            </w:pPr>
            <w:r w:rsidRPr="00CE5B93">
              <w:rPr>
                <w:rFonts w:ascii="Arial" w:hAnsi="Arial" w:cs="Arial"/>
                <w:sz w:val="20"/>
                <w:szCs w:val="20"/>
              </w:rPr>
              <w:t>300</w:t>
            </w:r>
          </w:p>
        </w:tc>
        <w:tc>
          <w:tcPr>
            <w:tcW w:w="1091" w:type="dxa"/>
          </w:tcPr>
          <w:p w14:paraId="52CE013F" w14:textId="6BC219B9" w:rsidR="00C747CA" w:rsidRPr="00CE5B93" w:rsidRDefault="00C747CA" w:rsidP="002154E1">
            <w:pPr>
              <w:jc w:val="both"/>
              <w:rPr>
                <w:rFonts w:ascii="Arial" w:hAnsi="Arial" w:cs="Arial"/>
                <w:sz w:val="20"/>
                <w:szCs w:val="20"/>
              </w:rPr>
            </w:pPr>
            <w:r w:rsidRPr="00CE5B93">
              <w:rPr>
                <w:rFonts w:ascii="Arial" w:hAnsi="Arial" w:cs="Arial"/>
                <w:sz w:val="20"/>
                <w:szCs w:val="20"/>
              </w:rPr>
              <w:t>0.5</w:t>
            </w:r>
          </w:p>
        </w:tc>
        <w:tc>
          <w:tcPr>
            <w:tcW w:w="1103" w:type="dxa"/>
          </w:tcPr>
          <w:p w14:paraId="4412B13E" w14:textId="2E3F1CE0" w:rsidR="00C747CA" w:rsidRPr="00CE5B93" w:rsidRDefault="00C747CA" w:rsidP="002154E1">
            <w:pPr>
              <w:jc w:val="both"/>
              <w:rPr>
                <w:rFonts w:ascii="Arial" w:hAnsi="Arial" w:cs="Arial"/>
                <w:sz w:val="20"/>
                <w:szCs w:val="20"/>
              </w:rPr>
            </w:pPr>
            <w:r w:rsidRPr="00CE5B93">
              <w:rPr>
                <w:rFonts w:ascii="Arial" w:hAnsi="Arial" w:cs="Arial"/>
                <w:sz w:val="20"/>
                <w:szCs w:val="20"/>
              </w:rPr>
              <w:t>500</w:t>
            </w:r>
          </w:p>
        </w:tc>
        <w:tc>
          <w:tcPr>
            <w:tcW w:w="1398" w:type="dxa"/>
          </w:tcPr>
          <w:p w14:paraId="1C266BD2" w14:textId="45E2CC02" w:rsidR="00C747CA" w:rsidRPr="00CE5B93" w:rsidRDefault="00C747CA" w:rsidP="002154E1">
            <w:pPr>
              <w:jc w:val="both"/>
              <w:rPr>
                <w:rFonts w:ascii="Arial" w:hAnsi="Arial" w:cs="Arial"/>
                <w:sz w:val="20"/>
                <w:szCs w:val="20"/>
              </w:rPr>
            </w:pPr>
            <w:r w:rsidRPr="00CE5B93">
              <w:rPr>
                <w:rFonts w:ascii="Arial" w:hAnsi="Arial" w:cs="Arial"/>
                <w:sz w:val="20"/>
                <w:szCs w:val="20"/>
              </w:rPr>
              <w:t>20</w:t>
            </w:r>
          </w:p>
        </w:tc>
        <w:tc>
          <w:tcPr>
            <w:tcW w:w="1045" w:type="dxa"/>
          </w:tcPr>
          <w:p w14:paraId="09031808" w14:textId="11FBD10B" w:rsidR="00C747CA" w:rsidRPr="00CE5B93" w:rsidRDefault="00C747CA" w:rsidP="002154E1">
            <w:pPr>
              <w:jc w:val="both"/>
              <w:rPr>
                <w:rFonts w:ascii="Arial" w:hAnsi="Arial" w:cs="Arial"/>
                <w:sz w:val="20"/>
                <w:szCs w:val="20"/>
              </w:rPr>
            </w:pPr>
            <w:r w:rsidRPr="00CE5B93">
              <w:rPr>
                <w:rFonts w:ascii="Arial" w:hAnsi="Arial" w:cs="Arial"/>
                <w:sz w:val="20"/>
                <w:szCs w:val="20"/>
              </w:rPr>
              <w:t>100</w:t>
            </w:r>
          </w:p>
        </w:tc>
      </w:tr>
      <w:tr w:rsidR="00C747CA" w:rsidRPr="00CE5B93" w14:paraId="1F8806B5" w14:textId="77777777" w:rsidTr="00431A47">
        <w:trPr>
          <w:jc w:val="center"/>
        </w:trPr>
        <w:tc>
          <w:tcPr>
            <w:tcW w:w="1111" w:type="dxa"/>
          </w:tcPr>
          <w:p w14:paraId="3AF50552" w14:textId="305EB280" w:rsidR="00C747CA" w:rsidRPr="00CE5B93" w:rsidRDefault="00C747CA" w:rsidP="002154E1">
            <w:pPr>
              <w:jc w:val="both"/>
              <w:rPr>
                <w:rFonts w:ascii="Arial" w:hAnsi="Arial" w:cs="Arial"/>
                <w:sz w:val="20"/>
                <w:szCs w:val="20"/>
              </w:rPr>
            </w:pPr>
            <w:r w:rsidRPr="00CE5B93">
              <w:rPr>
                <w:rFonts w:ascii="Arial" w:hAnsi="Arial" w:cs="Arial"/>
                <w:sz w:val="20"/>
                <w:szCs w:val="20"/>
              </w:rPr>
              <w:t>F5</w:t>
            </w:r>
          </w:p>
        </w:tc>
        <w:tc>
          <w:tcPr>
            <w:tcW w:w="1112" w:type="dxa"/>
          </w:tcPr>
          <w:p w14:paraId="64D9DD06" w14:textId="10E9A7D6" w:rsidR="00C747CA" w:rsidRPr="00CE5B93" w:rsidRDefault="00C747CA" w:rsidP="002154E1">
            <w:pPr>
              <w:jc w:val="both"/>
              <w:rPr>
                <w:rFonts w:ascii="Arial" w:hAnsi="Arial" w:cs="Arial"/>
                <w:sz w:val="20"/>
                <w:szCs w:val="20"/>
              </w:rPr>
            </w:pPr>
            <w:r w:rsidRPr="00CE5B93">
              <w:rPr>
                <w:rFonts w:ascii="Arial" w:hAnsi="Arial" w:cs="Arial"/>
                <w:sz w:val="20"/>
                <w:szCs w:val="20"/>
              </w:rPr>
              <w:t>500</w:t>
            </w:r>
          </w:p>
        </w:tc>
        <w:tc>
          <w:tcPr>
            <w:tcW w:w="1111" w:type="dxa"/>
          </w:tcPr>
          <w:p w14:paraId="15011EE7" w14:textId="0A9DD1A0" w:rsidR="00C747CA" w:rsidRPr="00CE5B93" w:rsidRDefault="00C747CA" w:rsidP="002154E1">
            <w:pPr>
              <w:jc w:val="both"/>
              <w:rPr>
                <w:rFonts w:ascii="Arial" w:hAnsi="Arial" w:cs="Arial"/>
                <w:sz w:val="20"/>
                <w:szCs w:val="20"/>
              </w:rPr>
            </w:pPr>
            <w:r w:rsidRPr="00CE5B93">
              <w:rPr>
                <w:rFonts w:ascii="Arial" w:hAnsi="Arial" w:cs="Arial"/>
                <w:sz w:val="20"/>
                <w:szCs w:val="20"/>
              </w:rPr>
              <w:t>200</w:t>
            </w:r>
          </w:p>
        </w:tc>
        <w:tc>
          <w:tcPr>
            <w:tcW w:w="1091" w:type="dxa"/>
          </w:tcPr>
          <w:p w14:paraId="670B30B9" w14:textId="658BB736" w:rsidR="00C747CA" w:rsidRPr="00CE5B93" w:rsidRDefault="00C747CA" w:rsidP="002154E1">
            <w:pPr>
              <w:jc w:val="both"/>
              <w:rPr>
                <w:rFonts w:ascii="Arial" w:hAnsi="Arial" w:cs="Arial"/>
                <w:sz w:val="20"/>
                <w:szCs w:val="20"/>
              </w:rPr>
            </w:pPr>
            <w:r w:rsidRPr="00CE5B93">
              <w:rPr>
                <w:rFonts w:ascii="Arial" w:hAnsi="Arial" w:cs="Arial"/>
                <w:sz w:val="20"/>
                <w:szCs w:val="20"/>
              </w:rPr>
              <w:t>0.4</w:t>
            </w:r>
          </w:p>
        </w:tc>
        <w:tc>
          <w:tcPr>
            <w:tcW w:w="1103" w:type="dxa"/>
          </w:tcPr>
          <w:p w14:paraId="33591AE0" w14:textId="128E9DE8" w:rsidR="00C747CA" w:rsidRPr="00CE5B93" w:rsidRDefault="00C747CA" w:rsidP="002154E1">
            <w:pPr>
              <w:jc w:val="both"/>
              <w:rPr>
                <w:rFonts w:ascii="Arial" w:hAnsi="Arial" w:cs="Arial"/>
                <w:sz w:val="20"/>
                <w:szCs w:val="20"/>
              </w:rPr>
            </w:pPr>
            <w:r w:rsidRPr="00CE5B93">
              <w:rPr>
                <w:rFonts w:ascii="Arial" w:hAnsi="Arial" w:cs="Arial"/>
                <w:sz w:val="20"/>
                <w:szCs w:val="20"/>
              </w:rPr>
              <w:t>1000</w:t>
            </w:r>
          </w:p>
        </w:tc>
        <w:tc>
          <w:tcPr>
            <w:tcW w:w="1398" w:type="dxa"/>
          </w:tcPr>
          <w:p w14:paraId="7C68CBE7" w14:textId="28B94A49" w:rsidR="00C747CA" w:rsidRPr="00CE5B93" w:rsidRDefault="00C747CA" w:rsidP="002154E1">
            <w:pPr>
              <w:jc w:val="both"/>
              <w:rPr>
                <w:rFonts w:ascii="Arial" w:hAnsi="Arial" w:cs="Arial"/>
                <w:sz w:val="20"/>
                <w:szCs w:val="20"/>
              </w:rPr>
            </w:pPr>
            <w:r w:rsidRPr="00CE5B93">
              <w:rPr>
                <w:rFonts w:ascii="Arial" w:hAnsi="Arial" w:cs="Arial"/>
                <w:sz w:val="20"/>
                <w:szCs w:val="20"/>
              </w:rPr>
              <w:t>20</w:t>
            </w:r>
          </w:p>
        </w:tc>
        <w:tc>
          <w:tcPr>
            <w:tcW w:w="1045" w:type="dxa"/>
          </w:tcPr>
          <w:p w14:paraId="5B635686" w14:textId="048F44C1" w:rsidR="00C747CA" w:rsidRPr="00CE5B93" w:rsidRDefault="00C747CA" w:rsidP="002154E1">
            <w:pPr>
              <w:jc w:val="both"/>
              <w:rPr>
                <w:rFonts w:ascii="Arial" w:hAnsi="Arial" w:cs="Arial"/>
                <w:sz w:val="20"/>
                <w:szCs w:val="20"/>
              </w:rPr>
            </w:pPr>
            <w:r w:rsidRPr="00CE5B93">
              <w:rPr>
                <w:rFonts w:ascii="Arial" w:hAnsi="Arial" w:cs="Arial"/>
                <w:sz w:val="20"/>
                <w:szCs w:val="20"/>
              </w:rPr>
              <w:t>100</w:t>
            </w:r>
          </w:p>
        </w:tc>
      </w:tr>
      <w:tr w:rsidR="00C747CA" w:rsidRPr="00CE5B93" w14:paraId="33860AEB" w14:textId="77777777" w:rsidTr="00431A47">
        <w:trPr>
          <w:jc w:val="center"/>
        </w:trPr>
        <w:tc>
          <w:tcPr>
            <w:tcW w:w="1111" w:type="dxa"/>
          </w:tcPr>
          <w:p w14:paraId="40761D41" w14:textId="683D8A73" w:rsidR="00C747CA" w:rsidRPr="00CE5B93" w:rsidRDefault="00C747CA" w:rsidP="002154E1">
            <w:pPr>
              <w:jc w:val="both"/>
              <w:rPr>
                <w:rFonts w:ascii="Arial" w:hAnsi="Arial" w:cs="Arial"/>
                <w:sz w:val="20"/>
                <w:szCs w:val="20"/>
              </w:rPr>
            </w:pPr>
            <w:r w:rsidRPr="00CE5B93">
              <w:rPr>
                <w:rFonts w:ascii="Arial" w:hAnsi="Arial" w:cs="Arial"/>
                <w:sz w:val="20"/>
                <w:szCs w:val="20"/>
              </w:rPr>
              <w:t>F6</w:t>
            </w:r>
          </w:p>
        </w:tc>
        <w:tc>
          <w:tcPr>
            <w:tcW w:w="1112" w:type="dxa"/>
          </w:tcPr>
          <w:p w14:paraId="0E4D15BE" w14:textId="29DE170E" w:rsidR="00C747CA" w:rsidRPr="00CE5B93" w:rsidRDefault="00C747CA" w:rsidP="002154E1">
            <w:pPr>
              <w:jc w:val="both"/>
              <w:rPr>
                <w:rFonts w:ascii="Arial" w:hAnsi="Arial" w:cs="Arial"/>
                <w:sz w:val="20"/>
                <w:szCs w:val="20"/>
              </w:rPr>
            </w:pPr>
            <w:r w:rsidRPr="00CE5B93">
              <w:rPr>
                <w:rFonts w:ascii="Arial" w:hAnsi="Arial" w:cs="Arial"/>
                <w:sz w:val="20"/>
                <w:szCs w:val="20"/>
              </w:rPr>
              <w:t>500</w:t>
            </w:r>
          </w:p>
        </w:tc>
        <w:tc>
          <w:tcPr>
            <w:tcW w:w="1111" w:type="dxa"/>
          </w:tcPr>
          <w:p w14:paraId="3E47C64E" w14:textId="6BEE117E" w:rsidR="00C747CA" w:rsidRPr="00CE5B93" w:rsidRDefault="00C747CA" w:rsidP="002154E1">
            <w:pPr>
              <w:jc w:val="both"/>
              <w:rPr>
                <w:rFonts w:ascii="Arial" w:hAnsi="Arial" w:cs="Arial"/>
                <w:sz w:val="20"/>
                <w:szCs w:val="20"/>
              </w:rPr>
            </w:pPr>
            <w:r w:rsidRPr="00CE5B93">
              <w:rPr>
                <w:rFonts w:ascii="Arial" w:hAnsi="Arial" w:cs="Arial"/>
                <w:sz w:val="20"/>
                <w:szCs w:val="20"/>
              </w:rPr>
              <w:t>300</w:t>
            </w:r>
          </w:p>
        </w:tc>
        <w:tc>
          <w:tcPr>
            <w:tcW w:w="1091" w:type="dxa"/>
          </w:tcPr>
          <w:p w14:paraId="628F8596" w14:textId="46A1C56C" w:rsidR="00C747CA" w:rsidRPr="00CE5B93" w:rsidRDefault="00C747CA" w:rsidP="002154E1">
            <w:pPr>
              <w:jc w:val="both"/>
              <w:rPr>
                <w:rFonts w:ascii="Arial" w:hAnsi="Arial" w:cs="Arial"/>
                <w:sz w:val="20"/>
                <w:szCs w:val="20"/>
              </w:rPr>
            </w:pPr>
            <w:r w:rsidRPr="00CE5B93">
              <w:rPr>
                <w:rFonts w:ascii="Arial" w:hAnsi="Arial" w:cs="Arial"/>
                <w:sz w:val="20"/>
                <w:szCs w:val="20"/>
              </w:rPr>
              <w:t>0.75</w:t>
            </w:r>
          </w:p>
        </w:tc>
        <w:tc>
          <w:tcPr>
            <w:tcW w:w="1103" w:type="dxa"/>
          </w:tcPr>
          <w:p w14:paraId="3704B0DF" w14:textId="228A7AB7" w:rsidR="00C747CA" w:rsidRPr="00CE5B93" w:rsidRDefault="00C747CA" w:rsidP="002154E1">
            <w:pPr>
              <w:jc w:val="both"/>
              <w:rPr>
                <w:rFonts w:ascii="Arial" w:hAnsi="Arial" w:cs="Arial"/>
                <w:sz w:val="20"/>
                <w:szCs w:val="20"/>
              </w:rPr>
            </w:pPr>
            <w:r w:rsidRPr="00CE5B93">
              <w:rPr>
                <w:rFonts w:ascii="Arial" w:hAnsi="Arial" w:cs="Arial"/>
                <w:sz w:val="20"/>
                <w:szCs w:val="20"/>
              </w:rPr>
              <w:t>1500</w:t>
            </w:r>
          </w:p>
        </w:tc>
        <w:tc>
          <w:tcPr>
            <w:tcW w:w="1398" w:type="dxa"/>
          </w:tcPr>
          <w:p w14:paraId="4A022BA2" w14:textId="67639906" w:rsidR="00C747CA" w:rsidRPr="00CE5B93" w:rsidRDefault="00C747CA" w:rsidP="002154E1">
            <w:pPr>
              <w:jc w:val="both"/>
              <w:rPr>
                <w:rFonts w:ascii="Arial" w:hAnsi="Arial" w:cs="Arial"/>
                <w:sz w:val="20"/>
                <w:szCs w:val="20"/>
              </w:rPr>
            </w:pPr>
            <w:r w:rsidRPr="00CE5B93">
              <w:rPr>
                <w:rFonts w:ascii="Arial" w:hAnsi="Arial" w:cs="Arial"/>
                <w:sz w:val="20"/>
                <w:szCs w:val="20"/>
              </w:rPr>
              <w:t>20</w:t>
            </w:r>
          </w:p>
        </w:tc>
        <w:tc>
          <w:tcPr>
            <w:tcW w:w="1045" w:type="dxa"/>
          </w:tcPr>
          <w:p w14:paraId="5050D0C6" w14:textId="074D449B" w:rsidR="00C747CA" w:rsidRPr="00CE5B93" w:rsidRDefault="00C747CA" w:rsidP="002154E1">
            <w:pPr>
              <w:jc w:val="both"/>
              <w:rPr>
                <w:rFonts w:ascii="Arial" w:hAnsi="Arial" w:cs="Arial"/>
                <w:sz w:val="20"/>
                <w:szCs w:val="20"/>
              </w:rPr>
            </w:pPr>
            <w:r w:rsidRPr="00CE5B93">
              <w:rPr>
                <w:rFonts w:ascii="Arial" w:hAnsi="Arial" w:cs="Arial"/>
                <w:sz w:val="20"/>
                <w:szCs w:val="20"/>
              </w:rPr>
              <w:t>100</w:t>
            </w:r>
          </w:p>
        </w:tc>
      </w:tr>
      <w:tr w:rsidR="00C747CA" w:rsidRPr="00CE5B93" w14:paraId="4FA8B717" w14:textId="77777777" w:rsidTr="00431A47">
        <w:trPr>
          <w:jc w:val="center"/>
        </w:trPr>
        <w:tc>
          <w:tcPr>
            <w:tcW w:w="1111" w:type="dxa"/>
          </w:tcPr>
          <w:p w14:paraId="3D281E24" w14:textId="1C473B2D" w:rsidR="00C747CA" w:rsidRPr="00CE5B93" w:rsidRDefault="00C747CA" w:rsidP="002154E1">
            <w:pPr>
              <w:jc w:val="both"/>
              <w:rPr>
                <w:rFonts w:ascii="Arial" w:hAnsi="Arial" w:cs="Arial"/>
                <w:sz w:val="20"/>
                <w:szCs w:val="20"/>
              </w:rPr>
            </w:pPr>
            <w:r w:rsidRPr="00CE5B93">
              <w:rPr>
                <w:rFonts w:ascii="Arial" w:hAnsi="Arial" w:cs="Arial"/>
                <w:sz w:val="20"/>
                <w:szCs w:val="20"/>
              </w:rPr>
              <w:t>F7</w:t>
            </w:r>
          </w:p>
        </w:tc>
        <w:tc>
          <w:tcPr>
            <w:tcW w:w="1112" w:type="dxa"/>
          </w:tcPr>
          <w:p w14:paraId="47191D46" w14:textId="7970B053" w:rsidR="00C747CA" w:rsidRPr="00CE5B93" w:rsidRDefault="00C747CA" w:rsidP="002154E1">
            <w:pPr>
              <w:jc w:val="both"/>
              <w:rPr>
                <w:rFonts w:ascii="Arial" w:hAnsi="Arial" w:cs="Arial"/>
                <w:sz w:val="20"/>
                <w:szCs w:val="20"/>
              </w:rPr>
            </w:pPr>
            <w:r w:rsidRPr="00CE5B93">
              <w:rPr>
                <w:rFonts w:ascii="Arial" w:hAnsi="Arial" w:cs="Arial"/>
                <w:sz w:val="20"/>
                <w:szCs w:val="20"/>
              </w:rPr>
              <w:t>500</w:t>
            </w:r>
          </w:p>
        </w:tc>
        <w:tc>
          <w:tcPr>
            <w:tcW w:w="1111" w:type="dxa"/>
          </w:tcPr>
          <w:p w14:paraId="2984EA3C" w14:textId="47CD1B74" w:rsidR="00C747CA" w:rsidRPr="00CE5B93" w:rsidRDefault="00C747CA" w:rsidP="002154E1">
            <w:pPr>
              <w:jc w:val="both"/>
              <w:rPr>
                <w:rFonts w:ascii="Arial" w:hAnsi="Arial" w:cs="Arial"/>
                <w:sz w:val="20"/>
                <w:szCs w:val="20"/>
              </w:rPr>
            </w:pPr>
            <w:r w:rsidRPr="00CE5B93">
              <w:rPr>
                <w:rFonts w:ascii="Arial" w:hAnsi="Arial" w:cs="Arial"/>
                <w:sz w:val="20"/>
                <w:szCs w:val="20"/>
              </w:rPr>
              <w:t>200</w:t>
            </w:r>
          </w:p>
        </w:tc>
        <w:tc>
          <w:tcPr>
            <w:tcW w:w="1091" w:type="dxa"/>
          </w:tcPr>
          <w:p w14:paraId="6B1AD789" w14:textId="3C0077D9" w:rsidR="00C747CA" w:rsidRPr="00CE5B93" w:rsidRDefault="00C747CA" w:rsidP="002154E1">
            <w:pPr>
              <w:jc w:val="both"/>
              <w:rPr>
                <w:rFonts w:ascii="Arial" w:hAnsi="Arial" w:cs="Arial"/>
                <w:sz w:val="20"/>
                <w:szCs w:val="20"/>
              </w:rPr>
            </w:pPr>
            <w:r w:rsidRPr="00CE5B93">
              <w:rPr>
                <w:rFonts w:ascii="Arial" w:hAnsi="Arial" w:cs="Arial"/>
                <w:sz w:val="20"/>
                <w:szCs w:val="20"/>
              </w:rPr>
              <w:t>0.3</w:t>
            </w:r>
          </w:p>
        </w:tc>
        <w:tc>
          <w:tcPr>
            <w:tcW w:w="1103" w:type="dxa"/>
          </w:tcPr>
          <w:p w14:paraId="7FCB9781" w14:textId="4C29DCCC" w:rsidR="00C747CA" w:rsidRPr="00CE5B93" w:rsidRDefault="00C747CA" w:rsidP="002154E1">
            <w:pPr>
              <w:jc w:val="both"/>
              <w:rPr>
                <w:rFonts w:ascii="Arial" w:hAnsi="Arial" w:cs="Arial"/>
                <w:sz w:val="20"/>
                <w:szCs w:val="20"/>
              </w:rPr>
            </w:pPr>
            <w:r w:rsidRPr="00CE5B93">
              <w:rPr>
                <w:rFonts w:ascii="Arial" w:hAnsi="Arial" w:cs="Arial"/>
                <w:sz w:val="20"/>
                <w:szCs w:val="20"/>
              </w:rPr>
              <w:t>500</w:t>
            </w:r>
          </w:p>
        </w:tc>
        <w:tc>
          <w:tcPr>
            <w:tcW w:w="1398" w:type="dxa"/>
          </w:tcPr>
          <w:p w14:paraId="40803011" w14:textId="72F27875" w:rsidR="00C747CA" w:rsidRPr="00CE5B93" w:rsidRDefault="00C747CA" w:rsidP="002154E1">
            <w:pPr>
              <w:jc w:val="both"/>
              <w:rPr>
                <w:rFonts w:ascii="Arial" w:hAnsi="Arial" w:cs="Arial"/>
                <w:sz w:val="20"/>
                <w:szCs w:val="20"/>
              </w:rPr>
            </w:pPr>
            <w:r w:rsidRPr="00CE5B93">
              <w:rPr>
                <w:rFonts w:ascii="Arial" w:hAnsi="Arial" w:cs="Arial"/>
                <w:sz w:val="20"/>
                <w:szCs w:val="20"/>
              </w:rPr>
              <w:t>20</w:t>
            </w:r>
          </w:p>
        </w:tc>
        <w:tc>
          <w:tcPr>
            <w:tcW w:w="1045" w:type="dxa"/>
          </w:tcPr>
          <w:p w14:paraId="10C0CDED" w14:textId="3A4DB365" w:rsidR="00C747CA" w:rsidRPr="00CE5B93" w:rsidRDefault="00C747CA" w:rsidP="002154E1">
            <w:pPr>
              <w:jc w:val="both"/>
              <w:rPr>
                <w:rFonts w:ascii="Arial" w:hAnsi="Arial" w:cs="Arial"/>
                <w:sz w:val="20"/>
                <w:szCs w:val="20"/>
              </w:rPr>
            </w:pPr>
            <w:r w:rsidRPr="00CE5B93">
              <w:rPr>
                <w:rFonts w:ascii="Arial" w:hAnsi="Arial" w:cs="Arial"/>
                <w:sz w:val="20"/>
                <w:szCs w:val="20"/>
              </w:rPr>
              <w:t>100</w:t>
            </w:r>
          </w:p>
        </w:tc>
      </w:tr>
      <w:tr w:rsidR="00C747CA" w:rsidRPr="00CE5B93" w14:paraId="1E52677C" w14:textId="77777777" w:rsidTr="00431A47">
        <w:trPr>
          <w:jc w:val="center"/>
        </w:trPr>
        <w:tc>
          <w:tcPr>
            <w:tcW w:w="1111" w:type="dxa"/>
          </w:tcPr>
          <w:p w14:paraId="4851FF68" w14:textId="2544FBE5" w:rsidR="00C747CA" w:rsidRPr="00CE5B93" w:rsidRDefault="00C747CA" w:rsidP="002154E1">
            <w:pPr>
              <w:jc w:val="both"/>
              <w:rPr>
                <w:rFonts w:ascii="Arial" w:hAnsi="Arial" w:cs="Arial"/>
                <w:sz w:val="20"/>
                <w:szCs w:val="20"/>
              </w:rPr>
            </w:pPr>
            <w:r w:rsidRPr="00CE5B93">
              <w:rPr>
                <w:rFonts w:ascii="Arial" w:hAnsi="Arial" w:cs="Arial"/>
                <w:sz w:val="20"/>
                <w:szCs w:val="20"/>
              </w:rPr>
              <w:t>F8</w:t>
            </w:r>
          </w:p>
        </w:tc>
        <w:tc>
          <w:tcPr>
            <w:tcW w:w="1112" w:type="dxa"/>
          </w:tcPr>
          <w:p w14:paraId="0CC001FD" w14:textId="4183F738" w:rsidR="00C747CA" w:rsidRPr="00CE5B93" w:rsidRDefault="00C747CA" w:rsidP="002154E1">
            <w:pPr>
              <w:jc w:val="both"/>
              <w:rPr>
                <w:rFonts w:ascii="Arial" w:hAnsi="Arial" w:cs="Arial"/>
                <w:sz w:val="20"/>
                <w:szCs w:val="20"/>
              </w:rPr>
            </w:pPr>
            <w:r w:rsidRPr="00CE5B93">
              <w:rPr>
                <w:rFonts w:ascii="Arial" w:hAnsi="Arial" w:cs="Arial"/>
                <w:sz w:val="20"/>
                <w:szCs w:val="20"/>
              </w:rPr>
              <w:t>500</w:t>
            </w:r>
          </w:p>
        </w:tc>
        <w:tc>
          <w:tcPr>
            <w:tcW w:w="1111" w:type="dxa"/>
          </w:tcPr>
          <w:p w14:paraId="3D190C25" w14:textId="6991FF9A" w:rsidR="00C747CA" w:rsidRPr="00CE5B93" w:rsidRDefault="00C747CA" w:rsidP="002154E1">
            <w:pPr>
              <w:jc w:val="both"/>
              <w:rPr>
                <w:rFonts w:ascii="Arial" w:hAnsi="Arial" w:cs="Arial"/>
                <w:sz w:val="20"/>
                <w:szCs w:val="20"/>
              </w:rPr>
            </w:pPr>
            <w:r w:rsidRPr="00CE5B93">
              <w:rPr>
                <w:rFonts w:ascii="Arial" w:hAnsi="Arial" w:cs="Arial"/>
                <w:sz w:val="20"/>
                <w:szCs w:val="20"/>
              </w:rPr>
              <w:t>250</w:t>
            </w:r>
          </w:p>
        </w:tc>
        <w:tc>
          <w:tcPr>
            <w:tcW w:w="1091" w:type="dxa"/>
          </w:tcPr>
          <w:p w14:paraId="04F3BAFE" w14:textId="516BCF7D" w:rsidR="00C747CA" w:rsidRPr="00CE5B93" w:rsidRDefault="00C747CA" w:rsidP="002154E1">
            <w:pPr>
              <w:jc w:val="both"/>
              <w:rPr>
                <w:rFonts w:ascii="Arial" w:hAnsi="Arial" w:cs="Arial"/>
                <w:sz w:val="20"/>
                <w:szCs w:val="20"/>
              </w:rPr>
            </w:pPr>
            <w:r w:rsidRPr="00CE5B93">
              <w:rPr>
                <w:rFonts w:ascii="Arial" w:hAnsi="Arial" w:cs="Arial"/>
                <w:sz w:val="20"/>
                <w:szCs w:val="20"/>
              </w:rPr>
              <w:t>0.75</w:t>
            </w:r>
          </w:p>
        </w:tc>
        <w:tc>
          <w:tcPr>
            <w:tcW w:w="1103" w:type="dxa"/>
          </w:tcPr>
          <w:p w14:paraId="155943B2" w14:textId="2ABE3C67" w:rsidR="00C747CA" w:rsidRPr="00CE5B93" w:rsidRDefault="00C747CA" w:rsidP="002154E1">
            <w:pPr>
              <w:jc w:val="both"/>
              <w:rPr>
                <w:rFonts w:ascii="Arial" w:hAnsi="Arial" w:cs="Arial"/>
                <w:sz w:val="20"/>
                <w:szCs w:val="20"/>
              </w:rPr>
            </w:pPr>
            <w:r w:rsidRPr="00CE5B93">
              <w:rPr>
                <w:rFonts w:ascii="Arial" w:hAnsi="Arial" w:cs="Arial"/>
                <w:sz w:val="20"/>
                <w:szCs w:val="20"/>
              </w:rPr>
              <w:t>1500</w:t>
            </w:r>
          </w:p>
        </w:tc>
        <w:tc>
          <w:tcPr>
            <w:tcW w:w="1398" w:type="dxa"/>
          </w:tcPr>
          <w:p w14:paraId="1C86B798" w14:textId="5B041551" w:rsidR="00C747CA" w:rsidRPr="00CE5B93" w:rsidRDefault="00C747CA" w:rsidP="002154E1">
            <w:pPr>
              <w:jc w:val="both"/>
              <w:rPr>
                <w:rFonts w:ascii="Arial" w:hAnsi="Arial" w:cs="Arial"/>
                <w:sz w:val="20"/>
                <w:szCs w:val="20"/>
              </w:rPr>
            </w:pPr>
            <w:r w:rsidRPr="00CE5B93">
              <w:rPr>
                <w:rFonts w:ascii="Arial" w:hAnsi="Arial" w:cs="Arial"/>
                <w:sz w:val="20"/>
                <w:szCs w:val="20"/>
              </w:rPr>
              <w:t>20</w:t>
            </w:r>
          </w:p>
        </w:tc>
        <w:tc>
          <w:tcPr>
            <w:tcW w:w="1045" w:type="dxa"/>
          </w:tcPr>
          <w:p w14:paraId="773DF0F9" w14:textId="51E7EF4D" w:rsidR="00C747CA" w:rsidRPr="00CE5B93" w:rsidRDefault="00C747CA" w:rsidP="002154E1">
            <w:pPr>
              <w:jc w:val="both"/>
              <w:rPr>
                <w:rFonts w:ascii="Arial" w:hAnsi="Arial" w:cs="Arial"/>
                <w:sz w:val="20"/>
                <w:szCs w:val="20"/>
              </w:rPr>
            </w:pPr>
            <w:r w:rsidRPr="00CE5B93">
              <w:rPr>
                <w:rFonts w:ascii="Arial" w:hAnsi="Arial" w:cs="Arial"/>
                <w:sz w:val="20"/>
                <w:szCs w:val="20"/>
              </w:rPr>
              <w:t>100</w:t>
            </w:r>
          </w:p>
        </w:tc>
      </w:tr>
    </w:tbl>
    <w:p w14:paraId="51C4B2AF" w14:textId="77777777" w:rsidR="00C747CA" w:rsidRPr="00CE5B93" w:rsidRDefault="00C747CA" w:rsidP="002154E1">
      <w:pPr>
        <w:jc w:val="both"/>
        <w:rPr>
          <w:rFonts w:ascii="Arial" w:hAnsi="Arial" w:cs="Arial"/>
          <w:sz w:val="20"/>
          <w:szCs w:val="20"/>
        </w:rPr>
      </w:pPr>
    </w:p>
    <w:p w14:paraId="614428CC" w14:textId="11DDCD13" w:rsidR="00AE3945" w:rsidRPr="00CE5B93" w:rsidRDefault="00C747CA" w:rsidP="002154E1">
      <w:pPr>
        <w:jc w:val="both"/>
        <w:rPr>
          <w:rFonts w:ascii="Arial" w:hAnsi="Arial" w:cs="Arial"/>
          <w:sz w:val="20"/>
          <w:szCs w:val="20"/>
        </w:rPr>
      </w:pPr>
      <w:r w:rsidRPr="00CE5B93">
        <w:rPr>
          <w:rFonts w:ascii="Arial" w:hAnsi="Arial" w:cs="Arial"/>
          <w:sz w:val="20"/>
          <w:szCs w:val="20"/>
        </w:rPr>
        <w:t xml:space="preserve">Table 1: Composition of PCZ </w:t>
      </w:r>
      <w:proofErr w:type="gramStart"/>
      <w:r w:rsidRPr="00CE5B93">
        <w:rPr>
          <w:rFonts w:ascii="Arial" w:hAnsi="Arial" w:cs="Arial"/>
          <w:sz w:val="20"/>
          <w:szCs w:val="20"/>
        </w:rPr>
        <w:t>NS</w:t>
      </w:r>
      <w:r w:rsidR="00AB10C2" w:rsidRPr="00CE5B93">
        <w:rPr>
          <w:rFonts w:ascii="Arial" w:hAnsi="Arial" w:cs="Arial"/>
          <w:sz w:val="20"/>
          <w:szCs w:val="20"/>
        </w:rPr>
        <w:t>(</w:t>
      </w:r>
      <w:proofErr w:type="gramEnd"/>
      <w:r w:rsidR="00AB10C2" w:rsidRPr="00CE5B93">
        <w:rPr>
          <w:rFonts w:ascii="Arial" w:hAnsi="Arial" w:cs="Arial"/>
          <w:sz w:val="20"/>
          <w:szCs w:val="20"/>
        </w:rPr>
        <w:t>15)</w:t>
      </w:r>
    </w:p>
    <w:p w14:paraId="6C8F85CE" w14:textId="77777777" w:rsidR="00AE3945" w:rsidRPr="00CE5B93" w:rsidRDefault="00AE3945" w:rsidP="002154E1">
      <w:pPr>
        <w:jc w:val="both"/>
        <w:rPr>
          <w:rFonts w:ascii="Arial" w:hAnsi="Arial" w:cs="Arial"/>
          <w:sz w:val="20"/>
          <w:szCs w:val="20"/>
        </w:rPr>
      </w:pPr>
    </w:p>
    <w:tbl>
      <w:tblPr>
        <w:tblStyle w:val="TableGrid"/>
        <w:tblW w:w="0" w:type="auto"/>
        <w:jc w:val="center"/>
        <w:tblLook w:val="04A0" w:firstRow="1" w:lastRow="0" w:firstColumn="1" w:lastColumn="0" w:noHBand="0" w:noVBand="1"/>
      </w:tblPr>
      <w:tblGrid>
        <w:gridCol w:w="3005"/>
        <w:gridCol w:w="3005"/>
        <w:gridCol w:w="3006"/>
      </w:tblGrid>
      <w:tr w:rsidR="00C747CA" w:rsidRPr="00CE5B93" w14:paraId="12BBB903" w14:textId="77777777" w:rsidTr="00CF37D8">
        <w:trPr>
          <w:jc w:val="center"/>
        </w:trPr>
        <w:tc>
          <w:tcPr>
            <w:tcW w:w="3005" w:type="dxa"/>
          </w:tcPr>
          <w:p w14:paraId="3F76A3BE" w14:textId="689B5A08" w:rsidR="00C747CA" w:rsidRPr="00CE5B93" w:rsidRDefault="00C747CA" w:rsidP="002154E1">
            <w:pPr>
              <w:jc w:val="both"/>
              <w:rPr>
                <w:rFonts w:ascii="Arial" w:hAnsi="Arial" w:cs="Arial"/>
                <w:sz w:val="20"/>
                <w:szCs w:val="20"/>
              </w:rPr>
            </w:pPr>
            <w:r w:rsidRPr="00CE5B93">
              <w:rPr>
                <w:rFonts w:ascii="Arial" w:hAnsi="Arial" w:cs="Arial"/>
                <w:sz w:val="20"/>
                <w:szCs w:val="20"/>
              </w:rPr>
              <w:t>Ingredients w/w %</w:t>
            </w:r>
          </w:p>
        </w:tc>
        <w:tc>
          <w:tcPr>
            <w:tcW w:w="3005" w:type="dxa"/>
          </w:tcPr>
          <w:p w14:paraId="457495C7" w14:textId="5CA96887" w:rsidR="00C747CA" w:rsidRPr="00CE5B93" w:rsidRDefault="00C747CA" w:rsidP="002154E1">
            <w:pPr>
              <w:jc w:val="both"/>
              <w:rPr>
                <w:rFonts w:ascii="Arial" w:hAnsi="Arial" w:cs="Arial"/>
                <w:sz w:val="20"/>
                <w:szCs w:val="20"/>
              </w:rPr>
            </w:pPr>
            <w:r w:rsidRPr="00CE5B93">
              <w:rPr>
                <w:rFonts w:ascii="Arial" w:hAnsi="Arial" w:cs="Arial"/>
                <w:sz w:val="20"/>
                <w:szCs w:val="20"/>
              </w:rPr>
              <w:t>Pure PCZ</w:t>
            </w:r>
          </w:p>
        </w:tc>
        <w:tc>
          <w:tcPr>
            <w:tcW w:w="3006" w:type="dxa"/>
          </w:tcPr>
          <w:p w14:paraId="24A2C065" w14:textId="49F2BBE7" w:rsidR="00C747CA" w:rsidRPr="00CE5B93" w:rsidRDefault="00C747CA" w:rsidP="002154E1">
            <w:pPr>
              <w:jc w:val="both"/>
              <w:rPr>
                <w:rFonts w:ascii="Arial" w:hAnsi="Arial" w:cs="Arial"/>
                <w:sz w:val="20"/>
                <w:szCs w:val="20"/>
              </w:rPr>
            </w:pPr>
            <w:r w:rsidRPr="00CE5B93">
              <w:rPr>
                <w:rFonts w:ascii="Arial" w:hAnsi="Arial" w:cs="Arial"/>
                <w:sz w:val="20"/>
                <w:szCs w:val="20"/>
              </w:rPr>
              <w:t>F</w:t>
            </w:r>
            <w:r w:rsidR="004F54F3" w:rsidRPr="00CE5B93">
              <w:rPr>
                <w:rFonts w:ascii="Arial" w:hAnsi="Arial" w:cs="Arial"/>
                <w:sz w:val="20"/>
                <w:szCs w:val="20"/>
              </w:rPr>
              <w:t>6</w:t>
            </w:r>
            <w:r w:rsidRPr="00CE5B93">
              <w:rPr>
                <w:rFonts w:ascii="Arial" w:hAnsi="Arial" w:cs="Arial"/>
                <w:sz w:val="20"/>
                <w:szCs w:val="20"/>
              </w:rPr>
              <w:t>-PCZ NS</w:t>
            </w:r>
          </w:p>
        </w:tc>
      </w:tr>
      <w:tr w:rsidR="00C747CA" w:rsidRPr="00CE5B93" w14:paraId="51EC6763" w14:textId="77777777" w:rsidTr="00CF37D8">
        <w:trPr>
          <w:jc w:val="center"/>
        </w:trPr>
        <w:tc>
          <w:tcPr>
            <w:tcW w:w="3005" w:type="dxa"/>
          </w:tcPr>
          <w:p w14:paraId="46B56528" w14:textId="0077A602" w:rsidR="00C747CA" w:rsidRPr="00CE5B93" w:rsidRDefault="00C747CA" w:rsidP="002154E1">
            <w:pPr>
              <w:jc w:val="both"/>
              <w:rPr>
                <w:rFonts w:ascii="Arial" w:hAnsi="Arial" w:cs="Arial"/>
                <w:sz w:val="20"/>
                <w:szCs w:val="20"/>
              </w:rPr>
            </w:pPr>
            <w:r w:rsidRPr="00CE5B93">
              <w:rPr>
                <w:rFonts w:ascii="Arial" w:hAnsi="Arial" w:cs="Arial"/>
                <w:sz w:val="20"/>
                <w:szCs w:val="20"/>
              </w:rPr>
              <w:t>Posaconazole (gm)</w:t>
            </w:r>
          </w:p>
        </w:tc>
        <w:tc>
          <w:tcPr>
            <w:tcW w:w="3005" w:type="dxa"/>
          </w:tcPr>
          <w:p w14:paraId="37F68ACB" w14:textId="38F964A1" w:rsidR="00C747CA" w:rsidRPr="00CE5B93" w:rsidRDefault="00C747CA" w:rsidP="002154E1">
            <w:pPr>
              <w:jc w:val="both"/>
              <w:rPr>
                <w:rFonts w:ascii="Arial" w:hAnsi="Arial" w:cs="Arial"/>
                <w:sz w:val="20"/>
                <w:szCs w:val="20"/>
              </w:rPr>
            </w:pPr>
            <w:r w:rsidRPr="00CE5B93">
              <w:rPr>
                <w:rFonts w:ascii="Arial" w:hAnsi="Arial" w:cs="Arial"/>
                <w:sz w:val="20"/>
                <w:szCs w:val="20"/>
              </w:rPr>
              <w:t>0.3</w:t>
            </w:r>
          </w:p>
        </w:tc>
        <w:tc>
          <w:tcPr>
            <w:tcW w:w="3006" w:type="dxa"/>
          </w:tcPr>
          <w:p w14:paraId="083770BB" w14:textId="6EF72C6F" w:rsidR="00C747CA" w:rsidRPr="00CE5B93" w:rsidRDefault="00C747CA" w:rsidP="002154E1">
            <w:pPr>
              <w:jc w:val="both"/>
              <w:rPr>
                <w:rFonts w:ascii="Arial" w:hAnsi="Arial" w:cs="Arial"/>
                <w:sz w:val="20"/>
                <w:szCs w:val="20"/>
              </w:rPr>
            </w:pPr>
            <w:r w:rsidRPr="00CE5B93">
              <w:rPr>
                <w:rFonts w:ascii="Arial" w:hAnsi="Arial" w:cs="Arial"/>
                <w:sz w:val="20"/>
                <w:szCs w:val="20"/>
              </w:rPr>
              <w:t>NS eq. to 0.3 gm</w:t>
            </w:r>
          </w:p>
        </w:tc>
      </w:tr>
      <w:tr w:rsidR="00C747CA" w:rsidRPr="00CE5B93" w14:paraId="276EA533" w14:textId="77777777" w:rsidTr="00CF37D8">
        <w:trPr>
          <w:jc w:val="center"/>
        </w:trPr>
        <w:tc>
          <w:tcPr>
            <w:tcW w:w="3005" w:type="dxa"/>
          </w:tcPr>
          <w:p w14:paraId="7547164E" w14:textId="45650E3F" w:rsidR="00C747CA" w:rsidRPr="00CE5B93" w:rsidRDefault="00C747CA" w:rsidP="002154E1">
            <w:pPr>
              <w:jc w:val="both"/>
              <w:rPr>
                <w:rFonts w:ascii="Arial" w:hAnsi="Arial" w:cs="Arial"/>
                <w:sz w:val="20"/>
                <w:szCs w:val="20"/>
              </w:rPr>
            </w:pPr>
            <w:r w:rsidRPr="00CE5B93">
              <w:rPr>
                <w:rFonts w:ascii="Arial" w:hAnsi="Arial" w:cs="Arial"/>
                <w:sz w:val="20"/>
                <w:szCs w:val="20"/>
              </w:rPr>
              <w:t>Carbopol 934 (gm)</w:t>
            </w:r>
          </w:p>
        </w:tc>
        <w:tc>
          <w:tcPr>
            <w:tcW w:w="3005" w:type="dxa"/>
          </w:tcPr>
          <w:p w14:paraId="432FAA44" w14:textId="625491BD" w:rsidR="00C747CA" w:rsidRPr="00CE5B93" w:rsidRDefault="00C747CA" w:rsidP="002154E1">
            <w:pPr>
              <w:jc w:val="both"/>
              <w:rPr>
                <w:rFonts w:ascii="Arial" w:hAnsi="Arial" w:cs="Arial"/>
                <w:sz w:val="20"/>
                <w:szCs w:val="20"/>
              </w:rPr>
            </w:pPr>
            <w:r w:rsidRPr="00CE5B93">
              <w:rPr>
                <w:rFonts w:ascii="Arial" w:hAnsi="Arial" w:cs="Arial"/>
                <w:sz w:val="20"/>
                <w:szCs w:val="20"/>
              </w:rPr>
              <w:t>0.3%</w:t>
            </w:r>
          </w:p>
        </w:tc>
        <w:tc>
          <w:tcPr>
            <w:tcW w:w="3006" w:type="dxa"/>
          </w:tcPr>
          <w:p w14:paraId="16A3DD54" w14:textId="21492130" w:rsidR="00C747CA" w:rsidRPr="00CE5B93" w:rsidRDefault="00C747CA" w:rsidP="002154E1">
            <w:pPr>
              <w:jc w:val="both"/>
              <w:rPr>
                <w:rFonts w:ascii="Arial" w:hAnsi="Arial" w:cs="Arial"/>
                <w:sz w:val="20"/>
                <w:szCs w:val="20"/>
              </w:rPr>
            </w:pPr>
            <w:r w:rsidRPr="00CE5B93">
              <w:rPr>
                <w:rFonts w:ascii="Arial" w:hAnsi="Arial" w:cs="Arial"/>
                <w:sz w:val="20"/>
                <w:szCs w:val="20"/>
              </w:rPr>
              <w:t>0.3%</w:t>
            </w:r>
          </w:p>
        </w:tc>
      </w:tr>
      <w:tr w:rsidR="00C747CA" w:rsidRPr="00CE5B93" w14:paraId="482AF0BB" w14:textId="77777777" w:rsidTr="00CF37D8">
        <w:trPr>
          <w:jc w:val="center"/>
        </w:trPr>
        <w:tc>
          <w:tcPr>
            <w:tcW w:w="3005" w:type="dxa"/>
          </w:tcPr>
          <w:p w14:paraId="5AC46C85" w14:textId="2EA06BE6" w:rsidR="00C747CA" w:rsidRPr="00CE5B93" w:rsidRDefault="00C747CA" w:rsidP="002154E1">
            <w:pPr>
              <w:jc w:val="both"/>
              <w:rPr>
                <w:rFonts w:ascii="Arial" w:hAnsi="Arial" w:cs="Arial"/>
                <w:sz w:val="20"/>
                <w:szCs w:val="20"/>
              </w:rPr>
            </w:pPr>
            <w:r w:rsidRPr="00CE5B93">
              <w:rPr>
                <w:rFonts w:ascii="Arial" w:hAnsi="Arial" w:cs="Arial"/>
                <w:sz w:val="20"/>
                <w:szCs w:val="20"/>
              </w:rPr>
              <w:t>Triethanolamine</w:t>
            </w:r>
          </w:p>
        </w:tc>
        <w:tc>
          <w:tcPr>
            <w:tcW w:w="3005" w:type="dxa"/>
          </w:tcPr>
          <w:p w14:paraId="3C83FFBC" w14:textId="6CC2D8A2" w:rsidR="00C747CA" w:rsidRPr="00CE5B93" w:rsidRDefault="00C747CA" w:rsidP="002154E1">
            <w:pPr>
              <w:jc w:val="both"/>
              <w:rPr>
                <w:rFonts w:ascii="Arial" w:hAnsi="Arial" w:cs="Arial"/>
                <w:sz w:val="20"/>
                <w:szCs w:val="20"/>
              </w:rPr>
            </w:pPr>
            <w:r w:rsidRPr="00CE5B93">
              <w:rPr>
                <w:rFonts w:ascii="Arial" w:hAnsi="Arial" w:cs="Arial"/>
                <w:sz w:val="20"/>
                <w:szCs w:val="20"/>
              </w:rPr>
              <w:t>Few drops</w:t>
            </w:r>
          </w:p>
        </w:tc>
        <w:tc>
          <w:tcPr>
            <w:tcW w:w="3006" w:type="dxa"/>
          </w:tcPr>
          <w:p w14:paraId="2EF6ABD6" w14:textId="0D8AF3F9" w:rsidR="00C747CA" w:rsidRPr="00CE5B93" w:rsidRDefault="00C747CA" w:rsidP="002154E1">
            <w:pPr>
              <w:jc w:val="both"/>
              <w:rPr>
                <w:rFonts w:ascii="Arial" w:hAnsi="Arial" w:cs="Arial"/>
                <w:sz w:val="20"/>
                <w:szCs w:val="20"/>
              </w:rPr>
            </w:pPr>
            <w:r w:rsidRPr="00CE5B93">
              <w:rPr>
                <w:rFonts w:ascii="Arial" w:hAnsi="Arial" w:cs="Arial"/>
                <w:sz w:val="20"/>
                <w:szCs w:val="20"/>
              </w:rPr>
              <w:t>Few drops</w:t>
            </w:r>
          </w:p>
        </w:tc>
      </w:tr>
      <w:tr w:rsidR="00C747CA" w:rsidRPr="00CE5B93" w14:paraId="0317A71E" w14:textId="77777777" w:rsidTr="00CF37D8">
        <w:trPr>
          <w:jc w:val="center"/>
        </w:trPr>
        <w:tc>
          <w:tcPr>
            <w:tcW w:w="3005" w:type="dxa"/>
          </w:tcPr>
          <w:p w14:paraId="3262146B" w14:textId="45F1BA5C" w:rsidR="00C747CA" w:rsidRPr="00CE5B93" w:rsidRDefault="00C747CA" w:rsidP="002154E1">
            <w:pPr>
              <w:jc w:val="both"/>
              <w:rPr>
                <w:rFonts w:ascii="Arial" w:hAnsi="Arial" w:cs="Arial"/>
                <w:sz w:val="20"/>
                <w:szCs w:val="20"/>
              </w:rPr>
            </w:pPr>
            <w:r w:rsidRPr="00CE5B93">
              <w:rPr>
                <w:rFonts w:ascii="Arial" w:hAnsi="Arial" w:cs="Arial"/>
                <w:sz w:val="20"/>
                <w:szCs w:val="20"/>
              </w:rPr>
              <w:t>Ethanol 95 % (v/v)</w:t>
            </w:r>
          </w:p>
        </w:tc>
        <w:tc>
          <w:tcPr>
            <w:tcW w:w="3005" w:type="dxa"/>
          </w:tcPr>
          <w:p w14:paraId="77B62895" w14:textId="5941BC61" w:rsidR="00C747CA" w:rsidRPr="00CE5B93" w:rsidRDefault="00C747CA" w:rsidP="002154E1">
            <w:pPr>
              <w:jc w:val="both"/>
              <w:rPr>
                <w:rFonts w:ascii="Arial" w:hAnsi="Arial" w:cs="Arial"/>
                <w:sz w:val="20"/>
                <w:szCs w:val="20"/>
              </w:rPr>
            </w:pPr>
            <w:r w:rsidRPr="00CE5B93">
              <w:rPr>
                <w:rFonts w:ascii="Arial" w:hAnsi="Arial" w:cs="Arial"/>
                <w:sz w:val="20"/>
                <w:szCs w:val="20"/>
              </w:rPr>
              <w:t>20</w:t>
            </w:r>
          </w:p>
        </w:tc>
        <w:tc>
          <w:tcPr>
            <w:tcW w:w="3006" w:type="dxa"/>
          </w:tcPr>
          <w:p w14:paraId="223FC28F" w14:textId="26BE6084" w:rsidR="00C747CA" w:rsidRPr="00CE5B93" w:rsidRDefault="00C747CA" w:rsidP="002154E1">
            <w:pPr>
              <w:jc w:val="both"/>
              <w:rPr>
                <w:rFonts w:ascii="Arial" w:hAnsi="Arial" w:cs="Arial"/>
                <w:sz w:val="20"/>
                <w:szCs w:val="20"/>
              </w:rPr>
            </w:pPr>
            <w:r w:rsidRPr="00CE5B93">
              <w:rPr>
                <w:rFonts w:ascii="Arial" w:hAnsi="Arial" w:cs="Arial"/>
                <w:sz w:val="20"/>
                <w:szCs w:val="20"/>
              </w:rPr>
              <w:t>20</w:t>
            </w:r>
          </w:p>
        </w:tc>
      </w:tr>
      <w:tr w:rsidR="00C747CA" w:rsidRPr="00CE5B93" w14:paraId="0FB8C3A0" w14:textId="77777777" w:rsidTr="00CF37D8">
        <w:trPr>
          <w:jc w:val="center"/>
        </w:trPr>
        <w:tc>
          <w:tcPr>
            <w:tcW w:w="3005" w:type="dxa"/>
          </w:tcPr>
          <w:p w14:paraId="3D72E218" w14:textId="36055197" w:rsidR="00C747CA" w:rsidRPr="00CE5B93" w:rsidRDefault="00C747CA" w:rsidP="002154E1">
            <w:pPr>
              <w:jc w:val="both"/>
              <w:rPr>
                <w:rFonts w:ascii="Arial" w:hAnsi="Arial" w:cs="Arial"/>
                <w:sz w:val="20"/>
                <w:szCs w:val="20"/>
              </w:rPr>
            </w:pPr>
            <w:r w:rsidRPr="00CE5B93">
              <w:rPr>
                <w:rFonts w:ascii="Arial" w:hAnsi="Arial" w:cs="Arial"/>
                <w:sz w:val="20"/>
                <w:szCs w:val="20"/>
              </w:rPr>
              <w:t>Propylparaben (gm)</w:t>
            </w:r>
          </w:p>
        </w:tc>
        <w:tc>
          <w:tcPr>
            <w:tcW w:w="3005" w:type="dxa"/>
          </w:tcPr>
          <w:p w14:paraId="7B589566" w14:textId="0DA4081E" w:rsidR="00C747CA" w:rsidRPr="00CE5B93" w:rsidRDefault="00C747CA" w:rsidP="002154E1">
            <w:pPr>
              <w:jc w:val="both"/>
              <w:rPr>
                <w:rFonts w:ascii="Arial" w:hAnsi="Arial" w:cs="Arial"/>
                <w:sz w:val="20"/>
                <w:szCs w:val="20"/>
              </w:rPr>
            </w:pPr>
            <w:r w:rsidRPr="00CE5B93">
              <w:rPr>
                <w:rFonts w:ascii="Arial" w:hAnsi="Arial" w:cs="Arial"/>
                <w:sz w:val="20"/>
                <w:szCs w:val="20"/>
              </w:rPr>
              <w:t>0.05 mg</w:t>
            </w:r>
          </w:p>
        </w:tc>
        <w:tc>
          <w:tcPr>
            <w:tcW w:w="3006" w:type="dxa"/>
          </w:tcPr>
          <w:p w14:paraId="1068635E" w14:textId="70895F3F" w:rsidR="00C747CA" w:rsidRPr="00CE5B93" w:rsidRDefault="00C747CA" w:rsidP="002154E1">
            <w:pPr>
              <w:jc w:val="both"/>
              <w:rPr>
                <w:rFonts w:ascii="Arial" w:hAnsi="Arial" w:cs="Arial"/>
                <w:sz w:val="20"/>
                <w:szCs w:val="20"/>
              </w:rPr>
            </w:pPr>
            <w:r w:rsidRPr="00CE5B93">
              <w:rPr>
                <w:rFonts w:ascii="Arial" w:hAnsi="Arial" w:cs="Arial"/>
                <w:sz w:val="20"/>
                <w:szCs w:val="20"/>
              </w:rPr>
              <w:t>0.05 mg</w:t>
            </w:r>
          </w:p>
        </w:tc>
      </w:tr>
      <w:tr w:rsidR="00C747CA" w:rsidRPr="00CE5B93" w14:paraId="38CB9815" w14:textId="77777777" w:rsidTr="00CF37D8">
        <w:trPr>
          <w:trHeight w:val="79"/>
          <w:jc w:val="center"/>
        </w:trPr>
        <w:tc>
          <w:tcPr>
            <w:tcW w:w="3005" w:type="dxa"/>
          </w:tcPr>
          <w:p w14:paraId="3E3586A0" w14:textId="4CB9AEF3" w:rsidR="00C747CA" w:rsidRPr="00CE5B93" w:rsidRDefault="00C747CA" w:rsidP="002154E1">
            <w:pPr>
              <w:jc w:val="both"/>
              <w:rPr>
                <w:rFonts w:ascii="Arial" w:hAnsi="Arial" w:cs="Arial"/>
                <w:sz w:val="20"/>
                <w:szCs w:val="20"/>
              </w:rPr>
            </w:pPr>
            <w:r w:rsidRPr="00CE5B93">
              <w:rPr>
                <w:rFonts w:ascii="Arial" w:hAnsi="Arial" w:cs="Arial"/>
                <w:sz w:val="20"/>
                <w:szCs w:val="20"/>
              </w:rPr>
              <w:t xml:space="preserve">Deionized water </w:t>
            </w:r>
            <w:r w:rsidR="002A2FE1" w:rsidRPr="00CE5B93">
              <w:rPr>
                <w:rFonts w:ascii="Arial" w:hAnsi="Arial" w:cs="Arial"/>
                <w:sz w:val="20"/>
                <w:szCs w:val="20"/>
              </w:rPr>
              <w:t>q. s</w:t>
            </w:r>
          </w:p>
        </w:tc>
        <w:tc>
          <w:tcPr>
            <w:tcW w:w="3005" w:type="dxa"/>
          </w:tcPr>
          <w:p w14:paraId="267A7621" w14:textId="05DB4F8F" w:rsidR="00C747CA" w:rsidRPr="00CE5B93" w:rsidRDefault="00C747CA" w:rsidP="002154E1">
            <w:pPr>
              <w:jc w:val="both"/>
              <w:rPr>
                <w:rFonts w:ascii="Arial" w:hAnsi="Arial" w:cs="Arial"/>
                <w:sz w:val="20"/>
                <w:szCs w:val="20"/>
              </w:rPr>
            </w:pPr>
            <w:r w:rsidRPr="00CE5B93">
              <w:rPr>
                <w:rFonts w:ascii="Arial" w:hAnsi="Arial" w:cs="Arial"/>
                <w:sz w:val="20"/>
                <w:szCs w:val="20"/>
              </w:rPr>
              <w:t>100</w:t>
            </w:r>
          </w:p>
        </w:tc>
        <w:tc>
          <w:tcPr>
            <w:tcW w:w="3006" w:type="dxa"/>
          </w:tcPr>
          <w:p w14:paraId="431286D6" w14:textId="6117F609" w:rsidR="00C747CA" w:rsidRPr="00CE5B93" w:rsidRDefault="00C747CA" w:rsidP="002154E1">
            <w:pPr>
              <w:jc w:val="both"/>
              <w:rPr>
                <w:rFonts w:ascii="Arial" w:hAnsi="Arial" w:cs="Arial"/>
                <w:sz w:val="20"/>
                <w:szCs w:val="20"/>
              </w:rPr>
            </w:pPr>
            <w:r w:rsidRPr="00CE5B93">
              <w:rPr>
                <w:rFonts w:ascii="Arial" w:hAnsi="Arial" w:cs="Arial"/>
                <w:sz w:val="20"/>
                <w:szCs w:val="20"/>
              </w:rPr>
              <w:t>100</w:t>
            </w:r>
          </w:p>
        </w:tc>
      </w:tr>
    </w:tbl>
    <w:p w14:paraId="61A9E273" w14:textId="77777777" w:rsidR="00C747CA" w:rsidRPr="00CE5B93" w:rsidRDefault="00C747CA" w:rsidP="002154E1">
      <w:pPr>
        <w:jc w:val="both"/>
        <w:rPr>
          <w:rFonts w:ascii="Arial" w:hAnsi="Arial" w:cs="Arial"/>
          <w:sz w:val="20"/>
          <w:szCs w:val="20"/>
        </w:rPr>
      </w:pPr>
    </w:p>
    <w:p w14:paraId="75F5C9EA" w14:textId="3ED6DC8F" w:rsidR="00AE3945" w:rsidRPr="00CE5B93" w:rsidRDefault="00C747CA" w:rsidP="002154E1">
      <w:pPr>
        <w:jc w:val="both"/>
        <w:rPr>
          <w:rFonts w:ascii="Arial" w:hAnsi="Arial" w:cs="Arial"/>
          <w:sz w:val="20"/>
          <w:szCs w:val="20"/>
        </w:rPr>
      </w:pPr>
      <w:r w:rsidRPr="00CE5B93">
        <w:rPr>
          <w:rFonts w:ascii="Arial" w:hAnsi="Arial" w:cs="Arial"/>
          <w:sz w:val="20"/>
          <w:szCs w:val="20"/>
        </w:rPr>
        <w:t>Table 2: Composition of PCZ NS loaded-</w:t>
      </w:r>
      <w:proofErr w:type="gramStart"/>
      <w:r w:rsidRPr="00CE5B93">
        <w:rPr>
          <w:rFonts w:ascii="Arial" w:hAnsi="Arial" w:cs="Arial"/>
          <w:sz w:val="20"/>
          <w:szCs w:val="20"/>
        </w:rPr>
        <w:t>hydrogel</w:t>
      </w:r>
      <w:r w:rsidR="00AB10C2" w:rsidRPr="00CE5B93">
        <w:rPr>
          <w:rFonts w:ascii="Arial" w:hAnsi="Arial" w:cs="Arial"/>
          <w:sz w:val="20"/>
          <w:szCs w:val="20"/>
        </w:rPr>
        <w:t>(</w:t>
      </w:r>
      <w:proofErr w:type="gramEnd"/>
      <w:r w:rsidR="00AB10C2" w:rsidRPr="00CE5B93">
        <w:rPr>
          <w:rFonts w:ascii="Arial" w:hAnsi="Arial" w:cs="Arial"/>
          <w:sz w:val="20"/>
          <w:szCs w:val="20"/>
        </w:rPr>
        <w:t>15)</w:t>
      </w:r>
    </w:p>
    <w:p w14:paraId="2848A92D" w14:textId="4C7BCFFE" w:rsidR="00AE3945" w:rsidRPr="00BF7B07" w:rsidRDefault="000239AD" w:rsidP="002154E1">
      <w:pPr>
        <w:jc w:val="both"/>
        <w:rPr>
          <w:rFonts w:ascii="Arial" w:hAnsi="Arial" w:cs="Arial"/>
          <w:b/>
          <w:bCs/>
        </w:rPr>
      </w:pPr>
      <w:r w:rsidRPr="00BF7B07">
        <w:rPr>
          <w:rFonts w:ascii="Arial" w:hAnsi="Arial" w:cs="Arial"/>
          <w:b/>
          <w:bCs/>
        </w:rPr>
        <w:t xml:space="preserve">2. </w:t>
      </w:r>
      <w:r w:rsidR="00244CC5" w:rsidRPr="00BF7B07">
        <w:rPr>
          <w:rFonts w:ascii="Arial" w:hAnsi="Arial" w:cs="Arial"/>
          <w:b/>
          <w:bCs/>
        </w:rPr>
        <w:t>MATERIALS AND METHODS</w:t>
      </w:r>
    </w:p>
    <w:p w14:paraId="023F94FC" w14:textId="7E851FF9" w:rsidR="00244CC5" w:rsidRPr="004B1428" w:rsidRDefault="00312DC4" w:rsidP="002154E1">
      <w:pPr>
        <w:jc w:val="both"/>
        <w:rPr>
          <w:rFonts w:ascii="Arial" w:hAnsi="Arial" w:cs="Arial"/>
          <w:b/>
          <w:bCs/>
        </w:rPr>
      </w:pPr>
      <w:r w:rsidRPr="004B1428">
        <w:rPr>
          <w:rFonts w:ascii="Arial" w:hAnsi="Arial" w:cs="Arial"/>
          <w:b/>
          <w:bCs/>
        </w:rPr>
        <w:t xml:space="preserve">2.1 </w:t>
      </w:r>
      <w:r w:rsidR="00244CC5" w:rsidRPr="004B1428">
        <w:rPr>
          <w:rFonts w:ascii="Arial" w:hAnsi="Arial" w:cs="Arial"/>
          <w:b/>
          <w:bCs/>
        </w:rPr>
        <w:t>Materials</w:t>
      </w:r>
    </w:p>
    <w:p w14:paraId="253ACE46" w14:textId="77777777" w:rsidR="006449C0" w:rsidRPr="00CE5B93" w:rsidRDefault="006449C0" w:rsidP="002154E1">
      <w:pPr>
        <w:jc w:val="both"/>
        <w:rPr>
          <w:rFonts w:ascii="Arial" w:hAnsi="Arial" w:cs="Arial"/>
          <w:sz w:val="20"/>
          <w:szCs w:val="20"/>
        </w:rPr>
      </w:pPr>
      <w:r w:rsidRPr="00CE5B93">
        <w:rPr>
          <w:rFonts w:ascii="Arial" w:hAnsi="Arial" w:cs="Arial"/>
          <w:sz w:val="20"/>
          <w:szCs w:val="20"/>
        </w:rPr>
        <w:t xml:space="preserve">Posaconazole in powdered form was obtained from Yarrow Chem, while polycaprolactone (PCL), PVA, and dichloromethane (DCM) were sourced from </w:t>
      </w:r>
      <w:proofErr w:type="spellStart"/>
      <w:r w:rsidRPr="00CE5B93">
        <w:rPr>
          <w:rFonts w:ascii="Arial" w:hAnsi="Arial" w:cs="Arial"/>
          <w:sz w:val="20"/>
          <w:szCs w:val="20"/>
        </w:rPr>
        <w:t>Ottochemie</w:t>
      </w:r>
      <w:proofErr w:type="spellEnd"/>
      <w:r w:rsidRPr="00CE5B93">
        <w:rPr>
          <w:rFonts w:ascii="Arial" w:hAnsi="Arial" w:cs="Arial"/>
          <w:sz w:val="20"/>
          <w:szCs w:val="20"/>
        </w:rPr>
        <w:t>, Mumbai. Ethanol was procured from Hi-Media, and all other chemicals and reagents used in the study were of analytical grade.</w:t>
      </w:r>
    </w:p>
    <w:p w14:paraId="44FC99C7" w14:textId="50974717" w:rsidR="00244CC5" w:rsidRPr="003C451E" w:rsidRDefault="00734F51" w:rsidP="002154E1">
      <w:pPr>
        <w:jc w:val="both"/>
        <w:rPr>
          <w:rFonts w:ascii="Arial" w:hAnsi="Arial" w:cs="Arial"/>
          <w:b/>
          <w:bCs/>
        </w:rPr>
      </w:pPr>
      <w:r w:rsidRPr="003C451E">
        <w:rPr>
          <w:rFonts w:ascii="Arial" w:hAnsi="Arial" w:cs="Arial"/>
          <w:b/>
          <w:bCs/>
        </w:rPr>
        <w:lastRenderedPageBreak/>
        <w:t>2.2</w:t>
      </w:r>
      <w:r w:rsidR="003C451E">
        <w:rPr>
          <w:rFonts w:ascii="Arial" w:hAnsi="Arial" w:cs="Arial"/>
          <w:b/>
          <w:bCs/>
        </w:rPr>
        <w:t xml:space="preserve"> </w:t>
      </w:r>
      <w:r w:rsidR="00244CC5" w:rsidRPr="003C451E">
        <w:rPr>
          <w:rFonts w:ascii="Arial" w:hAnsi="Arial" w:cs="Arial"/>
          <w:b/>
          <w:bCs/>
        </w:rPr>
        <w:t xml:space="preserve">Preparation of </w:t>
      </w:r>
      <w:proofErr w:type="spellStart"/>
      <w:r w:rsidR="00244CC5" w:rsidRPr="003C451E">
        <w:rPr>
          <w:rFonts w:ascii="Arial" w:hAnsi="Arial" w:cs="Arial"/>
          <w:b/>
          <w:bCs/>
        </w:rPr>
        <w:t>Posaconazole</w:t>
      </w:r>
      <w:proofErr w:type="spellEnd"/>
      <w:r w:rsidR="00244CC5" w:rsidRPr="003C451E">
        <w:rPr>
          <w:rFonts w:ascii="Arial" w:hAnsi="Arial" w:cs="Arial"/>
          <w:b/>
          <w:bCs/>
        </w:rPr>
        <w:t xml:space="preserve"> (PCZ)-loaded </w:t>
      </w:r>
      <w:proofErr w:type="spellStart"/>
      <w:r w:rsidR="00244CC5" w:rsidRPr="003C451E">
        <w:rPr>
          <w:rFonts w:ascii="Arial" w:hAnsi="Arial" w:cs="Arial"/>
          <w:b/>
          <w:bCs/>
        </w:rPr>
        <w:t>Nanosponges</w:t>
      </w:r>
      <w:proofErr w:type="spellEnd"/>
    </w:p>
    <w:p w14:paraId="5571355A" w14:textId="24114EF1" w:rsidR="00AA1FAD" w:rsidRPr="00CE5B93" w:rsidRDefault="00AA1FAD" w:rsidP="002154E1">
      <w:pPr>
        <w:jc w:val="both"/>
        <w:rPr>
          <w:rFonts w:ascii="Arial" w:hAnsi="Arial" w:cs="Arial"/>
          <w:sz w:val="20"/>
          <w:szCs w:val="20"/>
        </w:rPr>
      </w:pPr>
      <w:proofErr w:type="spellStart"/>
      <w:r w:rsidRPr="00CE5B93">
        <w:rPr>
          <w:rFonts w:ascii="Arial" w:hAnsi="Arial" w:cs="Arial"/>
          <w:sz w:val="20"/>
          <w:szCs w:val="20"/>
        </w:rPr>
        <w:t>Posaconazole</w:t>
      </w:r>
      <w:proofErr w:type="spellEnd"/>
      <w:r w:rsidRPr="00CE5B93">
        <w:rPr>
          <w:rFonts w:ascii="Arial" w:hAnsi="Arial" w:cs="Arial"/>
          <w:sz w:val="20"/>
          <w:szCs w:val="20"/>
        </w:rPr>
        <w:t xml:space="preserve">-loaded </w:t>
      </w:r>
      <w:proofErr w:type="spellStart"/>
      <w:r w:rsidRPr="00CE5B93">
        <w:rPr>
          <w:rFonts w:ascii="Arial" w:hAnsi="Arial" w:cs="Arial"/>
          <w:sz w:val="20"/>
          <w:szCs w:val="20"/>
        </w:rPr>
        <w:t>nanosponges</w:t>
      </w:r>
      <w:proofErr w:type="spellEnd"/>
      <w:r w:rsidRPr="00CE5B93">
        <w:rPr>
          <w:rFonts w:ascii="Arial" w:hAnsi="Arial" w:cs="Arial"/>
          <w:sz w:val="20"/>
          <w:szCs w:val="20"/>
        </w:rPr>
        <w:t xml:space="preserve"> were prepared using the emulsion solvent evaporation technique, incorporating varying concentrations of ethyl cellulose [7]. In this method, a measured quantity of PVA was dissolved in 100 mL of water to form the continuous aqueous phase. This was gradually combined with a dispersed organic phase containing posaconazole and polymer dissolved in a 20 mL mixture of dichloromethane and ethanol. The emulsion was stirred magnetically at 1500 rpm for two hours. Afterward, the formed </w:t>
      </w:r>
      <w:proofErr w:type="spellStart"/>
      <w:r w:rsidRPr="00CE5B93">
        <w:rPr>
          <w:rFonts w:ascii="Arial" w:hAnsi="Arial" w:cs="Arial"/>
          <w:sz w:val="20"/>
          <w:szCs w:val="20"/>
        </w:rPr>
        <w:t>nanosponges</w:t>
      </w:r>
      <w:proofErr w:type="spellEnd"/>
      <w:r w:rsidRPr="00CE5B93">
        <w:rPr>
          <w:rFonts w:ascii="Arial" w:hAnsi="Arial" w:cs="Arial"/>
          <w:sz w:val="20"/>
          <w:szCs w:val="20"/>
        </w:rPr>
        <w:t xml:space="preserve"> were collected by filtration, dried in a hot air oven at 40°C for 24 hours, and stored in sealed vials. The different formulations are detailed in Table </w:t>
      </w:r>
      <w:proofErr w:type="gramStart"/>
      <w:r w:rsidRPr="00CE5B93">
        <w:rPr>
          <w:rFonts w:ascii="Arial" w:hAnsi="Arial" w:cs="Arial"/>
          <w:sz w:val="20"/>
          <w:szCs w:val="20"/>
        </w:rPr>
        <w:t>1.</w:t>
      </w:r>
      <w:r w:rsidR="00F76E92" w:rsidRPr="00CE5B93">
        <w:rPr>
          <w:rFonts w:ascii="Arial" w:hAnsi="Arial" w:cs="Arial"/>
          <w:sz w:val="20"/>
          <w:szCs w:val="20"/>
        </w:rPr>
        <w:t>(</w:t>
      </w:r>
      <w:proofErr w:type="gramEnd"/>
      <w:r w:rsidR="00F76E92" w:rsidRPr="00CE5B93">
        <w:rPr>
          <w:rFonts w:ascii="Arial" w:hAnsi="Arial" w:cs="Arial"/>
          <w:sz w:val="20"/>
          <w:szCs w:val="20"/>
        </w:rPr>
        <w:t>13</w:t>
      </w:r>
      <w:r w:rsidR="00253125" w:rsidRPr="00CE5B93">
        <w:rPr>
          <w:rFonts w:ascii="Arial" w:hAnsi="Arial" w:cs="Arial"/>
          <w:sz w:val="20"/>
          <w:szCs w:val="20"/>
        </w:rPr>
        <w:t>,14</w:t>
      </w:r>
      <w:r w:rsidR="00F76E92" w:rsidRPr="00CE5B93">
        <w:rPr>
          <w:rFonts w:ascii="Arial" w:hAnsi="Arial" w:cs="Arial"/>
          <w:sz w:val="20"/>
          <w:szCs w:val="20"/>
        </w:rPr>
        <w:t>)</w:t>
      </w:r>
    </w:p>
    <w:p w14:paraId="709795E5" w14:textId="4210305B" w:rsidR="00436C1A" w:rsidRPr="00CE5B93" w:rsidRDefault="009834B8" w:rsidP="002154E1">
      <w:pPr>
        <w:jc w:val="both"/>
        <w:rPr>
          <w:rFonts w:ascii="Arial" w:hAnsi="Arial" w:cs="Arial"/>
          <w:sz w:val="20"/>
          <w:szCs w:val="20"/>
        </w:rPr>
      </w:pPr>
      <w:r w:rsidRPr="00CE5B93">
        <w:rPr>
          <w:rFonts w:ascii="Arial" w:hAnsi="Arial" w:cs="Arial"/>
          <w:kern w:val="0"/>
          <w:sz w:val="20"/>
          <w:szCs w:val="20"/>
          <w14:ligatures w14:val="none"/>
        </w:rPr>
        <w:object w:dxaOrig="7932" w:dyaOrig="2304" w14:anchorId="75FC0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95pt;height:95.45pt" o:ole="">
            <v:imagedata r:id="rId9" o:title=""/>
          </v:shape>
          <o:OLEObject Type="Embed" ProgID="ChemDraw.Document.6.0" ShapeID="_x0000_i1025" DrawAspect="Content" ObjectID="_1808390102" r:id="rId10"/>
        </w:object>
      </w:r>
    </w:p>
    <w:p w14:paraId="47A1ADCD" w14:textId="61BD3D33" w:rsidR="00436C1A" w:rsidRPr="00CE5B93" w:rsidRDefault="00436C1A" w:rsidP="002154E1">
      <w:pPr>
        <w:jc w:val="both"/>
        <w:rPr>
          <w:rFonts w:ascii="Arial" w:hAnsi="Arial" w:cs="Arial"/>
          <w:sz w:val="20"/>
          <w:szCs w:val="20"/>
        </w:rPr>
      </w:pPr>
      <w:r w:rsidRPr="00CE5B93">
        <w:rPr>
          <w:rFonts w:ascii="Arial" w:hAnsi="Arial" w:cs="Arial"/>
          <w:sz w:val="20"/>
          <w:szCs w:val="20"/>
        </w:rPr>
        <w:t xml:space="preserve">Figure 2: Chemical structure of </w:t>
      </w:r>
      <w:proofErr w:type="gramStart"/>
      <w:r w:rsidRPr="00CE5B93">
        <w:rPr>
          <w:rFonts w:ascii="Arial" w:hAnsi="Arial" w:cs="Arial"/>
          <w:sz w:val="20"/>
          <w:szCs w:val="20"/>
        </w:rPr>
        <w:t>Posaconazole.</w:t>
      </w:r>
      <w:r w:rsidR="00235B60" w:rsidRPr="00CE5B93">
        <w:rPr>
          <w:rFonts w:ascii="Arial" w:hAnsi="Arial" w:cs="Arial"/>
          <w:sz w:val="20"/>
          <w:szCs w:val="20"/>
        </w:rPr>
        <w:t>(</w:t>
      </w:r>
      <w:proofErr w:type="gramEnd"/>
      <w:r w:rsidR="00235B60" w:rsidRPr="00CE5B93">
        <w:rPr>
          <w:rFonts w:ascii="Arial" w:hAnsi="Arial" w:cs="Arial"/>
          <w:sz w:val="20"/>
          <w:szCs w:val="20"/>
        </w:rPr>
        <w:t>16)</w:t>
      </w:r>
    </w:p>
    <w:p w14:paraId="79233311" w14:textId="5B1528F9" w:rsidR="00436C1A" w:rsidRPr="003C451E" w:rsidRDefault="00734F51" w:rsidP="002154E1">
      <w:pPr>
        <w:jc w:val="both"/>
        <w:rPr>
          <w:rFonts w:ascii="Arial" w:hAnsi="Arial" w:cs="Arial"/>
          <w:b/>
          <w:bCs/>
        </w:rPr>
      </w:pPr>
      <w:r w:rsidRPr="003C451E">
        <w:rPr>
          <w:rFonts w:ascii="Arial" w:hAnsi="Arial" w:cs="Arial"/>
          <w:b/>
          <w:bCs/>
        </w:rPr>
        <w:t>2.</w:t>
      </w:r>
      <w:r w:rsidR="00100E57" w:rsidRPr="003C451E">
        <w:rPr>
          <w:rFonts w:ascii="Arial" w:hAnsi="Arial" w:cs="Arial"/>
          <w:b/>
          <w:bCs/>
        </w:rPr>
        <w:t xml:space="preserve">3 </w:t>
      </w:r>
      <w:r w:rsidR="00436C1A" w:rsidRPr="003C451E">
        <w:rPr>
          <w:rFonts w:ascii="Arial" w:hAnsi="Arial" w:cs="Arial"/>
          <w:b/>
          <w:bCs/>
        </w:rPr>
        <w:t xml:space="preserve">Formulation of </w:t>
      </w:r>
      <w:proofErr w:type="spellStart"/>
      <w:r w:rsidR="00436C1A" w:rsidRPr="003C451E">
        <w:rPr>
          <w:rFonts w:ascii="Arial" w:hAnsi="Arial" w:cs="Arial"/>
          <w:b/>
          <w:bCs/>
        </w:rPr>
        <w:t>Nanosponge</w:t>
      </w:r>
      <w:proofErr w:type="spellEnd"/>
      <w:r w:rsidR="00436C1A" w:rsidRPr="003C451E">
        <w:rPr>
          <w:rFonts w:ascii="Arial" w:hAnsi="Arial" w:cs="Arial"/>
          <w:b/>
          <w:bCs/>
        </w:rPr>
        <w:t>-Loaded Hydrogels</w:t>
      </w:r>
    </w:p>
    <w:p w14:paraId="2AE7BABB" w14:textId="068B8744" w:rsidR="00390D52" w:rsidRPr="00CE5B93" w:rsidRDefault="00A52032" w:rsidP="002154E1">
      <w:pPr>
        <w:jc w:val="both"/>
        <w:rPr>
          <w:rFonts w:ascii="Arial" w:hAnsi="Arial" w:cs="Arial"/>
          <w:sz w:val="20"/>
          <w:szCs w:val="20"/>
        </w:rPr>
      </w:pPr>
      <w:r w:rsidRPr="00CE5B93">
        <w:rPr>
          <w:rFonts w:ascii="Arial" w:hAnsi="Arial" w:cs="Arial"/>
          <w:sz w:val="20"/>
          <w:szCs w:val="20"/>
        </w:rPr>
        <w:t xml:space="preserve">To prepare the hydrogel, 1 gram of Carbopol 934 was soaked in 100 mL of distilled water for 12 hours and then stirred using a magnetic stirrer to form a uniform dispersion. The mixture was allowed to stand for 15 minutes to eliminate any entrapped air. Propylparaben, used as a preservative, was dissolved in a small amount of warm water. The pH of the resulting solution was adjusted by slowly adding triethanolamine with continuous stirring. Finally, the prepared polymer solution was blended with either pure </w:t>
      </w:r>
      <w:proofErr w:type="spellStart"/>
      <w:r w:rsidRPr="00CE5B93">
        <w:rPr>
          <w:rFonts w:ascii="Arial" w:hAnsi="Arial" w:cs="Arial"/>
          <w:sz w:val="20"/>
          <w:szCs w:val="20"/>
        </w:rPr>
        <w:t>posaconazole</w:t>
      </w:r>
      <w:proofErr w:type="spellEnd"/>
      <w:r w:rsidRPr="00CE5B93">
        <w:rPr>
          <w:rFonts w:ascii="Arial" w:hAnsi="Arial" w:cs="Arial"/>
          <w:sz w:val="20"/>
          <w:szCs w:val="20"/>
        </w:rPr>
        <w:t xml:space="preserve"> or lyophilized </w:t>
      </w:r>
      <w:proofErr w:type="spellStart"/>
      <w:r w:rsidRPr="00CE5B93">
        <w:rPr>
          <w:rFonts w:ascii="Arial" w:hAnsi="Arial" w:cs="Arial"/>
          <w:sz w:val="20"/>
          <w:szCs w:val="20"/>
        </w:rPr>
        <w:t>nanosponge</w:t>
      </w:r>
      <w:proofErr w:type="spellEnd"/>
      <w:r w:rsidRPr="00CE5B93">
        <w:rPr>
          <w:rFonts w:ascii="Arial" w:hAnsi="Arial" w:cs="Arial"/>
          <w:sz w:val="20"/>
          <w:szCs w:val="20"/>
        </w:rPr>
        <w:t xml:space="preserve">-loaded PCZ to obtain the two hydrogel formulations outlined in Table </w:t>
      </w:r>
      <w:proofErr w:type="gramStart"/>
      <w:r w:rsidRPr="00CE5B93">
        <w:rPr>
          <w:rFonts w:ascii="Arial" w:hAnsi="Arial" w:cs="Arial"/>
          <w:sz w:val="20"/>
          <w:szCs w:val="20"/>
        </w:rPr>
        <w:t>2.</w:t>
      </w:r>
      <w:r w:rsidR="008021EA" w:rsidRPr="00CE5B93">
        <w:rPr>
          <w:rFonts w:ascii="Arial" w:hAnsi="Arial" w:cs="Arial"/>
          <w:sz w:val="20"/>
          <w:szCs w:val="20"/>
        </w:rPr>
        <w:t>(</w:t>
      </w:r>
      <w:proofErr w:type="gramEnd"/>
      <w:r w:rsidR="008021EA" w:rsidRPr="00CE5B93">
        <w:rPr>
          <w:rFonts w:ascii="Arial" w:hAnsi="Arial" w:cs="Arial"/>
          <w:sz w:val="20"/>
          <w:szCs w:val="20"/>
        </w:rPr>
        <w:t>17)</w:t>
      </w:r>
    </w:p>
    <w:p w14:paraId="3C5617C3" w14:textId="6C1688AC" w:rsidR="00436C1A" w:rsidRPr="009B6BDA" w:rsidRDefault="009B6BDA" w:rsidP="00820313">
      <w:pPr>
        <w:jc w:val="both"/>
        <w:rPr>
          <w:rFonts w:ascii="Arial" w:hAnsi="Arial" w:cs="Arial"/>
          <w:b/>
          <w:bCs/>
        </w:rPr>
      </w:pPr>
      <w:r w:rsidRPr="009B6BDA">
        <w:rPr>
          <w:rFonts w:ascii="Arial" w:hAnsi="Arial" w:cs="Arial"/>
          <w:b/>
          <w:bCs/>
        </w:rPr>
        <w:t xml:space="preserve">2.4 </w:t>
      </w:r>
      <w:r w:rsidR="00436C1A" w:rsidRPr="009B6BDA">
        <w:rPr>
          <w:rFonts w:ascii="Arial" w:hAnsi="Arial" w:cs="Arial"/>
          <w:b/>
          <w:bCs/>
        </w:rPr>
        <w:t xml:space="preserve">Evaluation of the Prepared </w:t>
      </w:r>
      <w:proofErr w:type="spellStart"/>
      <w:r w:rsidR="00436C1A" w:rsidRPr="009B6BDA">
        <w:rPr>
          <w:rFonts w:ascii="Arial" w:hAnsi="Arial" w:cs="Arial"/>
          <w:b/>
          <w:bCs/>
        </w:rPr>
        <w:t>Nanosponges</w:t>
      </w:r>
      <w:proofErr w:type="spellEnd"/>
    </w:p>
    <w:p w14:paraId="5C5C0138" w14:textId="2523C9A1" w:rsidR="00436C1A" w:rsidRPr="009B6BDA" w:rsidRDefault="00100E57" w:rsidP="002154E1">
      <w:pPr>
        <w:jc w:val="both"/>
        <w:rPr>
          <w:rFonts w:ascii="Arial" w:hAnsi="Arial" w:cs="Arial"/>
          <w:b/>
          <w:bCs/>
          <w:sz w:val="20"/>
          <w:szCs w:val="20"/>
          <w:u w:val="single"/>
        </w:rPr>
      </w:pPr>
      <w:r w:rsidRPr="009B6BDA">
        <w:rPr>
          <w:rFonts w:ascii="Arial" w:hAnsi="Arial" w:cs="Arial"/>
          <w:b/>
          <w:bCs/>
          <w:sz w:val="20"/>
          <w:szCs w:val="20"/>
          <w:u w:val="single"/>
        </w:rPr>
        <w:t>2.4</w:t>
      </w:r>
      <w:r w:rsidR="00734F51" w:rsidRPr="009B6BDA">
        <w:rPr>
          <w:rFonts w:ascii="Arial" w:hAnsi="Arial" w:cs="Arial"/>
          <w:b/>
          <w:bCs/>
          <w:sz w:val="20"/>
          <w:szCs w:val="20"/>
          <w:u w:val="single"/>
        </w:rPr>
        <w:t xml:space="preserve">.1 </w:t>
      </w:r>
      <w:r w:rsidR="00436C1A" w:rsidRPr="009B6BDA">
        <w:rPr>
          <w:rFonts w:ascii="Arial" w:hAnsi="Arial" w:cs="Arial"/>
          <w:b/>
          <w:bCs/>
          <w:sz w:val="20"/>
          <w:szCs w:val="20"/>
          <w:u w:val="single"/>
        </w:rPr>
        <w:t>Visual examination</w:t>
      </w:r>
    </w:p>
    <w:p w14:paraId="19715562" w14:textId="77777777" w:rsidR="000E2239" w:rsidRPr="00CE5B93" w:rsidRDefault="000E2239" w:rsidP="002154E1">
      <w:pPr>
        <w:jc w:val="both"/>
        <w:rPr>
          <w:rFonts w:ascii="Arial" w:hAnsi="Arial" w:cs="Arial"/>
          <w:sz w:val="20"/>
          <w:szCs w:val="20"/>
        </w:rPr>
      </w:pPr>
      <w:r w:rsidRPr="00CE5B93">
        <w:rPr>
          <w:rFonts w:ascii="Arial" w:hAnsi="Arial" w:cs="Arial"/>
          <w:sz w:val="20"/>
          <w:szCs w:val="20"/>
        </w:rPr>
        <w:t xml:space="preserve">A small amount of the </w:t>
      </w:r>
      <w:proofErr w:type="spellStart"/>
      <w:r w:rsidRPr="00CE5B93">
        <w:rPr>
          <w:rFonts w:ascii="Arial" w:hAnsi="Arial" w:cs="Arial"/>
          <w:sz w:val="20"/>
          <w:szCs w:val="20"/>
        </w:rPr>
        <w:t>ethosomal</w:t>
      </w:r>
      <w:proofErr w:type="spellEnd"/>
      <w:r w:rsidRPr="00CE5B93">
        <w:rPr>
          <w:rFonts w:ascii="Arial" w:hAnsi="Arial" w:cs="Arial"/>
          <w:sz w:val="20"/>
          <w:szCs w:val="20"/>
        </w:rPr>
        <w:t xml:space="preserve"> dispersion was spread onto a glass slide using a glass rod for visual assessment. The formation of multilamellar vesicles was confirmed by examining the sample under an optical microscope at 10x and 40x magnifications.</w:t>
      </w:r>
    </w:p>
    <w:p w14:paraId="5892F107" w14:textId="047F3AF3" w:rsidR="00436C1A" w:rsidRPr="00612101" w:rsidRDefault="00100E57" w:rsidP="002154E1">
      <w:pPr>
        <w:jc w:val="both"/>
        <w:rPr>
          <w:rFonts w:ascii="Arial" w:hAnsi="Arial" w:cs="Arial"/>
          <w:b/>
          <w:bCs/>
          <w:sz w:val="20"/>
          <w:szCs w:val="20"/>
          <w:u w:val="single"/>
        </w:rPr>
      </w:pPr>
      <w:r w:rsidRPr="00612101">
        <w:rPr>
          <w:rFonts w:ascii="Arial" w:hAnsi="Arial" w:cs="Arial"/>
          <w:b/>
          <w:bCs/>
          <w:sz w:val="20"/>
          <w:szCs w:val="20"/>
          <w:u w:val="single"/>
        </w:rPr>
        <w:t>2.4.2</w:t>
      </w:r>
      <w:r w:rsidR="00734F51" w:rsidRPr="00612101">
        <w:rPr>
          <w:rFonts w:ascii="Arial" w:hAnsi="Arial" w:cs="Arial"/>
          <w:b/>
          <w:bCs/>
          <w:sz w:val="20"/>
          <w:szCs w:val="20"/>
          <w:u w:val="single"/>
        </w:rPr>
        <w:t xml:space="preserve"> </w:t>
      </w:r>
      <w:r w:rsidR="00436C1A" w:rsidRPr="00612101">
        <w:rPr>
          <w:rFonts w:ascii="Arial" w:hAnsi="Arial" w:cs="Arial"/>
          <w:b/>
          <w:bCs/>
          <w:sz w:val="20"/>
          <w:szCs w:val="20"/>
          <w:u w:val="single"/>
        </w:rPr>
        <w:t>SEM Analysis</w:t>
      </w:r>
    </w:p>
    <w:p w14:paraId="78806A82" w14:textId="77777777" w:rsidR="00100E57" w:rsidRPr="00CE5B93" w:rsidRDefault="00D75A86" w:rsidP="002154E1">
      <w:pPr>
        <w:jc w:val="both"/>
        <w:rPr>
          <w:rFonts w:ascii="Arial" w:hAnsi="Arial" w:cs="Arial"/>
          <w:sz w:val="20"/>
          <w:szCs w:val="20"/>
        </w:rPr>
      </w:pPr>
      <w:r w:rsidRPr="00CE5B93">
        <w:rPr>
          <w:rFonts w:ascii="Arial" w:hAnsi="Arial" w:cs="Arial"/>
          <w:sz w:val="20"/>
          <w:szCs w:val="20"/>
        </w:rPr>
        <w:t xml:space="preserve">Scanning electron microscopy (SEM) was conducted on a Vega/TESCAN instrument to assess surface morphology, topographical characteristics, and structural differences between the raw drug and the </w:t>
      </w:r>
      <w:proofErr w:type="spellStart"/>
      <w:r w:rsidRPr="00CE5B93">
        <w:rPr>
          <w:rFonts w:ascii="Arial" w:hAnsi="Arial" w:cs="Arial"/>
          <w:sz w:val="20"/>
          <w:szCs w:val="20"/>
        </w:rPr>
        <w:t>nanosponge</w:t>
      </w:r>
      <w:proofErr w:type="spellEnd"/>
      <w:r w:rsidRPr="00CE5B93">
        <w:rPr>
          <w:rFonts w:ascii="Arial" w:hAnsi="Arial" w:cs="Arial"/>
          <w:sz w:val="20"/>
          <w:szCs w:val="20"/>
        </w:rPr>
        <w:t xml:space="preserve"> </w:t>
      </w:r>
      <w:proofErr w:type="gramStart"/>
      <w:r w:rsidRPr="00CE5B93">
        <w:rPr>
          <w:rFonts w:ascii="Arial" w:hAnsi="Arial" w:cs="Arial"/>
          <w:sz w:val="20"/>
          <w:szCs w:val="20"/>
        </w:rPr>
        <w:t>formulation.</w:t>
      </w:r>
      <w:r w:rsidR="008021EA" w:rsidRPr="00CE5B93">
        <w:rPr>
          <w:rFonts w:ascii="Arial" w:hAnsi="Arial" w:cs="Arial"/>
          <w:sz w:val="20"/>
          <w:szCs w:val="20"/>
        </w:rPr>
        <w:t>(</w:t>
      </w:r>
      <w:proofErr w:type="gramEnd"/>
      <w:r w:rsidR="008021EA" w:rsidRPr="00CE5B93">
        <w:rPr>
          <w:rFonts w:ascii="Arial" w:hAnsi="Arial" w:cs="Arial"/>
          <w:sz w:val="20"/>
          <w:szCs w:val="20"/>
        </w:rPr>
        <w:t>19)</w:t>
      </w:r>
    </w:p>
    <w:p w14:paraId="1208D2C1" w14:textId="68FAE3E7" w:rsidR="00436C1A" w:rsidRPr="005F4366" w:rsidRDefault="00100E57" w:rsidP="002154E1">
      <w:pPr>
        <w:jc w:val="both"/>
        <w:rPr>
          <w:rFonts w:ascii="Arial" w:hAnsi="Arial" w:cs="Arial"/>
          <w:b/>
          <w:bCs/>
          <w:u w:val="single"/>
        </w:rPr>
      </w:pPr>
      <w:r w:rsidRPr="005F4366">
        <w:rPr>
          <w:rFonts w:ascii="Arial" w:hAnsi="Arial" w:cs="Arial"/>
          <w:b/>
          <w:bCs/>
          <w:u w:val="single"/>
        </w:rPr>
        <w:t>2.4.</w:t>
      </w:r>
      <w:r w:rsidR="00734F51" w:rsidRPr="005F4366">
        <w:rPr>
          <w:rFonts w:ascii="Arial" w:hAnsi="Arial" w:cs="Arial"/>
          <w:b/>
          <w:bCs/>
          <w:u w:val="single"/>
        </w:rPr>
        <w:t xml:space="preserve">3 </w:t>
      </w:r>
      <w:r w:rsidR="00436C1A" w:rsidRPr="005F4366">
        <w:rPr>
          <w:rFonts w:ascii="Arial" w:hAnsi="Arial" w:cs="Arial"/>
          <w:b/>
          <w:bCs/>
          <w:u w:val="single"/>
        </w:rPr>
        <w:t>Particle Size and Size Distribution</w:t>
      </w:r>
    </w:p>
    <w:p w14:paraId="47B76860" w14:textId="77777777" w:rsidR="00AB0AB1" w:rsidRPr="00CE5B93" w:rsidRDefault="00AB0AB1" w:rsidP="002154E1">
      <w:pPr>
        <w:jc w:val="both"/>
        <w:rPr>
          <w:rFonts w:ascii="Arial" w:hAnsi="Arial" w:cs="Arial"/>
          <w:sz w:val="20"/>
          <w:szCs w:val="20"/>
        </w:rPr>
      </w:pPr>
      <w:r w:rsidRPr="00CE5B93">
        <w:rPr>
          <w:rFonts w:ascii="Arial" w:hAnsi="Arial" w:cs="Arial"/>
          <w:sz w:val="20"/>
          <w:szCs w:val="20"/>
        </w:rPr>
        <w:t xml:space="preserve">Particle size and polydispersity index were determined using a Malvern </w:t>
      </w:r>
      <w:proofErr w:type="spellStart"/>
      <w:r w:rsidRPr="00CE5B93">
        <w:rPr>
          <w:rFonts w:ascii="Arial" w:hAnsi="Arial" w:cs="Arial"/>
          <w:sz w:val="20"/>
          <w:szCs w:val="20"/>
        </w:rPr>
        <w:t>Zetasizer</w:t>
      </w:r>
      <w:proofErr w:type="spellEnd"/>
      <w:r w:rsidRPr="00CE5B93">
        <w:rPr>
          <w:rFonts w:ascii="Arial" w:hAnsi="Arial" w:cs="Arial"/>
          <w:sz w:val="20"/>
          <w:szCs w:val="20"/>
        </w:rPr>
        <w:t xml:space="preserve">, following dilution of 1 mL of the </w:t>
      </w:r>
      <w:proofErr w:type="spellStart"/>
      <w:r w:rsidRPr="00CE5B93">
        <w:rPr>
          <w:rFonts w:ascii="Arial" w:hAnsi="Arial" w:cs="Arial"/>
          <w:sz w:val="20"/>
          <w:szCs w:val="20"/>
        </w:rPr>
        <w:t>nanosponge</w:t>
      </w:r>
      <w:proofErr w:type="spellEnd"/>
      <w:r w:rsidRPr="00CE5B93">
        <w:rPr>
          <w:rFonts w:ascii="Arial" w:hAnsi="Arial" w:cs="Arial"/>
          <w:sz w:val="20"/>
          <w:szCs w:val="20"/>
        </w:rPr>
        <w:t xml:space="preserve"> suspension in 10 mL of distilled water.</w:t>
      </w:r>
    </w:p>
    <w:p w14:paraId="024306FA" w14:textId="3B0D4BF4" w:rsidR="00436C1A" w:rsidRPr="004442D4" w:rsidRDefault="00100E57" w:rsidP="002154E1">
      <w:pPr>
        <w:jc w:val="both"/>
        <w:rPr>
          <w:rFonts w:ascii="Arial" w:hAnsi="Arial" w:cs="Arial"/>
          <w:b/>
          <w:bCs/>
          <w:sz w:val="20"/>
          <w:szCs w:val="20"/>
          <w:u w:val="single"/>
        </w:rPr>
      </w:pPr>
      <w:r w:rsidRPr="004442D4">
        <w:rPr>
          <w:rFonts w:ascii="Arial" w:hAnsi="Arial" w:cs="Arial"/>
          <w:b/>
          <w:bCs/>
          <w:sz w:val="20"/>
          <w:szCs w:val="20"/>
          <w:u w:val="single"/>
        </w:rPr>
        <w:t>2</w:t>
      </w:r>
      <w:r w:rsidR="00CE3B9B" w:rsidRPr="004442D4">
        <w:rPr>
          <w:rFonts w:ascii="Arial" w:hAnsi="Arial" w:cs="Arial"/>
          <w:b/>
          <w:bCs/>
          <w:sz w:val="20"/>
          <w:szCs w:val="20"/>
          <w:u w:val="single"/>
        </w:rPr>
        <w:t>.4</w:t>
      </w:r>
      <w:r w:rsidR="00734F51" w:rsidRPr="004442D4">
        <w:rPr>
          <w:rFonts w:ascii="Arial" w:hAnsi="Arial" w:cs="Arial"/>
          <w:b/>
          <w:bCs/>
          <w:sz w:val="20"/>
          <w:szCs w:val="20"/>
          <w:u w:val="single"/>
        </w:rPr>
        <w:t>.4</w:t>
      </w:r>
      <w:r w:rsidR="004442D4">
        <w:rPr>
          <w:rFonts w:ascii="Arial" w:hAnsi="Arial" w:cs="Arial"/>
          <w:b/>
          <w:bCs/>
          <w:sz w:val="20"/>
          <w:szCs w:val="20"/>
          <w:u w:val="single"/>
        </w:rPr>
        <w:t xml:space="preserve"> </w:t>
      </w:r>
      <w:r w:rsidR="00436C1A" w:rsidRPr="004442D4">
        <w:rPr>
          <w:rFonts w:ascii="Arial" w:hAnsi="Arial" w:cs="Arial"/>
          <w:b/>
          <w:bCs/>
          <w:sz w:val="20"/>
          <w:szCs w:val="20"/>
          <w:u w:val="single"/>
        </w:rPr>
        <w:t>Zeta Potential Measurements</w:t>
      </w:r>
    </w:p>
    <w:p w14:paraId="537DAC87" w14:textId="77777777" w:rsidR="00D30D50" w:rsidRPr="00CE5B93" w:rsidRDefault="00D30D50" w:rsidP="002154E1">
      <w:pPr>
        <w:jc w:val="both"/>
        <w:rPr>
          <w:rFonts w:ascii="Arial" w:hAnsi="Arial" w:cs="Arial"/>
          <w:sz w:val="20"/>
          <w:szCs w:val="20"/>
        </w:rPr>
      </w:pPr>
      <w:r w:rsidRPr="00CE5B93">
        <w:rPr>
          <w:rFonts w:ascii="Arial" w:hAnsi="Arial" w:cs="Arial"/>
          <w:sz w:val="20"/>
          <w:szCs w:val="20"/>
        </w:rPr>
        <w:t xml:space="preserve">The zeta potential of the </w:t>
      </w:r>
      <w:proofErr w:type="spellStart"/>
      <w:r w:rsidRPr="00CE5B93">
        <w:rPr>
          <w:rFonts w:ascii="Arial" w:hAnsi="Arial" w:cs="Arial"/>
          <w:sz w:val="20"/>
          <w:szCs w:val="20"/>
        </w:rPr>
        <w:t>nanosponge</w:t>
      </w:r>
      <w:proofErr w:type="spellEnd"/>
      <w:r w:rsidRPr="00CE5B93">
        <w:rPr>
          <w:rFonts w:ascii="Arial" w:hAnsi="Arial" w:cs="Arial"/>
          <w:sz w:val="20"/>
          <w:szCs w:val="20"/>
        </w:rPr>
        <w:t xml:space="preserve"> dispersion was assessed using a </w:t>
      </w:r>
      <w:proofErr w:type="spellStart"/>
      <w:r w:rsidRPr="00CE5B93">
        <w:rPr>
          <w:rFonts w:ascii="Arial" w:hAnsi="Arial" w:cs="Arial"/>
          <w:sz w:val="20"/>
          <w:szCs w:val="20"/>
        </w:rPr>
        <w:t>Zetasizer</w:t>
      </w:r>
      <w:proofErr w:type="spellEnd"/>
      <w:r w:rsidRPr="00CE5B93">
        <w:rPr>
          <w:rFonts w:ascii="Arial" w:hAnsi="Arial" w:cs="Arial"/>
          <w:sz w:val="20"/>
          <w:szCs w:val="20"/>
        </w:rPr>
        <w:t xml:space="preserve">. This measurement indicates the extent to which similarly charged particles in the dispersion repel each other. The electrophoretic mobility of the </w:t>
      </w:r>
      <w:proofErr w:type="spellStart"/>
      <w:r w:rsidRPr="00CE5B93">
        <w:rPr>
          <w:rFonts w:ascii="Arial" w:hAnsi="Arial" w:cs="Arial"/>
          <w:sz w:val="20"/>
          <w:szCs w:val="20"/>
        </w:rPr>
        <w:t>nanosponge</w:t>
      </w:r>
      <w:proofErr w:type="spellEnd"/>
      <w:r w:rsidRPr="00CE5B93">
        <w:rPr>
          <w:rFonts w:ascii="Arial" w:hAnsi="Arial" w:cs="Arial"/>
          <w:sz w:val="20"/>
          <w:szCs w:val="20"/>
        </w:rPr>
        <w:t xml:space="preserve"> was measured in a U-shaped tube at 25°C, allowing the determination of the surface charge (zeta potential) of the formulation.</w:t>
      </w:r>
    </w:p>
    <w:p w14:paraId="08C579D2" w14:textId="7613548A" w:rsidR="00587E54" w:rsidRPr="004442D4" w:rsidRDefault="00CE3B9B" w:rsidP="002154E1">
      <w:pPr>
        <w:jc w:val="both"/>
        <w:rPr>
          <w:rFonts w:ascii="Arial" w:hAnsi="Arial" w:cs="Arial"/>
          <w:b/>
          <w:bCs/>
          <w:sz w:val="20"/>
          <w:szCs w:val="20"/>
          <w:u w:val="single"/>
        </w:rPr>
      </w:pPr>
      <w:r w:rsidRPr="004442D4">
        <w:rPr>
          <w:rFonts w:ascii="Arial" w:hAnsi="Arial" w:cs="Arial"/>
          <w:b/>
          <w:bCs/>
          <w:sz w:val="20"/>
          <w:szCs w:val="20"/>
          <w:u w:val="single"/>
        </w:rPr>
        <w:t>2.4</w:t>
      </w:r>
      <w:r w:rsidR="00734F51" w:rsidRPr="004442D4">
        <w:rPr>
          <w:rFonts w:ascii="Arial" w:hAnsi="Arial" w:cs="Arial"/>
          <w:b/>
          <w:bCs/>
          <w:sz w:val="20"/>
          <w:szCs w:val="20"/>
          <w:u w:val="single"/>
        </w:rPr>
        <w:t xml:space="preserve">.5 </w:t>
      </w:r>
      <w:r w:rsidR="00587E54" w:rsidRPr="004442D4">
        <w:rPr>
          <w:rFonts w:ascii="Arial" w:hAnsi="Arial" w:cs="Arial"/>
          <w:b/>
          <w:bCs/>
          <w:sz w:val="20"/>
          <w:szCs w:val="20"/>
          <w:u w:val="single"/>
        </w:rPr>
        <w:t>Drug Entrapment Efficiency</w:t>
      </w:r>
    </w:p>
    <w:p w14:paraId="6C6C6E78" w14:textId="26E4BE7D" w:rsidR="00422FEC" w:rsidRPr="00CE5B93" w:rsidRDefault="00422FEC" w:rsidP="002154E1">
      <w:pPr>
        <w:jc w:val="both"/>
        <w:rPr>
          <w:rFonts w:ascii="Arial" w:hAnsi="Arial" w:cs="Arial"/>
          <w:sz w:val="20"/>
          <w:szCs w:val="20"/>
        </w:rPr>
      </w:pPr>
      <w:r w:rsidRPr="00CE5B93">
        <w:rPr>
          <w:rFonts w:ascii="Arial" w:hAnsi="Arial" w:cs="Arial"/>
          <w:sz w:val="20"/>
          <w:szCs w:val="20"/>
        </w:rPr>
        <w:lastRenderedPageBreak/>
        <w:t xml:space="preserve">Entrapment Efficiency was evaluated using centrifugation to isolate </w:t>
      </w:r>
      <w:proofErr w:type="spellStart"/>
      <w:r w:rsidRPr="00CE5B93">
        <w:rPr>
          <w:rFonts w:ascii="Arial" w:hAnsi="Arial" w:cs="Arial"/>
          <w:sz w:val="20"/>
          <w:szCs w:val="20"/>
        </w:rPr>
        <w:t>posaconazole</w:t>
      </w:r>
      <w:proofErr w:type="spellEnd"/>
      <w:r w:rsidRPr="00CE5B93">
        <w:rPr>
          <w:rFonts w:ascii="Arial" w:hAnsi="Arial" w:cs="Arial"/>
          <w:sz w:val="20"/>
          <w:szCs w:val="20"/>
        </w:rPr>
        <w:t xml:space="preserve"> </w:t>
      </w:r>
      <w:proofErr w:type="spellStart"/>
      <w:r w:rsidRPr="00CE5B93">
        <w:rPr>
          <w:rFonts w:ascii="Arial" w:hAnsi="Arial" w:cs="Arial"/>
          <w:sz w:val="20"/>
          <w:szCs w:val="20"/>
        </w:rPr>
        <w:t>ethosomal</w:t>
      </w:r>
      <w:proofErr w:type="spellEnd"/>
      <w:r w:rsidRPr="00CE5B93">
        <w:rPr>
          <w:rFonts w:ascii="Arial" w:hAnsi="Arial" w:cs="Arial"/>
          <w:sz w:val="20"/>
          <w:szCs w:val="20"/>
        </w:rPr>
        <w:t xml:space="preserve"> vesicles. The vesicles were subjected to 90 minutes of high-speed centrifugation at 20,000 rpm in a refrigerated centrifuge. After separation of the sediment and supernatant, the vesicles were lysed with methanol to release the drug. The amount of drug in the sediment was quantified by UV-visible spectrophotometry at 427 nm after suitable dilution. The entrapment efficiency was calculated using the following formula:</w:t>
      </w:r>
      <w:r w:rsidR="008A4A1A" w:rsidRPr="00CE5B93">
        <w:rPr>
          <w:rFonts w:ascii="Arial" w:hAnsi="Arial" w:cs="Arial"/>
          <w:sz w:val="20"/>
          <w:szCs w:val="20"/>
        </w:rPr>
        <w:t>(</w:t>
      </w:r>
      <w:r w:rsidR="00A26425" w:rsidRPr="00CE5B93">
        <w:rPr>
          <w:rFonts w:ascii="Arial" w:hAnsi="Arial" w:cs="Arial"/>
          <w:sz w:val="20"/>
          <w:szCs w:val="20"/>
        </w:rPr>
        <w:t>11,12)</w:t>
      </w:r>
    </w:p>
    <w:p w14:paraId="70956794" w14:textId="7BA10C93" w:rsidR="00587E54" w:rsidRPr="00CE5B93" w:rsidRDefault="00587E54" w:rsidP="002154E1">
      <w:pPr>
        <w:jc w:val="both"/>
        <w:rPr>
          <w:rFonts w:ascii="Arial" w:hAnsi="Arial" w:cs="Arial"/>
          <w:sz w:val="20"/>
          <w:szCs w:val="20"/>
          <w:lang w:val="en-US"/>
        </w:rPr>
      </w:pPr>
      <w:r w:rsidRPr="00CE5B93">
        <w:rPr>
          <w:rFonts w:ascii="Arial" w:hAnsi="Arial" w:cs="Arial"/>
          <w:sz w:val="20"/>
          <w:szCs w:val="20"/>
          <w:lang w:val="en-US"/>
        </w:rPr>
        <w:t xml:space="preserve">EE% = </w:t>
      </w:r>
      <w:r w:rsidRPr="00CE5B93">
        <w:rPr>
          <w:rFonts w:ascii="Arial" w:hAnsi="Arial" w:cs="Arial"/>
          <w:sz w:val="20"/>
          <w:szCs w:val="20"/>
          <w:u w:val="single"/>
          <w:lang w:val="en-US"/>
        </w:rPr>
        <w:t>Total amount of drug – free amount of drug *100</w:t>
      </w:r>
    </w:p>
    <w:p w14:paraId="7B7D61F1" w14:textId="5B4C546A" w:rsidR="00587E54" w:rsidRPr="004442D4" w:rsidRDefault="004442D4" w:rsidP="002154E1">
      <w:pPr>
        <w:jc w:val="both"/>
        <w:rPr>
          <w:rFonts w:ascii="Arial" w:hAnsi="Arial" w:cs="Arial"/>
        </w:rPr>
      </w:pPr>
      <w:r>
        <w:rPr>
          <w:rFonts w:ascii="Arial" w:hAnsi="Arial" w:cs="Arial"/>
          <w:b/>
          <w:bCs/>
        </w:rPr>
        <w:t xml:space="preserve">                                      </w:t>
      </w:r>
      <w:r w:rsidR="00587E54" w:rsidRPr="004442D4">
        <w:rPr>
          <w:rFonts w:ascii="Arial" w:hAnsi="Arial" w:cs="Arial"/>
        </w:rPr>
        <w:t>Total drug</w:t>
      </w:r>
    </w:p>
    <w:p w14:paraId="6F97CEA7" w14:textId="77777777" w:rsidR="004442D4" w:rsidRDefault="004442D4" w:rsidP="002154E1">
      <w:pPr>
        <w:jc w:val="both"/>
        <w:rPr>
          <w:rFonts w:ascii="Arial" w:hAnsi="Arial" w:cs="Arial"/>
          <w:b/>
          <w:bCs/>
        </w:rPr>
      </w:pPr>
    </w:p>
    <w:p w14:paraId="01103F80" w14:textId="1A4F4F09" w:rsidR="00587E54" w:rsidRPr="00EB7EAD" w:rsidRDefault="00CE3B9B" w:rsidP="002154E1">
      <w:pPr>
        <w:jc w:val="both"/>
        <w:rPr>
          <w:rFonts w:ascii="Arial" w:hAnsi="Arial" w:cs="Arial"/>
          <w:b/>
          <w:bCs/>
        </w:rPr>
      </w:pPr>
      <w:r w:rsidRPr="00EB7EAD">
        <w:rPr>
          <w:rFonts w:ascii="Arial" w:hAnsi="Arial" w:cs="Arial"/>
          <w:b/>
          <w:bCs/>
        </w:rPr>
        <w:t>2</w:t>
      </w:r>
      <w:r w:rsidR="0084044A" w:rsidRPr="00EB7EAD">
        <w:rPr>
          <w:rFonts w:ascii="Arial" w:hAnsi="Arial" w:cs="Arial"/>
          <w:b/>
          <w:bCs/>
        </w:rPr>
        <w:t>.</w:t>
      </w:r>
      <w:r w:rsidRPr="00EB7EAD">
        <w:rPr>
          <w:rFonts w:ascii="Arial" w:hAnsi="Arial" w:cs="Arial"/>
          <w:b/>
          <w:bCs/>
        </w:rPr>
        <w:t>5</w:t>
      </w:r>
      <w:r w:rsidR="0084044A" w:rsidRPr="00EB7EAD">
        <w:rPr>
          <w:rFonts w:ascii="Arial" w:hAnsi="Arial" w:cs="Arial"/>
          <w:b/>
          <w:bCs/>
        </w:rPr>
        <w:t xml:space="preserve"> </w:t>
      </w:r>
      <w:r w:rsidR="00587E54" w:rsidRPr="00EB7EAD">
        <w:rPr>
          <w:rFonts w:ascii="Arial" w:hAnsi="Arial" w:cs="Arial"/>
          <w:b/>
          <w:bCs/>
        </w:rPr>
        <w:t xml:space="preserve">The In-vitro Dissolution Profile of Prepared </w:t>
      </w:r>
      <w:proofErr w:type="spellStart"/>
      <w:r w:rsidR="00587E54" w:rsidRPr="00EB7EAD">
        <w:rPr>
          <w:rFonts w:ascii="Arial" w:hAnsi="Arial" w:cs="Arial"/>
          <w:b/>
          <w:bCs/>
        </w:rPr>
        <w:t>Nanosponges</w:t>
      </w:r>
      <w:proofErr w:type="spellEnd"/>
      <w:r w:rsidR="00587E54" w:rsidRPr="00EB7EAD">
        <w:rPr>
          <w:rFonts w:ascii="Arial" w:hAnsi="Arial" w:cs="Arial"/>
          <w:b/>
          <w:bCs/>
        </w:rPr>
        <w:t xml:space="preserve"> </w:t>
      </w:r>
    </w:p>
    <w:p w14:paraId="6C02FE0A" w14:textId="415209F0" w:rsidR="008A6E25" w:rsidRPr="00CE5B93" w:rsidRDefault="003E1E58" w:rsidP="002154E1">
      <w:pPr>
        <w:jc w:val="both"/>
        <w:rPr>
          <w:rFonts w:ascii="Arial" w:hAnsi="Arial" w:cs="Arial"/>
          <w:sz w:val="20"/>
          <w:szCs w:val="20"/>
        </w:rPr>
      </w:pPr>
      <w:r w:rsidRPr="00CE5B93">
        <w:rPr>
          <w:rFonts w:ascii="Arial" w:hAnsi="Arial" w:cs="Arial"/>
          <w:sz w:val="20"/>
          <w:szCs w:val="20"/>
        </w:rPr>
        <w:t xml:space="preserve">A dialysis membrane (with a molecular weight cutoff of 8000-14000, USA) was utilized to release the drug from the </w:t>
      </w:r>
      <w:proofErr w:type="spellStart"/>
      <w:r w:rsidRPr="00CE5B93">
        <w:rPr>
          <w:rFonts w:ascii="Arial" w:hAnsi="Arial" w:cs="Arial"/>
          <w:sz w:val="20"/>
          <w:szCs w:val="20"/>
        </w:rPr>
        <w:t>nanosponges</w:t>
      </w:r>
      <w:proofErr w:type="spellEnd"/>
      <w:r w:rsidRPr="00CE5B93">
        <w:rPr>
          <w:rFonts w:ascii="Arial" w:hAnsi="Arial" w:cs="Arial"/>
          <w:sz w:val="20"/>
          <w:szCs w:val="20"/>
        </w:rPr>
        <w:t xml:space="preserve">. The membrane was first soaked in phosphate buffer (pH 7.4) for 8 hours. Subsequently, an aqueous </w:t>
      </w:r>
      <w:proofErr w:type="spellStart"/>
      <w:r w:rsidRPr="00CE5B93">
        <w:rPr>
          <w:rFonts w:ascii="Arial" w:hAnsi="Arial" w:cs="Arial"/>
          <w:sz w:val="20"/>
          <w:szCs w:val="20"/>
        </w:rPr>
        <w:t>nanosponge</w:t>
      </w:r>
      <w:proofErr w:type="spellEnd"/>
      <w:r w:rsidRPr="00CE5B93">
        <w:rPr>
          <w:rFonts w:ascii="Arial" w:hAnsi="Arial" w:cs="Arial"/>
          <w:sz w:val="20"/>
          <w:szCs w:val="20"/>
        </w:rPr>
        <w:t xml:space="preserve"> dispersion containing 500 mg and 250 mg of the drug was placed in a USP type II dissolution apparatus at a fixed rotation speed of 100 rpm and a temperature of 37.5°C. The system was maintained at a constant volume by withdrawing 3 mL of the dissolution medium every hour and replacing it with an equal volume of fresh medium for a period of seven hours. The samples were </w:t>
      </w:r>
      <w:proofErr w:type="spellStart"/>
      <w:r w:rsidRPr="00CE5B93">
        <w:rPr>
          <w:rFonts w:ascii="Arial" w:hAnsi="Arial" w:cs="Arial"/>
          <w:sz w:val="20"/>
          <w:szCs w:val="20"/>
        </w:rPr>
        <w:t>analyzed</w:t>
      </w:r>
      <w:proofErr w:type="spellEnd"/>
      <w:r w:rsidRPr="00CE5B93">
        <w:rPr>
          <w:rFonts w:ascii="Arial" w:hAnsi="Arial" w:cs="Arial"/>
          <w:sz w:val="20"/>
          <w:szCs w:val="20"/>
        </w:rPr>
        <w:t xml:space="preserve"> using a UV spectrophotometer at the appropriate </w:t>
      </w:r>
      <w:proofErr w:type="gramStart"/>
      <w:r w:rsidRPr="00CE5B93">
        <w:rPr>
          <w:rFonts w:ascii="Arial" w:hAnsi="Arial" w:cs="Arial"/>
          <w:sz w:val="20"/>
          <w:szCs w:val="20"/>
        </w:rPr>
        <w:t>wavelength.</w:t>
      </w:r>
      <w:r w:rsidR="00DA4C51" w:rsidRPr="00CE5B93">
        <w:rPr>
          <w:rFonts w:ascii="Arial" w:hAnsi="Arial" w:cs="Arial"/>
          <w:sz w:val="20"/>
          <w:szCs w:val="20"/>
        </w:rPr>
        <w:t>(</w:t>
      </w:r>
      <w:proofErr w:type="gramEnd"/>
      <w:r w:rsidR="00DA4C51" w:rsidRPr="00CE5B93">
        <w:rPr>
          <w:rFonts w:ascii="Arial" w:hAnsi="Arial" w:cs="Arial"/>
          <w:sz w:val="20"/>
          <w:szCs w:val="20"/>
        </w:rPr>
        <w:t>18)</w:t>
      </w:r>
    </w:p>
    <w:p w14:paraId="61D438E6" w14:textId="1005F12C" w:rsidR="006D50D4" w:rsidRPr="00EB7EAD" w:rsidRDefault="00CE3B9B" w:rsidP="002154E1">
      <w:pPr>
        <w:jc w:val="both"/>
        <w:rPr>
          <w:rFonts w:ascii="Arial" w:hAnsi="Arial" w:cs="Arial"/>
          <w:b/>
          <w:bCs/>
        </w:rPr>
      </w:pPr>
      <w:r w:rsidRPr="00EB7EAD">
        <w:rPr>
          <w:rFonts w:ascii="Arial" w:hAnsi="Arial" w:cs="Arial"/>
          <w:b/>
          <w:bCs/>
        </w:rPr>
        <w:t xml:space="preserve">2.6 </w:t>
      </w:r>
      <w:r w:rsidR="00587E54" w:rsidRPr="00EB7EAD">
        <w:rPr>
          <w:rFonts w:ascii="Arial" w:hAnsi="Arial" w:cs="Arial"/>
          <w:b/>
          <w:bCs/>
        </w:rPr>
        <w:t>Fourier Transform Infrared (FTIR) Spectroscopy</w:t>
      </w:r>
    </w:p>
    <w:p w14:paraId="43CD49B0" w14:textId="2B7837FF" w:rsidR="00274FE4" w:rsidRPr="00CE5B93" w:rsidRDefault="00274FE4" w:rsidP="002154E1">
      <w:pPr>
        <w:jc w:val="both"/>
        <w:rPr>
          <w:rFonts w:ascii="Arial" w:hAnsi="Arial" w:cs="Arial"/>
          <w:sz w:val="20"/>
          <w:szCs w:val="20"/>
        </w:rPr>
      </w:pPr>
      <w:r w:rsidRPr="00CE5B93">
        <w:rPr>
          <w:rFonts w:ascii="Arial" w:hAnsi="Arial" w:cs="Arial"/>
          <w:sz w:val="20"/>
          <w:szCs w:val="20"/>
        </w:rPr>
        <w:t>The FTIR spectrum of pure Posaconazole shows sharp and distinct peaks corresponding to functional groups such as O-H/N-H (~3300 cm</w:t>
      </w:r>
      <w:r w:rsidRPr="00CE5B93">
        <w:rPr>
          <w:rFonts w:ascii="Cambria Math" w:hAnsi="Cambria Math" w:cs="Cambria Math"/>
          <w:sz w:val="20"/>
          <w:szCs w:val="20"/>
        </w:rPr>
        <w:t>⁻</w:t>
      </w:r>
      <w:r w:rsidRPr="00CE5B93">
        <w:rPr>
          <w:rFonts w:ascii="Arial" w:hAnsi="Arial" w:cs="Arial"/>
          <w:sz w:val="20"/>
          <w:szCs w:val="20"/>
        </w:rPr>
        <w:t>¹), C-H (~2900 cm</w:t>
      </w:r>
      <w:r w:rsidRPr="00CE5B93">
        <w:rPr>
          <w:rFonts w:ascii="Cambria Math" w:hAnsi="Cambria Math" w:cs="Cambria Math"/>
          <w:sz w:val="20"/>
          <w:szCs w:val="20"/>
        </w:rPr>
        <w:t>⁻</w:t>
      </w:r>
      <w:r w:rsidRPr="00CE5B93">
        <w:rPr>
          <w:rFonts w:ascii="Arial" w:hAnsi="Arial" w:cs="Arial"/>
          <w:sz w:val="20"/>
          <w:szCs w:val="20"/>
        </w:rPr>
        <w:t>¹), and aromatic C=C (~1600 cm</w:t>
      </w:r>
      <w:r w:rsidRPr="00CE5B93">
        <w:rPr>
          <w:rFonts w:ascii="Cambria Math" w:hAnsi="Cambria Math" w:cs="Cambria Math"/>
          <w:sz w:val="20"/>
          <w:szCs w:val="20"/>
        </w:rPr>
        <w:t>⁻</w:t>
      </w:r>
      <w:r w:rsidRPr="00CE5B93">
        <w:rPr>
          <w:rFonts w:ascii="Arial" w:hAnsi="Arial" w:cs="Arial"/>
          <w:sz w:val="20"/>
          <w:szCs w:val="20"/>
        </w:rPr>
        <w:t xml:space="preserve">¹), confirming its structural integrity. In contrast, the FTIR spectrum of </w:t>
      </w:r>
      <w:proofErr w:type="spellStart"/>
      <w:r w:rsidRPr="00CE5B93">
        <w:rPr>
          <w:rFonts w:ascii="Arial" w:hAnsi="Arial" w:cs="Arial"/>
          <w:sz w:val="20"/>
          <w:szCs w:val="20"/>
        </w:rPr>
        <w:t>Posaconazole</w:t>
      </w:r>
      <w:proofErr w:type="spellEnd"/>
      <w:r w:rsidRPr="00CE5B93">
        <w:rPr>
          <w:rFonts w:ascii="Arial" w:hAnsi="Arial" w:cs="Arial"/>
          <w:sz w:val="20"/>
          <w:szCs w:val="20"/>
        </w:rPr>
        <w:t xml:space="preserve">-loaded </w:t>
      </w:r>
      <w:proofErr w:type="spellStart"/>
      <w:r w:rsidRPr="00CE5B93">
        <w:rPr>
          <w:rFonts w:ascii="Arial" w:hAnsi="Arial" w:cs="Arial"/>
          <w:sz w:val="20"/>
          <w:szCs w:val="20"/>
        </w:rPr>
        <w:t>nanosponges</w:t>
      </w:r>
      <w:proofErr w:type="spellEnd"/>
      <w:r w:rsidRPr="00CE5B93">
        <w:rPr>
          <w:rFonts w:ascii="Arial" w:hAnsi="Arial" w:cs="Arial"/>
          <w:sz w:val="20"/>
          <w:szCs w:val="20"/>
        </w:rPr>
        <w:t xml:space="preserve"> shows broadening, shifting, or reduction in intensity of these characteristic peaks. This indicates physical entrapment or interaction of the drug with the polymer matrix (PCL). The absence or alteration of specific drug peaks suggests successful encapsulation without chemical degradation. Additionally, new peaks in the fingerprint region further confirm the formation of </w:t>
      </w:r>
      <w:proofErr w:type="spellStart"/>
      <w:r w:rsidRPr="00CE5B93">
        <w:rPr>
          <w:rFonts w:ascii="Arial" w:hAnsi="Arial" w:cs="Arial"/>
          <w:sz w:val="20"/>
          <w:szCs w:val="20"/>
        </w:rPr>
        <w:t>nanosponges</w:t>
      </w:r>
      <w:proofErr w:type="spellEnd"/>
      <w:r w:rsidRPr="00CE5B93">
        <w:rPr>
          <w:rFonts w:ascii="Arial" w:hAnsi="Arial" w:cs="Arial"/>
          <w:sz w:val="20"/>
          <w:szCs w:val="20"/>
        </w:rPr>
        <w:t xml:space="preserve">. These changes collectively justify successful drug loading into the </w:t>
      </w:r>
      <w:proofErr w:type="spellStart"/>
      <w:r w:rsidRPr="00CE5B93">
        <w:rPr>
          <w:rFonts w:ascii="Arial" w:hAnsi="Arial" w:cs="Arial"/>
          <w:sz w:val="20"/>
          <w:szCs w:val="20"/>
        </w:rPr>
        <w:t>nanosponges</w:t>
      </w:r>
      <w:proofErr w:type="spellEnd"/>
      <w:r w:rsidRPr="00CE5B93">
        <w:rPr>
          <w:rFonts w:ascii="Arial" w:hAnsi="Arial" w:cs="Arial"/>
          <w:sz w:val="20"/>
          <w:szCs w:val="20"/>
        </w:rPr>
        <w:t>.</w:t>
      </w:r>
    </w:p>
    <w:p w14:paraId="1EACE0B7" w14:textId="4F01D084" w:rsidR="00587E54" w:rsidRPr="00EB7EAD" w:rsidRDefault="00CE3B9B" w:rsidP="002154E1">
      <w:pPr>
        <w:jc w:val="both"/>
        <w:rPr>
          <w:rFonts w:ascii="Arial" w:hAnsi="Arial" w:cs="Arial"/>
          <w:b/>
          <w:bCs/>
        </w:rPr>
      </w:pPr>
      <w:r w:rsidRPr="00EB7EAD">
        <w:rPr>
          <w:rFonts w:ascii="Arial" w:hAnsi="Arial" w:cs="Arial"/>
          <w:b/>
          <w:bCs/>
        </w:rPr>
        <w:t xml:space="preserve">2.7 </w:t>
      </w:r>
      <w:r w:rsidR="00587E54" w:rsidRPr="00EB7EAD">
        <w:rPr>
          <w:rFonts w:ascii="Arial" w:hAnsi="Arial" w:cs="Arial"/>
          <w:b/>
          <w:bCs/>
        </w:rPr>
        <w:t>DSC</w:t>
      </w:r>
    </w:p>
    <w:p w14:paraId="317E2CB9" w14:textId="77777777" w:rsidR="006F4372" w:rsidRPr="00CE5B93" w:rsidRDefault="006F4372" w:rsidP="002154E1">
      <w:pPr>
        <w:jc w:val="both"/>
        <w:rPr>
          <w:rFonts w:ascii="Arial" w:hAnsi="Arial" w:cs="Arial"/>
          <w:sz w:val="20"/>
          <w:szCs w:val="20"/>
        </w:rPr>
      </w:pPr>
      <w:r w:rsidRPr="00CE5B93">
        <w:rPr>
          <w:rFonts w:ascii="Arial" w:hAnsi="Arial" w:cs="Arial"/>
          <w:sz w:val="20"/>
          <w:szCs w:val="20"/>
        </w:rPr>
        <w:t xml:space="preserve">The DSC thermograms of pure posaconazole and the selected </w:t>
      </w:r>
      <w:proofErr w:type="spellStart"/>
      <w:r w:rsidRPr="00CE5B93">
        <w:rPr>
          <w:rFonts w:ascii="Arial" w:hAnsi="Arial" w:cs="Arial"/>
          <w:sz w:val="20"/>
          <w:szCs w:val="20"/>
        </w:rPr>
        <w:t>nanosponge</w:t>
      </w:r>
      <w:proofErr w:type="spellEnd"/>
      <w:r w:rsidRPr="00CE5B93">
        <w:rPr>
          <w:rFonts w:ascii="Arial" w:hAnsi="Arial" w:cs="Arial"/>
          <w:sz w:val="20"/>
          <w:szCs w:val="20"/>
        </w:rPr>
        <w:t xml:space="preserve"> formulation (F6) were obtained to evaluate their thermal characteristics and compatibility between the drug and the polymer. Each sample, weighing 5 mg, was sealed in an </w:t>
      </w:r>
      <w:proofErr w:type="spellStart"/>
      <w:r w:rsidRPr="00CE5B93">
        <w:rPr>
          <w:rFonts w:ascii="Arial" w:hAnsi="Arial" w:cs="Arial"/>
          <w:sz w:val="20"/>
          <w:szCs w:val="20"/>
        </w:rPr>
        <w:t>aluminum</w:t>
      </w:r>
      <w:proofErr w:type="spellEnd"/>
      <w:r w:rsidRPr="00CE5B93">
        <w:rPr>
          <w:rFonts w:ascii="Arial" w:hAnsi="Arial" w:cs="Arial"/>
          <w:sz w:val="20"/>
          <w:szCs w:val="20"/>
        </w:rPr>
        <w:t xml:space="preserve"> pan and </w:t>
      </w:r>
      <w:proofErr w:type="spellStart"/>
      <w:r w:rsidRPr="00CE5B93">
        <w:rPr>
          <w:rFonts w:ascii="Arial" w:hAnsi="Arial" w:cs="Arial"/>
          <w:sz w:val="20"/>
          <w:szCs w:val="20"/>
        </w:rPr>
        <w:t>analyzed</w:t>
      </w:r>
      <w:proofErr w:type="spellEnd"/>
      <w:r w:rsidRPr="00CE5B93">
        <w:rPr>
          <w:rFonts w:ascii="Arial" w:hAnsi="Arial" w:cs="Arial"/>
          <w:sz w:val="20"/>
          <w:szCs w:val="20"/>
        </w:rPr>
        <w:t xml:space="preserve"> under a nitrogen atmosphere. The temperature was gradually increased from 30°C to 300°C at a heating rate of 10°C/min. The resulting thermograms were </w:t>
      </w:r>
      <w:proofErr w:type="spellStart"/>
      <w:r w:rsidRPr="00CE5B93">
        <w:rPr>
          <w:rFonts w:ascii="Arial" w:hAnsi="Arial" w:cs="Arial"/>
          <w:sz w:val="20"/>
          <w:szCs w:val="20"/>
        </w:rPr>
        <w:t>analyzed</w:t>
      </w:r>
      <w:proofErr w:type="spellEnd"/>
      <w:r w:rsidRPr="00CE5B93">
        <w:rPr>
          <w:rFonts w:ascii="Arial" w:hAnsi="Arial" w:cs="Arial"/>
          <w:sz w:val="20"/>
          <w:szCs w:val="20"/>
        </w:rPr>
        <w:t xml:space="preserve"> for any shifts or changes in the melting point, which would indicate the extent of crystallinity and the efficiency of the drug encapsulation process.</w:t>
      </w:r>
    </w:p>
    <w:p w14:paraId="0BEF0B73" w14:textId="512586E9" w:rsidR="00587E54" w:rsidRPr="00BF7B07" w:rsidRDefault="00B70BA4" w:rsidP="002154E1">
      <w:pPr>
        <w:jc w:val="both"/>
        <w:rPr>
          <w:rFonts w:ascii="Arial" w:hAnsi="Arial" w:cs="Arial"/>
          <w:b/>
          <w:bCs/>
        </w:rPr>
      </w:pPr>
      <w:r w:rsidRPr="00BF7B07">
        <w:rPr>
          <w:rFonts w:ascii="Arial" w:hAnsi="Arial" w:cs="Arial"/>
          <w:b/>
          <w:bCs/>
        </w:rPr>
        <w:t>3.  EVALUATION OF PREPARED PCZ LOADED-HYDROGEL</w:t>
      </w:r>
    </w:p>
    <w:p w14:paraId="5691274E" w14:textId="27212701" w:rsidR="00587E54" w:rsidRPr="00AF35C5" w:rsidRDefault="004F5C84" w:rsidP="002154E1">
      <w:pPr>
        <w:jc w:val="both"/>
        <w:rPr>
          <w:rFonts w:ascii="Arial" w:hAnsi="Arial" w:cs="Arial"/>
          <w:b/>
          <w:bCs/>
        </w:rPr>
      </w:pPr>
      <w:r w:rsidRPr="00AF35C5">
        <w:rPr>
          <w:rFonts w:ascii="Arial" w:hAnsi="Arial" w:cs="Arial"/>
          <w:b/>
          <w:bCs/>
        </w:rPr>
        <w:t>3</w:t>
      </w:r>
      <w:r w:rsidR="0041758E" w:rsidRPr="00AF35C5">
        <w:rPr>
          <w:rFonts w:ascii="Arial" w:hAnsi="Arial" w:cs="Arial"/>
          <w:b/>
          <w:bCs/>
        </w:rPr>
        <w:t xml:space="preserve">.1 </w:t>
      </w:r>
      <w:r w:rsidR="006D50D4" w:rsidRPr="00AF35C5">
        <w:rPr>
          <w:rFonts w:ascii="Arial" w:hAnsi="Arial" w:cs="Arial"/>
          <w:b/>
          <w:bCs/>
        </w:rPr>
        <w:t>Physical Appearance and pH of Hydrogel Formulas</w:t>
      </w:r>
    </w:p>
    <w:p w14:paraId="6FF9A45C" w14:textId="0E0BAC22" w:rsidR="00891B60" w:rsidRPr="00CE5B93" w:rsidRDefault="00691BC6" w:rsidP="002154E1">
      <w:pPr>
        <w:jc w:val="both"/>
        <w:rPr>
          <w:rFonts w:ascii="Arial" w:hAnsi="Arial" w:cs="Arial"/>
          <w:sz w:val="20"/>
          <w:szCs w:val="20"/>
        </w:rPr>
      </w:pPr>
      <w:r w:rsidRPr="00CE5B93">
        <w:rPr>
          <w:rFonts w:ascii="Arial" w:hAnsi="Arial" w:cs="Arial"/>
          <w:sz w:val="20"/>
          <w:szCs w:val="20"/>
        </w:rPr>
        <w:t xml:space="preserve">The hydrogels were inspected for uniformity and overall appearance, and their pH was recorded at 25 °C using a calibrated pH </w:t>
      </w:r>
      <w:proofErr w:type="gramStart"/>
      <w:r w:rsidRPr="00CE5B93">
        <w:rPr>
          <w:rFonts w:ascii="Arial" w:hAnsi="Arial" w:cs="Arial"/>
          <w:sz w:val="20"/>
          <w:szCs w:val="20"/>
        </w:rPr>
        <w:t>meter.</w:t>
      </w:r>
      <w:r w:rsidR="001B709F" w:rsidRPr="00CE5B93">
        <w:rPr>
          <w:rFonts w:ascii="Arial" w:hAnsi="Arial" w:cs="Arial"/>
          <w:sz w:val="20"/>
          <w:szCs w:val="20"/>
        </w:rPr>
        <w:t>(</w:t>
      </w:r>
      <w:proofErr w:type="gramEnd"/>
      <w:r w:rsidR="001B709F" w:rsidRPr="00CE5B93">
        <w:rPr>
          <w:rFonts w:ascii="Arial" w:hAnsi="Arial" w:cs="Arial"/>
          <w:sz w:val="20"/>
          <w:szCs w:val="20"/>
        </w:rPr>
        <w:t>21)</w:t>
      </w:r>
    </w:p>
    <w:p w14:paraId="771546D2" w14:textId="26477698" w:rsidR="006D50D4" w:rsidRPr="00AF35C5" w:rsidRDefault="004F5C84" w:rsidP="002154E1">
      <w:pPr>
        <w:jc w:val="both"/>
        <w:rPr>
          <w:rFonts w:ascii="Arial" w:hAnsi="Arial" w:cs="Arial"/>
          <w:b/>
          <w:bCs/>
        </w:rPr>
      </w:pPr>
      <w:r w:rsidRPr="00AF35C5">
        <w:rPr>
          <w:rFonts w:ascii="Arial" w:hAnsi="Arial" w:cs="Arial"/>
          <w:b/>
          <w:bCs/>
        </w:rPr>
        <w:t xml:space="preserve">3.2 </w:t>
      </w:r>
      <w:r w:rsidR="006D50D4" w:rsidRPr="00AF35C5">
        <w:rPr>
          <w:rFonts w:ascii="Arial" w:hAnsi="Arial" w:cs="Arial"/>
          <w:b/>
          <w:bCs/>
        </w:rPr>
        <w:t xml:space="preserve">Viscosity </w:t>
      </w:r>
    </w:p>
    <w:p w14:paraId="6E83925D" w14:textId="788BE224" w:rsidR="00B17B76" w:rsidRPr="00CE5B93" w:rsidRDefault="00B17B76" w:rsidP="002154E1">
      <w:pPr>
        <w:jc w:val="both"/>
        <w:rPr>
          <w:rFonts w:ascii="Arial" w:hAnsi="Arial" w:cs="Arial"/>
          <w:sz w:val="20"/>
          <w:szCs w:val="20"/>
        </w:rPr>
      </w:pPr>
      <w:r w:rsidRPr="00CE5B93">
        <w:rPr>
          <w:rFonts w:ascii="Arial" w:hAnsi="Arial" w:cs="Arial"/>
          <w:sz w:val="20"/>
          <w:szCs w:val="20"/>
        </w:rPr>
        <w:t xml:space="preserve">The viscosity of the PCZ-loaded </w:t>
      </w:r>
      <w:proofErr w:type="spellStart"/>
      <w:r w:rsidRPr="00CE5B93">
        <w:rPr>
          <w:rFonts w:ascii="Arial" w:hAnsi="Arial" w:cs="Arial"/>
          <w:sz w:val="20"/>
          <w:szCs w:val="20"/>
        </w:rPr>
        <w:t>nanosponge</w:t>
      </w:r>
      <w:proofErr w:type="spellEnd"/>
      <w:r w:rsidRPr="00CE5B93">
        <w:rPr>
          <w:rFonts w:ascii="Arial" w:hAnsi="Arial" w:cs="Arial"/>
          <w:sz w:val="20"/>
          <w:szCs w:val="20"/>
        </w:rPr>
        <w:t xml:space="preserve"> hydrogel was measured using a digital viscometer (Model: Myr Rotational, spindle no. R7) at room temperature and rotational speeds ranging from 20 to 200 rpm. The measurements were conducted in triplicate (n = 3), with each hydrogel sample allowed to settle for approximately 15 minutes before taking the </w:t>
      </w:r>
      <w:proofErr w:type="gramStart"/>
      <w:r w:rsidRPr="00CE5B93">
        <w:rPr>
          <w:rFonts w:ascii="Arial" w:hAnsi="Arial" w:cs="Arial"/>
          <w:sz w:val="20"/>
          <w:szCs w:val="20"/>
        </w:rPr>
        <w:t>readings.</w:t>
      </w:r>
      <w:r w:rsidR="00F16026" w:rsidRPr="00CE5B93">
        <w:rPr>
          <w:rFonts w:ascii="Arial" w:hAnsi="Arial" w:cs="Arial"/>
          <w:sz w:val="20"/>
          <w:szCs w:val="20"/>
        </w:rPr>
        <w:t>(</w:t>
      </w:r>
      <w:proofErr w:type="gramEnd"/>
      <w:r w:rsidR="00F16026" w:rsidRPr="00CE5B93">
        <w:rPr>
          <w:rFonts w:ascii="Arial" w:hAnsi="Arial" w:cs="Arial"/>
          <w:sz w:val="20"/>
          <w:szCs w:val="20"/>
        </w:rPr>
        <w:t>22)</w:t>
      </w:r>
    </w:p>
    <w:p w14:paraId="18314A34" w14:textId="17E7393E" w:rsidR="006D50D4" w:rsidRPr="00AF35C5" w:rsidRDefault="004F5C84" w:rsidP="002154E1">
      <w:pPr>
        <w:jc w:val="both"/>
        <w:rPr>
          <w:rFonts w:ascii="Arial" w:hAnsi="Arial" w:cs="Arial"/>
          <w:b/>
          <w:bCs/>
        </w:rPr>
      </w:pPr>
      <w:r w:rsidRPr="00AF35C5">
        <w:rPr>
          <w:rFonts w:ascii="Arial" w:hAnsi="Arial" w:cs="Arial"/>
          <w:b/>
          <w:bCs/>
        </w:rPr>
        <w:t xml:space="preserve">3.3 </w:t>
      </w:r>
      <w:r w:rsidR="006D50D4" w:rsidRPr="00AF35C5">
        <w:rPr>
          <w:rFonts w:ascii="Arial" w:hAnsi="Arial" w:cs="Arial"/>
          <w:b/>
          <w:bCs/>
        </w:rPr>
        <w:t xml:space="preserve">In-Vitro Drug Release Study of the Prepared Hydrogel Formulas </w:t>
      </w:r>
    </w:p>
    <w:p w14:paraId="5CD63CCF" w14:textId="6C8F7377" w:rsidR="00C432A4" w:rsidRPr="00CE5B93" w:rsidRDefault="00C432A4" w:rsidP="002154E1">
      <w:pPr>
        <w:jc w:val="both"/>
        <w:rPr>
          <w:rFonts w:ascii="Arial" w:hAnsi="Arial" w:cs="Arial"/>
          <w:sz w:val="20"/>
          <w:szCs w:val="20"/>
        </w:rPr>
      </w:pPr>
      <w:r w:rsidRPr="00CE5B93">
        <w:rPr>
          <w:rFonts w:ascii="Arial" w:hAnsi="Arial" w:cs="Arial"/>
          <w:sz w:val="20"/>
          <w:szCs w:val="20"/>
        </w:rPr>
        <w:lastRenderedPageBreak/>
        <w:t xml:space="preserve">In vitro release studies of both the </w:t>
      </w:r>
      <w:proofErr w:type="spellStart"/>
      <w:r w:rsidRPr="00CE5B93">
        <w:rPr>
          <w:rFonts w:ascii="Arial" w:hAnsi="Arial" w:cs="Arial"/>
          <w:sz w:val="20"/>
          <w:szCs w:val="20"/>
        </w:rPr>
        <w:t>nanosponge</w:t>
      </w:r>
      <w:proofErr w:type="spellEnd"/>
      <w:r w:rsidRPr="00CE5B93">
        <w:rPr>
          <w:rFonts w:ascii="Cambria Math" w:hAnsi="Cambria Math" w:cs="Cambria Math"/>
          <w:sz w:val="20"/>
          <w:szCs w:val="20"/>
        </w:rPr>
        <w:t>‐</w:t>
      </w:r>
      <w:r w:rsidRPr="00CE5B93">
        <w:rPr>
          <w:rFonts w:ascii="Arial" w:hAnsi="Arial" w:cs="Arial"/>
          <w:sz w:val="20"/>
          <w:szCs w:val="20"/>
        </w:rPr>
        <w:t>loaded and plain PCZ hydrogels were performed using a USP Type II dissolution apparatus. The system comprised 900 mL of phosphate buffer (pH 7.4) maintained at 37 ± 0.5 °C and stirred at 100 rpm. Approximately 3.3 g of each hydrogel was enclosed in a dialysis membrane (MWCO 8000–14 000) and immersed in the dissolution medium. Over a 7</w:t>
      </w:r>
      <w:r w:rsidRPr="00CE5B93">
        <w:rPr>
          <w:rFonts w:ascii="Arial" w:hAnsi="Arial" w:cs="Arial"/>
          <w:sz w:val="20"/>
          <w:szCs w:val="20"/>
        </w:rPr>
        <w:noBreakHyphen/>
        <w:t xml:space="preserve">hour period, 5 mL samples were withdrawn at regular intervals and immediately replaced with fresh buffer to maintain sink conditions. Each sample was filtered and </w:t>
      </w:r>
      <w:proofErr w:type="spellStart"/>
      <w:r w:rsidRPr="00CE5B93">
        <w:rPr>
          <w:rFonts w:ascii="Arial" w:hAnsi="Arial" w:cs="Arial"/>
          <w:sz w:val="20"/>
          <w:szCs w:val="20"/>
        </w:rPr>
        <w:t>analyzed</w:t>
      </w:r>
      <w:proofErr w:type="spellEnd"/>
      <w:r w:rsidRPr="00CE5B93">
        <w:rPr>
          <w:rFonts w:ascii="Arial" w:hAnsi="Arial" w:cs="Arial"/>
          <w:sz w:val="20"/>
          <w:szCs w:val="20"/>
        </w:rPr>
        <w:t xml:space="preserve"> for drug content by UV </w:t>
      </w:r>
      <w:proofErr w:type="gramStart"/>
      <w:r w:rsidRPr="00CE5B93">
        <w:rPr>
          <w:rFonts w:ascii="Arial" w:hAnsi="Arial" w:cs="Arial"/>
          <w:sz w:val="20"/>
          <w:szCs w:val="20"/>
        </w:rPr>
        <w:t>spectrophotometry.</w:t>
      </w:r>
      <w:r w:rsidR="0046316C" w:rsidRPr="00CE5B93">
        <w:rPr>
          <w:rFonts w:ascii="Arial" w:hAnsi="Arial" w:cs="Arial"/>
          <w:sz w:val="20"/>
          <w:szCs w:val="20"/>
        </w:rPr>
        <w:t>(</w:t>
      </w:r>
      <w:proofErr w:type="gramEnd"/>
      <w:r w:rsidR="0046316C" w:rsidRPr="00CE5B93">
        <w:rPr>
          <w:rFonts w:ascii="Arial" w:hAnsi="Arial" w:cs="Arial"/>
          <w:sz w:val="20"/>
          <w:szCs w:val="20"/>
        </w:rPr>
        <w:t>17)</w:t>
      </w:r>
    </w:p>
    <w:p w14:paraId="7DD70300" w14:textId="1080D0C0" w:rsidR="006D50D4" w:rsidRPr="007D09F8" w:rsidRDefault="007D09F8" w:rsidP="002154E1">
      <w:pPr>
        <w:jc w:val="both"/>
        <w:rPr>
          <w:rFonts w:ascii="Arial" w:hAnsi="Arial" w:cs="Arial"/>
          <w:b/>
          <w:bCs/>
        </w:rPr>
      </w:pPr>
      <w:r w:rsidRPr="007D09F8">
        <w:rPr>
          <w:rFonts w:ascii="Arial" w:hAnsi="Arial" w:cs="Arial"/>
          <w:b/>
          <w:bCs/>
        </w:rPr>
        <w:t xml:space="preserve">4. </w:t>
      </w:r>
      <w:r w:rsidR="006D50D4" w:rsidRPr="007D09F8">
        <w:rPr>
          <w:rFonts w:ascii="Arial" w:hAnsi="Arial" w:cs="Arial"/>
          <w:b/>
          <w:bCs/>
        </w:rPr>
        <w:t>RESULT AND DISCUSSION</w:t>
      </w:r>
    </w:p>
    <w:p w14:paraId="46832174" w14:textId="77777777" w:rsidR="001130AE" w:rsidRPr="00CE5B93" w:rsidRDefault="001130AE" w:rsidP="002154E1">
      <w:pPr>
        <w:jc w:val="both"/>
        <w:rPr>
          <w:rFonts w:ascii="Arial" w:hAnsi="Arial" w:cs="Arial"/>
          <w:sz w:val="20"/>
          <w:szCs w:val="20"/>
        </w:rPr>
      </w:pPr>
      <w:r w:rsidRPr="00CE5B93">
        <w:rPr>
          <w:rFonts w:ascii="Arial" w:hAnsi="Arial" w:cs="Arial"/>
          <w:sz w:val="20"/>
          <w:szCs w:val="20"/>
        </w:rPr>
        <w:t>Eight formulations were tested to evaluate the effect of different parameters on particle size. The average particle sizes of the formulations varied between 100 ± 33.6 nm and 400 ± 24.9 nm. A summary of the particle sizes for the different formulations and parameters is provided in Table 3.</w:t>
      </w:r>
    </w:p>
    <w:tbl>
      <w:tblPr>
        <w:tblStyle w:val="TableGrid"/>
        <w:tblW w:w="0" w:type="auto"/>
        <w:tblLook w:val="04A0" w:firstRow="1" w:lastRow="0" w:firstColumn="1" w:lastColumn="0" w:noHBand="0" w:noVBand="1"/>
      </w:tblPr>
      <w:tblGrid>
        <w:gridCol w:w="2463"/>
        <w:gridCol w:w="2471"/>
        <w:gridCol w:w="2041"/>
        <w:gridCol w:w="2041"/>
      </w:tblGrid>
      <w:tr w:rsidR="008D03F6" w:rsidRPr="00CE5B93" w14:paraId="3C450ED4" w14:textId="15AC20FE" w:rsidTr="004442D4">
        <w:tc>
          <w:tcPr>
            <w:tcW w:w="2463" w:type="dxa"/>
            <w:vAlign w:val="center"/>
          </w:tcPr>
          <w:p w14:paraId="52FA81CB" w14:textId="0B033965" w:rsidR="008D03F6" w:rsidRPr="00CE5B93" w:rsidRDefault="008D03F6" w:rsidP="004442D4">
            <w:pPr>
              <w:jc w:val="center"/>
              <w:rPr>
                <w:rFonts w:ascii="Arial" w:hAnsi="Arial" w:cs="Arial"/>
                <w:sz w:val="20"/>
                <w:szCs w:val="20"/>
              </w:rPr>
            </w:pPr>
            <w:r w:rsidRPr="00CE5B93">
              <w:rPr>
                <w:rFonts w:ascii="Arial" w:hAnsi="Arial" w:cs="Arial"/>
                <w:sz w:val="20"/>
                <w:szCs w:val="20"/>
              </w:rPr>
              <w:t>Formula code</w:t>
            </w:r>
          </w:p>
        </w:tc>
        <w:tc>
          <w:tcPr>
            <w:tcW w:w="2471" w:type="dxa"/>
            <w:vAlign w:val="center"/>
          </w:tcPr>
          <w:p w14:paraId="6F521D90" w14:textId="43C7E69F" w:rsidR="008D03F6" w:rsidRPr="00CE5B93" w:rsidRDefault="008D03F6" w:rsidP="004442D4">
            <w:pPr>
              <w:jc w:val="center"/>
              <w:rPr>
                <w:rFonts w:ascii="Arial" w:hAnsi="Arial" w:cs="Arial"/>
                <w:sz w:val="20"/>
                <w:szCs w:val="20"/>
              </w:rPr>
            </w:pPr>
            <w:r w:rsidRPr="00CE5B93">
              <w:rPr>
                <w:rFonts w:ascii="Arial" w:hAnsi="Arial" w:cs="Arial"/>
                <w:sz w:val="20"/>
                <w:szCs w:val="20"/>
              </w:rPr>
              <w:t>Mean Particle size(nm) ± SE*</w:t>
            </w:r>
          </w:p>
        </w:tc>
        <w:tc>
          <w:tcPr>
            <w:tcW w:w="2041" w:type="dxa"/>
            <w:vAlign w:val="center"/>
          </w:tcPr>
          <w:p w14:paraId="0CB5E186" w14:textId="6B59F168" w:rsidR="008D03F6" w:rsidRPr="00CE5B93" w:rsidRDefault="008D03F6" w:rsidP="004442D4">
            <w:pPr>
              <w:jc w:val="center"/>
              <w:rPr>
                <w:rFonts w:ascii="Arial" w:hAnsi="Arial" w:cs="Arial"/>
                <w:sz w:val="20"/>
                <w:szCs w:val="20"/>
              </w:rPr>
            </w:pPr>
            <w:r w:rsidRPr="00CE5B93">
              <w:rPr>
                <w:rFonts w:ascii="Arial" w:hAnsi="Arial" w:cs="Arial"/>
                <w:sz w:val="20"/>
                <w:szCs w:val="20"/>
              </w:rPr>
              <w:t>Zeta potential ± SE*</w:t>
            </w:r>
          </w:p>
        </w:tc>
        <w:tc>
          <w:tcPr>
            <w:tcW w:w="2041" w:type="dxa"/>
            <w:vAlign w:val="center"/>
          </w:tcPr>
          <w:p w14:paraId="077A6879" w14:textId="54DCFAF4" w:rsidR="008D03F6" w:rsidRPr="00CE5B93" w:rsidRDefault="008D03F6" w:rsidP="004442D4">
            <w:pPr>
              <w:jc w:val="center"/>
              <w:rPr>
                <w:rFonts w:ascii="Arial" w:hAnsi="Arial" w:cs="Arial"/>
                <w:sz w:val="20"/>
                <w:szCs w:val="20"/>
              </w:rPr>
            </w:pPr>
            <w:r w:rsidRPr="00CE5B93">
              <w:rPr>
                <w:rFonts w:ascii="Arial" w:hAnsi="Arial" w:cs="Arial"/>
                <w:sz w:val="20"/>
                <w:szCs w:val="20"/>
              </w:rPr>
              <w:t>PDI ± SE*</w:t>
            </w:r>
          </w:p>
        </w:tc>
      </w:tr>
      <w:tr w:rsidR="008D03F6" w:rsidRPr="00CE5B93" w14:paraId="6E3AF153" w14:textId="7E06A645" w:rsidTr="004442D4">
        <w:tc>
          <w:tcPr>
            <w:tcW w:w="2463" w:type="dxa"/>
            <w:vAlign w:val="center"/>
          </w:tcPr>
          <w:p w14:paraId="4056BC0C" w14:textId="52CD2BF2" w:rsidR="008D03F6" w:rsidRPr="00CE5B93" w:rsidRDefault="008D03F6" w:rsidP="004442D4">
            <w:pPr>
              <w:jc w:val="center"/>
              <w:rPr>
                <w:rFonts w:ascii="Arial" w:hAnsi="Arial" w:cs="Arial"/>
                <w:sz w:val="20"/>
                <w:szCs w:val="20"/>
              </w:rPr>
            </w:pPr>
            <w:r w:rsidRPr="00CE5B93">
              <w:rPr>
                <w:rFonts w:ascii="Arial" w:hAnsi="Arial" w:cs="Arial"/>
                <w:sz w:val="20"/>
                <w:szCs w:val="20"/>
              </w:rPr>
              <w:t>F1</w:t>
            </w:r>
          </w:p>
        </w:tc>
        <w:tc>
          <w:tcPr>
            <w:tcW w:w="2471" w:type="dxa"/>
            <w:vAlign w:val="center"/>
          </w:tcPr>
          <w:p w14:paraId="5A78FAD0" w14:textId="676BA17F" w:rsidR="008D03F6" w:rsidRPr="00CE5B93" w:rsidRDefault="008D03F6" w:rsidP="004442D4">
            <w:pPr>
              <w:jc w:val="center"/>
              <w:rPr>
                <w:rFonts w:ascii="Arial" w:hAnsi="Arial" w:cs="Arial"/>
                <w:sz w:val="20"/>
                <w:szCs w:val="20"/>
              </w:rPr>
            </w:pPr>
            <w:r w:rsidRPr="00CE5B93">
              <w:rPr>
                <w:rFonts w:ascii="Arial" w:hAnsi="Arial" w:cs="Arial"/>
                <w:sz w:val="20"/>
                <w:szCs w:val="20"/>
              </w:rPr>
              <w:t>210 ± 12.1</w:t>
            </w:r>
          </w:p>
        </w:tc>
        <w:tc>
          <w:tcPr>
            <w:tcW w:w="2041" w:type="dxa"/>
            <w:vAlign w:val="center"/>
          </w:tcPr>
          <w:p w14:paraId="74B2DFE8" w14:textId="66772093" w:rsidR="008D03F6" w:rsidRPr="00CE5B93" w:rsidRDefault="008D03F6" w:rsidP="004442D4">
            <w:pPr>
              <w:jc w:val="center"/>
              <w:rPr>
                <w:rFonts w:ascii="Arial" w:hAnsi="Arial" w:cs="Arial"/>
                <w:sz w:val="20"/>
                <w:szCs w:val="20"/>
              </w:rPr>
            </w:pPr>
            <w:r w:rsidRPr="00CE5B93">
              <w:rPr>
                <w:rFonts w:ascii="Arial" w:hAnsi="Arial" w:cs="Arial"/>
                <w:sz w:val="20"/>
                <w:szCs w:val="20"/>
              </w:rPr>
              <w:t>-21.6 ± 1.2</w:t>
            </w:r>
          </w:p>
        </w:tc>
        <w:tc>
          <w:tcPr>
            <w:tcW w:w="204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A4A35" w:rsidRPr="00CE5B93" w14:paraId="4C760661" w14:textId="77777777" w:rsidTr="003A4A35">
              <w:trPr>
                <w:tblCellSpacing w:w="15" w:type="dxa"/>
              </w:trPr>
              <w:tc>
                <w:tcPr>
                  <w:tcW w:w="0" w:type="auto"/>
                  <w:vAlign w:val="center"/>
                  <w:hideMark/>
                </w:tcPr>
                <w:p w14:paraId="07AB29FA" w14:textId="77777777" w:rsidR="003A4A35" w:rsidRPr="00CE5B93" w:rsidRDefault="003A4A35" w:rsidP="004442D4">
                  <w:pPr>
                    <w:spacing w:after="0" w:line="240" w:lineRule="auto"/>
                    <w:jc w:val="center"/>
                    <w:rPr>
                      <w:rFonts w:ascii="Arial" w:hAnsi="Arial" w:cs="Arial"/>
                      <w:sz w:val="20"/>
                      <w:szCs w:val="20"/>
                    </w:rPr>
                  </w:pPr>
                </w:p>
              </w:tc>
            </w:tr>
          </w:tbl>
          <w:p w14:paraId="66DF97AB" w14:textId="77777777" w:rsidR="003A4A35" w:rsidRPr="00CE5B93" w:rsidRDefault="003A4A35" w:rsidP="004442D4">
            <w:pPr>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3A4A35" w:rsidRPr="00CE5B93" w14:paraId="33999FF5" w14:textId="77777777" w:rsidTr="003A4A35">
              <w:trPr>
                <w:tblCellSpacing w:w="15" w:type="dxa"/>
              </w:trPr>
              <w:tc>
                <w:tcPr>
                  <w:tcW w:w="0" w:type="auto"/>
                  <w:vAlign w:val="center"/>
                  <w:hideMark/>
                </w:tcPr>
                <w:p w14:paraId="2ACA728F" w14:textId="77777777" w:rsidR="003A4A35" w:rsidRPr="00CE5B93" w:rsidRDefault="003A4A35" w:rsidP="004442D4">
                  <w:pPr>
                    <w:spacing w:after="0" w:line="240" w:lineRule="auto"/>
                    <w:jc w:val="center"/>
                    <w:rPr>
                      <w:rFonts w:ascii="Arial" w:hAnsi="Arial" w:cs="Arial"/>
                      <w:sz w:val="20"/>
                      <w:szCs w:val="20"/>
                    </w:rPr>
                  </w:pPr>
                  <w:r w:rsidRPr="00CE5B93">
                    <w:rPr>
                      <w:rFonts w:ascii="Arial" w:hAnsi="Arial" w:cs="Arial"/>
                      <w:sz w:val="20"/>
                      <w:szCs w:val="20"/>
                    </w:rPr>
                    <w:t>0.21</w:t>
                  </w:r>
                </w:p>
              </w:tc>
            </w:tr>
          </w:tbl>
          <w:p w14:paraId="6025ADBC" w14:textId="77777777" w:rsidR="008D03F6" w:rsidRPr="00CE5B93" w:rsidRDefault="008D03F6" w:rsidP="004442D4">
            <w:pPr>
              <w:jc w:val="center"/>
              <w:rPr>
                <w:rFonts w:ascii="Arial" w:hAnsi="Arial" w:cs="Arial"/>
                <w:sz w:val="20"/>
                <w:szCs w:val="20"/>
              </w:rPr>
            </w:pPr>
          </w:p>
        </w:tc>
      </w:tr>
      <w:tr w:rsidR="008D03F6" w:rsidRPr="00CE5B93" w14:paraId="48A54EC5" w14:textId="2086EB20" w:rsidTr="004442D4">
        <w:tc>
          <w:tcPr>
            <w:tcW w:w="2463" w:type="dxa"/>
            <w:vAlign w:val="center"/>
          </w:tcPr>
          <w:p w14:paraId="6648EF57" w14:textId="580DDF4F" w:rsidR="008D03F6" w:rsidRPr="00CE5B93" w:rsidRDefault="008D03F6" w:rsidP="004442D4">
            <w:pPr>
              <w:jc w:val="center"/>
              <w:rPr>
                <w:rFonts w:ascii="Arial" w:hAnsi="Arial" w:cs="Arial"/>
                <w:sz w:val="20"/>
                <w:szCs w:val="20"/>
              </w:rPr>
            </w:pPr>
            <w:r w:rsidRPr="00CE5B93">
              <w:rPr>
                <w:rFonts w:ascii="Arial" w:hAnsi="Arial" w:cs="Arial"/>
                <w:sz w:val="20"/>
                <w:szCs w:val="20"/>
              </w:rPr>
              <w:t>F2</w:t>
            </w:r>
          </w:p>
        </w:tc>
        <w:tc>
          <w:tcPr>
            <w:tcW w:w="2471" w:type="dxa"/>
            <w:vAlign w:val="center"/>
          </w:tcPr>
          <w:p w14:paraId="1712D5EB" w14:textId="13A80F4B" w:rsidR="008D03F6" w:rsidRPr="00CE5B93" w:rsidRDefault="008D03F6" w:rsidP="004442D4">
            <w:pPr>
              <w:jc w:val="center"/>
              <w:rPr>
                <w:rFonts w:ascii="Arial" w:hAnsi="Arial" w:cs="Arial"/>
                <w:sz w:val="20"/>
                <w:szCs w:val="20"/>
              </w:rPr>
            </w:pPr>
            <w:r w:rsidRPr="00CE5B93">
              <w:rPr>
                <w:rFonts w:ascii="Arial" w:hAnsi="Arial" w:cs="Arial"/>
                <w:sz w:val="20"/>
                <w:szCs w:val="20"/>
              </w:rPr>
              <w:t>180 ± 8.4</w:t>
            </w:r>
          </w:p>
        </w:tc>
        <w:tc>
          <w:tcPr>
            <w:tcW w:w="204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D03F6" w:rsidRPr="00CE5B93" w14:paraId="5244EFA4" w14:textId="77777777" w:rsidTr="008D03F6">
              <w:trPr>
                <w:tblCellSpacing w:w="15" w:type="dxa"/>
              </w:trPr>
              <w:tc>
                <w:tcPr>
                  <w:tcW w:w="0" w:type="auto"/>
                  <w:vAlign w:val="center"/>
                  <w:hideMark/>
                </w:tcPr>
                <w:p w14:paraId="5F54C636" w14:textId="77777777" w:rsidR="008D03F6" w:rsidRPr="00CE5B93" w:rsidRDefault="008D03F6" w:rsidP="004442D4">
                  <w:pPr>
                    <w:spacing w:after="0" w:line="240" w:lineRule="auto"/>
                    <w:jc w:val="center"/>
                    <w:rPr>
                      <w:rFonts w:ascii="Arial" w:hAnsi="Arial" w:cs="Arial"/>
                      <w:sz w:val="20"/>
                      <w:szCs w:val="20"/>
                    </w:rPr>
                  </w:pPr>
                </w:p>
              </w:tc>
            </w:tr>
          </w:tbl>
          <w:p w14:paraId="39AA413E" w14:textId="77777777" w:rsidR="008D03F6" w:rsidRPr="00CE5B93" w:rsidRDefault="008D03F6" w:rsidP="004442D4">
            <w:pPr>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5"/>
            </w:tblGrid>
            <w:tr w:rsidR="008D03F6" w:rsidRPr="00CE5B93" w14:paraId="31EBACAF" w14:textId="77777777" w:rsidTr="008D03F6">
              <w:trPr>
                <w:tblCellSpacing w:w="15" w:type="dxa"/>
              </w:trPr>
              <w:tc>
                <w:tcPr>
                  <w:tcW w:w="0" w:type="auto"/>
                  <w:vAlign w:val="center"/>
                  <w:hideMark/>
                </w:tcPr>
                <w:p w14:paraId="5395B91F" w14:textId="7D0B8433" w:rsidR="008D03F6" w:rsidRPr="00CE5B93" w:rsidRDefault="008D03F6" w:rsidP="004442D4">
                  <w:pPr>
                    <w:spacing w:after="0" w:line="240" w:lineRule="auto"/>
                    <w:jc w:val="center"/>
                    <w:rPr>
                      <w:rFonts w:ascii="Arial" w:hAnsi="Arial" w:cs="Arial"/>
                      <w:sz w:val="20"/>
                      <w:szCs w:val="20"/>
                    </w:rPr>
                  </w:pPr>
                  <w:r w:rsidRPr="00CE5B93">
                    <w:rPr>
                      <w:rFonts w:ascii="Arial" w:hAnsi="Arial" w:cs="Arial"/>
                      <w:sz w:val="20"/>
                      <w:szCs w:val="20"/>
                    </w:rPr>
                    <w:t>-23.1 ± 1.5</w:t>
                  </w:r>
                </w:p>
              </w:tc>
            </w:tr>
          </w:tbl>
          <w:p w14:paraId="2227377C" w14:textId="77777777" w:rsidR="008D03F6" w:rsidRPr="00CE5B93" w:rsidRDefault="008D03F6" w:rsidP="004442D4">
            <w:pPr>
              <w:jc w:val="center"/>
              <w:rPr>
                <w:rFonts w:ascii="Arial" w:hAnsi="Arial" w:cs="Arial"/>
                <w:sz w:val="20"/>
                <w:szCs w:val="20"/>
              </w:rPr>
            </w:pPr>
          </w:p>
        </w:tc>
        <w:tc>
          <w:tcPr>
            <w:tcW w:w="204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A4A35" w:rsidRPr="00CE5B93" w14:paraId="7441ECD8" w14:textId="77777777" w:rsidTr="003A4A35">
              <w:trPr>
                <w:tblCellSpacing w:w="15" w:type="dxa"/>
              </w:trPr>
              <w:tc>
                <w:tcPr>
                  <w:tcW w:w="0" w:type="auto"/>
                  <w:vAlign w:val="center"/>
                  <w:hideMark/>
                </w:tcPr>
                <w:p w14:paraId="5AE091B0" w14:textId="77777777" w:rsidR="003A4A35" w:rsidRPr="00CE5B93" w:rsidRDefault="003A4A35" w:rsidP="004442D4">
                  <w:pPr>
                    <w:spacing w:after="0" w:line="240" w:lineRule="auto"/>
                    <w:jc w:val="center"/>
                    <w:rPr>
                      <w:rFonts w:ascii="Arial" w:hAnsi="Arial" w:cs="Arial"/>
                      <w:sz w:val="20"/>
                      <w:szCs w:val="20"/>
                    </w:rPr>
                  </w:pPr>
                </w:p>
              </w:tc>
            </w:tr>
          </w:tbl>
          <w:p w14:paraId="2028077E" w14:textId="77777777" w:rsidR="003A4A35" w:rsidRPr="00CE5B93" w:rsidRDefault="003A4A35" w:rsidP="004442D4">
            <w:pPr>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3A4A35" w:rsidRPr="00CE5B93" w14:paraId="2CEF75C8" w14:textId="77777777" w:rsidTr="003A4A35">
              <w:trPr>
                <w:tblCellSpacing w:w="15" w:type="dxa"/>
              </w:trPr>
              <w:tc>
                <w:tcPr>
                  <w:tcW w:w="0" w:type="auto"/>
                  <w:vAlign w:val="center"/>
                  <w:hideMark/>
                </w:tcPr>
                <w:p w14:paraId="3AB42B57" w14:textId="77777777" w:rsidR="003A4A35" w:rsidRPr="00CE5B93" w:rsidRDefault="003A4A35" w:rsidP="004442D4">
                  <w:pPr>
                    <w:spacing w:after="0" w:line="240" w:lineRule="auto"/>
                    <w:jc w:val="center"/>
                    <w:rPr>
                      <w:rFonts w:ascii="Arial" w:hAnsi="Arial" w:cs="Arial"/>
                      <w:sz w:val="20"/>
                      <w:szCs w:val="20"/>
                    </w:rPr>
                  </w:pPr>
                  <w:r w:rsidRPr="00CE5B93">
                    <w:rPr>
                      <w:rFonts w:ascii="Arial" w:hAnsi="Arial" w:cs="Arial"/>
                      <w:sz w:val="20"/>
                      <w:szCs w:val="20"/>
                    </w:rPr>
                    <w:t>0.18</w:t>
                  </w:r>
                </w:p>
              </w:tc>
            </w:tr>
          </w:tbl>
          <w:p w14:paraId="72F6FEB1" w14:textId="77777777" w:rsidR="008D03F6" w:rsidRPr="00CE5B93" w:rsidRDefault="008D03F6" w:rsidP="004442D4">
            <w:pPr>
              <w:jc w:val="center"/>
              <w:rPr>
                <w:rFonts w:ascii="Arial" w:hAnsi="Arial" w:cs="Arial"/>
                <w:sz w:val="20"/>
                <w:szCs w:val="20"/>
              </w:rPr>
            </w:pPr>
          </w:p>
        </w:tc>
      </w:tr>
      <w:tr w:rsidR="008D03F6" w:rsidRPr="00CE5B93" w14:paraId="152476C0" w14:textId="0895C4DD" w:rsidTr="004442D4">
        <w:tc>
          <w:tcPr>
            <w:tcW w:w="2463" w:type="dxa"/>
            <w:vAlign w:val="center"/>
          </w:tcPr>
          <w:p w14:paraId="08CBB077" w14:textId="606713CB" w:rsidR="008D03F6" w:rsidRPr="00CE5B93" w:rsidRDefault="008D03F6" w:rsidP="004442D4">
            <w:pPr>
              <w:jc w:val="center"/>
              <w:rPr>
                <w:rFonts w:ascii="Arial" w:hAnsi="Arial" w:cs="Arial"/>
                <w:sz w:val="20"/>
                <w:szCs w:val="20"/>
              </w:rPr>
            </w:pPr>
            <w:r w:rsidRPr="00CE5B93">
              <w:rPr>
                <w:rFonts w:ascii="Arial" w:hAnsi="Arial" w:cs="Arial"/>
                <w:sz w:val="20"/>
                <w:szCs w:val="20"/>
              </w:rPr>
              <w:t>F3</w:t>
            </w:r>
          </w:p>
        </w:tc>
        <w:tc>
          <w:tcPr>
            <w:tcW w:w="2471" w:type="dxa"/>
            <w:vAlign w:val="center"/>
          </w:tcPr>
          <w:p w14:paraId="093D70FE" w14:textId="2B3207A5" w:rsidR="008D03F6" w:rsidRPr="00CE5B93" w:rsidRDefault="008D03F6" w:rsidP="004442D4">
            <w:pPr>
              <w:jc w:val="center"/>
              <w:rPr>
                <w:rFonts w:ascii="Arial" w:hAnsi="Arial" w:cs="Arial"/>
                <w:sz w:val="20"/>
                <w:szCs w:val="20"/>
              </w:rPr>
            </w:pPr>
            <w:r w:rsidRPr="00CE5B93">
              <w:rPr>
                <w:rFonts w:ascii="Arial" w:hAnsi="Arial" w:cs="Arial"/>
                <w:sz w:val="20"/>
                <w:szCs w:val="20"/>
              </w:rPr>
              <w:t>245 ± 15.2</w:t>
            </w:r>
          </w:p>
        </w:tc>
        <w:tc>
          <w:tcPr>
            <w:tcW w:w="2041" w:type="dxa"/>
            <w:vAlign w:val="center"/>
          </w:tcPr>
          <w:p w14:paraId="6CBAA1FD" w14:textId="7B8D85F9" w:rsidR="008D03F6" w:rsidRPr="00CE5B93" w:rsidRDefault="003A4A35" w:rsidP="004442D4">
            <w:pPr>
              <w:jc w:val="center"/>
              <w:rPr>
                <w:rFonts w:ascii="Arial" w:hAnsi="Arial" w:cs="Arial"/>
                <w:sz w:val="20"/>
                <w:szCs w:val="20"/>
              </w:rPr>
            </w:pPr>
            <w:r w:rsidRPr="00CE5B93">
              <w:rPr>
                <w:rFonts w:ascii="Arial" w:hAnsi="Arial" w:cs="Arial"/>
                <w:sz w:val="20"/>
                <w:szCs w:val="20"/>
              </w:rPr>
              <w:t>-19.8 ± 1.0</w:t>
            </w:r>
          </w:p>
        </w:tc>
        <w:tc>
          <w:tcPr>
            <w:tcW w:w="204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A4A35" w:rsidRPr="00CE5B93" w14:paraId="0FAB208B" w14:textId="77777777" w:rsidTr="003A4A35">
              <w:trPr>
                <w:tblCellSpacing w:w="15" w:type="dxa"/>
              </w:trPr>
              <w:tc>
                <w:tcPr>
                  <w:tcW w:w="0" w:type="auto"/>
                  <w:vAlign w:val="center"/>
                  <w:hideMark/>
                </w:tcPr>
                <w:p w14:paraId="1ECF3EDB" w14:textId="77777777" w:rsidR="003A4A35" w:rsidRPr="00CE5B93" w:rsidRDefault="003A4A35" w:rsidP="004442D4">
                  <w:pPr>
                    <w:spacing w:after="0" w:line="240" w:lineRule="auto"/>
                    <w:jc w:val="center"/>
                    <w:rPr>
                      <w:rFonts w:ascii="Arial" w:hAnsi="Arial" w:cs="Arial"/>
                      <w:sz w:val="20"/>
                      <w:szCs w:val="20"/>
                    </w:rPr>
                  </w:pPr>
                </w:p>
              </w:tc>
            </w:tr>
          </w:tbl>
          <w:p w14:paraId="330C24D3" w14:textId="77777777" w:rsidR="003A4A35" w:rsidRPr="00CE5B93" w:rsidRDefault="003A4A35" w:rsidP="004442D4">
            <w:pPr>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3A4A35" w:rsidRPr="00CE5B93" w14:paraId="7C1C64F7" w14:textId="77777777" w:rsidTr="003A4A35">
              <w:trPr>
                <w:tblCellSpacing w:w="15" w:type="dxa"/>
              </w:trPr>
              <w:tc>
                <w:tcPr>
                  <w:tcW w:w="0" w:type="auto"/>
                  <w:vAlign w:val="center"/>
                  <w:hideMark/>
                </w:tcPr>
                <w:p w14:paraId="73ED928F" w14:textId="77777777" w:rsidR="003A4A35" w:rsidRPr="00CE5B93" w:rsidRDefault="003A4A35" w:rsidP="004442D4">
                  <w:pPr>
                    <w:spacing w:after="0" w:line="240" w:lineRule="auto"/>
                    <w:jc w:val="center"/>
                    <w:rPr>
                      <w:rFonts w:ascii="Arial" w:hAnsi="Arial" w:cs="Arial"/>
                      <w:sz w:val="20"/>
                      <w:szCs w:val="20"/>
                    </w:rPr>
                  </w:pPr>
                  <w:r w:rsidRPr="00CE5B93">
                    <w:rPr>
                      <w:rFonts w:ascii="Arial" w:hAnsi="Arial" w:cs="Arial"/>
                      <w:sz w:val="20"/>
                      <w:szCs w:val="20"/>
                    </w:rPr>
                    <w:t>0.27</w:t>
                  </w:r>
                </w:p>
              </w:tc>
            </w:tr>
          </w:tbl>
          <w:p w14:paraId="74AE0FCC" w14:textId="77777777" w:rsidR="008D03F6" w:rsidRPr="00CE5B93" w:rsidRDefault="008D03F6" w:rsidP="004442D4">
            <w:pPr>
              <w:jc w:val="center"/>
              <w:rPr>
                <w:rFonts w:ascii="Arial" w:hAnsi="Arial" w:cs="Arial"/>
                <w:sz w:val="20"/>
                <w:szCs w:val="20"/>
              </w:rPr>
            </w:pPr>
          </w:p>
        </w:tc>
      </w:tr>
      <w:tr w:rsidR="008D03F6" w:rsidRPr="00CE5B93" w14:paraId="257E0676" w14:textId="54A10A2E" w:rsidTr="004442D4">
        <w:tc>
          <w:tcPr>
            <w:tcW w:w="2463" w:type="dxa"/>
            <w:vAlign w:val="center"/>
          </w:tcPr>
          <w:p w14:paraId="32EC5940" w14:textId="5E309B1A" w:rsidR="008D03F6" w:rsidRPr="00CE5B93" w:rsidRDefault="008D03F6" w:rsidP="004442D4">
            <w:pPr>
              <w:jc w:val="center"/>
              <w:rPr>
                <w:rFonts w:ascii="Arial" w:hAnsi="Arial" w:cs="Arial"/>
                <w:sz w:val="20"/>
                <w:szCs w:val="20"/>
              </w:rPr>
            </w:pPr>
            <w:r w:rsidRPr="00CE5B93">
              <w:rPr>
                <w:rFonts w:ascii="Arial" w:hAnsi="Arial" w:cs="Arial"/>
                <w:sz w:val="20"/>
                <w:szCs w:val="20"/>
              </w:rPr>
              <w:t>F4</w:t>
            </w:r>
          </w:p>
        </w:tc>
        <w:tc>
          <w:tcPr>
            <w:tcW w:w="2471" w:type="dxa"/>
            <w:vAlign w:val="center"/>
          </w:tcPr>
          <w:p w14:paraId="3028BA40" w14:textId="6D412257" w:rsidR="008D03F6" w:rsidRPr="00CE5B93" w:rsidRDefault="008D03F6" w:rsidP="004442D4">
            <w:pPr>
              <w:jc w:val="center"/>
              <w:rPr>
                <w:rFonts w:ascii="Arial" w:hAnsi="Arial" w:cs="Arial"/>
                <w:sz w:val="20"/>
                <w:szCs w:val="20"/>
              </w:rPr>
            </w:pPr>
            <w:r w:rsidRPr="00CE5B93">
              <w:rPr>
                <w:rFonts w:ascii="Arial" w:hAnsi="Arial" w:cs="Arial"/>
                <w:sz w:val="20"/>
                <w:szCs w:val="20"/>
              </w:rPr>
              <w:t>310 ± 20.3</w:t>
            </w:r>
          </w:p>
        </w:tc>
        <w:tc>
          <w:tcPr>
            <w:tcW w:w="204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A4A35" w:rsidRPr="00CE5B93" w14:paraId="1C84CEE9" w14:textId="77777777" w:rsidTr="003A4A35">
              <w:trPr>
                <w:tblCellSpacing w:w="15" w:type="dxa"/>
              </w:trPr>
              <w:tc>
                <w:tcPr>
                  <w:tcW w:w="0" w:type="auto"/>
                  <w:vAlign w:val="center"/>
                  <w:hideMark/>
                </w:tcPr>
                <w:p w14:paraId="4F1CBCD3" w14:textId="77777777" w:rsidR="003A4A35" w:rsidRPr="00CE5B93" w:rsidRDefault="003A4A35" w:rsidP="004442D4">
                  <w:pPr>
                    <w:spacing w:after="0" w:line="240" w:lineRule="auto"/>
                    <w:jc w:val="center"/>
                    <w:rPr>
                      <w:rFonts w:ascii="Arial" w:hAnsi="Arial" w:cs="Arial"/>
                      <w:sz w:val="20"/>
                      <w:szCs w:val="20"/>
                    </w:rPr>
                  </w:pPr>
                </w:p>
              </w:tc>
            </w:tr>
          </w:tbl>
          <w:p w14:paraId="2E027578" w14:textId="77777777" w:rsidR="003A4A35" w:rsidRPr="00CE5B93" w:rsidRDefault="003A4A35" w:rsidP="004442D4">
            <w:pPr>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5"/>
            </w:tblGrid>
            <w:tr w:rsidR="003A4A35" w:rsidRPr="00CE5B93" w14:paraId="44910E3F" w14:textId="77777777" w:rsidTr="003A4A35">
              <w:trPr>
                <w:tblCellSpacing w:w="15" w:type="dxa"/>
              </w:trPr>
              <w:tc>
                <w:tcPr>
                  <w:tcW w:w="0" w:type="auto"/>
                  <w:vAlign w:val="center"/>
                  <w:hideMark/>
                </w:tcPr>
                <w:p w14:paraId="2F61589B" w14:textId="3DDB9FB3" w:rsidR="003A4A35" w:rsidRPr="00CE5B93" w:rsidRDefault="003A4A35" w:rsidP="004442D4">
                  <w:pPr>
                    <w:spacing w:after="0" w:line="240" w:lineRule="auto"/>
                    <w:jc w:val="center"/>
                    <w:rPr>
                      <w:rFonts w:ascii="Arial" w:hAnsi="Arial" w:cs="Arial"/>
                      <w:sz w:val="20"/>
                      <w:szCs w:val="20"/>
                    </w:rPr>
                  </w:pPr>
                  <w:r w:rsidRPr="00CE5B93">
                    <w:rPr>
                      <w:rFonts w:ascii="Arial" w:hAnsi="Arial" w:cs="Arial"/>
                      <w:sz w:val="20"/>
                      <w:szCs w:val="20"/>
                    </w:rPr>
                    <w:t>-17.5 ± 1.3</w:t>
                  </w:r>
                </w:p>
              </w:tc>
            </w:tr>
          </w:tbl>
          <w:p w14:paraId="4FDD0A49" w14:textId="77777777" w:rsidR="008D03F6" w:rsidRPr="00CE5B93" w:rsidRDefault="008D03F6" w:rsidP="004442D4">
            <w:pPr>
              <w:jc w:val="center"/>
              <w:rPr>
                <w:rFonts w:ascii="Arial" w:hAnsi="Arial" w:cs="Arial"/>
                <w:sz w:val="20"/>
                <w:szCs w:val="20"/>
              </w:rPr>
            </w:pPr>
          </w:p>
        </w:tc>
        <w:tc>
          <w:tcPr>
            <w:tcW w:w="204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A4A35" w:rsidRPr="00CE5B93" w14:paraId="131AA9E7" w14:textId="77777777" w:rsidTr="003A4A35">
              <w:trPr>
                <w:tblCellSpacing w:w="15" w:type="dxa"/>
              </w:trPr>
              <w:tc>
                <w:tcPr>
                  <w:tcW w:w="0" w:type="auto"/>
                  <w:vAlign w:val="center"/>
                  <w:hideMark/>
                </w:tcPr>
                <w:p w14:paraId="14260F03" w14:textId="77777777" w:rsidR="003A4A35" w:rsidRPr="00CE5B93" w:rsidRDefault="003A4A35" w:rsidP="004442D4">
                  <w:pPr>
                    <w:spacing w:after="0" w:line="240" w:lineRule="auto"/>
                    <w:jc w:val="center"/>
                    <w:rPr>
                      <w:rFonts w:ascii="Arial" w:hAnsi="Arial" w:cs="Arial"/>
                      <w:sz w:val="20"/>
                      <w:szCs w:val="20"/>
                    </w:rPr>
                  </w:pPr>
                </w:p>
              </w:tc>
            </w:tr>
          </w:tbl>
          <w:p w14:paraId="00F4C529" w14:textId="77777777" w:rsidR="003A4A35" w:rsidRPr="00CE5B93" w:rsidRDefault="003A4A35" w:rsidP="004442D4">
            <w:pPr>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3A4A35" w:rsidRPr="00CE5B93" w14:paraId="2B2ACFA3" w14:textId="77777777" w:rsidTr="003A4A35">
              <w:trPr>
                <w:tblCellSpacing w:w="15" w:type="dxa"/>
              </w:trPr>
              <w:tc>
                <w:tcPr>
                  <w:tcW w:w="0" w:type="auto"/>
                  <w:vAlign w:val="center"/>
                  <w:hideMark/>
                </w:tcPr>
                <w:p w14:paraId="493C58E3" w14:textId="77777777" w:rsidR="003A4A35" w:rsidRPr="00CE5B93" w:rsidRDefault="003A4A35" w:rsidP="004442D4">
                  <w:pPr>
                    <w:spacing w:after="0" w:line="240" w:lineRule="auto"/>
                    <w:jc w:val="center"/>
                    <w:rPr>
                      <w:rFonts w:ascii="Arial" w:hAnsi="Arial" w:cs="Arial"/>
                      <w:sz w:val="20"/>
                      <w:szCs w:val="20"/>
                    </w:rPr>
                  </w:pPr>
                  <w:r w:rsidRPr="00CE5B93">
                    <w:rPr>
                      <w:rFonts w:ascii="Arial" w:hAnsi="Arial" w:cs="Arial"/>
                      <w:sz w:val="20"/>
                      <w:szCs w:val="20"/>
                    </w:rPr>
                    <w:t>0.34</w:t>
                  </w:r>
                </w:p>
              </w:tc>
            </w:tr>
          </w:tbl>
          <w:p w14:paraId="41107754" w14:textId="77777777" w:rsidR="008D03F6" w:rsidRPr="00CE5B93" w:rsidRDefault="008D03F6" w:rsidP="004442D4">
            <w:pPr>
              <w:jc w:val="center"/>
              <w:rPr>
                <w:rFonts w:ascii="Arial" w:hAnsi="Arial" w:cs="Arial"/>
                <w:sz w:val="20"/>
                <w:szCs w:val="20"/>
              </w:rPr>
            </w:pPr>
          </w:p>
        </w:tc>
      </w:tr>
      <w:tr w:rsidR="008D03F6" w:rsidRPr="00CE5B93" w14:paraId="386C5C53" w14:textId="2FBEAB95" w:rsidTr="004442D4">
        <w:tc>
          <w:tcPr>
            <w:tcW w:w="2463" w:type="dxa"/>
            <w:vAlign w:val="center"/>
          </w:tcPr>
          <w:p w14:paraId="6ECAB535" w14:textId="68EECEE1" w:rsidR="008D03F6" w:rsidRPr="00CE5B93" w:rsidRDefault="008D03F6" w:rsidP="004442D4">
            <w:pPr>
              <w:jc w:val="center"/>
              <w:rPr>
                <w:rFonts w:ascii="Arial" w:hAnsi="Arial" w:cs="Arial"/>
                <w:sz w:val="20"/>
                <w:szCs w:val="20"/>
              </w:rPr>
            </w:pPr>
            <w:r w:rsidRPr="00CE5B93">
              <w:rPr>
                <w:rFonts w:ascii="Arial" w:hAnsi="Arial" w:cs="Arial"/>
                <w:sz w:val="20"/>
                <w:szCs w:val="20"/>
              </w:rPr>
              <w:t>F5</w:t>
            </w:r>
          </w:p>
        </w:tc>
        <w:tc>
          <w:tcPr>
            <w:tcW w:w="2471" w:type="dxa"/>
            <w:vAlign w:val="center"/>
          </w:tcPr>
          <w:p w14:paraId="71969202" w14:textId="093C6C8F" w:rsidR="008D03F6" w:rsidRPr="00CE5B93" w:rsidRDefault="008D03F6" w:rsidP="004442D4">
            <w:pPr>
              <w:jc w:val="center"/>
              <w:rPr>
                <w:rFonts w:ascii="Arial" w:hAnsi="Arial" w:cs="Arial"/>
                <w:sz w:val="20"/>
                <w:szCs w:val="20"/>
              </w:rPr>
            </w:pPr>
            <w:r w:rsidRPr="00CE5B93">
              <w:rPr>
                <w:rFonts w:ascii="Arial" w:hAnsi="Arial" w:cs="Arial"/>
                <w:sz w:val="20"/>
                <w:szCs w:val="20"/>
              </w:rPr>
              <w:t>290 ± 15.6</w:t>
            </w:r>
          </w:p>
        </w:tc>
        <w:tc>
          <w:tcPr>
            <w:tcW w:w="204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A4A35" w:rsidRPr="00CE5B93" w14:paraId="1376DB9A" w14:textId="77777777" w:rsidTr="003A4A35">
              <w:trPr>
                <w:tblCellSpacing w:w="15" w:type="dxa"/>
              </w:trPr>
              <w:tc>
                <w:tcPr>
                  <w:tcW w:w="0" w:type="auto"/>
                  <w:vAlign w:val="center"/>
                  <w:hideMark/>
                </w:tcPr>
                <w:p w14:paraId="61EE7121" w14:textId="77777777" w:rsidR="003A4A35" w:rsidRPr="00CE5B93" w:rsidRDefault="003A4A35" w:rsidP="004442D4">
                  <w:pPr>
                    <w:spacing w:after="0" w:line="240" w:lineRule="auto"/>
                    <w:jc w:val="center"/>
                    <w:rPr>
                      <w:rFonts w:ascii="Arial" w:hAnsi="Arial" w:cs="Arial"/>
                      <w:sz w:val="20"/>
                      <w:szCs w:val="20"/>
                    </w:rPr>
                  </w:pPr>
                </w:p>
              </w:tc>
            </w:tr>
          </w:tbl>
          <w:p w14:paraId="51D369E7" w14:textId="77777777" w:rsidR="003A4A35" w:rsidRPr="00CE5B93" w:rsidRDefault="003A4A35" w:rsidP="004442D4">
            <w:pPr>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5"/>
            </w:tblGrid>
            <w:tr w:rsidR="003A4A35" w:rsidRPr="00CE5B93" w14:paraId="31A8AF3F" w14:textId="77777777" w:rsidTr="003A4A35">
              <w:trPr>
                <w:tblCellSpacing w:w="15" w:type="dxa"/>
              </w:trPr>
              <w:tc>
                <w:tcPr>
                  <w:tcW w:w="0" w:type="auto"/>
                  <w:vAlign w:val="center"/>
                  <w:hideMark/>
                </w:tcPr>
                <w:p w14:paraId="36929D48" w14:textId="2D8A6394" w:rsidR="003A4A35" w:rsidRPr="00CE5B93" w:rsidRDefault="003A4A35" w:rsidP="004442D4">
                  <w:pPr>
                    <w:spacing w:after="0" w:line="240" w:lineRule="auto"/>
                    <w:jc w:val="center"/>
                    <w:rPr>
                      <w:rFonts w:ascii="Arial" w:hAnsi="Arial" w:cs="Arial"/>
                      <w:sz w:val="20"/>
                      <w:szCs w:val="20"/>
                    </w:rPr>
                  </w:pPr>
                  <w:r w:rsidRPr="00CE5B93">
                    <w:rPr>
                      <w:rFonts w:ascii="Arial" w:hAnsi="Arial" w:cs="Arial"/>
                      <w:sz w:val="20"/>
                      <w:szCs w:val="20"/>
                    </w:rPr>
                    <w:t>-16.8 ± 1.1</w:t>
                  </w:r>
                </w:p>
              </w:tc>
            </w:tr>
          </w:tbl>
          <w:p w14:paraId="5886D61D" w14:textId="77777777" w:rsidR="008D03F6" w:rsidRPr="00CE5B93" w:rsidRDefault="008D03F6" w:rsidP="004442D4">
            <w:pPr>
              <w:jc w:val="center"/>
              <w:rPr>
                <w:rFonts w:ascii="Arial" w:hAnsi="Arial" w:cs="Arial"/>
                <w:sz w:val="20"/>
                <w:szCs w:val="20"/>
              </w:rPr>
            </w:pPr>
          </w:p>
        </w:tc>
        <w:tc>
          <w:tcPr>
            <w:tcW w:w="204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A4A35" w:rsidRPr="00CE5B93" w14:paraId="6A2630BE" w14:textId="77777777" w:rsidTr="003A4A35">
              <w:trPr>
                <w:tblCellSpacing w:w="15" w:type="dxa"/>
              </w:trPr>
              <w:tc>
                <w:tcPr>
                  <w:tcW w:w="0" w:type="auto"/>
                  <w:vAlign w:val="center"/>
                  <w:hideMark/>
                </w:tcPr>
                <w:p w14:paraId="55DBBE73" w14:textId="77777777" w:rsidR="003A4A35" w:rsidRPr="00CE5B93" w:rsidRDefault="003A4A35" w:rsidP="004442D4">
                  <w:pPr>
                    <w:spacing w:after="0" w:line="240" w:lineRule="auto"/>
                    <w:jc w:val="center"/>
                    <w:rPr>
                      <w:rFonts w:ascii="Arial" w:hAnsi="Arial" w:cs="Arial"/>
                      <w:sz w:val="20"/>
                      <w:szCs w:val="20"/>
                    </w:rPr>
                  </w:pPr>
                </w:p>
              </w:tc>
            </w:tr>
          </w:tbl>
          <w:p w14:paraId="5628E999" w14:textId="77777777" w:rsidR="003A4A35" w:rsidRPr="00CE5B93" w:rsidRDefault="003A4A35" w:rsidP="004442D4">
            <w:pPr>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3A4A35" w:rsidRPr="00CE5B93" w14:paraId="7BC98EDD" w14:textId="77777777" w:rsidTr="003A4A35">
              <w:trPr>
                <w:tblCellSpacing w:w="15" w:type="dxa"/>
              </w:trPr>
              <w:tc>
                <w:tcPr>
                  <w:tcW w:w="0" w:type="auto"/>
                  <w:vAlign w:val="center"/>
                  <w:hideMark/>
                </w:tcPr>
                <w:p w14:paraId="7A968718" w14:textId="77777777" w:rsidR="003A4A35" w:rsidRPr="00CE5B93" w:rsidRDefault="003A4A35" w:rsidP="004442D4">
                  <w:pPr>
                    <w:spacing w:after="0" w:line="240" w:lineRule="auto"/>
                    <w:jc w:val="center"/>
                    <w:rPr>
                      <w:rFonts w:ascii="Arial" w:hAnsi="Arial" w:cs="Arial"/>
                      <w:sz w:val="20"/>
                      <w:szCs w:val="20"/>
                    </w:rPr>
                  </w:pPr>
                  <w:r w:rsidRPr="00CE5B93">
                    <w:rPr>
                      <w:rFonts w:ascii="Arial" w:hAnsi="Arial" w:cs="Arial"/>
                      <w:sz w:val="20"/>
                      <w:szCs w:val="20"/>
                    </w:rPr>
                    <w:t>0.30</w:t>
                  </w:r>
                </w:p>
              </w:tc>
            </w:tr>
          </w:tbl>
          <w:p w14:paraId="40C93358" w14:textId="77777777" w:rsidR="008D03F6" w:rsidRPr="00CE5B93" w:rsidRDefault="008D03F6" w:rsidP="004442D4">
            <w:pPr>
              <w:jc w:val="center"/>
              <w:rPr>
                <w:rFonts w:ascii="Arial" w:hAnsi="Arial" w:cs="Arial"/>
                <w:sz w:val="20"/>
                <w:szCs w:val="20"/>
              </w:rPr>
            </w:pPr>
          </w:p>
        </w:tc>
      </w:tr>
      <w:tr w:rsidR="008D03F6" w:rsidRPr="00CE5B93" w14:paraId="3E1BD6BD" w14:textId="01C38400" w:rsidTr="004442D4">
        <w:tc>
          <w:tcPr>
            <w:tcW w:w="2463" w:type="dxa"/>
            <w:vAlign w:val="center"/>
          </w:tcPr>
          <w:p w14:paraId="301EB0E6" w14:textId="499F19A0" w:rsidR="008D03F6" w:rsidRPr="00CE5B93" w:rsidRDefault="008D03F6" w:rsidP="004442D4">
            <w:pPr>
              <w:jc w:val="center"/>
              <w:rPr>
                <w:rFonts w:ascii="Arial" w:hAnsi="Arial" w:cs="Arial"/>
                <w:sz w:val="20"/>
                <w:szCs w:val="20"/>
              </w:rPr>
            </w:pPr>
            <w:r w:rsidRPr="00CE5B93">
              <w:rPr>
                <w:rFonts w:ascii="Arial" w:hAnsi="Arial" w:cs="Arial"/>
                <w:sz w:val="20"/>
                <w:szCs w:val="20"/>
              </w:rPr>
              <w:t>F6</w:t>
            </w:r>
          </w:p>
        </w:tc>
        <w:tc>
          <w:tcPr>
            <w:tcW w:w="2471" w:type="dxa"/>
            <w:vAlign w:val="center"/>
          </w:tcPr>
          <w:p w14:paraId="24752BBE" w14:textId="066900C4" w:rsidR="008D03F6" w:rsidRPr="00CE5B93" w:rsidRDefault="008D03F6" w:rsidP="004442D4">
            <w:pPr>
              <w:jc w:val="center"/>
              <w:rPr>
                <w:rFonts w:ascii="Arial" w:hAnsi="Arial" w:cs="Arial"/>
                <w:sz w:val="20"/>
                <w:szCs w:val="20"/>
              </w:rPr>
            </w:pPr>
            <w:r w:rsidRPr="00CE5B93">
              <w:rPr>
                <w:rFonts w:ascii="Arial" w:hAnsi="Arial" w:cs="Arial"/>
                <w:sz w:val="20"/>
                <w:szCs w:val="20"/>
              </w:rPr>
              <w:t>182.5 ± 14.1</w:t>
            </w:r>
          </w:p>
        </w:tc>
        <w:tc>
          <w:tcPr>
            <w:tcW w:w="2041" w:type="dxa"/>
            <w:vAlign w:val="center"/>
          </w:tcPr>
          <w:p w14:paraId="3911FCF9" w14:textId="661F03E0" w:rsidR="008D03F6" w:rsidRPr="00CE5B93" w:rsidRDefault="003A4A35" w:rsidP="004442D4">
            <w:pPr>
              <w:jc w:val="center"/>
              <w:rPr>
                <w:rFonts w:ascii="Arial" w:hAnsi="Arial" w:cs="Arial"/>
                <w:sz w:val="20"/>
                <w:szCs w:val="20"/>
              </w:rPr>
            </w:pPr>
            <w:r w:rsidRPr="00CE5B93">
              <w:rPr>
                <w:rFonts w:ascii="Arial" w:hAnsi="Arial" w:cs="Arial"/>
                <w:sz w:val="20"/>
                <w:szCs w:val="20"/>
              </w:rPr>
              <w:t>-19.37 ± 1.0</w:t>
            </w:r>
          </w:p>
        </w:tc>
        <w:tc>
          <w:tcPr>
            <w:tcW w:w="2041" w:type="dxa"/>
            <w:vAlign w:val="center"/>
          </w:tcPr>
          <w:p w14:paraId="44AB9CFC" w14:textId="47A3051F" w:rsidR="008D03F6" w:rsidRPr="00CE5B93" w:rsidRDefault="003A4A35" w:rsidP="004442D4">
            <w:pPr>
              <w:jc w:val="center"/>
              <w:rPr>
                <w:rFonts w:ascii="Arial" w:hAnsi="Arial" w:cs="Arial"/>
                <w:sz w:val="20"/>
                <w:szCs w:val="20"/>
              </w:rPr>
            </w:pPr>
            <w:r w:rsidRPr="00CE5B93">
              <w:rPr>
                <w:rFonts w:ascii="Arial" w:hAnsi="Arial" w:cs="Arial"/>
                <w:sz w:val="20"/>
                <w:szCs w:val="20"/>
              </w:rPr>
              <w:t>0.43</w:t>
            </w:r>
          </w:p>
        </w:tc>
      </w:tr>
      <w:tr w:rsidR="008D03F6" w:rsidRPr="00CE5B93" w14:paraId="6CEB3383" w14:textId="06B2571B" w:rsidTr="004442D4">
        <w:tc>
          <w:tcPr>
            <w:tcW w:w="2463" w:type="dxa"/>
            <w:vAlign w:val="center"/>
          </w:tcPr>
          <w:p w14:paraId="4D09EBC6" w14:textId="59669BD9" w:rsidR="008D03F6" w:rsidRPr="00CE5B93" w:rsidRDefault="008D03F6" w:rsidP="004442D4">
            <w:pPr>
              <w:jc w:val="center"/>
              <w:rPr>
                <w:rFonts w:ascii="Arial" w:hAnsi="Arial" w:cs="Arial"/>
                <w:sz w:val="20"/>
                <w:szCs w:val="20"/>
              </w:rPr>
            </w:pPr>
            <w:r w:rsidRPr="00CE5B93">
              <w:rPr>
                <w:rFonts w:ascii="Arial" w:hAnsi="Arial" w:cs="Arial"/>
                <w:sz w:val="20"/>
                <w:szCs w:val="20"/>
              </w:rPr>
              <w:t>F7</w:t>
            </w:r>
          </w:p>
        </w:tc>
        <w:tc>
          <w:tcPr>
            <w:tcW w:w="2471" w:type="dxa"/>
            <w:vAlign w:val="center"/>
          </w:tcPr>
          <w:p w14:paraId="10A6DFFA" w14:textId="14A73FF3" w:rsidR="008D03F6" w:rsidRPr="00CE5B93" w:rsidRDefault="008D03F6" w:rsidP="004442D4">
            <w:pPr>
              <w:jc w:val="center"/>
              <w:rPr>
                <w:rFonts w:ascii="Arial" w:hAnsi="Arial" w:cs="Arial"/>
                <w:sz w:val="20"/>
                <w:szCs w:val="20"/>
              </w:rPr>
            </w:pPr>
            <w:r w:rsidRPr="00CE5B93">
              <w:rPr>
                <w:rFonts w:ascii="Arial" w:hAnsi="Arial" w:cs="Arial"/>
                <w:sz w:val="20"/>
                <w:szCs w:val="20"/>
              </w:rPr>
              <w:t>340 ± 9</w:t>
            </w:r>
          </w:p>
        </w:tc>
        <w:tc>
          <w:tcPr>
            <w:tcW w:w="204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A4A35" w:rsidRPr="00CE5B93" w14:paraId="66E8BB9C" w14:textId="77777777" w:rsidTr="003A4A35">
              <w:trPr>
                <w:tblCellSpacing w:w="15" w:type="dxa"/>
              </w:trPr>
              <w:tc>
                <w:tcPr>
                  <w:tcW w:w="0" w:type="auto"/>
                  <w:vAlign w:val="center"/>
                  <w:hideMark/>
                </w:tcPr>
                <w:p w14:paraId="2A0397F1" w14:textId="77777777" w:rsidR="003A4A35" w:rsidRPr="00CE5B93" w:rsidRDefault="003A4A35" w:rsidP="004442D4">
                  <w:pPr>
                    <w:spacing w:after="0" w:line="240" w:lineRule="auto"/>
                    <w:jc w:val="center"/>
                    <w:rPr>
                      <w:rFonts w:ascii="Arial" w:hAnsi="Arial" w:cs="Arial"/>
                      <w:sz w:val="20"/>
                      <w:szCs w:val="20"/>
                    </w:rPr>
                  </w:pPr>
                </w:p>
              </w:tc>
            </w:tr>
          </w:tbl>
          <w:p w14:paraId="09723F52" w14:textId="77777777" w:rsidR="003A4A35" w:rsidRPr="00CE5B93" w:rsidRDefault="003A4A35" w:rsidP="004442D4">
            <w:pPr>
              <w:jc w:val="center"/>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5"/>
            </w:tblGrid>
            <w:tr w:rsidR="003A4A35" w:rsidRPr="00CE5B93" w14:paraId="6AE439E9" w14:textId="77777777" w:rsidTr="003A4A35">
              <w:trPr>
                <w:tblCellSpacing w:w="15" w:type="dxa"/>
              </w:trPr>
              <w:tc>
                <w:tcPr>
                  <w:tcW w:w="0" w:type="auto"/>
                  <w:vAlign w:val="center"/>
                  <w:hideMark/>
                </w:tcPr>
                <w:p w14:paraId="7EF3D2A0" w14:textId="311AFE88" w:rsidR="003A4A35" w:rsidRPr="00CE5B93" w:rsidRDefault="003A4A35" w:rsidP="004442D4">
                  <w:pPr>
                    <w:spacing w:after="0" w:line="240" w:lineRule="auto"/>
                    <w:jc w:val="center"/>
                    <w:rPr>
                      <w:rFonts w:ascii="Arial" w:hAnsi="Arial" w:cs="Arial"/>
                      <w:sz w:val="20"/>
                      <w:szCs w:val="20"/>
                    </w:rPr>
                  </w:pPr>
                  <w:r w:rsidRPr="00CE5B93">
                    <w:rPr>
                      <w:rFonts w:ascii="Arial" w:hAnsi="Arial" w:cs="Arial"/>
                      <w:sz w:val="20"/>
                      <w:szCs w:val="20"/>
                    </w:rPr>
                    <w:t>-15.2 ± 1.0</w:t>
                  </w:r>
                </w:p>
              </w:tc>
            </w:tr>
          </w:tbl>
          <w:p w14:paraId="0964CB86" w14:textId="77777777" w:rsidR="008D03F6" w:rsidRPr="00CE5B93" w:rsidRDefault="008D03F6" w:rsidP="004442D4">
            <w:pPr>
              <w:jc w:val="center"/>
              <w:rPr>
                <w:rFonts w:ascii="Arial" w:hAnsi="Arial" w:cs="Arial"/>
                <w:sz w:val="20"/>
                <w:szCs w:val="20"/>
              </w:rPr>
            </w:pPr>
          </w:p>
        </w:tc>
        <w:tc>
          <w:tcPr>
            <w:tcW w:w="2041" w:type="dxa"/>
            <w:vAlign w:val="center"/>
          </w:tcPr>
          <w:p w14:paraId="02C44BFA" w14:textId="1ABCB884" w:rsidR="008D03F6" w:rsidRPr="00CE5B93" w:rsidRDefault="003A4A35" w:rsidP="004442D4">
            <w:pPr>
              <w:jc w:val="center"/>
              <w:rPr>
                <w:rFonts w:ascii="Arial" w:hAnsi="Arial" w:cs="Arial"/>
                <w:sz w:val="20"/>
                <w:szCs w:val="20"/>
              </w:rPr>
            </w:pPr>
            <w:r w:rsidRPr="00CE5B93">
              <w:rPr>
                <w:rFonts w:ascii="Arial" w:hAnsi="Arial" w:cs="Arial"/>
                <w:sz w:val="20"/>
                <w:szCs w:val="20"/>
              </w:rPr>
              <w:t>0.38</w:t>
            </w:r>
          </w:p>
        </w:tc>
      </w:tr>
      <w:tr w:rsidR="008D03F6" w:rsidRPr="00CE5B93" w14:paraId="65C23081" w14:textId="3FA36CE5" w:rsidTr="004442D4">
        <w:tc>
          <w:tcPr>
            <w:tcW w:w="2463" w:type="dxa"/>
            <w:vAlign w:val="center"/>
          </w:tcPr>
          <w:p w14:paraId="31F2D0AD" w14:textId="519F4299" w:rsidR="008D03F6" w:rsidRPr="00CE5B93" w:rsidRDefault="008D03F6" w:rsidP="004442D4">
            <w:pPr>
              <w:jc w:val="center"/>
              <w:rPr>
                <w:rFonts w:ascii="Arial" w:hAnsi="Arial" w:cs="Arial"/>
                <w:sz w:val="20"/>
                <w:szCs w:val="20"/>
              </w:rPr>
            </w:pPr>
            <w:r w:rsidRPr="00CE5B93">
              <w:rPr>
                <w:rFonts w:ascii="Arial" w:hAnsi="Arial" w:cs="Arial"/>
                <w:sz w:val="20"/>
                <w:szCs w:val="20"/>
              </w:rPr>
              <w:t>F8</w:t>
            </w:r>
          </w:p>
        </w:tc>
        <w:tc>
          <w:tcPr>
            <w:tcW w:w="2471" w:type="dxa"/>
            <w:vAlign w:val="center"/>
          </w:tcPr>
          <w:p w14:paraId="4B3C5CD5" w14:textId="63AC8209" w:rsidR="008D03F6" w:rsidRPr="00CE5B93" w:rsidRDefault="008D03F6" w:rsidP="004442D4">
            <w:pPr>
              <w:jc w:val="center"/>
              <w:rPr>
                <w:rFonts w:ascii="Arial" w:hAnsi="Arial" w:cs="Arial"/>
                <w:sz w:val="20"/>
                <w:szCs w:val="20"/>
              </w:rPr>
            </w:pPr>
            <w:r w:rsidRPr="00CE5B93">
              <w:rPr>
                <w:rFonts w:ascii="Arial" w:hAnsi="Arial" w:cs="Arial"/>
                <w:sz w:val="20"/>
                <w:szCs w:val="20"/>
              </w:rPr>
              <w:t>195 ± 4</w:t>
            </w:r>
          </w:p>
        </w:tc>
        <w:tc>
          <w:tcPr>
            <w:tcW w:w="2041" w:type="dxa"/>
            <w:vAlign w:val="center"/>
          </w:tcPr>
          <w:p w14:paraId="15CD0E3F" w14:textId="26DA3134" w:rsidR="008D03F6" w:rsidRPr="00CE5B93" w:rsidRDefault="003A4A35" w:rsidP="004442D4">
            <w:pPr>
              <w:jc w:val="center"/>
              <w:rPr>
                <w:rFonts w:ascii="Arial" w:hAnsi="Arial" w:cs="Arial"/>
                <w:sz w:val="20"/>
                <w:szCs w:val="20"/>
              </w:rPr>
            </w:pPr>
            <w:r w:rsidRPr="00CE5B93">
              <w:rPr>
                <w:rFonts w:ascii="Arial" w:hAnsi="Arial" w:cs="Arial"/>
                <w:sz w:val="20"/>
                <w:szCs w:val="20"/>
              </w:rPr>
              <w:t>-23.8 ± 1.2</w:t>
            </w:r>
          </w:p>
        </w:tc>
        <w:tc>
          <w:tcPr>
            <w:tcW w:w="2041" w:type="dxa"/>
            <w:vAlign w:val="center"/>
          </w:tcPr>
          <w:p w14:paraId="7B955413" w14:textId="53C14E7B" w:rsidR="008D03F6" w:rsidRPr="00CE5B93" w:rsidRDefault="003A4A35" w:rsidP="004442D4">
            <w:pPr>
              <w:jc w:val="center"/>
              <w:rPr>
                <w:rFonts w:ascii="Arial" w:hAnsi="Arial" w:cs="Arial"/>
                <w:sz w:val="20"/>
                <w:szCs w:val="20"/>
              </w:rPr>
            </w:pPr>
            <w:r w:rsidRPr="00CE5B93">
              <w:rPr>
                <w:rFonts w:ascii="Arial" w:hAnsi="Arial" w:cs="Arial"/>
                <w:sz w:val="20"/>
                <w:szCs w:val="20"/>
              </w:rPr>
              <w:t>0.19</w:t>
            </w:r>
          </w:p>
        </w:tc>
      </w:tr>
    </w:tbl>
    <w:p w14:paraId="0622A8AF" w14:textId="3311787E" w:rsidR="006D50D4" w:rsidRPr="00CE5B93" w:rsidRDefault="003A4A35" w:rsidP="002154E1">
      <w:pPr>
        <w:jc w:val="both"/>
        <w:rPr>
          <w:rFonts w:ascii="Arial" w:hAnsi="Arial" w:cs="Arial"/>
          <w:sz w:val="20"/>
          <w:szCs w:val="20"/>
        </w:rPr>
      </w:pPr>
      <w:r w:rsidRPr="00CE5B93">
        <w:rPr>
          <w:rFonts w:ascii="Arial" w:hAnsi="Arial" w:cs="Arial"/>
          <w:sz w:val="20"/>
          <w:szCs w:val="20"/>
        </w:rPr>
        <w:t>*SE standard error, n = 3</w:t>
      </w:r>
    </w:p>
    <w:p w14:paraId="183E6CF0" w14:textId="4B2A86CF" w:rsidR="00B91172" w:rsidRPr="00CE5B93" w:rsidRDefault="006D50D4" w:rsidP="002154E1">
      <w:pPr>
        <w:jc w:val="both"/>
        <w:rPr>
          <w:rFonts w:ascii="Arial" w:hAnsi="Arial" w:cs="Arial"/>
          <w:sz w:val="20"/>
          <w:szCs w:val="20"/>
        </w:rPr>
      </w:pPr>
      <w:r w:rsidRPr="00CE5B93">
        <w:rPr>
          <w:rFonts w:ascii="Arial" w:hAnsi="Arial" w:cs="Arial"/>
          <w:sz w:val="20"/>
          <w:szCs w:val="20"/>
        </w:rPr>
        <w:t>Table 3: The mean particle size</w:t>
      </w:r>
      <w:r w:rsidR="00B91172" w:rsidRPr="00CE5B93">
        <w:rPr>
          <w:rFonts w:ascii="Arial" w:hAnsi="Arial" w:cs="Arial"/>
          <w:sz w:val="20"/>
          <w:szCs w:val="20"/>
        </w:rPr>
        <w:t xml:space="preserve">, Zeta, PDI </w:t>
      </w:r>
      <w:r w:rsidRPr="00CE5B93">
        <w:rPr>
          <w:rFonts w:ascii="Arial" w:hAnsi="Arial" w:cs="Arial"/>
          <w:sz w:val="20"/>
          <w:szCs w:val="20"/>
        </w:rPr>
        <w:t>of different formulations</w:t>
      </w:r>
    </w:p>
    <w:p w14:paraId="75ABEED5" w14:textId="77777777" w:rsidR="00941426" w:rsidRPr="00CE5B93" w:rsidRDefault="00941426" w:rsidP="002154E1">
      <w:pPr>
        <w:jc w:val="both"/>
        <w:rPr>
          <w:rFonts w:ascii="Arial" w:hAnsi="Arial" w:cs="Arial"/>
          <w:sz w:val="20"/>
          <w:szCs w:val="20"/>
        </w:rPr>
      </w:pPr>
      <w:r w:rsidRPr="00CE5B93">
        <w:rPr>
          <w:rFonts w:ascii="Arial" w:hAnsi="Arial" w:cs="Arial"/>
          <w:sz w:val="20"/>
          <w:szCs w:val="20"/>
        </w:rPr>
        <w:t>The size of the PCZ</w:t>
      </w:r>
      <w:r w:rsidRPr="00CE5B93">
        <w:rPr>
          <w:rFonts w:ascii="Arial" w:hAnsi="Arial" w:cs="Arial"/>
          <w:sz w:val="20"/>
          <w:szCs w:val="20"/>
        </w:rPr>
        <w:noBreakHyphen/>
        <w:t>loaded PCL nanoparticles was strongly influenced by process and formulation parameters. When stirring was conducted at moderate speeds (around 1,000–1,200 rpm, as in F2 and F3), sufficient shear forces yielded smaller particles (≈180–245 nm). Slower agitation (500 rpm in F4 and F7) led to poorer emulsification and larger droplets (≈310–340 nm), while very high speeds (1,500 rpm in F1, F6, F8) caused mild particle aggregation.</w:t>
      </w:r>
    </w:p>
    <w:p w14:paraId="5FF6669A" w14:textId="77777777" w:rsidR="00941426" w:rsidRPr="00CE5B93" w:rsidRDefault="00941426" w:rsidP="002154E1">
      <w:pPr>
        <w:jc w:val="both"/>
        <w:rPr>
          <w:rFonts w:ascii="Arial" w:hAnsi="Arial" w:cs="Arial"/>
          <w:sz w:val="20"/>
          <w:szCs w:val="20"/>
        </w:rPr>
      </w:pPr>
      <w:r w:rsidRPr="00CE5B93">
        <w:rPr>
          <w:rFonts w:ascii="Arial" w:hAnsi="Arial" w:cs="Arial"/>
          <w:sz w:val="20"/>
          <w:szCs w:val="20"/>
        </w:rPr>
        <w:t>Similarly, using 0.75% PVA (F2, F3, F8) provided better droplet stabilization and finer particles (≈180–245 nm), whereas lower PVA levels (0.3–0.5% in F4, F5, F7) resulted in coalescence and larger sizes (≈290–340 nm). Reducing PCL content to 100–250 mg (F2, F8) decreased the organic phase viscosity and produced smaller particles; increasing PCL to 300–500 mg (F3, F4) raised viscosity and limited droplet dispersion, yielding larger particles.</w:t>
      </w:r>
    </w:p>
    <w:p w14:paraId="0ACAFA4A" w14:textId="558A2023" w:rsidR="00941426" w:rsidRPr="00CE5B93" w:rsidRDefault="00941426" w:rsidP="002154E1">
      <w:pPr>
        <w:jc w:val="both"/>
        <w:rPr>
          <w:rFonts w:ascii="Arial" w:hAnsi="Arial" w:cs="Arial"/>
          <w:sz w:val="20"/>
          <w:szCs w:val="20"/>
        </w:rPr>
      </w:pPr>
      <w:r w:rsidRPr="00CE5B93">
        <w:rPr>
          <w:rFonts w:ascii="Arial" w:hAnsi="Arial" w:cs="Arial"/>
          <w:sz w:val="20"/>
          <w:szCs w:val="20"/>
        </w:rPr>
        <w:t xml:space="preserve">In summary, achieving optimal </w:t>
      </w:r>
      <w:proofErr w:type="spellStart"/>
      <w:r w:rsidRPr="00CE5B93">
        <w:rPr>
          <w:rFonts w:ascii="Arial" w:hAnsi="Arial" w:cs="Arial"/>
          <w:sz w:val="20"/>
          <w:szCs w:val="20"/>
        </w:rPr>
        <w:t>nanosponge</w:t>
      </w:r>
      <w:proofErr w:type="spellEnd"/>
      <w:r w:rsidRPr="00CE5B93">
        <w:rPr>
          <w:rFonts w:ascii="Arial" w:hAnsi="Arial" w:cs="Arial"/>
          <w:sz w:val="20"/>
          <w:szCs w:val="20"/>
        </w:rPr>
        <w:t xml:space="preserve"> size requires a balance of moderate stirring (≈1,000 rpm), higher emulsifier concentration (0.75% PVA), and lower polymer load (100–250 mg PCL</w:t>
      </w:r>
      <w:proofErr w:type="gramStart"/>
      <w:r w:rsidRPr="00CE5B93">
        <w:rPr>
          <w:rFonts w:ascii="Arial" w:hAnsi="Arial" w:cs="Arial"/>
          <w:sz w:val="20"/>
          <w:szCs w:val="20"/>
        </w:rPr>
        <w:t>).</w:t>
      </w:r>
      <w:r w:rsidR="005815CC" w:rsidRPr="00CE5B93">
        <w:rPr>
          <w:rFonts w:ascii="Arial" w:hAnsi="Arial" w:cs="Arial"/>
          <w:sz w:val="20"/>
          <w:szCs w:val="20"/>
        </w:rPr>
        <w:t>(</w:t>
      </w:r>
      <w:proofErr w:type="gramEnd"/>
      <w:r w:rsidR="005815CC" w:rsidRPr="00CE5B93">
        <w:rPr>
          <w:rFonts w:ascii="Arial" w:hAnsi="Arial" w:cs="Arial"/>
          <w:sz w:val="20"/>
          <w:szCs w:val="20"/>
        </w:rPr>
        <w:t>23</w:t>
      </w:r>
      <w:r w:rsidR="00D35A8B" w:rsidRPr="00CE5B93">
        <w:rPr>
          <w:rFonts w:ascii="Arial" w:hAnsi="Arial" w:cs="Arial"/>
          <w:sz w:val="20"/>
          <w:szCs w:val="20"/>
        </w:rPr>
        <w:t>,24</w:t>
      </w:r>
      <w:r w:rsidR="005815CC" w:rsidRPr="00CE5B93">
        <w:rPr>
          <w:rFonts w:ascii="Arial" w:hAnsi="Arial" w:cs="Arial"/>
          <w:sz w:val="20"/>
          <w:szCs w:val="20"/>
        </w:rPr>
        <w:t>)</w:t>
      </w:r>
    </w:p>
    <w:p w14:paraId="5D7AB59A" w14:textId="77777777" w:rsidR="00630B09" w:rsidRDefault="002154E1" w:rsidP="002154E1">
      <w:pPr>
        <w:jc w:val="both"/>
        <w:rPr>
          <w:rFonts w:ascii="Arial" w:hAnsi="Arial" w:cs="Arial"/>
          <w:sz w:val="20"/>
          <w:szCs w:val="20"/>
        </w:rPr>
      </w:pPr>
      <w:r w:rsidRPr="00CE5B93">
        <w:rPr>
          <w:rFonts w:ascii="Arial" w:hAnsi="Arial" w:cs="Arial"/>
          <w:noProof/>
          <w:sz w:val="20"/>
          <w:szCs w:val="20"/>
        </w:rPr>
        <w:drawing>
          <wp:anchor distT="0" distB="0" distL="114300" distR="114300" simplePos="0" relativeHeight="251658240" behindDoc="1" locked="0" layoutInCell="1" allowOverlap="1" wp14:anchorId="0B51B7E7" wp14:editId="0B596C71">
            <wp:simplePos x="0" y="0"/>
            <wp:positionH relativeFrom="column">
              <wp:posOffset>2857500</wp:posOffset>
            </wp:positionH>
            <wp:positionV relativeFrom="paragraph">
              <wp:posOffset>0</wp:posOffset>
            </wp:positionV>
            <wp:extent cx="2465085" cy="1611923"/>
            <wp:effectExtent l="0" t="0" r="0" b="7620"/>
            <wp:wrapNone/>
            <wp:docPr id="1909136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13674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5085" cy="1611923"/>
                    </a:xfrm>
                    <a:prstGeom prst="rect">
                      <a:avLst/>
                    </a:prstGeom>
                  </pic:spPr>
                </pic:pic>
              </a:graphicData>
            </a:graphic>
            <wp14:sizeRelH relativeFrom="margin">
              <wp14:pctWidth>0</wp14:pctWidth>
            </wp14:sizeRelH>
            <wp14:sizeRelV relativeFrom="margin">
              <wp14:pctHeight>0</wp14:pctHeight>
            </wp14:sizeRelV>
          </wp:anchor>
        </w:drawing>
      </w:r>
      <w:r w:rsidR="006F4E41" w:rsidRPr="00CE5B93">
        <w:rPr>
          <w:rFonts w:ascii="Arial" w:hAnsi="Arial" w:cs="Arial"/>
          <w:noProof/>
          <w:sz w:val="20"/>
          <w:szCs w:val="20"/>
        </w:rPr>
        <w:drawing>
          <wp:inline distT="0" distB="0" distL="0" distR="0" wp14:anchorId="6EBE2900" wp14:editId="0E7B262D">
            <wp:extent cx="2825262" cy="1651523"/>
            <wp:effectExtent l="0" t="0" r="0" b="6350"/>
            <wp:docPr id="1156282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282576" name=""/>
                    <pic:cNvPicPr/>
                  </pic:nvPicPr>
                  <pic:blipFill rotWithShape="1">
                    <a:blip r:embed="rId12"/>
                    <a:srcRect l="2448" r="1526"/>
                    <a:stretch/>
                  </pic:blipFill>
                  <pic:spPr bwMode="auto">
                    <a:xfrm>
                      <a:off x="0" y="0"/>
                      <a:ext cx="2857534" cy="1670388"/>
                    </a:xfrm>
                    <a:prstGeom prst="rect">
                      <a:avLst/>
                    </a:prstGeom>
                    <a:ln>
                      <a:noFill/>
                    </a:ln>
                    <a:extLst>
                      <a:ext uri="{53640926-AAD7-44D8-BBD7-CCE9431645EC}">
                        <a14:shadowObscured xmlns:a14="http://schemas.microsoft.com/office/drawing/2010/main"/>
                      </a:ext>
                    </a:extLst>
                  </pic:spPr>
                </pic:pic>
              </a:graphicData>
            </a:graphic>
          </wp:inline>
        </w:drawing>
      </w:r>
      <w:r w:rsidR="00DD12F2" w:rsidRPr="00CE5B93">
        <w:rPr>
          <w:rFonts w:ascii="Arial" w:hAnsi="Arial" w:cs="Arial"/>
          <w:sz w:val="20"/>
          <w:szCs w:val="20"/>
        </w:rPr>
        <w:t xml:space="preserve"> </w:t>
      </w:r>
    </w:p>
    <w:p w14:paraId="672E8D58" w14:textId="2FCCD799" w:rsidR="00DD12F2" w:rsidRPr="00CE5B93" w:rsidRDefault="00DD12F2" w:rsidP="002154E1">
      <w:pPr>
        <w:jc w:val="both"/>
        <w:rPr>
          <w:rFonts w:ascii="Arial" w:hAnsi="Arial" w:cs="Arial"/>
          <w:sz w:val="20"/>
          <w:szCs w:val="20"/>
        </w:rPr>
      </w:pPr>
      <w:r w:rsidRPr="00CE5B93">
        <w:rPr>
          <w:rFonts w:ascii="Arial" w:hAnsi="Arial" w:cs="Arial"/>
          <w:sz w:val="20"/>
          <w:szCs w:val="20"/>
        </w:rPr>
        <w:lastRenderedPageBreak/>
        <w:t xml:space="preserve">Figure </w:t>
      </w:r>
      <w:r w:rsidR="00527A25">
        <w:rPr>
          <w:rFonts w:ascii="Arial" w:hAnsi="Arial" w:cs="Arial"/>
          <w:sz w:val="20"/>
          <w:szCs w:val="20"/>
        </w:rPr>
        <w:t>3</w:t>
      </w:r>
      <w:r w:rsidRPr="00CE5B93">
        <w:rPr>
          <w:rFonts w:ascii="Arial" w:hAnsi="Arial" w:cs="Arial"/>
          <w:sz w:val="20"/>
          <w:szCs w:val="20"/>
        </w:rPr>
        <w:t>: F6 Particle size</w:t>
      </w:r>
    </w:p>
    <w:p w14:paraId="62DC0948" w14:textId="04014FF9" w:rsidR="00AD0D99" w:rsidRPr="00CE5B93" w:rsidRDefault="00AD0D99" w:rsidP="002154E1">
      <w:pPr>
        <w:jc w:val="both"/>
        <w:rPr>
          <w:rFonts w:ascii="Arial" w:hAnsi="Arial" w:cs="Arial"/>
          <w:sz w:val="20"/>
          <w:szCs w:val="20"/>
        </w:rPr>
      </w:pPr>
    </w:p>
    <w:p w14:paraId="551341C4" w14:textId="2BEDA0C3" w:rsidR="00C44936" w:rsidRPr="00E10C46" w:rsidRDefault="00DA3FE6" w:rsidP="002154E1">
      <w:pPr>
        <w:jc w:val="both"/>
        <w:rPr>
          <w:rFonts w:ascii="Arial" w:hAnsi="Arial" w:cs="Arial"/>
          <w:b/>
          <w:bCs/>
        </w:rPr>
      </w:pPr>
      <w:r w:rsidRPr="00E10C46">
        <w:rPr>
          <w:rFonts w:ascii="Arial" w:hAnsi="Arial" w:cs="Arial"/>
          <w:b/>
          <w:bCs/>
          <w:i/>
          <w:iCs/>
        </w:rPr>
        <w:t xml:space="preserve">4.1 </w:t>
      </w:r>
      <w:r w:rsidR="00C44936" w:rsidRPr="00E10C46">
        <w:rPr>
          <w:rFonts w:ascii="Arial" w:hAnsi="Arial" w:cs="Arial"/>
          <w:b/>
          <w:bCs/>
          <w:i/>
          <w:iCs/>
        </w:rPr>
        <w:t>In-vitro</w:t>
      </w:r>
      <w:r w:rsidR="00C44936" w:rsidRPr="00E10C46">
        <w:rPr>
          <w:rFonts w:ascii="Arial" w:hAnsi="Arial" w:cs="Arial"/>
          <w:b/>
          <w:bCs/>
        </w:rPr>
        <w:t xml:space="preserve"> Dissolution Profile of Prepared </w:t>
      </w:r>
      <w:proofErr w:type="spellStart"/>
      <w:r w:rsidR="00C44936" w:rsidRPr="00E10C46">
        <w:rPr>
          <w:rFonts w:ascii="Arial" w:hAnsi="Arial" w:cs="Arial"/>
          <w:b/>
          <w:bCs/>
        </w:rPr>
        <w:t>Nanosponges</w:t>
      </w:r>
      <w:proofErr w:type="spellEnd"/>
    </w:p>
    <w:p w14:paraId="7C1B1E63" w14:textId="65AA40FA" w:rsidR="00C44936" w:rsidRPr="00CE5B93" w:rsidRDefault="00125DF7" w:rsidP="002154E1">
      <w:pPr>
        <w:jc w:val="both"/>
        <w:rPr>
          <w:rFonts w:ascii="Arial" w:hAnsi="Arial" w:cs="Arial"/>
          <w:sz w:val="20"/>
          <w:szCs w:val="20"/>
        </w:rPr>
      </w:pPr>
      <w:r w:rsidRPr="00CE5B93">
        <w:rPr>
          <w:rFonts w:ascii="Arial" w:hAnsi="Arial" w:cs="Arial"/>
          <w:sz w:val="20"/>
          <w:szCs w:val="20"/>
        </w:rPr>
        <w:t xml:space="preserve">Formulation F6 achieved the highest drug release, reaching 85% at 8 hours, thanks to its optimized 500 mg </w:t>
      </w:r>
      <w:proofErr w:type="gramStart"/>
      <w:r w:rsidRPr="00CE5B93">
        <w:rPr>
          <w:rFonts w:ascii="Arial" w:hAnsi="Arial" w:cs="Arial"/>
          <w:sz w:val="20"/>
          <w:szCs w:val="20"/>
        </w:rPr>
        <w:t>PCZ :</w:t>
      </w:r>
      <w:proofErr w:type="gramEnd"/>
      <w:r w:rsidRPr="00CE5B93">
        <w:rPr>
          <w:rFonts w:ascii="Arial" w:hAnsi="Arial" w:cs="Arial"/>
          <w:sz w:val="20"/>
          <w:szCs w:val="20"/>
        </w:rPr>
        <w:t xml:space="preserve"> 300 mg PCL ratio that avoided overly dense matrices and ensured both efficient drug loading and sustained release. The use of a high stirring speed (1500 rpm) produced smaller, more uniform </w:t>
      </w:r>
      <w:proofErr w:type="spellStart"/>
      <w:r w:rsidRPr="00CE5B93">
        <w:rPr>
          <w:rFonts w:ascii="Arial" w:hAnsi="Arial" w:cs="Arial"/>
          <w:sz w:val="20"/>
          <w:szCs w:val="20"/>
        </w:rPr>
        <w:t>nanosponges</w:t>
      </w:r>
      <w:proofErr w:type="spellEnd"/>
      <w:r w:rsidRPr="00CE5B93">
        <w:rPr>
          <w:rFonts w:ascii="Arial" w:hAnsi="Arial" w:cs="Arial"/>
          <w:sz w:val="20"/>
          <w:szCs w:val="20"/>
        </w:rPr>
        <w:t xml:space="preserve"> with greater surface area—accelerating diffusion—while 0.75% PVA effectively stabilized the emulsion droplets, reducing aggregation and promoting consistent particle </w:t>
      </w:r>
      <w:proofErr w:type="spellStart"/>
      <w:r w:rsidRPr="00CE5B93">
        <w:rPr>
          <w:rFonts w:ascii="Arial" w:hAnsi="Arial" w:cs="Arial"/>
          <w:sz w:val="20"/>
          <w:szCs w:val="20"/>
        </w:rPr>
        <w:t>formation.</w:t>
      </w:r>
      <w:r w:rsidR="00C44936" w:rsidRPr="00CE5B93">
        <w:rPr>
          <w:rFonts w:ascii="Arial" w:hAnsi="Arial" w:cs="Arial"/>
          <w:sz w:val="20"/>
          <w:szCs w:val="20"/>
        </w:rPr>
        <w:t>In</w:t>
      </w:r>
      <w:proofErr w:type="spellEnd"/>
      <w:r w:rsidR="00C44936" w:rsidRPr="00CE5B93">
        <w:rPr>
          <w:rFonts w:ascii="Arial" w:hAnsi="Arial" w:cs="Arial"/>
          <w:sz w:val="20"/>
          <w:szCs w:val="20"/>
        </w:rPr>
        <w:t xml:space="preserve"> contrast, other formulations like F3 and F5, despite having similar PVA levels, demonstrated lower release due to factors such as increased drug loading (leading to higher viscosity and larger particles), or lower PCL content that compromised matrix structure. The optimal balance of ingredients and process parameters in F6 allowed for superior drug release </w:t>
      </w:r>
      <w:proofErr w:type="spellStart"/>
      <w:r w:rsidR="00C44936" w:rsidRPr="00CE5B93">
        <w:rPr>
          <w:rFonts w:ascii="Arial" w:hAnsi="Arial" w:cs="Arial"/>
          <w:sz w:val="20"/>
          <w:szCs w:val="20"/>
        </w:rPr>
        <w:t>behavior</w:t>
      </w:r>
      <w:proofErr w:type="spellEnd"/>
      <w:r w:rsidR="00C44936" w:rsidRPr="00CE5B93">
        <w:rPr>
          <w:rFonts w:ascii="Arial" w:hAnsi="Arial" w:cs="Arial"/>
          <w:sz w:val="20"/>
          <w:szCs w:val="20"/>
        </w:rPr>
        <w:t xml:space="preserve">, making it the most effective formulation among the tested </w:t>
      </w:r>
      <w:proofErr w:type="gramStart"/>
      <w:r w:rsidR="00C44936" w:rsidRPr="00CE5B93">
        <w:rPr>
          <w:rFonts w:ascii="Arial" w:hAnsi="Arial" w:cs="Arial"/>
          <w:sz w:val="20"/>
          <w:szCs w:val="20"/>
        </w:rPr>
        <w:t>ones.</w:t>
      </w:r>
      <w:r w:rsidR="00F142FC" w:rsidRPr="00CE5B93">
        <w:rPr>
          <w:rFonts w:ascii="Arial" w:hAnsi="Arial" w:cs="Arial"/>
          <w:sz w:val="20"/>
          <w:szCs w:val="20"/>
        </w:rPr>
        <w:t>(</w:t>
      </w:r>
      <w:proofErr w:type="gramEnd"/>
      <w:r w:rsidR="00F142FC" w:rsidRPr="00CE5B93">
        <w:rPr>
          <w:rFonts w:ascii="Arial" w:hAnsi="Arial" w:cs="Arial"/>
          <w:sz w:val="20"/>
          <w:szCs w:val="20"/>
        </w:rPr>
        <w:t>25)</w:t>
      </w:r>
    </w:p>
    <w:p w14:paraId="67E799D9" w14:textId="7ED0B7DF" w:rsidR="00DB604C" w:rsidRPr="00CE5B93" w:rsidRDefault="00DB604C" w:rsidP="002154E1">
      <w:pPr>
        <w:jc w:val="both"/>
        <w:rPr>
          <w:rFonts w:ascii="Arial" w:hAnsi="Arial" w:cs="Arial"/>
          <w:sz w:val="20"/>
          <w:szCs w:val="20"/>
        </w:rPr>
      </w:pPr>
      <w:r w:rsidRPr="00CE5B93">
        <w:rPr>
          <w:rFonts w:ascii="Arial" w:hAnsi="Arial" w:cs="Arial"/>
          <w:noProof/>
          <w:sz w:val="20"/>
          <w:szCs w:val="20"/>
        </w:rPr>
        <w:drawing>
          <wp:inline distT="0" distB="0" distL="0" distR="0" wp14:anchorId="282AD1D6" wp14:editId="2DC57A43">
            <wp:extent cx="5547360" cy="1889760"/>
            <wp:effectExtent l="0" t="0" r="15240" b="15240"/>
            <wp:docPr id="1181825394" name="Chart 1">
              <a:extLst xmlns:a="http://schemas.openxmlformats.org/drawingml/2006/main">
                <a:ext uri="{FF2B5EF4-FFF2-40B4-BE49-F238E27FC236}">
                  <a16:creationId xmlns:a16="http://schemas.microsoft.com/office/drawing/2014/main" id="{D721BFEE-C918-C1D1-98F4-7DD8BDD4C2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2536C2" w14:textId="72C5D470" w:rsidR="002E5875" w:rsidRPr="00CE5B93" w:rsidRDefault="002E5875" w:rsidP="002154E1">
      <w:pPr>
        <w:jc w:val="both"/>
        <w:rPr>
          <w:rFonts w:ascii="Arial" w:hAnsi="Arial" w:cs="Arial"/>
          <w:sz w:val="20"/>
          <w:szCs w:val="20"/>
        </w:rPr>
      </w:pPr>
      <w:r w:rsidRPr="00CE5B93">
        <w:rPr>
          <w:rFonts w:ascii="Arial" w:hAnsi="Arial" w:cs="Arial"/>
          <w:sz w:val="20"/>
          <w:szCs w:val="20"/>
        </w:rPr>
        <w:t xml:space="preserve">Figure </w:t>
      </w:r>
      <w:r w:rsidR="00527A25">
        <w:rPr>
          <w:rFonts w:ascii="Arial" w:hAnsi="Arial" w:cs="Arial"/>
          <w:sz w:val="20"/>
          <w:szCs w:val="20"/>
        </w:rPr>
        <w:t>4</w:t>
      </w:r>
      <w:r w:rsidRPr="00CE5B93">
        <w:rPr>
          <w:rFonts w:ascii="Arial" w:hAnsi="Arial" w:cs="Arial"/>
          <w:sz w:val="20"/>
          <w:szCs w:val="20"/>
        </w:rPr>
        <w:t xml:space="preserve">: </w:t>
      </w:r>
      <w:r w:rsidR="0054072B" w:rsidRPr="00CE5B93">
        <w:rPr>
          <w:rFonts w:ascii="Arial" w:hAnsi="Arial" w:cs="Arial"/>
          <w:sz w:val="20"/>
          <w:szCs w:val="20"/>
        </w:rPr>
        <w:t>Comparison release study</w:t>
      </w:r>
    </w:p>
    <w:p w14:paraId="1D8A427B" w14:textId="77777777" w:rsidR="002E5875" w:rsidRPr="00CE5B93" w:rsidRDefault="002E5875" w:rsidP="002154E1">
      <w:pPr>
        <w:jc w:val="both"/>
        <w:rPr>
          <w:rFonts w:ascii="Arial" w:hAnsi="Arial" w:cs="Arial"/>
          <w:sz w:val="20"/>
          <w:szCs w:val="20"/>
        </w:rPr>
      </w:pPr>
    </w:p>
    <w:p w14:paraId="27EE715C" w14:textId="36C6C955" w:rsidR="00EE16A8" w:rsidRPr="00E10C46" w:rsidRDefault="00DA3FE6" w:rsidP="002154E1">
      <w:pPr>
        <w:jc w:val="both"/>
        <w:rPr>
          <w:rFonts w:ascii="Arial" w:hAnsi="Arial" w:cs="Arial"/>
          <w:b/>
          <w:bCs/>
        </w:rPr>
      </w:pPr>
      <w:r w:rsidRPr="00E10C46">
        <w:rPr>
          <w:rFonts w:ascii="Arial" w:hAnsi="Arial" w:cs="Arial"/>
          <w:b/>
          <w:bCs/>
        </w:rPr>
        <w:t xml:space="preserve">4.2 </w:t>
      </w:r>
      <w:r w:rsidR="00EE16A8" w:rsidRPr="00E10C46">
        <w:rPr>
          <w:rFonts w:ascii="Arial" w:hAnsi="Arial" w:cs="Arial"/>
          <w:b/>
          <w:bCs/>
        </w:rPr>
        <w:t>Fourier Transform Infrared (FTIR) Spectroscopy</w:t>
      </w:r>
    </w:p>
    <w:p w14:paraId="6169E5F3" w14:textId="2462DABF" w:rsidR="00B60769" w:rsidRPr="00CE5B93" w:rsidRDefault="00B60769" w:rsidP="002154E1">
      <w:pPr>
        <w:jc w:val="both"/>
        <w:rPr>
          <w:rFonts w:ascii="Arial" w:hAnsi="Arial" w:cs="Arial"/>
          <w:sz w:val="20"/>
          <w:szCs w:val="20"/>
        </w:rPr>
      </w:pPr>
      <w:r w:rsidRPr="00CE5B93">
        <w:rPr>
          <w:rFonts w:ascii="Arial" w:hAnsi="Arial" w:cs="Arial"/>
          <w:sz w:val="20"/>
          <w:szCs w:val="20"/>
        </w:rPr>
        <w:t>The FT-IR spectrum of pure posaconazole displayed characteristic peaks at 3323.71 cm</w:t>
      </w:r>
      <w:r w:rsidRPr="00CE5B93">
        <w:rPr>
          <w:rFonts w:ascii="Cambria Math" w:hAnsi="Cambria Math" w:cs="Cambria Math"/>
          <w:sz w:val="20"/>
          <w:szCs w:val="20"/>
        </w:rPr>
        <w:t>⁻</w:t>
      </w:r>
      <w:r w:rsidRPr="00CE5B93">
        <w:rPr>
          <w:rFonts w:ascii="Arial" w:hAnsi="Arial" w:cs="Arial"/>
          <w:sz w:val="20"/>
          <w:szCs w:val="20"/>
        </w:rPr>
        <w:t>¹ (CH</w:t>
      </w:r>
      <w:r w:rsidRPr="00CE5B93">
        <w:rPr>
          <w:rFonts w:ascii="Cambria Math" w:hAnsi="Cambria Math" w:cs="Cambria Math"/>
          <w:sz w:val="20"/>
          <w:szCs w:val="20"/>
        </w:rPr>
        <w:t>₂</w:t>
      </w:r>
      <w:r w:rsidRPr="00CE5B93">
        <w:rPr>
          <w:rFonts w:ascii="Arial" w:hAnsi="Arial" w:cs="Arial"/>
          <w:sz w:val="20"/>
          <w:szCs w:val="20"/>
        </w:rPr>
        <w:t xml:space="preserve"> stretching), 1736.58 cm</w:t>
      </w:r>
      <w:r w:rsidRPr="00CE5B93">
        <w:rPr>
          <w:rFonts w:ascii="Cambria Math" w:hAnsi="Cambria Math" w:cs="Cambria Math"/>
          <w:sz w:val="20"/>
          <w:szCs w:val="20"/>
        </w:rPr>
        <w:t>⁻</w:t>
      </w:r>
      <w:r w:rsidRPr="00CE5B93">
        <w:rPr>
          <w:rFonts w:ascii="Arial" w:hAnsi="Arial" w:cs="Arial"/>
          <w:sz w:val="20"/>
          <w:szCs w:val="20"/>
        </w:rPr>
        <w:t>¹ (C=O stretching), and 1631 cm</w:t>
      </w:r>
      <w:r w:rsidRPr="00CE5B93">
        <w:rPr>
          <w:rFonts w:ascii="Cambria Math" w:hAnsi="Cambria Math" w:cs="Cambria Math"/>
          <w:sz w:val="20"/>
          <w:szCs w:val="20"/>
        </w:rPr>
        <w:t>⁻</w:t>
      </w:r>
      <w:r w:rsidRPr="00CE5B93">
        <w:rPr>
          <w:rFonts w:ascii="Arial" w:hAnsi="Arial" w:cs="Arial"/>
          <w:sz w:val="20"/>
          <w:szCs w:val="20"/>
        </w:rPr>
        <w:t xml:space="preserve">¹ (C=O–NH), confirming the presence of the functional groups. The spectrum of the lyophilized </w:t>
      </w:r>
      <w:proofErr w:type="spellStart"/>
      <w:r w:rsidRPr="00CE5B93">
        <w:rPr>
          <w:rFonts w:ascii="Arial" w:hAnsi="Arial" w:cs="Arial"/>
          <w:sz w:val="20"/>
          <w:szCs w:val="20"/>
        </w:rPr>
        <w:t>nanosponge</w:t>
      </w:r>
      <w:proofErr w:type="spellEnd"/>
      <w:r w:rsidRPr="00CE5B93">
        <w:rPr>
          <w:rFonts w:ascii="Arial" w:hAnsi="Arial" w:cs="Arial"/>
          <w:sz w:val="20"/>
          <w:szCs w:val="20"/>
        </w:rPr>
        <w:t xml:space="preserve"> formulation did not show any significant shift in these peaks, indicating that there were no chemical interactions between posaconazole and the excipients, thus ensuring the drug's chemical stability within the </w:t>
      </w:r>
      <w:proofErr w:type="gramStart"/>
      <w:r w:rsidRPr="00CE5B93">
        <w:rPr>
          <w:rFonts w:ascii="Arial" w:hAnsi="Arial" w:cs="Arial"/>
          <w:sz w:val="20"/>
          <w:szCs w:val="20"/>
        </w:rPr>
        <w:t>formulation.</w:t>
      </w:r>
      <w:r w:rsidR="00404C11" w:rsidRPr="00CE5B93">
        <w:rPr>
          <w:rFonts w:ascii="Arial" w:hAnsi="Arial" w:cs="Arial"/>
          <w:sz w:val="20"/>
          <w:szCs w:val="20"/>
        </w:rPr>
        <w:t>(</w:t>
      </w:r>
      <w:proofErr w:type="gramEnd"/>
      <w:r w:rsidR="00404C11" w:rsidRPr="00CE5B93">
        <w:rPr>
          <w:rFonts w:ascii="Arial" w:hAnsi="Arial" w:cs="Arial"/>
          <w:sz w:val="20"/>
          <w:szCs w:val="20"/>
        </w:rPr>
        <w:t>26)</w:t>
      </w:r>
    </w:p>
    <w:p w14:paraId="51D570B7" w14:textId="2BE84E68" w:rsidR="002E5875" w:rsidRPr="00CE5B93" w:rsidRDefault="00AD2F35" w:rsidP="002154E1">
      <w:pPr>
        <w:jc w:val="both"/>
        <w:rPr>
          <w:rFonts w:ascii="Arial" w:hAnsi="Arial" w:cs="Arial"/>
          <w:sz w:val="20"/>
          <w:szCs w:val="20"/>
        </w:rPr>
      </w:pPr>
      <w:r w:rsidRPr="00CE5B93">
        <w:rPr>
          <w:rFonts w:ascii="Arial" w:hAnsi="Arial" w:cs="Arial"/>
          <w:noProof/>
          <w:sz w:val="20"/>
          <w:szCs w:val="20"/>
        </w:rPr>
        <w:drawing>
          <wp:inline distT="0" distB="0" distL="0" distR="0" wp14:anchorId="5A5405C7" wp14:editId="7C687130">
            <wp:extent cx="4197350" cy="2244437"/>
            <wp:effectExtent l="0" t="0" r="0" b="3810"/>
            <wp:docPr id="53" name="Picture 52">
              <a:extLst xmlns:a="http://schemas.openxmlformats.org/drawingml/2006/main">
                <a:ext uri="{FF2B5EF4-FFF2-40B4-BE49-F238E27FC236}">
                  <a16:creationId xmlns:a16="http://schemas.microsoft.com/office/drawing/2014/main" id="{9B843152-33C3-2795-6FC2-C3DE969D60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2">
                      <a:extLst>
                        <a:ext uri="{FF2B5EF4-FFF2-40B4-BE49-F238E27FC236}">
                          <a16:creationId xmlns:a16="http://schemas.microsoft.com/office/drawing/2014/main" id="{9B843152-33C3-2795-6FC2-C3DE969D6034}"/>
                        </a:ext>
                      </a:extLst>
                    </pic:cNvPr>
                    <pic:cNvPicPr>
                      <a:picLocks noChangeAspect="1"/>
                    </pic:cNvPicPr>
                  </pic:nvPicPr>
                  <pic:blipFill>
                    <a:blip r:embed="rId14"/>
                    <a:srcRect l="28333" t="17511" r="25833" b="32223"/>
                    <a:stretch/>
                  </pic:blipFill>
                  <pic:spPr>
                    <a:xfrm>
                      <a:off x="0" y="0"/>
                      <a:ext cx="4224607" cy="2259012"/>
                    </a:xfrm>
                    <a:prstGeom prst="rect">
                      <a:avLst/>
                    </a:prstGeom>
                  </pic:spPr>
                </pic:pic>
              </a:graphicData>
            </a:graphic>
          </wp:inline>
        </w:drawing>
      </w:r>
    </w:p>
    <w:p w14:paraId="72AE5421" w14:textId="3554B1EC" w:rsidR="00AB523A" w:rsidRPr="00CE5B93" w:rsidRDefault="00022E2C" w:rsidP="002154E1">
      <w:pPr>
        <w:jc w:val="both"/>
        <w:rPr>
          <w:rFonts w:ascii="Arial" w:hAnsi="Arial" w:cs="Arial"/>
          <w:sz w:val="20"/>
          <w:szCs w:val="20"/>
        </w:rPr>
      </w:pPr>
      <w:r w:rsidRPr="00CE5B93">
        <w:rPr>
          <w:rFonts w:ascii="Arial" w:hAnsi="Arial" w:cs="Arial"/>
          <w:sz w:val="20"/>
          <w:szCs w:val="20"/>
        </w:rPr>
        <w:t xml:space="preserve">Figure </w:t>
      </w:r>
      <w:r w:rsidR="00527A25">
        <w:rPr>
          <w:rFonts w:ascii="Arial" w:hAnsi="Arial" w:cs="Arial"/>
          <w:sz w:val="20"/>
          <w:szCs w:val="20"/>
        </w:rPr>
        <w:t>5</w:t>
      </w:r>
      <w:r w:rsidRPr="00CE5B93">
        <w:rPr>
          <w:rFonts w:ascii="Arial" w:hAnsi="Arial" w:cs="Arial"/>
          <w:sz w:val="20"/>
          <w:szCs w:val="20"/>
        </w:rPr>
        <w:t>: FTIR of Drug</w:t>
      </w:r>
    </w:p>
    <w:p w14:paraId="4E313172" w14:textId="6B81821B" w:rsidR="004C576F" w:rsidRPr="00CE5B93" w:rsidRDefault="003A197C" w:rsidP="002154E1">
      <w:pPr>
        <w:jc w:val="both"/>
        <w:rPr>
          <w:rFonts w:ascii="Arial" w:hAnsi="Arial" w:cs="Arial"/>
          <w:sz w:val="20"/>
          <w:szCs w:val="20"/>
        </w:rPr>
      </w:pPr>
      <w:r w:rsidRPr="00CE5B93">
        <w:rPr>
          <w:rFonts w:ascii="Arial" w:hAnsi="Arial" w:cs="Arial"/>
          <w:noProof/>
          <w:sz w:val="20"/>
          <w:szCs w:val="20"/>
        </w:rPr>
        <w:lastRenderedPageBreak/>
        <w:drawing>
          <wp:inline distT="0" distB="0" distL="0" distR="0" wp14:anchorId="694400AE" wp14:editId="78FB34DD">
            <wp:extent cx="3834523" cy="1822450"/>
            <wp:effectExtent l="0" t="0" r="0" b="6350"/>
            <wp:docPr id="1273010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66489" cy="1837643"/>
                    </a:xfrm>
                    <a:prstGeom prst="rect">
                      <a:avLst/>
                    </a:prstGeom>
                    <a:noFill/>
                    <a:ln>
                      <a:noFill/>
                    </a:ln>
                  </pic:spPr>
                </pic:pic>
              </a:graphicData>
            </a:graphic>
          </wp:inline>
        </w:drawing>
      </w:r>
    </w:p>
    <w:p w14:paraId="4F4D3667" w14:textId="1A475E34" w:rsidR="003A197C" w:rsidRPr="00CE5B93" w:rsidRDefault="003A197C" w:rsidP="002154E1">
      <w:pPr>
        <w:jc w:val="both"/>
        <w:rPr>
          <w:rFonts w:ascii="Arial" w:hAnsi="Arial" w:cs="Arial"/>
          <w:sz w:val="20"/>
          <w:szCs w:val="20"/>
        </w:rPr>
      </w:pPr>
      <w:r w:rsidRPr="00CE5B93">
        <w:rPr>
          <w:rFonts w:ascii="Arial" w:hAnsi="Arial" w:cs="Arial"/>
          <w:sz w:val="20"/>
          <w:szCs w:val="20"/>
        </w:rPr>
        <w:t xml:space="preserve">Figure </w:t>
      </w:r>
      <w:r w:rsidR="00527A25">
        <w:rPr>
          <w:rFonts w:ascii="Arial" w:hAnsi="Arial" w:cs="Arial"/>
          <w:sz w:val="20"/>
          <w:szCs w:val="20"/>
        </w:rPr>
        <w:t>6</w:t>
      </w:r>
      <w:r w:rsidRPr="00CE5B93">
        <w:rPr>
          <w:rFonts w:ascii="Arial" w:hAnsi="Arial" w:cs="Arial"/>
          <w:sz w:val="20"/>
          <w:szCs w:val="20"/>
        </w:rPr>
        <w:t>: FTIR of</w:t>
      </w:r>
      <w:r w:rsidR="007D7C1F" w:rsidRPr="00CE5B93">
        <w:rPr>
          <w:rFonts w:ascii="Arial" w:hAnsi="Arial" w:cs="Arial"/>
          <w:sz w:val="20"/>
          <w:szCs w:val="20"/>
        </w:rPr>
        <w:t xml:space="preserve"> F6 formulation</w:t>
      </w:r>
    </w:p>
    <w:p w14:paraId="55C6A648" w14:textId="7811E275" w:rsidR="002E5875" w:rsidRPr="00CE5B93" w:rsidRDefault="002E5875" w:rsidP="002154E1">
      <w:pPr>
        <w:jc w:val="both"/>
        <w:rPr>
          <w:rFonts w:ascii="Arial" w:hAnsi="Arial" w:cs="Arial"/>
          <w:sz w:val="20"/>
          <w:szCs w:val="20"/>
        </w:rPr>
      </w:pPr>
    </w:p>
    <w:p w14:paraId="04A3AFD6" w14:textId="64C450E5" w:rsidR="00EE16A8" w:rsidRPr="00E10C46" w:rsidRDefault="00DA3FE6" w:rsidP="002154E1">
      <w:pPr>
        <w:jc w:val="both"/>
        <w:rPr>
          <w:rFonts w:ascii="Arial" w:hAnsi="Arial" w:cs="Arial"/>
          <w:b/>
          <w:bCs/>
        </w:rPr>
      </w:pPr>
      <w:r w:rsidRPr="00E10C46">
        <w:rPr>
          <w:rFonts w:ascii="Arial" w:hAnsi="Arial" w:cs="Arial"/>
          <w:b/>
          <w:bCs/>
        </w:rPr>
        <w:t xml:space="preserve">4.3 </w:t>
      </w:r>
      <w:r w:rsidR="00EE16A8" w:rsidRPr="00E10C46">
        <w:rPr>
          <w:rFonts w:ascii="Arial" w:hAnsi="Arial" w:cs="Arial"/>
          <w:b/>
          <w:bCs/>
        </w:rPr>
        <w:t>Differential Scanning Calorimetry</w:t>
      </w:r>
    </w:p>
    <w:p w14:paraId="6595010B" w14:textId="7457415C" w:rsidR="00F43B0B" w:rsidRPr="00CE5B93" w:rsidRDefault="00F43B0B" w:rsidP="002154E1">
      <w:pPr>
        <w:jc w:val="both"/>
        <w:rPr>
          <w:rFonts w:ascii="Arial" w:hAnsi="Arial" w:cs="Arial"/>
          <w:sz w:val="20"/>
          <w:szCs w:val="20"/>
        </w:rPr>
      </w:pPr>
      <w:r w:rsidRPr="00CE5B93">
        <w:rPr>
          <w:rFonts w:ascii="Arial" w:hAnsi="Arial" w:cs="Arial"/>
          <w:sz w:val="20"/>
          <w:szCs w:val="20"/>
        </w:rPr>
        <w:t>The DSC thermogram of pure posaconazole showed a sharp endothermic peak at 173.39°C, corresponding to its melting point, indicating its crystalline nature. In contrast, the DSC curve of formulation F6 exhibited a broad and low-intensity endothermic peak around 154°C, with the characteristic sharp melting peak of posaconazole significantly diminished. This shift and reduction in intensity suggest a partial or complete conversion of the drug from a crystalline to an amorphous or molecularly dispersed state within the polymer matrix.</w:t>
      </w:r>
    </w:p>
    <w:p w14:paraId="54F743A0" w14:textId="00C0A841" w:rsidR="00EE16A8" w:rsidRPr="00CE5B93" w:rsidRDefault="00F43B0B" w:rsidP="002154E1">
      <w:pPr>
        <w:jc w:val="both"/>
        <w:rPr>
          <w:rFonts w:ascii="Arial" w:hAnsi="Arial" w:cs="Arial"/>
          <w:sz w:val="20"/>
          <w:szCs w:val="20"/>
        </w:rPr>
      </w:pPr>
      <w:r w:rsidRPr="00CE5B93">
        <w:rPr>
          <w:rFonts w:ascii="Arial" w:hAnsi="Arial" w:cs="Arial"/>
          <w:sz w:val="20"/>
          <w:szCs w:val="20"/>
        </w:rPr>
        <w:t xml:space="preserve">The absence of a sharp melting peak and the appearance of a broad signal at a lower temperature confirm successful encapsulation of the drug within the PCL </w:t>
      </w:r>
      <w:proofErr w:type="spellStart"/>
      <w:r w:rsidRPr="00CE5B93">
        <w:rPr>
          <w:rFonts w:ascii="Arial" w:hAnsi="Arial" w:cs="Arial"/>
          <w:sz w:val="20"/>
          <w:szCs w:val="20"/>
        </w:rPr>
        <w:t>nanosponges</w:t>
      </w:r>
      <w:proofErr w:type="spellEnd"/>
      <w:r w:rsidRPr="00CE5B93">
        <w:rPr>
          <w:rFonts w:ascii="Arial" w:hAnsi="Arial" w:cs="Arial"/>
          <w:sz w:val="20"/>
          <w:szCs w:val="20"/>
        </w:rPr>
        <w:t xml:space="preserve">. This thermal </w:t>
      </w:r>
      <w:proofErr w:type="spellStart"/>
      <w:r w:rsidRPr="00CE5B93">
        <w:rPr>
          <w:rFonts w:ascii="Arial" w:hAnsi="Arial" w:cs="Arial"/>
          <w:sz w:val="20"/>
          <w:szCs w:val="20"/>
        </w:rPr>
        <w:t>behavior</w:t>
      </w:r>
      <w:proofErr w:type="spellEnd"/>
      <w:r w:rsidRPr="00CE5B93">
        <w:rPr>
          <w:rFonts w:ascii="Arial" w:hAnsi="Arial" w:cs="Arial"/>
          <w:sz w:val="20"/>
          <w:szCs w:val="20"/>
        </w:rPr>
        <w:t xml:space="preserve"> supports strong interaction or dispersion of posaconazole in the polymer, indicating enhanced physical stability, efficient drug loading, and no detectable incompatibility with excipients.</w:t>
      </w:r>
    </w:p>
    <w:p w14:paraId="750AF28A" w14:textId="697EE380" w:rsidR="00741906" w:rsidRPr="00CE5B93" w:rsidRDefault="00B471A7" w:rsidP="002154E1">
      <w:pPr>
        <w:jc w:val="both"/>
        <w:rPr>
          <w:rFonts w:ascii="Arial" w:hAnsi="Arial" w:cs="Arial"/>
          <w:sz w:val="20"/>
          <w:szCs w:val="20"/>
        </w:rPr>
      </w:pPr>
      <w:r w:rsidRPr="00CE5B93">
        <w:rPr>
          <w:rFonts w:ascii="Arial" w:hAnsi="Arial" w:cs="Arial"/>
          <w:sz w:val="20"/>
          <w:szCs w:val="20"/>
        </w:rPr>
        <w:object w:dxaOrig="8419" w:dyaOrig="5953" w14:anchorId="281BF050">
          <v:shape id="_x0000_i1026" type="#_x0000_t75" style="width:288.55pt;height:197.6pt" o:ole="">
            <v:imagedata r:id="rId16" o:title=""/>
          </v:shape>
          <o:OLEObject Type="Embed" ProgID="Ta60.Document" ShapeID="_x0000_i1026" DrawAspect="Content" ObjectID="_1808390103" r:id="rId17"/>
        </w:object>
      </w:r>
    </w:p>
    <w:p w14:paraId="007BE846" w14:textId="7455B1C9" w:rsidR="001C2102" w:rsidRPr="00CE5B93" w:rsidRDefault="001C2102" w:rsidP="002154E1">
      <w:pPr>
        <w:jc w:val="both"/>
        <w:rPr>
          <w:rFonts w:ascii="Arial" w:hAnsi="Arial" w:cs="Arial"/>
          <w:sz w:val="20"/>
          <w:szCs w:val="20"/>
        </w:rPr>
      </w:pPr>
      <w:r w:rsidRPr="00CE5B93">
        <w:rPr>
          <w:rFonts w:ascii="Arial" w:hAnsi="Arial" w:cs="Arial"/>
          <w:sz w:val="20"/>
          <w:szCs w:val="20"/>
        </w:rPr>
        <w:t xml:space="preserve">Figure </w:t>
      </w:r>
      <w:r w:rsidR="00527A25">
        <w:rPr>
          <w:rFonts w:ascii="Arial" w:hAnsi="Arial" w:cs="Arial"/>
          <w:sz w:val="20"/>
          <w:szCs w:val="20"/>
        </w:rPr>
        <w:t>7</w:t>
      </w:r>
      <w:r w:rsidRPr="00CE5B93">
        <w:rPr>
          <w:rFonts w:ascii="Arial" w:hAnsi="Arial" w:cs="Arial"/>
          <w:sz w:val="20"/>
          <w:szCs w:val="20"/>
        </w:rPr>
        <w:t>: DSC of Drug</w:t>
      </w:r>
    </w:p>
    <w:p w14:paraId="00A97862" w14:textId="5AEBDDCB" w:rsidR="001C2102" w:rsidRPr="00CE5B93" w:rsidRDefault="009E566C" w:rsidP="002154E1">
      <w:pPr>
        <w:jc w:val="both"/>
        <w:rPr>
          <w:rFonts w:ascii="Arial" w:hAnsi="Arial" w:cs="Arial"/>
          <w:sz w:val="20"/>
          <w:szCs w:val="20"/>
        </w:rPr>
      </w:pPr>
      <w:r w:rsidRPr="00CE5B93">
        <w:rPr>
          <w:rFonts w:ascii="Arial" w:hAnsi="Arial" w:cs="Arial"/>
          <w:noProof/>
          <w:sz w:val="20"/>
          <w:szCs w:val="20"/>
        </w:rPr>
        <w:lastRenderedPageBreak/>
        <w:drawing>
          <wp:inline distT="0" distB="0" distL="0" distR="0" wp14:anchorId="465570E7" wp14:editId="4D918AB5">
            <wp:extent cx="3957839" cy="2481943"/>
            <wp:effectExtent l="0" t="0" r="5080" b="0"/>
            <wp:docPr id="15685868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8">
                      <a:extLst>
                        <a:ext uri="{28A0092B-C50C-407E-A947-70E740481C1C}">
                          <a14:useLocalDpi xmlns:a14="http://schemas.microsoft.com/office/drawing/2010/main" val="0"/>
                        </a:ext>
                      </a:extLst>
                    </a:blip>
                    <a:srcRect l="4463" t="16137" r="5268" b="3449"/>
                    <a:stretch/>
                  </pic:blipFill>
                  <pic:spPr bwMode="auto">
                    <a:xfrm>
                      <a:off x="0" y="0"/>
                      <a:ext cx="3968078" cy="2488364"/>
                    </a:xfrm>
                    <a:prstGeom prst="rect">
                      <a:avLst/>
                    </a:prstGeom>
                    <a:noFill/>
                    <a:ln>
                      <a:noFill/>
                    </a:ln>
                    <a:extLst>
                      <a:ext uri="{53640926-AAD7-44D8-BBD7-CCE9431645EC}">
                        <a14:shadowObscured xmlns:a14="http://schemas.microsoft.com/office/drawing/2010/main"/>
                      </a:ext>
                    </a:extLst>
                  </pic:spPr>
                </pic:pic>
              </a:graphicData>
            </a:graphic>
          </wp:inline>
        </w:drawing>
      </w:r>
    </w:p>
    <w:p w14:paraId="71287B25" w14:textId="0ABEB37D" w:rsidR="00B471A7" w:rsidRPr="00CE5B93" w:rsidRDefault="00B471A7" w:rsidP="002154E1">
      <w:pPr>
        <w:jc w:val="both"/>
        <w:rPr>
          <w:rFonts w:ascii="Arial" w:hAnsi="Arial" w:cs="Arial"/>
          <w:sz w:val="20"/>
          <w:szCs w:val="20"/>
        </w:rPr>
      </w:pPr>
      <w:r w:rsidRPr="00CE5B93">
        <w:rPr>
          <w:rFonts w:ascii="Arial" w:hAnsi="Arial" w:cs="Arial"/>
          <w:sz w:val="20"/>
          <w:szCs w:val="20"/>
        </w:rPr>
        <w:t xml:space="preserve">Figure </w:t>
      </w:r>
      <w:r w:rsidR="00527A25">
        <w:rPr>
          <w:rFonts w:ascii="Arial" w:hAnsi="Arial" w:cs="Arial"/>
          <w:sz w:val="20"/>
          <w:szCs w:val="20"/>
        </w:rPr>
        <w:t>8</w:t>
      </w:r>
      <w:r w:rsidRPr="00CE5B93">
        <w:rPr>
          <w:rFonts w:ascii="Arial" w:hAnsi="Arial" w:cs="Arial"/>
          <w:sz w:val="20"/>
          <w:szCs w:val="20"/>
        </w:rPr>
        <w:t>: DSC of Formulation</w:t>
      </w:r>
    </w:p>
    <w:p w14:paraId="4ECEDE06" w14:textId="77777777" w:rsidR="00B471A7" w:rsidRPr="00E10C46" w:rsidRDefault="00B471A7" w:rsidP="002154E1">
      <w:pPr>
        <w:jc w:val="both"/>
        <w:rPr>
          <w:rFonts w:ascii="Arial" w:hAnsi="Arial" w:cs="Arial"/>
        </w:rPr>
      </w:pPr>
    </w:p>
    <w:p w14:paraId="1142B7C0" w14:textId="4CC21922" w:rsidR="00EE16A8" w:rsidRPr="00E10C46" w:rsidRDefault="00DA3FE6" w:rsidP="002154E1">
      <w:pPr>
        <w:jc w:val="both"/>
        <w:rPr>
          <w:rFonts w:ascii="Arial" w:hAnsi="Arial" w:cs="Arial"/>
          <w:b/>
          <w:bCs/>
        </w:rPr>
      </w:pPr>
      <w:r w:rsidRPr="00E10C46">
        <w:rPr>
          <w:rFonts w:ascii="Arial" w:hAnsi="Arial" w:cs="Arial"/>
          <w:b/>
          <w:bCs/>
        </w:rPr>
        <w:t xml:space="preserve">4.4 </w:t>
      </w:r>
      <w:r w:rsidR="00EE16A8" w:rsidRPr="00E10C46">
        <w:rPr>
          <w:rFonts w:ascii="Arial" w:hAnsi="Arial" w:cs="Arial"/>
          <w:b/>
          <w:bCs/>
        </w:rPr>
        <w:t xml:space="preserve">Scanning Electron Microscopy (SEM) </w:t>
      </w:r>
    </w:p>
    <w:p w14:paraId="10144E5C" w14:textId="3E472570" w:rsidR="00B7543C" w:rsidRPr="00CE5B93" w:rsidRDefault="00B7543C" w:rsidP="002154E1">
      <w:pPr>
        <w:jc w:val="both"/>
        <w:rPr>
          <w:rFonts w:ascii="Arial" w:hAnsi="Arial" w:cs="Arial"/>
          <w:sz w:val="20"/>
          <w:szCs w:val="20"/>
        </w:rPr>
      </w:pPr>
      <w:r w:rsidRPr="00CE5B93">
        <w:rPr>
          <w:rFonts w:ascii="Arial" w:hAnsi="Arial" w:cs="Arial"/>
          <w:sz w:val="20"/>
          <w:szCs w:val="20"/>
        </w:rPr>
        <w:t xml:space="preserve">The uneven forms of PCZ-loaded </w:t>
      </w:r>
      <w:proofErr w:type="spellStart"/>
      <w:r w:rsidRPr="00CE5B93">
        <w:rPr>
          <w:rFonts w:ascii="Arial" w:hAnsi="Arial" w:cs="Arial"/>
          <w:sz w:val="20"/>
          <w:szCs w:val="20"/>
        </w:rPr>
        <w:t>nanosponges</w:t>
      </w:r>
      <w:proofErr w:type="spellEnd"/>
      <w:r w:rsidRPr="00CE5B93">
        <w:rPr>
          <w:rFonts w:ascii="Arial" w:hAnsi="Arial" w:cs="Arial"/>
          <w:sz w:val="20"/>
          <w:szCs w:val="20"/>
        </w:rPr>
        <w:t xml:space="preserve"> were revealed by scanning electron microscopy. As seen in Figure </w:t>
      </w:r>
      <w:r w:rsidR="008971BD">
        <w:rPr>
          <w:rFonts w:ascii="Arial" w:hAnsi="Arial" w:cs="Arial"/>
          <w:sz w:val="20"/>
          <w:szCs w:val="20"/>
        </w:rPr>
        <w:t>9</w:t>
      </w:r>
      <w:r w:rsidRPr="00CE5B93">
        <w:rPr>
          <w:rFonts w:ascii="Arial" w:hAnsi="Arial" w:cs="Arial"/>
          <w:sz w:val="20"/>
          <w:szCs w:val="20"/>
        </w:rPr>
        <w:t xml:space="preserve">, the NS surface was rough and had a porous </w:t>
      </w:r>
      <w:proofErr w:type="gramStart"/>
      <w:r w:rsidRPr="00CE5B93">
        <w:rPr>
          <w:rFonts w:ascii="Arial" w:hAnsi="Arial" w:cs="Arial"/>
          <w:sz w:val="20"/>
          <w:szCs w:val="20"/>
        </w:rPr>
        <w:t>structure.</w:t>
      </w:r>
      <w:r w:rsidR="00CA608B" w:rsidRPr="00CE5B93">
        <w:rPr>
          <w:rFonts w:ascii="Arial" w:hAnsi="Arial" w:cs="Arial"/>
          <w:sz w:val="20"/>
          <w:szCs w:val="20"/>
        </w:rPr>
        <w:t>(</w:t>
      </w:r>
      <w:proofErr w:type="gramEnd"/>
      <w:r w:rsidR="00CA608B" w:rsidRPr="00CE5B93">
        <w:rPr>
          <w:rFonts w:ascii="Arial" w:hAnsi="Arial" w:cs="Arial"/>
          <w:sz w:val="20"/>
          <w:szCs w:val="20"/>
        </w:rPr>
        <w:t>27)</w:t>
      </w:r>
    </w:p>
    <w:p w14:paraId="2118788B" w14:textId="3385B64F" w:rsidR="00394F2B" w:rsidRDefault="00394F2B" w:rsidP="002154E1">
      <w:pPr>
        <w:jc w:val="both"/>
        <w:rPr>
          <w:rFonts w:ascii="Arial" w:hAnsi="Arial" w:cs="Arial"/>
          <w:sz w:val="20"/>
          <w:szCs w:val="20"/>
        </w:rPr>
      </w:pPr>
      <w:r w:rsidRPr="00CE5B93">
        <w:rPr>
          <w:rFonts w:ascii="Arial" w:hAnsi="Arial" w:cs="Arial"/>
          <w:noProof/>
          <w:sz w:val="20"/>
          <w:szCs w:val="20"/>
        </w:rPr>
        <w:drawing>
          <wp:inline distT="0" distB="0" distL="0" distR="0" wp14:anchorId="6AD6B7A7" wp14:editId="10552208">
            <wp:extent cx="5731510" cy="4298950"/>
            <wp:effectExtent l="0" t="0" r="2540" b="6350"/>
            <wp:docPr id="8497261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1B592612" w14:textId="44247211" w:rsidR="008523EC" w:rsidRPr="00CE5B93" w:rsidRDefault="008523EC" w:rsidP="002154E1">
      <w:pPr>
        <w:jc w:val="both"/>
        <w:rPr>
          <w:rFonts w:ascii="Arial" w:hAnsi="Arial" w:cs="Arial"/>
          <w:sz w:val="20"/>
          <w:szCs w:val="20"/>
        </w:rPr>
      </w:pPr>
      <w:r>
        <w:rPr>
          <w:rFonts w:ascii="Arial" w:hAnsi="Arial" w:cs="Arial"/>
          <w:sz w:val="20"/>
          <w:szCs w:val="20"/>
        </w:rPr>
        <w:t xml:space="preserve">FIG </w:t>
      </w:r>
      <w:r w:rsidR="00527A25">
        <w:rPr>
          <w:rFonts w:ascii="Arial" w:hAnsi="Arial" w:cs="Arial"/>
          <w:sz w:val="20"/>
          <w:szCs w:val="20"/>
        </w:rPr>
        <w:t>9</w:t>
      </w:r>
      <w:r w:rsidR="00E30228">
        <w:rPr>
          <w:rFonts w:ascii="Arial" w:hAnsi="Arial" w:cs="Arial"/>
          <w:sz w:val="20"/>
          <w:szCs w:val="20"/>
        </w:rPr>
        <w:t xml:space="preserve"> SEM image</w:t>
      </w:r>
    </w:p>
    <w:p w14:paraId="779C321F" w14:textId="2A223E4E" w:rsidR="00EE16A8" w:rsidRPr="00E10C46" w:rsidRDefault="00DA3FE6" w:rsidP="002154E1">
      <w:pPr>
        <w:jc w:val="both"/>
        <w:rPr>
          <w:rFonts w:ascii="Arial" w:hAnsi="Arial" w:cs="Arial"/>
          <w:b/>
          <w:bCs/>
        </w:rPr>
      </w:pPr>
      <w:r w:rsidRPr="00E10C46">
        <w:rPr>
          <w:rFonts w:ascii="Arial" w:hAnsi="Arial" w:cs="Arial"/>
          <w:b/>
          <w:bCs/>
        </w:rPr>
        <w:t xml:space="preserve">4.5 </w:t>
      </w:r>
      <w:r w:rsidR="00EE16A8" w:rsidRPr="00E10C46">
        <w:rPr>
          <w:rFonts w:ascii="Arial" w:hAnsi="Arial" w:cs="Arial"/>
          <w:b/>
          <w:bCs/>
        </w:rPr>
        <w:t>Physical Appearance and pH of Hydrogel Formulas</w:t>
      </w:r>
    </w:p>
    <w:p w14:paraId="1A233BDF" w14:textId="77777777" w:rsidR="009154D1" w:rsidRPr="00CE5B93" w:rsidRDefault="009154D1" w:rsidP="002154E1">
      <w:pPr>
        <w:jc w:val="both"/>
        <w:rPr>
          <w:rFonts w:ascii="Arial" w:hAnsi="Arial" w:cs="Arial"/>
          <w:sz w:val="20"/>
          <w:szCs w:val="20"/>
        </w:rPr>
      </w:pPr>
      <w:r w:rsidRPr="00CE5B93">
        <w:rPr>
          <w:rFonts w:ascii="Arial" w:hAnsi="Arial" w:cs="Arial"/>
          <w:sz w:val="20"/>
          <w:szCs w:val="20"/>
        </w:rPr>
        <w:lastRenderedPageBreak/>
        <w:t xml:space="preserve">The hydrogel that was produced was smooth, translucent, and homogeneous throughout. The pH of the hydrogel loaded with PCZ NS was 6.21 ± 0.137, indicating the product's compatibility. The findings were consistent with the study on fluconazole-loaded hydrogel </w:t>
      </w:r>
      <w:proofErr w:type="spellStart"/>
      <w:r w:rsidRPr="00CE5B93">
        <w:rPr>
          <w:rFonts w:ascii="Arial" w:hAnsi="Arial" w:cs="Arial"/>
          <w:sz w:val="20"/>
          <w:szCs w:val="20"/>
        </w:rPr>
        <w:t>nanosponge</w:t>
      </w:r>
      <w:proofErr w:type="spellEnd"/>
      <w:r w:rsidRPr="00CE5B93">
        <w:rPr>
          <w:rFonts w:ascii="Arial" w:hAnsi="Arial" w:cs="Arial"/>
          <w:sz w:val="20"/>
          <w:szCs w:val="20"/>
        </w:rPr>
        <w:t>.</w:t>
      </w:r>
    </w:p>
    <w:p w14:paraId="16717411" w14:textId="745844A9" w:rsidR="00EE16A8" w:rsidRPr="00E10C46" w:rsidRDefault="00DA3FE6" w:rsidP="002154E1">
      <w:pPr>
        <w:jc w:val="both"/>
        <w:rPr>
          <w:rFonts w:ascii="Arial" w:hAnsi="Arial" w:cs="Arial"/>
          <w:b/>
          <w:bCs/>
        </w:rPr>
      </w:pPr>
      <w:r w:rsidRPr="00E10C46">
        <w:rPr>
          <w:rFonts w:ascii="Arial" w:hAnsi="Arial" w:cs="Arial"/>
          <w:b/>
          <w:bCs/>
        </w:rPr>
        <w:t xml:space="preserve">4.6 </w:t>
      </w:r>
      <w:r w:rsidR="00EE16A8" w:rsidRPr="00E10C46">
        <w:rPr>
          <w:rFonts w:ascii="Arial" w:hAnsi="Arial" w:cs="Arial"/>
          <w:b/>
          <w:bCs/>
        </w:rPr>
        <w:t>Viscosity</w:t>
      </w:r>
    </w:p>
    <w:p w14:paraId="54ED6CD6" w14:textId="139E6F57" w:rsidR="00C92D03" w:rsidRPr="00CE5B93" w:rsidRDefault="00C92D03" w:rsidP="002154E1">
      <w:pPr>
        <w:jc w:val="both"/>
        <w:rPr>
          <w:rFonts w:ascii="Arial" w:hAnsi="Arial" w:cs="Arial"/>
          <w:sz w:val="20"/>
          <w:szCs w:val="20"/>
        </w:rPr>
      </w:pPr>
      <w:r w:rsidRPr="00CE5B93">
        <w:rPr>
          <w:rFonts w:ascii="Arial" w:hAnsi="Arial" w:cs="Arial"/>
          <w:sz w:val="20"/>
          <w:szCs w:val="20"/>
        </w:rPr>
        <w:t xml:space="preserve">The viscosity of PCZ-loaded NS hydrogel was approximately between 4,100 and 23,200 CP, whereas the viscosity of pure PCZ hydrogel was between 3,400 and 20,000 CP (Figure </w:t>
      </w:r>
      <w:r w:rsidR="00231E83">
        <w:rPr>
          <w:rFonts w:ascii="Arial" w:hAnsi="Arial" w:cs="Arial"/>
          <w:sz w:val="20"/>
          <w:szCs w:val="20"/>
        </w:rPr>
        <w:t>10</w:t>
      </w:r>
      <w:r w:rsidRPr="00CE5B93">
        <w:rPr>
          <w:rFonts w:ascii="Arial" w:hAnsi="Arial" w:cs="Arial"/>
          <w:sz w:val="20"/>
          <w:szCs w:val="20"/>
        </w:rPr>
        <w:t xml:space="preserve">). Because the preparation was simple to remove from the container and had a smooth texture when applied to the diseased area, the viscosity value of PCZ-loaded NS hydrogel was </w:t>
      </w:r>
      <w:proofErr w:type="gramStart"/>
      <w:r w:rsidRPr="00CE5B93">
        <w:rPr>
          <w:rFonts w:ascii="Arial" w:hAnsi="Arial" w:cs="Arial"/>
          <w:sz w:val="20"/>
          <w:szCs w:val="20"/>
        </w:rPr>
        <w:t>excellent.</w:t>
      </w:r>
      <w:r w:rsidR="00CA608B" w:rsidRPr="00CE5B93">
        <w:rPr>
          <w:rFonts w:ascii="Arial" w:hAnsi="Arial" w:cs="Arial"/>
          <w:sz w:val="20"/>
          <w:szCs w:val="20"/>
        </w:rPr>
        <w:t>(</w:t>
      </w:r>
      <w:proofErr w:type="gramEnd"/>
      <w:r w:rsidR="00CA608B" w:rsidRPr="00CE5B93">
        <w:rPr>
          <w:rFonts w:ascii="Arial" w:hAnsi="Arial" w:cs="Arial"/>
          <w:sz w:val="20"/>
          <w:szCs w:val="20"/>
        </w:rPr>
        <w:t>28)</w:t>
      </w:r>
    </w:p>
    <w:p w14:paraId="4C7383AA" w14:textId="7272FDDB" w:rsidR="00436AF2" w:rsidRPr="00E10C46" w:rsidRDefault="00DA3FE6" w:rsidP="002154E1">
      <w:pPr>
        <w:jc w:val="both"/>
        <w:rPr>
          <w:rFonts w:ascii="Arial" w:hAnsi="Arial" w:cs="Arial"/>
          <w:b/>
          <w:bCs/>
        </w:rPr>
      </w:pPr>
      <w:r w:rsidRPr="00E10C46">
        <w:rPr>
          <w:rFonts w:ascii="Arial" w:hAnsi="Arial" w:cs="Arial"/>
          <w:b/>
          <w:bCs/>
        </w:rPr>
        <w:t xml:space="preserve">4.7 </w:t>
      </w:r>
      <w:r w:rsidR="00436AF2" w:rsidRPr="00E10C46">
        <w:rPr>
          <w:rFonts w:ascii="Arial" w:hAnsi="Arial" w:cs="Arial"/>
          <w:b/>
          <w:bCs/>
        </w:rPr>
        <w:t xml:space="preserve">The </w:t>
      </w:r>
      <w:r w:rsidR="00436AF2" w:rsidRPr="00E10C46">
        <w:rPr>
          <w:rFonts w:ascii="Arial" w:hAnsi="Arial" w:cs="Arial"/>
          <w:b/>
          <w:bCs/>
          <w:i/>
          <w:iCs/>
        </w:rPr>
        <w:t>In-vitro</w:t>
      </w:r>
      <w:r w:rsidR="00436AF2" w:rsidRPr="00E10C46">
        <w:rPr>
          <w:rFonts w:ascii="Arial" w:hAnsi="Arial" w:cs="Arial"/>
          <w:b/>
          <w:bCs/>
        </w:rPr>
        <w:t xml:space="preserve"> Dissolution Profile of Prepared Hydrogels Formulas</w:t>
      </w:r>
    </w:p>
    <w:p w14:paraId="71E425D0" w14:textId="6C134EE6" w:rsidR="00EE16A8" w:rsidRPr="00CE5B93" w:rsidRDefault="00436AF2" w:rsidP="002154E1">
      <w:pPr>
        <w:jc w:val="both"/>
        <w:rPr>
          <w:rFonts w:ascii="Arial" w:hAnsi="Arial" w:cs="Arial"/>
          <w:sz w:val="20"/>
          <w:szCs w:val="20"/>
        </w:rPr>
      </w:pPr>
      <w:r w:rsidRPr="00CE5B93">
        <w:rPr>
          <w:rFonts w:ascii="Arial" w:hAnsi="Arial" w:cs="Arial"/>
          <w:sz w:val="20"/>
          <w:szCs w:val="20"/>
        </w:rPr>
        <w:t xml:space="preserve"> </w:t>
      </w:r>
      <w:r w:rsidR="00C37182" w:rsidRPr="00CE5B93">
        <w:rPr>
          <w:rFonts w:ascii="Arial" w:hAnsi="Arial" w:cs="Arial"/>
          <w:sz w:val="20"/>
          <w:szCs w:val="20"/>
        </w:rPr>
        <w:t xml:space="preserve">According to the release profile shown in Figure </w:t>
      </w:r>
      <w:r w:rsidR="00231E83">
        <w:rPr>
          <w:rFonts w:ascii="Arial" w:hAnsi="Arial" w:cs="Arial"/>
          <w:sz w:val="20"/>
          <w:szCs w:val="20"/>
        </w:rPr>
        <w:t>11</w:t>
      </w:r>
      <w:r w:rsidR="00C37182" w:rsidRPr="00CE5B93">
        <w:rPr>
          <w:rFonts w:ascii="Arial" w:hAnsi="Arial" w:cs="Arial"/>
          <w:sz w:val="20"/>
          <w:szCs w:val="20"/>
        </w:rPr>
        <w:t xml:space="preserve">, the dissolution rate of PCZ NS laden hydrogel was noticeably higher than that of pure PCZ hydrogel. Comparing the in-vitro release of PCZ </w:t>
      </w:r>
      <w:proofErr w:type="spellStart"/>
      <w:r w:rsidR="00C37182" w:rsidRPr="00CE5B93">
        <w:rPr>
          <w:rFonts w:ascii="Arial" w:hAnsi="Arial" w:cs="Arial"/>
          <w:sz w:val="20"/>
          <w:szCs w:val="20"/>
        </w:rPr>
        <w:t>nanosponge</w:t>
      </w:r>
      <w:proofErr w:type="spellEnd"/>
      <w:r w:rsidR="00C37182" w:rsidRPr="00CE5B93">
        <w:rPr>
          <w:rFonts w:ascii="Arial" w:hAnsi="Arial" w:cs="Arial"/>
          <w:sz w:val="20"/>
          <w:szCs w:val="20"/>
        </w:rPr>
        <w:t xml:space="preserve"> from hydrogel to pure PCZ hydrogel, who prepared a topical hydrogel of NS loaded with lemongrass. The higher porosity of the larger particles during preparation allows the PCZ to leak to the hydrogel, resulting in faster release rates.</w:t>
      </w:r>
    </w:p>
    <w:p w14:paraId="20393AA5" w14:textId="2F6EEA63" w:rsidR="00406468" w:rsidRPr="007D09F8" w:rsidRDefault="007D09F8" w:rsidP="002154E1">
      <w:pPr>
        <w:jc w:val="both"/>
        <w:rPr>
          <w:rFonts w:ascii="Arial" w:hAnsi="Arial" w:cs="Arial"/>
          <w:b/>
          <w:bCs/>
        </w:rPr>
      </w:pPr>
      <w:r w:rsidRPr="007D09F8">
        <w:rPr>
          <w:rFonts w:ascii="Arial" w:hAnsi="Arial" w:cs="Arial"/>
          <w:b/>
          <w:bCs/>
        </w:rPr>
        <w:t xml:space="preserve">5. </w:t>
      </w:r>
      <w:r w:rsidR="00CB2908" w:rsidRPr="007D09F8">
        <w:rPr>
          <w:rFonts w:ascii="Arial" w:hAnsi="Arial" w:cs="Arial"/>
          <w:b/>
          <w:bCs/>
        </w:rPr>
        <w:t>CONCLUSION</w:t>
      </w:r>
    </w:p>
    <w:p w14:paraId="2DE802DD" w14:textId="2CB92702" w:rsidR="00B91172" w:rsidRDefault="00E84882" w:rsidP="002154E1">
      <w:pPr>
        <w:jc w:val="both"/>
        <w:rPr>
          <w:rFonts w:ascii="Arial" w:hAnsi="Arial" w:cs="Arial"/>
          <w:sz w:val="20"/>
          <w:szCs w:val="20"/>
        </w:rPr>
      </w:pPr>
      <w:r w:rsidRPr="00CE5B93">
        <w:rPr>
          <w:rFonts w:ascii="Arial" w:hAnsi="Arial" w:cs="Arial"/>
          <w:sz w:val="20"/>
          <w:szCs w:val="20"/>
        </w:rPr>
        <w:t xml:space="preserve">The present study aimed to develop PCZ-loaded </w:t>
      </w:r>
      <w:proofErr w:type="spellStart"/>
      <w:r w:rsidRPr="00CE5B93">
        <w:rPr>
          <w:rFonts w:ascii="Arial" w:hAnsi="Arial" w:cs="Arial"/>
          <w:sz w:val="20"/>
          <w:szCs w:val="20"/>
        </w:rPr>
        <w:t>nanosponges</w:t>
      </w:r>
      <w:proofErr w:type="spellEnd"/>
      <w:r w:rsidRPr="00CE5B93">
        <w:rPr>
          <w:rFonts w:ascii="Arial" w:hAnsi="Arial" w:cs="Arial"/>
          <w:sz w:val="20"/>
          <w:szCs w:val="20"/>
        </w:rPr>
        <w:t xml:space="preserve"> to achieve controlled drug release and improve the bioavailability of posaconazole. The </w:t>
      </w:r>
      <w:proofErr w:type="spellStart"/>
      <w:r w:rsidRPr="00CE5B93">
        <w:rPr>
          <w:rFonts w:ascii="Arial" w:hAnsi="Arial" w:cs="Arial"/>
          <w:sz w:val="20"/>
          <w:szCs w:val="20"/>
        </w:rPr>
        <w:t>nanosponges</w:t>
      </w:r>
      <w:proofErr w:type="spellEnd"/>
      <w:r w:rsidRPr="00CE5B93">
        <w:rPr>
          <w:rFonts w:ascii="Arial" w:hAnsi="Arial" w:cs="Arial"/>
          <w:sz w:val="20"/>
          <w:szCs w:val="20"/>
        </w:rPr>
        <w:t xml:space="preserve"> were successfully prepared using the solvent evaporation method, employing polycaprolactone (PCL) as the polymer. This method proved to be simple, effective, and reproducible. Among all formulations, F6 emerged as the most promising, exhibiting a sustained release profile with </w:t>
      </w:r>
      <w:bookmarkStart w:id="0" w:name="_GoBack"/>
      <w:bookmarkEnd w:id="0"/>
      <w:r w:rsidRPr="00CE5B93">
        <w:rPr>
          <w:rFonts w:ascii="Arial" w:hAnsi="Arial" w:cs="Arial"/>
          <w:sz w:val="20"/>
          <w:szCs w:val="20"/>
        </w:rPr>
        <w:t xml:space="preserve">up to 85% drug release over 8 hours. The use of PCL significantly contributed to the formation of a stable </w:t>
      </w:r>
      <w:proofErr w:type="spellStart"/>
      <w:r w:rsidRPr="00CE5B93">
        <w:rPr>
          <w:rFonts w:ascii="Arial" w:hAnsi="Arial" w:cs="Arial"/>
          <w:sz w:val="20"/>
          <w:szCs w:val="20"/>
        </w:rPr>
        <w:t>nanosponge</w:t>
      </w:r>
      <w:proofErr w:type="spellEnd"/>
      <w:r w:rsidRPr="00CE5B93">
        <w:rPr>
          <w:rFonts w:ascii="Arial" w:hAnsi="Arial" w:cs="Arial"/>
          <w:sz w:val="20"/>
          <w:szCs w:val="20"/>
        </w:rPr>
        <w:t xml:space="preserve"> matrix that enhanced drug entrapment and prolonged release. The </w:t>
      </w:r>
      <w:proofErr w:type="spellStart"/>
      <w:r w:rsidRPr="00CE5B93">
        <w:rPr>
          <w:rFonts w:ascii="Arial" w:hAnsi="Arial" w:cs="Arial"/>
          <w:sz w:val="20"/>
          <w:szCs w:val="20"/>
        </w:rPr>
        <w:t>nanosponge</w:t>
      </w:r>
      <w:proofErr w:type="spellEnd"/>
      <w:r w:rsidRPr="00CE5B93">
        <w:rPr>
          <w:rFonts w:ascii="Arial" w:hAnsi="Arial" w:cs="Arial"/>
          <w:sz w:val="20"/>
          <w:szCs w:val="20"/>
        </w:rPr>
        <w:t xml:space="preserve"> system offers potential advantages such as reduced dosing frequency, improved patient compliance, and enhanced therapeutic efficacy, making it a suitable approach for the topical treatment of fungal infections.</w:t>
      </w:r>
    </w:p>
    <w:p w14:paraId="71BEDC33" w14:textId="6A08CE52" w:rsidR="00842768" w:rsidRPr="00AF5724" w:rsidRDefault="00AF5724" w:rsidP="002154E1">
      <w:pPr>
        <w:jc w:val="both"/>
        <w:rPr>
          <w:rFonts w:ascii="Arial" w:hAnsi="Arial" w:cs="Arial"/>
          <w:b/>
          <w:bCs/>
        </w:rPr>
      </w:pPr>
      <w:r w:rsidRPr="00AF5724">
        <w:rPr>
          <w:rFonts w:ascii="Arial" w:hAnsi="Arial" w:cs="Arial"/>
          <w:b/>
          <w:bCs/>
        </w:rPr>
        <w:t>6. REFERENCES</w:t>
      </w:r>
    </w:p>
    <w:p w14:paraId="38FAF300"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Mohammed BS, Al-</w:t>
      </w:r>
      <w:proofErr w:type="spellStart"/>
      <w:r w:rsidRPr="00DB4961">
        <w:rPr>
          <w:rFonts w:ascii="Arial" w:hAnsi="Arial" w:cs="Arial"/>
          <w:sz w:val="20"/>
          <w:szCs w:val="20"/>
        </w:rPr>
        <w:t>Gawhari</w:t>
      </w:r>
      <w:proofErr w:type="spellEnd"/>
      <w:r w:rsidRPr="00DB4961">
        <w:rPr>
          <w:rFonts w:ascii="Arial" w:hAnsi="Arial" w:cs="Arial"/>
          <w:sz w:val="20"/>
          <w:szCs w:val="20"/>
        </w:rPr>
        <w:t xml:space="preserve"> FJ. Preparation of </w:t>
      </w:r>
      <w:proofErr w:type="spellStart"/>
      <w:r w:rsidRPr="00DB4961">
        <w:rPr>
          <w:rFonts w:ascii="Arial" w:hAnsi="Arial" w:cs="Arial"/>
          <w:sz w:val="20"/>
          <w:szCs w:val="20"/>
        </w:rPr>
        <w:t>Posaconazole</w:t>
      </w:r>
      <w:proofErr w:type="spellEnd"/>
      <w:r w:rsidRPr="00DB4961">
        <w:rPr>
          <w:rFonts w:ascii="Arial" w:hAnsi="Arial" w:cs="Arial"/>
          <w:sz w:val="20"/>
          <w:szCs w:val="20"/>
        </w:rPr>
        <w:t xml:space="preserve"> </w:t>
      </w:r>
      <w:proofErr w:type="spellStart"/>
      <w:r w:rsidRPr="00DB4961">
        <w:rPr>
          <w:rFonts w:ascii="Arial" w:hAnsi="Arial" w:cs="Arial"/>
          <w:sz w:val="20"/>
          <w:szCs w:val="20"/>
        </w:rPr>
        <w:t>Nanosponges</w:t>
      </w:r>
      <w:proofErr w:type="spellEnd"/>
      <w:r w:rsidRPr="00DB4961">
        <w:rPr>
          <w:rFonts w:ascii="Arial" w:hAnsi="Arial" w:cs="Arial"/>
          <w:sz w:val="20"/>
          <w:szCs w:val="20"/>
        </w:rPr>
        <w:t xml:space="preserve"> for Improved Topical Delivery System. Int J Drug Deliv Technol. 2022;12(1):8-14. doi:10.25258/ijddt.12.1.2</w:t>
      </w:r>
    </w:p>
    <w:p w14:paraId="0E4913F4"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Srinivas P, Reddy AJ. Formulation and Evaluation of Isoniazid Loaded </w:t>
      </w:r>
      <w:proofErr w:type="spellStart"/>
      <w:r w:rsidRPr="00DB4961">
        <w:rPr>
          <w:rFonts w:ascii="Arial" w:hAnsi="Arial" w:cs="Arial"/>
          <w:sz w:val="20"/>
          <w:szCs w:val="20"/>
        </w:rPr>
        <w:t>Nanosponges</w:t>
      </w:r>
      <w:proofErr w:type="spellEnd"/>
      <w:r w:rsidRPr="00DB4961">
        <w:rPr>
          <w:rFonts w:ascii="Arial" w:hAnsi="Arial" w:cs="Arial"/>
          <w:sz w:val="20"/>
          <w:szCs w:val="20"/>
        </w:rPr>
        <w:t xml:space="preserve"> for Topical Delivery. Pharm </w:t>
      </w:r>
      <w:proofErr w:type="spellStart"/>
      <w:r w:rsidRPr="00DB4961">
        <w:rPr>
          <w:rFonts w:ascii="Arial" w:hAnsi="Arial" w:cs="Arial"/>
          <w:sz w:val="20"/>
          <w:szCs w:val="20"/>
        </w:rPr>
        <w:t>Nanotechnol</w:t>
      </w:r>
      <w:proofErr w:type="spellEnd"/>
      <w:r w:rsidRPr="00DB4961">
        <w:rPr>
          <w:rFonts w:ascii="Arial" w:hAnsi="Arial" w:cs="Arial"/>
          <w:sz w:val="20"/>
          <w:szCs w:val="20"/>
        </w:rPr>
        <w:t>. 2015;3(1):68–76.</w:t>
      </w:r>
    </w:p>
    <w:p w14:paraId="248F4006" w14:textId="77777777" w:rsidR="00842768" w:rsidRPr="00DB4961" w:rsidRDefault="00842768" w:rsidP="002154E1">
      <w:pPr>
        <w:pStyle w:val="ListParagraph"/>
        <w:numPr>
          <w:ilvl w:val="0"/>
          <w:numId w:val="8"/>
        </w:numPr>
        <w:ind w:left="284"/>
        <w:jc w:val="both"/>
        <w:rPr>
          <w:rFonts w:ascii="Arial" w:hAnsi="Arial" w:cs="Arial"/>
          <w:sz w:val="20"/>
          <w:szCs w:val="20"/>
        </w:rPr>
      </w:pPr>
      <w:proofErr w:type="spellStart"/>
      <w:r w:rsidRPr="00DB4961">
        <w:rPr>
          <w:rFonts w:ascii="Arial" w:hAnsi="Arial" w:cs="Arial"/>
          <w:sz w:val="20"/>
          <w:szCs w:val="20"/>
        </w:rPr>
        <w:t>Łukasiewicz</w:t>
      </w:r>
      <w:proofErr w:type="spellEnd"/>
      <w:r w:rsidRPr="00DB4961">
        <w:rPr>
          <w:rFonts w:ascii="Arial" w:hAnsi="Arial" w:cs="Arial"/>
          <w:sz w:val="20"/>
          <w:szCs w:val="20"/>
        </w:rPr>
        <w:t xml:space="preserve"> S, </w:t>
      </w:r>
      <w:proofErr w:type="spellStart"/>
      <w:r w:rsidRPr="00DB4961">
        <w:rPr>
          <w:rFonts w:ascii="Arial" w:hAnsi="Arial" w:cs="Arial"/>
          <w:sz w:val="20"/>
          <w:szCs w:val="20"/>
        </w:rPr>
        <w:t>Mikołajczyk</w:t>
      </w:r>
      <w:proofErr w:type="spellEnd"/>
      <w:r w:rsidRPr="00DB4961">
        <w:rPr>
          <w:rFonts w:ascii="Arial" w:hAnsi="Arial" w:cs="Arial"/>
          <w:sz w:val="20"/>
          <w:szCs w:val="20"/>
        </w:rPr>
        <w:t xml:space="preserve"> A, </w:t>
      </w:r>
      <w:proofErr w:type="spellStart"/>
      <w:r w:rsidRPr="00DB4961">
        <w:rPr>
          <w:rFonts w:ascii="Arial" w:hAnsi="Arial" w:cs="Arial"/>
          <w:sz w:val="20"/>
          <w:szCs w:val="20"/>
        </w:rPr>
        <w:t>Błasiak</w:t>
      </w:r>
      <w:proofErr w:type="spellEnd"/>
      <w:r w:rsidRPr="00DB4961">
        <w:rPr>
          <w:rFonts w:ascii="Arial" w:hAnsi="Arial" w:cs="Arial"/>
          <w:sz w:val="20"/>
          <w:szCs w:val="20"/>
        </w:rPr>
        <w:t xml:space="preserve"> E, Fic E, </w:t>
      </w:r>
      <w:proofErr w:type="spellStart"/>
      <w:r w:rsidRPr="00DB4961">
        <w:rPr>
          <w:rFonts w:ascii="Arial" w:hAnsi="Arial" w:cs="Arial"/>
          <w:sz w:val="20"/>
          <w:szCs w:val="20"/>
        </w:rPr>
        <w:t>Dziedzicka-Wasylewska</w:t>
      </w:r>
      <w:proofErr w:type="spellEnd"/>
      <w:r w:rsidRPr="00DB4961">
        <w:rPr>
          <w:rFonts w:ascii="Arial" w:hAnsi="Arial" w:cs="Arial"/>
          <w:sz w:val="20"/>
          <w:szCs w:val="20"/>
        </w:rPr>
        <w:t xml:space="preserve"> M. Polycaprolactone Nanoparticles as Promising Candidates for Nanocarriers in Novel Nanomedicines. Pharmaceutics. 2021;13(2):191. doi:10.3390/pharmaceutics13020191</w:t>
      </w:r>
    </w:p>
    <w:p w14:paraId="2697EB7E"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Singh SP, Tripathi DM. Formulation and Evaluation of </w:t>
      </w:r>
      <w:proofErr w:type="spellStart"/>
      <w:r w:rsidRPr="00DB4961">
        <w:rPr>
          <w:rFonts w:ascii="Arial" w:hAnsi="Arial" w:cs="Arial"/>
          <w:sz w:val="20"/>
          <w:szCs w:val="20"/>
        </w:rPr>
        <w:t>Posaconazole</w:t>
      </w:r>
      <w:proofErr w:type="spellEnd"/>
      <w:r w:rsidRPr="00DB4961">
        <w:rPr>
          <w:rFonts w:ascii="Arial" w:hAnsi="Arial" w:cs="Arial"/>
          <w:sz w:val="20"/>
          <w:szCs w:val="20"/>
        </w:rPr>
        <w:t xml:space="preserve"> Drug Loaded </w:t>
      </w:r>
      <w:proofErr w:type="spellStart"/>
      <w:r w:rsidRPr="00DB4961">
        <w:rPr>
          <w:rFonts w:ascii="Arial" w:hAnsi="Arial" w:cs="Arial"/>
          <w:sz w:val="20"/>
          <w:szCs w:val="20"/>
        </w:rPr>
        <w:t>Ethosomal</w:t>
      </w:r>
      <w:proofErr w:type="spellEnd"/>
      <w:r w:rsidRPr="00DB4961">
        <w:rPr>
          <w:rFonts w:ascii="Arial" w:hAnsi="Arial" w:cs="Arial"/>
          <w:sz w:val="20"/>
          <w:szCs w:val="20"/>
        </w:rPr>
        <w:t xml:space="preserve"> Gel for Antifungal Activity. Int J Pharm </w:t>
      </w:r>
      <w:proofErr w:type="spellStart"/>
      <w:r w:rsidRPr="00DB4961">
        <w:rPr>
          <w:rFonts w:ascii="Arial" w:hAnsi="Arial" w:cs="Arial"/>
          <w:sz w:val="20"/>
          <w:szCs w:val="20"/>
        </w:rPr>
        <w:t>Pharm</w:t>
      </w:r>
      <w:proofErr w:type="spellEnd"/>
      <w:r w:rsidRPr="00DB4961">
        <w:rPr>
          <w:rFonts w:ascii="Arial" w:hAnsi="Arial" w:cs="Arial"/>
          <w:sz w:val="20"/>
          <w:szCs w:val="20"/>
        </w:rPr>
        <w:t xml:space="preserve"> Res. 2021;23(1):34-46.</w:t>
      </w:r>
    </w:p>
    <w:p w14:paraId="2D31F4ED"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Cavalli R, Trotta F, </w:t>
      </w:r>
      <w:proofErr w:type="spellStart"/>
      <w:r w:rsidRPr="00DB4961">
        <w:rPr>
          <w:rFonts w:ascii="Arial" w:hAnsi="Arial" w:cs="Arial"/>
          <w:sz w:val="20"/>
          <w:szCs w:val="20"/>
        </w:rPr>
        <w:t>Tumiatti</w:t>
      </w:r>
      <w:proofErr w:type="spellEnd"/>
      <w:r w:rsidRPr="00DB4961">
        <w:rPr>
          <w:rFonts w:ascii="Arial" w:hAnsi="Arial" w:cs="Arial"/>
          <w:sz w:val="20"/>
          <w:szCs w:val="20"/>
        </w:rPr>
        <w:t xml:space="preserve"> W. Cyclodextrin-based </w:t>
      </w:r>
      <w:proofErr w:type="spellStart"/>
      <w:r w:rsidRPr="00DB4961">
        <w:rPr>
          <w:rFonts w:ascii="Arial" w:hAnsi="Arial" w:cs="Arial"/>
          <w:sz w:val="20"/>
          <w:szCs w:val="20"/>
        </w:rPr>
        <w:t>nanosponges</w:t>
      </w:r>
      <w:proofErr w:type="spellEnd"/>
      <w:r w:rsidRPr="00DB4961">
        <w:rPr>
          <w:rFonts w:ascii="Arial" w:hAnsi="Arial" w:cs="Arial"/>
          <w:sz w:val="20"/>
          <w:szCs w:val="20"/>
        </w:rPr>
        <w:t xml:space="preserve"> for drug delivery. J </w:t>
      </w:r>
      <w:proofErr w:type="spellStart"/>
      <w:r w:rsidRPr="00DB4961">
        <w:rPr>
          <w:rFonts w:ascii="Arial" w:hAnsi="Arial" w:cs="Arial"/>
          <w:sz w:val="20"/>
          <w:szCs w:val="20"/>
        </w:rPr>
        <w:t>Incl</w:t>
      </w:r>
      <w:proofErr w:type="spellEnd"/>
      <w:r w:rsidRPr="00DB4961">
        <w:rPr>
          <w:rFonts w:ascii="Arial" w:hAnsi="Arial" w:cs="Arial"/>
          <w:sz w:val="20"/>
          <w:szCs w:val="20"/>
        </w:rPr>
        <w:t xml:space="preserve"> Phenom </w:t>
      </w:r>
      <w:proofErr w:type="spellStart"/>
      <w:r w:rsidRPr="00DB4961">
        <w:rPr>
          <w:rFonts w:ascii="Arial" w:hAnsi="Arial" w:cs="Arial"/>
          <w:sz w:val="20"/>
          <w:szCs w:val="20"/>
        </w:rPr>
        <w:t>Macrocycl</w:t>
      </w:r>
      <w:proofErr w:type="spellEnd"/>
      <w:r w:rsidRPr="00DB4961">
        <w:rPr>
          <w:rFonts w:ascii="Arial" w:hAnsi="Arial" w:cs="Arial"/>
          <w:sz w:val="20"/>
          <w:szCs w:val="20"/>
        </w:rPr>
        <w:t xml:space="preserve"> Chem. 2006;56(1):209–213. doi:10.1007/s10847-006-9085-2  </w:t>
      </w:r>
    </w:p>
    <w:p w14:paraId="708DEBC1"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Swaminathan S, </w:t>
      </w:r>
      <w:proofErr w:type="spellStart"/>
      <w:r w:rsidRPr="00DB4961">
        <w:rPr>
          <w:rFonts w:ascii="Arial" w:hAnsi="Arial" w:cs="Arial"/>
          <w:sz w:val="20"/>
          <w:szCs w:val="20"/>
        </w:rPr>
        <w:t>Vavia</w:t>
      </w:r>
      <w:proofErr w:type="spellEnd"/>
      <w:r w:rsidRPr="00DB4961">
        <w:rPr>
          <w:rFonts w:ascii="Arial" w:hAnsi="Arial" w:cs="Arial"/>
          <w:sz w:val="20"/>
          <w:szCs w:val="20"/>
        </w:rPr>
        <w:t xml:space="preserve"> PR, Trotta F. Formulation of betamethasone-loaded </w:t>
      </w:r>
      <w:proofErr w:type="spellStart"/>
      <w:r w:rsidRPr="00DB4961">
        <w:rPr>
          <w:rFonts w:ascii="Arial" w:hAnsi="Arial" w:cs="Arial"/>
          <w:sz w:val="20"/>
          <w:szCs w:val="20"/>
        </w:rPr>
        <w:t>nanosponges</w:t>
      </w:r>
      <w:proofErr w:type="spellEnd"/>
      <w:r w:rsidRPr="00DB4961">
        <w:rPr>
          <w:rFonts w:ascii="Arial" w:hAnsi="Arial" w:cs="Arial"/>
          <w:sz w:val="20"/>
          <w:szCs w:val="20"/>
        </w:rPr>
        <w:t xml:space="preserve"> for topical delivery: physicochemical characterization and in vitro/in vivo evaluation. J Pharm Sci. 2013;102(12):4724–4734. doi:10.1002/jps.23724  </w:t>
      </w:r>
    </w:p>
    <w:p w14:paraId="0F9A4C25"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Trotta F, </w:t>
      </w:r>
      <w:proofErr w:type="spellStart"/>
      <w:r w:rsidRPr="00DB4961">
        <w:rPr>
          <w:rFonts w:ascii="Arial" w:hAnsi="Arial" w:cs="Arial"/>
          <w:sz w:val="20"/>
          <w:szCs w:val="20"/>
        </w:rPr>
        <w:t>Tumiatti</w:t>
      </w:r>
      <w:proofErr w:type="spellEnd"/>
      <w:r w:rsidRPr="00DB4961">
        <w:rPr>
          <w:rFonts w:ascii="Arial" w:hAnsi="Arial" w:cs="Arial"/>
          <w:sz w:val="20"/>
          <w:szCs w:val="20"/>
        </w:rPr>
        <w:t xml:space="preserve"> W, Cavalli R, Roggero C. Cyclodextrin-based </w:t>
      </w:r>
      <w:proofErr w:type="spellStart"/>
      <w:r w:rsidRPr="00DB4961">
        <w:rPr>
          <w:rFonts w:ascii="Arial" w:hAnsi="Arial" w:cs="Arial"/>
          <w:sz w:val="20"/>
          <w:szCs w:val="20"/>
        </w:rPr>
        <w:t>nanosponges</w:t>
      </w:r>
      <w:proofErr w:type="spellEnd"/>
      <w:r w:rsidRPr="00DB4961">
        <w:rPr>
          <w:rFonts w:ascii="Arial" w:hAnsi="Arial" w:cs="Arial"/>
          <w:sz w:val="20"/>
          <w:szCs w:val="20"/>
        </w:rPr>
        <w:t xml:space="preserve"> as drug carriers. Beilstein J Org Chem. </w:t>
      </w:r>
      <w:proofErr w:type="gramStart"/>
      <w:r w:rsidRPr="00DB4961">
        <w:rPr>
          <w:rFonts w:ascii="Arial" w:hAnsi="Arial" w:cs="Arial"/>
          <w:sz w:val="20"/>
          <w:szCs w:val="20"/>
        </w:rPr>
        <w:t>2012;8:2091</w:t>
      </w:r>
      <w:proofErr w:type="gramEnd"/>
      <w:r w:rsidRPr="00DB4961">
        <w:rPr>
          <w:rFonts w:ascii="Arial" w:hAnsi="Arial" w:cs="Arial"/>
          <w:sz w:val="20"/>
          <w:szCs w:val="20"/>
        </w:rPr>
        <w:t xml:space="preserve">–2099. doi:10.3762/bjoc.8.235  </w:t>
      </w:r>
    </w:p>
    <w:p w14:paraId="2D67D2D4" w14:textId="77777777" w:rsidR="00842768" w:rsidRPr="00DB4961" w:rsidRDefault="00842768" w:rsidP="002154E1">
      <w:pPr>
        <w:pStyle w:val="ListParagraph"/>
        <w:numPr>
          <w:ilvl w:val="0"/>
          <w:numId w:val="8"/>
        </w:numPr>
        <w:ind w:left="284"/>
        <w:jc w:val="both"/>
        <w:rPr>
          <w:rFonts w:ascii="Arial" w:hAnsi="Arial" w:cs="Arial"/>
          <w:sz w:val="20"/>
          <w:szCs w:val="20"/>
        </w:rPr>
      </w:pPr>
      <w:proofErr w:type="spellStart"/>
      <w:r w:rsidRPr="00DB4961">
        <w:rPr>
          <w:rFonts w:ascii="Arial" w:hAnsi="Arial" w:cs="Arial"/>
          <w:sz w:val="20"/>
          <w:szCs w:val="20"/>
        </w:rPr>
        <w:t>Kalhapure</w:t>
      </w:r>
      <w:proofErr w:type="spellEnd"/>
      <w:r w:rsidRPr="00DB4961">
        <w:rPr>
          <w:rFonts w:ascii="Arial" w:hAnsi="Arial" w:cs="Arial"/>
          <w:sz w:val="20"/>
          <w:szCs w:val="20"/>
        </w:rPr>
        <w:t xml:space="preserve"> RS, </w:t>
      </w:r>
      <w:proofErr w:type="spellStart"/>
      <w:r w:rsidRPr="00DB4961">
        <w:rPr>
          <w:rFonts w:ascii="Arial" w:hAnsi="Arial" w:cs="Arial"/>
          <w:sz w:val="20"/>
          <w:szCs w:val="20"/>
        </w:rPr>
        <w:t>Akamanchi</w:t>
      </w:r>
      <w:proofErr w:type="spellEnd"/>
      <w:r w:rsidRPr="00DB4961">
        <w:rPr>
          <w:rFonts w:ascii="Arial" w:hAnsi="Arial" w:cs="Arial"/>
          <w:sz w:val="20"/>
          <w:szCs w:val="20"/>
        </w:rPr>
        <w:t xml:space="preserve"> KG. Novel rifampicin-loaded polycaprolactone nanoparticles prepared by a new emulsification method using choline-based ionic liquids. Colloids Surf B </w:t>
      </w:r>
      <w:proofErr w:type="spellStart"/>
      <w:r w:rsidRPr="00DB4961">
        <w:rPr>
          <w:rFonts w:ascii="Arial" w:hAnsi="Arial" w:cs="Arial"/>
          <w:sz w:val="20"/>
          <w:szCs w:val="20"/>
        </w:rPr>
        <w:t>Biointerfaces</w:t>
      </w:r>
      <w:proofErr w:type="spellEnd"/>
      <w:r w:rsidRPr="00DB4961">
        <w:rPr>
          <w:rFonts w:ascii="Arial" w:hAnsi="Arial" w:cs="Arial"/>
          <w:sz w:val="20"/>
          <w:szCs w:val="20"/>
        </w:rPr>
        <w:t xml:space="preserve">. </w:t>
      </w:r>
      <w:proofErr w:type="gramStart"/>
      <w:r w:rsidRPr="00DB4961">
        <w:rPr>
          <w:rFonts w:ascii="Arial" w:hAnsi="Arial" w:cs="Arial"/>
          <w:sz w:val="20"/>
          <w:szCs w:val="20"/>
        </w:rPr>
        <w:t>2012;94:320</w:t>
      </w:r>
      <w:proofErr w:type="gramEnd"/>
      <w:r w:rsidRPr="00DB4961">
        <w:rPr>
          <w:rFonts w:ascii="Arial" w:hAnsi="Arial" w:cs="Arial"/>
          <w:sz w:val="20"/>
          <w:szCs w:val="20"/>
        </w:rPr>
        <w:t xml:space="preserve">–327. </w:t>
      </w:r>
      <w:proofErr w:type="gramStart"/>
      <w:r w:rsidRPr="00DB4961">
        <w:rPr>
          <w:rFonts w:ascii="Arial" w:hAnsi="Arial" w:cs="Arial"/>
          <w:sz w:val="20"/>
          <w:szCs w:val="20"/>
        </w:rPr>
        <w:t>doi:10.1016/j.colsurfb</w:t>
      </w:r>
      <w:proofErr w:type="gramEnd"/>
      <w:r w:rsidRPr="00DB4961">
        <w:rPr>
          <w:rFonts w:ascii="Arial" w:hAnsi="Arial" w:cs="Arial"/>
          <w:sz w:val="20"/>
          <w:szCs w:val="20"/>
        </w:rPr>
        <w:t xml:space="preserve">.2012.01.036  </w:t>
      </w:r>
    </w:p>
    <w:p w14:paraId="030FC904"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Shende P, Kasture P, Gaud R. </w:t>
      </w:r>
      <w:proofErr w:type="spellStart"/>
      <w:r w:rsidRPr="00DB4961">
        <w:rPr>
          <w:rFonts w:ascii="Arial" w:hAnsi="Arial" w:cs="Arial"/>
          <w:sz w:val="20"/>
          <w:szCs w:val="20"/>
        </w:rPr>
        <w:t>Nanosponges</w:t>
      </w:r>
      <w:proofErr w:type="spellEnd"/>
      <w:r w:rsidRPr="00DB4961">
        <w:rPr>
          <w:rFonts w:ascii="Arial" w:hAnsi="Arial" w:cs="Arial"/>
          <w:sz w:val="20"/>
          <w:szCs w:val="20"/>
        </w:rPr>
        <w:t xml:space="preserve">: a new colloidal drug delivery system. Sys Rev Pharm. 2013;4(1):1–6.  </w:t>
      </w:r>
    </w:p>
    <w:p w14:paraId="0F9F4232"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Patel EK, Oswal RJ. </w:t>
      </w:r>
      <w:proofErr w:type="spellStart"/>
      <w:r w:rsidRPr="00DB4961">
        <w:rPr>
          <w:rFonts w:ascii="Arial" w:hAnsi="Arial" w:cs="Arial"/>
          <w:sz w:val="20"/>
          <w:szCs w:val="20"/>
        </w:rPr>
        <w:t>Nanosponge</w:t>
      </w:r>
      <w:proofErr w:type="spellEnd"/>
      <w:r w:rsidRPr="00DB4961">
        <w:rPr>
          <w:rFonts w:ascii="Arial" w:hAnsi="Arial" w:cs="Arial"/>
          <w:sz w:val="20"/>
          <w:szCs w:val="20"/>
        </w:rPr>
        <w:t xml:space="preserve"> and </w:t>
      </w:r>
      <w:proofErr w:type="spellStart"/>
      <w:r w:rsidRPr="00DB4961">
        <w:rPr>
          <w:rFonts w:ascii="Arial" w:hAnsi="Arial" w:cs="Arial"/>
          <w:sz w:val="20"/>
          <w:szCs w:val="20"/>
        </w:rPr>
        <w:t>microsponges</w:t>
      </w:r>
      <w:proofErr w:type="spellEnd"/>
      <w:r w:rsidRPr="00DB4961">
        <w:rPr>
          <w:rFonts w:ascii="Arial" w:hAnsi="Arial" w:cs="Arial"/>
          <w:sz w:val="20"/>
          <w:szCs w:val="20"/>
        </w:rPr>
        <w:t xml:space="preserve">: a novel drug delivery system. Int J Res Pharm Chem. 2012;2(2):237–244.  </w:t>
      </w:r>
    </w:p>
    <w:p w14:paraId="6BBB444B"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lastRenderedPageBreak/>
        <w:t xml:space="preserve">Singh, S. P., &amp; Tripathi, D. M. (2021). </w:t>
      </w:r>
      <w:r w:rsidRPr="00DB4961">
        <w:rPr>
          <w:rFonts w:ascii="Arial" w:hAnsi="Arial" w:cs="Arial"/>
          <w:i/>
          <w:iCs/>
          <w:sz w:val="20"/>
          <w:szCs w:val="20"/>
        </w:rPr>
        <w:t xml:space="preserve">Formulation and evaluation of </w:t>
      </w:r>
      <w:proofErr w:type="spellStart"/>
      <w:r w:rsidRPr="00DB4961">
        <w:rPr>
          <w:rFonts w:ascii="Arial" w:hAnsi="Arial" w:cs="Arial"/>
          <w:i/>
          <w:iCs/>
          <w:sz w:val="20"/>
          <w:szCs w:val="20"/>
        </w:rPr>
        <w:t>posaconazole</w:t>
      </w:r>
      <w:proofErr w:type="spellEnd"/>
      <w:r w:rsidRPr="00DB4961">
        <w:rPr>
          <w:rFonts w:ascii="Arial" w:hAnsi="Arial" w:cs="Arial"/>
          <w:i/>
          <w:iCs/>
          <w:sz w:val="20"/>
          <w:szCs w:val="20"/>
        </w:rPr>
        <w:t xml:space="preserve"> drug loaded </w:t>
      </w:r>
      <w:proofErr w:type="spellStart"/>
      <w:r w:rsidRPr="00DB4961">
        <w:rPr>
          <w:rFonts w:ascii="Arial" w:hAnsi="Arial" w:cs="Arial"/>
          <w:i/>
          <w:iCs/>
          <w:sz w:val="20"/>
          <w:szCs w:val="20"/>
        </w:rPr>
        <w:t>ethosomal</w:t>
      </w:r>
      <w:proofErr w:type="spellEnd"/>
      <w:r w:rsidRPr="00DB4961">
        <w:rPr>
          <w:rFonts w:ascii="Arial" w:hAnsi="Arial" w:cs="Arial"/>
          <w:i/>
          <w:iCs/>
          <w:sz w:val="20"/>
          <w:szCs w:val="20"/>
        </w:rPr>
        <w:t xml:space="preserve"> gel for antifungal activity</w:t>
      </w:r>
      <w:r w:rsidRPr="00DB4961">
        <w:rPr>
          <w:rFonts w:ascii="Arial" w:hAnsi="Arial" w:cs="Arial"/>
          <w:sz w:val="20"/>
          <w:szCs w:val="20"/>
        </w:rPr>
        <w:t>. International Journal of Pharmacy &amp; Pharmaceutical Research (IJPPR), 23(1).</w:t>
      </w:r>
    </w:p>
    <w:p w14:paraId="0A37D0B5"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Zeng </w:t>
      </w:r>
      <w:proofErr w:type="spellStart"/>
      <w:r w:rsidRPr="00DB4961">
        <w:rPr>
          <w:rFonts w:ascii="Arial" w:hAnsi="Arial" w:cs="Arial"/>
          <w:sz w:val="20"/>
          <w:szCs w:val="20"/>
        </w:rPr>
        <w:t>Zhaowu</w:t>
      </w:r>
      <w:proofErr w:type="spellEnd"/>
      <w:r w:rsidRPr="00DB4961">
        <w:rPr>
          <w:rFonts w:ascii="Arial" w:hAnsi="Arial" w:cs="Arial"/>
          <w:sz w:val="20"/>
          <w:szCs w:val="20"/>
        </w:rPr>
        <w:t xml:space="preserve">., Wang Xiaoli., Zhang </w:t>
      </w:r>
      <w:proofErr w:type="spellStart"/>
      <w:r w:rsidRPr="00DB4961">
        <w:rPr>
          <w:rFonts w:ascii="Arial" w:hAnsi="Arial" w:cs="Arial"/>
          <w:sz w:val="20"/>
          <w:szCs w:val="20"/>
        </w:rPr>
        <w:t>Yangde</w:t>
      </w:r>
      <w:proofErr w:type="spellEnd"/>
      <w:r w:rsidRPr="00DB4961">
        <w:rPr>
          <w:rFonts w:ascii="Arial" w:hAnsi="Arial" w:cs="Arial"/>
          <w:sz w:val="20"/>
          <w:szCs w:val="20"/>
        </w:rPr>
        <w:t xml:space="preserve">., Li </w:t>
      </w:r>
      <w:proofErr w:type="spellStart"/>
      <w:r w:rsidRPr="00DB4961">
        <w:rPr>
          <w:rFonts w:ascii="Arial" w:hAnsi="Arial" w:cs="Arial"/>
          <w:sz w:val="20"/>
          <w:szCs w:val="20"/>
        </w:rPr>
        <w:t>Nianfeng</w:t>
      </w:r>
      <w:proofErr w:type="spellEnd"/>
      <w:r w:rsidRPr="00DB4961">
        <w:rPr>
          <w:rFonts w:ascii="Arial" w:hAnsi="Arial" w:cs="Arial"/>
          <w:sz w:val="20"/>
          <w:szCs w:val="20"/>
        </w:rPr>
        <w:t xml:space="preserve">., “Preparation of </w:t>
      </w:r>
      <w:proofErr w:type="spellStart"/>
      <w:r w:rsidRPr="00DB4961">
        <w:rPr>
          <w:rFonts w:ascii="Arial" w:hAnsi="Arial" w:cs="Arial"/>
          <w:sz w:val="20"/>
          <w:szCs w:val="20"/>
        </w:rPr>
        <w:t>matrine</w:t>
      </w:r>
      <w:proofErr w:type="spellEnd"/>
      <w:r w:rsidRPr="00DB4961">
        <w:rPr>
          <w:rFonts w:ascii="Arial" w:hAnsi="Arial" w:cs="Arial"/>
          <w:sz w:val="20"/>
          <w:szCs w:val="20"/>
        </w:rPr>
        <w:t xml:space="preserve"> </w:t>
      </w:r>
      <w:proofErr w:type="spellStart"/>
      <w:r w:rsidRPr="00DB4961">
        <w:rPr>
          <w:rFonts w:ascii="Arial" w:hAnsi="Arial" w:cs="Arial"/>
          <w:sz w:val="20"/>
          <w:szCs w:val="20"/>
        </w:rPr>
        <w:t>etosome</w:t>
      </w:r>
      <w:proofErr w:type="spellEnd"/>
      <w:r w:rsidRPr="00DB4961">
        <w:rPr>
          <w:rFonts w:ascii="Arial" w:hAnsi="Arial" w:cs="Arial"/>
          <w:sz w:val="20"/>
          <w:szCs w:val="20"/>
        </w:rPr>
        <w:t xml:space="preserve">, its </w:t>
      </w:r>
      <w:proofErr w:type="spellStart"/>
      <w:r w:rsidRPr="00DB4961">
        <w:rPr>
          <w:rFonts w:ascii="Arial" w:hAnsi="Arial" w:cs="Arial"/>
          <w:sz w:val="20"/>
          <w:szCs w:val="20"/>
        </w:rPr>
        <w:t>prcutaneous</w:t>
      </w:r>
      <w:proofErr w:type="spellEnd"/>
      <w:r w:rsidRPr="00DB4961">
        <w:rPr>
          <w:rFonts w:ascii="Arial" w:hAnsi="Arial" w:cs="Arial"/>
          <w:sz w:val="20"/>
          <w:szCs w:val="20"/>
        </w:rPr>
        <w:t xml:space="preserve"> permeation in vitro and anti-inflammatory activity in rats”, </w:t>
      </w:r>
      <w:proofErr w:type="spellStart"/>
      <w:proofErr w:type="gramStart"/>
      <w:r w:rsidRPr="00DB4961">
        <w:rPr>
          <w:rFonts w:ascii="Arial" w:hAnsi="Arial" w:cs="Arial"/>
          <w:sz w:val="20"/>
          <w:szCs w:val="20"/>
        </w:rPr>
        <w:t>J.Liposome</w:t>
      </w:r>
      <w:proofErr w:type="spellEnd"/>
      <w:proofErr w:type="gramEnd"/>
      <w:r w:rsidRPr="00DB4961">
        <w:rPr>
          <w:rFonts w:ascii="Arial" w:hAnsi="Arial" w:cs="Arial"/>
          <w:sz w:val="20"/>
          <w:szCs w:val="20"/>
        </w:rPr>
        <w:t xml:space="preserve"> Research, 2009, 19(2), 155162.</w:t>
      </w:r>
    </w:p>
    <w:p w14:paraId="1A4E731E"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Renuka S, Roderick BW, Kamla P. Evaluation of the kinetics and mechanism of drug release from econazole nitrate </w:t>
      </w:r>
      <w:proofErr w:type="spellStart"/>
      <w:r w:rsidRPr="00DB4961">
        <w:rPr>
          <w:rFonts w:ascii="Arial" w:hAnsi="Arial" w:cs="Arial"/>
          <w:sz w:val="20"/>
          <w:szCs w:val="20"/>
        </w:rPr>
        <w:t>nanosponge</w:t>
      </w:r>
      <w:proofErr w:type="spellEnd"/>
      <w:r w:rsidRPr="00DB4961">
        <w:rPr>
          <w:rFonts w:ascii="Arial" w:hAnsi="Arial" w:cs="Arial"/>
          <w:sz w:val="20"/>
          <w:szCs w:val="20"/>
        </w:rPr>
        <w:t xml:space="preserve"> loaded </w:t>
      </w:r>
      <w:proofErr w:type="spellStart"/>
      <w:r w:rsidRPr="00DB4961">
        <w:rPr>
          <w:rFonts w:ascii="Arial" w:hAnsi="Arial" w:cs="Arial"/>
          <w:sz w:val="20"/>
          <w:szCs w:val="20"/>
        </w:rPr>
        <w:t>carbopol</w:t>
      </w:r>
      <w:proofErr w:type="spellEnd"/>
      <w:r w:rsidRPr="00DB4961">
        <w:rPr>
          <w:rFonts w:ascii="Arial" w:hAnsi="Arial" w:cs="Arial"/>
          <w:sz w:val="20"/>
          <w:szCs w:val="20"/>
        </w:rPr>
        <w:t xml:space="preserve"> hydrogel. Ind J </w:t>
      </w:r>
      <w:proofErr w:type="spellStart"/>
      <w:r w:rsidRPr="00DB4961">
        <w:rPr>
          <w:rFonts w:ascii="Arial" w:hAnsi="Arial" w:cs="Arial"/>
          <w:sz w:val="20"/>
          <w:szCs w:val="20"/>
        </w:rPr>
        <w:t>Pharmaceut</w:t>
      </w:r>
      <w:proofErr w:type="spellEnd"/>
      <w:r w:rsidRPr="00DB4961">
        <w:rPr>
          <w:rFonts w:ascii="Arial" w:hAnsi="Arial" w:cs="Arial"/>
          <w:sz w:val="20"/>
          <w:szCs w:val="20"/>
        </w:rPr>
        <w:t xml:space="preserve"> </w:t>
      </w:r>
      <w:proofErr w:type="spellStart"/>
      <w:r w:rsidRPr="00DB4961">
        <w:rPr>
          <w:rFonts w:ascii="Arial" w:hAnsi="Arial" w:cs="Arial"/>
          <w:sz w:val="20"/>
          <w:szCs w:val="20"/>
        </w:rPr>
        <w:t>Educat</w:t>
      </w:r>
      <w:proofErr w:type="spellEnd"/>
      <w:r w:rsidRPr="00DB4961">
        <w:rPr>
          <w:rFonts w:ascii="Arial" w:hAnsi="Arial" w:cs="Arial"/>
          <w:sz w:val="20"/>
          <w:szCs w:val="20"/>
        </w:rPr>
        <w:t xml:space="preserve"> Res 2011; 45(1): 25-31.</w:t>
      </w:r>
    </w:p>
    <w:p w14:paraId="4EA304B0"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Srinivas P, Jahnavi Reddy A. Formulation and evaluation of isoniazid loaded </w:t>
      </w:r>
      <w:proofErr w:type="spellStart"/>
      <w:r w:rsidRPr="00DB4961">
        <w:rPr>
          <w:rFonts w:ascii="Arial" w:hAnsi="Arial" w:cs="Arial"/>
          <w:sz w:val="20"/>
          <w:szCs w:val="20"/>
        </w:rPr>
        <w:t>nanosponges</w:t>
      </w:r>
      <w:proofErr w:type="spellEnd"/>
      <w:r w:rsidRPr="00DB4961">
        <w:rPr>
          <w:rFonts w:ascii="Arial" w:hAnsi="Arial" w:cs="Arial"/>
          <w:sz w:val="20"/>
          <w:szCs w:val="20"/>
        </w:rPr>
        <w:t xml:space="preserve"> for topical delivery. Pharmaceutical Nanotechnology. 2015 Mar 1;3(1):68-76.</w:t>
      </w:r>
    </w:p>
    <w:p w14:paraId="5EF7B604"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Mohammed BS, Al-</w:t>
      </w:r>
      <w:proofErr w:type="spellStart"/>
      <w:r w:rsidRPr="00DB4961">
        <w:rPr>
          <w:rFonts w:ascii="Arial" w:hAnsi="Arial" w:cs="Arial"/>
          <w:sz w:val="20"/>
          <w:szCs w:val="20"/>
        </w:rPr>
        <w:t>Gawhari</w:t>
      </w:r>
      <w:proofErr w:type="spellEnd"/>
      <w:r w:rsidRPr="00DB4961">
        <w:rPr>
          <w:rFonts w:ascii="Arial" w:hAnsi="Arial" w:cs="Arial"/>
          <w:sz w:val="20"/>
          <w:szCs w:val="20"/>
        </w:rPr>
        <w:t xml:space="preserve"> FJ. Preparation of </w:t>
      </w:r>
      <w:proofErr w:type="spellStart"/>
      <w:r w:rsidRPr="00DB4961">
        <w:rPr>
          <w:rFonts w:ascii="Arial" w:hAnsi="Arial" w:cs="Arial"/>
          <w:sz w:val="20"/>
          <w:szCs w:val="20"/>
        </w:rPr>
        <w:t>Posaconazole</w:t>
      </w:r>
      <w:proofErr w:type="spellEnd"/>
      <w:r w:rsidRPr="00DB4961">
        <w:rPr>
          <w:rFonts w:ascii="Arial" w:hAnsi="Arial" w:cs="Arial"/>
          <w:sz w:val="20"/>
          <w:szCs w:val="20"/>
        </w:rPr>
        <w:t xml:space="preserve"> </w:t>
      </w:r>
      <w:proofErr w:type="spellStart"/>
      <w:r w:rsidRPr="00DB4961">
        <w:rPr>
          <w:rFonts w:ascii="Arial" w:hAnsi="Arial" w:cs="Arial"/>
          <w:sz w:val="20"/>
          <w:szCs w:val="20"/>
        </w:rPr>
        <w:t>Nanosponges</w:t>
      </w:r>
      <w:proofErr w:type="spellEnd"/>
      <w:r w:rsidRPr="00DB4961">
        <w:rPr>
          <w:rFonts w:ascii="Arial" w:hAnsi="Arial" w:cs="Arial"/>
          <w:sz w:val="20"/>
          <w:szCs w:val="20"/>
        </w:rPr>
        <w:t xml:space="preserve"> for Improved Topical Delivery System. International Journal </w:t>
      </w:r>
      <w:proofErr w:type="gramStart"/>
      <w:r w:rsidRPr="00DB4961">
        <w:rPr>
          <w:rFonts w:ascii="Arial" w:hAnsi="Arial" w:cs="Arial"/>
          <w:sz w:val="20"/>
          <w:szCs w:val="20"/>
        </w:rPr>
        <w:t>Of</w:t>
      </w:r>
      <w:proofErr w:type="gramEnd"/>
      <w:r w:rsidRPr="00DB4961">
        <w:rPr>
          <w:rFonts w:ascii="Arial" w:hAnsi="Arial" w:cs="Arial"/>
          <w:sz w:val="20"/>
          <w:szCs w:val="20"/>
        </w:rPr>
        <w:t xml:space="preserve"> Drug Delivery Technology. 2022;12(01):8-14.</w:t>
      </w:r>
    </w:p>
    <w:p w14:paraId="600EAEBD"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Hens B, Brouwers J, </w:t>
      </w:r>
      <w:proofErr w:type="spellStart"/>
      <w:r w:rsidRPr="00DB4961">
        <w:rPr>
          <w:rFonts w:ascii="Arial" w:hAnsi="Arial" w:cs="Arial"/>
          <w:sz w:val="20"/>
          <w:szCs w:val="20"/>
        </w:rPr>
        <w:t>Corsetti</w:t>
      </w:r>
      <w:proofErr w:type="spellEnd"/>
      <w:r w:rsidRPr="00DB4961">
        <w:rPr>
          <w:rFonts w:ascii="Arial" w:hAnsi="Arial" w:cs="Arial"/>
          <w:sz w:val="20"/>
          <w:szCs w:val="20"/>
        </w:rPr>
        <w:t xml:space="preserve"> M, </w:t>
      </w:r>
      <w:proofErr w:type="spellStart"/>
      <w:r w:rsidRPr="00DB4961">
        <w:rPr>
          <w:rFonts w:ascii="Arial" w:hAnsi="Arial" w:cs="Arial"/>
          <w:sz w:val="20"/>
          <w:szCs w:val="20"/>
        </w:rPr>
        <w:t>Augustijns</w:t>
      </w:r>
      <w:proofErr w:type="spellEnd"/>
      <w:r w:rsidRPr="00DB4961">
        <w:rPr>
          <w:rFonts w:ascii="Arial" w:hAnsi="Arial" w:cs="Arial"/>
          <w:sz w:val="20"/>
          <w:szCs w:val="20"/>
        </w:rPr>
        <w:t xml:space="preserve"> P. Supersaturation and Precipitation of Posaconazole Upon Entry in the Upper Small Intestine in Humans. J Pharm Sci [Internet]. 2016;105(9):2677–84</w:t>
      </w:r>
    </w:p>
    <w:p w14:paraId="2E526918"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M. Vimal Kumar Varma and </w:t>
      </w:r>
      <w:proofErr w:type="spellStart"/>
      <w:proofErr w:type="gramStart"/>
      <w:r w:rsidRPr="00DB4961">
        <w:rPr>
          <w:rFonts w:ascii="Arial" w:hAnsi="Arial" w:cs="Arial"/>
          <w:sz w:val="20"/>
          <w:szCs w:val="20"/>
        </w:rPr>
        <w:t>P.Amareshwar</w:t>
      </w:r>
      <w:proofErr w:type="spellEnd"/>
      <w:proofErr w:type="gramEnd"/>
      <w:r w:rsidRPr="00DB4961">
        <w:rPr>
          <w:rFonts w:ascii="Arial" w:hAnsi="Arial" w:cs="Arial"/>
          <w:sz w:val="20"/>
          <w:szCs w:val="20"/>
        </w:rPr>
        <w:t>. Current Pharma Research. Curr Pharma Res. 2011;1(4):300–5.</w:t>
      </w:r>
    </w:p>
    <w:p w14:paraId="6CF0C9C0" w14:textId="710C9B69" w:rsidR="00842768" w:rsidRPr="00DB4961" w:rsidRDefault="00842768" w:rsidP="002154E1">
      <w:pPr>
        <w:pStyle w:val="ListParagraph"/>
        <w:numPr>
          <w:ilvl w:val="0"/>
          <w:numId w:val="8"/>
        </w:numPr>
        <w:ind w:left="284"/>
        <w:jc w:val="both"/>
        <w:rPr>
          <w:rFonts w:ascii="Arial" w:hAnsi="Arial" w:cs="Arial"/>
          <w:sz w:val="20"/>
          <w:szCs w:val="20"/>
        </w:rPr>
      </w:pPr>
      <w:proofErr w:type="spellStart"/>
      <w:r w:rsidRPr="00DB4961">
        <w:rPr>
          <w:rFonts w:ascii="Arial" w:hAnsi="Arial" w:cs="Arial"/>
          <w:sz w:val="20"/>
          <w:szCs w:val="20"/>
        </w:rPr>
        <w:t>Shringirishi</w:t>
      </w:r>
      <w:proofErr w:type="spellEnd"/>
      <w:r w:rsidRPr="00DB4961">
        <w:rPr>
          <w:rFonts w:ascii="Arial" w:hAnsi="Arial" w:cs="Arial"/>
          <w:sz w:val="20"/>
          <w:szCs w:val="20"/>
        </w:rPr>
        <w:t xml:space="preserve"> M, </w:t>
      </w:r>
      <w:proofErr w:type="spellStart"/>
      <w:r w:rsidRPr="00DB4961">
        <w:rPr>
          <w:rFonts w:ascii="Arial" w:hAnsi="Arial" w:cs="Arial"/>
          <w:sz w:val="20"/>
          <w:szCs w:val="20"/>
        </w:rPr>
        <w:t>Mahor</w:t>
      </w:r>
      <w:proofErr w:type="spellEnd"/>
      <w:r w:rsidRPr="00DB4961">
        <w:rPr>
          <w:rFonts w:ascii="Arial" w:hAnsi="Arial" w:cs="Arial"/>
          <w:sz w:val="20"/>
          <w:szCs w:val="20"/>
        </w:rPr>
        <w:t xml:space="preserve"> A, Gupta R, Prajapati SK, Bansal K, </w:t>
      </w:r>
      <w:proofErr w:type="spellStart"/>
      <w:r w:rsidRPr="00DB4961">
        <w:rPr>
          <w:rFonts w:ascii="Arial" w:hAnsi="Arial" w:cs="Arial"/>
          <w:sz w:val="20"/>
          <w:szCs w:val="20"/>
        </w:rPr>
        <w:t>Kesharwani</w:t>
      </w:r>
      <w:proofErr w:type="spellEnd"/>
      <w:r w:rsidRPr="00DB4961">
        <w:rPr>
          <w:rFonts w:ascii="Arial" w:hAnsi="Arial" w:cs="Arial"/>
          <w:sz w:val="20"/>
          <w:szCs w:val="20"/>
        </w:rPr>
        <w:t xml:space="preserve"> P. Fabrication and characterization of nifedipine loaded β-cyclodextrin </w:t>
      </w:r>
      <w:proofErr w:type="spellStart"/>
      <w:r w:rsidRPr="00DB4961">
        <w:rPr>
          <w:rFonts w:ascii="Arial" w:hAnsi="Arial" w:cs="Arial"/>
          <w:sz w:val="20"/>
          <w:szCs w:val="20"/>
        </w:rPr>
        <w:t>nanosponges</w:t>
      </w:r>
      <w:proofErr w:type="spellEnd"/>
      <w:r w:rsidRPr="00DB4961">
        <w:rPr>
          <w:rFonts w:ascii="Arial" w:hAnsi="Arial" w:cs="Arial"/>
          <w:sz w:val="20"/>
          <w:szCs w:val="20"/>
        </w:rPr>
        <w:t xml:space="preserve">: An in vitro and in vivo evaluation. J Drug Deliv Sci Technol [Internet]. </w:t>
      </w:r>
      <w:proofErr w:type="gramStart"/>
      <w:r w:rsidRPr="00DB4961">
        <w:rPr>
          <w:rFonts w:ascii="Arial" w:hAnsi="Arial" w:cs="Arial"/>
          <w:sz w:val="20"/>
          <w:szCs w:val="20"/>
        </w:rPr>
        <w:t>2017;41:344</w:t>
      </w:r>
      <w:proofErr w:type="gramEnd"/>
      <w:r w:rsidRPr="00DB4961">
        <w:rPr>
          <w:rFonts w:ascii="Arial" w:hAnsi="Arial" w:cs="Arial"/>
          <w:sz w:val="20"/>
          <w:szCs w:val="20"/>
        </w:rPr>
        <w:t>–50.</w:t>
      </w:r>
    </w:p>
    <w:p w14:paraId="6C78B9F1" w14:textId="77777777" w:rsidR="00842768" w:rsidRPr="00DB4961" w:rsidRDefault="00842768" w:rsidP="002154E1">
      <w:pPr>
        <w:pStyle w:val="ListParagraph"/>
        <w:numPr>
          <w:ilvl w:val="0"/>
          <w:numId w:val="8"/>
        </w:numPr>
        <w:ind w:left="284"/>
        <w:jc w:val="both"/>
        <w:rPr>
          <w:rFonts w:ascii="Arial" w:hAnsi="Arial" w:cs="Arial"/>
          <w:sz w:val="20"/>
          <w:szCs w:val="20"/>
        </w:rPr>
      </w:pPr>
      <w:proofErr w:type="spellStart"/>
      <w:r w:rsidRPr="00DB4961">
        <w:rPr>
          <w:rFonts w:ascii="Arial" w:hAnsi="Arial" w:cs="Arial"/>
          <w:sz w:val="20"/>
          <w:szCs w:val="20"/>
        </w:rPr>
        <w:t>Stefanache</w:t>
      </w:r>
      <w:proofErr w:type="spellEnd"/>
      <w:r w:rsidRPr="00DB4961">
        <w:rPr>
          <w:rFonts w:ascii="Arial" w:hAnsi="Arial" w:cs="Arial"/>
          <w:sz w:val="20"/>
          <w:szCs w:val="20"/>
        </w:rPr>
        <w:t xml:space="preserve"> A, </w:t>
      </w:r>
      <w:proofErr w:type="spellStart"/>
      <w:r w:rsidRPr="00DB4961">
        <w:rPr>
          <w:rFonts w:ascii="Arial" w:hAnsi="Arial" w:cs="Arial"/>
          <w:sz w:val="20"/>
          <w:szCs w:val="20"/>
        </w:rPr>
        <w:t>Ignat</w:t>
      </w:r>
      <w:proofErr w:type="spellEnd"/>
      <w:r w:rsidRPr="00DB4961">
        <w:rPr>
          <w:rFonts w:ascii="Arial" w:hAnsi="Arial" w:cs="Arial"/>
          <w:sz w:val="20"/>
          <w:szCs w:val="20"/>
        </w:rPr>
        <w:t xml:space="preserve"> M, </w:t>
      </w:r>
      <w:proofErr w:type="spellStart"/>
      <w:r w:rsidRPr="00DB4961">
        <w:rPr>
          <w:rFonts w:ascii="Arial" w:hAnsi="Arial" w:cs="Arial"/>
          <w:sz w:val="20"/>
          <w:szCs w:val="20"/>
        </w:rPr>
        <w:t>Peptu</w:t>
      </w:r>
      <w:proofErr w:type="spellEnd"/>
      <w:r w:rsidRPr="00DB4961">
        <w:rPr>
          <w:rFonts w:ascii="Arial" w:hAnsi="Arial" w:cs="Arial"/>
          <w:sz w:val="20"/>
          <w:szCs w:val="20"/>
        </w:rPr>
        <w:t xml:space="preserve"> CA, Diaconu A, </w:t>
      </w:r>
      <w:proofErr w:type="spellStart"/>
      <w:r w:rsidRPr="00DB4961">
        <w:rPr>
          <w:rFonts w:ascii="Arial" w:hAnsi="Arial" w:cs="Arial"/>
          <w:sz w:val="20"/>
          <w:szCs w:val="20"/>
        </w:rPr>
        <w:t>Stoleriu</w:t>
      </w:r>
      <w:proofErr w:type="spellEnd"/>
      <w:r w:rsidRPr="00DB4961">
        <w:rPr>
          <w:rFonts w:ascii="Arial" w:hAnsi="Arial" w:cs="Arial"/>
          <w:sz w:val="20"/>
          <w:szCs w:val="20"/>
        </w:rPr>
        <w:t xml:space="preserve"> I, </w:t>
      </w:r>
      <w:proofErr w:type="spellStart"/>
      <w:r w:rsidRPr="00DB4961">
        <w:rPr>
          <w:rFonts w:ascii="Arial" w:hAnsi="Arial" w:cs="Arial"/>
          <w:sz w:val="20"/>
          <w:szCs w:val="20"/>
        </w:rPr>
        <w:t>Ochiuz</w:t>
      </w:r>
      <w:proofErr w:type="spellEnd"/>
      <w:r w:rsidRPr="00DB4961">
        <w:rPr>
          <w:rFonts w:ascii="Arial" w:hAnsi="Arial" w:cs="Arial"/>
          <w:sz w:val="20"/>
          <w:szCs w:val="20"/>
        </w:rPr>
        <w:t xml:space="preserve"> L. Development of a prolonged-release drug delivery system with magnolol loaded in amino-functionalized mesoporous silica. Appl Sci. 2017;7(3):1–13.</w:t>
      </w:r>
    </w:p>
    <w:p w14:paraId="6E8241AB"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Osmani RAM, Kulkarni PK, Shanmuganathan S, Hani U, Srivastava A, Prerana M, et al. A 32 full factorial design for development and characterization of a </w:t>
      </w:r>
      <w:proofErr w:type="spellStart"/>
      <w:r w:rsidRPr="00DB4961">
        <w:rPr>
          <w:rFonts w:ascii="Arial" w:hAnsi="Arial" w:cs="Arial"/>
          <w:sz w:val="20"/>
          <w:szCs w:val="20"/>
        </w:rPr>
        <w:t>nanosponge</w:t>
      </w:r>
      <w:proofErr w:type="spellEnd"/>
      <w:r w:rsidRPr="00DB4961">
        <w:rPr>
          <w:rFonts w:ascii="Arial" w:hAnsi="Arial" w:cs="Arial"/>
          <w:sz w:val="20"/>
          <w:szCs w:val="20"/>
        </w:rPr>
        <w:t>-based intravaginal in situ gelling system for vulvovaginal candidiasis. RSC Adv. 2016;6(23):18737–50.</w:t>
      </w:r>
    </w:p>
    <w:p w14:paraId="161E2559"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Abbas MM, Rajab NA. Preparation and characterization of etodolac as a topical </w:t>
      </w:r>
      <w:proofErr w:type="spellStart"/>
      <w:r w:rsidRPr="00DB4961">
        <w:rPr>
          <w:rFonts w:ascii="Arial" w:hAnsi="Arial" w:cs="Arial"/>
          <w:sz w:val="20"/>
          <w:szCs w:val="20"/>
        </w:rPr>
        <w:t>nanosponges</w:t>
      </w:r>
      <w:proofErr w:type="spellEnd"/>
      <w:r w:rsidRPr="00DB4961">
        <w:rPr>
          <w:rFonts w:ascii="Arial" w:hAnsi="Arial" w:cs="Arial"/>
          <w:sz w:val="20"/>
          <w:szCs w:val="20"/>
        </w:rPr>
        <w:t xml:space="preserve"> hydrogel. Iraqi J Pharm Sci. 2019;28(1):64–74.</w:t>
      </w:r>
    </w:p>
    <w:p w14:paraId="1D8B9449"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Ahmed MM, Fatima F, Mohammed AB. Olive Oil Based </w:t>
      </w:r>
      <w:proofErr w:type="spellStart"/>
      <w:r w:rsidRPr="00DB4961">
        <w:rPr>
          <w:rFonts w:ascii="Arial" w:hAnsi="Arial" w:cs="Arial"/>
          <w:sz w:val="20"/>
          <w:szCs w:val="20"/>
        </w:rPr>
        <w:t>Organogels</w:t>
      </w:r>
      <w:proofErr w:type="spellEnd"/>
      <w:r w:rsidRPr="00DB4961">
        <w:rPr>
          <w:rFonts w:ascii="Arial" w:hAnsi="Arial" w:cs="Arial"/>
          <w:sz w:val="20"/>
          <w:szCs w:val="20"/>
        </w:rPr>
        <w:t xml:space="preserve"> for Effective Topical Delivery of Fluconazole: In-vitro Antifungal Study. J Pharm Res Int. 2020;32(25):29–36</w:t>
      </w:r>
    </w:p>
    <w:p w14:paraId="0EC47CE7" w14:textId="77777777" w:rsidR="00842768" w:rsidRPr="00DB4961" w:rsidRDefault="00842768" w:rsidP="002154E1">
      <w:pPr>
        <w:pStyle w:val="ListParagraph"/>
        <w:numPr>
          <w:ilvl w:val="0"/>
          <w:numId w:val="8"/>
        </w:numPr>
        <w:ind w:left="284"/>
        <w:jc w:val="both"/>
        <w:rPr>
          <w:rFonts w:ascii="Arial" w:hAnsi="Arial" w:cs="Arial"/>
          <w:sz w:val="20"/>
          <w:szCs w:val="20"/>
        </w:rPr>
      </w:pPr>
      <w:proofErr w:type="spellStart"/>
      <w:r w:rsidRPr="00DB4961">
        <w:rPr>
          <w:rFonts w:ascii="Arial" w:hAnsi="Arial" w:cs="Arial"/>
          <w:sz w:val="20"/>
          <w:szCs w:val="20"/>
        </w:rPr>
        <w:t>Miladi</w:t>
      </w:r>
      <w:proofErr w:type="spellEnd"/>
      <w:r w:rsidRPr="00DB4961">
        <w:rPr>
          <w:rFonts w:ascii="Arial" w:hAnsi="Arial" w:cs="Arial"/>
          <w:sz w:val="20"/>
          <w:szCs w:val="20"/>
        </w:rPr>
        <w:t xml:space="preserve"> K, </w:t>
      </w:r>
      <w:proofErr w:type="spellStart"/>
      <w:r w:rsidRPr="00DB4961">
        <w:rPr>
          <w:rFonts w:ascii="Arial" w:hAnsi="Arial" w:cs="Arial"/>
          <w:sz w:val="20"/>
          <w:szCs w:val="20"/>
        </w:rPr>
        <w:t>Sfar</w:t>
      </w:r>
      <w:proofErr w:type="spellEnd"/>
      <w:r w:rsidRPr="00DB4961">
        <w:rPr>
          <w:rFonts w:ascii="Arial" w:hAnsi="Arial" w:cs="Arial"/>
          <w:sz w:val="20"/>
          <w:szCs w:val="20"/>
        </w:rPr>
        <w:t xml:space="preserve"> S, </w:t>
      </w:r>
      <w:proofErr w:type="spellStart"/>
      <w:r w:rsidRPr="00DB4961">
        <w:rPr>
          <w:rFonts w:ascii="Arial" w:hAnsi="Arial" w:cs="Arial"/>
          <w:sz w:val="20"/>
          <w:szCs w:val="20"/>
        </w:rPr>
        <w:t>Fessi</w:t>
      </w:r>
      <w:proofErr w:type="spellEnd"/>
      <w:r w:rsidRPr="00DB4961">
        <w:rPr>
          <w:rFonts w:ascii="Arial" w:hAnsi="Arial" w:cs="Arial"/>
          <w:sz w:val="20"/>
          <w:szCs w:val="20"/>
        </w:rPr>
        <w:t xml:space="preserve"> H, </w:t>
      </w:r>
      <w:proofErr w:type="spellStart"/>
      <w:r w:rsidRPr="00DB4961">
        <w:rPr>
          <w:rFonts w:ascii="Arial" w:hAnsi="Arial" w:cs="Arial"/>
          <w:sz w:val="20"/>
          <w:szCs w:val="20"/>
        </w:rPr>
        <w:t>Elaissari</w:t>
      </w:r>
      <w:proofErr w:type="spellEnd"/>
      <w:r w:rsidRPr="00DB4961">
        <w:rPr>
          <w:rFonts w:ascii="Arial" w:hAnsi="Arial" w:cs="Arial"/>
          <w:sz w:val="20"/>
          <w:szCs w:val="20"/>
        </w:rPr>
        <w:t xml:space="preserve"> A. Encapsulation of alendronate sodium by nanoprecipitation and double emulsion: From preparation to in vitro studies. Ind Crops Prod [Internet]. </w:t>
      </w:r>
      <w:proofErr w:type="gramStart"/>
      <w:r w:rsidRPr="00DB4961">
        <w:rPr>
          <w:rFonts w:ascii="Arial" w:hAnsi="Arial" w:cs="Arial"/>
          <w:sz w:val="20"/>
          <w:szCs w:val="20"/>
        </w:rPr>
        <w:t>2015;72:24</w:t>
      </w:r>
      <w:proofErr w:type="gramEnd"/>
      <w:r w:rsidRPr="00DB4961">
        <w:rPr>
          <w:rFonts w:ascii="Arial" w:hAnsi="Arial" w:cs="Arial"/>
          <w:sz w:val="20"/>
          <w:szCs w:val="20"/>
        </w:rPr>
        <w:t>–33.</w:t>
      </w:r>
    </w:p>
    <w:p w14:paraId="22F86F3B"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Press D. Design and formulation of a topical hydrogel integrating lemongrass-loaded </w:t>
      </w:r>
      <w:proofErr w:type="spellStart"/>
      <w:r w:rsidRPr="00DB4961">
        <w:rPr>
          <w:rFonts w:ascii="Arial" w:hAnsi="Arial" w:cs="Arial"/>
          <w:sz w:val="20"/>
          <w:szCs w:val="20"/>
        </w:rPr>
        <w:t>nanosponges</w:t>
      </w:r>
      <w:proofErr w:type="spellEnd"/>
      <w:r w:rsidRPr="00DB4961">
        <w:rPr>
          <w:rFonts w:ascii="Arial" w:hAnsi="Arial" w:cs="Arial"/>
          <w:sz w:val="20"/>
          <w:szCs w:val="20"/>
        </w:rPr>
        <w:t xml:space="preserve"> with an enhanced antifungal effect: in vitro / in vivo evaluation. 2015;(January). </w:t>
      </w:r>
    </w:p>
    <w:p w14:paraId="2FCFDE96" w14:textId="77777777" w:rsidR="00842768" w:rsidRPr="00DB4961" w:rsidRDefault="00842768" w:rsidP="002154E1">
      <w:pPr>
        <w:pStyle w:val="ListParagraph"/>
        <w:numPr>
          <w:ilvl w:val="0"/>
          <w:numId w:val="8"/>
        </w:numPr>
        <w:ind w:left="284"/>
        <w:jc w:val="both"/>
        <w:rPr>
          <w:rFonts w:ascii="Arial" w:hAnsi="Arial" w:cs="Arial"/>
          <w:sz w:val="20"/>
          <w:szCs w:val="20"/>
        </w:rPr>
      </w:pPr>
      <w:proofErr w:type="spellStart"/>
      <w:r w:rsidRPr="00DB4961">
        <w:rPr>
          <w:rFonts w:ascii="Arial" w:hAnsi="Arial" w:cs="Arial"/>
          <w:sz w:val="20"/>
          <w:szCs w:val="20"/>
        </w:rPr>
        <w:t>Bohrey</w:t>
      </w:r>
      <w:proofErr w:type="spellEnd"/>
      <w:r w:rsidRPr="00DB4961">
        <w:rPr>
          <w:rFonts w:ascii="Arial" w:hAnsi="Arial" w:cs="Arial"/>
          <w:sz w:val="20"/>
          <w:szCs w:val="20"/>
        </w:rPr>
        <w:t xml:space="preserve"> S, </w:t>
      </w:r>
      <w:proofErr w:type="spellStart"/>
      <w:r w:rsidRPr="00DB4961">
        <w:rPr>
          <w:rFonts w:ascii="Arial" w:hAnsi="Arial" w:cs="Arial"/>
          <w:sz w:val="20"/>
          <w:szCs w:val="20"/>
        </w:rPr>
        <w:t>Chourasiya</w:t>
      </w:r>
      <w:proofErr w:type="spellEnd"/>
      <w:r w:rsidRPr="00DB4961">
        <w:rPr>
          <w:rFonts w:ascii="Arial" w:hAnsi="Arial" w:cs="Arial"/>
          <w:sz w:val="20"/>
          <w:szCs w:val="20"/>
        </w:rPr>
        <w:t xml:space="preserve"> V, Pandey A. Polymeric nanoparticles containing diazepam: Preparation, optimization, characterization, in-vitro drug release and release kinetic study. Nano </w:t>
      </w:r>
      <w:proofErr w:type="spellStart"/>
      <w:r w:rsidRPr="00DB4961">
        <w:rPr>
          <w:rFonts w:ascii="Arial" w:hAnsi="Arial" w:cs="Arial"/>
          <w:sz w:val="20"/>
          <w:szCs w:val="20"/>
        </w:rPr>
        <w:t>Converg</w:t>
      </w:r>
      <w:proofErr w:type="spellEnd"/>
      <w:r w:rsidRPr="00DB4961">
        <w:rPr>
          <w:rFonts w:ascii="Arial" w:hAnsi="Arial" w:cs="Arial"/>
          <w:sz w:val="20"/>
          <w:szCs w:val="20"/>
        </w:rPr>
        <w:t>. 2016;3(1):3–9</w:t>
      </w:r>
    </w:p>
    <w:p w14:paraId="549AE427"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Tang P, Wang L, Ma X, Xu K, Xiong X, Liao X, et al. Characterization and In Vitro Evaluation of the Complexes of Posaconazole with β- and 2,6-di-O-methyl-β-cyclodextrin. AAPS </w:t>
      </w:r>
      <w:proofErr w:type="spellStart"/>
      <w:r w:rsidRPr="00DB4961">
        <w:rPr>
          <w:rFonts w:ascii="Arial" w:hAnsi="Arial" w:cs="Arial"/>
          <w:sz w:val="20"/>
          <w:szCs w:val="20"/>
        </w:rPr>
        <w:t>PharmSciTech</w:t>
      </w:r>
      <w:proofErr w:type="spellEnd"/>
      <w:r w:rsidRPr="00DB4961">
        <w:rPr>
          <w:rFonts w:ascii="Arial" w:hAnsi="Arial" w:cs="Arial"/>
          <w:sz w:val="20"/>
          <w:szCs w:val="20"/>
        </w:rPr>
        <w:t>. 2017;18(1):104–114.</w:t>
      </w:r>
    </w:p>
    <w:p w14:paraId="552F86D5" w14:textId="77777777"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Amin OM, Ammar A, </w:t>
      </w:r>
      <w:proofErr w:type="spellStart"/>
      <w:r w:rsidRPr="00DB4961">
        <w:rPr>
          <w:rFonts w:ascii="Arial" w:hAnsi="Arial" w:cs="Arial"/>
          <w:sz w:val="20"/>
          <w:szCs w:val="20"/>
        </w:rPr>
        <w:t>Eladawy</w:t>
      </w:r>
      <w:proofErr w:type="spellEnd"/>
      <w:r w:rsidRPr="00DB4961">
        <w:rPr>
          <w:rFonts w:ascii="Arial" w:hAnsi="Arial" w:cs="Arial"/>
          <w:sz w:val="20"/>
          <w:szCs w:val="20"/>
        </w:rPr>
        <w:t xml:space="preserve"> SA. Febuxostat loaded β-cyclodextrin based </w:t>
      </w:r>
      <w:proofErr w:type="spellStart"/>
      <w:r w:rsidRPr="00DB4961">
        <w:rPr>
          <w:rFonts w:ascii="Arial" w:hAnsi="Arial" w:cs="Arial"/>
          <w:sz w:val="20"/>
          <w:szCs w:val="20"/>
        </w:rPr>
        <w:t>nanosponge</w:t>
      </w:r>
      <w:proofErr w:type="spellEnd"/>
      <w:r w:rsidRPr="00DB4961">
        <w:rPr>
          <w:rFonts w:ascii="Arial" w:hAnsi="Arial" w:cs="Arial"/>
          <w:sz w:val="20"/>
          <w:szCs w:val="20"/>
        </w:rPr>
        <w:t xml:space="preserve"> tablet: an in vitro and in vivo evaluation. J Pharm </w:t>
      </w:r>
      <w:proofErr w:type="spellStart"/>
      <w:r w:rsidRPr="00DB4961">
        <w:rPr>
          <w:rFonts w:ascii="Arial" w:hAnsi="Arial" w:cs="Arial"/>
          <w:sz w:val="20"/>
          <w:szCs w:val="20"/>
        </w:rPr>
        <w:t>Investig</w:t>
      </w:r>
      <w:proofErr w:type="spellEnd"/>
      <w:r w:rsidRPr="00DB4961">
        <w:rPr>
          <w:rFonts w:ascii="Arial" w:hAnsi="Arial" w:cs="Arial"/>
          <w:sz w:val="20"/>
          <w:szCs w:val="20"/>
        </w:rPr>
        <w:t xml:space="preserve"> [Internet]. 2020;50(4):399–</w:t>
      </w:r>
      <w:proofErr w:type="gramStart"/>
      <w:r w:rsidRPr="00DB4961">
        <w:rPr>
          <w:rFonts w:ascii="Arial" w:hAnsi="Arial" w:cs="Arial"/>
          <w:sz w:val="20"/>
          <w:szCs w:val="20"/>
        </w:rPr>
        <w:t>411.(</w:t>
      </w:r>
      <w:proofErr w:type="spellStart"/>
      <w:proofErr w:type="gramEnd"/>
      <w:r w:rsidRPr="00DB4961">
        <w:rPr>
          <w:rFonts w:ascii="Arial" w:hAnsi="Arial" w:cs="Arial"/>
          <w:sz w:val="20"/>
          <w:szCs w:val="20"/>
        </w:rPr>
        <w:t>sem</w:t>
      </w:r>
      <w:proofErr w:type="spellEnd"/>
      <w:r w:rsidRPr="00DB4961">
        <w:rPr>
          <w:rFonts w:ascii="Arial" w:hAnsi="Arial" w:cs="Arial"/>
          <w:sz w:val="20"/>
          <w:szCs w:val="20"/>
        </w:rPr>
        <w:t xml:space="preserve"> </w:t>
      </w:r>
      <w:proofErr w:type="spellStart"/>
      <w:r w:rsidRPr="00DB4961">
        <w:rPr>
          <w:rFonts w:ascii="Arial" w:hAnsi="Arial" w:cs="Arial"/>
          <w:sz w:val="20"/>
          <w:szCs w:val="20"/>
        </w:rPr>
        <w:t>eva</w:t>
      </w:r>
      <w:proofErr w:type="spellEnd"/>
      <w:r w:rsidRPr="00DB4961">
        <w:rPr>
          <w:rFonts w:ascii="Arial" w:hAnsi="Arial" w:cs="Arial"/>
          <w:sz w:val="20"/>
          <w:szCs w:val="20"/>
        </w:rPr>
        <w:t>)</w:t>
      </w:r>
    </w:p>
    <w:p w14:paraId="1B546AFA" w14:textId="2CDF9EB6" w:rsidR="00842768" w:rsidRPr="00DB4961" w:rsidRDefault="00842768" w:rsidP="002154E1">
      <w:pPr>
        <w:pStyle w:val="ListParagraph"/>
        <w:numPr>
          <w:ilvl w:val="0"/>
          <w:numId w:val="8"/>
        </w:numPr>
        <w:ind w:left="284"/>
        <w:jc w:val="both"/>
        <w:rPr>
          <w:rFonts w:ascii="Arial" w:hAnsi="Arial" w:cs="Arial"/>
          <w:sz w:val="20"/>
          <w:szCs w:val="20"/>
        </w:rPr>
      </w:pPr>
      <w:r w:rsidRPr="00DB4961">
        <w:rPr>
          <w:rFonts w:ascii="Arial" w:hAnsi="Arial" w:cs="Arial"/>
          <w:sz w:val="20"/>
          <w:szCs w:val="20"/>
        </w:rPr>
        <w:t xml:space="preserve">Hayder Kadhim Drais. Design and Evaluation of Nystatin Gel Based Emulsion for </w:t>
      </w:r>
      <w:proofErr w:type="spellStart"/>
      <w:r w:rsidRPr="00DB4961">
        <w:rPr>
          <w:rFonts w:ascii="Arial" w:hAnsi="Arial" w:cs="Arial"/>
          <w:sz w:val="20"/>
          <w:szCs w:val="20"/>
        </w:rPr>
        <w:t>Oromucosal</w:t>
      </w:r>
      <w:proofErr w:type="spellEnd"/>
      <w:r w:rsidRPr="00DB4961">
        <w:rPr>
          <w:rFonts w:ascii="Arial" w:hAnsi="Arial" w:cs="Arial"/>
          <w:sz w:val="20"/>
          <w:szCs w:val="20"/>
        </w:rPr>
        <w:t xml:space="preserve"> Fungal Infection. World J Pharm </w:t>
      </w:r>
      <w:proofErr w:type="spellStart"/>
      <w:r w:rsidRPr="00DB4961">
        <w:rPr>
          <w:rFonts w:ascii="Arial" w:hAnsi="Arial" w:cs="Arial"/>
          <w:sz w:val="20"/>
          <w:szCs w:val="20"/>
        </w:rPr>
        <w:t>Pharm</w:t>
      </w:r>
      <w:proofErr w:type="spellEnd"/>
      <w:r w:rsidRPr="00DB4961">
        <w:rPr>
          <w:rFonts w:ascii="Arial" w:hAnsi="Arial" w:cs="Arial"/>
          <w:sz w:val="20"/>
          <w:szCs w:val="20"/>
        </w:rPr>
        <w:t xml:space="preserve"> Sci. 2016;5(6):297–307 </w:t>
      </w:r>
    </w:p>
    <w:p w14:paraId="1098CB3F" w14:textId="77777777" w:rsidR="00842768" w:rsidRPr="00CE5B93" w:rsidRDefault="00842768" w:rsidP="0040443E">
      <w:pPr>
        <w:ind w:left="284"/>
        <w:rPr>
          <w:rFonts w:ascii="Arial" w:hAnsi="Arial" w:cs="Arial"/>
          <w:sz w:val="20"/>
          <w:szCs w:val="20"/>
        </w:rPr>
      </w:pPr>
    </w:p>
    <w:p w14:paraId="50B9DBDE" w14:textId="77777777" w:rsidR="00842768" w:rsidRPr="00CE5B93" w:rsidRDefault="00842768" w:rsidP="00842768">
      <w:pPr>
        <w:rPr>
          <w:rFonts w:ascii="Arial" w:hAnsi="Arial" w:cs="Arial"/>
          <w:sz w:val="20"/>
          <w:szCs w:val="20"/>
        </w:rPr>
      </w:pPr>
    </w:p>
    <w:p w14:paraId="0534C565" w14:textId="77777777" w:rsidR="00842768" w:rsidRPr="00CE5B93" w:rsidRDefault="00842768" w:rsidP="00842768">
      <w:pPr>
        <w:rPr>
          <w:rFonts w:ascii="Arial" w:hAnsi="Arial" w:cs="Arial"/>
          <w:sz w:val="20"/>
          <w:szCs w:val="20"/>
        </w:rPr>
      </w:pPr>
    </w:p>
    <w:p w14:paraId="36EE02D4" w14:textId="77777777" w:rsidR="00842768" w:rsidRPr="00CE5B93" w:rsidRDefault="00842768" w:rsidP="005E6412">
      <w:pPr>
        <w:jc w:val="both"/>
        <w:rPr>
          <w:rFonts w:ascii="Arial" w:hAnsi="Arial" w:cs="Arial"/>
          <w:sz w:val="20"/>
          <w:szCs w:val="20"/>
        </w:rPr>
      </w:pPr>
    </w:p>
    <w:p w14:paraId="6F33FC58" w14:textId="77777777" w:rsidR="00696819" w:rsidRPr="00CE5B93" w:rsidRDefault="00696819" w:rsidP="005E6412">
      <w:pPr>
        <w:jc w:val="both"/>
        <w:rPr>
          <w:rFonts w:ascii="Arial" w:hAnsi="Arial" w:cs="Arial"/>
          <w:sz w:val="20"/>
          <w:szCs w:val="20"/>
        </w:rPr>
      </w:pPr>
    </w:p>
    <w:p w14:paraId="71014848" w14:textId="77777777" w:rsidR="00AE3945" w:rsidRPr="00CE5B93" w:rsidRDefault="00AE3945" w:rsidP="005E6412">
      <w:pPr>
        <w:jc w:val="both"/>
        <w:rPr>
          <w:rFonts w:ascii="Arial" w:hAnsi="Arial" w:cs="Arial"/>
          <w:sz w:val="20"/>
          <w:szCs w:val="20"/>
        </w:rPr>
      </w:pPr>
    </w:p>
    <w:p w14:paraId="5F0CC35B" w14:textId="77777777" w:rsidR="00AE3945" w:rsidRPr="00CE5B93" w:rsidRDefault="00AE3945" w:rsidP="005E6412">
      <w:pPr>
        <w:jc w:val="both"/>
        <w:rPr>
          <w:rFonts w:ascii="Arial" w:hAnsi="Arial" w:cs="Arial"/>
          <w:sz w:val="20"/>
          <w:szCs w:val="20"/>
        </w:rPr>
      </w:pPr>
    </w:p>
    <w:p w14:paraId="7006A420" w14:textId="77777777" w:rsidR="00AE3945" w:rsidRPr="00CE5B93" w:rsidRDefault="00AE3945" w:rsidP="005E6412">
      <w:pPr>
        <w:jc w:val="both"/>
        <w:rPr>
          <w:rFonts w:ascii="Arial" w:hAnsi="Arial" w:cs="Arial"/>
          <w:sz w:val="20"/>
          <w:szCs w:val="20"/>
        </w:rPr>
      </w:pPr>
    </w:p>
    <w:p w14:paraId="495E6463" w14:textId="77777777" w:rsidR="00AE3945" w:rsidRPr="00CE5B93" w:rsidRDefault="00AE3945" w:rsidP="005E6412">
      <w:pPr>
        <w:jc w:val="both"/>
        <w:rPr>
          <w:rFonts w:ascii="Arial" w:hAnsi="Arial" w:cs="Arial"/>
          <w:sz w:val="20"/>
          <w:szCs w:val="20"/>
        </w:rPr>
      </w:pPr>
    </w:p>
    <w:p w14:paraId="75617BCF" w14:textId="77777777" w:rsidR="00AE3945" w:rsidRPr="00CE5B93" w:rsidRDefault="00AE3945" w:rsidP="005E6412">
      <w:pPr>
        <w:jc w:val="both"/>
        <w:rPr>
          <w:rFonts w:ascii="Arial" w:hAnsi="Arial" w:cs="Arial"/>
          <w:sz w:val="20"/>
          <w:szCs w:val="20"/>
        </w:rPr>
      </w:pPr>
    </w:p>
    <w:p w14:paraId="68590ECA" w14:textId="77777777" w:rsidR="00AE3945" w:rsidRPr="00CE5B93" w:rsidRDefault="00AE3945" w:rsidP="005E6412">
      <w:pPr>
        <w:jc w:val="both"/>
        <w:rPr>
          <w:rFonts w:ascii="Arial" w:hAnsi="Arial" w:cs="Arial"/>
          <w:sz w:val="20"/>
          <w:szCs w:val="20"/>
        </w:rPr>
      </w:pPr>
    </w:p>
    <w:p w14:paraId="7FDDBA67" w14:textId="77777777" w:rsidR="00AE3945" w:rsidRPr="00CE5B93" w:rsidRDefault="00AE3945" w:rsidP="005E6412">
      <w:pPr>
        <w:jc w:val="both"/>
        <w:rPr>
          <w:rFonts w:ascii="Arial" w:hAnsi="Arial" w:cs="Arial"/>
          <w:sz w:val="20"/>
          <w:szCs w:val="20"/>
        </w:rPr>
      </w:pPr>
    </w:p>
    <w:p w14:paraId="07960261" w14:textId="77777777" w:rsidR="00AE3945" w:rsidRPr="00CE5B93" w:rsidRDefault="00AE3945" w:rsidP="005E6412">
      <w:pPr>
        <w:jc w:val="both"/>
        <w:rPr>
          <w:rFonts w:ascii="Arial" w:hAnsi="Arial" w:cs="Arial"/>
          <w:sz w:val="20"/>
          <w:szCs w:val="20"/>
        </w:rPr>
      </w:pPr>
    </w:p>
    <w:p w14:paraId="3438F97E" w14:textId="77777777" w:rsidR="00AE3945" w:rsidRPr="00CE5B93" w:rsidRDefault="00AE3945" w:rsidP="005E6412">
      <w:pPr>
        <w:jc w:val="both"/>
        <w:rPr>
          <w:rFonts w:ascii="Arial" w:hAnsi="Arial" w:cs="Arial"/>
          <w:sz w:val="20"/>
          <w:szCs w:val="20"/>
        </w:rPr>
      </w:pPr>
    </w:p>
    <w:p w14:paraId="0422FB85" w14:textId="77777777" w:rsidR="00AE3945" w:rsidRPr="00CE5B93" w:rsidRDefault="00AE3945" w:rsidP="005E6412">
      <w:pPr>
        <w:jc w:val="both"/>
        <w:rPr>
          <w:rFonts w:ascii="Arial" w:hAnsi="Arial" w:cs="Arial"/>
          <w:sz w:val="20"/>
          <w:szCs w:val="20"/>
        </w:rPr>
      </w:pPr>
    </w:p>
    <w:p w14:paraId="25DFCB5A" w14:textId="77777777" w:rsidR="00AE3945" w:rsidRPr="00CE5B93" w:rsidRDefault="00AE3945" w:rsidP="005E6412">
      <w:pPr>
        <w:jc w:val="both"/>
        <w:rPr>
          <w:rFonts w:ascii="Arial" w:hAnsi="Arial" w:cs="Arial"/>
          <w:sz w:val="20"/>
          <w:szCs w:val="20"/>
        </w:rPr>
      </w:pPr>
    </w:p>
    <w:p w14:paraId="42D8EACF" w14:textId="77777777" w:rsidR="00AE3945" w:rsidRPr="00CE5B93" w:rsidRDefault="00AE3945" w:rsidP="005E6412">
      <w:pPr>
        <w:jc w:val="both"/>
        <w:rPr>
          <w:rFonts w:ascii="Arial" w:hAnsi="Arial" w:cs="Arial"/>
          <w:sz w:val="20"/>
          <w:szCs w:val="20"/>
        </w:rPr>
      </w:pPr>
    </w:p>
    <w:p w14:paraId="351B8371" w14:textId="77777777" w:rsidR="00AE3945" w:rsidRPr="00CE5B93" w:rsidRDefault="00AE3945" w:rsidP="005E6412">
      <w:pPr>
        <w:jc w:val="both"/>
        <w:rPr>
          <w:rFonts w:ascii="Arial" w:hAnsi="Arial" w:cs="Arial"/>
          <w:sz w:val="20"/>
          <w:szCs w:val="20"/>
        </w:rPr>
      </w:pPr>
    </w:p>
    <w:p w14:paraId="1FCDC1D5" w14:textId="77777777" w:rsidR="00AE3945" w:rsidRPr="00CE5B93" w:rsidRDefault="00AE3945" w:rsidP="005E6412">
      <w:pPr>
        <w:jc w:val="both"/>
        <w:rPr>
          <w:rFonts w:ascii="Arial" w:hAnsi="Arial" w:cs="Arial"/>
          <w:sz w:val="20"/>
          <w:szCs w:val="20"/>
        </w:rPr>
      </w:pPr>
    </w:p>
    <w:p w14:paraId="786D9766" w14:textId="77777777" w:rsidR="00AE3945" w:rsidRPr="00CE5B93" w:rsidRDefault="00AE3945" w:rsidP="005E6412">
      <w:pPr>
        <w:jc w:val="both"/>
        <w:rPr>
          <w:rFonts w:ascii="Arial" w:hAnsi="Arial" w:cs="Arial"/>
          <w:sz w:val="20"/>
          <w:szCs w:val="20"/>
        </w:rPr>
      </w:pPr>
    </w:p>
    <w:p w14:paraId="485D76D7" w14:textId="77777777" w:rsidR="00AE3945" w:rsidRPr="00CE5B93" w:rsidRDefault="00AE3945" w:rsidP="005E6412">
      <w:pPr>
        <w:jc w:val="both"/>
        <w:rPr>
          <w:rFonts w:ascii="Arial" w:hAnsi="Arial" w:cs="Arial"/>
          <w:sz w:val="20"/>
          <w:szCs w:val="20"/>
        </w:rPr>
      </w:pPr>
    </w:p>
    <w:sectPr w:rsidR="00AE3945" w:rsidRPr="00CE5B93" w:rsidSect="001E1279">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97559" w14:textId="77777777" w:rsidR="00F478BC" w:rsidRDefault="00F478BC" w:rsidP="00A32C16">
      <w:pPr>
        <w:spacing w:after="0" w:line="240" w:lineRule="auto"/>
      </w:pPr>
      <w:r>
        <w:separator/>
      </w:r>
    </w:p>
  </w:endnote>
  <w:endnote w:type="continuationSeparator" w:id="0">
    <w:p w14:paraId="6F4D5C6B" w14:textId="77777777" w:rsidR="00F478BC" w:rsidRDefault="00F478BC" w:rsidP="00A32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8FCB8" w14:textId="77777777" w:rsidR="00BC2D76" w:rsidRDefault="00BC2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89859" w14:textId="77777777" w:rsidR="005D63E1" w:rsidRDefault="005D63E1" w:rsidP="00B372E1">
    <w:pPr>
      <w:jc w:val="both"/>
    </w:pPr>
  </w:p>
  <w:p w14:paraId="4CECFF84" w14:textId="070720B2" w:rsidR="00A32C16" w:rsidRDefault="00A32C16">
    <w:pPr>
      <w:pStyle w:val="Footer"/>
    </w:pPr>
  </w:p>
  <w:p w14:paraId="4CF640B0" w14:textId="77777777" w:rsidR="00A32C16" w:rsidRDefault="00A32C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132B0" w14:textId="77777777" w:rsidR="00BC2D76" w:rsidRDefault="00BC2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2BA4F" w14:textId="77777777" w:rsidR="00F478BC" w:rsidRDefault="00F478BC" w:rsidP="00A32C16">
      <w:pPr>
        <w:spacing w:after="0" w:line="240" w:lineRule="auto"/>
      </w:pPr>
      <w:r>
        <w:separator/>
      </w:r>
    </w:p>
  </w:footnote>
  <w:footnote w:type="continuationSeparator" w:id="0">
    <w:p w14:paraId="5864B8EA" w14:textId="77777777" w:rsidR="00F478BC" w:rsidRDefault="00F478BC" w:rsidP="00A32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2B7AD" w14:textId="18527C9D" w:rsidR="00BC2D76" w:rsidRDefault="00BC2D76">
    <w:pPr>
      <w:pStyle w:val="Header"/>
    </w:pPr>
    <w:r>
      <w:rPr>
        <w:noProof/>
      </w:rPr>
      <w:pict w14:anchorId="50062F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54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33D7B" w14:textId="77BE5ED9" w:rsidR="00BC2D76" w:rsidRDefault="00BC2D76">
    <w:pPr>
      <w:pStyle w:val="Header"/>
    </w:pPr>
    <w:r>
      <w:rPr>
        <w:noProof/>
      </w:rPr>
      <w:pict w14:anchorId="2C3B3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54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EF6B3" w14:textId="7CBCC149" w:rsidR="00BC2D76" w:rsidRDefault="00BC2D76">
    <w:pPr>
      <w:pStyle w:val="Header"/>
    </w:pPr>
    <w:r>
      <w:rPr>
        <w:noProof/>
      </w:rPr>
      <w:pict w14:anchorId="3E4F2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54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67D23"/>
    <w:multiLevelType w:val="hybridMultilevel"/>
    <w:tmpl w:val="294E0FD0"/>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AD2683"/>
    <w:multiLevelType w:val="hybridMultilevel"/>
    <w:tmpl w:val="AC584F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FF61164"/>
    <w:multiLevelType w:val="hybridMultilevel"/>
    <w:tmpl w:val="A9D849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AEB2B3F"/>
    <w:multiLevelType w:val="multilevel"/>
    <w:tmpl w:val="D51ACC4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6AD3AD1"/>
    <w:multiLevelType w:val="hybridMultilevel"/>
    <w:tmpl w:val="1D48CF1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7BE25A3"/>
    <w:multiLevelType w:val="hybridMultilevel"/>
    <w:tmpl w:val="B9EC0A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41B0DAC"/>
    <w:multiLevelType w:val="hybridMultilevel"/>
    <w:tmpl w:val="6BB6881E"/>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7C017A34"/>
    <w:multiLevelType w:val="hybridMultilevel"/>
    <w:tmpl w:val="424A6D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4"/>
  </w:num>
  <w:num w:numId="5">
    <w:abstractNumId w:val="7"/>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945"/>
    <w:rsid w:val="000015B7"/>
    <w:rsid w:val="00001AEC"/>
    <w:rsid w:val="000215D7"/>
    <w:rsid w:val="00022E2C"/>
    <w:rsid w:val="000239AD"/>
    <w:rsid w:val="00036ACF"/>
    <w:rsid w:val="00047552"/>
    <w:rsid w:val="000633AC"/>
    <w:rsid w:val="0007109A"/>
    <w:rsid w:val="00083C14"/>
    <w:rsid w:val="00092E17"/>
    <w:rsid w:val="000B5F30"/>
    <w:rsid w:val="000E17D2"/>
    <w:rsid w:val="000E2239"/>
    <w:rsid w:val="000F533C"/>
    <w:rsid w:val="00100E57"/>
    <w:rsid w:val="001130AE"/>
    <w:rsid w:val="00125DF7"/>
    <w:rsid w:val="001264B5"/>
    <w:rsid w:val="00141051"/>
    <w:rsid w:val="00167A26"/>
    <w:rsid w:val="001A6F09"/>
    <w:rsid w:val="001B709F"/>
    <w:rsid w:val="001C2102"/>
    <w:rsid w:val="001E1279"/>
    <w:rsid w:val="002052BD"/>
    <w:rsid w:val="002154E1"/>
    <w:rsid w:val="00231E83"/>
    <w:rsid w:val="00235B60"/>
    <w:rsid w:val="00244CC5"/>
    <w:rsid w:val="00253125"/>
    <w:rsid w:val="00274FE4"/>
    <w:rsid w:val="00276F01"/>
    <w:rsid w:val="0028325B"/>
    <w:rsid w:val="002842DE"/>
    <w:rsid w:val="00290660"/>
    <w:rsid w:val="002A2FE1"/>
    <w:rsid w:val="002B0140"/>
    <w:rsid w:val="002D5508"/>
    <w:rsid w:val="002E282F"/>
    <w:rsid w:val="002E5875"/>
    <w:rsid w:val="002F56AE"/>
    <w:rsid w:val="00311E78"/>
    <w:rsid w:val="00312370"/>
    <w:rsid w:val="00312DC4"/>
    <w:rsid w:val="003527F0"/>
    <w:rsid w:val="003579BF"/>
    <w:rsid w:val="003603E9"/>
    <w:rsid w:val="00390D52"/>
    <w:rsid w:val="00394F2B"/>
    <w:rsid w:val="00395E98"/>
    <w:rsid w:val="003968C3"/>
    <w:rsid w:val="003A197C"/>
    <w:rsid w:val="003A4A35"/>
    <w:rsid w:val="003A53C8"/>
    <w:rsid w:val="003C451E"/>
    <w:rsid w:val="003C5B57"/>
    <w:rsid w:val="003C65DC"/>
    <w:rsid w:val="003E1E58"/>
    <w:rsid w:val="00404348"/>
    <w:rsid w:val="0040443E"/>
    <w:rsid w:val="00404C11"/>
    <w:rsid w:val="00406468"/>
    <w:rsid w:val="004119AF"/>
    <w:rsid w:val="0041758E"/>
    <w:rsid w:val="00422FEC"/>
    <w:rsid w:val="004300C7"/>
    <w:rsid w:val="00431A47"/>
    <w:rsid w:val="00431A97"/>
    <w:rsid w:val="00432BDF"/>
    <w:rsid w:val="00436AF2"/>
    <w:rsid w:val="00436C1A"/>
    <w:rsid w:val="004442D4"/>
    <w:rsid w:val="00454250"/>
    <w:rsid w:val="0046316C"/>
    <w:rsid w:val="004658EE"/>
    <w:rsid w:val="00474FB4"/>
    <w:rsid w:val="00477DF8"/>
    <w:rsid w:val="00495802"/>
    <w:rsid w:val="004A505E"/>
    <w:rsid w:val="004B1428"/>
    <w:rsid w:val="004C325C"/>
    <w:rsid w:val="004C576F"/>
    <w:rsid w:val="004E2B7A"/>
    <w:rsid w:val="004F54F3"/>
    <w:rsid w:val="004F5C84"/>
    <w:rsid w:val="00504390"/>
    <w:rsid w:val="00520AEA"/>
    <w:rsid w:val="00523621"/>
    <w:rsid w:val="00527A25"/>
    <w:rsid w:val="00537BD4"/>
    <w:rsid w:val="0054072B"/>
    <w:rsid w:val="005565FE"/>
    <w:rsid w:val="00570075"/>
    <w:rsid w:val="00573C94"/>
    <w:rsid w:val="00575426"/>
    <w:rsid w:val="005755FA"/>
    <w:rsid w:val="005815CC"/>
    <w:rsid w:val="00582927"/>
    <w:rsid w:val="00587E54"/>
    <w:rsid w:val="005C3523"/>
    <w:rsid w:val="005C6321"/>
    <w:rsid w:val="005D0602"/>
    <w:rsid w:val="005D63E1"/>
    <w:rsid w:val="005E6412"/>
    <w:rsid w:val="005E7B2D"/>
    <w:rsid w:val="005F4366"/>
    <w:rsid w:val="00612101"/>
    <w:rsid w:val="00630B09"/>
    <w:rsid w:val="00642BB2"/>
    <w:rsid w:val="006449C0"/>
    <w:rsid w:val="00691BC6"/>
    <w:rsid w:val="00696819"/>
    <w:rsid w:val="006B2824"/>
    <w:rsid w:val="006B2ED5"/>
    <w:rsid w:val="006C6942"/>
    <w:rsid w:val="006D50D4"/>
    <w:rsid w:val="006F4372"/>
    <w:rsid w:val="006F4E41"/>
    <w:rsid w:val="0071321D"/>
    <w:rsid w:val="00725A3C"/>
    <w:rsid w:val="00725E2F"/>
    <w:rsid w:val="00732256"/>
    <w:rsid w:val="00734F51"/>
    <w:rsid w:val="00741906"/>
    <w:rsid w:val="00745E33"/>
    <w:rsid w:val="00751DD6"/>
    <w:rsid w:val="00753E95"/>
    <w:rsid w:val="007B604B"/>
    <w:rsid w:val="007C1EA1"/>
    <w:rsid w:val="007C36F9"/>
    <w:rsid w:val="007D09F8"/>
    <w:rsid w:val="007D7C1F"/>
    <w:rsid w:val="008021EA"/>
    <w:rsid w:val="00820313"/>
    <w:rsid w:val="0082460C"/>
    <w:rsid w:val="00836169"/>
    <w:rsid w:val="0084044A"/>
    <w:rsid w:val="00842768"/>
    <w:rsid w:val="00851FE0"/>
    <w:rsid w:val="008523EC"/>
    <w:rsid w:val="0085709B"/>
    <w:rsid w:val="00860AA0"/>
    <w:rsid w:val="0087592F"/>
    <w:rsid w:val="00887F53"/>
    <w:rsid w:val="00891B60"/>
    <w:rsid w:val="00895835"/>
    <w:rsid w:val="008971BD"/>
    <w:rsid w:val="008A4A1A"/>
    <w:rsid w:val="008A6E25"/>
    <w:rsid w:val="008C268B"/>
    <w:rsid w:val="008D03F6"/>
    <w:rsid w:val="008D5894"/>
    <w:rsid w:val="009154D1"/>
    <w:rsid w:val="0092472B"/>
    <w:rsid w:val="00935604"/>
    <w:rsid w:val="009410F8"/>
    <w:rsid w:val="00941426"/>
    <w:rsid w:val="00942073"/>
    <w:rsid w:val="009834B8"/>
    <w:rsid w:val="00996986"/>
    <w:rsid w:val="009B6BDA"/>
    <w:rsid w:val="009C3118"/>
    <w:rsid w:val="009E566C"/>
    <w:rsid w:val="009F29D0"/>
    <w:rsid w:val="00A03263"/>
    <w:rsid w:val="00A034A6"/>
    <w:rsid w:val="00A04AD6"/>
    <w:rsid w:val="00A10EE1"/>
    <w:rsid w:val="00A25D62"/>
    <w:rsid w:val="00A26425"/>
    <w:rsid w:val="00A32C16"/>
    <w:rsid w:val="00A52032"/>
    <w:rsid w:val="00A6173B"/>
    <w:rsid w:val="00A674EB"/>
    <w:rsid w:val="00A8783D"/>
    <w:rsid w:val="00A91CCF"/>
    <w:rsid w:val="00AA08B7"/>
    <w:rsid w:val="00AA1FAD"/>
    <w:rsid w:val="00AA5909"/>
    <w:rsid w:val="00AA6189"/>
    <w:rsid w:val="00AB0AB1"/>
    <w:rsid w:val="00AB10C2"/>
    <w:rsid w:val="00AB523A"/>
    <w:rsid w:val="00AD0D99"/>
    <w:rsid w:val="00AD2F35"/>
    <w:rsid w:val="00AE3945"/>
    <w:rsid w:val="00AE7360"/>
    <w:rsid w:val="00AF35C5"/>
    <w:rsid w:val="00AF5724"/>
    <w:rsid w:val="00B10393"/>
    <w:rsid w:val="00B17B76"/>
    <w:rsid w:val="00B21106"/>
    <w:rsid w:val="00B27083"/>
    <w:rsid w:val="00B372E1"/>
    <w:rsid w:val="00B429D2"/>
    <w:rsid w:val="00B460E5"/>
    <w:rsid w:val="00B471A7"/>
    <w:rsid w:val="00B60769"/>
    <w:rsid w:val="00B6785A"/>
    <w:rsid w:val="00B70BA4"/>
    <w:rsid w:val="00B7543C"/>
    <w:rsid w:val="00B832B6"/>
    <w:rsid w:val="00B91172"/>
    <w:rsid w:val="00BC2D76"/>
    <w:rsid w:val="00BE4B3D"/>
    <w:rsid w:val="00BF1D21"/>
    <w:rsid w:val="00BF7B07"/>
    <w:rsid w:val="00C02496"/>
    <w:rsid w:val="00C0282B"/>
    <w:rsid w:val="00C37182"/>
    <w:rsid w:val="00C432A4"/>
    <w:rsid w:val="00C44936"/>
    <w:rsid w:val="00C63F63"/>
    <w:rsid w:val="00C747CA"/>
    <w:rsid w:val="00C8686E"/>
    <w:rsid w:val="00C92D03"/>
    <w:rsid w:val="00C96BA1"/>
    <w:rsid w:val="00CA4FE7"/>
    <w:rsid w:val="00CA608B"/>
    <w:rsid w:val="00CA7E92"/>
    <w:rsid w:val="00CB2908"/>
    <w:rsid w:val="00CC4868"/>
    <w:rsid w:val="00CC6E9D"/>
    <w:rsid w:val="00CD3867"/>
    <w:rsid w:val="00CD5648"/>
    <w:rsid w:val="00CE3B9B"/>
    <w:rsid w:val="00CE5B93"/>
    <w:rsid w:val="00CE689B"/>
    <w:rsid w:val="00CF2B6D"/>
    <w:rsid w:val="00CF37D8"/>
    <w:rsid w:val="00D0403C"/>
    <w:rsid w:val="00D2540A"/>
    <w:rsid w:val="00D30D50"/>
    <w:rsid w:val="00D35A8B"/>
    <w:rsid w:val="00D400F6"/>
    <w:rsid w:val="00D5498E"/>
    <w:rsid w:val="00D609BC"/>
    <w:rsid w:val="00D75A86"/>
    <w:rsid w:val="00D82D02"/>
    <w:rsid w:val="00D92109"/>
    <w:rsid w:val="00DA3FE6"/>
    <w:rsid w:val="00DA4C51"/>
    <w:rsid w:val="00DA7684"/>
    <w:rsid w:val="00DB0CE3"/>
    <w:rsid w:val="00DB4961"/>
    <w:rsid w:val="00DB56CA"/>
    <w:rsid w:val="00DB604C"/>
    <w:rsid w:val="00DB70CE"/>
    <w:rsid w:val="00DD12F2"/>
    <w:rsid w:val="00E0670C"/>
    <w:rsid w:val="00E100AA"/>
    <w:rsid w:val="00E10C46"/>
    <w:rsid w:val="00E21399"/>
    <w:rsid w:val="00E218ED"/>
    <w:rsid w:val="00E30228"/>
    <w:rsid w:val="00E47F33"/>
    <w:rsid w:val="00E53AF4"/>
    <w:rsid w:val="00E74DA1"/>
    <w:rsid w:val="00E81265"/>
    <w:rsid w:val="00E84882"/>
    <w:rsid w:val="00E87F30"/>
    <w:rsid w:val="00EB6D5A"/>
    <w:rsid w:val="00EB7EAD"/>
    <w:rsid w:val="00ED4741"/>
    <w:rsid w:val="00EE16A8"/>
    <w:rsid w:val="00F0222E"/>
    <w:rsid w:val="00F142FC"/>
    <w:rsid w:val="00F16026"/>
    <w:rsid w:val="00F43B0B"/>
    <w:rsid w:val="00F478BC"/>
    <w:rsid w:val="00F76E92"/>
    <w:rsid w:val="00F77DCA"/>
    <w:rsid w:val="00F83CB7"/>
    <w:rsid w:val="00F878FD"/>
    <w:rsid w:val="00F96D21"/>
    <w:rsid w:val="00FB6AC8"/>
    <w:rsid w:val="00FC6BD0"/>
    <w:rsid w:val="00FD77CF"/>
    <w:rsid w:val="00FF06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B56C12"/>
  <w15:chartTrackingRefBased/>
  <w15:docId w15:val="{DA276B57-4F5F-4432-AC70-B01796C7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9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39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39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39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39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39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9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9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9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9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39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39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39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39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39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9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9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945"/>
    <w:rPr>
      <w:rFonts w:eastAsiaTheme="majorEastAsia" w:cstheme="majorBidi"/>
      <w:color w:val="272727" w:themeColor="text1" w:themeTint="D8"/>
    </w:rPr>
  </w:style>
  <w:style w:type="paragraph" w:styleId="Title">
    <w:name w:val="Title"/>
    <w:basedOn w:val="Normal"/>
    <w:next w:val="Normal"/>
    <w:link w:val="TitleChar"/>
    <w:uiPriority w:val="10"/>
    <w:qFormat/>
    <w:rsid w:val="00AE3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9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945"/>
    <w:pPr>
      <w:spacing w:before="160"/>
      <w:jc w:val="center"/>
    </w:pPr>
    <w:rPr>
      <w:i/>
      <w:iCs/>
      <w:color w:val="404040" w:themeColor="text1" w:themeTint="BF"/>
    </w:rPr>
  </w:style>
  <w:style w:type="character" w:customStyle="1" w:styleId="QuoteChar">
    <w:name w:val="Quote Char"/>
    <w:basedOn w:val="DefaultParagraphFont"/>
    <w:link w:val="Quote"/>
    <w:uiPriority w:val="29"/>
    <w:rsid w:val="00AE3945"/>
    <w:rPr>
      <w:i/>
      <w:iCs/>
      <w:color w:val="404040" w:themeColor="text1" w:themeTint="BF"/>
    </w:rPr>
  </w:style>
  <w:style w:type="paragraph" w:styleId="ListParagraph">
    <w:name w:val="List Paragraph"/>
    <w:basedOn w:val="Normal"/>
    <w:uiPriority w:val="34"/>
    <w:qFormat/>
    <w:rsid w:val="00AE3945"/>
    <w:pPr>
      <w:ind w:left="720"/>
      <w:contextualSpacing/>
    </w:pPr>
  </w:style>
  <w:style w:type="character" w:styleId="IntenseEmphasis">
    <w:name w:val="Intense Emphasis"/>
    <w:basedOn w:val="DefaultParagraphFont"/>
    <w:uiPriority w:val="21"/>
    <w:qFormat/>
    <w:rsid w:val="00AE3945"/>
    <w:rPr>
      <w:i/>
      <w:iCs/>
      <w:color w:val="2F5496" w:themeColor="accent1" w:themeShade="BF"/>
    </w:rPr>
  </w:style>
  <w:style w:type="paragraph" w:styleId="IntenseQuote">
    <w:name w:val="Intense Quote"/>
    <w:basedOn w:val="Normal"/>
    <w:next w:val="Normal"/>
    <w:link w:val="IntenseQuoteChar"/>
    <w:uiPriority w:val="30"/>
    <w:qFormat/>
    <w:rsid w:val="00AE39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3945"/>
    <w:rPr>
      <w:i/>
      <w:iCs/>
      <w:color w:val="2F5496" w:themeColor="accent1" w:themeShade="BF"/>
    </w:rPr>
  </w:style>
  <w:style w:type="character" w:styleId="IntenseReference">
    <w:name w:val="Intense Reference"/>
    <w:basedOn w:val="DefaultParagraphFont"/>
    <w:uiPriority w:val="32"/>
    <w:qFormat/>
    <w:rsid w:val="00AE3945"/>
    <w:rPr>
      <w:b/>
      <w:bCs/>
      <w:smallCaps/>
      <w:color w:val="2F5496" w:themeColor="accent1" w:themeShade="BF"/>
      <w:spacing w:val="5"/>
    </w:rPr>
  </w:style>
  <w:style w:type="table" w:styleId="LightList">
    <w:name w:val="Light List"/>
    <w:basedOn w:val="TableNormal"/>
    <w:uiPriority w:val="61"/>
    <w:rsid w:val="00AE3945"/>
    <w:pPr>
      <w:spacing w:after="0" w:line="240" w:lineRule="auto"/>
    </w:pPr>
    <w:rPr>
      <w:rFonts w:eastAsiaTheme="minorEastAsia"/>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39"/>
    <w:rsid w:val="00AE3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1AEC"/>
    <w:rPr>
      <w:color w:val="0563C1" w:themeColor="hyperlink"/>
      <w:u w:val="single"/>
    </w:rPr>
  </w:style>
  <w:style w:type="character" w:styleId="UnresolvedMention">
    <w:name w:val="Unresolved Mention"/>
    <w:basedOn w:val="DefaultParagraphFont"/>
    <w:uiPriority w:val="99"/>
    <w:semiHidden/>
    <w:unhideWhenUsed/>
    <w:rsid w:val="00001AEC"/>
    <w:rPr>
      <w:color w:val="605E5C"/>
      <w:shd w:val="clear" w:color="auto" w:fill="E1DFDD"/>
    </w:rPr>
  </w:style>
  <w:style w:type="paragraph" w:styleId="Header">
    <w:name w:val="header"/>
    <w:basedOn w:val="Normal"/>
    <w:link w:val="HeaderChar"/>
    <w:uiPriority w:val="99"/>
    <w:unhideWhenUsed/>
    <w:rsid w:val="00A32C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C16"/>
  </w:style>
  <w:style w:type="paragraph" w:styleId="Footer">
    <w:name w:val="footer"/>
    <w:basedOn w:val="Normal"/>
    <w:link w:val="FooterChar"/>
    <w:uiPriority w:val="99"/>
    <w:unhideWhenUsed/>
    <w:rsid w:val="00A32C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7259">
      <w:bodyDiv w:val="1"/>
      <w:marLeft w:val="0"/>
      <w:marRight w:val="0"/>
      <w:marTop w:val="0"/>
      <w:marBottom w:val="0"/>
      <w:divBdr>
        <w:top w:val="none" w:sz="0" w:space="0" w:color="auto"/>
        <w:left w:val="none" w:sz="0" w:space="0" w:color="auto"/>
        <w:bottom w:val="none" w:sz="0" w:space="0" w:color="auto"/>
        <w:right w:val="none" w:sz="0" w:space="0" w:color="auto"/>
      </w:divBdr>
    </w:div>
    <w:div w:id="50731599">
      <w:bodyDiv w:val="1"/>
      <w:marLeft w:val="0"/>
      <w:marRight w:val="0"/>
      <w:marTop w:val="0"/>
      <w:marBottom w:val="0"/>
      <w:divBdr>
        <w:top w:val="none" w:sz="0" w:space="0" w:color="auto"/>
        <w:left w:val="none" w:sz="0" w:space="0" w:color="auto"/>
        <w:bottom w:val="none" w:sz="0" w:space="0" w:color="auto"/>
        <w:right w:val="none" w:sz="0" w:space="0" w:color="auto"/>
      </w:divBdr>
    </w:div>
    <w:div w:id="54742697">
      <w:bodyDiv w:val="1"/>
      <w:marLeft w:val="0"/>
      <w:marRight w:val="0"/>
      <w:marTop w:val="0"/>
      <w:marBottom w:val="0"/>
      <w:divBdr>
        <w:top w:val="none" w:sz="0" w:space="0" w:color="auto"/>
        <w:left w:val="none" w:sz="0" w:space="0" w:color="auto"/>
        <w:bottom w:val="none" w:sz="0" w:space="0" w:color="auto"/>
        <w:right w:val="none" w:sz="0" w:space="0" w:color="auto"/>
      </w:divBdr>
    </w:div>
    <w:div w:id="67270172">
      <w:bodyDiv w:val="1"/>
      <w:marLeft w:val="0"/>
      <w:marRight w:val="0"/>
      <w:marTop w:val="0"/>
      <w:marBottom w:val="0"/>
      <w:divBdr>
        <w:top w:val="none" w:sz="0" w:space="0" w:color="auto"/>
        <w:left w:val="none" w:sz="0" w:space="0" w:color="auto"/>
        <w:bottom w:val="none" w:sz="0" w:space="0" w:color="auto"/>
        <w:right w:val="none" w:sz="0" w:space="0" w:color="auto"/>
      </w:divBdr>
    </w:div>
    <w:div w:id="79640532">
      <w:bodyDiv w:val="1"/>
      <w:marLeft w:val="0"/>
      <w:marRight w:val="0"/>
      <w:marTop w:val="0"/>
      <w:marBottom w:val="0"/>
      <w:divBdr>
        <w:top w:val="none" w:sz="0" w:space="0" w:color="auto"/>
        <w:left w:val="none" w:sz="0" w:space="0" w:color="auto"/>
        <w:bottom w:val="none" w:sz="0" w:space="0" w:color="auto"/>
        <w:right w:val="none" w:sz="0" w:space="0" w:color="auto"/>
      </w:divBdr>
    </w:div>
    <w:div w:id="80805995">
      <w:bodyDiv w:val="1"/>
      <w:marLeft w:val="0"/>
      <w:marRight w:val="0"/>
      <w:marTop w:val="0"/>
      <w:marBottom w:val="0"/>
      <w:divBdr>
        <w:top w:val="none" w:sz="0" w:space="0" w:color="auto"/>
        <w:left w:val="none" w:sz="0" w:space="0" w:color="auto"/>
        <w:bottom w:val="none" w:sz="0" w:space="0" w:color="auto"/>
        <w:right w:val="none" w:sz="0" w:space="0" w:color="auto"/>
      </w:divBdr>
    </w:div>
    <w:div w:id="83772640">
      <w:bodyDiv w:val="1"/>
      <w:marLeft w:val="0"/>
      <w:marRight w:val="0"/>
      <w:marTop w:val="0"/>
      <w:marBottom w:val="0"/>
      <w:divBdr>
        <w:top w:val="none" w:sz="0" w:space="0" w:color="auto"/>
        <w:left w:val="none" w:sz="0" w:space="0" w:color="auto"/>
        <w:bottom w:val="none" w:sz="0" w:space="0" w:color="auto"/>
        <w:right w:val="none" w:sz="0" w:space="0" w:color="auto"/>
      </w:divBdr>
    </w:div>
    <w:div w:id="86733137">
      <w:bodyDiv w:val="1"/>
      <w:marLeft w:val="0"/>
      <w:marRight w:val="0"/>
      <w:marTop w:val="0"/>
      <w:marBottom w:val="0"/>
      <w:divBdr>
        <w:top w:val="none" w:sz="0" w:space="0" w:color="auto"/>
        <w:left w:val="none" w:sz="0" w:space="0" w:color="auto"/>
        <w:bottom w:val="none" w:sz="0" w:space="0" w:color="auto"/>
        <w:right w:val="none" w:sz="0" w:space="0" w:color="auto"/>
      </w:divBdr>
    </w:div>
    <w:div w:id="103236269">
      <w:bodyDiv w:val="1"/>
      <w:marLeft w:val="0"/>
      <w:marRight w:val="0"/>
      <w:marTop w:val="0"/>
      <w:marBottom w:val="0"/>
      <w:divBdr>
        <w:top w:val="none" w:sz="0" w:space="0" w:color="auto"/>
        <w:left w:val="none" w:sz="0" w:space="0" w:color="auto"/>
        <w:bottom w:val="none" w:sz="0" w:space="0" w:color="auto"/>
        <w:right w:val="none" w:sz="0" w:space="0" w:color="auto"/>
      </w:divBdr>
      <w:divsChild>
        <w:div w:id="444470957">
          <w:marLeft w:val="0"/>
          <w:marRight w:val="0"/>
          <w:marTop w:val="0"/>
          <w:marBottom w:val="0"/>
          <w:divBdr>
            <w:top w:val="none" w:sz="0" w:space="0" w:color="auto"/>
            <w:left w:val="none" w:sz="0" w:space="0" w:color="auto"/>
            <w:bottom w:val="none" w:sz="0" w:space="0" w:color="auto"/>
            <w:right w:val="none" w:sz="0" w:space="0" w:color="auto"/>
          </w:divBdr>
          <w:divsChild>
            <w:div w:id="912469052">
              <w:marLeft w:val="0"/>
              <w:marRight w:val="0"/>
              <w:marTop w:val="0"/>
              <w:marBottom w:val="0"/>
              <w:divBdr>
                <w:top w:val="none" w:sz="0" w:space="0" w:color="auto"/>
                <w:left w:val="none" w:sz="0" w:space="0" w:color="auto"/>
                <w:bottom w:val="none" w:sz="0" w:space="0" w:color="auto"/>
                <w:right w:val="none" w:sz="0" w:space="0" w:color="auto"/>
              </w:divBdr>
              <w:divsChild>
                <w:div w:id="1660309277">
                  <w:marLeft w:val="0"/>
                  <w:marRight w:val="0"/>
                  <w:marTop w:val="0"/>
                  <w:marBottom w:val="0"/>
                  <w:divBdr>
                    <w:top w:val="none" w:sz="0" w:space="0" w:color="auto"/>
                    <w:left w:val="none" w:sz="0" w:space="0" w:color="auto"/>
                    <w:bottom w:val="none" w:sz="0" w:space="0" w:color="auto"/>
                    <w:right w:val="none" w:sz="0" w:space="0" w:color="auto"/>
                  </w:divBdr>
                  <w:divsChild>
                    <w:div w:id="2083410622">
                      <w:marLeft w:val="0"/>
                      <w:marRight w:val="0"/>
                      <w:marTop w:val="0"/>
                      <w:marBottom w:val="0"/>
                      <w:divBdr>
                        <w:top w:val="none" w:sz="0" w:space="0" w:color="auto"/>
                        <w:left w:val="none" w:sz="0" w:space="0" w:color="auto"/>
                        <w:bottom w:val="none" w:sz="0" w:space="0" w:color="auto"/>
                        <w:right w:val="none" w:sz="0" w:space="0" w:color="auto"/>
                      </w:divBdr>
                      <w:divsChild>
                        <w:div w:id="1725373650">
                          <w:marLeft w:val="0"/>
                          <w:marRight w:val="0"/>
                          <w:marTop w:val="0"/>
                          <w:marBottom w:val="0"/>
                          <w:divBdr>
                            <w:top w:val="none" w:sz="0" w:space="0" w:color="auto"/>
                            <w:left w:val="none" w:sz="0" w:space="0" w:color="auto"/>
                            <w:bottom w:val="none" w:sz="0" w:space="0" w:color="auto"/>
                            <w:right w:val="none" w:sz="0" w:space="0" w:color="auto"/>
                          </w:divBdr>
                          <w:divsChild>
                            <w:div w:id="671496859">
                              <w:marLeft w:val="0"/>
                              <w:marRight w:val="0"/>
                              <w:marTop w:val="0"/>
                              <w:marBottom w:val="0"/>
                              <w:divBdr>
                                <w:top w:val="none" w:sz="0" w:space="0" w:color="auto"/>
                                <w:left w:val="none" w:sz="0" w:space="0" w:color="auto"/>
                                <w:bottom w:val="none" w:sz="0" w:space="0" w:color="auto"/>
                                <w:right w:val="none" w:sz="0" w:space="0" w:color="auto"/>
                              </w:divBdr>
                              <w:divsChild>
                                <w:div w:id="1561601264">
                                  <w:marLeft w:val="0"/>
                                  <w:marRight w:val="0"/>
                                  <w:marTop w:val="0"/>
                                  <w:marBottom w:val="0"/>
                                  <w:divBdr>
                                    <w:top w:val="none" w:sz="0" w:space="0" w:color="auto"/>
                                    <w:left w:val="none" w:sz="0" w:space="0" w:color="auto"/>
                                    <w:bottom w:val="none" w:sz="0" w:space="0" w:color="auto"/>
                                    <w:right w:val="none" w:sz="0" w:space="0" w:color="auto"/>
                                  </w:divBdr>
                                  <w:divsChild>
                                    <w:div w:id="17289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4585">
                          <w:marLeft w:val="0"/>
                          <w:marRight w:val="0"/>
                          <w:marTop w:val="0"/>
                          <w:marBottom w:val="0"/>
                          <w:divBdr>
                            <w:top w:val="none" w:sz="0" w:space="0" w:color="auto"/>
                            <w:left w:val="none" w:sz="0" w:space="0" w:color="auto"/>
                            <w:bottom w:val="none" w:sz="0" w:space="0" w:color="auto"/>
                            <w:right w:val="none" w:sz="0" w:space="0" w:color="auto"/>
                          </w:divBdr>
                          <w:divsChild>
                            <w:div w:id="529148276">
                              <w:marLeft w:val="0"/>
                              <w:marRight w:val="0"/>
                              <w:marTop w:val="0"/>
                              <w:marBottom w:val="0"/>
                              <w:divBdr>
                                <w:top w:val="none" w:sz="0" w:space="0" w:color="auto"/>
                                <w:left w:val="none" w:sz="0" w:space="0" w:color="auto"/>
                                <w:bottom w:val="none" w:sz="0" w:space="0" w:color="auto"/>
                                <w:right w:val="none" w:sz="0" w:space="0" w:color="auto"/>
                              </w:divBdr>
                              <w:divsChild>
                                <w:div w:id="812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20462">
      <w:bodyDiv w:val="1"/>
      <w:marLeft w:val="0"/>
      <w:marRight w:val="0"/>
      <w:marTop w:val="0"/>
      <w:marBottom w:val="0"/>
      <w:divBdr>
        <w:top w:val="none" w:sz="0" w:space="0" w:color="auto"/>
        <w:left w:val="none" w:sz="0" w:space="0" w:color="auto"/>
        <w:bottom w:val="none" w:sz="0" w:space="0" w:color="auto"/>
        <w:right w:val="none" w:sz="0" w:space="0" w:color="auto"/>
      </w:divBdr>
    </w:div>
    <w:div w:id="141850643">
      <w:bodyDiv w:val="1"/>
      <w:marLeft w:val="0"/>
      <w:marRight w:val="0"/>
      <w:marTop w:val="0"/>
      <w:marBottom w:val="0"/>
      <w:divBdr>
        <w:top w:val="none" w:sz="0" w:space="0" w:color="auto"/>
        <w:left w:val="none" w:sz="0" w:space="0" w:color="auto"/>
        <w:bottom w:val="none" w:sz="0" w:space="0" w:color="auto"/>
        <w:right w:val="none" w:sz="0" w:space="0" w:color="auto"/>
      </w:divBdr>
    </w:div>
    <w:div w:id="165050065">
      <w:bodyDiv w:val="1"/>
      <w:marLeft w:val="0"/>
      <w:marRight w:val="0"/>
      <w:marTop w:val="0"/>
      <w:marBottom w:val="0"/>
      <w:divBdr>
        <w:top w:val="none" w:sz="0" w:space="0" w:color="auto"/>
        <w:left w:val="none" w:sz="0" w:space="0" w:color="auto"/>
        <w:bottom w:val="none" w:sz="0" w:space="0" w:color="auto"/>
        <w:right w:val="none" w:sz="0" w:space="0" w:color="auto"/>
      </w:divBdr>
    </w:div>
    <w:div w:id="167017488">
      <w:bodyDiv w:val="1"/>
      <w:marLeft w:val="0"/>
      <w:marRight w:val="0"/>
      <w:marTop w:val="0"/>
      <w:marBottom w:val="0"/>
      <w:divBdr>
        <w:top w:val="none" w:sz="0" w:space="0" w:color="auto"/>
        <w:left w:val="none" w:sz="0" w:space="0" w:color="auto"/>
        <w:bottom w:val="none" w:sz="0" w:space="0" w:color="auto"/>
        <w:right w:val="none" w:sz="0" w:space="0" w:color="auto"/>
      </w:divBdr>
    </w:div>
    <w:div w:id="169292689">
      <w:bodyDiv w:val="1"/>
      <w:marLeft w:val="0"/>
      <w:marRight w:val="0"/>
      <w:marTop w:val="0"/>
      <w:marBottom w:val="0"/>
      <w:divBdr>
        <w:top w:val="none" w:sz="0" w:space="0" w:color="auto"/>
        <w:left w:val="none" w:sz="0" w:space="0" w:color="auto"/>
        <w:bottom w:val="none" w:sz="0" w:space="0" w:color="auto"/>
        <w:right w:val="none" w:sz="0" w:space="0" w:color="auto"/>
      </w:divBdr>
    </w:div>
    <w:div w:id="205798322">
      <w:bodyDiv w:val="1"/>
      <w:marLeft w:val="0"/>
      <w:marRight w:val="0"/>
      <w:marTop w:val="0"/>
      <w:marBottom w:val="0"/>
      <w:divBdr>
        <w:top w:val="none" w:sz="0" w:space="0" w:color="auto"/>
        <w:left w:val="none" w:sz="0" w:space="0" w:color="auto"/>
        <w:bottom w:val="none" w:sz="0" w:space="0" w:color="auto"/>
        <w:right w:val="none" w:sz="0" w:space="0" w:color="auto"/>
      </w:divBdr>
    </w:div>
    <w:div w:id="221449658">
      <w:bodyDiv w:val="1"/>
      <w:marLeft w:val="0"/>
      <w:marRight w:val="0"/>
      <w:marTop w:val="0"/>
      <w:marBottom w:val="0"/>
      <w:divBdr>
        <w:top w:val="none" w:sz="0" w:space="0" w:color="auto"/>
        <w:left w:val="none" w:sz="0" w:space="0" w:color="auto"/>
        <w:bottom w:val="none" w:sz="0" w:space="0" w:color="auto"/>
        <w:right w:val="none" w:sz="0" w:space="0" w:color="auto"/>
      </w:divBdr>
    </w:div>
    <w:div w:id="267399175">
      <w:bodyDiv w:val="1"/>
      <w:marLeft w:val="0"/>
      <w:marRight w:val="0"/>
      <w:marTop w:val="0"/>
      <w:marBottom w:val="0"/>
      <w:divBdr>
        <w:top w:val="none" w:sz="0" w:space="0" w:color="auto"/>
        <w:left w:val="none" w:sz="0" w:space="0" w:color="auto"/>
        <w:bottom w:val="none" w:sz="0" w:space="0" w:color="auto"/>
        <w:right w:val="none" w:sz="0" w:space="0" w:color="auto"/>
      </w:divBdr>
    </w:div>
    <w:div w:id="275403819">
      <w:bodyDiv w:val="1"/>
      <w:marLeft w:val="0"/>
      <w:marRight w:val="0"/>
      <w:marTop w:val="0"/>
      <w:marBottom w:val="0"/>
      <w:divBdr>
        <w:top w:val="none" w:sz="0" w:space="0" w:color="auto"/>
        <w:left w:val="none" w:sz="0" w:space="0" w:color="auto"/>
        <w:bottom w:val="none" w:sz="0" w:space="0" w:color="auto"/>
        <w:right w:val="none" w:sz="0" w:space="0" w:color="auto"/>
      </w:divBdr>
    </w:div>
    <w:div w:id="291401744">
      <w:bodyDiv w:val="1"/>
      <w:marLeft w:val="0"/>
      <w:marRight w:val="0"/>
      <w:marTop w:val="0"/>
      <w:marBottom w:val="0"/>
      <w:divBdr>
        <w:top w:val="none" w:sz="0" w:space="0" w:color="auto"/>
        <w:left w:val="none" w:sz="0" w:space="0" w:color="auto"/>
        <w:bottom w:val="none" w:sz="0" w:space="0" w:color="auto"/>
        <w:right w:val="none" w:sz="0" w:space="0" w:color="auto"/>
      </w:divBdr>
    </w:div>
    <w:div w:id="316154596">
      <w:bodyDiv w:val="1"/>
      <w:marLeft w:val="0"/>
      <w:marRight w:val="0"/>
      <w:marTop w:val="0"/>
      <w:marBottom w:val="0"/>
      <w:divBdr>
        <w:top w:val="none" w:sz="0" w:space="0" w:color="auto"/>
        <w:left w:val="none" w:sz="0" w:space="0" w:color="auto"/>
        <w:bottom w:val="none" w:sz="0" w:space="0" w:color="auto"/>
        <w:right w:val="none" w:sz="0" w:space="0" w:color="auto"/>
      </w:divBdr>
    </w:div>
    <w:div w:id="339623366">
      <w:bodyDiv w:val="1"/>
      <w:marLeft w:val="0"/>
      <w:marRight w:val="0"/>
      <w:marTop w:val="0"/>
      <w:marBottom w:val="0"/>
      <w:divBdr>
        <w:top w:val="none" w:sz="0" w:space="0" w:color="auto"/>
        <w:left w:val="none" w:sz="0" w:space="0" w:color="auto"/>
        <w:bottom w:val="none" w:sz="0" w:space="0" w:color="auto"/>
        <w:right w:val="none" w:sz="0" w:space="0" w:color="auto"/>
      </w:divBdr>
    </w:div>
    <w:div w:id="453523312">
      <w:bodyDiv w:val="1"/>
      <w:marLeft w:val="0"/>
      <w:marRight w:val="0"/>
      <w:marTop w:val="0"/>
      <w:marBottom w:val="0"/>
      <w:divBdr>
        <w:top w:val="none" w:sz="0" w:space="0" w:color="auto"/>
        <w:left w:val="none" w:sz="0" w:space="0" w:color="auto"/>
        <w:bottom w:val="none" w:sz="0" w:space="0" w:color="auto"/>
        <w:right w:val="none" w:sz="0" w:space="0" w:color="auto"/>
      </w:divBdr>
    </w:div>
    <w:div w:id="457839304">
      <w:bodyDiv w:val="1"/>
      <w:marLeft w:val="0"/>
      <w:marRight w:val="0"/>
      <w:marTop w:val="0"/>
      <w:marBottom w:val="0"/>
      <w:divBdr>
        <w:top w:val="none" w:sz="0" w:space="0" w:color="auto"/>
        <w:left w:val="none" w:sz="0" w:space="0" w:color="auto"/>
        <w:bottom w:val="none" w:sz="0" w:space="0" w:color="auto"/>
        <w:right w:val="none" w:sz="0" w:space="0" w:color="auto"/>
      </w:divBdr>
    </w:div>
    <w:div w:id="505904674">
      <w:bodyDiv w:val="1"/>
      <w:marLeft w:val="0"/>
      <w:marRight w:val="0"/>
      <w:marTop w:val="0"/>
      <w:marBottom w:val="0"/>
      <w:divBdr>
        <w:top w:val="none" w:sz="0" w:space="0" w:color="auto"/>
        <w:left w:val="none" w:sz="0" w:space="0" w:color="auto"/>
        <w:bottom w:val="none" w:sz="0" w:space="0" w:color="auto"/>
        <w:right w:val="none" w:sz="0" w:space="0" w:color="auto"/>
      </w:divBdr>
    </w:div>
    <w:div w:id="529493095">
      <w:bodyDiv w:val="1"/>
      <w:marLeft w:val="0"/>
      <w:marRight w:val="0"/>
      <w:marTop w:val="0"/>
      <w:marBottom w:val="0"/>
      <w:divBdr>
        <w:top w:val="none" w:sz="0" w:space="0" w:color="auto"/>
        <w:left w:val="none" w:sz="0" w:space="0" w:color="auto"/>
        <w:bottom w:val="none" w:sz="0" w:space="0" w:color="auto"/>
        <w:right w:val="none" w:sz="0" w:space="0" w:color="auto"/>
      </w:divBdr>
    </w:div>
    <w:div w:id="627054112">
      <w:bodyDiv w:val="1"/>
      <w:marLeft w:val="0"/>
      <w:marRight w:val="0"/>
      <w:marTop w:val="0"/>
      <w:marBottom w:val="0"/>
      <w:divBdr>
        <w:top w:val="none" w:sz="0" w:space="0" w:color="auto"/>
        <w:left w:val="none" w:sz="0" w:space="0" w:color="auto"/>
        <w:bottom w:val="none" w:sz="0" w:space="0" w:color="auto"/>
        <w:right w:val="none" w:sz="0" w:space="0" w:color="auto"/>
      </w:divBdr>
    </w:div>
    <w:div w:id="635837524">
      <w:bodyDiv w:val="1"/>
      <w:marLeft w:val="0"/>
      <w:marRight w:val="0"/>
      <w:marTop w:val="0"/>
      <w:marBottom w:val="0"/>
      <w:divBdr>
        <w:top w:val="none" w:sz="0" w:space="0" w:color="auto"/>
        <w:left w:val="none" w:sz="0" w:space="0" w:color="auto"/>
        <w:bottom w:val="none" w:sz="0" w:space="0" w:color="auto"/>
        <w:right w:val="none" w:sz="0" w:space="0" w:color="auto"/>
      </w:divBdr>
    </w:div>
    <w:div w:id="665473163">
      <w:bodyDiv w:val="1"/>
      <w:marLeft w:val="0"/>
      <w:marRight w:val="0"/>
      <w:marTop w:val="0"/>
      <w:marBottom w:val="0"/>
      <w:divBdr>
        <w:top w:val="none" w:sz="0" w:space="0" w:color="auto"/>
        <w:left w:val="none" w:sz="0" w:space="0" w:color="auto"/>
        <w:bottom w:val="none" w:sz="0" w:space="0" w:color="auto"/>
        <w:right w:val="none" w:sz="0" w:space="0" w:color="auto"/>
      </w:divBdr>
    </w:div>
    <w:div w:id="675614877">
      <w:bodyDiv w:val="1"/>
      <w:marLeft w:val="0"/>
      <w:marRight w:val="0"/>
      <w:marTop w:val="0"/>
      <w:marBottom w:val="0"/>
      <w:divBdr>
        <w:top w:val="none" w:sz="0" w:space="0" w:color="auto"/>
        <w:left w:val="none" w:sz="0" w:space="0" w:color="auto"/>
        <w:bottom w:val="none" w:sz="0" w:space="0" w:color="auto"/>
        <w:right w:val="none" w:sz="0" w:space="0" w:color="auto"/>
      </w:divBdr>
    </w:div>
    <w:div w:id="726994769">
      <w:bodyDiv w:val="1"/>
      <w:marLeft w:val="0"/>
      <w:marRight w:val="0"/>
      <w:marTop w:val="0"/>
      <w:marBottom w:val="0"/>
      <w:divBdr>
        <w:top w:val="none" w:sz="0" w:space="0" w:color="auto"/>
        <w:left w:val="none" w:sz="0" w:space="0" w:color="auto"/>
        <w:bottom w:val="none" w:sz="0" w:space="0" w:color="auto"/>
        <w:right w:val="none" w:sz="0" w:space="0" w:color="auto"/>
      </w:divBdr>
    </w:div>
    <w:div w:id="743138265">
      <w:bodyDiv w:val="1"/>
      <w:marLeft w:val="0"/>
      <w:marRight w:val="0"/>
      <w:marTop w:val="0"/>
      <w:marBottom w:val="0"/>
      <w:divBdr>
        <w:top w:val="none" w:sz="0" w:space="0" w:color="auto"/>
        <w:left w:val="none" w:sz="0" w:space="0" w:color="auto"/>
        <w:bottom w:val="none" w:sz="0" w:space="0" w:color="auto"/>
        <w:right w:val="none" w:sz="0" w:space="0" w:color="auto"/>
      </w:divBdr>
    </w:div>
    <w:div w:id="750082438">
      <w:bodyDiv w:val="1"/>
      <w:marLeft w:val="0"/>
      <w:marRight w:val="0"/>
      <w:marTop w:val="0"/>
      <w:marBottom w:val="0"/>
      <w:divBdr>
        <w:top w:val="none" w:sz="0" w:space="0" w:color="auto"/>
        <w:left w:val="none" w:sz="0" w:space="0" w:color="auto"/>
        <w:bottom w:val="none" w:sz="0" w:space="0" w:color="auto"/>
        <w:right w:val="none" w:sz="0" w:space="0" w:color="auto"/>
      </w:divBdr>
    </w:div>
    <w:div w:id="750152790">
      <w:bodyDiv w:val="1"/>
      <w:marLeft w:val="0"/>
      <w:marRight w:val="0"/>
      <w:marTop w:val="0"/>
      <w:marBottom w:val="0"/>
      <w:divBdr>
        <w:top w:val="none" w:sz="0" w:space="0" w:color="auto"/>
        <w:left w:val="none" w:sz="0" w:space="0" w:color="auto"/>
        <w:bottom w:val="none" w:sz="0" w:space="0" w:color="auto"/>
        <w:right w:val="none" w:sz="0" w:space="0" w:color="auto"/>
      </w:divBdr>
    </w:div>
    <w:div w:id="788816040">
      <w:bodyDiv w:val="1"/>
      <w:marLeft w:val="0"/>
      <w:marRight w:val="0"/>
      <w:marTop w:val="0"/>
      <w:marBottom w:val="0"/>
      <w:divBdr>
        <w:top w:val="none" w:sz="0" w:space="0" w:color="auto"/>
        <w:left w:val="none" w:sz="0" w:space="0" w:color="auto"/>
        <w:bottom w:val="none" w:sz="0" w:space="0" w:color="auto"/>
        <w:right w:val="none" w:sz="0" w:space="0" w:color="auto"/>
      </w:divBdr>
    </w:div>
    <w:div w:id="808589384">
      <w:bodyDiv w:val="1"/>
      <w:marLeft w:val="0"/>
      <w:marRight w:val="0"/>
      <w:marTop w:val="0"/>
      <w:marBottom w:val="0"/>
      <w:divBdr>
        <w:top w:val="none" w:sz="0" w:space="0" w:color="auto"/>
        <w:left w:val="none" w:sz="0" w:space="0" w:color="auto"/>
        <w:bottom w:val="none" w:sz="0" w:space="0" w:color="auto"/>
        <w:right w:val="none" w:sz="0" w:space="0" w:color="auto"/>
      </w:divBdr>
    </w:div>
    <w:div w:id="809978341">
      <w:bodyDiv w:val="1"/>
      <w:marLeft w:val="0"/>
      <w:marRight w:val="0"/>
      <w:marTop w:val="0"/>
      <w:marBottom w:val="0"/>
      <w:divBdr>
        <w:top w:val="none" w:sz="0" w:space="0" w:color="auto"/>
        <w:left w:val="none" w:sz="0" w:space="0" w:color="auto"/>
        <w:bottom w:val="none" w:sz="0" w:space="0" w:color="auto"/>
        <w:right w:val="none" w:sz="0" w:space="0" w:color="auto"/>
      </w:divBdr>
    </w:div>
    <w:div w:id="814225832">
      <w:bodyDiv w:val="1"/>
      <w:marLeft w:val="0"/>
      <w:marRight w:val="0"/>
      <w:marTop w:val="0"/>
      <w:marBottom w:val="0"/>
      <w:divBdr>
        <w:top w:val="none" w:sz="0" w:space="0" w:color="auto"/>
        <w:left w:val="none" w:sz="0" w:space="0" w:color="auto"/>
        <w:bottom w:val="none" w:sz="0" w:space="0" w:color="auto"/>
        <w:right w:val="none" w:sz="0" w:space="0" w:color="auto"/>
      </w:divBdr>
    </w:div>
    <w:div w:id="836773911">
      <w:bodyDiv w:val="1"/>
      <w:marLeft w:val="0"/>
      <w:marRight w:val="0"/>
      <w:marTop w:val="0"/>
      <w:marBottom w:val="0"/>
      <w:divBdr>
        <w:top w:val="none" w:sz="0" w:space="0" w:color="auto"/>
        <w:left w:val="none" w:sz="0" w:space="0" w:color="auto"/>
        <w:bottom w:val="none" w:sz="0" w:space="0" w:color="auto"/>
        <w:right w:val="none" w:sz="0" w:space="0" w:color="auto"/>
      </w:divBdr>
    </w:div>
    <w:div w:id="839389684">
      <w:bodyDiv w:val="1"/>
      <w:marLeft w:val="0"/>
      <w:marRight w:val="0"/>
      <w:marTop w:val="0"/>
      <w:marBottom w:val="0"/>
      <w:divBdr>
        <w:top w:val="none" w:sz="0" w:space="0" w:color="auto"/>
        <w:left w:val="none" w:sz="0" w:space="0" w:color="auto"/>
        <w:bottom w:val="none" w:sz="0" w:space="0" w:color="auto"/>
        <w:right w:val="none" w:sz="0" w:space="0" w:color="auto"/>
      </w:divBdr>
    </w:div>
    <w:div w:id="842009801">
      <w:bodyDiv w:val="1"/>
      <w:marLeft w:val="0"/>
      <w:marRight w:val="0"/>
      <w:marTop w:val="0"/>
      <w:marBottom w:val="0"/>
      <w:divBdr>
        <w:top w:val="none" w:sz="0" w:space="0" w:color="auto"/>
        <w:left w:val="none" w:sz="0" w:space="0" w:color="auto"/>
        <w:bottom w:val="none" w:sz="0" w:space="0" w:color="auto"/>
        <w:right w:val="none" w:sz="0" w:space="0" w:color="auto"/>
      </w:divBdr>
    </w:div>
    <w:div w:id="848838728">
      <w:bodyDiv w:val="1"/>
      <w:marLeft w:val="0"/>
      <w:marRight w:val="0"/>
      <w:marTop w:val="0"/>
      <w:marBottom w:val="0"/>
      <w:divBdr>
        <w:top w:val="none" w:sz="0" w:space="0" w:color="auto"/>
        <w:left w:val="none" w:sz="0" w:space="0" w:color="auto"/>
        <w:bottom w:val="none" w:sz="0" w:space="0" w:color="auto"/>
        <w:right w:val="none" w:sz="0" w:space="0" w:color="auto"/>
      </w:divBdr>
    </w:div>
    <w:div w:id="858668117">
      <w:bodyDiv w:val="1"/>
      <w:marLeft w:val="0"/>
      <w:marRight w:val="0"/>
      <w:marTop w:val="0"/>
      <w:marBottom w:val="0"/>
      <w:divBdr>
        <w:top w:val="none" w:sz="0" w:space="0" w:color="auto"/>
        <w:left w:val="none" w:sz="0" w:space="0" w:color="auto"/>
        <w:bottom w:val="none" w:sz="0" w:space="0" w:color="auto"/>
        <w:right w:val="none" w:sz="0" w:space="0" w:color="auto"/>
      </w:divBdr>
    </w:div>
    <w:div w:id="871265465">
      <w:bodyDiv w:val="1"/>
      <w:marLeft w:val="0"/>
      <w:marRight w:val="0"/>
      <w:marTop w:val="0"/>
      <w:marBottom w:val="0"/>
      <w:divBdr>
        <w:top w:val="none" w:sz="0" w:space="0" w:color="auto"/>
        <w:left w:val="none" w:sz="0" w:space="0" w:color="auto"/>
        <w:bottom w:val="none" w:sz="0" w:space="0" w:color="auto"/>
        <w:right w:val="none" w:sz="0" w:space="0" w:color="auto"/>
      </w:divBdr>
    </w:div>
    <w:div w:id="872426679">
      <w:bodyDiv w:val="1"/>
      <w:marLeft w:val="0"/>
      <w:marRight w:val="0"/>
      <w:marTop w:val="0"/>
      <w:marBottom w:val="0"/>
      <w:divBdr>
        <w:top w:val="none" w:sz="0" w:space="0" w:color="auto"/>
        <w:left w:val="none" w:sz="0" w:space="0" w:color="auto"/>
        <w:bottom w:val="none" w:sz="0" w:space="0" w:color="auto"/>
        <w:right w:val="none" w:sz="0" w:space="0" w:color="auto"/>
      </w:divBdr>
    </w:div>
    <w:div w:id="880483743">
      <w:bodyDiv w:val="1"/>
      <w:marLeft w:val="0"/>
      <w:marRight w:val="0"/>
      <w:marTop w:val="0"/>
      <w:marBottom w:val="0"/>
      <w:divBdr>
        <w:top w:val="none" w:sz="0" w:space="0" w:color="auto"/>
        <w:left w:val="none" w:sz="0" w:space="0" w:color="auto"/>
        <w:bottom w:val="none" w:sz="0" w:space="0" w:color="auto"/>
        <w:right w:val="none" w:sz="0" w:space="0" w:color="auto"/>
      </w:divBdr>
    </w:div>
    <w:div w:id="934022860">
      <w:bodyDiv w:val="1"/>
      <w:marLeft w:val="0"/>
      <w:marRight w:val="0"/>
      <w:marTop w:val="0"/>
      <w:marBottom w:val="0"/>
      <w:divBdr>
        <w:top w:val="none" w:sz="0" w:space="0" w:color="auto"/>
        <w:left w:val="none" w:sz="0" w:space="0" w:color="auto"/>
        <w:bottom w:val="none" w:sz="0" w:space="0" w:color="auto"/>
        <w:right w:val="none" w:sz="0" w:space="0" w:color="auto"/>
      </w:divBdr>
    </w:div>
    <w:div w:id="935207287">
      <w:bodyDiv w:val="1"/>
      <w:marLeft w:val="0"/>
      <w:marRight w:val="0"/>
      <w:marTop w:val="0"/>
      <w:marBottom w:val="0"/>
      <w:divBdr>
        <w:top w:val="none" w:sz="0" w:space="0" w:color="auto"/>
        <w:left w:val="none" w:sz="0" w:space="0" w:color="auto"/>
        <w:bottom w:val="none" w:sz="0" w:space="0" w:color="auto"/>
        <w:right w:val="none" w:sz="0" w:space="0" w:color="auto"/>
      </w:divBdr>
    </w:div>
    <w:div w:id="937323516">
      <w:bodyDiv w:val="1"/>
      <w:marLeft w:val="0"/>
      <w:marRight w:val="0"/>
      <w:marTop w:val="0"/>
      <w:marBottom w:val="0"/>
      <w:divBdr>
        <w:top w:val="none" w:sz="0" w:space="0" w:color="auto"/>
        <w:left w:val="none" w:sz="0" w:space="0" w:color="auto"/>
        <w:bottom w:val="none" w:sz="0" w:space="0" w:color="auto"/>
        <w:right w:val="none" w:sz="0" w:space="0" w:color="auto"/>
      </w:divBdr>
    </w:div>
    <w:div w:id="944776631">
      <w:bodyDiv w:val="1"/>
      <w:marLeft w:val="0"/>
      <w:marRight w:val="0"/>
      <w:marTop w:val="0"/>
      <w:marBottom w:val="0"/>
      <w:divBdr>
        <w:top w:val="none" w:sz="0" w:space="0" w:color="auto"/>
        <w:left w:val="none" w:sz="0" w:space="0" w:color="auto"/>
        <w:bottom w:val="none" w:sz="0" w:space="0" w:color="auto"/>
        <w:right w:val="none" w:sz="0" w:space="0" w:color="auto"/>
      </w:divBdr>
    </w:div>
    <w:div w:id="974871338">
      <w:bodyDiv w:val="1"/>
      <w:marLeft w:val="0"/>
      <w:marRight w:val="0"/>
      <w:marTop w:val="0"/>
      <w:marBottom w:val="0"/>
      <w:divBdr>
        <w:top w:val="none" w:sz="0" w:space="0" w:color="auto"/>
        <w:left w:val="none" w:sz="0" w:space="0" w:color="auto"/>
        <w:bottom w:val="none" w:sz="0" w:space="0" w:color="auto"/>
        <w:right w:val="none" w:sz="0" w:space="0" w:color="auto"/>
      </w:divBdr>
    </w:div>
    <w:div w:id="980887890">
      <w:bodyDiv w:val="1"/>
      <w:marLeft w:val="0"/>
      <w:marRight w:val="0"/>
      <w:marTop w:val="0"/>
      <w:marBottom w:val="0"/>
      <w:divBdr>
        <w:top w:val="none" w:sz="0" w:space="0" w:color="auto"/>
        <w:left w:val="none" w:sz="0" w:space="0" w:color="auto"/>
        <w:bottom w:val="none" w:sz="0" w:space="0" w:color="auto"/>
        <w:right w:val="none" w:sz="0" w:space="0" w:color="auto"/>
      </w:divBdr>
    </w:div>
    <w:div w:id="995694063">
      <w:bodyDiv w:val="1"/>
      <w:marLeft w:val="0"/>
      <w:marRight w:val="0"/>
      <w:marTop w:val="0"/>
      <w:marBottom w:val="0"/>
      <w:divBdr>
        <w:top w:val="none" w:sz="0" w:space="0" w:color="auto"/>
        <w:left w:val="none" w:sz="0" w:space="0" w:color="auto"/>
        <w:bottom w:val="none" w:sz="0" w:space="0" w:color="auto"/>
        <w:right w:val="none" w:sz="0" w:space="0" w:color="auto"/>
      </w:divBdr>
    </w:div>
    <w:div w:id="1000354866">
      <w:bodyDiv w:val="1"/>
      <w:marLeft w:val="0"/>
      <w:marRight w:val="0"/>
      <w:marTop w:val="0"/>
      <w:marBottom w:val="0"/>
      <w:divBdr>
        <w:top w:val="none" w:sz="0" w:space="0" w:color="auto"/>
        <w:left w:val="none" w:sz="0" w:space="0" w:color="auto"/>
        <w:bottom w:val="none" w:sz="0" w:space="0" w:color="auto"/>
        <w:right w:val="none" w:sz="0" w:space="0" w:color="auto"/>
      </w:divBdr>
    </w:div>
    <w:div w:id="1017120639">
      <w:bodyDiv w:val="1"/>
      <w:marLeft w:val="0"/>
      <w:marRight w:val="0"/>
      <w:marTop w:val="0"/>
      <w:marBottom w:val="0"/>
      <w:divBdr>
        <w:top w:val="none" w:sz="0" w:space="0" w:color="auto"/>
        <w:left w:val="none" w:sz="0" w:space="0" w:color="auto"/>
        <w:bottom w:val="none" w:sz="0" w:space="0" w:color="auto"/>
        <w:right w:val="none" w:sz="0" w:space="0" w:color="auto"/>
      </w:divBdr>
    </w:div>
    <w:div w:id="1079328225">
      <w:bodyDiv w:val="1"/>
      <w:marLeft w:val="0"/>
      <w:marRight w:val="0"/>
      <w:marTop w:val="0"/>
      <w:marBottom w:val="0"/>
      <w:divBdr>
        <w:top w:val="none" w:sz="0" w:space="0" w:color="auto"/>
        <w:left w:val="none" w:sz="0" w:space="0" w:color="auto"/>
        <w:bottom w:val="none" w:sz="0" w:space="0" w:color="auto"/>
        <w:right w:val="none" w:sz="0" w:space="0" w:color="auto"/>
      </w:divBdr>
    </w:div>
    <w:div w:id="1085956156">
      <w:bodyDiv w:val="1"/>
      <w:marLeft w:val="0"/>
      <w:marRight w:val="0"/>
      <w:marTop w:val="0"/>
      <w:marBottom w:val="0"/>
      <w:divBdr>
        <w:top w:val="none" w:sz="0" w:space="0" w:color="auto"/>
        <w:left w:val="none" w:sz="0" w:space="0" w:color="auto"/>
        <w:bottom w:val="none" w:sz="0" w:space="0" w:color="auto"/>
        <w:right w:val="none" w:sz="0" w:space="0" w:color="auto"/>
      </w:divBdr>
    </w:div>
    <w:div w:id="1088113647">
      <w:bodyDiv w:val="1"/>
      <w:marLeft w:val="0"/>
      <w:marRight w:val="0"/>
      <w:marTop w:val="0"/>
      <w:marBottom w:val="0"/>
      <w:divBdr>
        <w:top w:val="none" w:sz="0" w:space="0" w:color="auto"/>
        <w:left w:val="none" w:sz="0" w:space="0" w:color="auto"/>
        <w:bottom w:val="none" w:sz="0" w:space="0" w:color="auto"/>
        <w:right w:val="none" w:sz="0" w:space="0" w:color="auto"/>
      </w:divBdr>
    </w:div>
    <w:div w:id="1133403031">
      <w:bodyDiv w:val="1"/>
      <w:marLeft w:val="0"/>
      <w:marRight w:val="0"/>
      <w:marTop w:val="0"/>
      <w:marBottom w:val="0"/>
      <w:divBdr>
        <w:top w:val="none" w:sz="0" w:space="0" w:color="auto"/>
        <w:left w:val="none" w:sz="0" w:space="0" w:color="auto"/>
        <w:bottom w:val="none" w:sz="0" w:space="0" w:color="auto"/>
        <w:right w:val="none" w:sz="0" w:space="0" w:color="auto"/>
      </w:divBdr>
    </w:div>
    <w:div w:id="1147475491">
      <w:bodyDiv w:val="1"/>
      <w:marLeft w:val="0"/>
      <w:marRight w:val="0"/>
      <w:marTop w:val="0"/>
      <w:marBottom w:val="0"/>
      <w:divBdr>
        <w:top w:val="none" w:sz="0" w:space="0" w:color="auto"/>
        <w:left w:val="none" w:sz="0" w:space="0" w:color="auto"/>
        <w:bottom w:val="none" w:sz="0" w:space="0" w:color="auto"/>
        <w:right w:val="none" w:sz="0" w:space="0" w:color="auto"/>
      </w:divBdr>
    </w:div>
    <w:div w:id="1159544014">
      <w:bodyDiv w:val="1"/>
      <w:marLeft w:val="0"/>
      <w:marRight w:val="0"/>
      <w:marTop w:val="0"/>
      <w:marBottom w:val="0"/>
      <w:divBdr>
        <w:top w:val="none" w:sz="0" w:space="0" w:color="auto"/>
        <w:left w:val="none" w:sz="0" w:space="0" w:color="auto"/>
        <w:bottom w:val="none" w:sz="0" w:space="0" w:color="auto"/>
        <w:right w:val="none" w:sz="0" w:space="0" w:color="auto"/>
      </w:divBdr>
    </w:div>
    <w:div w:id="1161388682">
      <w:bodyDiv w:val="1"/>
      <w:marLeft w:val="0"/>
      <w:marRight w:val="0"/>
      <w:marTop w:val="0"/>
      <w:marBottom w:val="0"/>
      <w:divBdr>
        <w:top w:val="none" w:sz="0" w:space="0" w:color="auto"/>
        <w:left w:val="none" w:sz="0" w:space="0" w:color="auto"/>
        <w:bottom w:val="none" w:sz="0" w:space="0" w:color="auto"/>
        <w:right w:val="none" w:sz="0" w:space="0" w:color="auto"/>
      </w:divBdr>
    </w:div>
    <w:div w:id="1209536237">
      <w:bodyDiv w:val="1"/>
      <w:marLeft w:val="0"/>
      <w:marRight w:val="0"/>
      <w:marTop w:val="0"/>
      <w:marBottom w:val="0"/>
      <w:divBdr>
        <w:top w:val="none" w:sz="0" w:space="0" w:color="auto"/>
        <w:left w:val="none" w:sz="0" w:space="0" w:color="auto"/>
        <w:bottom w:val="none" w:sz="0" w:space="0" w:color="auto"/>
        <w:right w:val="none" w:sz="0" w:space="0" w:color="auto"/>
      </w:divBdr>
    </w:div>
    <w:div w:id="1220826243">
      <w:bodyDiv w:val="1"/>
      <w:marLeft w:val="0"/>
      <w:marRight w:val="0"/>
      <w:marTop w:val="0"/>
      <w:marBottom w:val="0"/>
      <w:divBdr>
        <w:top w:val="none" w:sz="0" w:space="0" w:color="auto"/>
        <w:left w:val="none" w:sz="0" w:space="0" w:color="auto"/>
        <w:bottom w:val="none" w:sz="0" w:space="0" w:color="auto"/>
        <w:right w:val="none" w:sz="0" w:space="0" w:color="auto"/>
      </w:divBdr>
    </w:div>
    <w:div w:id="1240867634">
      <w:bodyDiv w:val="1"/>
      <w:marLeft w:val="0"/>
      <w:marRight w:val="0"/>
      <w:marTop w:val="0"/>
      <w:marBottom w:val="0"/>
      <w:divBdr>
        <w:top w:val="none" w:sz="0" w:space="0" w:color="auto"/>
        <w:left w:val="none" w:sz="0" w:space="0" w:color="auto"/>
        <w:bottom w:val="none" w:sz="0" w:space="0" w:color="auto"/>
        <w:right w:val="none" w:sz="0" w:space="0" w:color="auto"/>
      </w:divBdr>
    </w:div>
    <w:div w:id="1244532656">
      <w:bodyDiv w:val="1"/>
      <w:marLeft w:val="0"/>
      <w:marRight w:val="0"/>
      <w:marTop w:val="0"/>
      <w:marBottom w:val="0"/>
      <w:divBdr>
        <w:top w:val="none" w:sz="0" w:space="0" w:color="auto"/>
        <w:left w:val="none" w:sz="0" w:space="0" w:color="auto"/>
        <w:bottom w:val="none" w:sz="0" w:space="0" w:color="auto"/>
        <w:right w:val="none" w:sz="0" w:space="0" w:color="auto"/>
      </w:divBdr>
    </w:div>
    <w:div w:id="1261599516">
      <w:bodyDiv w:val="1"/>
      <w:marLeft w:val="0"/>
      <w:marRight w:val="0"/>
      <w:marTop w:val="0"/>
      <w:marBottom w:val="0"/>
      <w:divBdr>
        <w:top w:val="none" w:sz="0" w:space="0" w:color="auto"/>
        <w:left w:val="none" w:sz="0" w:space="0" w:color="auto"/>
        <w:bottom w:val="none" w:sz="0" w:space="0" w:color="auto"/>
        <w:right w:val="none" w:sz="0" w:space="0" w:color="auto"/>
      </w:divBdr>
    </w:div>
    <w:div w:id="1268002783">
      <w:bodyDiv w:val="1"/>
      <w:marLeft w:val="0"/>
      <w:marRight w:val="0"/>
      <w:marTop w:val="0"/>
      <w:marBottom w:val="0"/>
      <w:divBdr>
        <w:top w:val="none" w:sz="0" w:space="0" w:color="auto"/>
        <w:left w:val="none" w:sz="0" w:space="0" w:color="auto"/>
        <w:bottom w:val="none" w:sz="0" w:space="0" w:color="auto"/>
        <w:right w:val="none" w:sz="0" w:space="0" w:color="auto"/>
      </w:divBdr>
    </w:div>
    <w:div w:id="1276517837">
      <w:bodyDiv w:val="1"/>
      <w:marLeft w:val="0"/>
      <w:marRight w:val="0"/>
      <w:marTop w:val="0"/>
      <w:marBottom w:val="0"/>
      <w:divBdr>
        <w:top w:val="none" w:sz="0" w:space="0" w:color="auto"/>
        <w:left w:val="none" w:sz="0" w:space="0" w:color="auto"/>
        <w:bottom w:val="none" w:sz="0" w:space="0" w:color="auto"/>
        <w:right w:val="none" w:sz="0" w:space="0" w:color="auto"/>
      </w:divBdr>
    </w:div>
    <w:div w:id="1284842249">
      <w:bodyDiv w:val="1"/>
      <w:marLeft w:val="0"/>
      <w:marRight w:val="0"/>
      <w:marTop w:val="0"/>
      <w:marBottom w:val="0"/>
      <w:divBdr>
        <w:top w:val="none" w:sz="0" w:space="0" w:color="auto"/>
        <w:left w:val="none" w:sz="0" w:space="0" w:color="auto"/>
        <w:bottom w:val="none" w:sz="0" w:space="0" w:color="auto"/>
        <w:right w:val="none" w:sz="0" w:space="0" w:color="auto"/>
      </w:divBdr>
    </w:div>
    <w:div w:id="1297949117">
      <w:bodyDiv w:val="1"/>
      <w:marLeft w:val="0"/>
      <w:marRight w:val="0"/>
      <w:marTop w:val="0"/>
      <w:marBottom w:val="0"/>
      <w:divBdr>
        <w:top w:val="none" w:sz="0" w:space="0" w:color="auto"/>
        <w:left w:val="none" w:sz="0" w:space="0" w:color="auto"/>
        <w:bottom w:val="none" w:sz="0" w:space="0" w:color="auto"/>
        <w:right w:val="none" w:sz="0" w:space="0" w:color="auto"/>
      </w:divBdr>
    </w:div>
    <w:div w:id="1334380363">
      <w:bodyDiv w:val="1"/>
      <w:marLeft w:val="0"/>
      <w:marRight w:val="0"/>
      <w:marTop w:val="0"/>
      <w:marBottom w:val="0"/>
      <w:divBdr>
        <w:top w:val="none" w:sz="0" w:space="0" w:color="auto"/>
        <w:left w:val="none" w:sz="0" w:space="0" w:color="auto"/>
        <w:bottom w:val="none" w:sz="0" w:space="0" w:color="auto"/>
        <w:right w:val="none" w:sz="0" w:space="0" w:color="auto"/>
      </w:divBdr>
    </w:div>
    <w:div w:id="1335916810">
      <w:bodyDiv w:val="1"/>
      <w:marLeft w:val="0"/>
      <w:marRight w:val="0"/>
      <w:marTop w:val="0"/>
      <w:marBottom w:val="0"/>
      <w:divBdr>
        <w:top w:val="none" w:sz="0" w:space="0" w:color="auto"/>
        <w:left w:val="none" w:sz="0" w:space="0" w:color="auto"/>
        <w:bottom w:val="none" w:sz="0" w:space="0" w:color="auto"/>
        <w:right w:val="none" w:sz="0" w:space="0" w:color="auto"/>
      </w:divBdr>
    </w:div>
    <w:div w:id="1348368524">
      <w:bodyDiv w:val="1"/>
      <w:marLeft w:val="0"/>
      <w:marRight w:val="0"/>
      <w:marTop w:val="0"/>
      <w:marBottom w:val="0"/>
      <w:divBdr>
        <w:top w:val="none" w:sz="0" w:space="0" w:color="auto"/>
        <w:left w:val="none" w:sz="0" w:space="0" w:color="auto"/>
        <w:bottom w:val="none" w:sz="0" w:space="0" w:color="auto"/>
        <w:right w:val="none" w:sz="0" w:space="0" w:color="auto"/>
      </w:divBdr>
    </w:div>
    <w:div w:id="1362782728">
      <w:bodyDiv w:val="1"/>
      <w:marLeft w:val="0"/>
      <w:marRight w:val="0"/>
      <w:marTop w:val="0"/>
      <w:marBottom w:val="0"/>
      <w:divBdr>
        <w:top w:val="none" w:sz="0" w:space="0" w:color="auto"/>
        <w:left w:val="none" w:sz="0" w:space="0" w:color="auto"/>
        <w:bottom w:val="none" w:sz="0" w:space="0" w:color="auto"/>
        <w:right w:val="none" w:sz="0" w:space="0" w:color="auto"/>
      </w:divBdr>
    </w:div>
    <w:div w:id="1374846031">
      <w:bodyDiv w:val="1"/>
      <w:marLeft w:val="0"/>
      <w:marRight w:val="0"/>
      <w:marTop w:val="0"/>
      <w:marBottom w:val="0"/>
      <w:divBdr>
        <w:top w:val="none" w:sz="0" w:space="0" w:color="auto"/>
        <w:left w:val="none" w:sz="0" w:space="0" w:color="auto"/>
        <w:bottom w:val="none" w:sz="0" w:space="0" w:color="auto"/>
        <w:right w:val="none" w:sz="0" w:space="0" w:color="auto"/>
      </w:divBdr>
    </w:div>
    <w:div w:id="1397967953">
      <w:bodyDiv w:val="1"/>
      <w:marLeft w:val="0"/>
      <w:marRight w:val="0"/>
      <w:marTop w:val="0"/>
      <w:marBottom w:val="0"/>
      <w:divBdr>
        <w:top w:val="none" w:sz="0" w:space="0" w:color="auto"/>
        <w:left w:val="none" w:sz="0" w:space="0" w:color="auto"/>
        <w:bottom w:val="none" w:sz="0" w:space="0" w:color="auto"/>
        <w:right w:val="none" w:sz="0" w:space="0" w:color="auto"/>
      </w:divBdr>
    </w:div>
    <w:div w:id="1423333955">
      <w:bodyDiv w:val="1"/>
      <w:marLeft w:val="0"/>
      <w:marRight w:val="0"/>
      <w:marTop w:val="0"/>
      <w:marBottom w:val="0"/>
      <w:divBdr>
        <w:top w:val="none" w:sz="0" w:space="0" w:color="auto"/>
        <w:left w:val="none" w:sz="0" w:space="0" w:color="auto"/>
        <w:bottom w:val="none" w:sz="0" w:space="0" w:color="auto"/>
        <w:right w:val="none" w:sz="0" w:space="0" w:color="auto"/>
      </w:divBdr>
    </w:div>
    <w:div w:id="1432975185">
      <w:bodyDiv w:val="1"/>
      <w:marLeft w:val="0"/>
      <w:marRight w:val="0"/>
      <w:marTop w:val="0"/>
      <w:marBottom w:val="0"/>
      <w:divBdr>
        <w:top w:val="none" w:sz="0" w:space="0" w:color="auto"/>
        <w:left w:val="none" w:sz="0" w:space="0" w:color="auto"/>
        <w:bottom w:val="none" w:sz="0" w:space="0" w:color="auto"/>
        <w:right w:val="none" w:sz="0" w:space="0" w:color="auto"/>
      </w:divBdr>
    </w:div>
    <w:div w:id="1466237612">
      <w:bodyDiv w:val="1"/>
      <w:marLeft w:val="0"/>
      <w:marRight w:val="0"/>
      <w:marTop w:val="0"/>
      <w:marBottom w:val="0"/>
      <w:divBdr>
        <w:top w:val="none" w:sz="0" w:space="0" w:color="auto"/>
        <w:left w:val="none" w:sz="0" w:space="0" w:color="auto"/>
        <w:bottom w:val="none" w:sz="0" w:space="0" w:color="auto"/>
        <w:right w:val="none" w:sz="0" w:space="0" w:color="auto"/>
      </w:divBdr>
    </w:div>
    <w:div w:id="1479422046">
      <w:bodyDiv w:val="1"/>
      <w:marLeft w:val="0"/>
      <w:marRight w:val="0"/>
      <w:marTop w:val="0"/>
      <w:marBottom w:val="0"/>
      <w:divBdr>
        <w:top w:val="none" w:sz="0" w:space="0" w:color="auto"/>
        <w:left w:val="none" w:sz="0" w:space="0" w:color="auto"/>
        <w:bottom w:val="none" w:sz="0" w:space="0" w:color="auto"/>
        <w:right w:val="none" w:sz="0" w:space="0" w:color="auto"/>
      </w:divBdr>
    </w:div>
    <w:div w:id="1487818916">
      <w:bodyDiv w:val="1"/>
      <w:marLeft w:val="0"/>
      <w:marRight w:val="0"/>
      <w:marTop w:val="0"/>
      <w:marBottom w:val="0"/>
      <w:divBdr>
        <w:top w:val="none" w:sz="0" w:space="0" w:color="auto"/>
        <w:left w:val="none" w:sz="0" w:space="0" w:color="auto"/>
        <w:bottom w:val="none" w:sz="0" w:space="0" w:color="auto"/>
        <w:right w:val="none" w:sz="0" w:space="0" w:color="auto"/>
      </w:divBdr>
    </w:div>
    <w:div w:id="1505437574">
      <w:bodyDiv w:val="1"/>
      <w:marLeft w:val="0"/>
      <w:marRight w:val="0"/>
      <w:marTop w:val="0"/>
      <w:marBottom w:val="0"/>
      <w:divBdr>
        <w:top w:val="none" w:sz="0" w:space="0" w:color="auto"/>
        <w:left w:val="none" w:sz="0" w:space="0" w:color="auto"/>
        <w:bottom w:val="none" w:sz="0" w:space="0" w:color="auto"/>
        <w:right w:val="none" w:sz="0" w:space="0" w:color="auto"/>
      </w:divBdr>
    </w:div>
    <w:div w:id="1514689876">
      <w:bodyDiv w:val="1"/>
      <w:marLeft w:val="0"/>
      <w:marRight w:val="0"/>
      <w:marTop w:val="0"/>
      <w:marBottom w:val="0"/>
      <w:divBdr>
        <w:top w:val="none" w:sz="0" w:space="0" w:color="auto"/>
        <w:left w:val="none" w:sz="0" w:space="0" w:color="auto"/>
        <w:bottom w:val="none" w:sz="0" w:space="0" w:color="auto"/>
        <w:right w:val="none" w:sz="0" w:space="0" w:color="auto"/>
      </w:divBdr>
    </w:div>
    <w:div w:id="1549029896">
      <w:bodyDiv w:val="1"/>
      <w:marLeft w:val="0"/>
      <w:marRight w:val="0"/>
      <w:marTop w:val="0"/>
      <w:marBottom w:val="0"/>
      <w:divBdr>
        <w:top w:val="none" w:sz="0" w:space="0" w:color="auto"/>
        <w:left w:val="none" w:sz="0" w:space="0" w:color="auto"/>
        <w:bottom w:val="none" w:sz="0" w:space="0" w:color="auto"/>
        <w:right w:val="none" w:sz="0" w:space="0" w:color="auto"/>
      </w:divBdr>
    </w:div>
    <w:div w:id="1582831123">
      <w:bodyDiv w:val="1"/>
      <w:marLeft w:val="0"/>
      <w:marRight w:val="0"/>
      <w:marTop w:val="0"/>
      <w:marBottom w:val="0"/>
      <w:divBdr>
        <w:top w:val="none" w:sz="0" w:space="0" w:color="auto"/>
        <w:left w:val="none" w:sz="0" w:space="0" w:color="auto"/>
        <w:bottom w:val="none" w:sz="0" w:space="0" w:color="auto"/>
        <w:right w:val="none" w:sz="0" w:space="0" w:color="auto"/>
      </w:divBdr>
    </w:div>
    <w:div w:id="1621454543">
      <w:bodyDiv w:val="1"/>
      <w:marLeft w:val="0"/>
      <w:marRight w:val="0"/>
      <w:marTop w:val="0"/>
      <w:marBottom w:val="0"/>
      <w:divBdr>
        <w:top w:val="none" w:sz="0" w:space="0" w:color="auto"/>
        <w:left w:val="none" w:sz="0" w:space="0" w:color="auto"/>
        <w:bottom w:val="none" w:sz="0" w:space="0" w:color="auto"/>
        <w:right w:val="none" w:sz="0" w:space="0" w:color="auto"/>
      </w:divBdr>
    </w:div>
    <w:div w:id="1649819338">
      <w:bodyDiv w:val="1"/>
      <w:marLeft w:val="0"/>
      <w:marRight w:val="0"/>
      <w:marTop w:val="0"/>
      <w:marBottom w:val="0"/>
      <w:divBdr>
        <w:top w:val="none" w:sz="0" w:space="0" w:color="auto"/>
        <w:left w:val="none" w:sz="0" w:space="0" w:color="auto"/>
        <w:bottom w:val="none" w:sz="0" w:space="0" w:color="auto"/>
        <w:right w:val="none" w:sz="0" w:space="0" w:color="auto"/>
      </w:divBdr>
    </w:div>
    <w:div w:id="1659845747">
      <w:bodyDiv w:val="1"/>
      <w:marLeft w:val="0"/>
      <w:marRight w:val="0"/>
      <w:marTop w:val="0"/>
      <w:marBottom w:val="0"/>
      <w:divBdr>
        <w:top w:val="none" w:sz="0" w:space="0" w:color="auto"/>
        <w:left w:val="none" w:sz="0" w:space="0" w:color="auto"/>
        <w:bottom w:val="none" w:sz="0" w:space="0" w:color="auto"/>
        <w:right w:val="none" w:sz="0" w:space="0" w:color="auto"/>
      </w:divBdr>
    </w:div>
    <w:div w:id="1704748685">
      <w:bodyDiv w:val="1"/>
      <w:marLeft w:val="0"/>
      <w:marRight w:val="0"/>
      <w:marTop w:val="0"/>
      <w:marBottom w:val="0"/>
      <w:divBdr>
        <w:top w:val="none" w:sz="0" w:space="0" w:color="auto"/>
        <w:left w:val="none" w:sz="0" w:space="0" w:color="auto"/>
        <w:bottom w:val="none" w:sz="0" w:space="0" w:color="auto"/>
        <w:right w:val="none" w:sz="0" w:space="0" w:color="auto"/>
      </w:divBdr>
    </w:div>
    <w:div w:id="1764641348">
      <w:bodyDiv w:val="1"/>
      <w:marLeft w:val="0"/>
      <w:marRight w:val="0"/>
      <w:marTop w:val="0"/>
      <w:marBottom w:val="0"/>
      <w:divBdr>
        <w:top w:val="none" w:sz="0" w:space="0" w:color="auto"/>
        <w:left w:val="none" w:sz="0" w:space="0" w:color="auto"/>
        <w:bottom w:val="none" w:sz="0" w:space="0" w:color="auto"/>
        <w:right w:val="none" w:sz="0" w:space="0" w:color="auto"/>
      </w:divBdr>
    </w:div>
    <w:div w:id="1799301670">
      <w:bodyDiv w:val="1"/>
      <w:marLeft w:val="0"/>
      <w:marRight w:val="0"/>
      <w:marTop w:val="0"/>
      <w:marBottom w:val="0"/>
      <w:divBdr>
        <w:top w:val="none" w:sz="0" w:space="0" w:color="auto"/>
        <w:left w:val="none" w:sz="0" w:space="0" w:color="auto"/>
        <w:bottom w:val="none" w:sz="0" w:space="0" w:color="auto"/>
        <w:right w:val="none" w:sz="0" w:space="0" w:color="auto"/>
      </w:divBdr>
    </w:div>
    <w:div w:id="1812021925">
      <w:bodyDiv w:val="1"/>
      <w:marLeft w:val="0"/>
      <w:marRight w:val="0"/>
      <w:marTop w:val="0"/>
      <w:marBottom w:val="0"/>
      <w:divBdr>
        <w:top w:val="none" w:sz="0" w:space="0" w:color="auto"/>
        <w:left w:val="none" w:sz="0" w:space="0" w:color="auto"/>
        <w:bottom w:val="none" w:sz="0" w:space="0" w:color="auto"/>
        <w:right w:val="none" w:sz="0" w:space="0" w:color="auto"/>
      </w:divBdr>
    </w:div>
    <w:div w:id="1835487940">
      <w:bodyDiv w:val="1"/>
      <w:marLeft w:val="0"/>
      <w:marRight w:val="0"/>
      <w:marTop w:val="0"/>
      <w:marBottom w:val="0"/>
      <w:divBdr>
        <w:top w:val="none" w:sz="0" w:space="0" w:color="auto"/>
        <w:left w:val="none" w:sz="0" w:space="0" w:color="auto"/>
        <w:bottom w:val="none" w:sz="0" w:space="0" w:color="auto"/>
        <w:right w:val="none" w:sz="0" w:space="0" w:color="auto"/>
      </w:divBdr>
    </w:div>
    <w:div w:id="1864590531">
      <w:bodyDiv w:val="1"/>
      <w:marLeft w:val="0"/>
      <w:marRight w:val="0"/>
      <w:marTop w:val="0"/>
      <w:marBottom w:val="0"/>
      <w:divBdr>
        <w:top w:val="none" w:sz="0" w:space="0" w:color="auto"/>
        <w:left w:val="none" w:sz="0" w:space="0" w:color="auto"/>
        <w:bottom w:val="none" w:sz="0" w:space="0" w:color="auto"/>
        <w:right w:val="none" w:sz="0" w:space="0" w:color="auto"/>
      </w:divBdr>
    </w:div>
    <w:div w:id="1875847988">
      <w:bodyDiv w:val="1"/>
      <w:marLeft w:val="0"/>
      <w:marRight w:val="0"/>
      <w:marTop w:val="0"/>
      <w:marBottom w:val="0"/>
      <w:divBdr>
        <w:top w:val="none" w:sz="0" w:space="0" w:color="auto"/>
        <w:left w:val="none" w:sz="0" w:space="0" w:color="auto"/>
        <w:bottom w:val="none" w:sz="0" w:space="0" w:color="auto"/>
        <w:right w:val="none" w:sz="0" w:space="0" w:color="auto"/>
      </w:divBdr>
    </w:div>
    <w:div w:id="1920602630">
      <w:bodyDiv w:val="1"/>
      <w:marLeft w:val="0"/>
      <w:marRight w:val="0"/>
      <w:marTop w:val="0"/>
      <w:marBottom w:val="0"/>
      <w:divBdr>
        <w:top w:val="none" w:sz="0" w:space="0" w:color="auto"/>
        <w:left w:val="none" w:sz="0" w:space="0" w:color="auto"/>
        <w:bottom w:val="none" w:sz="0" w:space="0" w:color="auto"/>
        <w:right w:val="none" w:sz="0" w:space="0" w:color="auto"/>
      </w:divBdr>
    </w:div>
    <w:div w:id="1948582208">
      <w:bodyDiv w:val="1"/>
      <w:marLeft w:val="0"/>
      <w:marRight w:val="0"/>
      <w:marTop w:val="0"/>
      <w:marBottom w:val="0"/>
      <w:divBdr>
        <w:top w:val="none" w:sz="0" w:space="0" w:color="auto"/>
        <w:left w:val="none" w:sz="0" w:space="0" w:color="auto"/>
        <w:bottom w:val="none" w:sz="0" w:space="0" w:color="auto"/>
        <w:right w:val="none" w:sz="0" w:space="0" w:color="auto"/>
      </w:divBdr>
      <w:divsChild>
        <w:div w:id="2066757866">
          <w:marLeft w:val="0"/>
          <w:marRight w:val="0"/>
          <w:marTop w:val="0"/>
          <w:marBottom w:val="0"/>
          <w:divBdr>
            <w:top w:val="none" w:sz="0" w:space="0" w:color="auto"/>
            <w:left w:val="none" w:sz="0" w:space="0" w:color="auto"/>
            <w:bottom w:val="none" w:sz="0" w:space="0" w:color="auto"/>
            <w:right w:val="none" w:sz="0" w:space="0" w:color="auto"/>
          </w:divBdr>
          <w:divsChild>
            <w:div w:id="1205024485">
              <w:marLeft w:val="0"/>
              <w:marRight w:val="0"/>
              <w:marTop w:val="0"/>
              <w:marBottom w:val="0"/>
              <w:divBdr>
                <w:top w:val="none" w:sz="0" w:space="0" w:color="auto"/>
                <w:left w:val="none" w:sz="0" w:space="0" w:color="auto"/>
                <w:bottom w:val="none" w:sz="0" w:space="0" w:color="auto"/>
                <w:right w:val="none" w:sz="0" w:space="0" w:color="auto"/>
              </w:divBdr>
              <w:divsChild>
                <w:div w:id="2090232297">
                  <w:marLeft w:val="0"/>
                  <w:marRight w:val="0"/>
                  <w:marTop w:val="0"/>
                  <w:marBottom w:val="0"/>
                  <w:divBdr>
                    <w:top w:val="none" w:sz="0" w:space="0" w:color="auto"/>
                    <w:left w:val="none" w:sz="0" w:space="0" w:color="auto"/>
                    <w:bottom w:val="none" w:sz="0" w:space="0" w:color="auto"/>
                    <w:right w:val="none" w:sz="0" w:space="0" w:color="auto"/>
                  </w:divBdr>
                  <w:divsChild>
                    <w:div w:id="885719283">
                      <w:marLeft w:val="0"/>
                      <w:marRight w:val="0"/>
                      <w:marTop w:val="0"/>
                      <w:marBottom w:val="0"/>
                      <w:divBdr>
                        <w:top w:val="none" w:sz="0" w:space="0" w:color="auto"/>
                        <w:left w:val="none" w:sz="0" w:space="0" w:color="auto"/>
                        <w:bottom w:val="none" w:sz="0" w:space="0" w:color="auto"/>
                        <w:right w:val="none" w:sz="0" w:space="0" w:color="auto"/>
                      </w:divBdr>
                      <w:divsChild>
                        <w:div w:id="112603761">
                          <w:marLeft w:val="0"/>
                          <w:marRight w:val="0"/>
                          <w:marTop w:val="0"/>
                          <w:marBottom w:val="0"/>
                          <w:divBdr>
                            <w:top w:val="none" w:sz="0" w:space="0" w:color="auto"/>
                            <w:left w:val="none" w:sz="0" w:space="0" w:color="auto"/>
                            <w:bottom w:val="none" w:sz="0" w:space="0" w:color="auto"/>
                            <w:right w:val="none" w:sz="0" w:space="0" w:color="auto"/>
                          </w:divBdr>
                          <w:divsChild>
                            <w:div w:id="22247002">
                              <w:marLeft w:val="0"/>
                              <w:marRight w:val="0"/>
                              <w:marTop w:val="0"/>
                              <w:marBottom w:val="0"/>
                              <w:divBdr>
                                <w:top w:val="none" w:sz="0" w:space="0" w:color="auto"/>
                                <w:left w:val="none" w:sz="0" w:space="0" w:color="auto"/>
                                <w:bottom w:val="none" w:sz="0" w:space="0" w:color="auto"/>
                                <w:right w:val="none" w:sz="0" w:space="0" w:color="auto"/>
                              </w:divBdr>
                              <w:divsChild>
                                <w:div w:id="2013026924">
                                  <w:marLeft w:val="0"/>
                                  <w:marRight w:val="0"/>
                                  <w:marTop w:val="0"/>
                                  <w:marBottom w:val="0"/>
                                  <w:divBdr>
                                    <w:top w:val="none" w:sz="0" w:space="0" w:color="auto"/>
                                    <w:left w:val="none" w:sz="0" w:space="0" w:color="auto"/>
                                    <w:bottom w:val="none" w:sz="0" w:space="0" w:color="auto"/>
                                    <w:right w:val="none" w:sz="0" w:space="0" w:color="auto"/>
                                  </w:divBdr>
                                  <w:divsChild>
                                    <w:div w:id="14272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971155">
                          <w:marLeft w:val="0"/>
                          <w:marRight w:val="0"/>
                          <w:marTop w:val="0"/>
                          <w:marBottom w:val="0"/>
                          <w:divBdr>
                            <w:top w:val="none" w:sz="0" w:space="0" w:color="auto"/>
                            <w:left w:val="none" w:sz="0" w:space="0" w:color="auto"/>
                            <w:bottom w:val="none" w:sz="0" w:space="0" w:color="auto"/>
                            <w:right w:val="none" w:sz="0" w:space="0" w:color="auto"/>
                          </w:divBdr>
                          <w:divsChild>
                            <w:div w:id="859973045">
                              <w:marLeft w:val="0"/>
                              <w:marRight w:val="0"/>
                              <w:marTop w:val="0"/>
                              <w:marBottom w:val="0"/>
                              <w:divBdr>
                                <w:top w:val="none" w:sz="0" w:space="0" w:color="auto"/>
                                <w:left w:val="none" w:sz="0" w:space="0" w:color="auto"/>
                                <w:bottom w:val="none" w:sz="0" w:space="0" w:color="auto"/>
                                <w:right w:val="none" w:sz="0" w:space="0" w:color="auto"/>
                              </w:divBdr>
                              <w:divsChild>
                                <w:div w:id="76056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468269">
      <w:bodyDiv w:val="1"/>
      <w:marLeft w:val="0"/>
      <w:marRight w:val="0"/>
      <w:marTop w:val="0"/>
      <w:marBottom w:val="0"/>
      <w:divBdr>
        <w:top w:val="none" w:sz="0" w:space="0" w:color="auto"/>
        <w:left w:val="none" w:sz="0" w:space="0" w:color="auto"/>
        <w:bottom w:val="none" w:sz="0" w:space="0" w:color="auto"/>
        <w:right w:val="none" w:sz="0" w:space="0" w:color="auto"/>
      </w:divBdr>
    </w:div>
    <w:div w:id="1977056258">
      <w:bodyDiv w:val="1"/>
      <w:marLeft w:val="0"/>
      <w:marRight w:val="0"/>
      <w:marTop w:val="0"/>
      <w:marBottom w:val="0"/>
      <w:divBdr>
        <w:top w:val="none" w:sz="0" w:space="0" w:color="auto"/>
        <w:left w:val="none" w:sz="0" w:space="0" w:color="auto"/>
        <w:bottom w:val="none" w:sz="0" w:space="0" w:color="auto"/>
        <w:right w:val="none" w:sz="0" w:space="0" w:color="auto"/>
      </w:divBdr>
    </w:div>
    <w:div w:id="1981687290">
      <w:bodyDiv w:val="1"/>
      <w:marLeft w:val="0"/>
      <w:marRight w:val="0"/>
      <w:marTop w:val="0"/>
      <w:marBottom w:val="0"/>
      <w:divBdr>
        <w:top w:val="none" w:sz="0" w:space="0" w:color="auto"/>
        <w:left w:val="none" w:sz="0" w:space="0" w:color="auto"/>
        <w:bottom w:val="none" w:sz="0" w:space="0" w:color="auto"/>
        <w:right w:val="none" w:sz="0" w:space="0" w:color="auto"/>
      </w:divBdr>
    </w:div>
    <w:div w:id="2001302416">
      <w:bodyDiv w:val="1"/>
      <w:marLeft w:val="0"/>
      <w:marRight w:val="0"/>
      <w:marTop w:val="0"/>
      <w:marBottom w:val="0"/>
      <w:divBdr>
        <w:top w:val="none" w:sz="0" w:space="0" w:color="auto"/>
        <w:left w:val="none" w:sz="0" w:space="0" w:color="auto"/>
        <w:bottom w:val="none" w:sz="0" w:space="0" w:color="auto"/>
        <w:right w:val="none" w:sz="0" w:space="0" w:color="auto"/>
      </w:divBdr>
    </w:div>
    <w:div w:id="2010061106">
      <w:bodyDiv w:val="1"/>
      <w:marLeft w:val="0"/>
      <w:marRight w:val="0"/>
      <w:marTop w:val="0"/>
      <w:marBottom w:val="0"/>
      <w:divBdr>
        <w:top w:val="none" w:sz="0" w:space="0" w:color="auto"/>
        <w:left w:val="none" w:sz="0" w:space="0" w:color="auto"/>
        <w:bottom w:val="none" w:sz="0" w:space="0" w:color="auto"/>
        <w:right w:val="none" w:sz="0" w:space="0" w:color="auto"/>
      </w:divBdr>
    </w:div>
    <w:div w:id="2072343593">
      <w:bodyDiv w:val="1"/>
      <w:marLeft w:val="0"/>
      <w:marRight w:val="0"/>
      <w:marTop w:val="0"/>
      <w:marBottom w:val="0"/>
      <w:divBdr>
        <w:top w:val="none" w:sz="0" w:space="0" w:color="auto"/>
        <w:left w:val="none" w:sz="0" w:space="0" w:color="auto"/>
        <w:bottom w:val="none" w:sz="0" w:space="0" w:color="auto"/>
        <w:right w:val="none" w:sz="0" w:space="0" w:color="auto"/>
      </w:divBdr>
    </w:div>
    <w:div w:id="2088109023">
      <w:bodyDiv w:val="1"/>
      <w:marLeft w:val="0"/>
      <w:marRight w:val="0"/>
      <w:marTop w:val="0"/>
      <w:marBottom w:val="0"/>
      <w:divBdr>
        <w:top w:val="none" w:sz="0" w:space="0" w:color="auto"/>
        <w:left w:val="none" w:sz="0" w:space="0" w:color="auto"/>
        <w:bottom w:val="none" w:sz="0" w:space="0" w:color="auto"/>
        <w:right w:val="none" w:sz="0" w:space="0" w:color="auto"/>
      </w:divBdr>
    </w:div>
    <w:div w:id="2108456661">
      <w:bodyDiv w:val="1"/>
      <w:marLeft w:val="0"/>
      <w:marRight w:val="0"/>
      <w:marTop w:val="0"/>
      <w:marBottom w:val="0"/>
      <w:divBdr>
        <w:top w:val="none" w:sz="0" w:space="0" w:color="auto"/>
        <w:left w:val="none" w:sz="0" w:space="0" w:color="auto"/>
        <w:bottom w:val="none" w:sz="0" w:space="0" w:color="auto"/>
        <w:right w:val="none" w:sz="0" w:space="0" w:color="auto"/>
      </w:divBdr>
    </w:div>
    <w:div w:id="2108841411">
      <w:bodyDiv w:val="1"/>
      <w:marLeft w:val="0"/>
      <w:marRight w:val="0"/>
      <w:marTop w:val="0"/>
      <w:marBottom w:val="0"/>
      <w:divBdr>
        <w:top w:val="none" w:sz="0" w:space="0" w:color="auto"/>
        <w:left w:val="none" w:sz="0" w:space="0" w:color="auto"/>
        <w:bottom w:val="none" w:sz="0" w:space="0" w:color="auto"/>
        <w:right w:val="none" w:sz="0" w:space="0" w:color="auto"/>
      </w:divBdr>
    </w:div>
    <w:div w:id="2126531997">
      <w:bodyDiv w:val="1"/>
      <w:marLeft w:val="0"/>
      <w:marRight w:val="0"/>
      <w:marTop w:val="0"/>
      <w:marBottom w:val="0"/>
      <w:divBdr>
        <w:top w:val="none" w:sz="0" w:space="0" w:color="auto"/>
        <w:left w:val="none" w:sz="0" w:space="0" w:color="auto"/>
        <w:bottom w:val="none" w:sz="0" w:space="0" w:color="auto"/>
        <w:right w:val="none" w:sz="0" w:space="0" w:color="auto"/>
      </w:divBdr>
    </w:div>
    <w:div w:id="214592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chart" Target="charts/chart1.xml"/><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oleObject" Target="embeddings/oleObject2.bin"/><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hrik\AppData\Local\Microsoft\Windows\INetCache\IE\3XVMIYKM\Kitty%5b1%5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469816272965886E-2"/>
          <c:y val="5.0925925925925923E-2"/>
          <c:w val="0.89653018372703408"/>
          <c:h val="0.73577136191309422"/>
        </c:manualLayout>
      </c:layout>
      <c:scatterChart>
        <c:scatterStyle val="smoothMarker"/>
        <c:varyColors val="0"/>
        <c:ser>
          <c:idx val="0"/>
          <c:order val="0"/>
          <c:tx>
            <c:strRef>
              <c:f>Sheet1!$B$37</c:f>
              <c:strCache>
                <c:ptCount val="1"/>
                <c:pt idx="0">
                  <c:v>Pure Drug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Sheet1!$A$38:$A$46</c:f>
              <c:numCache>
                <c:formatCode>General</c:formatCode>
                <c:ptCount val="9"/>
                <c:pt idx="0">
                  <c:v>0</c:v>
                </c:pt>
                <c:pt idx="1">
                  <c:v>1</c:v>
                </c:pt>
                <c:pt idx="2">
                  <c:v>2</c:v>
                </c:pt>
                <c:pt idx="3">
                  <c:v>3</c:v>
                </c:pt>
                <c:pt idx="4">
                  <c:v>4</c:v>
                </c:pt>
                <c:pt idx="5">
                  <c:v>5</c:v>
                </c:pt>
                <c:pt idx="6">
                  <c:v>6</c:v>
                </c:pt>
                <c:pt idx="7">
                  <c:v>7</c:v>
                </c:pt>
                <c:pt idx="8">
                  <c:v>8</c:v>
                </c:pt>
              </c:numCache>
            </c:numRef>
          </c:xVal>
          <c:yVal>
            <c:numRef>
              <c:f>Sheet1!$B$38:$B$46</c:f>
              <c:numCache>
                <c:formatCode>General</c:formatCode>
                <c:ptCount val="9"/>
                <c:pt idx="0">
                  <c:v>0</c:v>
                </c:pt>
                <c:pt idx="1">
                  <c:v>20</c:v>
                </c:pt>
                <c:pt idx="2">
                  <c:v>30</c:v>
                </c:pt>
                <c:pt idx="3">
                  <c:v>38</c:v>
                </c:pt>
                <c:pt idx="4">
                  <c:v>44</c:v>
                </c:pt>
                <c:pt idx="5">
                  <c:v>50</c:v>
                </c:pt>
                <c:pt idx="6">
                  <c:v>56</c:v>
                </c:pt>
                <c:pt idx="7">
                  <c:v>62</c:v>
                </c:pt>
                <c:pt idx="8">
                  <c:v>68</c:v>
                </c:pt>
              </c:numCache>
            </c:numRef>
          </c:yVal>
          <c:smooth val="1"/>
          <c:extLst>
            <c:ext xmlns:c16="http://schemas.microsoft.com/office/drawing/2014/chart" uri="{C3380CC4-5D6E-409C-BE32-E72D297353CC}">
              <c16:uniqueId val="{00000000-1BE0-4CC2-B77F-ABA955770B2B}"/>
            </c:ext>
          </c:extLst>
        </c:ser>
        <c:ser>
          <c:idx val="1"/>
          <c:order val="1"/>
          <c:tx>
            <c:strRef>
              <c:f>Sheet1!$C$37</c:f>
              <c:strCache>
                <c:ptCount val="1"/>
                <c:pt idx="0">
                  <c:v>F6 (%) (for comparison)</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Sheet1!$A$38:$A$46</c:f>
              <c:numCache>
                <c:formatCode>General</c:formatCode>
                <c:ptCount val="9"/>
                <c:pt idx="0">
                  <c:v>0</c:v>
                </c:pt>
                <c:pt idx="1">
                  <c:v>1</c:v>
                </c:pt>
                <c:pt idx="2">
                  <c:v>2</c:v>
                </c:pt>
                <c:pt idx="3">
                  <c:v>3</c:v>
                </c:pt>
                <c:pt idx="4">
                  <c:v>4</c:v>
                </c:pt>
                <c:pt idx="5">
                  <c:v>5</c:v>
                </c:pt>
                <c:pt idx="6">
                  <c:v>6</c:v>
                </c:pt>
                <c:pt idx="7">
                  <c:v>7</c:v>
                </c:pt>
                <c:pt idx="8">
                  <c:v>8</c:v>
                </c:pt>
              </c:numCache>
            </c:numRef>
          </c:xVal>
          <c:yVal>
            <c:numRef>
              <c:f>Sheet1!$C$38:$C$46</c:f>
              <c:numCache>
                <c:formatCode>General</c:formatCode>
                <c:ptCount val="9"/>
                <c:pt idx="0">
                  <c:v>0</c:v>
                </c:pt>
                <c:pt idx="1">
                  <c:v>12</c:v>
                </c:pt>
                <c:pt idx="2">
                  <c:v>24</c:v>
                </c:pt>
                <c:pt idx="3">
                  <c:v>36</c:v>
                </c:pt>
                <c:pt idx="4">
                  <c:v>48</c:v>
                </c:pt>
                <c:pt idx="5">
                  <c:v>60</c:v>
                </c:pt>
                <c:pt idx="6">
                  <c:v>70</c:v>
                </c:pt>
                <c:pt idx="7">
                  <c:v>78</c:v>
                </c:pt>
                <c:pt idx="8">
                  <c:v>85</c:v>
                </c:pt>
              </c:numCache>
            </c:numRef>
          </c:yVal>
          <c:smooth val="1"/>
          <c:extLst>
            <c:ext xmlns:c16="http://schemas.microsoft.com/office/drawing/2014/chart" uri="{C3380CC4-5D6E-409C-BE32-E72D297353CC}">
              <c16:uniqueId val="{00000001-1BE0-4CC2-B77F-ABA955770B2B}"/>
            </c:ext>
          </c:extLst>
        </c:ser>
        <c:dLbls>
          <c:showLegendKey val="0"/>
          <c:showVal val="0"/>
          <c:showCatName val="0"/>
          <c:showSerName val="0"/>
          <c:showPercent val="0"/>
          <c:showBubbleSize val="0"/>
        </c:dLbls>
        <c:axId val="241646575"/>
        <c:axId val="241644655"/>
      </c:scatterChart>
      <c:valAx>
        <c:axId val="241646575"/>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644655"/>
        <c:crosses val="autoZero"/>
        <c:crossBetween val="midCat"/>
      </c:valAx>
      <c:valAx>
        <c:axId val="241644655"/>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646575"/>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678</TotalTime>
  <Pages>11</Pages>
  <Words>3557</Words>
  <Characters>20276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Naik</dc:creator>
  <cp:keywords/>
  <dc:description/>
  <cp:lastModifiedBy>SDI 1084</cp:lastModifiedBy>
  <cp:revision>256</cp:revision>
  <dcterms:created xsi:type="dcterms:W3CDTF">2025-04-21T07:51:00Z</dcterms:created>
  <dcterms:modified xsi:type="dcterms:W3CDTF">2025-05-10T08:19:00Z</dcterms:modified>
</cp:coreProperties>
</file>