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5FF88" w14:textId="731A74B2" w:rsidR="00AD095B" w:rsidRPr="00AD095B" w:rsidRDefault="00AD095B" w:rsidP="00025CC6">
      <w:pPr>
        <w:pStyle w:val="ListParagraph"/>
        <w:spacing w:before="79" w:line="259" w:lineRule="auto"/>
        <w:ind w:right="-24"/>
        <w:jc w:val="right"/>
        <w:rPr>
          <w:rFonts w:ascii="Arial" w:hAnsi="Arial" w:cs="Arial"/>
          <w:b/>
          <w:spacing w:val="-2"/>
          <w:u w:val="single"/>
        </w:rPr>
      </w:pPr>
      <w:bookmarkStart w:id="0" w:name="_GoBack"/>
      <w:r w:rsidRPr="00AD095B">
        <w:rPr>
          <w:rFonts w:ascii="Arial" w:hAnsi="Arial" w:cs="Arial"/>
          <w:b/>
          <w:spacing w:val="-2"/>
          <w:u w:val="single"/>
        </w:rPr>
        <w:t>Original Research Article</w:t>
      </w:r>
    </w:p>
    <w:p w14:paraId="54327E58" w14:textId="0AE976FA" w:rsidR="00025CC6" w:rsidRPr="005E3326" w:rsidRDefault="00025CC6" w:rsidP="00025CC6">
      <w:pPr>
        <w:pStyle w:val="ListParagraph"/>
        <w:spacing w:before="79" w:line="259" w:lineRule="auto"/>
        <w:ind w:right="-24"/>
        <w:jc w:val="right"/>
        <w:rPr>
          <w:rFonts w:ascii="Arial" w:hAnsi="Arial" w:cs="Arial"/>
          <w:b/>
        </w:rPr>
      </w:pPr>
      <w:bookmarkStart w:id="1" w:name="_Hlk197429823"/>
      <w:bookmarkEnd w:id="0"/>
      <w:r w:rsidRPr="005E3326">
        <w:rPr>
          <w:rFonts w:ascii="Arial" w:hAnsi="Arial" w:cs="Arial"/>
          <w:b/>
          <w:spacing w:val="-2"/>
        </w:rPr>
        <w:t xml:space="preserve">FORMULATION AND </w:t>
      </w:r>
      <w:r w:rsidRPr="005E3326">
        <w:rPr>
          <w:rFonts w:ascii="Arial" w:hAnsi="Arial" w:cs="Arial"/>
          <w:b/>
          <w:i/>
          <w:spacing w:val="-2"/>
        </w:rPr>
        <w:t>IN VITRO</w:t>
      </w:r>
      <w:r w:rsidRPr="005E3326">
        <w:rPr>
          <w:rFonts w:ascii="Arial" w:hAnsi="Arial" w:cs="Arial"/>
          <w:b/>
          <w:spacing w:val="-2"/>
        </w:rPr>
        <w:t xml:space="preserve"> EVALUATION OF LORATADINE FLOATING SYSTEM CONTAINING </w:t>
      </w:r>
      <w:r w:rsidRPr="00E44D81">
        <w:rPr>
          <w:rFonts w:ascii="Arial" w:hAnsi="Arial" w:cs="Arial"/>
          <w:b/>
        </w:rPr>
        <w:t>HYDROPHOBIC</w:t>
      </w:r>
      <w:r w:rsidRPr="000D0C49">
        <w:rPr>
          <w:rFonts w:ascii="Arial" w:hAnsi="Arial" w:cs="Arial"/>
          <w:sz w:val="20"/>
          <w:szCs w:val="20"/>
        </w:rPr>
        <w:t xml:space="preserve"> </w:t>
      </w:r>
      <w:r w:rsidRPr="005E3326">
        <w:rPr>
          <w:rFonts w:ascii="Arial" w:hAnsi="Arial" w:cs="Arial"/>
          <w:b/>
        </w:rPr>
        <w:t>CARRIER GELUCIRE</w:t>
      </w:r>
      <w:r w:rsidRPr="005E3326">
        <w:rPr>
          <w:rFonts w:ascii="Arial" w:hAnsi="Arial" w:cs="Arial"/>
          <w:b/>
          <w:spacing w:val="-8"/>
        </w:rPr>
        <w:t xml:space="preserve"> </w:t>
      </w:r>
      <w:r w:rsidRPr="005E3326">
        <w:rPr>
          <w:rFonts w:ascii="Arial" w:hAnsi="Arial" w:cs="Arial"/>
          <w:b/>
        </w:rPr>
        <w:t>43/01</w:t>
      </w:r>
      <w:bookmarkEnd w:id="1"/>
    </w:p>
    <w:p w14:paraId="14D3EC0A" w14:textId="77777777" w:rsidR="00025CC6" w:rsidRDefault="00025CC6" w:rsidP="00270B10">
      <w:pPr>
        <w:spacing w:before="79"/>
        <w:ind w:right="-24"/>
        <w:rPr>
          <w:rFonts w:ascii="Arial" w:hAnsi="Arial" w:cs="Arial"/>
          <w:b/>
          <w:spacing w:val="-2"/>
        </w:rPr>
      </w:pPr>
    </w:p>
    <w:p w14:paraId="2112FC00" w14:textId="77777777" w:rsidR="00025CC6" w:rsidRDefault="00025CC6" w:rsidP="00270B10">
      <w:pPr>
        <w:spacing w:before="79"/>
        <w:ind w:right="-24"/>
        <w:rPr>
          <w:rFonts w:ascii="Arial" w:hAnsi="Arial" w:cs="Arial"/>
          <w:b/>
          <w:spacing w:val="-2"/>
        </w:rPr>
      </w:pPr>
    </w:p>
    <w:p w14:paraId="705A4099" w14:textId="77777777" w:rsidR="003201EC" w:rsidRPr="000D0C49" w:rsidRDefault="002A02BD" w:rsidP="00270B10">
      <w:pPr>
        <w:spacing w:before="79"/>
        <w:ind w:right="-24"/>
        <w:rPr>
          <w:rFonts w:ascii="Arial" w:hAnsi="Arial" w:cs="Arial"/>
          <w:b/>
          <w:sz w:val="20"/>
          <w:szCs w:val="20"/>
        </w:rPr>
      </w:pPr>
      <w:r w:rsidRPr="000D0C49">
        <w:rPr>
          <w:rFonts w:ascii="Arial" w:hAnsi="Arial" w:cs="Arial"/>
          <w:b/>
          <w:noProof/>
          <w:spacing w:val="-2"/>
          <w:lang w:eastAsia="en-IN"/>
        </w:rPr>
        <mc:AlternateContent>
          <mc:Choice Requires="wps">
            <w:drawing>
              <wp:anchor distT="0" distB="0" distL="114300" distR="114300" simplePos="0" relativeHeight="251667456" behindDoc="0" locked="0" layoutInCell="1" allowOverlap="1" wp14:anchorId="32913040" wp14:editId="06F4D1A8">
                <wp:simplePos x="0" y="0"/>
                <wp:positionH relativeFrom="margin">
                  <wp:posOffset>-191386</wp:posOffset>
                </wp:positionH>
                <wp:positionV relativeFrom="paragraph">
                  <wp:posOffset>244549</wp:posOffset>
                </wp:positionV>
                <wp:extent cx="6251944" cy="4189228"/>
                <wp:effectExtent l="0" t="0" r="15875" b="20955"/>
                <wp:wrapNone/>
                <wp:docPr id="4" name="Rectangle 4"/>
                <wp:cNvGraphicFramePr/>
                <a:graphic xmlns:a="http://schemas.openxmlformats.org/drawingml/2006/main">
                  <a:graphicData uri="http://schemas.microsoft.com/office/word/2010/wordprocessingShape">
                    <wps:wsp>
                      <wps:cNvSpPr/>
                      <wps:spPr>
                        <a:xfrm>
                          <a:off x="0" y="0"/>
                          <a:ext cx="6251944" cy="418922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1B54285" id="Rectangle 4" o:spid="_x0000_s1026" style="position:absolute;margin-left:-15.05pt;margin-top:19.25pt;width:492.3pt;height:329.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" filled="f" strokecolor="#1f4d78 [1604]" strokeweight="1pt">
                <w10:wrap anchorx="margin"/>
              </v:rect>
            </w:pict>
          </mc:Fallback>
        </mc:AlternateContent>
      </w:r>
      <w:r w:rsidRPr="000D0C49">
        <w:rPr>
          <w:rFonts w:ascii="Arial" w:hAnsi="Arial" w:cs="Arial"/>
          <w:b/>
          <w:spacing w:val="-2"/>
        </w:rPr>
        <w:t>ABSTRACT</w:t>
      </w:r>
    </w:p>
    <w:p w14:paraId="516D1B0D" w14:textId="77777777" w:rsidR="00CD178E" w:rsidRPr="000D0C49" w:rsidRDefault="009D3861" w:rsidP="00CD178E">
      <w:pPr>
        <w:pStyle w:val="Heading2"/>
        <w:spacing w:after="240"/>
        <w:ind w:left="0" w:right="119"/>
        <w:jc w:val="both"/>
        <w:rPr>
          <w:rFonts w:ascii="Arial" w:hAnsi="Arial" w:cs="Arial"/>
          <w:b w:val="0"/>
          <w:sz w:val="22"/>
          <w:szCs w:val="22"/>
        </w:rPr>
      </w:pPr>
      <w:r w:rsidRPr="000D0C49">
        <w:rPr>
          <w:rFonts w:ascii="Arial" w:hAnsi="Arial" w:cs="Arial"/>
          <w:position w:val="2"/>
          <w:sz w:val="22"/>
          <w:szCs w:val="22"/>
        </w:rPr>
        <w:t xml:space="preserve">Aim: </w:t>
      </w:r>
      <w:r w:rsidR="003201EC" w:rsidRPr="000D0C49">
        <w:rPr>
          <w:rFonts w:ascii="Arial" w:hAnsi="Arial" w:cs="Arial"/>
          <w:b w:val="0"/>
          <w:position w:val="2"/>
          <w:sz w:val="22"/>
          <w:szCs w:val="22"/>
        </w:rPr>
        <w:t xml:space="preserve">The </w:t>
      </w:r>
      <w:r w:rsidR="005E0954" w:rsidRPr="000D0C49">
        <w:rPr>
          <w:rFonts w:ascii="Arial" w:hAnsi="Arial" w:cs="Arial"/>
          <w:b w:val="0"/>
          <w:position w:val="2"/>
          <w:sz w:val="22"/>
          <w:szCs w:val="22"/>
        </w:rPr>
        <w:t xml:space="preserve">aim of the </w:t>
      </w:r>
      <w:r w:rsidR="003201EC" w:rsidRPr="000D0C49">
        <w:rPr>
          <w:rFonts w:ascii="Arial" w:hAnsi="Arial" w:cs="Arial"/>
          <w:b w:val="0"/>
          <w:position w:val="2"/>
          <w:sz w:val="22"/>
          <w:szCs w:val="22"/>
        </w:rPr>
        <w:t xml:space="preserve">present study is to </w:t>
      </w:r>
      <w:r w:rsidR="00CD178E" w:rsidRPr="000D0C49">
        <w:rPr>
          <w:rFonts w:ascii="Arial" w:hAnsi="Arial" w:cs="Arial"/>
          <w:b w:val="0"/>
          <w:position w:val="2"/>
          <w:sz w:val="22"/>
          <w:szCs w:val="22"/>
        </w:rPr>
        <w:t xml:space="preserve">develop Loratadine floating </w:t>
      </w:r>
      <w:proofErr w:type="gramStart"/>
      <w:r w:rsidR="00CD178E" w:rsidRPr="000D0C49">
        <w:rPr>
          <w:rFonts w:ascii="Arial" w:hAnsi="Arial" w:cs="Arial"/>
          <w:b w:val="0"/>
          <w:position w:val="2"/>
          <w:sz w:val="22"/>
          <w:szCs w:val="22"/>
        </w:rPr>
        <w:t>lipid based</w:t>
      </w:r>
      <w:proofErr w:type="gramEnd"/>
      <w:r w:rsidR="00CD178E" w:rsidRPr="000D0C49">
        <w:rPr>
          <w:rFonts w:ascii="Arial" w:hAnsi="Arial" w:cs="Arial"/>
          <w:b w:val="0"/>
          <w:position w:val="2"/>
          <w:sz w:val="22"/>
          <w:szCs w:val="22"/>
        </w:rPr>
        <w:t xml:space="preserve"> drug delivery system</w:t>
      </w:r>
      <w:r w:rsidR="00CD178E" w:rsidRPr="000D0C49">
        <w:rPr>
          <w:rFonts w:ascii="Arial" w:hAnsi="Arial" w:cs="Arial"/>
          <w:position w:val="2"/>
          <w:sz w:val="22"/>
          <w:szCs w:val="22"/>
        </w:rPr>
        <w:t xml:space="preserve"> </w:t>
      </w:r>
      <w:r w:rsidR="00CD178E" w:rsidRPr="000D0C49">
        <w:rPr>
          <w:rFonts w:ascii="Arial" w:hAnsi="Arial" w:cs="Arial"/>
          <w:b w:val="0"/>
          <w:sz w:val="22"/>
          <w:szCs w:val="22"/>
        </w:rPr>
        <w:t>for prolong gastric retention time and sustained drug release.</w:t>
      </w:r>
    </w:p>
    <w:p w14:paraId="61B3AA19" w14:textId="77777777" w:rsidR="002A02BD" w:rsidRPr="000D0C49" w:rsidRDefault="009D3861" w:rsidP="00C12CAE">
      <w:pPr>
        <w:pStyle w:val="BodyText"/>
        <w:tabs>
          <w:tab w:val="left" w:pos="9356"/>
        </w:tabs>
        <w:spacing w:before="238" w:after="160"/>
        <w:ind w:right="117"/>
        <w:jc w:val="both"/>
        <w:rPr>
          <w:rFonts w:ascii="Arial" w:hAnsi="Arial" w:cs="Arial"/>
          <w:spacing w:val="-5"/>
          <w:sz w:val="22"/>
          <w:szCs w:val="22"/>
        </w:rPr>
      </w:pPr>
      <w:r w:rsidRPr="000D0C49">
        <w:rPr>
          <w:rFonts w:ascii="Arial" w:hAnsi="Arial" w:cs="Arial"/>
          <w:b/>
          <w:spacing w:val="-5"/>
          <w:sz w:val="22"/>
          <w:szCs w:val="22"/>
        </w:rPr>
        <w:t>Place and Duration of Study:</w:t>
      </w:r>
      <w:r w:rsidRPr="000D0C49">
        <w:rPr>
          <w:rFonts w:ascii="Arial" w:hAnsi="Arial" w:cs="Arial"/>
          <w:spacing w:val="-5"/>
          <w:sz w:val="22"/>
          <w:szCs w:val="22"/>
        </w:rPr>
        <w:t xml:space="preserve"> KLE College of Pharmacy, Bengaluru</w:t>
      </w:r>
      <w:r w:rsidR="002A02BD" w:rsidRPr="000D0C49">
        <w:rPr>
          <w:rFonts w:ascii="Arial" w:hAnsi="Arial" w:cs="Arial"/>
          <w:spacing w:val="-5"/>
          <w:sz w:val="22"/>
          <w:szCs w:val="22"/>
        </w:rPr>
        <w:t xml:space="preserve"> Department of pharmaceutics, Between June 2024- March 2025.</w:t>
      </w:r>
    </w:p>
    <w:p w14:paraId="44915BE5" w14:textId="77777777" w:rsidR="005E0954" w:rsidRPr="000D0C49" w:rsidRDefault="002A02BD" w:rsidP="00C12CAE">
      <w:pPr>
        <w:pStyle w:val="BodyText"/>
        <w:tabs>
          <w:tab w:val="left" w:pos="9356"/>
        </w:tabs>
        <w:spacing w:before="238" w:after="160"/>
        <w:ind w:right="117"/>
        <w:jc w:val="both"/>
        <w:rPr>
          <w:rFonts w:ascii="Arial" w:hAnsi="Arial" w:cs="Arial"/>
          <w:sz w:val="22"/>
          <w:szCs w:val="22"/>
        </w:rPr>
      </w:pPr>
      <w:r w:rsidRPr="000D0C49">
        <w:rPr>
          <w:rFonts w:ascii="Arial" w:hAnsi="Arial" w:cs="Arial"/>
          <w:b/>
          <w:color w:val="000000"/>
          <w:sz w:val="22"/>
          <w:szCs w:val="22"/>
        </w:rPr>
        <w:t>Methodology:</w:t>
      </w:r>
      <w:r w:rsidRPr="000D0C49">
        <w:rPr>
          <w:rFonts w:ascii="Arial" w:hAnsi="Arial" w:cs="Arial"/>
          <w:color w:val="000000"/>
          <w:sz w:val="22"/>
          <w:szCs w:val="22"/>
        </w:rPr>
        <w:t xml:space="preserve"> </w:t>
      </w:r>
      <w:r w:rsidR="003201EC" w:rsidRPr="000D0C49">
        <w:rPr>
          <w:rFonts w:ascii="Arial" w:hAnsi="Arial" w:cs="Arial"/>
          <w:sz w:val="22"/>
          <w:szCs w:val="22"/>
        </w:rPr>
        <w:t>The</w:t>
      </w:r>
      <w:r w:rsidR="003201EC" w:rsidRPr="000D0C49">
        <w:rPr>
          <w:rFonts w:ascii="Arial" w:hAnsi="Arial" w:cs="Arial"/>
          <w:spacing w:val="-6"/>
          <w:sz w:val="22"/>
          <w:szCs w:val="22"/>
        </w:rPr>
        <w:t xml:space="preserve"> </w:t>
      </w:r>
      <w:proofErr w:type="gramStart"/>
      <w:r w:rsidR="003201EC" w:rsidRPr="000D0C49">
        <w:rPr>
          <w:rFonts w:ascii="Arial" w:hAnsi="Arial" w:cs="Arial"/>
          <w:sz w:val="22"/>
          <w:szCs w:val="22"/>
        </w:rPr>
        <w:t>lipid</w:t>
      </w:r>
      <w:r w:rsidR="003201EC" w:rsidRPr="000D0C49">
        <w:rPr>
          <w:rFonts w:ascii="Arial" w:hAnsi="Arial" w:cs="Arial"/>
          <w:spacing w:val="-4"/>
          <w:sz w:val="22"/>
          <w:szCs w:val="22"/>
        </w:rPr>
        <w:t xml:space="preserve"> </w:t>
      </w:r>
      <w:r w:rsidR="003201EC" w:rsidRPr="000D0C49">
        <w:rPr>
          <w:rFonts w:ascii="Arial" w:hAnsi="Arial" w:cs="Arial"/>
          <w:sz w:val="22"/>
          <w:szCs w:val="22"/>
        </w:rPr>
        <w:t>based</w:t>
      </w:r>
      <w:proofErr w:type="gramEnd"/>
      <w:r w:rsidR="003201EC" w:rsidRPr="000D0C49">
        <w:rPr>
          <w:rFonts w:ascii="Arial" w:hAnsi="Arial" w:cs="Arial"/>
          <w:spacing w:val="-5"/>
          <w:sz w:val="22"/>
          <w:szCs w:val="22"/>
        </w:rPr>
        <w:t xml:space="preserve"> </w:t>
      </w:r>
      <w:r w:rsidR="003201EC" w:rsidRPr="000D0C49">
        <w:rPr>
          <w:rFonts w:ascii="Arial" w:hAnsi="Arial" w:cs="Arial"/>
          <w:sz w:val="22"/>
          <w:szCs w:val="22"/>
        </w:rPr>
        <w:t>drug</w:t>
      </w:r>
      <w:r w:rsidR="003201EC" w:rsidRPr="000D0C49">
        <w:rPr>
          <w:rFonts w:ascii="Arial" w:hAnsi="Arial" w:cs="Arial"/>
          <w:spacing w:val="-8"/>
          <w:sz w:val="22"/>
          <w:szCs w:val="22"/>
        </w:rPr>
        <w:t xml:space="preserve"> </w:t>
      </w:r>
      <w:r w:rsidR="003201EC" w:rsidRPr="000D0C49">
        <w:rPr>
          <w:rFonts w:ascii="Arial" w:hAnsi="Arial" w:cs="Arial"/>
          <w:sz w:val="22"/>
          <w:szCs w:val="22"/>
        </w:rPr>
        <w:t xml:space="preserve">delivery systems were prepared by varying concentration lipid i.e., </w:t>
      </w:r>
      <w:proofErr w:type="spellStart"/>
      <w:r w:rsidR="003201EC" w:rsidRPr="000D0C49">
        <w:rPr>
          <w:rFonts w:ascii="Arial" w:hAnsi="Arial" w:cs="Arial"/>
          <w:sz w:val="22"/>
          <w:szCs w:val="22"/>
        </w:rPr>
        <w:t>gelucire</w:t>
      </w:r>
      <w:proofErr w:type="spellEnd"/>
      <w:r w:rsidR="003201EC" w:rsidRPr="000D0C49">
        <w:rPr>
          <w:rFonts w:ascii="Arial" w:hAnsi="Arial" w:cs="Arial"/>
          <w:sz w:val="22"/>
          <w:szCs w:val="22"/>
        </w:rPr>
        <w:t xml:space="preserve"> 43/01 and </w:t>
      </w:r>
      <w:proofErr w:type="spellStart"/>
      <w:r w:rsidR="003201EC" w:rsidRPr="000D0C49">
        <w:rPr>
          <w:rFonts w:ascii="Arial" w:hAnsi="Arial" w:cs="Arial"/>
          <w:sz w:val="22"/>
          <w:szCs w:val="22"/>
        </w:rPr>
        <w:t>gelucire</w:t>
      </w:r>
      <w:proofErr w:type="spellEnd"/>
      <w:r w:rsidR="003201EC" w:rsidRPr="000D0C49">
        <w:rPr>
          <w:rFonts w:ascii="Arial" w:hAnsi="Arial" w:cs="Arial"/>
          <w:sz w:val="22"/>
          <w:szCs w:val="22"/>
        </w:rPr>
        <w:t xml:space="preserve"> 50/13 and keeping drug ratio constant. The product thus produced, was investigated for physical characteristics including DSC, XRD, FT-IR and also for the </w:t>
      </w:r>
      <w:r w:rsidR="003201EC" w:rsidRPr="000D0C49">
        <w:rPr>
          <w:rFonts w:ascii="Arial" w:hAnsi="Arial" w:cs="Arial"/>
          <w:i/>
          <w:sz w:val="22"/>
          <w:szCs w:val="22"/>
        </w:rPr>
        <w:t xml:space="preserve">in vitro </w:t>
      </w:r>
      <w:r w:rsidR="003201EC" w:rsidRPr="000D0C49">
        <w:rPr>
          <w:rFonts w:ascii="Arial" w:hAnsi="Arial" w:cs="Arial"/>
          <w:sz w:val="22"/>
          <w:szCs w:val="22"/>
        </w:rPr>
        <w:t>release of drug</w:t>
      </w:r>
      <w:r w:rsidR="003201EC" w:rsidRPr="000D0C49">
        <w:rPr>
          <w:rFonts w:ascii="Arial" w:hAnsi="Arial" w:cs="Arial"/>
          <w:spacing w:val="-8"/>
          <w:sz w:val="22"/>
          <w:szCs w:val="22"/>
        </w:rPr>
        <w:t xml:space="preserve"> </w:t>
      </w:r>
      <w:r w:rsidR="003201EC" w:rsidRPr="000D0C49">
        <w:rPr>
          <w:rFonts w:ascii="Arial" w:hAnsi="Arial" w:cs="Arial"/>
          <w:sz w:val="22"/>
          <w:szCs w:val="22"/>
        </w:rPr>
        <w:t>from</w:t>
      </w:r>
      <w:r w:rsidR="003201EC" w:rsidRPr="000D0C49">
        <w:rPr>
          <w:rFonts w:ascii="Arial" w:hAnsi="Arial" w:cs="Arial"/>
          <w:spacing w:val="-7"/>
          <w:sz w:val="22"/>
          <w:szCs w:val="22"/>
        </w:rPr>
        <w:t xml:space="preserve"> </w:t>
      </w:r>
      <w:r w:rsidR="003201EC" w:rsidRPr="000D0C49">
        <w:rPr>
          <w:rFonts w:ascii="Arial" w:hAnsi="Arial" w:cs="Arial"/>
          <w:sz w:val="22"/>
          <w:szCs w:val="22"/>
        </w:rPr>
        <w:t>the</w:t>
      </w:r>
      <w:r w:rsidR="003201EC" w:rsidRPr="000D0C49">
        <w:rPr>
          <w:rFonts w:ascii="Arial" w:hAnsi="Arial" w:cs="Arial"/>
          <w:spacing w:val="-8"/>
          <w:sz w:val="22"/>
          <w:szCs w:val="22"/>
        </w:rPr>
        <w:t xml:space="preserve"> </w:t>
      </w:r>
      <w:r w:rsidR="003201EC" w:rsidRPr="000D0C49">
        <w:rPr>
          <w:rFonts w:ascii="Arial" w:hAnsi="Arial" w:cs="Arial"/>
          <w:sz w:val="22"/>
          <w:szCs w:val="22"/>
        </w:rPr>
        <w:t>carrier.</w:t>
      </w:r>
      <w:r w:rsidR="005E0954" w:rsidRPr="000D0C49">
        <w:rPr>
          <w:rFonts w:ascii="Arial" w:hAnsi="Arial" w:cs="Arial"/>
          <w:sz w:val="22"/>
          <w:szCs w:val="22"/>
        </w:rPr>
        <w:t xml:space="preserve"> </w:t>
      </w:r>
      <w:proofErr w:type="spellStart"/>
      <w:r w:rsidR="005E0954" w:rsidRPr="000D0C49">
        <w:rPr>
          <w:rFonts w:ascii="Arial" w:hAnsi="Arial" w:cs="Arial"/>
          <w:sz w:val="22"/>
          <w:szCs w:val="22"/>
        </w:rPr>
        <w:t>Gelucire</w:t>
      </w:r>
      <w:proofErr w:type="spellEnd"/>
      <w:r w:rsidR="005E0954" w:rsidRPr="000D0C49">
        <w:rPr>
          <w:rFonts w:ascii="Arial" w:hAnsi="Arial" w:cs="Arial"/>
          <w:sz w:val="22"/>
          <w:szCs w:val="22"/>
        </w:rPr>
        <w:t xml:space="preserve"> 43/01, a low-density hydrophobic carrier, facilitated buoyancy and contributed to the sustained release of the drug from the delivery systems. In contrast, </w:t>
      </w:r>
      <w:proofErr w:type="spellStart"/>
      <w:r w:rsidR="005E0954" w:rsidRPr="000D0C49">
        <w:rPr>
          <w:rFonts w:ascii="Arial" w:hAnsi="Arial" w:cs="Arial"/>
          <w:sz w:val="22"/>
          <w:szCs w:val="22"/>
        </w:rPr>
        <w:t>Gelucire</w:t>
      </w:r>
      <w:proofErr w:type="spellEnd"/>
      <w:r w:rsidR="005E0954" w:rsidRPr="000D0C49">
        <w:rPr>
          <w:rFonts w:ascii="Arial" w:hAnsi="Arial" w:cs="Arial"/>
          <w:sz w:val="22"/>
          <w:szCs w:val="22"/>
        </w:rPr>
        <w:t xml:space="preserve"> 50/13, a hydrophilic carrier with notable surface-active properties, improved drug solubility and wettability, thereby enhancing the dissolution rate in various formulations.</w:t>
      </w:r>
      <w:r w:rsidR="003201EC" w:rsidRPr="000D0C49">
        <w:rPr>
          <w:rFonts w:ascii="Arial" w:hAnsi="Arial" w:cs="Arial"/>
          <w:spacing w:val="-6"/>
          <w:sz w:val="22"/>
          <w:szCs w:val="22"/>
        </w:rPr>
        <w:t xml:space="preserve"> </w:t>
      </w:r>
    </w:p>
    <w:p w14:paraId="177F3FBA" w14:textId="77777777" w:rsidR="003201EC" w:rsidRPr="000D0C49" w:rsidRDefault="002A02BD" w:rsidP="003071A9">
      <w:pPr>
        <w:pStyle w:val="BodyText"/>
        <w:tabs>
          <w:tab w:val="left" w:pos="9356"/>
        </w:tabs>
        <w:spacing w:before="238" w:after="160"/>
        <w:ind w:right="183"/>
        <w:jc w:val="both"/>
        <w:rPr>
          <w:rFonts w:ascii="Arial" w:hAnsi="Arial" w:cs="Arial"/>
          <w:sz w:val="22"/>
          <w:szCs w:val="22"/>
        </w:rPr>
      </w:pPr>
      <w:r w:rsidRPr="000D0C49">
        <w:rPr>
          <w:rFonts w:ascii="Arial" w:hAnsi="Arial" w:cs="Arial"/>
          <w:b/>
          <w:color w:val="000000"/>
          <w:sz w:val="22"/>
          <w:szCs w:val="22"/>
        </w:rPr>
        <w:t>Results:</w:t>
      </w:r>
      <w:r w:rsidRPr="000D0C49">
        <w:rPr>
          <w:rFonts w:ascii="Arial" w:hAnsi="Arial" w:cs="Arial"/>
          <w:color w:val="000000"/>
          <w:sz w:val="22"/>
          <w:szCs w:val="22"/>
        </w:rPr>
        <w:t xml:space="preserve"> </w:t>
      </w:r>
      <w:r w:rsidR="003201EC" w:rsidRPr="000D0C49">
        <w:rPr>
          <w:rFonts w:ascii="Arial" w:hAnsi="Arial" w:cs="Arial"/>
          <w:sz w:val="22"/>
          <w:szCs w:val="22"/>
        </w:rPr>
        <w:t xml:space="preserve">The % </w:t>
      </w:r>
      <w:r w:rsidR="00376489" w:rsidRPr="000D0C49">
        <w:rPr>
          <w:rFonts w:ascii="Arial" w:hAnsi="Arial" w:cs="Arial"/>
          <w:sz w:val="22"/>
          <w:szCs w:val="22"/>
        </w:rPr>
        <w:t xml:space="preserve">yield and drug content </w:t>
      </w:r>
      <w:r w:rsidR="003201EC" w:rsidRPr="000D0C49">
        <w:rPr>
          <w:rFonts w:ascii="Arial" w:hAnsi="Arial" w:cs="Arial"/>
          <w:sz w:val="22"/>
          <w:szCs w:val="22"/>
        </w:rPr>
        <w:t>of different</w:t>
      </w:r>
      <w:r w:rsidR="003201EC" w:rsidRPr="000D0C49">
        <w:rPr>
          <w:rFonts w:ascii="Arial" w:hAnsi="Arial" w:cs="Arial"/>
          <w:spacing w:val="-3"/>
          <w:sz w:val="22"/>
          <w:szCs w:val="22"/>
        </w:rPr>
        <w:t xml:space="preserve"> </w:t>
      </w:r>
      <w:proofErr w:type="gramStart"/>
      <w:r w:rsidR="003201EC" w:rsidRPr="000D0C49">
        <w:rPr>
          <w:rFonts w:ascii="Arial" w:hAnsi="Arial" w:cs="Arial"/>
          <w:sz w:val="22"/>
          <w:szCs w:val="22"/>
        </w:rPr>
        <w:t>lipid</w:t>
      </w:r>
      <w:r w:rsidR="003201EC" w:rsidRPr="000D0C49">
        <w:rPr>
          <w:rFonts w:ascii="Arial" w:hAnsi="Arial" w:cs="Arial"/>
          <w:spacing w:val="-2"/>
          <w:sz w:val="22"/>
          <w:szCs w:val="22"/>
        </w:rPr>
        <w:t xml:space="preserve"> </w:t>
      </w:r>
      <w:r w:rsidR="003201EC" w:rsidRPr="000D0C49">
        <w:rPr>
          <w:rFonts w:ascii="Arial" w:hAnsi="Arial" w:cs="Arial"/>
          <w:sz w:val="22"/>
          <w:szCs w:val="22"/>
        </w:rPr>
        <w:t>based</w:t>
      </w:r>
      <w:proofErr w:type="gramEnd"/>
      <w:r w:rsidR="003201EC" w:rsidRPr="000D0C49">
        <w:rPr>
          <w:rFonts w:ascii="Arial" w:hAnsi="Arial" w:cs="Arial"/>
          <w:spacing w:val="-1"/>
          <w:sz w:val="22"/>
          <w:szCs w:val="22"/>
        </w:rPr>
        <w:t xml:space="preserve"> </w:t>
      </w:r>
      <w:r w:rsidR="003201EC" w:rsidRPr="000D0C49">
        <w:rPr>
          <w:rFonts w:ascii="Arial" w:hAnsi="Arial" w:cs="Arial"/>
          <w:sz w:val="22"/>
          <w:szCs w:val="22"/>
        </w:rPr>
        <w:t>systems</w:t>
      </w:r>
      <w:r w:rsidR="003201EC" w:rsidRPr="000D0C49">
        <w:rPr>
          <w:rFonts w:ascii="Arial" w:hAnsi="Arial" w:cs="Arial"/>
          <w:spacing w:val="-2"/>
          <w:sz w:val="22"/>
          <w:szCs w:val="22"/>
        </w:rPr>
        <w:t xml:space="preserve"> </w:t>
      </w:r>
      <w:r w:rsidR="003201EC" w:rsidRPr="000D0C49">
        <w:rPr>
          <w:rFonts w:ascii="Arial" w:hAnsi="Arial" w:cs="Arial"/>
          <w:sz w:val="22"/>
          <w:szCs w:val="22"/>
        </w:rPr>
        <w:t>are</w:t>
      </w:r>
      <w:r w:rsidR="003201EC" w:rsidRPr="000D0C49">
        <w:rPr>
          <w:rFonts w:ascii="Arial" w:hAnsi="Arial" w:cs="Arial"/>
          <w:spacing w:val="-4"/>
          <w:sz w:val="22"/>
          <w:szCs w:val="22"/>
        </w:rPr>
        <w:t xml:space="preserve"> </w:t>
      </w:r>
      <w:r w:rsidR="003201EC" w:rsidRPr="000D0C49">
        <w:rPr>
          <w:rFonts w:ascii="Arial" w:hAnsi="Arial" w:cs="Arial"/>
          <w:sz w:val="22"/>
          <w:szCs w:val="22"/>
        </w:rPr>
        <w:t>estimated</w:t>
      </w:r>
      <w:r w:rsidR="003201EC" w:rsidRPr="000D0C49">
        <w:rPr>
          <w:rFonts w:ascii="Arial" w:hAnsi="Arial" w:cs="Arial"/>
          <w:spacing w:val="-1"/>
          <w:sz w:val="22"/>
          <w:szCs w:val="22"/>
        </w:rPr>
        <w:t xml:space="preserve"> </w:t>
      </w:r>
      <w:r w:rsidR="003201EC" w:rsidRPr="000D0C49">
        <w:rPr>
          <w:rFonts w:ascii="Arial" w:hAnsi="Arial" w:cs="Arial"/>
          <w:sz w:val="22"/>
          <w:szCs w:val="22"/>
        </w:rPr>
        <w:t>by</w:t>
      </w:r>
      <w:r w:rsidR="003201EC" w:rsidRPr="000D0C49">
        <w:rPr>
          <w:rFonts w:ascii="Arial" w:hAnsi="Arial" w:cs="Arial"/>
          <w:spacing w:val="-9"/>
          <w:sz w:val="22"/>
          <w:szCs w:val="22"/>
        </w:rPr>
        <w:t xml:space="preserve"> </w:t>
      </w:r>
      <w:r w:rsidR="003201EC" w:rsidRPr="000D0C49">
        <w:rPr>
          <w:rFonts w:ascii="Arial" w:hAnsi="Arial" w:cs="Arial"/>
          <w:sz w:val="22"/>
          <w:szCs w:val="22"/>
        </w:rPr>
        <w:t>UV</w:t>
      </w:r>
      <w:r w:rsidR="003201EC" w:rsidRPr="000D0C49">
        <w:rPr>
          <w:rFonts w:ascii="Arial" w:hAnsi="Arial" w:cs="Arial"/>
          <w:spacing w:val="-1"/>
          <w:sz w:val="22"/>
          <w:szCs w:val="22"/>
        </w:rPr>
        <w:t xml:space="preserve"> </w:t>
      </w:r>
      <w:r w:rsidR="003201EC" w:rsidRPr="000D0C49">
        <w:rPr>
          <w:rFonts w:ascii="Arial" w:hAnsi="Arial" w:cs="Arial"/>
          <w:sz w:val="22"/>
          <w:szCs w:val="22"/>
        </w:rPr>
        <w:t>Spectroscopy</w:t>
      </w:r>
      <w:r w:rsidR="003201EC" w:rsidRPr="000D0C49">
        <w:rPr>
          <w:rFonts w:ascii="Arial" w:hAnsi="Arial" w:cs="Arial"/>
          <w:spacing w:val="-5"/>
          <w:sz w:val="22"/>
          <w:szCs w:val="22"/>
        </w:rPr>
        <w:t xml:space="preserve"> </w:t>
      </w:r>
      <w:r w:rsidR="003201EC" w:rsidRPr="000D0C49">
        <w:rPr>
          <w:rFonts w:ascii="Arial" w:hAnsi="Arial" w:cs="Arial"/>
          <w:sz w:val="22"/>
          <w:szCs w:val="22"/>
        </w:rPr>
        <w:t>were</w:t>
      </w:r>
      <w:r w:rsidR="003201EC" w:rsidRPr="000D0C49">
        <w:rPr>
          <w:rFonts w:ascii="Arial" w:hAnsi="Arial" w:cs="Arial"/>
          <w:spacing w:val="-2"/>
          <w:sz w:val="22"/>
          <w:szCs w:val="22"/>
        </w:rPr>
        <w:t xml:space="preserve"> </w:t>
      </w:r>
      <w:r w:rsidR="003201EC" w:rsidRPr="000D0C49">
        <w:rPr>
          <w:rFonts w:ascii="Arial" w:hAnsi="Arial" w:cs="Arial"/>
          <w:sz w:val="22"/>
          <w:szCs w:val="22"/>
        </w:rPr>
        <w:t>found</w:t>
      </w:r>
      <w:r w:rsidR="003201EC" w:rsidRPr="000D0C49">
        <w:rPr>
          <w:rFonts w:ascii="Arial" w:hAnsi="Arial" w:cs="Arial"/>
          <w:spacing w:val="-3"/>
          <w:sz w:val="22"/>
          <w:szCs w:val="22"/>
        </w:rPr>
        <w:t xml:space="preserve"> </w:t>
      </w:r>
      <w:r w:rsidR="003201EC" w:rsidRPr="000D0C49">
        <w:rPr>
          <w:rFonts w:ascii="Arial" w:hAnsi="Arial" w:cs="Arial"/>
          <w:sz w:val="22"/>
          <w:szCs w:val="22"/>
        </w:rPr>
        <w:t>to</w:t>
      </w:r>
      <w:r w:rsidR="003201EC" w:rsidRPr="000D0C49">
        <w:rPr>
          <w:rFonts w:ascii="Arial" w:hAnsi="Arial" w:cs="Arial"/>
          <w:spacing w:val="-2"/>
          <w:sz w:val="22"/>
          <w:szCs w:val="22"/>
        </w:rPr>
        <w:t xml:space="preserve"> </w:t>
      </w:r>
      <w:r w:rsidR="003201EC" w:rsidRPr="000D0C49">
        <w:rPr>
          <w:rFonts w:ascii="Arial" w:hAnsi="Arial" w:cs="Arial"/>
          <w:sz w:val="22"/>
          <w:szCs w:val="22"/>
        </w:rPr>
        <w:t>range</w:t>
      </w:r>
      <w:r w:rsidR="003201EC" w:rsidRPr="000D0C49">
        <w:rPr>
          <w:rFonts w:ascii="Arial" w:hAnsi="Arial" w:cs="Arial"/>
          <w:spacing w:val="-1"/>
          <w:sz w:val="22"/>
          <w:szCs w:val="22"/>
        </w:rPr>
        <w:t xml:space="preserve"> </w:t>
      </w:r>
      <w:r w:rsidR="003201EC" w:rsidRPr="000D0C49">
        <w:rPr>
          <w:rFonts w:ascii="Arial" w:hAnsi="Arial" w:cs="Arial"/>
          <w:spacing w:val="-4"/>
          <w:sz w:val="22"/>
          <w:szCs w:val="22"/>
        </w:rPr>
        <w:t>from</w:t>
      </w:r>
      <w:r w:rsidR="00376489" w:rsidRPr="000D0C49">
        <w:rPr>
          <w:rFonts w:ascii="Arial" w:hAnsi="Arial" w:cs="Arial"/>
          <w:spacing w:val="-4"/>
          <w:sz w:val="22"/>
          <w:szCs w:val="22"/>
        </w:rPr>
        <w:t xml:space="preserve"> </w:t>
      </w:r>
      <w:r w:rsidR="00914255" w:rsidRPr="000D0C49">
        <w:rPr>
          <w:rFonts w:ascii="Arial" w:hAnsi="Arial" w:cs="Arial"/>
          <w:sz w:val="22"/>
          <w:szCs w:val="22"/>
        </w:rPr>
        <w:t>71.12 to 90.88</w:t>
      </w:r>
      <w:r w:rsidR="003201EC" w:rsidRPr="000D0C49">
        <w:rPr>
          <w:rFonts w:ascii="Arial" w:hAnsi="Arial" w:cs="Arial"/>
          <w:sz w:val="22"/>
          <w:szCs w:val="22"/>
        </w:rPr>
        <w:t xml:space="preserve"> % drug release of optimized formulation in pH 1.2 with zero lag time was found</w:t>
      </w:r>
      <w:r w:rsidR="003201EC" w:rsidRPr="000D0C49">
        <w:rPr>
          <w:rFonts w:ascii="Arial" w:hAnsi="Arial" w:cs="Arial"/>
          <w:spacing w:val="-1"/>
          <w:sz w:val="22"/>
          <w:szCs w:val="22"/>
        </w:rPr>
        <w:t xml:space="preserve"> </w:t>
      </w:r>
      <w:r w:rsidR="003201EC" w:rsidRPr="000D0C49">
        <w:rPr>
          <w:rFonts w:ascii="Arial" w:hAnsi="Arial" w:cs="Arial"/>
          <w:sz w:val="22"/>
          <w:szCs w:val="22"/>
        </w:rPr>
        <w:t>to be</w:t>
      </w:r>
      <w:r w:rsidR="003201EC" w:rsidRPr="000D0C49">
        <w:rPr>
          <w:rFonts w:ascii="Arial" w:hAnsi="Arial" w:cs="Arial"/>
          <w:spacing w:val="-1"/>
          <w:sz w:val="22"/>
          <w:szCs w:val="22"/>
        </w:rPr>
        <w:t xml:space="preserve"> </w:t>
      </w:r>
      <w:r w:rsidR="003201EC" w:rsidRPr="000D0C49">
        <w:rPr>
          <w:rFonts w:ascii="Arial" w:hAnsi="Arial" w:cs="Arial"/>
          <w:sz w:val="22"/>
          <w:szCs w:val="22"/>
        </w:rPr>
        <w:t>56.17 ± 0.33%</w:t>
      </w:r>
      <w:r w:rsidR="003201EC" w:rsidRPr="000D0C49">
        <w:rPr>
          <w:rFonts w:ascii="Arial" w:hAnsi="Arial" w:cs="Arial"/>
          <w:spacing w:val="-1"/>
          <w:sz w:val="22"/>
          <w:szCs w:val="22"/>
        </w:rPr>
        <w:t xml:space="preserve"> </w:t>
      </w:r>
      <w:r w:rsidR="003201EC" w:rsidRPr="000D0C49">
        <w:rPr>
          <w:rFonts w:ascii="Arial" w:hAnsi="Arial" w:cs="Arial"/>
          <w:sz w:val="22"/>
          <w:szCs w:val="22"/>
        </w:rPr>
        <w:t>in 6 hours.</w:t>
      </w:r>
      <w:r w:rsidR="003201EC" w:rsidRPr="000D0C49">
        <w:rPr>
          <w:rFonts w:ascii="Arial" w:hAnsi="Arial" w:cs="Arial"/>
          <w:spacing w:val="-1"/>
          <w:sz w:val="22"/>
          <w:szCs w:val="22"/>
        </w:rPr>
        <w:t xml:space="preserve"> </w:t>
      </w:r>
      <w:r w:rsidR="003201EC" w:rsidRPr="000D0C49">
        <w:rPr>
          <w:rFonts w:ascii="Arial" w:hAnsi="Arial" w:cs="Arial"/>
          <w:sz w:val="22"/>
          <w:szCs w:val="22"/>
        </w:rPr>
        <w:t>From</w:t>
      </w:r>
      <w:r w:rsidR="003201EC" w:rsidRPr="000D0C49">
        <w:rPr>
          <w:rFonts w:ascii="Arial" w:hAnsi="Arial" w:cs="Arial"/>
          <w:spacing w:val="-1"/>
          <w:sz w:val="22"/>
          <w:szCs w:val="22"/>
        </w:rPr>
        <w:t xml:space="preserve"> </w:t>
      </w:r>
      <w:r w:rsidR="003201EC" w:rsidRPr="000D0C49">
        <w:rPr>
          <w:rFonts w:ascii="Arial" w:hAnsi="Arial" w:cs="Arial"/>
          <w:sz w:val="22"/>
          <w:szCs w:val="22"/>
        </w:rPr>
        <w:t xml:space="preserve">the </w:t>
      </w:r>
      <w:r w:rsidR="002B730E" w:rsidRPr="000D0C49">
        <w:rPr>
          <w:rFonts w:ascii="Arial" w:hAnsi="Arial" w:cs="Arial"/>
          <w:sz w:val="22"/>
          <w:szCs w:val="22"/>
        </w:rPr>
        <w:t xml:space="preserve">DSC, FT-IR, and XRD analyses confirmed that Loratadine exhibited an amorphous nature within the lipid-based formulation, which contributed to an enhanced dissolution rate </w:t>
      </w:r>
      <w:r w:rsidR="003201EC" w:rsidRPr="000D0C49">
        <w:rPr>
          <w:rFonts w:ascii="Arial" w:hAnsi="Arial" w:cs="Arial"/>
          <w:sz w:val="22"/>
          <w:szCs w:val="22"/>
        </w:rPr>
        <w:t xml:space="preserve">and </w:t>
      </w:r>
      <w:r w:rsidR="002B730E" w:rsidRPr="000D0C49">
        <w:rPr>
          <w:rFonts w:ascii="Arial" w:hAnsi="Arial" w:cs="Arial"/>
          <w:sz w:val="22"/>
          <w:szCs w:val="22"/>
        </w:rPr>
        <w:t>the absence of significant interactions between the drug and the carrier was indicated by the compatibility studies.</w:t>
      </w:r>
    </w:p>
    <w:p w14:paraId="07BC8CC1" w14:textId="77777777" w:rsidR="003201EC" w:rsidRPr="000D0C49" w:rsidRDefault="002A02BD" w:rsidP="00F11B03">
      <w:pPr>
        <w:pStyle w:val="BodyText"/>
        <w:tabs>
          <w:tab w:val="left" w:pos="9639"/>
        </w:tabs>
        <w:spacing w:after="160"/>
        <w:ind w:right="92"/>
        <w:jc w:val="both"/>
        <w:rPr>
          <w:rFonts w:ascii="Arial" w:hAnsi="Arial" w:cs="Arial"/>
          <w:sz w:val="22"/>
          <w:szCs w:val="22"/>
        </w:rPr>
      </w:pPr>
      <w:r w:rsidRPr="000D0C49">
        <w:rPr>
          <w:rFonts w:ascii="Arial" w:hAnsi="Arial" w:cs="Arial"/>
          <w:b/>
          <w:color w:val="000000"/>
          <w:sz w:val="22"/>
          <w:szCs w:val="22"/>
        </w:rPr>
        <w:t>Conclusion:</w:t>
      </w:r>
      <w:r w:rsidRPr="000D0C49">
        <w:rPr>
          <w:rFonts w:ascii="Arial" w:hAnsi="Arial" w:cs="Arial"/>
          <w:color w:val="000000"/>
          <w:sz w:val="22"/>
          <w:szCs w:val="22"/>
        </w:rPr>
        <w:t xml:space="preserve"> </w:t>
      </w:r>
      <w:r w:rsidR="002B730E" w:rsidRPr="000D0C49">
        <w:rPr>
          <w:rFonts w:ascii="Arial" w:hAnsi="Arial" w:cs="Arial"/>
          <w:sz w:val="22"/>
          <w:szCs w:val="22"/>
        </w:rPr>
        <w:t>I</w:t>
      </w:r>
      <w:r w:rsidR="003201EC" w:rsidRPr="000D0C49">
        <w:rPr>
          <w:rFonts w:ascii="Arial" w:hAnsi="Arial" w:cs="Arial"/>
          <w:sz w:val="22"/>
          <w:szCs w:val="22"/>
        </w:rPr>
        <w:t>t can be concluded</w:t>
      </w:r>
      <w:r w:rsidR="003201EC" w:rsidRPr="000D0C49">
        <w:rPr>
          <w:rFonts w:ascii="Arial" w:hAnsi="Arial" w:cs="Arial"/>
          <w:spacing w:val="-1"/>
          <w:sz w:val="22"/>
          <w:szCs w:val="22"/>
        </w:rPr>
        <w:t xml:space="preserve"> </w:t>
      </w:r>
      <w:r w:rsidR="003201EC" w:rsidRPr="000D0C49">
        <w:rPr>
          <w:rFonts w:ascii="Arial" w:hAnsi="Arial" w:cs="Arial"/>
          <w:sz w:val="22"/>
          <w:szCs w:val="22"/>
        </w:rPr>
        <w:t>that F7 would be most suitable</w:t>
      </w:r>
      <w:r w:rsidR="003201EC" w:rsidRPr="000D0C49">
        <w:rPr>
          <w:rFonts w:ascii="Arial" w:hAnsi="Arial" w:cs="Arial"/>
          <w:spacing w:val="-1"/>
          <w:sz w:val="22"/>
          <w:szCs w:val="22"/>
        </w:rPr>
        <w:t xml:space="preserve"> </w:t>
      </w:r>
      <w:r w:rsidR="003201EC" w:rsidRPr="000D0C49">
        <w:rPr>
          <w:rFonts w:ascii="Arial" w:hAnsi="Arial" w:cs="Arial"/>
          <w:sz w:val="22"/>
          <w:szCs w:val="22"/>
        </w:rPr>
        <w:t xml:space="preserve">formulation which is likely to increase solubility and has stable release with zero lag time in stomach. Hence the </w:t>
      </w:r>
      <w:r w:rsidR="002B730E" w:rsidRPr="000D0C49">
        <w:rPr>
          <w:rFonts w:ascii="Arial" w:hAnsi="Arial" w:cs="Arial"/>
          <w:position w:val="2"/>
          <w:sz w:val="22"/>
          <w:szCs w:val="22"/>
        </w:rPr>
        <w:t xml:space="preserve">floating </w:t>
      </w:r>
      <w:proofErr w:type="gramStart"/>
      <w:r w:rsidR="002B730E" w:rsidRPr="000D0C49">
        <w:rPr>
          <w:rFonts w:ascii="Arial" w:hAnsi="Arial" w:cs="Arial"/>
          <w:position w:val="2"/>
          <w:sz w:val="22"/>
          <w:szCs w:val="22"/>
        </w:rPr>
        <w:t>lipid based</w:t>
      </w:r>
      <w:proofErr w:type="gramEnd"/>
      <w:r w:rsidR="002B730E" w:rsidRPr="000D0C49">
        <w:rPr>
          <w:rFonts w:ascii="Arial" w:hAnsi="Arial" w:cs="Arial"/>
          <w:position w:val="2"/>
          <w:sz w:val="22"/>
          <w:szCs w:val="22"/>
        </w:rPr>
        <w:t xml:space="preserve"> drug delivery system </w:t>
      </w:r>
      <w:r w:rsidR="003201EC" w:rsidRPr="000D0C49">
        <w:rPr>
          <w:rFonts w:ascii="Arial" w:hAnsi="Arial" w:cs="Arial"/>
          <w:sz w:val="22"/>
          <w:szCs w:val="22"/>
        </w:rPr>
        <w:t>can</w:t>
      </w:r>
      <w:r w:rsidR="003201EC" w:rsidRPr="000D0C49">
        <w:rPr>
          <w:rFonts w:ascii="Arial" w:hAnsi="Arial" w:cs="Arial"/>
          <w:spacing w:val="-15"/>
          <w:sz w:val="22"/>
          <w:szCs w:val="22"/>
        </w:rPr>
        <w:t xml:space="preserve"> </w:t>
      </w:r>
      <w:r w:rsidR="003201EC" w:rsidRPr="000D0C49">
        <w:rPr>
          <w:rFonts w:ascii="Arial" w:hAnsi="Arial" w:cs="Arial"/>
          <w:sz w:val="22"/>
          <w:szCs w:val="22"/>
        </w:rPr>
        <w:t>be</w:t>
      </w:r>
      <w:r w:rsidR="003201EC" w:rsidRPr="000D0C49">
        <w:rPr>
          <w:rFonts w:ascii="Arial" w:hAnsi="Arial" w:cs="Arial"/>
          <w:spacing w:val="-15"/>
          <w:sz w:val="22"/>
          <w:szCs w:val="22"/>
        </w:rPr>
        <w:t xml:space="preserve"> </w:t>
      </w:r>
      <w:r w:rsidR="003201EC" w:rsidRPr="000D0C49">
        <w:rPr>
          <w:rFonts w:ascii="Arial" w:hAnsi="Arial" w:cs="Arial"/>
          <w:sz w:val="22"/>
          <w:szCs w:val="22"/>
        </w:rPr>
        <w:t>effectively</w:t>
      </w:r>
      <w:r w:rsidR="003201EC" w:rsidRPr="000D0C49">
        <w:rPr>
          <w:rFonts w:ascii="Arial" w:hAnsi="Arial" w:cs="Arial"/>
          <w:spacing w:val="-15"/>
          <w:sz w:val="22"/>
          <w:szCs w:val="22"/>
        </w:rPr>
        <w:t xml:space="preserve"> </w:t>
      </w:r>
      <w:r w:rsidR="003201EC" w:rsidRPr="000D0C49">
        <w:rPr>
          <w:rFonts w:ascii="Arial" w:hAnsi="Arial" w:cs="Arial"/>
          <w:sz w:val="22"/>
          <w:szCs w:val="22"/>
        </w:rPr>
        <w:t>utilized</w:t>
      </w:r>
      <w:r w:rsidR="003201EC" w:rsidRPr="000D0C49">
        <w:rPr>
          <w:rFonts w:ascii="Arial" w:hAnsi="Arial" w:cs="Arial"/>
          <w:spacing w:val="-14"/>
          <w:sz w:val="22"/>
          <w:szCs w:val="22"/>
        </w:rPr>
        <w:t xml:space="preserve"> </w:t>
      </w:r>
      <w:r w:rsidR="003201EC" w:rsidRPr="000D0C49">
        <w:rPr>
          <w:rFonts w:ascii="Arial" w:hAnsi="Arial" w:cs="Arial"/>
          <w:sz w:val="22"/>
          <w:szCs w:val="22"/>
        </w:rPr>
        <w:t>to</w:t>
      </w:r>
      <w:r w:rsidR="003201EC" w:rsidRPr="000D0C49">
        <w:rPr>
          <w:rFonts w:ascii="Arial" w:hAnsi="Arial" w:cs="Arial"/>
          <w:spacing w:val="-14"/>
          <w:sz w:val="22"/>
          <w:szCs w:val="22"/>
        </w:rPr>
        <w:t xml:space="preserve"> </w:t>
      </w:r>
      <w:r w:rsidR="003201EC" w:rsidRPr="000D0C49">
        <w:rPr>
          <w:rFonts w:ascii="Arial" w:hAnsi="Arial" w:cs="Arial"/>
          <w:sz w:val="22"/>
          <w:szCs w:val="22"/>
        </w:rPr>
        <w:t>treat</w:t>
      </w:r>
      <w:r w:rsidR="003201EC" w:rsidRPr="000D0C49">
        <w:rPr>
          <w:rFonts w:ascii="Arial" w:hAnsi="Arial" w:cs="Arial"/>
          <w:spacing w:val="-9"/>
          <w:sz w:val="22"/>
          <w:szCs w:val="22"/>
        </w:rPr>
        <w:t xml:space="preserve"> </w:t>
      </w:r>
      <w:r w:rsidR="003201EC" w:rsidRPr="000D0C49">
        <w:rPr>
          <w:rFonts w:ascii="Arial" w:hAnsi="Arial" w:cs="Arial"/>
          <w:color w:val="181F27"/>
          <w:sz w:val="22"/>
          <w:szCs w:val="22"/>
        </w:rPr>
        <w:t>allergic</w:t>
      </w:r>
      <w:r w:rsidR="003201EC" w:rsidRPr="000D0C49">
        <w:rPr>
          <w:rFonts w:ascii="Arial" w:hAnsi="Arial" w:cs="Arial"/>
          <w:color w:val="181F27"/>
          <w:spacing w:val="-15"/>
          <w:sz w:val="22"/>
          <w:szCs w:val="22"/>
        </w:rPr>
        <w:t xml:space="preserve"> </w:t>
      </w:r>
      <w:r w:rsidR="003201EC" w:rsidRPr="000D0C49">
        <w:rPr>
          <w:rFonts w:ascii="Arial" w:hAnsi="Arial" w:cs="Arial"/>
          <w:color w:val="181F27"/>
          <w:sz w:val="22"/>
          <w:szCs w:val="22"/>
        </w:rPr>
        <w:t>rhinitis</w:t>
      </w:r>
      <w:r w:rsidR="003201EC" w:rsidRPr="000D0C49">
        <w:rPr>
          <w:rFonts w:ascii="Arial" w:hAnsi="Arial" w:cs="Arial"/>
          <w:color w:val="181F27"/>
          <w:spacing w:val="-2"/>
          <w:sz w:val="22"/>
          <w:szCs w:val="22"/>
        </w:rPr>
        <w:t>.</w:t>
      </w:r>
    </w:p>
    <w:p w14:paraId="677074D8" w14:textId="77777777" w:rsidR="003201EC" w:rsidRPr="000D0C49" w:rsidRDefault="003201EC" w:rsidP="00FE1EFD">
      <w:pPr>
        <w:pStyle w:val="BodyText"/>
        <w:spacing w:before="240" w:after="160"/>
        <w:ind w:right="-24"/>
        <w:jc w:val="both"/>
        <w:rPr>
          <w:rFonts w:ascii="Arial" w:hAnsi="Arial" w:cs="Arial"/>
          <w:sz w:val="22"/>
          <w:szCs w:val="22"/>
        </w:rPr>
      </w:pPr>
      <w:r w:rsidRPr="000D0C49">
        <w:rPr>
          <w:rFonts w:ascii="Arial" w:hAnsi="Arial" w:cs="Arial"/>
          <w:b/>
          <w:sz w:val="20"/>
          <w:szCs w:val="20"/>
        </w:rPr>
        <w:t xml:space="preserve">Keywords: </w:t>
      </w:r>
      <w:r w:rsidRPr="000D0C49">
        <w:rPr>
          <w:rFonts w:ascii="Arial" w:hAnsi="Arial" w:cs="Arial"/>
          <w:sz w:val="20"/>
          <w:szCs w:val="20"/>
        </w:rPr>
        <w:t xml:space="preserve">Lipid based formulation, Loratadine, </w:t>
      </w:r>
      <w:proofErr w:type="spellStart"/>
      <w:r w:rsidRPr="000D0C49">
        <w:rPr>
          <w:rFonts w:ascii="Arial" w:hAnsi="Arial" w:cs="Arial"/>
          <w:sz w:val="20"/>
          <w:szCs w:val="20"/>
        </w:rPr>
        <w:t>gelucire</w:t>
      </w:r>
      <w:proofErr w:type="spellEnd"/>
      <w:r w:rsidRPr="000D0C49">
        <w:rPr>
          <w:rFonts w:ascii="Arial" w:hAnsi="Arial" w:cs="Arial"/>
          <w:sz w:val="20"/>
          <w:szCs w:val="20"/>
        </w:rPr>
        <w:t xml:space="preserve"> 43/01, </w:t>
      </w:r>
      <w:proofErr w:type="spellStart"/>
      <w:r w:rsidRPr="000D0C49">
        <w:rPr>
          <w:rFonts w:ascii="Arial" w:hAnsi="Arial" w:cs="Arial"/>
          <w:sz w:val="20"/>
          <w:szCs w:val="20"/>
        </w:rPr>
        <w:t>gelucire</w:t>
      </w:r>
      <w:proofErr w:type="spellEnd"/>
      <w:r w:rsidRPr="000D0C49">
        <w:rPr>
          <w:rFonts w:ascii="Arial" w:hAnsi="Arial" w:cs="Arial"/>
          <w:sz w:val="20"/>
          <w:szCs w:val="20"/>
        </w:rPr>
        <w:t xml:space="preserve"> 50/13, </w:t>
      </w:r>
      <w:proofErr w:type="spellStart"/>
      <w:r w:rsidRPr="000D0C49">
        <w:rPr>
          <w:rFonts w:ascii="Arial" w:hAnsi="Arial" w:cs="Arial"/>
          <w:sz w:val="20"/>
          <w:szCs w:val="20"/>
        </w:rPr>
        <w:t>antilipidimic</w:t>
      </w:r>
      <w:proofErr w:type="spellEnd"/>
      <w:r w:rsidRPr="000D0C49">
        <w:rPr>
          <w:rFonts w:ascii="Arial" w:hAnsi="Arial" w:cs="Arial"/>
          <w:sz w:val="20"/>
          <w:szCs w:val="20"/>
        </w:rPr>
        <w:t xml:space="preserve"> drug, hydrophobic drug</w:t>
      </w:r>
      <w:r w:rsidRPr="000D0C49">
        <w:rPr>
          <w:rFonts w:ascii="Arial" w:hAnsi="Arial" w:cs="Arial"/>
          <w:sz w:val="22"/>
          <w:szCs w:val="22"/>
        </w:rPr>
        <w:t>.</w:t>
      </w:r>
    </w:p>
    <w:p w14:paraId="603F6D2A" w14:textId="77777777" w:rsidR="004F26A8" w:rsidRPr="000D0C49" w:rsidRDefault="00A52E1D" w:rsidP="00A52E1D">
      <w:pPr>
        <w:pStyle w:val="ListParagraph"/>
        <w:numPr>
          <w:ilvl w:val="0"/>
          <w:numId w:val="11"/>
        </w:numPr>
        <w:ind w:left="284" w:right="92" w:hanging="284"/>
        <w:rPr>
          <w:rFonts w:ascii="Arial" w:hAnsi="Arial" w:cs="Arial"/>
          <w:b/>
        </w:rPr>
      </w:pPr>
      <w:r w:rsidRPr="000D0C49">
        <w:rPr>
          <w:rFonts w:ascii="Arial" w:hAnsi="Arial" w:cs="Arial"/>
          <w:b/>
        </w:rPr>
        <w:t>INTRODUCTION</w:t>
      </w:r>
    </w:p>
    <w:p w14:paraId="7C4BD745" w14:textId="77777777" w:rsidR="00F42A12" w:rsidRPr="000D0C49" w:rsidRDefault="00F42A12" w:rsidP="00FE1EFD">
      <w:pPr>
        <w:pStyle w:val="NormalWeb"/>
        <w:spacing w:before="0" w:beforeAutospacing="0" w:after="240" w:afterAutospacing="0"/>
        <w:ind w:right="-24"/>
        <w:jc w:val="both"/>
        <w:rPr>
          <w:rFonts w:ascii="Arial" w:hAnsi="Arial" w:cs="Arial"/>
          <w:sz w:val="20"/>
          <w:szCs w:val="20"/>
        </w:rPr>
      </w:pPr>
      <w:r w:rsidRPr="000D0C49">
        <w:rPr>
          <w:rFonts w:ascii="Arial" w:hAnsi="Arial" w:cs="Arial"/>
          <w:sz w:val="20"/>
          <w:szCs w:val="20"/>
        </w:rPr>
        <w:t>Lipid-base</w:t>
      </w:r>
      <w:r w:rsidR="00562229">
        <w:rPr>
          <w:rFonts w:ascii="Arial" w:hAnsi="Arial" w:cs="Arial"/>
          <w:sz w:val="20"/>
          <w:szCs w:val="20"/>
        </w:rPr>
        <w:t>d delivery systems have gained</w:t>
      </w:r>
      <w:r w:rsidRPr="000D0C49">
        <w:rPr>
          <w:rFonts w:ascii="Arial" w:hAnsi="Arial" w:cs="Arial"/>
          <w:sz w:val="20"/>
          <w:szCs w:val="20"/>
        </w:rPr>
        <w:t xml:space="preserve"> significant attention in recent years due to their inherent capacity to improve the bioavailability of lipophilic compounds with poor aqueous solubility. Various formulations, including self-</w:t>
      </w:r>
      <w:proofErr w:type="spellStart"/>
      <w:r w:rsidRPr="000D0C49">
        <w:rPr>
          <w:rFonts w:ascii="Arial" w:hAnsi="Arial" w:cs="Arial"/>
          <w:sz w:val="20"/>
          <w:szCs w:val="20"/>
        </w:rPr>
        <w:t>microemulsifying</w:t>
      </w:r>
      <w:proofErr w:type="spellEnd"/>
      <w:r w:rsidRPr="000D0C49">
        <w:rPr>
          <w:rFonts w:ascii="Arial" w:hAnsi="Arial" w:cs="Arial"/>
          <w:sz w:val="20"/>
          <w:szCs w:val="20"/>
        </w:rPr>
        <w:t xml:space="preserve"> drug delivery systems (SMEDDS), solid lipid nanoparticles (SLNs), and </w:t>
      </w:r>
      <w:proofErr w:type="spellStart"/>
      <w:r w:rsidRPr="000D0C49">
        <w:rPr>
          <w:rFonts w:ascii="Arial" w:hAnsi="Arial" w:cs="Arial"/>
          <w:sz w:val="20"/>
          <w:szCs w:val="20"/>
        </w:rPr>
        <w:t>phytosomes</w:t>
      </w:r>
      <w:proofErr w:type="spellEnd"/>
      <w:r w:rsidRPr="000D0C49">
        <w:rPr>
          <w:rFonts w:ascii="Arial" w:hAnsi="Arial" w:cs="Arial"/>
          <w:sz w:val="20"/>
          <w:szCs w:val="20"/>
        </w:rPr>
        <w:t>, have been developed to enhance the oral bioav</w:t>
      </w:r>
      <w:r w:rsidR="00C82CFB" w:rsidRPr="000D0C49">
        <w:rPr>
          <w:rFonts w:ascii="Arial" w:hAnsi="Arial" w:cs="Arial"/>
          <w:sz w:val="20"/>
          <w:szCs w:val="20"/>
        </w:rPr>
        <w:t>ailability of such compounds [1]</w:t>
      </w:r>
      <w:r w:rsidRPr="000D0C49">
        <w:rPr>
          <w:rFonts w:ascii="Arial" w:hAnsi="Arial" w:cs="Arial"/>
          <w:sz w:val="20"/>
          <w:szCs w:val="20"/>
        </w:rPr>
        <w:t>. Lipid-based drug delivery systems (LBDDS) exhibit size-dependent properties that contribute to their effectiveness, thereby increasing their prominence</w:t>
      </w:r>
      <w:r w:rsidR="00C82CFB" w:rsidRPr="000D0C49">
        <w:rPr>
          <w:rFonts w:ascii="Arial" w:hAnsi="Arial" w:cs="Arial"/>
          <w:sz w:val="20"/>
          <w:szCs w:val="20"/>
        </w:rPr>
        <w:t xml:space="preserve"> in pharmaceutical research. [2]</w:t>
      </w:r>
      <w:r w:rsidRPr="000D0C49">
        <w:rPr>
          <w:rFonts w:ascii="Arial" w:hAnsi="Arial" w:cs="Arial"/>
          <w:sz w:val="20"/>
          <w:szCs w:val="20"/>
        </w:rPr>
        <w:t>. Lipids offer several formulation advantages, including low melting viscosity, which eliminates the requirement for organic solvents and reduces exposure to potentially toxic substances such as initiators and residual monomers. Furthermore, their excellent biodegradability and biocompatibility, coupled with their ability to form protective layers around active pharmaceutical ingredients, contribute to reduced gastric irritation and improved drug stabil</w:t>
      </w:r>
      <w:r w:rsidR="00C82CFB" w:rsidRPr="000D0C49">
        <w:rPr>
          <w:rFonts w:ascii="Arial" w:hAnsi="Arial" w:cs="Arial"/>
          <w:sz w:val="20"/>
          <w:szCs w:val="20"/>
        </w:rPr>
        <w:t>ity [3]</w:t>
      </w:r>
      <w:r w:rsidRPr="000D0C49">
        <w:rPr>
          <w:rFonts w:ascii="Arial" w:hAnsi="Arial" w:cs="Arial"/>
          <w:sz w:val="20"/>
          <w:szCs w:val="20"/>
        </w:rPr>
        <w:t>.</w:t>
      </w:r>
    </w:p>
    <w:p w14:paraId="048E6B4E" w14:textId="77777777" w:rsidR="00891451" w:rsidRPr="000D0C49" w:rsidRDefault="00E50B6F" w:rsidP="00FE1EFD">
      <w:pPr>
        <w:ind w:right="-24"/>
        <w:jc w:val="both"/>
        <w:rPr>
          <w:rFonts w:ascii="Arial" w:hAnsi="Arial" w:cs="Arial"/>
          <w:sz w:val="20"/>
          <w:szCs w:val="20"/>
        </w:rPr>
      </w:pPr>
      <w:proofErr w:type="spellStart"/>
      <w:r w:rsidRPr="000D0C49">
        <w:rPr>
          <w:rFonts w:ascii="Arial" w:hAnsi="Arial" w:cs="Arial"/>
          <w:sz w:val="20"/>
          <w:szCs w:val="20"/>
        </w:rPr>
        <w:t>Gelucire</w:t>
      </w:r>
      <w:proofErr w:type="spellEnd"/>
      <w:r w:rsidRPr="000D0C49">
        <w:rPr>
          <w:rFonts w:ascii="Arial" w:hAnsi="Arial" w:cs="Arial"/>
          <w:sz w:val="20"/>
          <w:szCs w:val="20"/>
        </w:rPr>
        <w:t xml:space="preserve"> is a member of the polyethylene glycol (PEG) ester family, comprising mono-, di-, and triglycerides of fatty acids. Its physicochemical properties vary depending on its hydrophilic-lipophilic balance (HLB) and melting point range. Formulations designed for immediate or rapid drug release typically utilize </w:t>
      </w:r>
      <w:proofErr w:type="spellStart"/>
      <w:r w:rsidRPr="000D0C49">
        <w:rPr>
          <w:rFonts w:ascii="Arial" w:hAnsi="Arial" w:cs="Arial"/>
          <w:sz w:val="20"/>
          <w:szCs w:val="20"/>
        </w:rPr>
        <w:t>Gelucire</w:t>
      </w:r>
      <w:proofErr w:type="spellEnd"/>
      <w:r w:rsidRPr="000D0C49">
        <w:rPr>
          <w:rFonts w:ascii="Arial" w:hAnsi="Arial" w:cs="Arial"/>
          <w:sz w:val="20"/>
          <w:szCs w:val="20"/>
        </w:rPr>
        <w:t xml:space="preserve"> grades composed solely of PEG </w:t>
      </w:r>
      <w:proofErr w:type="gramStart"/>
      <w:r w:rsidRPr="000D0C49">
        <w:rPr>
          <w:rFonts w:ascii="Arial" w:hAnsi="Arial" w:cs="Arial"/>
          <w:sz w:val="20"/>
          <w:szCs w:val="20"/>
        </w:rPr>
        <w:t>esters</w:t>
      </w:r>
      <w:r w:rsidR="00562229">
        <w:rPr>
          <w:rFonts w:ascii="Arial" w:hAnsi="Arial" w:cs="Arial"/>
          <w:sz w:val="20"/>
          <w:szCs w:val="20"/>
        </w:rPr>
        <w:t>[</w:t>
      </w:r>
      <w:proofErr w:type="gramEnd"/>
      <w:r w:rsidR="00562229">
        <w:rPr>
          <w:rFonts w:ascii="Arial" w:hAnsi="Arial" w:cs="Arial"/>
          <w:sz w:val="20"/>
          <w:szCs w:val="20"/>
        </w:rPr>
        <w:t>4,5]</w:t>
      </w:r>
      <w:r w:rsidRPr="000D0C49">
        <w:rPr>
          <w:rFonts w:ascii="Arial" w:hAnsi="Arial" w:cs="Arial"/>
          <w:sz w:val="20"/>
          <w:szCs w:val="20"/>
        </w:rPr>
        <w:t xml:space="preserve">. In oral drug delivery systems, </w:t>
      </w:r>
      <w:proofErr w:type="spellStart"/>
      <w:r w:rsidRPr="000D0C49">
        <w:rPr>
          <w:rFonts w:ascii="Arial" w:hAnsi="Arial" w:cs="Arial"/>
          <w:sz w:val="20"/>
          <w:szCs w:val="20"/>
        </w:rPr>
        <w:t>Gelucire</w:t>
      </w:r>
      <w:proofErr w:type="spellEnd"/>
      <w:r w:rsidRPr="000D0C49">
        <w:rPr>
          <w:rFonts w:ascii="Arial" w:hAnsi="Arial" w:cs="Arial"/>
          <w:sz w:val="20"/>
          <w:szCs w:val="20"/>
        </w:rPr>
        <w:t xml:space="preserve"> enhances drug solubility and bioavailability, supports sustained release profiles, masks unpleasant taste, and offers protection to the </w:t>
      </w:r>
      <w:r w:rsidRPr="000D0C49">
        <w:rPr>
          <w:rFonts w:ascii="Arial" w:hAnsi="Arial" w:cs="Arial"/>
          <w:sz w:val="20"/>
          <w:szCs w:val="20"/>
        </w:rPr>
        <w:lastRenderedPageBreak/>
        <w:t xml:space="preserve">active pharmaceutical ingredient (API) against light, humidity, and oxidative degradation. </w:t>
      </w:r>
      <w:r w:rsidR="00C82CFB" w:rsidRPr="000D0C49">
        <w:rPr>
          <w:rFonts w:ascii="Arial" w:hAnsi="Arial" w:cs="Arial"/>
          <w:sz w:val="20"/>
          <w:szCs w:val="20"/>
        </w:rPr>
        <w:t>[6].</w:t>
      </w:r>
      <w:r w:rsidR="009F3CFD" w:rsidRPr="000D0C49">
        <w:rPr>
          <w:rFonts w:ascii="Arial" w:hAnsi="Arial" w:cs="Arial"/>
          <w:sz w:val="20"/>
          <w:szCs w:val="20"/>
        </w:rPr>
        <w:t xml:space="preserve"> </w:t>
      </w:r>
      <w:proofErr w:type="spellStart"/>
      <w:r w:rsidR="00031DC1" w:rsidRPr="000D0C49">
        <w:rPr>
          <w:rFonts w:ascii="Arial" w:hAnsi="Arial" w:cs="Arial"/>
          <w:sz w:val="20"/>
          <w:szCs w:val="20"/>
        </w:rPr>
        <w:t>Gelucire</w:t>
      </w:r>
      <w:proofErr w:type="spellEnd"/>
      <w:r w:rsidR="00031DC1" w:rsidRPr="000D0C49">
        <w:rPr>
          <w:rFonts w:ascii="Arial" w:hAnsi="Arial" w:cs="Arial"/>
          <w:sz w:val="20"/>
          <w:szCs w:val="20"/>
        </w:rPr>
        <w:t xml:space="preserve"> is available in two grades based on its Hydrophilic-Lipophilic Balance (HLB) value. Grades with an HLB value below 6 are water-insoluble, those between 6 and 9 are water-dispersible, and values above 9 indicate water-soluble grades. </w:t>
      </w:r>
      <w:proofErr w:type="spellStart"/>
      <w:r w:rsidR="00E07366" w:rsidRPr="000D0C49">
        <w:rPr>
          <w:rFonts w:ascii="Arial" w:hAnsi="Arial" w:cs="Arial"/>
          <w:sz w:val="20"/>
          <w:szCs w:val="20"/>
        </w:rPr>
        <w:t>Gelucire</w:t>
      </w:r>
      <w:proofErr w:type="spellEnd"/>
      <w:r w:rsidR="00E07366" w:rsidRPr="000D0C49">
        <w:rPr>
          <w:rFonts w:ascii="Arial" w:hAnsi="Arial" w:cs="Arial"/>
          <w:sz w:val="20"/>
          <w:szCs w:val="20"/>
        </w:rPr>
        <w:t xml:space="preserve"> 50/13 (stearoyl macrogol-32 glycerides) is a widely used hydrophilic grade characterized by a hydrophilic-lipophilic balance (HLB) of 11 and a melting point of 50°C. It is a non-ionic excipient composed of polyethylene glycol (PEG) esters, free PEG, and a small proportion of glycerides. Upon contact with aqueous media, it forms a fine dispersion or microemulsion, facilitating improved drug </w:t>
      </w:r>
      <w:proofErr w:type="gramStart"/>
      <w:r w:rsidR="00562229">
        <w:rPr>
          <w:rFonts w:ascii="Arial" w:hAnsi="Arial" w:cs="Arial"/>
          <w:sz w:val="20"/>
          <w:szCs w:val="20"/>
        </w:rPr>
        <w:t>solubilisation[</w:t>
      </w:r>
      <w:proofErr w:type="gramEnd"/>
      <w:r w:rsidR="00562229">
        <w:rPr>
          <w:rFonts w:ascii="Arial" w:hAnsi="Arial" w:cs="Arial"/>
          <w:sz w:val="20"/>
          <w:szCs w:val="20"/>
        </w:rPr>
        <w:t>7]</w:t>
      </w:r>
      <w:r w:rsidR="00E07366" w:rsidRPr="000D0C49">
        <w:rPr>
          <w:rFonts w:ascii="Arial" w:hAnsi="Arial" w:cs="Arial"/>
          <w:sz w:val="20"/>
          <w:szCs w:val="20"/>
        </w:rPr>
        <w:t xml:space="preserve">. Conversely, </w:t>
      </w:r>
      <w:proofErr w:type="spellStart"/>
      <w:r w:rsidR="00E07366" w:rsidRPr="000D0C49">
        <w:rPr>
          <w:rFonts w:ascii="Arial" w:hAnsi="Arial" w:cs="Arial"/>
          <w:sz w:val="20"/>
          <w:szCs w:val="20"/>
        </w:rPr>
        <w:t>Gelucire</w:t>
      </w:r>
      <w:proofErr w:type="spellEnd"/>
      <w:r w:rsidR="00E07366" w:rsidRPr="000D0C49">
        <w:rPr>
          <w:rFonts w:ascii="Arial" w:hAnsi="Arial" w:cs="Arial"/>
          <w:sz w:val="20"/>
          <w:szCs w:val="20"/>
        </w:rPr>
        <w:t xml:space="preserve"> 43/01 is a commonly utilized hydrophobic grade, classified as a hard fat according to the National Formulary (NF) and European Pharmacopoeia (EP). It is a semisolid material with an HLB value of 1 and a melting point of 43°C, commonly employed in modified-release drug delivery systems such as floating drug delivery systems (DDS) and lipid-based capsule matrices. Additionally, it offers protective properties against oxidative degradation, moisture, and light, thereby enhancing the stability of the active pharmaceutical ingredient (API) [8].</w:t>
      </w:r>
    </w:p>
    <w:p w14:paraId="66B73EEA" w14:textId="77777777" w:rsidR="005A52FB" w:rsidRPr="000D0C49" w:rsidRDefault="005A52FB" w:rsidP="00FE1EFD">
      <w:pPr>
        <w:pStyle w:val="NormalWeb"/>
        <w:spacing w:after="160" w:afterAutospacing="0"/>
        <w:ind w:right="-24"/>
        <w:jc w:val="both"/>
        <w:rPr>
          <w:rFonts w:ascii="Arial" w:hAnsi="Arial" w:cs="Arial"/>
          <w:sz w:val="20"/>
          <w:szCs w:val="20"/>
        </w:rPr>
      </w:pPr>
      <w:r w:rsidRPr="000D0C49">
        <w:rPr>
          <w:rFonts w:ascii="Arial" w:hAnsi="Arial" w:cs="Arial"/>
          <w:sz w:val="20"/>
          <w:szCs w:val="20"/>
        </w:rPr>
        <w:t>Gastro-Retentive Drug Delivery System (GRDDS) including low and high-density formulations. Low-density systems are designed to remain buoyant within the gastric contents for an extended duration, the</w:t>
      </w:r>
      <w:r w:rsidR="00E07366" w:rsidRPr="000D0C49">
        <w:rPr>
          <w:rFonts w:ascii="Arial" w:hAnsi="Arial" w:cs="Arial"/>
          <w:sz w:val="20"/>
          <w:szCs w:val="20"/>
        </w:rPr>
        <w:t>reby enhancing gastric retention</w:t>
      </w:r>
      <w:r w:rsidR="00773E49" w:rsidRPr="000D0C49">
        <w:rPr>
          <w:rFonts w:ascii="Arial" w:hAnsi="Arial" w:cs="Arial"/>
          <w:sz w:val="20"/>
          <w:szCs w:val="20"/>
        </w:rPr>
        <w:t xml:space="preserve"> </w:t>
      </w:r>
      <w:r w:rsidR="00E07366" w:rsidRPr="000D0C49">
        <w:rPr>
          <w:rFonts w:ascii="Arial" w:hAnsi="Arial" w:cs="Arial"/>
          <w:sz w:val="20"/>
          <w:szCs w:val="20"/>
        </w:rPr>
        <w:t>[9]</w:t>
      </w:r>
      <w:r w:rsidRPr="000D0C49">
        <w:rPr>
          <w:rFonts w:ascii="Arial" w:hAnsi="Arial" w:cs="Arial"/>
          <w:sz w:val="20"/>
          <w:szCs w:val="20"/>
        </w:rPr>
        <w:t>. These formulations can be classified into effervescent and non-effervescent systems. Oral dosage forms that exhibit buoyancy, allowing them to float on the gastric fluids and retain in the stomach for a prolonged period, are referred to as Float</w:t>
      </w:r>
      <w:r w:rsidR="00C82CFB" w:rsidRPr="000D0C49">
        <w:rPr>
          <w:rFonts w:ascii="Arial" w:hAnsi="Arial" w:cs="Arial"/>
          <w:sz w:val="20"/>
          <w:szCs w:val="20"/>
        </w:rPr>
        <w:t>ing Drug Delivery Systems (FDDS) [10]</w:t>
      </w:r>
      <w:r w:rsidRPr="000D0C49">
        <w:rPr>
          <w:rFonts w:ascii="Arial" w:hAnsi="Arial" w:cs="Arial"/>
          <w:sz w:val="20"/>
          <w:szCs w:val="20"/>
        </w:rPr>
        <w:t>.</w:t>
      </w:r>
    </w:p>
    <w:p w14:paraId="1EF57DF6" w14:textId="77777777" w:rsidR="00711537" w:rsidRPr="000D0C49" w:rsidRDefault="00711537" w:rsidP="00FE1EFD">
      <w:pPr>
        <w:ind w:right="-24"/>
        <w:jc w:val="both"/>
        <w:rPr>
          <w:rFonts w:ascii="Arial" w:hAnsi="Arial" w:cs="Arial"/>
          <w:sz w:val="20"/>
          <w:szCs w:val="20"/>
        </w:rPr>
      </w:pPr>
      <w:r w:rsidRPr="000D0C49">
        <w:rPr>
          <w:rFonts w:ascii="Arial" w:hAnsi="Arial" w:cs="Arial"/>
          <w:sz w:val="20"/>
          <w:szCs w:val="20"/>
        </w:rPr>
        <w:t>Histamines are biologically acti</w:t>
      </w:r>
      <w:r w:rsidR="00C50A23" w:rsidRPr="000D0C49">
        <w:rPr>
          <w:rFonts w:ascii="Arial" w:hAnsi="Arial" w:cs="Arial"/>
          <w:sz w:val="20"/>
          <w:szCs w:val="20"/>
        </w:rPr>
        <w:t>ve compounds that play a vital</w:t>
      </w:r>
      <w:r w:rsidRPr="000D0C49">
        <w:rPr>
          <w:rFonts w:ascii="Arial" w:hAnsi="Arial" w:cs="Arial"/>
          <w:sz w:val="20"/>
          <w:szCs w:val="20"/>
        </w:rPr>
        <w:t xml:space="preserve"> role in the body’s immune response, gastric acid secretion, and functioning as neurotransmitters. They are synthesized and stored primarily in mast cells and basophils and are released in response to allergens or injury. Once released, histamines bind to specific receptors (H1, H2, H3, and H4) to mediate various physiological effects, such as vasodilation, increased vascular permeability, </w:t>
      </w:r>
      <w:r w:rsidR="005A52FB" w:rsidRPr="000D0C49">
        <w:rPr>
          <w:rFonts w:ascii="Arial" w:hAnsi="Arial" w:cs="Arial"/>
          <w:sz w:val="20"/>
          <w:szCs w:val="20"/>
        </w:rPr>
        <w:t>a</w:t>
      </w:r>
      <w:r w:rsidR="00C82CFB" w:rsidRPr="000D0C49">
        <w:rPr>
          <w:rFonts w:ascii="Arial" w:hAnsi="Arial" w:cs="Arial"/>
          <w:sz w:val="20"/>
          <w:szCs w:val="20"/>
        </w:rPr>
        <w:t xml:space="preserve">nd smooth muscle contraction [11]. </w:t>
      </w:r>
      <w:r w:rsidR="00E54AC3" w:rsidRPr="000D0C49">
        <w:rPr>
          <w:rFonts w:ascii="Arial" w:hAnsi="Arial" w:cs="Arial"/>
          <w:sz w:val="20"/>
          <w:szCs w:val="20"/>
        </w:rPr>
        <w:t xml:space="preserve"> </w:t>
      </w:r>
      <w:r w:rsidR="00C50A23" w:rsidRPr="000D0C49">
        <w:rPr>
          <w:rFonts w:ascii="Arial" w:hAnsi="Arial" w:cs="Arial"/>
          <w:sz w:val="20"/>
          <w:szCs w:val="20"/>
        </w:rPr>
        <w:t>Antihistamines are</w:t>
      </w:r>
      <w:r w:rsidR="003A1E50" w:rsidRPr="003A1E50">
        <w:rPr>
          <w:rFonts w:ascii="Arial" w:hAnsi="Arial" w:cs="Arial"/>
          <w:sz w:val="20"/>
          <w:szCs w:val="20"/>
        </w:rPr>
        <w:t xml:space="preserve"> </w:t>
      </w:r>
      <w:r w:rsidR="003A1E50" w:rsidRPr="000D0C49">
        <w:rPr>
          <w:rFonts w:ascii="Arial" w:hAnsi="Arial" w:cs="Arial"/>
          <w:sz w:val="20"/>
          <w:szCs w:val="20"/>
        </w:rPr>
        <w:t>biologically active amine</w:t>
      </w:r>
      <w:r w:rsidR="00C50A23" w:rsidRPr="000D0C49">
        <w:rPr>
          <w:rFonts w:ascii="Arial" w:hAnsi="Arial" w:cs="Arial"/>
          <w:sz w:val="20"/>
          <w:szCs w:val="20"/>
        </w:rPr>
        <w:t xml:space="preserve"> that inhibits</w:t>
      </w:r>
      <w:r w:rsidR="003A1E50">
        <w:rPr>
          <w:rFonts w:ascii="Arial" w:hAnsi="Arial" w:cs="Arial"/>
          <w:sz w:val="20"/>
          <w:szCs w:val="20"/>
        </w:rPr>
        <w:t xml:space="preserve"> the action of histamine </w:t>
      </w:r>
      <w:r w:rsidRPr="000D0C49">
        <w:rPr>
          <w:rFonts w:ascii="Arial" w:hAnsi="Arial" w:cs="Arial"/>
          <w:sz w:val="20"/>
          <w:szCs w:val="20"/>
        </w:rPr>
        <w:t xml:space="preserve">involved in allergic reactions, </w:t>
      </w:r>
      <w:r w:rsidR="003A1E50">
        <w:rPr>
          <w:rFonts w:ascii="Arial" w:hAnsi="Arial" w:cs="Arial"/>
          <w:sz w:val="20"/>
          <w:szCs w:val="20"/>
        </w:rPr>
        <w:t xml:space="preserve">neurotransmission and </w:t>
      </w:r>
      <w:r w:rsidR="003A1E50" w:rsidRPr="000D0C49">
        <w:rPr>
          <w:rFonts w:ascii="Arial" w:hAnsi="Arial" w:cs="Arial"/>
          <w:sz w:val="20"/>
          <w:szCs w:val="20"/>
        </w:rPr>
        <w:t>gastric acid secretion</w:t>
      </w:r>
      <w:r w:rsidR="003A1E50">
        <w:rPr>
          <w:rFonts w:ascii="Arial" w:hAnsi="Arial" w:cs="Arial"/>
          <w:sz w:val="20"/>
          <w:szCs w:val="20"/>
        </w:rPr>
        <w:t xml:space="preserve">. </w:t>
      </w:r>
      <w:r w:rsidRPr="000D0C49">
        <w:rPr>
          <w:rFonts w:ascii="Arial" w:hAnsi="Arial" w:cs="Arial"/>
          <w:sz w:val="20"/>
          <w:szCs w:val="20"/>
        </w:rPr>
        <w:t xml:space="preserve">These drugs </w:t>
      </w:r>
      <w:r w:rsidR="003A1E50">
        <w:rPr>
          <w:rFonts w:ascii="Arial" w:hAnsi="Arial" w:cs="Arial"/>
          <w:sz w:val="20"/>
          <w:szCs w:val="20"/>
        </w:rPr>
        <w:t xml:space="preserve">mainly act </w:t>
      </w:r>
      <w:r w:rsidRPr="000D0C49">
        <w:rPr>
          <w:rFonts w:ascii="Arial" w:hAnsi="Arial" w:cs="Arial"/>
          <w:sz w:val="20"/>
          <w:szCs w:val="20"/>
        </w:rPr>
        <w:t>by antagonizing histamine receptors, particularly H1 and H2 receptors, which are the m</w:t>
      </w:r>
      <w:r w:rsidR="00C82CFB" w:rsidRPr="000D0C49">
        <w:rPr>
          <w:rFonts w:ascii="Arial" w:hAnsi="Arial" w:cs="Arial"/>
          <w:sz w:val="20"/>
          <w:szCs w:val="20"/>
        </w:rPr>
        <w:t>ost clinically relevant targets [12].</w:t>
      </w:r>
    </w:p>
    <w:p w14:paraId="4AEE0FDF" w14:textId="77777777" w:rsidR="007454E2" w:rsidRPr="000D0C49" w:rsidRDefault="00E54AC3" w:rsidP="00FE1EFD">
      <w:pPr>
        <w:ind w:right="-24"/>
        <w:jc w:val="both"/>
        <w:rPr>
          <w:rFonts w:ascii="Arial" w:hAnsi="Arial" w:cs="Arial"/>
          <w:sz w:val="20"/>
          <w:szCs w:val="20"/>
        </w:rPr>
      </w:pPr>
      <w:r w:rsidRPr="000D0C49">
        <w:rPr>
          <w:rFonts w:ascii="Arial" w:hAnsi="Arial" w:cs="Arial"/>
          <w:sz w:val="20"/>
          <w:szCs w:val="20"/>
        </w:rPr>
        <w:t xml:space="preserve">Loratadine belongs </w:t>
      </w:r>
      <w:r w:rsidR="00CE3498" w:rsidRPr="000D0C49">
        <w:rPr>
          <w:rFonts w:ascii="Arial" w:hAnsi="Arial" w:cs="Arial"/>
          <w:sz w:val="20"/>
          <w:szCs w:val="20"/>
        </w:rPr>
        <w:t>to 2</w:t>
      </w:r>
      <w:r w:rsidR="00CE3498" w:rsidRPr="000D0C49">
        <w:rPr>
          <w:rFonts w:ascii="Arial" w:hAnsi="Arial" w:cs="Arial"/>
          <w:sz w:val="20"/>
          <w:szCs w:val="20"/>
          <w:vertAlign w:val="superscript"/>
        </w:rPr>
        <w:t>nd</w:t>
      </w:r>
      <w:r w:rsidR="00CE3498" w:rsidRPr="000D0C49">
        <w:rPr>
          <w:rFonts w:ascii="Arial" w:hAnsi="Arial" w:cs="Arial"/>
          <w:sz w:val="20"/>
          <w:szCs w:val="20"/>
        </w:rPr>
        <w:t xml:space="preserve"> generation antihistamines and classified under BCS</w:t>
      </w:r>
      <w:r w:rsidRPr="000D0C49">
        <w:rPr>
          <w:rFonts w:ascii="Arial" w:hAnsi="Arial" w:cs="Arial"/>
          <w:sz w:val="20"/>
          <w:szCs w:val="20"/>
        </w:rPr>
        <w:t xml:space="preserve"> II which has high permeability and low solubility. </w:t>
      </w:r>
      <w:r w:rsidR="00CE3498" w:rsidRPr="000D0C49">
        <w:rPr>
          <w:rFonts w:ascii="Arial" w:hAnsi="Arial" w:cs="Arial"/>
          <w:sz w:val="20"/>
          <w:szCs w:val="20"/>
        </w:rPr>
        <w:t>Due to its favourable safety profile, minimal central nervous system effects, and lack of significant drug interactions, loratadine remains a preferred choice for long-term management of allergic conditions.  When it</w:t>
      </w:r>
      <w:r w:rsidR="00CB0A33" w:rsidRPr="000D0C49">
        <w:rPr>
          <w:rFonts w:ascii="Arial" w:hAnsi="Arial" w:cs="Arial"/>
          <w:sz w:val="20"/>
          <w:szCs w:val="20"/>
        </w:rPr>
        <w:t xml:space="preserve"> is administered orally </w:t>
      </w:r>
      <w:r w:rsidR="00CE3498" w:rsidRPr="000D0C49">
        <w:rPr>
          <w:rFonts w:ascii="Arial" w:hAnsi="Arial" w:cs="Arial"/>
          <w:sz w:val="20"/>
          <w:szCs w:val="20"/>
        </w:rPr>
        <w:t xml:space="preserve">it </w:t>
      </w:r>
      <w:r w:rsidR="00DF3A5B" w:rsidRPr="000D0C49">
        <w:rPr>
          <w:rFonts w:ascii="Arial" w:hAnsi="Arial" w:cs="Arial"/>
          <w:sz w:val="20"/>
          <w:szCs w:val="20"/>
        </w:rPr>
        <w:t>undergo</w:t>
      </w:r>
      <w:r w:rsidR="00CB0A33" w:rsidRPr="000D0C49">
        <w:rPr>
          <w:rFonts w:ascii="Arial" w:hAnsi="Arial" w:cs="Arial"/>
          <w:sz w:val="20"/>
          <w:szCs w:val="20"/>
        </w:rPr>
        <w:t xml:space="preserve"> extensive first-pass metabolism in the liver </w:t>
      </w:r>
      <w:r w:rsidR="00DF3A5B" w:rsidRPr="000D0C49">
        <w:rPr>
          <w:rFonts w:ascii="Arial" w:hAnsi="Arial" w:cs="Arial"/>
          <w:sz w:val="20"/>
          <w:szCs w:val="20"/>
        </w:rPr>
        <w:t xml:space="preserve">with the </w:t>
      </w:r>
      <w:r w:rsidR="00DF3A5B" w:rsidRPr="000D0C49">
        <w:rPr>
          <w:rFonts w:ascii="Arial" w:hAnsi="Arial" w:cs="Arial"/>
          <w:color w:val="1F1F1F"/>
          <w:sz w:val="20"/>
          <w:szCs w:val="20"/>
        </w:rPr>
        <w:t>oral bioavailability of less than 40 %</w:t>
      </w:r>
      <w:r w:rsidR="00DF3A5B" w:rsidRPr="000D0C49">
        <w:rPr>
          <w:rFonts w:ascii="Arial" w:hAnsi="Arial" w:cs="Arial"/>
          <w:sz w:val="20"/>
          <w:szCs w:val="20"/>
        </w:rPr>
        <w:t xml:space="preserve"> </w:t>
      </w:r>
      <w:r w:rsidR="00C82CFB" w:rsidRPr="000D0C49">
        <w:rPr>
          <w:rFonts w:ascii="Arial" w:hAnsi="Arial" w:cs="Arial"/>
          <w:sz w:val="20"/>
          <w:szCs w:val="20"/>
        </w:rPr>
        <w:t>[13].</w:t>
      </w:r>
    </w:p>
    <w:p w14:paraId="29E3BF1F" w14:textId="77777777" w:rsidR="00642FE5" w:rsidRPr="000D0C49" w:rsidRDefault="00421904" w:rsidP="00FE1EFD">
      <w:pPr>
        <w:pStyle w:val="BodyText"/>
        <w:tabs>
          <w:tab w:val="left" w:pos="9639"/>
          <w:tab w:val="left" w:pos="9923"/>
        </w:tabs>
        <w:spacing w:before="224" w:after="160"/>
        <w:ind w:right="-24"/>
        <w:jc w:val="both"/>
        <w:rPr>
          <w:rFonts w:ascii="Arial" w:hAnsi="Arial" w:cs="Arial"/>
          <w:sz w:val="20"/>
          <w:szCs w:val="20"/>
        </w:rPr>
      </w:pPr>
      <w:r w:rsidRPr="000D0C49">
        <w:rPr>
          <w:rFonts w:ascii="Arial" w:hAnsi="Arial" w:cs="Arial"/>
          <w:sz w:val="20"/>
          <w:szCs w:val="20"/>
        </w:rPr>
        <w:t xml:space="preserve">Thus, the major objective of the present study was to design </w:t>
      </w:r>
      <w:r w:rsidR="00D372A8">
        <w:rPr>
          <w:rFonts w:ascii="Arial" w:hAnsi="Arial" w:cs="Arial"/>
          <w:sz w:val="20"/>
          <w:szCs w:val="20"/>
        </w:rPr>
        <w:t xml:space="preserve">and evaluate </w:t>
      </w:r>
      <w:r w:rsidRPr="000D0C49">
        <w:rPr>
          <w:rFonts w:ascii="Arial" w:hAnsi="Arial" w:cs="Arial"/>
          <w:sz w:val="20"/>
          <w:szCs w:val="20"/>
        </w:rPr>
        <w:t>floating granules</w:t>
      </w:r>
      <w:r w:rsidR="00E44D81">
        <w:rPr>
          <w:rFonts w:ascii="Arial" w:hAnsi="Arial" w:cs="Arial"/>
          <w:sz w:val="20"/>
          <w:szCs w:val="20"/>
        </w:rPr>
        <w:t xml:space="preserve"> of loratadine using </w:t>
      </w:r>
      <w:proofErr w:type="spellStart"/>
      <w:r w:rsidR="00E44D81">
        <w:rPr>
          <w:rFonts w:ascii="Arial" w:hAnsi="Arial" w:cs="Arial"/>
          <w:sz w:val="20"/>
          <w:szCs w:val="20"/>
        </w:rPr>
        <w:t>gelucire</w:t>
      </w:r>
      <w:proofErr w:type="spellEnd"/>
      <w:r w:rsidR="00E44D81">
        <w:rPr>
          <w:rFonts w:ascii="Arial" w:hAnsi="Arial" w:cs="Arial"/>
          <w:sz w:val="20"/>
          <w:szCs w:val="20"/>
        </w:rPr>
        <w:t xml:space="preserve"> 43/01</w:t>
      </w:r>
      <w:r w:rsidR="00F5269D">
        <w:rPr>
          <w:rFonts w:ascii="Arial" w:hAnsi="Arial" w:cs="Arial"/>
          <w:sz w:val="20"/>
          <w:szCs w:val="20"/>
        </w:rPr>
        <w:t xml:space="preserve"> for sustained drug delivery.</w:t>
      </w:r>
    </w:p>
    <w:p w14:paraId="2127CB53" w14:textId="77777777" w:rsidR="00C70BF7" w:rsidRPr="000D0C49" w:rsidRDefault="001701AA" w:rsidP="00F11B03">
      <w:pPr>
        <w:ind w:right="92"/>
        <w:jc w:val="both"/>
        <w:rPr>
          <w:rFonts w:ascii="Arial" w:hAnsi="Arial" w:cs="Arial"/>
          <w:b/>
        </w:rPr>
      </w:pPr>
      <w:r w:rsidRPr="000D0C49">
        <w:rPr>
          <w:rFonts w:ascii="Arial" w:hAnsi="Arial" w:cs="Arial"/>
          <w:b/>
        </w:rPr>
        <w:t>2.</w:t>
      </w:r>
      <w:r w:rsidR="00A52E1D" w:rsidRPr="000D0C49">
        <w:rPr>
          <w:rFonts w:ascii="Arial" w:hAnsi="Arial" w:cs="Arial"/>
          <w:b/>
        </w:rPr>
        <w:t xml:space="preserve"> </w:t>
      </w:r>
      <w:r w:rsidR="00C77DED" w:rsidRPr="000D0C49">
        <w:rPr>
          <w:rFonts w:ascii="Arial" w:hAnsi="Arial" w:cs="Arial"/>
          <w:b/>
        </w:rPr>
        <w:t>MATERIAL AND METHODS</w:t>
      </w:r>
    </w:p>
    <w:p w14:paraId="0EAFF870" w14:textId="77777777" w:rsidR="00C77DED" w:rsidRPr="000D0C49" w:rsidRDefault="00C77DED" w:rsidP="003071A9">
      <w:pPr>
        <w:ind w:right="183"/>
        <w:jc w:val="both"/>
        <w:rPr>
          <w:rFonts w:ascii="Arial" w:hAnsi="Arial" w:cs="Arial"/>
          <w:b/>
          <w:szCs w:val="20"/>
        </w:rPr>
      </w:pPr>
      <w:r w:rsidRPr="000D0C49">
        <w:rPr>
          <w:rFonts w:ascii="Arial" w:hAnsi="Arial" w:cs="Arial"/>
          <w:b/>
          <w:szCs w:val="20"/>
        </w:rPr>
        <w:t xml:space="preserve">2.1 </w:t>
      </w:r>
      <w:r w:rsidR="00A52E1D" w:rsidRPr="000D0C49">
        <w:rPr>
          <w:rFonts w:ascii="Arial" w:hAnsi="Arial" w:cs="Arial"/>
          <w:b/>
          <w:szCs w:val="20"/>
        </w:rPr>
        <w:t>Materials</w:t>
      </w:r>
    </w:p>
    <w:p w14:paraId="0FDA8688" w14:textId="77777777" w:rsidR="00013BCF" w:rsidRPr="000D0C49" w:rsidRDefault="00C70BF7" w:rsidP="00FE1EFD">
      <w:pPr>
        <w:ind w:right="-24"/>
        <w:jc w:val="both"/>
        <w:rPr>
          <w:rFonts w:ascii="Arial" w:hAnsi="Arial" w:cs="Arial"/>
          <w:sz w:val="20"/>
          <w:szCs w:val="20"/>
        </w:rPr>
      </w:pPr>
      <w:r w:rsidRPr="000D0C49">
        <w:rPr>
          <w:rFonts w:ascii="Arial" w:hAnsi="Arial" w:cs="Arial"/>
          <w:sz w:val="20"/>
          <w:szCs w:val="20"/>
        </w:rPr>
        <w:t xml:space="preserve">Loratadine </w:t>
      </w:r>
      <w:r w:rsidR="003B17A9" w:rsidRPr="000D0C49">
        <w:rPr>
          <w:rFonts w:ascii="Arial" w:hAnsi="Arial" w:cs="Arial"/>
          <w:sz w:val="20"/>
          <w:szCs w:val="20"/>
        </w:rPr>
        <w:t xml:space="preserve">was purchased from </w:t>
      </w:r>
      <w:proofErr w:type="spellStart"/>
      <w:r w:rsidRPr="000D0C49">
        <w:rPr>
          <w:rFonts w:ascii="Arial" w:hAnsi="Arial" w:cs="Arial"/>
          <w:sz w:val="20"/>
          <w:szCs w:val="20"/>
        </w:rPr>
        <w:t>Apotex</w:t>
      </w:r>
      <w:proofErr w:type="spellEnd"/>
      <w:r w:rsidRPr="000D0C49">
        <w:rPr>
          <w:rFonts w:ascii="Arial" w:hAnsi="Arial" w:cs="Arial"/>
          <w:sz w:val="20"/>
          <w:szCs w:val="20"/>
        </w:rPr>
        <w:t xml:space="preserve"> </w:t>
      </w:r>
      <w:proofErr w:type="spellStart"/>
      <w:r w:rsidRPr="000D0C49">
        <w:rPr>
          <w:rFonts w:ascii="Arial" w:hAnsi="Arial" w:cs="Arial"/>
          <w:sz w:val="20"/>
          <w:szCs w:val="20"/>
        </w:rPr>
        <w:t>Pharmache</w:t>
      </w:r>
      <w:r w:rsidR="003B17A9" w:rsidRPr="000D0C49">
        <w:rPr>
          <w:rFonts w:ascii="Arial" w:hAnsi="Arial" w:cs="Arial"/>
          <w:sz w:val="20"/>
          <w:szCs w:val="20"/>
        </w:rPr>
        <w:t>m</w:t>
      </w:r>
      <w:proofErr w:type="spellEnd"/>
      <w:r w:rsidR="003B17A9" w:rsidRPr="000D0C49">
        <w:rPr>
          <w:rFonts w:ascii="Arial" w:hAnsi="Arial" w:cs="Arial"/>
          <w:sz w:val="20"/>
          <w:szCs w:val="20"/>
        </w:rPr>
        <w:t xml:space="preserve"> INC Bengaluru, </w:t>
      </w:r>
      <w:proofErr w:type="spellStart"/>
      <w:r w:rsidR="00F37D2D" w:rsidRPr="000D0C49">
        <w:rPr>
          <w:rFonts w:ascii="Arial" w:hAnsi="Arial" w:cs="Arial"/>
          <w:sz w:val="20"/>
          <w:szCs w:val="20"/>
        </w:rPr>
        <w:t>Gelucire</w:t>
      </w:r>
      <w:proofErr w:type="spellEnd"/>
      <w:r w:rsidR="00F37D2D" w:rsidRPr="000D0C49">
        <w:rPr>
          <w:rFonts w:ascii="Arial" w:hAnsi="Arial" w:cs="Arial"/>
          <w:sz w:val="20"/>
          <w:szCs w:val="20"/>
        </w:rPr>
        <w:t xml:space="preserve"> 50/13 (</w:t>
      </w:r>
      <w:proofErr w:type="spellStart"/>
      <w:r w:rsidR="00F37D2D" w:rsidRPr="000D0C49">
        <w:rPr>
          <w:rFonts w:ascii="Arial" w:hAnsi="Arial" w:cs="Arial"/>
          <w:sz w:val="20"/>
          <w:szCs w:val="20"/>
        </w:rPr>
        <w:t>Gattefose</w:t>
      </w:r>
      <w:proofErr w:type="spellEnd"/>
      <w:r w:rsidR="00F37D2D" w:rsidRPr="000D0C49">
        <w:rPr>
          <w:rFonts w:ascii="Arial" w:hAnsi="Arial" w:cs="Arial"/>
          <w:sz w:val="20"/>
          <w:szCs w:val="20"/>
        </w:rPr>
        <w:t>, France)</w:t>
      </w:r>
      <w:r w:rsidR="009346C8" w:rsidRPr="000D0C49">
        <w:rPr>
          <w:rFonts w:ascii="Arial" w:hAnsi="Arial" w:cs="Arial"/>
          <w:sz w:val="20"/>
          <w:szCs w:val="20"/>
        </w:rPr>
        <w:t>,</w:t>
      </w:r>
      <w:r w:rsidR="00F37D2D" w:rsidRPr="00F37D2D">
        <w:rPr>
          <w:rFonts w:ascii="Arial" w:hAnsi="Arial" w:cs="Arial"/>
          <w:sz w:val="20"/>
          <w:szCs w:val="20"/>
        </w:rPr>
        <w:t xml:space="preserve"> </w:t>
      </w:r>
      <w:proofErr w:type="spellStart"/>
      <w:r w:rsidR="00F37D2D" w:rsidRPr="000D0C49">
        <w:rPr>
          <w:rFonts w:ascii="Arial" w:hAnsi="Arial" w:cs="Arial"/>
          <w:sz w:val="20"/>
          <w:szCs w:val="20"/>
        </w:rPr>
        <w:t>Gelucire</w:t>
      </w:r>
      <w:proofErr w:type="spellEnd"/>
      <w:r w:rsidR="00F37D2D" w:rsidRPr="000D0C49">
        <w:rPr>
          <w:rFonts w:ascii="Arial" w:hAnsi="Arial" w:cs="Arial"/>
          <w:sz w:val="20"/>
          <w:szCs w:val="20"/>
        </w:rPr>
        <w:t xml:space="preserve"> 43/01 (</w:t>
      </w:r>
      <w:proofErr w:type="spellStart"/>
      <w:r w:rsidR="00F37D2D" w:rsidRPr="000D0C49">
        <w:rPr>
          <w:rFonts w:ascii="Arial" w:hAnsi="Arial" w:cs="Arial"/>
          <w:sz w:val="20"/>
          <w:szCs w:val="20"/>
        </w:rPr>
        <w:t>Gattefose</w:t>
      </w:r>
      <w:proofErr w:type="spellEnd"/>
      <w:r w:rsidR="00F37D2D" w:rsidRPr="000D0C49">
        <w:rPr>
          <w:rFonts w:ascii="Arial" w:hAnsi="Arial" w:cs="Arial"/>
          <w:sz w:val="20"/>
          <w:szCs w:val="20"/>
        </w:rPr>
        <w:t>, France)</w:t>
      </w:r>
      <w:r w:rsidR="00F37D2D">
        <w:rPr>
          <w:rFonts w:ascii="Arial" w:hAnsi="Arial" w:cs="Arial"/>
          <w:sz w:val="20"/>
          <w:szCs w:val="20"/>
        </w:rPr>
        <w:t>,</w:t>
      </w:r>
      <w:r w:rsidR="009346C8" w:rsidRPr="000D0C49">
        <w:rPr>
          <w:rFonts w:ascii="Arial" w:hAnsi="Arial" w:cs="Arial"/>
          <w:sz w:val="20"/>
          <w:szCs w:val="20"/>
        </w:rPr>
        <w:t xml:space="preserve"> Hydrochloric acid </w:t>
      </w:r>
      <w:r w:rsidR="003B17A9" w:rsidRPr="000D0C49">
        <w:rPr>
          <w:rFonts w:ascii="Arial" w:hAnsi="Arial" w:cs="Arial"/>
          <w:sz w:val="20"/>
          <w:szCs w:val="20"/>
        </w:rPr>
        <w:t>(</w:t>
      </w:r>
      <w:r w:rsidR="009346C8" w:rsidRPr="000D0C49">
        <w:rPr>
          <w:rFonts w:ascii="Arial" w:hAnsi="Arial" w:cs="Arial"/>
          <w:sz w:val="20"/>
          <w:szCs w:val="20"/>
        </w:rPr>
        <w:t>RFCL Limited, New Delhi</w:t>
      </w:r>
      <w:r w:rsidR="003B17A9" w:rsidRPr="000D0C49">
        <w:rPr>
          <w:rFonts w:ascii="Arial" w:hAnsi="Arial" w:cs="Arial"/>
          <w:sz w:val="20"/>
          <w:szCs w:val="20"/>
        </w:rPr>
        <w:t>).</w:t>
      </w:r>
    </w:p>
    <w:p w14:paraId="4D67B877" w14:textId="77777777" w:rsidR="003B17A9" w:rsidRPr="000D0C49" w:rsidRDefault="00C77DED" w:rsidP="00F11B03">
      <w:pPr>
        <w:ind w:right="92"/>
        <w:jc w:val="both"/>
        <w:rPr>
          <w:rFonts w:ascii="Arial" w:hAnsi="Arial" w:cs="Arial"/>
          <w:b/>
        </w:rPr>
      </w:pPr>
      <w:r w:rsidRPr="000D0C49">
        <w:rPr>
          <w:rFonts w:ascii="Arial" w:hAnsi="Arial" w:cs="Arial"/>
          <w:b/>
        </w:rPr>
        <w:t xml:space="preserve">2.2 </w:t>
      </w:r>
      <w:r w:rsidR="00A52E1D" w:rsidRPr="000D0C49">
        <w:rPr>
          <w:rFonts w:ascii="Arial" w:hAnsi="Arial" w:cs="Arial"/>
          <w:b/>
        </w:rPr>
        <w:t>Instrumentation</w:t>
      </w:r>
    </w:p>
    <w:p w14:paraId="1F1C9BC1" w14:textId="77777777" w:rsidR="000D0C49" w:rsidRPr="000D0C49" w:rsidRDefault="000D0C49" w:rsidP="00F11B03">
      <w:pPr>
        <w:widowControl w:val="0"/>
        <w:tabs>
          <w:tab w:val="left" w:pos="1709"/>
        </w:tabs>
        <w:autoSpaceDE w:val="0"/>
        <w:autoSpaceDN w:val="0"/>
        <w:ind w:right="92"/>
        <w:jc w:val="both"/>
        <w:rPr>
          <w:rFonts w:ascii="Arial" w:hAnsi="Arial" w:cs="Arial"/>
          <w:sz w:val="20"/>
          <w:szCs w:val="20"/>
        </w:rPr>
      </w:pPr>
      <w:r w:rsidRPr="000D0C49">
        <w:rPr>
          <w:rFonts w:ascii="Arial" w:hAnsi="Arial" w:cs="Arial"/>
          <w:sz w:val="20"/>
          <w:szCs w:val="20"/>
        </w:rPr>
        <w:t>The instruments used in the study include an analytical balance, an electrical balance (</w:t>
      </w:r>
      <w:proofErr w:type="spellStart"/>
      <w:r w:rsidRPr="000D0C49">
        <w:rPr>
          <w:rFonts w:ascii="Arial" w:hAnsi="Arial" w:cs="Arial"/>
          <w:sz w:val="20"/>
          <w:szCs w:val="20"/>
        </w:rPr>
        <w:t>Dhona</w:t>
      </w:r>
      <w:proofErr w:type="spellEnd"/>
      <w:r w:rsidRPr="000D0C49">
        <w:rPr>
          <w:rFonts w:ascii="Arial" w:hAnsi="Arial" w:cs="Arial"/>
          <w:sz w:val="20"/>
          <w:szCs w:val="20"/>
        </w:rPr>
        <w:t xml:space="preserve"> 200D), a digital pH meter (</w:t>
      </w:r>
      <w:proofErr w:type="spellStart"/>
      <w:r w:rsidRPr="000D0C49">
        <w:rPr>
          <w:rFonts w:ascii="Arial" w:hAnsi="Arial" w:cs="Arial"/>
          <w:sz w:val="20"/>
          <w:szCs w:val="20"/>
        </w:rPr>
        <w:t>Digisum</w:t>
      </w:r>
      <w:proofErr w:type="spellEnd"/>
      <w:r w:rsidRPr="000D0C49">
        <w:rPr>
          <w:rFonts w:ascii="Arial" w:hAnsi="Arial" w:cs="Arial"/>
          <w:sz w:val="20"/>
          <w:szCs w:val="20"/>
        </w:rPr>
        <w:t xml:space="preserve"> Electronics, Hyderabad), UV-visible spectrophoto</w:t>
      </w:r>
      <w:r w:rsidR="00F37D2D">
        <w:rPr>
          <w:rFonts w:ascii="Arial" w:hAnsi="Arial" w:cs="Arial"/>
          <w:sz w:val="20"/>
          <w:szCs w:val="20"/>
        </w:rPr>
        <w:t>meter (SHIMADZU UV-1700 PC,</w:t>
      </w:r>
      <w:r w:rsidR="00F52BA4">
        <w:rPr>
          <w:rFonts w:ascii="Arial" w:hAnsi="Arial" w:cs="Arial"/>
          <w:sz w:val="20"/>
          <w:szCs w:val="20"/>
        </w:rPr>
        <w:t xml:space="preserve"> Japan), </w:t>
      </w:r>
      <w:r w:rsidRPr="000D0C49">
        <w:rPr>
          <w:rFonts w:ascii="Arial" w:hAnsi="Arial" w:cs="Arial"/>
          <w:sz w:val="20"/>
          <w:szCs w:val="20"/>
        </w:rPr>
        <w:t xml:space="preserve">FT-IR spectrophotometer (Jasco 460 Plus FT-IR), USP I dissolution tester </w:t>
      </w:r>
      <w:r w:rsidR="00F37D2D">
        <w:rPr>
          <w:rFonts w:ascii="Arial" w:hAnsi="Arial" w:cs="Arial"/>
          <w:sz w:val="20"/>
          <w:szCs w:val="20"/>
        </w:rPr>
        <w:t xml:space="preserve">(TDT-08L, </w:t>
      </w:r>
      <w:proofErr w:type="spellStart"/>
      <w:r w:rsidR="00F37D2D">
        <w:rPr>
          <w:rFonts w:ascii="Arial" w:hAnsi="Arial" w:cs="Arial"/>
          <w:sz w:val="20"/>
          <w:szCs w:val="20"/>
        </w:rPr>
        <w:t>Electrolab</w:t>
      </w:r>
      <w:proofErr w:type="spellEnd"/>
      <w:r w:rsidR="00F37D2D">
        <w:rPr>
          <w:rFonts w:ascii="Arial" w:hAnsi="Arial" w:cs="Arial"/>
          <w:sz w:val="20"/>
          <w:szCs w:val="20"/>
        </w:rPr>
        <w:t>, Mumbai),</w:t>
      </w:r>
      <w:r w:rsidRPr="000D0C49">
        <w:rPr>
          <w:rFonts w:ascii="Arial" w:hAnsi="Arial" w:cs="Arial"/>
          <w:sz w:val="20"/>
          <w:szCs w:val="20"/>
        </w:rPr>
        <w:t xml:space="preserve"> differential scanning calorimeter,</w:t>
      </w:r>
      <w:r w:rsidR="00F37D2D">
        <w:rPr>
          <w:rFonts w:ascii="Arial" w:hAnsi="Arial" w:cs="Arial"/>
          <w:sz w:val="20"/>
          <w:szCs w:val="20"/>
        </w:rPr>
        <w:t xml:space="preserve"> </w:t>
      </w:r>
      <w:r w:rsidRPr="000D0C49">
        <w:rPr>
          <w:rFonts w:ascii="Arial" w:hAnsi="Arial" w:cs="Arial"/>
          <w:sz w:val="20"/>
          <w:szCs w:val="20"/>
        </w:rPr>
        <w:t xml:space="preserve">ultrasonic </w:t>
      </w:r>
      <w:proofErr w:type="spellStart"/>
      <w:r w:rsidRPr="000D0C49">
        <w:rPr>
          <w:rFonts w:ascii="Arial" w:hAnsi="Arial" w:cs="Arial"/>
          <w:sz w:val="20"/>
          <w:szCs w:val="20"/>
        </w:rPr>
        <w:t>soncator</w:t>
      </w:r>
      <w:proofErr w:type="spellEnd"/>
      <w:r w:rsidRPr="000D0C49">
        <w:rPr>
          <w:rFonts w:ascii="Arial" w:hAnsi="Arial" w:cs="Arial"/>
          <w:sz w:val="20"/>
          <w:szCs w:val="20"/>
        </w:rPr>
        <w:t xml:space="preserve"> (</w:t>
      </w:r>
      <w:proofErr w:type="spellStart"/>
      <w:r w:rsidRPr="000D0C49">
        <w:rPr>
          <w:rFonts w:ascii="Arial" w:hAnsi="Arial" w:cs="Arial"/>
          <w:sz w:val="20"/>
          <w:szCs w:val="20"/>
        </w:rPr>
        <w:t>Wensar</w:t>
      </w:r>
      <w:proofErr w:type="spellEnd"/>
      <w:r w:rsidRPr="000D0C49">
        <w:rPr>
          <w:rFonts w:ascii="Arial" w:hAnsi="Arial" w:cs="Arial"/>
          <w:sz w:val="20"/>
          <w:szCs w:val="20"/>
        </w:rPr>
        <w:t xml:space="preserve"> WUC-1.8L), and X-ray crystallography equipment.</w:t>
      </w:r>
    </w:p>
    <w:p w14:paraId="278FEB85" w14:textId="77777777" w:rsidR="00BE2DF8" w:rsidRPr="000D0C49" w:rsidRDefault="00C77DED" w:rsidP="00F11B03">
      <w:pPr>
        <w:widowControl w:val="0"/>
        <w:tabs>
          <w:tab w:val="left" w:pos="1709"/>
        </w:tabs>
        <w:autoSpaceDE w:val="0"/>
        <w:autoSpaceDN w:val="0"/>
        <w:ind w:right="92"/>
        <w:jc w:val="both"/>
        <w:rPr>
          <w:rFonts w:ascii="Arial" w:hAnsi="Arial" w:cs="Arial"/>
          <w:b/>
        </w:rPr>
      </w:pPr>
      <w:r w:rsidRPr="000D0C49">
        <w:rPr>
          <w:rFonts w:ascii="Arial" w:hAnsi="Arial" w:cs="Arial"/>
          <w:b/>
        </w:rPr>
        <w:t xml:space="preserve">2.3 </w:t>
      </w:r>
      <w:r w:rsidR="00A52E1D" w:rsidRPr="000D0C49">
        <w:rPr>
          <w:rFonts w:ascii="Arial" w:hAnsi="Arial" w:cs="Arial"/>
          <w:b/>
        </w:rPr>
        <w:t xml:space="preserve">Formulation of Loratadine </w:t>
      </w:r>
      <w:r w:rsidR="00733CAD" w:rsidRPr="000D0C49">
        <w:rPr>
          <w:rFonts w:ascii="Arial" w:hAnsi="Arial" w:cs="Arial"/>
          <w:b/>
        </w:rPr>
        <w:t xml:space="preserve">Floating </w:t>
      </w:r>
      <w:r w:rsidR="00A52E1D" w:rsidRPr="000D0C49">
        <w:rPr>
          <w:rFonts w:ascii="Arial" w:hAnsi="Arial" w:cs="Arial"/>
          <w:b/>
        </w:rPr>
        <w:t>Lipid Based Drug Delivery Systems</w:t>
      </w:r>
    </w:p>
    <w:p w14:paraId="574B0DD4" w14:textId="77777777" w:rsidR="00BE2DF8" w:rsidRPr="000D0C49" w:rsidRDefault="000D0C49" w:rsidP="00FE1EFD">
      <w:pPr>
        <w:widowControl w:val="0"/>
        <w:tabs>
          <w:tab w:val="left" w:pos="1709"/>
        </w:tabs>
        <w:autoSpaceDE w:val="0"/>
        <w:autoSpaceDN w:val="0"/>
        <w:spacing w:before="240" w:line="276" w:lineRule="auto"/>
        <w:ind w:right="-24"/>
        <w:jc w:val="both"/>
        <w:rPr>
          <w:rFonts w:ascii="Arial" w:hAnsi="Arial" w:cs="Arial"/>
          <w:sz w:val="20"/>
          <w:szCs w:val="20"/>
        </w:rPr>
      </w:pPr>
      <w:r w:rsidRPr="000D0C49">
        <w:rPr>
          <w:rFonts w:ascii="Arial" w:hAnsi="Arial" w:cs="Arial"/>
          <w:sz w:val="20"/>
          <w:szCs w:val="20"/>
        </w:rPr>
        <w:t xml:space="preserve">The lipid carriers, </w:t>
      </w:r>
      <w:proofErr w:type="spellStart"/>
      <w:r w:rsidRPr="000D0C49">
        <w:rPr>
          <w:rFonts w:ascii="Arial" w:hAnsi="Arial" w:cs="Arial"/>
          <w:sz w:val="20"/>
          <w:szCs w:val="20"/>
        </w:rPr>
        <w:t>Gelucire</w:t>
      </w:r>
      <w:proofErr w:type="spellEnd"/>
      <w:r w:rsidRPr="000D0C49">
        <w:rPr>
          <w:rFonts w:ascii="Arial" w:hAnsi="Arial" w:cs="Arial"/>
          <w:sz w:val="20"/>
          <w:szCs w:val="20"/>
        </w:rPr>
        <w:t xml:space="preserve"> 43/01 and </w:t>
      </w:r>
      <w:proofErr w:type="spellStart"/>
      <w:r w:rsidRPr="000D0C49">
        <w:rPr>
          <w:rFonts w:ascii="Arial" w:hAnsi="Arial" w:cs="Arial"/>
          <w:sz w:val="20"/>
          <w:szCs w:val="20"/>
        </w:rPr>
        <w:t>Gelucire</w:t>
      </w:r>
      <w:proofErr w:type="spellEnd"/>
      <w:r w:rsidRPr="000D0C49">
        <w:rPr>
          <w:rFonts w:ascii="Arial" w:hAnsi="Arial" w:cs="Arial"/>
          <w:sz w:val="20"/>
          <w:szCs w:val="20"/>
        </w:rPr>
        <w:t xml:space="preserve"> 50/13, were measured and placed in a beaker, then melted at 50°C. The accurately weighed amount of Loratadine was incorporated into the molten lipid mixture, with continuous stirring to ensure uniform distribution. The molten formulation was allowed to cool and solidify at room temperature. Once solidified, the granules were sieved and subjected to subsequent evaluation. </w:t>
      </w:r>
      <w:r w:rsidR="00A05B51" w:rsidRPr="000D0C49">
        <w:rPr>
          <w:rFonts w:ascii="Arial" w:hAnsi="Arial" w:cs="Arial"/>
          <w:sz w:val="20"/>
          <w:szCs w:val="20"/>
        </w:rPr>
        <w:t>[14]</w:t>
      </w:r>
      <w:r w:rsidR="00BE2DF8" w:rsidRPr="000D0C49">
        <w:rPr>
          <w:rFonts w:ascii="Arial" w:hAnsi="Arial" w:cs="Arial"/>
          <w:spacing w:val="-2"/>
          <w:sz w:val="20"/>
          <w:szCs w:val="20"/>
        </w:rPr>
        <w:t>.</w:t>
      </w:r>
    </w:p>
    <w:p w14:paraId="755E66EA" w14:textId="77777777" w:rsidR="000D0C49" w:rsidRPr="000D0C49" w:rsidRDefault="000D0C49" w:rsidP="000D0C49">
      <w:pPr>
        <w:tabs>
          <w:tab w:val="left" w:pos="8364"/>
        </w:tabs>
        <w:ind w:right="92"/>
        <w:jc w:val="both"/>
        <w:rPr>
          <w:rFonts w:ascii="Arial" w:hAnsi="Arial" w:cs="Arial"/>
        </w:rPr>
      </w:pPr>
      <w:r w:rsidRPr="000D0C49">
        <w:rPr>
          <w:rFonts w:ascii="Arial" w:hAnsi="Arial" w:cs="Arial"/>
        </w:rPr>
        <w:lastRenderedPageBreak/>
        <w:t>The same procedure was employed to prepare all nine formulations, with variations in the lipid concentrations while maintaining a constant Loratadine ratio.</w:t>
      </w:r>
    </w:p>
    <w:p w14:paraId="419F043C" w14:textId="77777777" w:rsidR="00CC1064" w:rsidRPr="000D0C49" w:rsidRDefault="00D61F5D" w:rsidP="00C77DED">
      <w:pPr>
        <w:tabs>
          <w:tab w:val="left" w:pos="8364"/>
        </w:tabs>
        <w:ind w:right="92"/>
        <w:jc w:val="center"/>
        <w:rPr>
          <w:rFonts w:ascii="Arial" w:hAnsi="Arial" w:cs="Arial"/>
          <w:b/>
          <w:sz w:val="20"/>
          <w:szCs w:val="20"/>
        </w:rPr>
      </w:pPr>
      <w:r w:rsidRPr="000D0C49">
        <w:rPr>
          <w:rFonts w:ascii="Arial" w:hAnsi="Arial" w:cs="Arial"/>
          <w:b/>
          <w:sz w:val="20"/>
          <w:szCs w:val="20"/>
        </w:rPr>
        <w:t>Table 1</w:t>
      </w:r>
      <w:r w:rsidR="0042707D" w:rsidRPr="000D0C49">
        <w:rPr>
          <w:rFonts w:ascii="Arial" w:hAnsi="Arial" w:cs="Arial"/>
          <w:b/>
          <w:sz w:val="20"/>
          <w:szCs w:val="20"/>
        </w:rPr>
        <w:t>:</w:t>
      </w:r>
      <w:r w:rsidRPr="000D0C49">
        <w:rPr>
          <w:rFonts w:ascii="Arial" w:hAnsi="Arial" w:cs="Arial"/>
          <w:b/>
          <w:sz w:val="20"/>
          <w:szCs w:val="20"/>
        </w:rPr>
        <w:t xml:space="preserve"> </w:t>
      </w:r>
      <w:r w:rsidR="00BE2DF8" w:rsidRPr="000D0C49">
        <w:rPr>
          <w:rFonts w:ascii="Arial" w:hAnsi="Arial" w:cs="Arial"/>
          <w:b/>
          <w:sz w:val="20"/>
          <w:szCs w:val="20"/>
        </w:rPr>
        <w:t>Composition</w:t>
      </w:r>
      <w:r w:rsidR="00BE2DF8" w:rsidRPr="000D0C49">
        <w:rPr>
          <w:rFonts w:ascii="Arial" w:hAnsi="Arial" w:cs="Arial"/>
          <w:b/>
          <w:spacing w:val="-4"/>
          <w:sz w:val="20"/>
          <w:szCs w:val="20"/>
        </w:rPr>
        <w:t xml:space="preserve"> </w:t>
      </w:r>
      <w:r w:rsidR="00BE2DF8" w:rsidRPr="000D0C49">
        <w:rPr>
          <w:rFonts w:ascii="Arial" w:hAnsi="Arial" w:cs="Arial"/>
          <w:b/>
          <w:sz w:val="20"/>
          <w:szCs w:val="20"/>
        </w:rPr>
        <w:t>of</w:t>
      </w:r>
      <w:r w:rsidR="00BE2DF8" w:rsidRPr="000D0C49">
        <w:rPr>
          <w:rFonts w:ascii="Arial" w:hAnsi="Arial" w:cs="Arial"/>
          <w:b/>
          <w:spacing w:val="-4"/>
          <w:sz w:val="20"/>
          <w:szCs w:val="20"/>
        </w:rPr>
        <w:t xml:space="preserve"> </w:t>
      </w:r>
      <w:r w:rsidR="00BE2DF8" w:rsidRPr="000D0C49">
        <w:rPr>
          <w:rFonts w:ascii="Arial" w:hAnsi="Arial" w:cs="Arial"/>
          <w:b/>
          <w:sz w:val="20"/>
          <w:szCs w:val="20"/>
        </w:rPr>
        <w:t>different</w:t>
      </w:r>
      <w:r w:rsidR="00BE2DF8" w:rsidRPr="000D0C49">
        <w:rPr>
          <w:rFonts w:ascii="Arial" w:hAnsi="Arial" w:cs="Arial"/>
          <w:b/>
          <w:spacing w:val="-5"/>
          <w:sz w:val="20"/>
          <w:szCs w:val="20"/>
        </w:rPr>
        <w:t xml:space="preserve"> </w:t>
      </w:r>
      <w:r w:rsidR="00BE2DF8" w:rsidRPr="000D0C49">
        <w:rPr>
          <w:rFonts w:ascii="Arial" w:hAnsi="Arial" w:cs="Arial"/>
          <w:b/>
          <w:sz w:val="20"/>
          <w:szCs w:val="20"/>
        </w:rPr>
        <w:t>formulations</w:t>
      </w:r>
      <w:r w:rsidR="00BE2DF8" w:rsidRPr="000D0C49">
        <w:rPr>
          <w:rFonts w:ascii="Arial" w:hAnsi="Arial" w:cs="Arial"/>
          <w:b/>
          <w:spacing w:val="-5"/>
          <w:sz w:val="20"/>
          <w:szCs w:val="20"/>
        </w:rPr>
        <w:t xml:space="preserve"> </w:t>
      </w:r>
      <w:r w:rsidR="00BE2DF8" w:rsidRPr="000D0C49">
        <w:rPr>
          <w:rFonts w:ascii="Arial" w:hAnsi="Arial" w:cs="Arial"/>
          <w:b/>
          <w:sz w:val="20"/>
          <w:szCs w:val="20"/>
        </w:rPr>
        <w:t>of Loratadine</w:t>
      </w:r>
      <w:r w:rsidR="00BE2DF8" w:rsidRPr="000D0C49">
        <w:rPr>
          <w:rFonts w:ascii="Arial" w:hAnsi="Arial" w:cs="Arial"/>
          <w:b/>
          <w:spacing w:val="-6"/>
          <w:sz w:val="20"/>
          <w:szCs w:val="20"/>
        </w:rPr>
        <w:t xml:space="preserve"> </w:t>
      </w:r>
      <w:proofErr w:type="gramStart"/>
      <w:r w:rsidR="00BE2DF8" w:rsidRPr="000D0C49">
        <w:rPr>
          <w:rFonts w:ascii="Arial" w:hAnsi="Arial" w:cs="Arial"/>
          <w:b/>
          <w:sz w:val="20"/>
          <w:szCs w:val="20"/>
        </w:rPr>
        <w:t>lipid</w:t>
      </w:r>
      <w:r w:rsidR="00BE2DF8" w:rsidRPr="000D0C49">
        <w:rPr>
          <w:rFonts w:ascii="Arial" w:hAnsi="Arial" w:cs="Arial"/>
          <w:b/>
          <w:spacing w:val="-6"/>
          <w:sz w:val="20"/>
          <w:szCs w:val="20"/>
        </w:rPr>
        <w:t xml:space="preserve"> </w:t>
      </w:r>
      <w:r w:rsidR="00BE2DF8" w:rsidRPr="000D0C49">
        <w:rPr>
          <w:rFonts w:ascii="Arial" w:hAnsi="Arial" w:cs="Arial"/>
          <w:b/>
          <w:sz w:val="20"/>
          <w:szCs w:val="20"/>
        </w:rPr>
        <w:t>based</w:t>
      </w:r>
      <w:proofErr w:type="gramEnd"/>
      <w:r w:rsidR="00BE2DF8" w:rsidRPr="000D0C49">
        <w:rPr>
          <w:rFonts w:ascii="Arial" w:hAnsi="Arial" w:cs="Arial"/>
          <w:b/>
          <w:spacing w:val="-5"/>
          <w:sz w:val="20"/>
          <w:szCs w:val="20"/>
        </w:rPr>
        <w:t xml:space="preserve"> </w:t>
      </w:r>
      <w:r w:rsidR="00BE2DF8" w:rsidRPr="000D0C49">
        <w:rPr>
          <w:rFonts w:ascii="Arial" w:hAnsi="Arial" w:cs="Arial"/>
          <w:b/>
          <w:sz w:val="20"/>
          <w:szCs w:val="20"/>
        </w:rPr>
        <w:t xml:space="preserve">drug </w:t>
      </w:r>
      <w:r w:rsidR="00BE2DF8" w:rsidRPr="000D0C49">
        <w:rPr>
          <w:rFonts w:ascii="Arial" w:hAnsi="Arial" w:cs="Arial"/>
          <w:b/>
          <w:spacing w:val="-2"/>
          <w:sz w:val="20"/>
          <w:szCs w:val="20"/>
        </w:rPr>
        <w:t>delivery.</w:t>
      </w:r>
    </w:p>
    <w:tbl>
      <w:tblPr>
        <w:tblW w:w="5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496"/>
        <w:gridCol w:w="1497"/>
        <w:gridCol w:w="1122"/>
      </w:tblGrid>
      <w:tr w:rsidR="00345077" w:rsidRPr="000D0C49" w14:paraId="7BA8F725" w14:textId="77777777" w:rsidTr="00C77DED">
        <w:trPr>
          <w:trHeight w:val="307"/>
          <w:jc w:val="center"/>
        </w:trPr>
        <w:tc>
          <w:tcPr>
            <w:tcW w:w="1445" w:type="dxa"/>
            <w:vMerge w:val="restart"/>
            <w:vAlign w:val="center"/>
          </w:tcPr>
          <w:p w14:paraId="0C725AED" w14:textId="77777777" w:rsidR="00345077" w:rsidRPr="000D0C49" w:rsidRDefault="00345077" w:rsidP="00C77DED">
            <w:pPr>
              <w:pStyle w:val="TableParagraph"/>
              <w:spacing w:after="160" w:line="276" w:lineRule="exact"/>
              <w:ind w:left="142" w:right="92"/>
              <w:jc w:val="center"/>
              <w:rPr>
                <w:rFonts w:ascii="Arial" w:hAnsi="Arial" w:cs="Arial"/>
                <w:sz w:val="20"/>
                <w:szCs w:val="20"/>
              </w:rPr>
            </w:pPr>
            <w:r w:rsidRPr="000D0C49">
              <w:rPr>
                <w:rFonts w:ascii="Arial" w:hAnsi="Arial" w:cs="Arial"/>
                <w:b/>
                <w:spacing w:val="-2"/>
                <w:sz w:val="20"/>
                <w:szCs w:val="20"/>
              </w:rPr>
              <w:t xml:space="preserve">Formulation </w:t>
            </w:r>
            <w:r w:rsidRPr="000D0C49">
              <w:rPr>
                <w:rFonts w:ascii="Arial" w:hAnsi="Arial" w:cs="Arial"/>
                <w:b/>
                <w:spacing w:val="-4"/>
                <w:sz w:val="20"/>
                <w:szCs w:val="20"/>
              </w:rPr>
              <w:t>Code</w:t>
            </w:r>
          </w:p>
        </w:tc>
        <w:tc>
          <w:tcPr>
            <w:tcW w:w="2993" w:type="dxa"/>
            <w:gridSpan w:val="2"/>
            <w:vAlign w:val="center"/>
          </w:tcPr>
          <w:p w14:paraId="1A16E382" w14:textId="77777777" w:rsidR="00345077" w:rsidRPr="000D0C49" w:rsidRDefault="007F78A7" w:rsidP="007F78A7">
            <w:pPr>
              <w:pStyle w:val="TableParagraph"/>
              <w:spacing w:before="272" w:after="160" w:line="259" w:lineRule="exact"/>
              <w:ind w:right="92"/>
              <w:jc w:val="center"/>
              <w:rPr>
                <w:rFonts w:ascii="Arial" w:hAnsi="Arial" w:cs="Arial"/>
                <w:b/>
                <w:sz w:val="20"/>
                <w:szCs w:val="20"/>
              </w:rPr>
            </w:pPr>
            <w:proofErr w:type="spellStart"/>
            <w:r>
              <w:rPr>
                <w:rFonts w:ascii="Arial" w:hAnsi="Arial" w:cs="Arial"/>
                <w:b/>
                <w:sz w:val="20"/>
                <w:szCs w:val="20"/>
              </w:rPr>
              <w:t>Gelucire</w:t>
            </w:r>
            <w:proofErr w:type="spellEnd"/>
            <w:r>
              <w:rPr>
                <w:rFonts w:ascii="Arial" w:hAnsi="Arial" w:cs="Arial"/>
                <w:b/>
                <w:sz w:val="20"/>
                <w:szCs w:val="20"/>
              </w:rPr>
              <w:t xml:space="preserve"> </w:t>
            </w:r>
            <w:r w:rsidR="00345077" w:rsidRPr="000D0C49">
              <w:rPr>
                <w:rFonts w:ascii="Arial" w:hAnsi="Arial" w:cs="Arial"/>
                <w:b/>
                <w:sz w:val="20"/>
                <w:szCs w:val="20"/>
              </w:rPr>
              <w:t>Ratio</w:t>
            </w:r>
            <w:r w:rsidR="00345077" w:rsidRPr="000D0C49">
              <w:rPr>
                <w:rFonts w:ascii="Arial" w:hAnsi="Arial" w:cs="Arial"/>
                <w:b/>
                <w:spacing w:val="-3"/>
                <w:sz w:val="20"/>
                <w:szCs w:val="20"/>
              </w:rPr>
              <w:t xml:space="preserve"> </w:t>
            </w:r>
          </w:p>
        </w:tc>
        <w:tc>
          <w:tcPr>
            <w:tcW w:w="1122" w:type="dxa"/>
            <w:vMerge w:val="restart"/>
            <w:vAlign w:val="center"/>
          </w:tcPr>
          <w:p w14:paraId="7B22A88C" w14:textId="77777777" w:rsidR="00345077" w:rsidRPr="000D0C49" w:rsidRDefault="00345077" w:rsidP="00C77DED">
            <w:pPr>
              <w:pStyle w:val="TableParagraph"/>
              <w:spacing w:before="272" w:after="160"/>
              <w:ind w:right="92"/>
              <w:jc w:val="center"/>
              <w:rPr>
                <w:rFonts w:ascii="Arial" w:hAnsi="Arial" w:cs="Arial"/>
                <w:b/>
                <w:sz w:val="20"/>
                <w:szCs w:val="20"/>
              </w:rPr>
            </w:pPr>
            <w:r w:rsidRPr="000D0C49">
              <w:rPr>
                <w:rFonts w:ascii="Arial" w:hAnsi="Arial" w:cs="Arial"/>
                <w:b/>
                <w:sz w:val="20"/>
                <w:szCs w:val="20"/>
              </w:rPr>
              <w:t>Drug (mg)</w:t>
            </w:r>
          </w:p>
        </w:tc>
      </w:tr>
      <w:tr w:rsidR="00345077" w:rsidRPr="000D0C49" w14:paraId="27BC4CE6" w14:textId="77777777" w:rsidTr="00C77DED">
        <w:trPr>
          <w:trHeight w:val="303"/>
          <w:jc w:val="center"/>
        </w:trPr>
        <w:tc>
          <w:tcPr>
            <w:tcW w:w="1445" w:type="dxa"/>
            <w:vMerge/>
            <w:vAlign w:val="center"/>
          </w:tcPr>
          <w:p w14:paraId="1C1E430D" w14:textId="77777777" w:rsidR="00345077" w:rsidRPr="000D0C49" w:rsidRDefault="00345077" w:rsidP="00C77DED">
            <w:pPr>
              <w:pStyle w:val="TableParagraph"/>
              <w:spacing w:after="160" w:line="276" w:lineRule="exact"/>
              <w:ind w:left="142" w:right="92"/>
              <w:jc w:val="center"/>
              <w:rPr>
                <w:rFonts w:ascii="Arial" w:hAnsi="Arial" w:cs="Arial"/>
                <w:b/>
                <w:sz w:val="20"/>
                <w:szCs w:val="20"/>
              </w:rPr>
            </w:pPr>
          </w:p>
        </w:tc>
        <w:tc>
          <w:tcPr>
            <w:tcW w:w="1496" w:type="dxa"/>
            <w:vAlign w:val="center"/>
          </w:tcPr>
          <w:p w14:paraId="4FFEFFE5" w14:textId="77777777" w:rsidR="00345077" w:rsidRPr="000D0C49" w:rsidRDefault="00345077" w:rsidP="00C77DED">
            <w:pPr>
              <w:pStyle w:val="TableParagraph"/>
              <w:spacing w:after="160" w:line="273" w:lineRule="exact"/>
              <w:ind w:left="8" w:right="92"/>
              <w:jc w:val="center"/>
              <w:rPr>
                <w:rFonts w:ascii="Arial" w:hAnsi="Arial" w:cs="Arial"/>
                <w:b/>
                <w:sz w:val="20"/>
                <w:szCs w:val="20"/>
              </w:rPr>
            </w:pPr>
            <w:proofErr w:type="spellStart"/>
            <w:r w:rsidRPr="000D0C49">
              <w:rPr>
                <w:rFonts w:ascii="Arial" w:hAnsi="Arial" w:cs="Arial"/>
                <w:b/>
                <w:sz w:val="20"/>
                <w:szCs w:val="20"/>
              </w:rPr>
              <w:t>Gelucire</w:t>
            </w:r>
            <w:proofErr w:type="spellEnd"/>
            <w:r w:rsidRPr="000D0C49">
              <w:rPr>
                <w:rFonts w:ascii="Arial" w:hAnsi="Arial" w:cs="Arial"/>
                <w:b/>
                <w:spacing w:val="-3"/>
                <w:sz w:val="20"/>
                <w:szCs w:val="20"/>
              </w:rPr>
              <w:t xml:space="preserve"> </w:t>
            </w:r>
            <w:r w:rsidRPr="000D0C49">
              <w:rPr>
                <w:rFonts w:ascii="Arial" w:hAnsi="Arial" w:cs="Arial"/>
                <w:b/>
                <w:spacing w:val="-2"/>
                <w:sz w:val="20"/>
                <w:szCs w:val="20"/>
              </w:rPr>
              <w:t>43/01</w:t>
            </w:r>
          </w:p>
        </w:tc>
        <w:tc>
          <w:tcPr>
            <w:tcW w:w="1496" w:type="dxa"/>
            <w:vAlign w:val="center"/>
          </w:tcPr>
          <w:p w14:paraId="04ABDA8C" w14:textId="77777777" w:rsidR="00345077" w:rsidRPr="000D0C49" w:rsidRDefault="00345077" w:rsidP="00C77DED">
            <w:pPr>
              <w:pStyle w:val="TableParagraph"/>
              <w:spacing w:after="160" w:line="273" w:lineRule="exact"/>
              <w:ind w:left="7" w:right="92"/>
              <w:jc w:val="center"/>
              <w:rPr>
                <w:rFonts w:ascii="Arial" w:hAnsi="Arial" w:cs="Arial"/>
                <w:b/>
                <w:sz w:val="20"/>
                <w:szCs w:val="20"/>
              </w:rPr>
            </w:pPr>
            <w:proofErr w:type="spellStart"/>
            <w:r w:rsidRPr="000D0C49">
              <w:rPr>
                <w:rFonts w:ascii="Arial" w:hAnsi="Arial" w:cs="Arial"/>
                <w:b/>
                <w:sz w:val="20"/>
                <w:szCs w:val="20"/>
              </w:rPr>
              <w:t>Gelucire</w:t>
            </w:r>
            <w:proofErr w:type="spellEnd"/>
            <w:r w:rsidRPr="000D0C49">
              <w:rPr>
                <w:rFonts w:ascii="Arial" w:hAnsi="Arial" w:cs="Arial"/>
                <w:b/>
                <w:spacing w:val="-3"/>
                <w:sz w:val="20"/>
                <w:szCs w:val="20"/>
              </w:rPr>
              <w:t xml:space="preserve"> </w:t>
            </w:r>
            <w:r w:rsidRPr="000D0C49">
              <w:rPr>
                <w:rFonts w:ascii="Arial" w:hAnsi="Arial" w:cs="Arial"/>
                <w:b/>
                <w:spacing w:val="-2"/>
                <w:sz w:val="20"/>
                <w:szCs w:val="20"/>
              </w:rPr>
              <w:t>50/13</w:t>
            </w:r>
          </w:p>
        </w:tc>
        <w:tc>
          <w:tcPr>
            <w:tcW w:w="1122" w:type="dxa"/>
            <w:vMerge/>
            <w:vAlign w:val="center"/>
          </w:tcPr>
          <w:p w14:paraId="4FEBE4FB" w14:textId="77777777" w:rsidR="00345077" w:rsidRPr="000D0C49" w:rsidRDefault="00345077" w:rsidP="00C77DED">
            <w:pPr>
              <w:pStyle w:val="TableParagraph"/>
              <w:spacing w:after="160" w:line="273" w:lineRule="exact"/>
              <w:ind w:left="7" w:right="92"/>
              <w:jc w:val="center"/>
              <w:rPr>
                <w:rFonts w:ascii="Arial" w:hAnsi="Arial" w:cs="Arial"/>
                <w:b/>
                <w:sz w:val="20"/>
                <w:szCs w:val="20"/>
              </w:rPr>
            </w:pPr>
          </w:p>
        </w:tc>
      </w:tr>
      <w:tr w:rsidR="00CF142B" w:rsidRPr="000D0C49" w14:paraId="60632E00" w14:textId="77777777" w:rsidTr="00C77DED">
        <w:trPr>
          <w:trHeight w:val="388"/>
          <w:jc w:val="center"/>
        </w:trPr>
        <w:tc>
          <w:tcPr>
            <w:tcW w:w="1445" w:type="dxa"/>
            <w:vAlign w:val="center"/>
          </w:tcPr>
          <w:p w14:paraId="7DDED39D" w14:textId="77777777" w:rsidR="00CF142B" w:rsidRPr="000D0C49" w:rsidRDefault="00CF142B" w:rsidP="00C77DED">
            <w:pPr>
              <w:pStyle w:val="TableParagraph"/>
              <w:spacing w:after="160" w:line="268" w:lineRule="exact"/>
              <w:ind w:left="142" w:right="92"/>
              <w:jc w:val="center"/>
              <w:rPr>
                <w:rFonts w:ascii="Arial" w:hAnsi="Arial" w:cs="Arial"/>
                <w:sz w:val="20"/>
                <w:szCs w:val="20"/>
              </w:rPr>
            </w:pPr>
            <w:r w:rsidRPr="000D0C49">
              <w:rPr>
                <w:rFonts w:ascii="Arial" w:hAnsi="Arial" w:cs="Arial"/>
                <w:spacing w:val="-5"/>
                <w:sz w:val="20"/>
                <w:szCs w:val="20"/>
              </w:rPr>
              <w:t>F1</w:t>
            </w:r>
          </w:p>
        </w:tc>
        <w:tc>
          <w:tcPr>
            <w:tcW w:w="1496" w:type="dxa"/>
            <w:vAlign w:val="center"/>
          </w:tcPr>
          <w:p w14:paraId="686939D9" w14:textId="77777777" w:rsidR="00CF142B" w:rsidRPr="000D0C49" w:rsidRDefault="00345077" w:rsidP="00C77DED">
            <w:pPr>
              <w:pStyle w:val="TableParagraph"/>
              <w:spacing w:after="160" w:line="268" w:lineRule="exact"/>
              <w:ind w:left="8" w:right="92"/>
              <w:jc w:val="center"/>
              <w:rPr>
                <w:rFonts w:ascii="Arial" w:hAnsi="Arial" w:cs="Arial"/>
                <w:sz w:val="20"/>
                <w:szCs w:val="20"/>
              </w:rPr>
            </w:pPr>
            <w:r w:rsidRPr="000D0C49">
              <w:rPr>
                <w:rFonts w:ascii="Arial" w:hAnsi="Arial" w:cs="Arial"/>
                <w:spacing w:val="-10"/>
                <w:sz w:val="20"/>
                <w:szCs w:val="20"/>
              </w:rPr>
              <w:t>2</w:t>
            </w:r>
          </w:p>
        </w:tc>
        <w:tc>
          <w:tcPr>
            <w:tcW w:w="1496" w:type="dxa"/>
            <w:vAlign w:val="center"/>
          </w:tcPr>
          <w:p w14:paraId="27DD37F0" w14:textId="77777777" w:rsidR="00CF142B" w:rsidRPr="000D0C49" w:rsidRDefault="00CF142B" w:rsidP="00C77DED">
            <w:pPr>
              <w:pStyle w:val="TableParagraph"/>
              <w:spacing w:after="160" w:line="268" w:lineRule="exact"/>
              <w:ind w:left="7" w:right="92"/>
              <w:jc w:val="center"/>
              <w:rPr>
                <w:rFonts w:ascii="Arial" w:hAnsi="Arial" w:cs="Arial"/>
                <w:sz w:val="20"/>
                <w:szCs w:val="20"/>
              </w:rPr>
            </w:pPr>
            <w:r w:rsidRPr="000D0C49">
              <w:rPr>
                <w:rFonts w:ascii="Arial" w:hAnsi="Arial" w:cs="Arial"/>
                <w:spacing w:val="-10"/>
                <w:sz w:val="20"/>
                <w:szCs w:val="20"/>
              </w:rPr>
              <w:t>2</w:t>
            </w:r>
          </w:p>
        </w:tc>
        <w:tc>
          <w:tcPr>
            <w:tcW w:w="1122" w:type="dxa"/>
            <w:vAlign w:val="center"/>
          </w:tcPr>
          <w:p w14:paraId="6CB7C08F" w14:textId="77777777" w:rsidR="00CF142B" w:rsidRPr="000D0C49" w:rsidRDefault="00345077" w:rsidP="00C77DED">
            <w:pPr>
              <w:pStyle w:val="TableParagraph"/>
              <w:spacing w:after="160" w:line="268" w:lineRule="exact"/>
              <w:ind w:left="7" w:right="92"/>
              <w:jc w:val="center"/>
              <w:rPr>
                <w:rFonts w:ascii="Arial" w:hAnsi="Arial" w:cs="Arial"/>
                <w:spacing w:val="-10"/>
                <w:sz w:val="20"/>
                <w:szCs w:val="20"/>
              </w:rPr>
            </w:pPr>
            <w:r w:rsidRPr="000D0C49">
              <w:rPr>
                <w:rFonts w:ascii="Arial" w:hAnsi="Arial" w:cs="Arial"/>
                <w:sz w:val="20"/>
                <w:szCs w:val="20"/>
              </w:rPr>
              <w:t>100</w:t>
            </w:r>
          </w:p>
        </w:tc>
      </w:tr>
      <w:tr w:rsidR="00CF142B" w:rsidRPr="000D0C49" w14:paraId="2A68A4D1" w14:textId="77777777" w:rsidTr="00C77DED">
        <w:trPr>
          <w:trHeight w:val="455"/>
          <w:jc w:val="center"/>
        </w:trPr>
        <w:tc>
          <w:tcPr>
            <w:tcW w:w="1445" w:type="dxa"/>
            <w:vAlign w:val="center"/>
          </w:tcPr>
          <w:p w14:paraId="57E8A02C" w14:textId="77777777" w:rsidR="00CF142B" w:rsidRPr="000D0C49" w:rsidRDefault="00CF142B" w:rsidP="00C77DED">
            <w:pPr>
              <w:pStyle w:val="TableParagraph"/>
              <w:spacing w:after="160" w:line="268" w:lineRule="exact"/>
              <w:ind w:left="142" w:right="92"/>
              <w:jc w:val="center"/>
              <w:rPr>
                <w:rFonts w:ascii="Arial" w:hAnsi="Arial" w:cs="Arial"/>
                <w:sz w:val="20"/>
                <w:szCs w:val="20"/>
              </w:rPr>
            </w:pPr>
            <w:r w:rsidRPr="000D0C49">
              <w:rPr>
                <w:rFonts w:ascii="Arial" w:hAnsi="Arial" w:cs="Arial"/>
                <w:spacing w:val="-5"/>
                <w:sz w:val="20"/>
                <w:szCs w:val="20"/>
              </w:rPr>
              <w:t>F2</w:t>
            </w:r>
          </w:p>
        </w:tc>
        <w:tc>
          <w:tcPr>
            <w:tcW w:w="1496" w:type="dxa"/>
            <w:vAlign w:val="center"/>
          </w:tcPr>
          <w:p w14:paraId="1255A096" w14:textId="77777777" w:rsidR="00CF142B" w:rsidRPr="000D0C49" w:rsidRDefault="00345077" w:rsidP="00C77DED">
            <w:pPr>
              <w:pStyle w:val="TableParagraph"/>
              <w:spacing w:after="160" w:line="268" w:lineRule="exact"/>
              <w:ind w:left="8" w:right="92"/>
              <w:jc w:val="center"/>
              <w:rPr>
                <w:rFonts w:ascii="Arial" w:hAnsi="Arial" w:cs="Arial"/>
                <w:sz w:val="20"/>
                <w:szCs w:val="20"/>
              </w:rPr>
            </w:pPr>
            <w:r w:rsidRPr="000D0C49">
              <w:rPr>
                <w:rFonts w:ascii="Arial" w:hAnsi="Arial" w:cs="Arial"/>
                <w:spacing w:val="-10"/>
                <w:sz w:val="20"/>
                <w:szCs w:val="20"/>
              </w:rPr>
              <w:t>2</w:t>
            </w:r>
          </w:p>
        </w:tc>
        <w:tc>
          <w:tcPr>
            <w:tcW w:w="1496" w:type="dxa"/>
            <w:vAlign w:val="center"/>
          </w:tcPr>
          <w:p w14:paraId="79FE63D8" w14:textId="77777777" w:rsidR="00CF142B" w:rsidRPr="000D0C49" w:rsidRDefault="00CF142B" w:rsidP="00C77DED">
            <w:pPr>
              <w:pStyle w:val="TableParagraph"/>
              <w:spacing w:after="160" w:line="268" w:lineRule="exact"/>
              <w:ind w:left="7" w:right="92"/>
              <w:jc w:val="center"/>
              <w:rPr>
                <w:rFonts w:ascii="Arial" w:hAnsi="Arial" w:cs="Arial"/>
                <w:sz w:val="20"/>
                <w:szCs w:val="20"/>
              </w:rPr>
            </w:pPr>
            <w:r w:rsidRPr="000D0C49">
              <w:rPr>
                <w:rFonts w:ascii="Arial" w:hAnsi="Arial" w:cs="Arial"/>
                <w:spacing w:val="-5"/>
                <w:sz w:val="20"/>
                <w:szCs w:val="20"/>
              </w:rPr>
              <w:t>1.5</w:t>
            </w:r>
          </w:p>
        </w:tc>
        <w:tc>
          <w:tcPr>
            <w:tcW w:w="1122" w:type="dxa"/>
            <w:vAlign w:val="center"/>
          </w:tcPr>
          <w:p w14:paraId="2F494F01" w14:textId="77777777" w:rsidR="00CF142B" w:rsidRPr="000D0C49" w:rsidRDefault="00345077" w:rsidP="00C77DED">
            <w:pPr>
              <w:pStyle w:val="TableParagraph"/>
              <w:spacing w:line="270" w:lineRule="exact"/>
              <w:ind w:left="-109"/>
              <w:jc w:val="center"/>
              <w:rPr>
                <w:rFonts w:ascii="Arial" w:hAnsi="Arial" w:cs="Arial"/>
                <w:sz w:val="20"/>
                <w:szCs w:val="20"/>
              </w:rPr>
            </w:pPr>
            <w:r w:rsidRPr="000D0C49">
              <w:rPr>
                <w:rFonts w:ascii="Arial" w:hAnsi="Arial" w:cs="Arial"/>
                <w:sz w:val="20"/>
                <w:szCs w:val="20"/>
              </w:rPr>
              <w:t>100</w:t>
            </w:r>
          </w:p>
        </w:tc>
      </w:tr>
      <w:tr w:rsidR="00CF142B" w:rsidRPr="000D0C49" w14:paraId="3889DE1C" w14:textId="77777777" w:rsidTr="00C77DED">
        <w:trPr>
          <w:trHeight w:val="437"/>
          <w:jc w:val="center"/>
        </w:trPr>
        <w:tc>
          <w:tcPr>
            <w:tcW w:w="1445" w:type="dxa"/>
            <w:vAlign w:val="center"/>
          </w:tcPr>
          <w:p w14:paraId="0B87BC66" w14:textId="77777777" w:rsidR="00CF142B" w:rsidRPr="000D0C49" w:rsidRDefault="00CF142B" w:rsidP="00BF7DBF">
            <w:pPr>
              <w:pStyle w:val="TableParagraph"/>
              <w:spacing w:after="160" w:line="268" w:lineRule="exact"/>
              <w:ind w:right="92"/>
              <w:jc w:val="center"/>
              <w:rPr>
                <w:rFonts w:ascii="Arial" w:hAnsi="Arial" w:cs="Arial"/>
                <w:sz w:val="20"/>
                <w:szCs w:val="20"/>
              </w:rPr>
            </w:pPr>
            <w:r w:rsidRPr="000D0C49">
              <w:rPr>
                <w:rFonts w:ascii="Arial" w:hAnsi="Arial" w:cs="Arial"/>
                <w:spacing w:val="-5"/>
                <w:sz w:val="20"/>
                <w:szCs w:val="20"/>
              </w:rPr>
              <w:t>F3</w:t>
            </w:r>
          </w:p>
        </w:tc>
        <w:tc>
          <w:tcPr>
            <w:tcW w:w="1496" w:type="dxa"/>
            <w:vAlign w:val="center"/>
          </w:tcPr>
          <w:p w14:paraId="715339B1" w14:textId="77777777" w:rsidR="00CF142B" w:rsidRPr="000D0C49" w:rsidRDefault="00345077" w:rsidP="00C77DED">
            <w:pPr>
              <w:pStyle w:val="TableParagraph"/>
              <w:spacing w:after="160" w:line="268" w:lineRule="exact"/>
              <w:ind w:left="8" w:right="92"/>
              <w:jc w:val="center"/>
              <w:rPr>
                <w:rFonts w:ascii="Arial" w:hAnsi="Arial" w:cs="Arial"/>
                <w:sz w:val="20"/>
                <w:szCs w:val="20"/>
              </w:rPr>
            </w:pPr>
            <w:r w:rsidRPr="000D0C49">
              <w:rPr>
                <w:rFonts w:ascii="Arial" w:hAnsi="Arial" w:cs="Arial"/>
                <w:spacing w:val="-10"/>
                <w:sz w:val="20"/>
                <w:szCs w:val="20"/>
              </w:rPr>
              <w:t>2</w:t>
            </w:r>
          </w:p>
        </w:tc>
        <w:tc>
          <w:tcPr>
            <w:tcW w:w="1496" w:type="dxa"/>
            <w:vAlign w:val="center"/>
          </w:tcPr>
          <w:p w14:paraId="20D934B0" w14:textId="77777777" w:rsidR="00CF142B" w:rsidRPr="000D0C49" w:rsidRDefault="00CF142B" w:rsidP="00C77DED">
            <w:pPr>
              <w:pStyle w:val="TableParagraph"/>
              <w:spacing w:after="160" w:line="268" w:lineRule="exact"/>
              <w:ind w:left="7" w:right="92"/>
              <w:jc w:val="center"/>
              <w:rPr>
                <w:rFonts w:ascii="Arial" w:hAnsi="Arial" w:cs="Arial"/>
                <w:sz w:val="20"/>
                <w:szCs w:val="20"/>
              </w:rPr>
            </w:pPr>
            <w:r w:rsidRPr="000D0C49">
              <w:rPr>
                <w:rFonts w:ascii="Arial" w:hAnsi="Arial" w:cs="Arial"/>
                <w:spacing w:val="-10"/>
                <w:sz w:val="20"/>
                <w:szCs w:val="20"/>
              </w:rPr>
              <w:t>1</w:t>
            </w:r>
          </w:p>
        </w:tc>
        <w:tc>
          <w:tcPr>
            <w:tcW w:w="1122" w:type="dxa"/>
            <w:vAlign w:val="center"/>
          </w:tcPr>
          <w:p w14:paraId="47C7014E" w14:textId="77777777" w:rsidR="00CF142B" w:rsidRPr="000D0C49" w:rsidRDefault="00345077" w:rsidP="00C77DED">
            <w:pPr>
              <w:pStyle w:val="TableParagraph"/>
              <w:spacing w:after="160" w:line="268" w:lineRule="exact"/>
              <w:ind w:left="7" w:right="92"/>
              <w:jc w:val="center"/>
              <w:rPr>
                <w:rFonts w:ascii="Arial" w:hAnsi="Arial" w:cs="Arial"/>
                <w:spacing w:val="-10"/>
                <w:sz w:val="20"/>
                <w:szCs w:val="20"/>
              </w:rPr>
            </w:pPr>
            <w:r w:rsidRPr="000D0C49">
              <w:rPr>
                <w:rFonts w:ascii="Arial" w:hAnsi="Arial" w:cs="Arial"/>
                <w:sz w:val="20"/>
                <w:szCs w:val="20"/>
              </w:rPr>
              <w:t>100</w:t>
            </w:r>
          </w:p>
        </w:tc>
      </w:tr>
      <w:tr w:rsidR="00CF142B" w:rsidRPr="000D0C49" w14:paraId="500C65FC" w14:textId="77777777" w:rsidTr="00C77DED">
        <w:trPr>
          <w:trHeight w:val="438"/>
          <w:jc w:val="center"/>
        </w:trPr>
        <w:tc>
          <w:tcPr>
            <w:tcW w:w="1445" w:type="dxa"/>
            <w:vAlign w:val="center"/>
          </w:tcPr>
          <w:p w14:paraId="1C1AAAAC" w14:textId="77777777" w:rsidR="00CF142B" w:rsidRPr="000D0C49" w:rsidRDefault="00CF142B" w:rsidP="00C77DED">
            <w:pPr>
              <w:pStyle w:val="TableParagraph"/>
              <w:spacing w:after="160" w:line="268" w:lineRule="exact"/>
              <w:ind w:left="4" w:right="92"/>
              <w:jc w:val="center"/>
              <w:rPr>
                <w:rFonts w:ascii="Arial" w:hAnsi="Arial" w:cs="Arial"/>
                <w:sz w:val="20"/>
                <w:szCs w:val="20"/>
              </w:rPr>
            </w:pPr>
            <w:r w:rsidRPr="000D0C49">
              <w:rPr>
                <w:rFonts w:ascii="Arial" w:hAnsi="Arial" w:cs="Arial"/>
                <w:spacing w:val="-5"/>
                <w:sz w:val="20"/>
                <w:szCs w:val="20"/>
              </w:rPr>
              <w:t>F4</w:t>
            </w:r>
          </w:p>
        </w:tc>
        <w:tc>
          <w:tcPr>
            <w:tcW w:w="1496" w:type="dxa"/>
            <w:vAlign w:val="center"/>
          </w:tcPr>
          <w:p w14:paraId="46123B70" w14:textId="77777777" w:rsidR="00CF142B" w:rsidRPr="000D0C49" w:rsidRDefault="00345077" w:rsidP="00C77DED">
            <w:pPr>
              <w:pStyle w:val="TableParagraph"/>
              <w:spacing w:after="160" w:line="268" w:lineRule="exact"/>
              <w:ind w:left="8" w:right="92"/>
              <w:jc w:val="center"/>
              <w:rPr>
                <w:rFonts w:ascii="Arial" w:hAnsi="Arial" w:cs="Arial"/>
                <w:sz w:val="20"/>
                <w:szCs w:val="20"/>
              </w:rPr>
            </w:pPr>
            <w:r w:rsidRPr="000D0C49">
              <w:rPr>
                <w:rFonts w:ascii="Arial" w:hAnsi="Arial" w:cs="Arial"/>
                <w:spacing w:val="-10"/>
                <w:sz w:val="20"/>
                <w:szCs w:val="20"/>
              </w:rPr>
              <w:t>4</w:t>
            </w:r>
          </w:p>
        </w:tc>
        <w:tc>
          <w:tcPr>
            <w:tcW w:w="1496" w:type="dxa"/>
            <w:vAlign w:val="center"/>
          </w:tcPr>
          <w:p w14:paraId="447EFEF2" w14:textId="77777777" w:rsidR="00CF142B" w:rsidRPr="000D0C49" w:rsidRDefault="00CF142B" w:rsidP="00C77DED">
            <w:pPr>
              <w:pStyle w:val="TableParagraph"/>
              <w:spacing w:after="160" w:line="268" w:lineRule="exact"/>
              <w:ind w:left="7" w:right="92"/>
              <w:jc w:val="center"/>
              <w:rPr>
                <w:rFonts w:ascii="Arial" w:hAnsi="Arial" w:cs="Arial"/>
                <w:sz w:val="20"/>
                <w:szCs w:val="20"/>
              </w:rPr>
            </w:pPr>
            <w:r w:rsidRPr="000D0C49">
              <w:rPr>
                <w:rFonts w:ascii="Arial" w:hAnsi="Arial" w:cs="Arial"/>
                <w:spacing w:val="-10"/>
                <w:sz w:val="20"/>
                <w:szCs w:val="20"/>
              </w:rPr>
              <w:t>2</w:t>
            </w:r>
          </w:p>
        </w:tc>
        <w:tc>
          <w:tcPr>
            <w:tcW w:w="1122" w:type="dxa"/>
            <w:vAlign w:val="center"/>
          </w:tcPr>
          <w:p w14:paraId="570759C9" w14:textId="77777777" w:rsidR="00CF142B" w:rsidRPr="000D0C49" w:rsidRDefault="00345077" w:rsidP="00C77DED">
            <w:pPr>
              <w:pStyle w:val="TableParagraph"/>
              <w:spacing w:after="160" w:line="268" w:lineRule="exact"/>
              <w:ind w:left="7" w:right="92"/>
              <w:jc w:val="center"/>
              <w:rPr>
                <w:rFonts w:ascii="Arial" w:hAnsi="Arial" w:cs="Arial"/>
                <w:spacing w:val="-10"/>
                <w:sz w:val="20"/>
                <w:szCs w:val="20"/>
              </w:rPr>
            </w:pPr>
            <w:r w:rsidRPr="000D0C49">
              <w:rPr>
                <w:rFonts w:ascii="Arial" w:hAnsi="Arial" w:cs="Arial"/>
                <w:sz w:val="20"/>
                <w:szCs w:val="20"/>
              </w:rPr>
              <w:t>100</w:t>
            </w:r>
          </w:p>
        </w:tc>
      </w:tr>
      <w:tr w:rsidR="00CF142B" w:rsidRPr="000D0C49" w14:paraId="5A15C18D" w14:textId="77777777" w:rsidTr="00C77DED">
        <w:trPr>
          <w:trHeight w:val="478"/>
          <w:jc w:val="center"/>
        </w:trPr>
        <w:tc>
          <w:tcPr>
            <w:tcW w:w="1445" w:type="dxa"/>
            <w:vAlign w:val="center"/>
          </w:tcPr>
          <w:p w14:paraId="06B158F4" w14:textId="77777777" w:rsidR="00CF142B" w:rsidRPr="000D0C49" w:rsidRDefault="00CF142B" w:rsidP="00C77DED">
            <w:pPr>
              <w:pStyle w:val="TableParagraph"/>
              <w:spacing w:after="160" w:line="268" w:lineRule="exact"/>
              <w:ind w:left="4" w:right="92"/>
              <w:jc w:val="center"/>
              <w:rPr>
                <w:rFonts w:ascii="Arial" w:hAnsi="Arial" w:cs="Arial"/>
                <w:sz w:val="20"/>
                <w:szCs w:val="20"/>
              </w:rPr>
            </w:pPr>
            <w:r w:rsidRPr="000D0C49">
              <w:rPr>
                <w:rFonts w:ascii="Arial" w:hAnsi="Arial" w:cs="Arial"/>
                <w:spacing w:val="-5"/>
                <w:sz w:val="20"/>
                <w:szCs w:val="20"/>
              </w:rPr>
              <w:t>F5</w:t>
            </w:r>
          </w:p>
        </w:tc>
        <w:tc>
          <w:tcPr>
            <w:tcW w:w="1496" w:type="dxa"/>
            <w:vAlign w:val="center"/>
          </w:tcPr>
          <w:p w14:paraId="5CAE4B66" w14:textId="77777777" w:rsidR="00CF142B" w:rsidRPr="000D0C49" w:rsidRDefault="00345077" w:rsidP="00C77DED">
            <w:pPr>
              <w:pStyle w:val="TableParagraph"/>
              <w:spacing w:after="160" w:line="268" w:lineRule="exact"/>
              <w:ind w:left="8" w:right="92"/>
              <w:jc w:val="center"/>
              <w:rPr>
                <w:rFonts w:ascii="Arial" w:hAnsi="Arial" w:cs="Arial"/>
                <w:sz w:val="20"/>
                <w:szCs w:val="20"/>
              </w:rPr>
            </w:pPr>
            <w:r w:rsidRPr="000D0C49">
              <w:rPr>
                <w:rFonts w:ascii="Arial" w:hAnsi="Arial" w:cs="Arial"/>
                <w:spacing w:val="-10"/>
                <w:sz w:val="20"/>
                <w:szCs w:val="20"/>
              </w:rPr>
              <w:t>4</w:t>
            </w:r>
          </w:p>
        </w:tc>
        <w:tc>
          <w:tcPr>
            <w:tcW w:w="1496" w:type="dxa"/>
            <w:vAlign w:val="center"/>
          </w:tcPr>
          <w:p w14:paraId="258F8231" w14:textId="77777777" w:rsidR="00CF142B" w:rsidRPr="000D0C49" w:rsidRDefault="00CF142B" w:rsidP="00C77DED">
            <w:pPr>
              <w:pStyle w:val="TableParagraph"/>
              <w:spacing w:after="160" w:line="268" w:lineRule="exact"/>
              <w:ind w:left="7" w:right="92"/>
              <w:jc w:val="center"/>
              <w:rPr>
                <w:rFonts w:ascii="Arial" w:hAnsi="Arial" w:cs="Arial"/>
                <w:sz w:val="20"/>
                <w:szCs w:val="20"/>
              </w:rPr>
            </w:pPr>
            <w:r w:rsidRPr="000D0C49">
              <w:rPr>
                <w:rFonts w:ascii="Arial" w:hAnsi="Arial" w:cs="Arial"/>
                <w:spacing w:val="-5"/>
                <w:sz w:val="20"/>
                <w:szCs w:val="20"/>
              </w:rPr>
              <w:t>1.5</w:t>
            </w:r>
          </w:p>
        </w:tc>
        <w:tc>
          <w:tcPr>
            <w:tcW w:w="1122" w:type="dxa"/>
            <w:vAlign w:val="center"/>
          </w:tcPr>
          <w:p w14:paraId="0D824821" w14:textId="77777777" w:rsidR="00CF142B" w:rsidRPr="000D0C49" w:rsidRDefault="00345077" w:rsidP="00C77DED">
            <w:pPr>
              <w:pStyle w:val="TableParagraph"/>
              <w:spacing w:after="160" w:line="268" w:lineRule="exact"/>
              <w:ind w:left="7" w:right="92"/>
              <w:jc w:val="center"/>
              <w:rPr>
                <w:rFonts w:ascii="Arial" w:hAnsi="Arial" w:cs="Arial"/>
                <w:b/>
                <w:spacing w:val="-5"/>
                <w:sz w:val="20"/>
                <w:szCs w:val="20"/>
              </w:rPr>
            </w:pPr>
            <w:r w:rsidRPr="000D0C49">
              <w:rPr>
                <w:rFonts w:ascii="Arial" w:hAnsi="Arial" w:cs="Arial"/>
                <w:sz w:val="20"/>
                <w:szCs w:val="20"/>
              </w:rPr>
              <w:t>100</w:t>
            </w:r>
          </w:p>
        </w:tc>
      </w:tr>
      <w:tr w:rsidR="00CF142B" w:rsidRPr="000D0C49" w14:paraId="2CCD020D" w14:textId="77777777" w:rsidTr="00C77DED">
        <w:trPr>
          <w:trHeight w:val="380"/>
          <w:jc w:val="center"/>
        </w:trPr>
        <w:tc>
          <w:tcPr>
            <w:tcW w:w="1445" w:type="dxa"/>
            <w:vAlign w:val="center"/>
          </w:tcPr>
          <w:p w14:paraId="0FAF1478" w14:textId="77777777" w:rsidR="00CF142B" w:rsidRPr="000D0C49" w:rsidRDefault="00CF142B" w:rsidP="00C77DED">
            <w:pPr>
              <w:pStyle w:val="TableParagraph"/>
              <w:spacing w:after="160" w:line="268" w:lineRule="exact"/>
              <w:ind w:left="4" w:right="92"/>
              <w:jc w:val="center"/>
              <w:rPr>
                <w:rFonts w:ascii="Arial" w:hAnsi="Arial" w:cs="Arial"/>
                <w:sz w:val="20"/>
                <w:szCs w:val="20"/>
              </w:rPr>
            </w:pPr>
            <w:r w:rsidRPr="000D0C49">
              <w:rPr>
                <w:rFonts w:ascii="Arial" w:hAnsi="Arial" w:cs="Arial"/>
                <w:spacing w:val="-5"/>
                <w:sz w:val="20"/>
                <w:szCs w:val="20"/>
              </w:rPr>
              <w:t>F6</w:t>
            </w:r>
          </w:p>
        </w:tc>
        <w:tc>
          <w:tcPr>
            <w:tcW w:w="1496" w:type="dxa"/>
            <w:vAlign w:val="center"/>
          </w:tcPr>
          <w:p w14:paraId="4AB0F5B1" w14:textId="77777777" w:rsidR="00CF142B" w:rsidRPr="000D0C49" w:rsidRDefault="00345077" w:rsidP="00C77DED">
            <w:pPr>
              <w:pStyle w:val="TableParagraph"/>
              <w:spacing w:after="160" w:line="268" w:lineRule="exact"/>
              <w:ind w:left="8" w:right="92"/>
              <w:jc w:val="center"/>
              <w:rPr>
                <w:rFonts w:ascii="Arial" w:hAnsi="Arial" w:cs="Arial"/>
                <w:sz w:val="20"/>
                <w:szCs w:val="20"/>
              </w:rPr>
            </w:pPr>
            <w:r w:rsidRPr="000D0C49">
              <w:rPr>
                <w:rFonts w:ascii="Arial" w:hAnsi="Arial" w:cs="Arial"/>
                <w:spacing w:val="-10"/>
                <w:sz w:val="20"/>
                <w:szCs w:val="20"/>
              </w:rPr>
              <w:t>4</w:t>
            </w:r>
          </w:p>
        </w:tc>
        <w:tc>
          <w:tcPr>
            <w:tcW w:w="1496" w:type="dxa"/>
            <w:vAlign w:val="center"/>
          </w:tcPr>
          <w:p w14:paraId="01CE66B0" w14:textId="77777777" w:rsidR="00CF142B" w:rsidRPr="000D0C49" w:rsidRDefault="00CF142B" w:rsidP="00C77DED">
            <w:pPr>
              <w:pStyle w:val="TableParagraph"/>
              <w:spacing w:after="160" w:line="268" w:lineRule="exact"/>
              <w:ind w:left="7" w:right="92"/>
              <w:jc w:val="center"/>
              <w:rPr>
                <w:rFonts w:ascii="Arial" w:hAnsi="Arial" w:cs="Arial"/>
                <w:sz w:val="20"/>
                <w:szCs w:val="20"/>
              </w:rPr>
            </w:pPr>
            <w:r w:rsidRPr="000D0C49">
              <w:rPr>
                <w:rFonts w:ascii="Arial" w:hAnsi="Arial" w:cs="Arial"/>
                <w:spacing w:val="-10"/>
                <w:sz w:val="20"/>
                <w:szCs w:val="20"/>
              </w:rPr>
              <w:t>1</w:t>
            </w:r>
          </w:p>
        </w:tc>
        <w:tc>
          <w:tcPr>
            <w:tcW w:w="1122" w:type="dxa"/>
            <w:vAlign w:val="center"/>
          </w:tcPr>
          <w:p w14:paraId="66462A2E" w14:textId="77777777" w:rsidR="00CF142B" w:rsidRPr="000D0C49" w:rsidRDefault="00345077" w:rsidP="00C77DED">
            <w:pPr>
              <w:pStyle w:val="TableParagraph"/>
              <w:spacing w:after="160" w:line="268" w:lineRule="exact"/>
              <w:ind w:left="7" w:right="92"/>
              <w:jc w:val="center"/>
              <w:rPr>
                <w:rFonts w:ascii="Arial" w:hAnsi="Arial" w:cs="Arial"/>
                <w:spacing w:val="-10"/>
                <w:sz w:val="20"/>
                <w:szCs w:val="20"/>
              </w:rPr>
            </w:pPr>
            <w:r w:rsidRPr="000D0C49">
              <w:rPr>
                <w:rFonts w:ascii="Arial" w:hAnsi="Arial" w:cs="Arial"/>
                <w:sz w:val="20"/>
                <w:szCs w:val="20"/>
              </w:rPr>
              <w:t>100</w:t>
            </w:r>
          </w:p>
        </w:tc>
      </w:tr>
      <w:tr w:rsidR="00CF142B" w:rsidRPr="000D0C49" w14:paraId="2B42841A" w14:textId="77777777" w:rsidTr="00C77DED">
        <w:trPr>
          <w:trHeight w:val="398"/>
          <w:jc w:val="center"/>
        </w:trPr>
        <w:tc>
          <w:tcPr>
            <w:tcW w:w="1445" w:type="dxa"/>
            <w:vAlign w:val="center"/>
          </w:tcPr>
          <w:p w14:paraId="4FD4874F" w14:textId="77777777" w:rsidR="00CF142B" w:rsidRPr="000D0C49" w:rsidRDefault="00CF142B" w:rsidP="00C77DED">
            <w:pPr>
              <w:pStyle w:val="TableParagraph"/>
              <w:spacing w:after="160" w:line="268" w:lineRule="exact"/>
              <w:ind w:left="4" w:right="92"/>
              <w:jc w:val="center"/>
              <w:rPr>
                <w:rFonts w:ascii="Arial" w:hAnsi="Arial" w:cs="Arial"/>
                <w:sz w:val="20"/>
                <w:szCs w:val="20"/>
              </w:rPr>
            </w:pPr>
            <w:r w:rsidRPr="000D0C49">
              <w:rPr>
                <w:rFonts w:ascii="Arial" w:hAnsi="Arial" w:cs="Arial"/>
                <w:spacing w:val="-5"/>
                <w:sz w:val="20"/>
                <w:szCs w:val="20"/>
              </w:rPr>
              <w:t>F7</w:t>
            </w:r>
          </w:p>
        </w:tc>
        <w:tc>
          <w:tcPr>
            <w:tcW w:w="1496" w:type="dxa"/>
            <w:vAlign w:val="center"/>
          </w:tcPr>
          <w:p w14:paraId="2757D2B1" w14:textId="77777777" w:rsidR="00CF142B" w:rsidRPr="000D0C49" w:rsidRDefault="00345077" w:rsidP="00C77DED">
            <w:pPr>
              <w:pStyle w:val="TableParagraph"/>
              <w:spacing w:after="160" w:line="268" w:lineRule="exact"/>
              <w:ind w:left="8" w:right="92"/>
              <w:jc w:val="center"/>
              <w:rPr>
                <w:rFonts w:ascii="Arial" w:hAnsi="Arial" w:cs="Arial"/>
                <w:sz w:val="20"/>
                <w:szCs w:val="20"/>
              </w:rPr>
            </w:pPr>
            <w:r w:rsidRPr="000D0C49">
              <w:rPr>
                <w:rFonts w:ascii="Arial" w:hAnsi="Arial" w:cs="Arial"/>
                <w:spacing w:val="-5"/>
                <w:sz w:val="20"/>
                <w:szCs w:val="20"/>
              </w:rPr>
              <w:t>6</w:t>
            </w:r>
          </w:p>
        </w:tc>
        <w:tc>
          <w:tcPr>
            <w:tcW w:w="1496" w:type="dxa"/>
            <w:vAlign w:val="center"/>
          </w:tcPr>
          <w:p w14:paraId="6F3AA6D7" w14:textId="77777777" w:rsidR="00CF142B" w:rsidRPr="000D0C49" w:rsidRDefault="00CF142B" w:rsidP="00C77DED">
            <w:pPr>
              <w:pStyle w:val="TableParagraph"/>
              <w:spacing w:after="160" w:line="268" w:lineRule="exact"/>
              <w:ind w:left="7" w:right="92"/>
              <w:jc w:val="center"/>
              <w:rPr>
                <w:rFonts w:ascii="Arial" w:hAnsi="Arial" w:cs="Arial"/>
                <w:sz w:val="20"/>
                <w:szCs w:val="20"/>
              </w:rPr>
            </w:pPr>
            <w:r w:rsidRPr="000D0C49">
              <w:rPr>
                <w:rFonts w:ascii="Arial" w:hAnsi="Arial" w:cs="Arial"/>
                <w:spacing w:val="-10"/>
                <w:sz w:val="20"/>
                <w:szCs w:val="20"/>
              </w:rPr>
              <w:t>2</w:t>
            </w:r>
          </w:p>
        </w:tc>
        <w:tc>
          <w:tcPr>
            <w:tcW w:w="1122" w:type="dxa"/>
            <w:vAlign w:val="center"/>
          </w:tcPr>
          <w:p w14:paraId="381F7E71" w14:textId="77777777" w:rsidR="00CF142B" w:rsidRPr="000D0C49" w:rsidRDefault="00345077" w:rsidP="00C77DED">
            <w:pPr>
              <w:pStyle w:val="TableParagraph"/>
              <w:spacing w:after="160" w:line="268" w:lineRule="exact"/>
              <w:ind w:left="7" w:right="92"/>
              <w:jc w:val="center"/>
              <w:rPr>
                <w:rFonts w:ascii="Arial" w:hAnsi="Arial" w:cs="Arial"/>
                <w:spacing w:val="-10"/>
                <w:sz w:val="20"/>
                <w:szCs w:val="20"/>
              </w:rPr>
            </w:pPr>
            <w:r w:rsidRPr="000D0C49">
              <w:rPr>
                <w:rFonts w:ascii="Arial" w:hAnsi="Arial" w:cs="Arial"/>
                <w:sz w:val="20"/>
                <w:szCs w:val="20"/>
              </w:rPr>
              <w:t>100</w:t>
            </w:r>
          </w:p>
        </w:tc>
      </w:tr>
      <w:tr w:rsidR="00CF142B" w:rsidRPr="000D0C49" w14:paraId="145C0B8F" w14:textId="77777777" w:rsidTr="00C77DED">
        <w:trPr>
          <w:trHeight w:val="388"/>
          <w:jc w:val="center"/>
        </w:trPr>
        <w:tc>
          <w:tcPr>
            <w:tcW w:w="1445" w:type="dxa"/>
            <w:vAlign w:val="center"/>
          </w:tcPr>
          <w:p w14:paraId="31D2A520" w14:textId="77777777" w:rsidR="00CF142B" w:rsidRPr="000D0C49" w:rsidRDefault="00CF142B" w:rsidP="00C77DED">
            <w:pPr>
              <w:pStyle w:val="TableParagraph"/>
              <w:spacing w:after="160" w:line="268" w:lineRule="exact"/>
              <w:ind w:left="4" w:right="92"/>
              <w:jc w:val="center"/>
              <w:rPr>
                <w:rFonts w:ascii="Arial" w:hAnsi="Arial" w:cs="Arial"/>
                <w:sz w:val="20"/>
                <w:szCs w:val="20"/>
              </w:rPr>
            </w:pPr>
            <w:r w:rsidRPr="000D0C49">
              <w:rPr>
                <w:rFonts w:ascii="Arial" w:hAnsi="Arial" w:cs="Arial"/>
                <w:spacing w:val="-5"/>
                <w:sz w:val="20"/>
                <w:szCs w:val="20"/>
              </w:rPr>
              <w:t>F8</w:t>
            </w:r>
          </w:p>
        </w:tc>
        <w:tc>
          <w:tcPr>
            <w:tcW w:w="1496" w:type="dxa"/>
            <w:vAlign w:val="center"/>
          </w:tcPr>
          <w:p w14:paraId="791581A1" w14:textId="77777777" w:rsidR="00CF142B" w:rsidRPr="000D0C49" w:rsidRDefault="00345077" w:rsidP="00C77DED">
            <w:pPr>
              <w:pStyle w:val="TableParagraph"/>
              <w:spacing w:after="160" w:line="268" w:lineRule="exact"/>
              <w:ind w:left="8" w:right="92"/>
              <w:jc w:val="center"/>
              <w:rPr>
                <w:rFonts w:ascii="Arial" w:hAnsi="Arial" w:cs="Arial"/>
                <w:sz w:val="20"/>
                <w:szCs w:val="20"/>
              </w:rPr>
            </w:pPr>
            <w:r w:rsidRPr="000D0C49">
              <w:rPr>
                <w:rFonts w:ascii="Arial" w:hAnsi="Arial" w:cs="Arial"/>
                <w:spacing w:val="-5"/>
                <w:sz w:val="20"/>
                <w:szCs w:val="20"/>
              </w:rPr>
              <w:t>6</w:t>
            </w:r>
          </w:p>
        </w:tc>
        <w:tc>
          <w:tcPr>
            <w:tcW w:w="1496" w:type="dxa"/>
            <w:vAlign w:val="center"/>
          </w:tcPr>
          <w:p w14:paraId="491B08DB" w14:textId="77777777" w:rsidR="00CF142B" w:rsidRPr="000D0C49" w:rsidRDefault="00CF142B" w:rsidP="00C77DED">
            <w:pPr>
              <w:pStyle w:val="TableParagraph"/>
              <w:spacing w:after="160" w:line="268" w:lineRule="exact"/>
              <w:ind w:left="7" w:right="92"/>
              <w:jc w:val="center"/>
              <w:rPr>
                <w:rFonts w:ascii="Arial" w:hAnsi="Arial" w:cs="Arial"/>
                <w:sz w:val="20"/>
                <w:szCs w:val="20"/>
              </w:rPr>
            </w:pPr>
            <w:r w:rsidRPr="000D0C49">
              <w:rPr>
                <w:rFonts w:ascii="Arial" w:hAnsi="Arial" w:cs="Arial"/>
                <w:spacing w:val="-5"/>
                <w:sz w:val="20"/>
                <w:szCs w:val="20"/>
              </w:rPr>
              <w:t>1.5</w:t>
            </w:r>
          </w:p>
        </w:tc>
        <w:tc>
          <w:tcPr>
            <w:tcW w:w="1122" w:type="dxa"/>
            <w:vAlign w:val="center"/>
          </w:tcPr>
          <w:p w14:paraId="2D2F8DB4" w14:textId="77777777" w:rsidR="00CF142B" w:rsidRPr="000D0C49" w:rsidRDefault="00345077" w:rsidP="00C77DED">
            <w:pPr>
              <w:pStyle w:val="TableParagraph"/>
              <w:spacing w:after="160" w:line="268" w:lineRule="exact"/>
              <w:ind w:left="7" w:right="92"/>
              <w:jc w:val="center"/>
              <w:rPr>
                <w:rFonts w:ascii="Arial" w:hAnsi="Arial" w:cs="Arial"/>
                <w:spacing w:val="-5"/>
                <w:sz w:val="20"/>
                <w:szCs w:val="20"/>
              </w:rPr>
            </w:pPr>
            <w:r w:rsidRPr="000D0C49">
              <w:rPr>
                <w:rFonts w:ascii="Arial" w:hAnsi="Arial" w:cs="Arial"/>
                <w:sz w:val="20"/>
                <w:szCs w:val="20"/>
              </w:rPr>
              <w:t>100</w:t>
            </w:r>
          </w:p>
        </w:tc>
      </w:tr>
      <w:tr w:rsidR="00CF142B" w:rsidRPr="000D0C49" w14:paraId="0F104179" w14:textId="77777777" w:rsidTr="00C77DED">
        <w:trPr>
          <w:trHeight w:val="446"/>
          <w:jc w:val="center"/>
        </w:trPr>
        <w:tc>
          <w:tcPr>
            <w:tcW w:w="1445" w:type="dxa"/>
            <w:vAlign w:val="center"/>
          </w:tcPr>
          <w:p w14:paraId="2A342645" w14:textId="77777777" w:rsidR="00CF142B" w:rsidRPr="000D0C49" w:rsidRDefault="00CF142B" w:rsidP="00C77DED">
            <w:pPr>
              <w:pStyle w:val="TableParagraph"/>
              <w:spacing w:after="160" w:line="268" w:lineRule="exact"/>
              <w:ind w:left="4" w:right="92"/>
              <w:jc w:val="center"/>
              <w:rPr>
                <w:rFonts w:ascii="Arial" w:hAnsi="Arial" w:cs="Arial"/>
                <w:sz w:val="20"/>
                <w:szCs w:val="20"/>
              </w:rPr>
            </w:pPr>
            <w:r w:rsidRPr="000D0C49">
              <w:rPr>
                <w:rFonts w:ascii="Arial" w:hAnsi="Arial" w:cs="Arial"/>
                <w:spacing w:val="-5"/>
                <w:sz w:val="20"/>
                <w:szCs w:val="20"/>
              </w:rPr>
              <w:t>F9</w:t>
            </w:r>
          </w:p>
        </w:tc>
        <w:tc>
          <w:tcPr>
            <w:tcW w:w="1496" w:type="dxa"/>
            <w:vAlign w:val="center"/>
          </w:tcPr>
          <w:p w14:paraId="2DACFD2F" w14:textId="77777777" w:rsidR="00CF142B" w:rsidRPr="000D0C49" w:rsidRDefault="00345077" w:rsidP="00C77DED">
            <w:pPr>
              <w:pStyle w:val="TableParagraph"/>
              <w:spacing w:after="160" w:line="268" w:lineRule="exact"/>
              <w:ind w:left="8" w:right="92"/>
              <w:jc w:val="center"/>
              <w:rPr>
                <w:rFonts w:ascii="Arial" w:hAnsi="Arial" w:cs="Arial"/>
                <w:sz w:val="20"/>
                <w:szCs w:val="20"/>
              </w:rPr>
            </w:pPr>
            <w:r w:rsidRPr="000D0C49">
              <w:rPr>
                <w:rFonts w:ascii="Arial" w:hAnsi="Arial" w:cs="Arial"/>
                <w:spacing w:val="-5"/>
                <w:sz w:val="20"/>
                <w:szCs w:val="20"/>
              </w:rPr>
              <w:t>6</w:t>
            </w:r>
          </w:p>
        </w:tc>
        <w:tc>
          <w:tcPr>
            <w:tcW w:w="1496" w:type="dxa"/>
            <w:vAlign w:val="center"/>
          </w:tcPr>
          <w:p w14:paraId="6079BEED" w14:textId="77777777" w:rsidR="00CF142B" w:rsidRPr="000D0C49" w:rsidRDefault="00CF142B" w:rsidP="00C77DED">
            <w:pPr>
              <w:pStyle w:val="TableParagraph"/>
              <w:spacing w:after="160" w:line="268" w:lineRule="exact"/>
              <w:ind w:left="7" w:right="92"/>
              <w:jc w:val="center"/>
              <w:rPr>
                <w:rFonts w:ascii="Arial" w:hAnsi="Arial" w:cs="Arial"/>
                <w:sz w:val="20"/>
                <w:szCs w:val="20"/>
              </w:rPr>
            </w:pPr>
            <w:r w:rsidRPr="000D0C49">
              <w:rPr>
                <w:rFonts w:ascii="Arial" w:hAnsi="Arial" w:cs="Arial"/>
                <w:spacing w:val="-10"/>
                <w:sz w:val="20"/>
                <w:szCs w:val="20"/>
              </w:rPr>
              <w:t>1</w:t>
            </w:r>
          </w:p>
        </w:tc>
        <w:tc>
          <w:tcPr>
            <w:tcW w:w="1122" w:type="dxa"/>
            <w:vAlign w:val="center"/>
          </w:tcPr>
          <w:p w14:paraId="399E758C" w14:textId="77777777" w:rsidR="00CF142B" w:rsidRPr="000D0C49" w:rsidRDefault="00345077" w:rsidP="00C77DED">
            <w:pPr>
              <w:pStyle w:val="TableParagraph"/>
              <w:spacing w:after="160" w:line="268" w:lineRule="exact"/>
              <w:ind w:left="7" w:right="92"/>
              <w:jc w:val="center"/>
              <w:rPr>
                <w:rFonts w:ascii="Arial" w:hAnsi="Arial" w:cs="Arial"/>
                <w:spacing w:val="-10"/>
                <w:sz w:val="20"/>
                <w:szCs w:val="20"/>
              </w:rPr>
            </w:pPr>
            <w:r w:rsidRPr="000D0C49">
              <w:rPr>
                <w:rFonts w:ascii="Arial" w:hAnsi="Arial" w:cs="Arial"/>
                <w:sz w:val="20"/>
                <w:szCs w:val="20"/>
              </w:rPr>
              <w:t>100</w:t>
            </w:r>
          </w:p>
        </w:tc>
      </w:tr>
    </w:tbl>
    <w:p w14:paraId="7DAC689D" w14:textId="77777777" w:rsidR="0072799C" w:rsidRPr="000D0C49" w:rsidRDefault="00A4043F" w:rsidP="00F11B03">
      <w:pPr>
        <w:pStyle w:val="BodyText"/>
        <w:spacing w:before="240" w:after="160" w:line="276" w:lineRule="auto"/>
        <w:ind w:right="92"/>
        <w:jc w:val="both"/>
        <w:rPr>
          <w:rFonts w:ascii="Arial" w:hAnsi="Arial" w:cs="Arial"/>
          <w:b/>
          <w:spacing w:val="-2"/>
          <w:sz w:val="22"/>
          <w:szCs w:val="22"/>
        </w:rPr>
      </w:pPr>
      <w:r w:rsidRPr="000D0C49">
        <w:rPr>
          <w:rFonts w:ascii="Arial" w:hAnsi="Arial" w:cs="Arial"/>
          <w:b/>
          <w:sz w:val="22"/>
          <w:szCs w:val="22"/>
        </w:rPr>
        <w:t>2.</w:t>
      </w:r>
      <w:r w:rsidR="005F6454" w:rsidRPr="000D0C49">
        <w:rPr>
          <w:rFonts w:ascii="Arial" w:hAnsi="Arial" w:cs="Arial"/>
          <w:b/>
          <w:sz w:val="22"/>
          <w:szCs w:val="22"/>
        </w:rPr>
        <w:t>4 Characterization</w:t>
      </w:r>
      <w:r w:rsidR="005F6454" w:rsidRPr="000D0C49">
        <w:rPr>
          <w:rFonts w:ascii="Arial" w:hAnsi="Arial" w:cs="Arial"/>
          <w:b/>
          <w:spacing w:val="-12"/>
          <w:sz w:val="22"/>
          <w:szCs w:val="22"/>
        </w:rPr>
        <w:t xml:space="preserve"> </w:t>
      </w:r>
      <w:r w:rsidR="005F6454" w:rsidRPr="000D0C49">
        <w:rPr>
          <w:rFonts w:ascii="Arial" w:hAnsi="Arial" w:cs="Arial"/>
          <w:b/>
          <w:sz w:val="22"/>
          <w:szCs w:val="22"/>
        </w:rPr>
        <w:t>and</w:t>
      </w:r>
      <w:r w:rsidR="005F6454" w:rsidRPr="000D0C49">
        <w:rPr>
          <w:rFonts w:ascii="Arial" w:hAnsi="Arial" w:cs="Arial"/>
          <w:b/>
          <w:spacing w:val="-11"/>
          <w:sz w:val="22"/>
          <w:szCs w:val="22"/>
        </w:rPr>
        <w:t xml:space="preserve"> </w:t>
      </w:r>
      <w:r w:rsidR="005F6454" w:rsidRPr="000D0C49">
        <w:rPr>
          <w:rFonts w:ascii="Arial" w:hAnsi="Arial" w:cs="Arial"/>
          <w:b/>
          <w:spacing w:val="-2"/>
          <w:sz w:val="22"/>
          <w:szCs w:val="22"/>
        </w:rPr>
        <w:t xml:space="preserve">Evaluation </w:t>
      </w:r>
      <w:r w:rsidR="00883285" w:rsidRPr="000D0C49">
        <w:rPr>
          <w:rFonts w:ascii="Arial" w:hAnsi="Arial" w:cs="Arial"/>
          <w:b/>
          <w:spacing w:val="-2"/>
          <w:sz w:val="22"/>
          <w:szCs w:val="22"/>
        </w:rPr>
        <w:t>[15]</w:t>
      </w:r>
    </w:p>
    <w:p w14:paraId="5A364EF0" w14:textId="77777777" w:rsidR="000C06CF" w:rsidRPr="0073417E" w:rsidRDefault="00A4043F" w:rsidP="00F11B03">
      <w:pPr>
        <w:ind w:right="92"/>
        <w:rPr>
          <w:rFonts w:ascii="Arial" w:hAnsi="Arial" w:cs="Arial"/>
          <w:b/>
          <w:sz w:val="20"/>
          <w:szCs w:val="20"/>
          <w:u w:val="single"/>
        </w:rPr>
      </w:pPr>
      <w:r w:rsidRPr="0073417E">
        <w:rPr>
          <w:rFonts w:ascii="Arial" w:hAnsi="Arial" w:cs="Arial"/>
          <w:b/>
          <w:sz w:val="20"/>
          <w:szCs w:val="20"/>
          <w:u w:val="single"/>
        </w:rPr>
        <w:t xml:space="preserve">2.4.1 </w:t>
      </w:r>
      <w:r w:rsidR="000C06CF" w:rsidRPr="0073417E">
        <w:rPr>
          <w:rFonts w:ascii="Arial" w:hAnsi="Arial" w:cs="Arial"/>
          <w:b/>
          <w:sz w:val="20"/>
          <w:szCs w:val="20"/>
          <w:u w:val="single"/>
        </w:rPr>
        <w:t>% Yield of Loratadine</w:t>
      </w:r>
      <w:r w:rsidR="000C06CF" w:rsidRPr="0073417E">
        <w:rPr>
          <w:rFonts w:ascii="Arial" w:hAnsi="Arial" w:cs="Arial"/>
          <w:b/>
          <w:spacing w:val="-2"/>
          <w:sz w:val="20"/>
          <w:szCs w:val="20"/>
          <w:u w:val="single"/>
        </w:rPr>
        <w:t xml:space="preserve"> </w:t>
      </w:r>
      <w:proofErr w:type="gramStart"/>
      <w:r w:rsidR="000C06CF" w:rsidRPr="0073417E">
        <w:rPr>
          <w:rFonts w:ascii="Arial" w:hAnsi="Arial" w:cs="Arial"/>
          <w:b/>
          <w:sz w:val="20"/>
          <w:szCs w:val="20"/>
          <w:u w:val="single"/>
        </w:rPr>
        <w:t>lipid</w:t>
      </w:r>
      <w:r w:rsidR="000C06CF" w:rsidRPr="0073417E">
        <w:rPr>
          <w:rFonts w:ascii="Arial" w:hAnsi="Arial" w:cs="Arial"/>
          <w:b/>
          <w:spacing w:val="-3"/>
          <w:sz w:val="20"/>
          <w:szCs w:val="20"/>
          <w:u w:val="single"/>
        </w:rPr>
        <w:t xml:space="preserve"> </w:t>
      </w:r>
      <w:r w:rsidR="000C06CF" w:rsidRPr="0073417E">
        <w:rPr>
          <w:rFonts w:ascii="Arial" w:hAnsi="Arial" w:cs="Arial"/>
          <w:b/>
          <w:sz w:val="20"/>
          <w:szCs w:val="20"/>
          <w:u w:val="single"/>
        </w:rPr>
        <w:t>based</w:t>
      </w:r>
      <w:proofErr w:type="gramEnd"/>
      <w:r w:rsidR="000C06CF" w:rsidRPr="0073417E">
        <w:rPr>
          <w:rFonts w:ascii="Arial" w:hAnsi="Arial" w:cs="Arial"/>
          <w:b/>
          <w:spacing w:val="-1"/>
          <w:sz w:val="20"/>
          <w:szCs w:val="20"/>
          <w:u w:val="single"/>
        </w:rPr>
        <w:t xml:space="preserve"> </w:t>
      </w:r>
      <w:r w:rsidRPr="0073417E">
        <w:rPr>
          <w:rFonts w:ascii="Arial" w:hAnsi="Arial" w:cs="Arial"/>
          <w:b/>
          <w:spacing w:val="-2"/>
          <w:sz w:val="20"/>
          <w:szCs w:val="20"/>
          <w:u w:val="single"/>
        </w:rPr>
        <w:t>formulation</w:t>
      </w:r>
    </w:p>
    <w:p w14:paraId="707F296C" w14:textId="77777777" w:rsidR="00E071A0" w:rsidRPr="0073417E" w:rsidRDefault="00E071A0" w:rsidP="00F11B03">
      <w:pPr>
        <w:pStyle w:val="BodyText"/>
        <w:spacing w:before="132" w:after="160"/>
        <w:ind w:right="92"/>
        <w:rPr>
          <w:rFonts w:ascii="Arial" w:hAnsi="Arial" w:cs="Arial"/>
          <w:sz w:val="20"/>
          <w:szCs w:val="20"/>
        </w:rPr>
      </w:pPr>
      <w:r w:rsidRPr="0073417E">
        <w:rPr>
          <w:rFonts w:ascii="Arial" w:hAnsi="Arial" w:cs="Arial"/>
          <w:sz w:val="20"/>
          <w:szCs w:val="20"/>
        </w:rPr>
        <w:t>The yield of the Loratadine lipid-based drug delivery system (LBDDS) was calculated using the formula:</w:t>
      </w:r>
    </w:p>
    <w:p w14:paraId="59650513" w14:textId="77777777" w:rsidR="001E086A" w:rsidRPr="0073417E" w:rsidRDefault="001E086A" w:rsidP="001E086A">
      <w:pPr>
        <w:tabs>
          <w:tab w:val="left" w:pos="2763"/>
          <w:tab w:val="left" w:pos="6960"/>
        </w:tabs>
        <w:spacing w:before="241"/>
        <w:ind w:left="142" w:right="92"/>
        <w:jc w:val="right"/>
        <w:rPr>
          <w:rFonts w:ascii="Arial" w:eastAsia="Cambria Math" w:hAnsi="Arial" w:cs="Arial"/>
          <w:sz w:val="20"/>
          <w:szCs w:val="20"/>
        </w:rPr>
      </w:pPr>
      <m:oMath>
        <m:r>
          <w:rPr>
            <w:rFonts w:ascii="Cambria Math" w:eastAsia="Cambria Math" w:hAnsi="Cambria Math" w:cs="Arial"/>
            <w:sz w:val="20"/>
            <w:szCs w:val="20"/>
          </w:rPr>
          <m:t xml:space="preserve">Percentage yield= </m:t>
        </m:r>
        <m:f>
          <m:fPr>
            <m:ctrlPr>
              <w:rPr>
                <w:rFonts w:ascii="Cambria Math" w:eastAsia="Cambria Math" w:hAnsi="Cambria Math" w:cs="Arial"/>
                <w:i/>
                <w:sz w:val="20"/>
                <w:szCs w:val="20"/>
              </w:rPr>
            </m:ctrlPr>
          </m:fPr>
          <m:num>
            <m:r>
              <w:rPr>
                <w:rFonts w:ascii="Cambria Math" w:eastAsia="Cambria Math" w:hAnsi="Cambria Math" w:cs="Arial"/>
                <w:sz w:val="20"/>
                <w:szCs w:val="20"/>
              </w:rPr>
              <m:t>Actual weight of the product</m:t>
            </m:r>
          </m:num>
          <m:den>
            <m:r>
              <w:rPr>
                <w:rFonts w:ascii="Cambria Math" w:eastAsia="Cambria Math" w:hAnsi="Cambria Math" w:cs="Arial"/>
                <w:sz w:val="20"/>
                <w:szCs w:val="20"/>
              </w:rPr>
              <m:t xml:space="preserve">Total weight of the product </m:t>
            </m:r>
          </m:den>
        </m:f>
        <m:r>
          <w:rPr>
            <w:rFonts w:ascii="Cambria Math" w:eastAsia="Cambria Math" w:hAnsi="Cambria Math" w:cs="Arial"/>
            <w:sz w:val="20"/>
            <w:szCs w:val="20"/>
          </w:rPr>
          <m:t xml:space="preserve"> </m:t>
        </m:r>
        <m:r>
          <m:rPr>
            <m:sty m:val="p"/>
          </m:rPr>
          <w:rPr>
            <w:rFonts w:ascii="Cambria Math" w:hAnsi="Cambria Math" w:cs="Arial"/>
            <w:sz w:val="20"/>
            <w:szCs w:val="20"/>
          </w:rPr>
          <m:t>× 100</m:t>
        </m:r>
      </m:oMath>
      <w:r w:rsidR="0013495E" w:rsidRPr="0073417E">
        <w:rPr>
          <w:rFonts w:ascii="Arial" w:eastAsia="Cambria Math" w:hAnsi="Arial" w:cs="Arial"/>
          <w:sz w:val="20"/>
          <w:szCs w:val="20"/>
        </w:rPr>
        <w:t xml:space="preserve"> </w:t>
      </w:r>
      <w:r w:rsidRPr="0073417E">
        <w:rPr>
          <w:rFonts w:ascii="Arial" w:eastAsia="Cambria Math" w:hAnsi="Arial" w:cs="Arial"/>
          <w:sz w:val="20"/>
          <w:szCs w:val="20"/>
        </w:rPr>
        <w:tab/>
      </w:r>
      <w:proofErr w:type="spellStart"/>
      <w:r w:rsidRPr="0073417E">
        <w:rPr>
          <w:rFonts w:ascii="Arial" w:eastAsia="Cambria Math" w:hAnsi="Arial" w:cs="Arial"/>
          <w:sz w:val="20"/>
          <w:szCs w:val="20"/>
        </w:rPr>
        <w:t>e.q</w:t>
      </w:r>
      <w:proofErr w:type="spellEnd"/>
      <w:r w:rsidRPr="0073417E">
        <w:rPr>
          <w:rFonts w:ascii="Arial" w:eastAsia="Cambria Math" w:hAnsi="Arial" w:cs="Arial"/>
          <w:sz w:val="20"/>
          <w:szCs w:val="20"/>
        </w:rPr>
        <w:t xml:space="preserve"> 1</w:t>
      </w:r>
    </w:p>
    <w:p w14:paraId="13809906" w14:textId="77777777" w:rsidR="000E4DDB" w:rsidRPr="0073417E" w:rsidRDefault="00A4043F" w:rsidP="00F11B03">
      <w:pPr>
        <w:pStyle w:val="TableParagraph"/>
        <w:tabs>
          <w:tab w:val="left" w:pos="4052"/>
        </w:tabs>
        <w:spacing w:before="132" w:after="160"/>
        <w:ind w:right="92"/>
        <w:rPr>
          <w:rFonts w:ascii="Arial" w:hAnsi="Arial" w:cs="Arial"/>
          <w:sz w:val="20"/>
          <w:szCs w:val="20"/>
          <w:u w:val="single"/>
        </w:rPr>
      </w:pPr>
      <w:r w:rsidRPr="0073417E">
        <w:rPr>
          <w:rFonts w:ascii="Arial" w:hAnsi="Arial" w:cs="Arial"/>
          <w:b/>
          <w:sz w:val="20"/>
          <w:szCs w:val="20"/>
          <w:u w:val="single"/>
        </w:rPr>
        <w:t xml:space="preserve">2.4.2 </w:t>
      </w:r>
      <w:r w:rsidR="000E4DDB" w:rsidRPr="0073417E">
        <w:rPr>
          <w:rFonts w:ascii="Arial" w:hAnsi="Arial" w:cs="Arial"/>
          <w:b/>
          <w:sz w:val="20"/>
          <w:szCs w:val="20"/>
          <w:u w:val="single"/>
        </w:rPr>
        <w:t>Drug</w:t>
      </w:r>
      <w:r w:rsidR="000E4DDB" w:rsidRPr="0073417E">
        <w:rPr>
          <w:rFonts w:ascii="Arial" w:hAnsi="Arial" w:cs="Arial"/>
          <w:b/>
          <w:spacing w:val="-3"/>
          <w:sz w:val="20"/>
          <w:szCs w:val="20"/>
          <w:u w:val="single"/>
        </w:rPr>
        <w:t xml:space="preserve"> </w:t>
      </w:r>
      <w:r w:rsidR="000E4DDB" w:rsidRPr="0073417E">
        <w:rPr>
          <w:rFonts w:ascii="Arial" w:hAnsi="Arial" w:cs="Arial"/>
          <w:b/>
          <w:sz w:val="20"/>
          <w:szCs w:val="20"/>
          <w:u w:val="single"/>
        </w:rPr>
        <w:t>content</w:t>
      </w:r>
      <w:r w:rsidR="00C82CFB" w:rsidRPr="0073417E">
        <w:rPr>
          <w:rFonts w:ascii="Arial" w:hAnsi="Arial" w:cs="Arial"/>
          <w:b/>
          <w:sz w:val="20"/>
          <w:szCs w:val="20"/>
          <w:u w:val="single"/>
        </w:rPr>
        <w:t xml:space="preserve"> </w:t>
      </w:r>
    </w:p>
    <w:p w14:paraId="477B3CF7" w14:textId="77777777" w:rsidR="000E4DDB" w:rsidRPr="0073417E" w:rsidRDefault="00062CC5" w:rsidP="00FE1EFD">
      <w:pPr>
        <w:ind w:right="-24"/>
        <w:jc w:val="both"/>
        <w:rPr>
          <w:rFonts w:ascii="Arial" w:hAnsi="Arial" w:cs="Arial"/>
          <w:sz w:val="20"/>
          <w:szCs w:val="20"/>
        </w:rPr>
      </w:pPr>
      <w:r w:rsidRPr="0073417E">
        <w:rPr>
          <w:rFonts w:ascii="Arial" w:hAnsi="Arial" w:cs="Arial"/>
          <w:sz w:val="20"/>
          <w:szCs w:val="20"/>
        </w:rPr>
        <w:t xml:space="preserve">For quantitative analysis, 10 mg of each Loratadine lipid formulation from all batches was accurately weighed and placed into individual 10 mL volumetric flasks, followed by dilution with 0.1N hydrochloric acid. The samples were subjected to sonication at 60 °C for approximately 30 minutes to ensure complete dissolution. After dissolution, 0.2 mL of the solution was transferred to a separate 10 mL volumetric flask, diluted to volume with pH 1.2 buffer, and subsequently filtered. The absorbance of the resulting filtrate was measured at 273 nm using a UV-visible spectrophotometer, employing 0.1N HCl as the reference blank. </w:t>
      </w:r>
      <w:r w:rsidR="009437E5" w:rsidRPr="0073417E">
        <w:rPr>
          <w:rFonts w:ascii="Arial" w:hAnsi="Arial" w:cs="Arial"/>
          <w:sz w:val="20"/>
          <w:szCs w:val="20"/>
        </w:rPr>
        <w:t>[16]</w:t>
      </w:r>
      <w:r w:rsidR="001E086A" w:rsidRPr="0073417E">
        <w:rPr>
          <w:rFonts w:ascii="Arial" w:hAnsi="Arial" w:cs="Arial"/>
          <w:sz w:val="20"/>
          <w:szCs w:val="20"/>
        </w:rPr>
        <w:t>.</w:t>
      </w:r>
    </w:p>
    <w:p w14:paraId="5DDEBC00" w14:textId="77777777" w:rsidR="001E086A" w:rsidRPr="000D0C49" w:rsidRDefault="001E086A" w:rsidP="001E086A">
      <w:pPr>
        <w:tabs>
          <w:tab w:val="left" w:pos="7300"/>
        </w:tabs>
        <w:ind w:left="851" w:right="92"/>
        <w:jc w:val="right"/>
        <w:rPr>
          <w:rFonts w:ascii="Arial" w:hAnsi="Arial" w:cs="Arial"/>
          <w:sz w:val="20"/>
          <w:szCs w:val="20"/>
        </w:rPr>
      </w:pPr>
      <m:oMath>
        <m:r>
          <w:rPr>
            <w:rFonts w:ascii="Cambria Math" w:hAnsi="Cambria Math" w:cs="Arial"/>
            <w:sz w:val="20"/>
            <w:szCs w:val="20"/>
          </w:rPr>
          <m:t xml:space="preserve">Drug Content </m:t>
        </m:r>
        <m:d>
          <m:dPr>
            <m:ctrlPr>
              <w:rPr>
                <w:rFonts w:ascii="Cambria Math" w:hAnsi="Cambria Math" w:cs="Arial"/>
                <w:i/>
                <w:sz w:val="20"/>
                <w:szCs w:val="20"/>
              </w:rPr>
            </m:ctrlPr>
          </m:dPr>
          <m:e>
            <m:r>
              <w:rPr>
                <w:rFonts w:ascii="Cambria Math" w:hAnsi="Cambria Math" w:cs="Arial"/>
                <w:sz w:val="20"/>
                <w:szCs w:val="20"/>
              </w:rPr>
              <m:t>%</m:t>
            </m:r>
          </m:e>
        </m:d>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Amount of drug present</m:t>
            </m:r>
          </m:num>
          <m:den>
            <m:r>
              <w:rPr>
                <w:rFonts w:ascii="Cambria Math" w:hAnsi="Cambria Math" w:cs="Arial"/>
                <w:sz w:val="20"/>
                <w:szCs w:val="20"/>
              </w:rPr>
              <m:t>Teoritical drug loaded expexted</m:t>
            </m:r>
          </m:den>
        </m:f>
        <m:r>
          <w:rPr>
            <w:rFonts w:ascii="Cambria Math" w:hAnsi="Cambria Math" w:cs="Arial"/>
            <w:sz w:val="20"/>
            <w:szCs w:val="20"/>
          </w:rPr>
          <m:t xml:space="preserve"> </m:t>
        </m:r>
        <m:r>
          <m:rPr>
            <m:sty m:val="p"/>
          </m:rPr>
          <w:rPr>
            <w:rFonts w:ascii="Cambria Math" w:hAnsi="Cambria Math" w:cs="Arial"/>
            <w:sz w:val="20"/>
            <w:szCs w:val="20"/>
          </w:rPr>
          <m:t>× 100</m:t>
        </m:r>
      </m:oMath>
      <w:r w:rsidRPr="0073417E">
        <w:rPr>
          <w:rFonts w:ascii="Arial" w:eastAsiaTheme="minorEastAsia" w:hAnsi="Arial" w:cs="Arial"/>
          <w:i/>
          <w:sz w:val="20"/>
          <w:szCs w:val="20"/>
        </w:rPr>
        <w:t xml:space="preserve"> </w:t>
      </w:r>
      <w:r w:rsidRPr="000D0C49">
        <w:rPr>
          <w:rFonts w:ascii="Arial" w:eastAsiaTheme="minorEastAsia" w:hAnsi="Arial" w:cs="Arial"/>
          <w:i/>
          <w:sz w:val="20"/>
          <w:szCs w:val="20"/>
        </w:rPr>
        <w:tab/>
      </w:r>
      <w:proofErr w:type="spellStart"/>
      <w:r w:rsidRPr="000D0C49">
        <w:rPr>
          <w:rFonts w:ascii="Arial" w:eastAsiaTheme="minorEastAsia" w:hAnsi="Arial" w:cs="Arial"/>
          <w:sz w:val="20"/>
          <w:szCs w:val="20"/>
        </w:rPr>
        <w:t>e.q</w:t>
      </w:r>
      <w:proofErr w:type="spellEnd"/>
      <w:r w:rsidRPr="000D0C49">
        <w:rPr>
          <w:rFonts w:ascii="Arial" w:eastAsiaTheme="minorEastAsia" w:hAnsi="Arial" w:cs="Arial"/>
          <w:sz w:val="20"/>
          <w:szCs w:val="20"/>
        </w:rPr>
        <w:t xml:space="preserve"> 2</w:t>
      </w:r>
    </w:p>
    <w:p w14:paraId="44DF37E6" w14:textId="77777777" w:rsidR="00D15EAE" w:rsidRPr="000D0C49" w:rsidRDefault="00A4043F" w:rsidP="00F11B03">
      <w:pPr>
        <w:ind w:right="92"/>
        <w:jc w:val="both"/>
        <w:rPr>
          <w:rFonts w:ascii="Arial" w:hAnsi="Arial" w:cs="Arial"/>
          <w:b/>
          <w:sz w:val="20"/>
          <w:szCs w:val="20"/>
          <w:u w:val="single"/>
        </w:rPr>
      </w:pPr>
      <w:r w:rsidRPr="000D0C49">
        <w:rPr>
          <w:rFonts w:ascii="Arial" w:hAnsi="Arial" w:cs="Arial"/>
          <w:b/>
          <w:sz w:val="20"/>
          <w:szCs w:val="20"/>
          <w:u w:val="single"/>
        </w:rPr>
        <w:t>2.4.3</w:t>
      </w:r>
      <w:r w:rsidRPr="000D0C49">
        <w:rPr>
          <w:rFonts w:ascii="Arial" w:hAnsi="Arial" w:cs="Arial"/>
          <w:b/>
          <w:i/>
          <w:sz w:val="20"/>
          <w:szCs w:val="20"/>
          <w:u w:val="single"/>
        </w:rPr>
        <w:t xml:space="preserve"> </w:t>
      </w:r>
      <w:r w:rsidR="00D15EAE" w:rsidRPr="000D0C49">
        <w:rPr>
          <w:rFonts w:ascii="Arial" w:hAnsi="Arial" w:cs="Arial"/>
          <w:b/>
          <w:i/>
          <w:sz w:val="20"/>
          <w:szCs w:val="20"/>
          <w:u w:val="single"/>
        </w:rPr>
        <w:t>In Vitro</w:t>
      </w:r>
      <w:r w:rsidRPr="000D0C49">
        <w:rPr>
          <w:rFonts w:ascii="Arial" w:hAnsi="Arial" w:cs="Arial"/>
          <w:b/>
          <w:sz w:val="20"/>
          <w:szCs w:val="20"/>
          <w:u w:val="single"/>
        </w:rPr>
        <w:t xml:space="preserve"> Evaluation of Floating Ability</w:t>
      </w:r>
    </w:p>
    <w:p w14:paraId="42703B9C" w14:textId="77777777" w:rsidR="00C64C13" w:rsidRPr="00131D42" w:rsidRDefault="003F61F2" w:rsidP="00FE1EFD">
      <w:pPr>
        <w:ind w:right="-24"/>
        <w:jc w:val="both"/>
        <w:rPr>
          <w:rFonts w:ascii="Arial" w:hAnsi="Arial" w:cs="Arial"/>
          <w:b/>
          <w:sz w:val="20"/>
          <w:szCs w:val="20"/>
          <w:u w:val="single"/>
        </w:rPr>
      </w:pPr>
      <w:r>
        <w:rPr>
          <w:rFonts w:ascii="Arial" w:hAnsi="Arial" w:cs="Arial"/>
          <w:sz w:val="20"/>
          <w:szCs w:val="20"/>
        </w:rPr>
        <w:t>U</w:t>
      </w:r>
      <w:r w:rsidRPr="00131D42">
        <w:rPr>
          <w:rFonts w:ascii="Arial" w:hAnsi="Arial" w:cs="Arial"/>
          <w:sz w:val="20"/>
          <w:szCs w:val="20"/>
        </w:rPr>
        <w:t xml:space="preserve">sing a USP 24 Type II dissolution apparatus </w:t>
      </w:r>
      <w:r>
        <w:rPr>
          <w:rFonts w:ascii="Arial" w:hAnsi="Arial" w:cs="Arial"/>
          <w:sz w:val="20"/>
          <w:szCs w:val="20"/>
        </w:rPr>
        <w:t>s</w:t>
      </w:r>
      <w:r w:rsidR="00E071A0" w:rsidRPr="00131D42">
        <w:rPr>
          <w:rFonts w:ascii="Arial" w:hAnsi="Arial" w:cs="Arial"/>
          <w:sz w:val="20"/>
          <w:szCs w:val="20"/>
        </w:rPr>
        <w:t xml:space="preserve">imulated gastric fluid (pH 1.2) was maintained at 37 ± 0.2°C and subjected to agitation at 50 and 100 rpm. The buoyancy of the granules was monitored over a 6-hour period, with the percentage of granules remaining afloat being recorded. Additionally, the floating time was evaluated through direct visual observation. </w:t>
      </w:r>
      <w:r w:rsidR="00C64C13" w:rsidRPr="00131D42">
        <w:rPr>
          <w:rFonts w:ascii="Arial" w:hAnsi="Arial" w:cs="Arial"/>
          <w:sz w:val="20"/>
          <w:szCs w:val="20"/>
        </w:rPr>
        <w:t>[17].</w:t>
      </w:r>
    </w:p>
    <w:p w14:paraId="66ABAD55" w14:textId="77777777" w:rsidR="0065656E" w:rsidRPr="000D0C49" w:rsidRDefault="00A4043F" w:rsidP="00F11B03">
      <w:pPr>
        <w:ind w:right="92"/>
        <w:jc w:val="both"/>
        <w:rPr>
          <w:rFonts w:ascii="Arial" w:hAnsi="Arial" w:cs="Arial"/>
          <w:b/>
          <w:sz w:val="20"/>
          <w:szCs w:val="20"/>
          <w:u w:val="single"/>
        </w:rPr>
      </w:pPr>
      <w:r w:rsidRPr="000D0C49">
        <w:rPr>
          <w:rFonts w:ascii="Arial" w:hAnsi="Arial" w:cs="Arial"/>
          <w:b/>
          <w:i/>
          <w:sz w:val="20"/>
          <w:szCs w:val="20"/>
          <w:u w:val="single"/>
        </w:rPr>
        <w:t xml:space="preserve">2.4.4 </w:t>
      </w:r>
      <w:r w:rsidR="0065656E" w:rsidRPr="000D0C49">
        <w:rPr>
          <w:rFonts w:ascii="Arial" w:hAnsi="Arial" w:cs="Arial"/>
          <w:b/>
          <w:i/>
          <w:sz w:val="20"/>
          <w:szCs w:val="20"/>
          <w:u w:val="single"/>
        </w:rPr>
        <w:t>In</w:t>
      </w:r>
      <w:r w:rsidR="0065656E" w:rsidRPr="000D0C49">
        <w:rPr>
          <w:rFonts w:ascii="Arial" w:hAnsi="Arial" w:cs="Arial"/>
          <w:b/>
          <w:i/>
          <w:spacing w:val="-2"/>
          <w:sz w:val="20"/>
          <w:szCs w:val="20"/>
          <w:u w:val="single"/>
        </w:rPr>
        <w:t xml:space="preserve"> </w:t>
      </w:r>
      <w:r w:rsidR="0065656E" w:rsidRPr="000D0C49">
        <w:rPr>
          <w:rFonts w:ascii="Arial" w:hAnsi="Arial" w:cs="Arial"/>
          <w:b/>
          <w:i/>
          <w:sz w:val="20"/>
          <w:szCs w:val="20"/>
          <w:u w:val="single"/>
        </w:rPr>
        <w:t>vitro</w:t>
      </w:r>
      <w:r w:rsidR="0065656E" w:rsidRPr="000D0C49">
        <w:rPr>
          <w:rFonts w:ascii="Arial" w:hAnsi="Arial" w:cs="Arial"/>
          <w:b/>
          <w:i/>
          <w:spacing w:val="-1"/>
          <w:sz w:val="20"/>
          <w:szCs w:val="20"/>
          <w:u w:val="single"/>
        </w:rPr>
        <w:t xml:space="preserve"> </w:t>
      </w:r>
      <w:r w:rsidR="0065656E" w:rsidRPr="000D0C49">
        <w:rPr>
          <w:rFonts w:ascii="Arial" w:hAnsi="Arial" w:cs="Arial"/>
          <w:b/>
          <w:sz w:val="20"/>
          <w:szCs w:val="20"/>
          <w:u w:val="single"/>
        </w:rPr>
        <w:t>drug</w:t>
      </w:r>
      <w:r w:rsidR="0065656E" w:rsidRPr="000D0C49">
        <w:rPr>
          <w:rFonts w:ascii="Arial" w:hAnsi="Arial" w:cs="Arial"/>
          <w:b/>
          <w:spacing w:val="-2"/>
          <w:sz w:val="20"/>
          <w:szCs w:val="20"/>
          <w:u w:val="single"/>
        </w:rPr>
        <w:t xml:space="preserve"> </w:t>
      </w:r>
      <w:r w:rsidR="0065656E" w:rsidRPr="000D0C49">
        <w:rPr>
          <w:rFonts w:ascii="Arial" w:hAnsi="Arial" w:cs="Arial"/>
          <w:b/>
          <w:sz w:val="20"/>
          <w:szCs w:val="20"/>
          <w:u w:val="single"/>
        </w:rPr>
        <w:t>release</w:t>
      </w:r>
      <w:r w:rsidR="0065656E" w:rsidRPr="000D0C49">
        <w:rPr>
          <w:rFonts w:ascii="Arial" w:hAnsi="Arial" w:cs="Arial"/>
          <w:b/>
          <w:spacing w:val="-3"/>
          <w:sz w:val="20"/>
          <w:szCs w:val="20"/>
          <w:u w:val="single"/>
        </w:rPr>
        <w:t xml:space="preserve"> </w:t>
      </w:r>
      <w:r w:rsidR="0065656E" w:rsidRPr="000D0C49">
        <w:rPr>
          <w:rFonts w:ascii="Arial" w:hAnsi="Arial" w:cs="Arial"/>
          <w:b/>
          <w:sz w:val="20"/>
          <w:szCs w:val="20"/>
          <w:u w:val="single"/>
        </w:rPr>
        <w:t>pattern Loratadine</w:t>
      </w:r>
      <w:r w:rsidR="0065656E" w:rsidRPr="000D0C49">
        <w:rPr>
          <w:rFonts w:ascii="Arial" w:hAnsi="Arial" w:cs="Arial"/>
          <w:b/>
          <w:spacing w:val="-2"/>
          <w:sz w:val="20"/>
          <w:szCs w:val="20"/>
          <w:u w:val="single"/>
        </w:rPr>
        <w:t xml:space="preserve"> LBDDS</w:t>
      </w:r>
      <w:r w:rsidR="00CF142B" w:rsidRPr="000D0C49">
        <w:rPr>
          <w:rFonts w:ascii="Arial" w:hAnsi="Arial" w:cs="Arial"/>
          <w:b/>
          <w:spacing w:val="-2"/>
          <w:sz w:val="20"/>
          <w:szCs w:val="20"/>
          <w:u w:val="single"/>
        </w:rPr>
        <w:t xml:space="preserve"> </w:t>
      </w:r>
    </w:p>
    <w:p w14:paraId="632571AA" w14:textId="77777777" w:rsidR="0065656E" w:rsidRPr="000D0C49" w:rsidRDefault="00C64C13" w:rsidP="00FE1EFD">
      <w:pPr>
        <w:ind w:right="-24"/>
        <w:jc w:val="both"/>
        <w:rPr>
          <w:rFonts w:ascii="Arial" w:hAnsi="Arial" w:cs="Arial"/>
          <w:sz w:val="20"/>
          <w:szCs w:val="20"/>
        </w:rPr>
      </w:pPr>
      <w:r w:rsidRPr="000D0C49">
        <w:rPr>
          <w:rFonts w:ascii="Arial" w:hAnsi="Arial" w:cs="Arial"/>
          <w:sz w:val="20"/>
          <w:szCs w:val="20"/>
        </w:rPr>
        <w:t xml:space="preserve">The in vitro drug release of Loratadine floating systems was evaluated using a USP Type I (basket) dissolution apparatus </w:t>
      </w:r>
      <w:r w:rsidR="007857DD">
        <w:rPr>
          <w:rFonts w:ascii="Arial" w:hAnsi="Arial" w:cs="Arial"/>
          <w:sz w:val="20"/>
          <w:szCs w:val="20"/>
        </w:rPr>
        <w:t>using dissolution medium</w:t>
      </w:r>
      <w:r w:rsidRPr="000D0C49">
        <w:rPr>
          <w:rFonts w:ascii="Arial" w:hAnsi="Arial" w:cs="Arial"/>
          <w:sz w:val="20"/>
          <w:szCs w:val="20"/>
        </w:rPr>
        <w:t xml:space="preserve"> of 900 mL of 0.1N hydrochloric acid, </w:t>
      </w:r>
      <w:r w:rsidR="007857DD">
        <w:rPr>
          <w:rFonts w:ascii="Arial" w:hAnsi="Arial" w:cs="Arial"/>
          <w:sz w:val="20"/>
          <w:szCs w:val="20"/>
        </w:rPr>
        <w:t>temperature</w:t>
      </w:r>
      <w:r w:rsidRPr="000D0C49">
        <w:rPr>
          <w:rFonts w:ascii="Arial" w:hAnsi="Arial" w:cs="Arial"/>
          <w:sz w:val="20"/>
          <w:szCs w:val="20"/>
        </w:rPr>
        <w:t xml:space="preserve"> 37 ± 0.5°C with 100 rpm. </w:t>
      </w:r>
      <w:r w:rsidR="000F7B8B">
        <w:rPr>
          <w:rFonts w:ascii="Arial" w:hAnsi="Arial" w:cs="Arial"/>
          <w:sz w:val="20"/>
          <w:szCs w:val="20"/>
        </w:rPr>
        <w:t xml:space="preserve">At 60-minute intervals, </w:t>
      </w:r>
      <w:r w:rsidR="000F7B8B" w:rsidRPr="000D0C49">
        <w:rPr>
          <w:rFonts w:ascii="Arial" w:hAnsi="Arial" w:cs="Arial"/>
          <w:sz w:val="20"/>
          <w:szCs w:val="20"/>
        </w:rPr>
        <w:t xml:space="preserve">5 mL </w:t>
      </w:r>
      <w:r w:rsidR="000F7B8B">
        <w:rPr>
          <w:rFonts w:ascii="Arial" w:hAnsi="Arial" w:cs="Arial"/>
          <w:sz w:val="20"/>
          <w:szCs w:val="20"/>
        </w:rPr>
        <w:t>sample was</w:t>
      </w:r>
      <w:r w:rsidR="000F7B8B" w:rsidRPr="000D0C49">
        <w:rPr>
          <w:rFonts w:ascii="Arial" w:hAnsi="Arial" w:cs="Arial"/>
          <w:sz w:val="20"/>
          <w:szCs w:val="20"/>
        </w:rPr>
        <w:t xml:space="preserve"> withdrawn and immediately replaced with an equal volume of fresh dissolution med</w:t>
      </w:r>
      <w:r w:rsidR="00766CDA">
        <w:rPr>
          <w:rFonts w:ascii="Arial" w:hAnsi="Arial" w:cs="Arial"/>
          <w:sz w:val="20"/>
          <w:szCs w:val="20"/>
        </w:rPr>
        <w:t>ium to maintain sink condition. T</w:t>
      </w:r>
      <w:r w:rsidR="000F7B8B">
        <w:rPr>
          <w:rFonts w:ascii="Arial" w:hAnsi="Arial" w:cs="Arial"/>
          <w:sz w:val="20"/>
          <w:szCs w:val="20"/>
        </w:rPr>
        <w:t xml:space="preserve">his was done for </w:t>
      </w:r>
      <w:r w:rsidRPr="000D0C49">
        <w:rPr>
          <w:rFonts w:ascii="Arial" w:hAnsi="Arial" w:cs="Arial"/>
          <w:sz w:val="20"/>
          <w:szCs w:val="20"/>
        </w:rPr>
        <w:t xml:space="preserve">period </w:t>
      </w:r>
      <w:r w:rsidR="000F7B8B">
        <w:rPr>
          <w:rFonts w:ascii="Arial" w:hAnsi="Arial" w:cs="Arial"/>
          <w:sz w:val="20"/>
          <w:szCs w:val="20"/>
        </w:rPr>
        <w:t xml:space="preserve">of 6 hours. </w:t>
      </w:r>
      <w:r w:rsidR="00766CDA">
        <w:rPr>
          <w:rFonts w:ascii="Arial" w:hAnsi="Arial" w:cs="Arial"/>
          <w:sz w:val="20"/>
          <w:szCs w:val="20"/>
        </w:rPr>
        <w:t>Later</w:t>
      </w:r>
      <w:r w:rsidRPr="000D0C49">
        <w:rPr>
          <w:rFonts w:ascii="Arial" w:hAnsi="Arial" w:cs="Arial"/>
          <w:sz w:val="20"/>
          <w:szCs w:val="20"/>
        </w:rPr>
        <w:t xml:space="preserve"> </w:t>
      </w:r>
      <w:r w:rsidRPr="000D0C49">
        <w:rPr>
          <w:rFonts w:ascii="Arial" w:hAnsi="Arial" w:cs="Arial"/>
          <w:sz w:val="20"/>
          <w:szCs w:val="20"/>
        </w:rPr>
        <w:lastRenderedPageBreak/>
        <w:t xml:space="preserve">samples were </w:t>
      </w:r>
      <w:proofErr w:type="spellStart"/>
      <w:r w:rsidRPr="000D0C49">
        <w:rPr>
          <w:rFonts w:ascii="Arial" w:hAnsi="Arial" w:cs="Arial"/>
          <w:sz w:val="20"/>
          <w:szCs w:val="20"/>
        </w:rPr>
        <w:t>analyzed</w:t>
      </w:r>
      <w:proofErr w:type="spellEnd"/>
      <w:r w:rsidRPr="000D0C49">
        <w:rPr>
          <w:rFonts w:ascii="Arial" w:hAnsi="Arial" w:cs="Arial"/>
          <w:sz w:val="20"/>
          <w:szCs w:val="20"/>
        </w:rPr>
        <w:t xml:space="preserve"> at 275 nm using a UV spectrophotometer, with pH </w:t>
      </w:r>
      <w:r w:rsidR="00CE3CDB" w:rsidRPr="000D0C49">
        <w:rPr>
          <w:rFonts w:ascii="Arial" w:hAnsi="Arial" w:cs="Arial"/>
          <w:sz w:val="20"/>
          <w:szCs w:val="20"/>
        </w:rPr>
        <w:t xml:space="preserve">1.2 buffer serving as the blank </w:t>
      </w:r>
      <w:r w:rsidR="009437E5" w:rsidRPr="000D0C49">
        <w:rPr>
          <w:rFonts w:ascii="Arial" w:hAnsi="Arial" w:cs="Arial"/>
          <w:spacing w:val="-2"/>
          <w:sz w:val="20"/>
          <w:szCs w:val="20"/>
        </w:rPr>
        <w:t>[18]</w:t>
      </w:r>
      <w:r w:rsidR="00CE3CDB" w:rsidRPr="000D0C49">
        <w:rPr>
          <w:rFonts w:ascii="Arial" w:hAnsi="Arial" w:cs="Arial"/>
          <w:spacing w:val="-2"/>
          <w:sz w:val="20"/>
          <w:szCs w:val="20"/>
        </w:rPr>
        <w:t>.</w:t>
      </w:r>
    </w:p>
    <w:p w14:paraId="2E867428" w14:textId="77777777" w:rsidR="00650B8A" w:rsidRPr="000D0C49" w:rsidRDefault="00A4043F" w:rsidP="00F11B03">
      <w:pPr>
        <w:jc w:val="both"/>
        <w:rPr>
          <w:rFonts w:ascii="Arial" w:hAnsi="Arial" w:cs="Arial"/>
          <w:b/>
          <w:sz w:val="20"/>
          <w:szCs w:val="20"/>
          <w:u w:val="single"/>
        </w:rPr>
      </w:pPr>
      <w:r w:rsidRPr="000D0C49">
        <w:rPr>
          <w:rFonts w:ascii="Arial" w:hAnsi="Arial" w:cs="Arial"/>
          <w:b/>
          <w:sz w:val="20"/>
          <w:szCs w:val="20"/>
          <w:u w:val="single"/>
        </w:rPr>
        <w:t xml:space="preserve">2.4.5 </w:t>
      </w:r>
      <w:r w:rsidR="00650B8A" w:rsidRPr="000D0C49">
        <w:rPr>
          <w:rFonts w:ascii="Arial" w:hAnsi="Arial" w:cs="Arial"/>
          <w:b/>
          <w:sz w:val="20"/>
          <w:szCs w:val="20"/>
          <w:u w:val="single"/>
        </w:rPr>
        <w:t xml:space="preserve">Fourier </w:t>
      </w:r>
      <w:r w:rsidRPr="000D0C49">
        <w:rPr>
          <w:rFonts w:ascii="Arial" w:hAnsi="Arial" w:cs="Arial"/>
          <w:b/>
          <w:sz w:val="20"/>
          <w:szCs w:val="20"/>
          <w:u w:val="single"/>
        </w:rPr>
        <w:t>transform infrared spectroscopy</w:t>
      </w:r>
      <w:r w:rsidR="00650B8A" w:rsidRPr="000D0C49">
        <w:rPr>
          <w:rFonts w:ascii="Arial" w:hAnsi="Arial" w:cs="Arial"/>
          <w:b/>
          <w:sz w:val="20"/>
          <w:szCs w:val="20"/>
          <w:u w:val="single"/>
        </w:rPr>
        <w:t xml:space="preserve"> </w:t>
      </w:r>
    </w:p>
    <w:p w14:paraId="7722DD7F" w14:textId="77777777" w:rsidR="00650B8A" w:rsidRPr="000D0C49" w:rsidRDefault="00650B8A" w:rsidP="00FE1EFD">
      <w:pPr>
        <w:pStyle w:val="BodyText"/>
        <w:spacing w:before="130" w:after="160"/>
        <w:ind w:right="-24"/>
        <w:jc w:val="both"/>
        <w:rPr>
          <w:rFonts w:ascii="Arial" w:hAnsi="Arial" w:cs="Arial"/>
          <w:sz w:val="20"/>
          <w:szCs w:val="20"/>
        </w:rPr>
      </w:pPr>
      <w:r w:rsidRPr="000D0C49">
        <w:rPr>
          <w:rFonts w:ascii="Arial" w:hAnsi="Arial" w:cs="Arial"/>
          <w:sz w:val="20"/>
          <w:szCs w:val="20"/>
        </w:rPr>
        <w:t>The Jasco 460 plus-FTIR spectrophotometer was used to determine the drug excipient interactions.  A small amount of sample is mixed with the KBr and triturated. This prepared mixture subjected to the spectra in the range 4000-400cm1 were determined using dried KBr as a blank. Spectral peaks were identified and recorded</w:t>
      </w:r>
      <w:r w:rsidR="009437E5" w:rsidRPr="000D0C49">
        <w:rPr>
          <w:rFonts w:ascii="Arial" w:hAnsi="Arial" w:cs="Arial"/>
          <w:sz w:val="20"/>
          <w:szCs w:val="20"/>
        </w:rPr>
        <w:t xml:space="preserve"> [19]</w:t>
      </w:r>
      <w:r w:rsidR="00CE3CDB" w:rsidRPr="000D0C49">
        <w:rPr>
          <w:rFonts w:ascii="Arial" w:hAnsi="Arial" w:cs="Arial"/>
          <w:sz w:val="20"/>
          <w:szCs w:val="20"/>
        </w:rPr>
        <w:t>.</w:t>
      </w:r>
    </w:p>
    <w:p w14:paraId="0F984F78" w14:textId="77777777" w:rsidR="003A0CC7" w:rsidRDefault="00A4043F" w:rsidP="003A0CC7">
      <w:pPr>
        <w:spacing w:before="10"/>
        <w:ind w:right="92"/>
        <w:jc w:val="both"/>
        <w:rPr>
          <w:rFonts w:ascii="Arial" w:hAnsi="Arial" w:cs="Arial"/>
          <w:b/>
          <w:spacing w:val="-2"/>
          <w:sz w:val="20"/>
          <w:szCs w:val="20"/>
          <w:u w:val="single"/>
        </w:rPr>
      </w:pPr>
      <w:r w:rsidRPr="000D0C49">
        <w:rPr>
          <w:rFonts w:ascii="Arial" w:hAnsi="Arial" w:cs="Arial"/>
          <w:b/>
          <w:sz w:val="20"/>
          <w:szCs w:val="20"/>
          <w:u w:val="single"/>
        </w:rPr>
        <w:t xml:space="preserve">2.4.6 </w:t>
      </w:r>
      <w:r w:rsidR="00650B8A" w:rsidRPr="000D0C49">
        <w:rPr>
          <w:rFonts w:ascii="Arial" w:hAnsi="Arial" w:cs="Arial"/>
          <w:b/>
          <w:sz w:val="20"/>
          <w:szCs w:val="20"/>
          <w:u w:val="single"/>
        </w:rPr>
        <w:t>Differential</w:t>
      </w:r>
      <w:r w:rsidR="00650B8A" w:rsidRPr="000D0C49">
        <w:rPr>
          <w:rFonts w:ascii="Arial" w:hAnsi="Arial" w:cs="Arial"/>
          <w:b/>
          <w:spacing w:val="-3"/>
          <w:sz w:val="20"/>
          <w:szCs w:val="20"/>
          <w:u w:val="single"/>
        </w:rPr>
        <w:t xml:space="preserve"> </w:t>
      </w:r>
      <w:r w:rsidR="00650B8A" w:rsidRPr="000D0C49">
        <w:rPr>
          <w:rFonts w:ascii="Arial" w:hAnsi="Arial" w:cs="Arial"/>
          <w:b/>
          <w:sz w:val="20"/>
          <w:szCs w:val="20"/>
          <w:u w:val="single"/>
        </w:rPr>
        <w:t>scanning</w:t>
      </w:r>
      <w:r w:rsidR="00650B8A" w:rsidRPr="000D0C49">
        <w:rPr>
          <w:rFonts w:ascii="Arial" w:hAnsi="Arial" w:cs="Arial"/>
          <w:b/>
          <w:spacing w:val="-2"/>
          <w:sz w:val="20"/>
          <w:szCs w:val="20"/>
          <w:u w:val="single"/>
        </w:rPr>
        <w:t xml:space="preserve"> </w:t>
      </w:r>
      <w:r w:rsidR="00650B8A" w:rsidRPr="000D0C49">
        <w:rPr>
          <w:rFonts w:ascii="Arial" w:hAnsi="Arial" w:cs="Arial"/>
          <w:b/>
          <w:sz w:val="20"/>
          <w:szCs w:val="20"/>
          <w:u w:val="single"/>
        </w:rPr>
        <w:t>calorimetry</w:t>
      </w:r>
      <w:r w:rsidR="00C82CFB" w:rsidRPr="000D0C49">
        <w:rPr>
          <w:rFonts w:ascii="Arial" w:hAnsi="Arial" w:cs="Arial"/>
          <w:b/>
          <w:spacing w:val="-2"/>
          <w:sz w:val="20"/>
          <w:szCs w:val="20"/>
          <w:u w:val="single"/>
        </w:rPr>
        <w:t xml:space="preserve"> </w:t>
      </w:r>
    </w:p>
    <w:p w14:paraId="612D6BA9" w14:textId="77777777" w:rsidR="00A4043F" w:rsidRPr="003A0CC7" w:rsidRDefault="003A0CC7" w:rsidP="003A0CC7">
      <w:pPr>
        <w:spacing w:before="10"/>
        <w:ind w:right="92"/>
        <w:jc w:val="both"/>
        <w:rPr>
          <w:rFonts w:ascii="Arial" w:hAnsi="Arial" w:cs="Arial"/>
          <w:b/>
          <w:sz w:val="20"/>
          <w:szCs w:val="20"/>
          <w:u w:val="single"/>
        </w:rPr>
      </w:pPr>
      <w:r>
        <w:rPr>
          <w:rFonts w:ascii="Arial" w:hAnsi="Arial" w:cs="Arial"/>
          <w:sz w:val="20"/>
          <w:szCs w:val="20"/>
        </w:rPr>
        <w:t>DSC</w:t>
      </w:r>
      <w:r w:rsidR="00670775" w:rsidRPr="000D0C49">
        <w:rPr>
          <w:rFonts w:ascii="Arial" w:hAnsi="Arial" w:cs="Arial"/>
          <w:sz w:val="20"/>
          <w:szCs w:val="20"/>
        </w:rPr>
        <w:t xml:space="preserve"> was performed by weighing approximately 2–5 mg of each sample, which was placed in an open </w:t>
      </w:r>
      <w:proofErr w:type="spellStart"/>
      <w:r w:rsidR="00670775" w:rsidRPr="000D0C49">
        <w:rPr>
          <w:rFonts w:ascii="Arial" w:hAnsi="Arial" w:cs="Arial"/>
          <w:sz w:val="20"/>
          <w:szCs w:val="20"/>
        </w:rPr>
        <w:t>aluminum</w:t>
      </w:r>
      <w:proofErr w:type="spellEnd"/>
      <w:r w:rsidR="00670775" w:rsidRPr="000D0C49">
        <w:rPr>
          <w:rFonts w:ascii="Arial" w:hAnsi="Arial" w:cs="Arial"/>
          <w:sz w:val="20"/>
          <w:szCs w:val="20"/>
        </w:rPr>
        <w:t xml:space="preserve"> pan and heated over a temperature range of 0 to 350°C. The heating was conducted at a scanning rate of 10°C per min</w:t>
      </w:r>
      <w:r w:rsidR="00D662C0" w:rsidRPr="000D0C49">
        <w:rPr>
          <w:rFonts w:ascii="Arial" w:hAnsi="Arial" w:cs="Arial"/>
          <w:sz w:val="20"/>
          <w:szCs w:val="20"/>
        </w:rPr>
        <w:t>ute under a nitrogen atmosphere</w:t>
      </w:r>
      <w:r w:rsidR="009437E5" w:rsidRPr="000D0C49">
        <w:rPr>
          <w:rFonts w:ascii="Arial" w:hAnsi="Arial" w:cs="Arial"/>
          <w:sz w:val="20"/>
          <w:szCs w:val="20"/>
        </w:rPr>
        <w:t xml:space="preserve"> </w:t>
      </w:r>
      <w:r w:rsidR="009437E5" w:rsidRPr="000D0C49">
        <w:rPr>
          <w:rFonts w:ascii="Arial" w:hAnsi="Arial" w:cs="Arial"/>
          <w:spacing w:val="-2"/>
          <w:sz w:val="20"/>
          <w:szCs w:val="20"/>
        </w:rPr>
        <w:t>[20,21].</w:t>
      </w:r>
    </w:p>
    <w:p w14:paraId="26880DA9" w14:textId="77777777" w:rsidR="00937BC4" w:rsidRPr="000D0C49" w:rsidRDefault="00A4043F" w:rsidP="00F11B03">
      <w:pPr>
        <w:jc w:val="both"/>
        <w:rPr>
          <w:rFonts w:ascii="Arial" w:hAnsi="Arial" w:cs="Arial"/>
          <w:b/>
          <w:sz w:val="20"/>
          <w:szCs w:val="20"/>
          <w:u w:val="single"/>
        </w:rPr>
      </w:pPr>
      <w:r w:rsidRPr="000D0C49">
        <w:rPr>
          <w:rFonts w:ascii="Arial" w:hAnsi="Arial" w:cs="Arial"/>
          <w:b/>
          <w:sz w:val="20"/>
          <w:szCs w:val="20"/>
          <w:u w:val="single"/>
        </w:rPr>
        <w:t xml:space="preserve">2.4.7 </w:t>
      </w:r>
      <w:r w:rsidR="00937BC4" w:rsidRPr="000D0C49">
        <w:rPr>
          <w:rFonts w:ascii="Arial" w:hAnsi="Arial" w:cs="Arial"/>
          <w:b/>
          <w:sz w:val="20"/>
          <w:szCs w:val="20"/>
          <w:u w:val="single"/>
        </w:rPr>
        <w:t>X-ray diffraction (XRD)</w:t>
      </w:r>
      <w:r w:rsidR="00C82CFB" w:rsidRPr="000D0C49">
        <w:rPr>
          <w:rFonts w:ascii="Arial" w:hAnsi="Arial" w:cs="Arial"/>
          <w:b/>
          <w:sz w:val="20"/>
          <w:szCs w:val="20"/>
          <w:u w:val="single"/>
        </w:rPr>
        <w:t xml:space="preserve"> </w:t>
      </w:r>
    </w:p>
    <w:p w14:paraId="4C80C903" w14:textId="77777777" w:rsidR="008B24CA" w:rsidRPr="000D0C49" w:rsidRDefault="00937BC4" w:rsidP="00883285">
      <w:pPr>
        <w:pStyle w:val="BodyText"/>
        <w:tabs>
          <w:tab w:val="right" w:pos="9639"/>
        </w:tabs>
        <w:spacing w:before="130" w:after="160"/>
        <w:ind w:right="92"/>
        <w:jc w:val="both"/>
        <w:rPr>
          <w:rFonts w:ascii="Arial" w:hAnsi="Arial" w:cs="Arial"/>
          <w:sz w:val="20"/>
          <w:szCs w:val="20"/>
        </w:rPr>
      </w:pPr>
      <w:r w:rsidRPr="000D0C49">
        <w:rPr>
          <w:rFonts w:ascii="Arial" w:hAnsi="Arial" w:cs="Arial"/>
          <w:sz w:val="20"/>
          <w:szCs w:val="20"/>
        </w:rPr>
        <w:t>X-ray diffractograms</w:t>
      </w:r>
      <w:r w:rsidR="00DF3278">
        <w:rPr>
          <w:rFonts w:ascii="Arial" w:hAnsi="Arial" w:cs="Arial"/>
          <w:sz w:val="20"/>
          <w:szCs w:val="20"/>
        </w:rPr>
        <w:t xml:space="preserve"> of </w:t>
      </w:r>
      <w:r w:rsidR="00DF3278" w:rsidRPr="000D0C49">
        <w:rPr>
          <w:rFonts w:ascii="Arial" w:hAnsi="Arial" w:cs="Arial"/>
          <w:sz w:val="20"/>
          <w:szCs w:val="20"/>
        </w:rPr>
        <w:t>DOX and FM5</w:t>
      </w:r>
      <w:r w:rsidRPr="000D0C49">
        <w:rPr>
          <w:rFonts w:ascii="Arial" w:hAnsi="Arial" w:cs="Arial"/>
          <w:sz w:val="20"/>
          <w:szCs w:val="20"/>
        </w:rPr>
        <w:t xml:space="preserve"> </w:t>
      </w:r>
      <w:r w:rsidR="00DF3278">
        <w:rPr>
          <w:rFonts w:ascii="Arial" w:hAnsi="Arial" w:cs="Arial"/>
          <w:sz w:val="20"/>
          <w:szCs w:val="20"/>
        </w:rPr>
        <w:t>was</w:t>
      </w:r>
      <w:r w:rsidRPr="000D0C49">
        <w:rPr>
          <w:rFonts w:ascii="Arial" w:hAnsi="Arial" w:cs="Arial"/>
          <w:sz w:val="20"/>
          <w:szCs w:val="20"/>
        </w:rPr>
        <w:t xml:space="preserve"> recorded at room temperature with a gradation of high-temperature measurement using monochromatic copper K-alpha radiation at 15 mA and 40 kV (Rigaku Mini flex-600 5th generation)</w:t>
      </w:r>
      <w:r w:rsidR="00D662C0" w:rsidRPr="000D0C49">
        <w:rPr>
          <w:rFonts w:ascii="Arial" w:hAnsi="Arial" w:cs="Arial"/>
          <w:sz w:val="20"/>
          <w:szCs w:val="20"/>
        </w:rPr>
        <w:t xml:space="preserve"> </w:t>
      </w:r>
      <w:r w:rsidR="009437E5" w:rsidRPr="000D0C49">
        <w:rPr>
          <w:rFonts w:ascii="Arial" w:hAnsi="Arial" w:cs="Arial"/>
          <w:sz w:val="20"/>
          <w:szCs w:val="20"/>
        </w:rPr>
        <w:t>[22,23]</w:t>
      </w:r>
      <w:r w:rsidR="00D662C0" w:rsidRPr="000D0C49">
        <w:rPr>
          <w:rFonts w:ascii="Arial" w:hAnsi="Arial" w:cs="Arial"/>
          <w:sz w:val="20"/>
          <w:szCs w:val="20"/>
        </w:rPr>
        <w:t>.</w:t>
      </w:r>
    </w:p>
    <w:p w14:paraId="03AC4FE9" w14:textId="77777777" w:rsidR="0042707D" w:rsidRPr="000D0C49" w:rsidRDefault="00A4043F" w:rsidP="00F11B03">
      <w:pPr>
        <w:widowControl w:val="0"/>
        <w:tabs>
          <w:tab w:val="left" w:pos="4941"/>
        </w:tabs>
        <w:autoSpaceDE w:val="0"/>
        <w:autoSpaceDN w:val="0"/>
        <w:spacing w:before="78"/>
        <w:rPr>
          <w:rFonts w:ascii="Arial" w:hAnsi="Arial" w:cs="Arial"/>
          <w:b/>
        </w:rPr>
      </w:pPr>
      <w:r w:rsidRPr="000D0C49">
        <w:rPr>
          <w:rFonts w:ascii="Arial" w:hAnsi="Arial" w:cs="Arial"/>
          <w:b/>
          <w:spacing w:val="-2"/>
        </w:rPr>
        <w:t xml:space="preserve">3. </w:t>
      </w:r>
      <w:r w:rsidR="008B24CA" w:rsidRPr="000D0C49">
        <w:rPr>
          <w:rFonts w:ascii="Arial" w:hAnsi="Arial" w:cs="Arial"/>
          <w:b/>
          <w:spacing w:val="-2"/>
        </w:rPr>
        <w:t xml:space="preserve">RESULTS AND DISCUSSION </w:t>
      </w:r>
    </w:p>
    <w:p w14:paraId="04824CA1" w14:textId="77777777" w:rsidR="00937BC4" w:rsidRPr="000D0C49" w:rsidRDefault="00501FEA" w:rsidP="00F11B03">
      <w:pPr>
        <w:pStyle w:val="BodyText"/>
        <w:tabs>
          <w:tab w:val="right" w:pos="9639"/>
        </w:tabs>
        <w:spacing w:before="130" w:after="160"/>
        <w:ind w:right="92"/>
        <w:jc w:val="both"/>
        <w:rPr>
          <w:rFonts w:ascii="Arial" w:hAnsi="Arial" w:cs="Arial"/>
          <w:b/>
          <w:spacing w:val="-5"/>
          <w:sz w:val="20"/>
          <w:szCs w:val="20"/>
        </w:rPr>
      </w:pPr>
      <w:r w:rsidRPr="000D0C49">
        <w:rPr>
          <w:rFonts w:ascii="Arial" w:hAnsi="Arial" w:cs="Arial"/>
          <w:b/>
          <w:sz w:val="20"/>
          <w:szCs w:val="20"/>
        </w:rPr>
        <w:t>3.1 Characterization</w:t>
      </w:r>
      <w:r w:rsidRPr="000D0C49">
        <w:rPr>
          <w:rFonts w:ascii="Arial" w:hAnsi="Arial" w:cs="Arial"/>
          <w:b/>
          <w:spacing w:val="-2"/>
          <w:sz w:val="20"/>
          <w:szCs w:val="20"/>
        </w:rPr>
        <w:t xml:space="preserve"> </w:t>
      </w:r>
      <w:r w:rsidRPr="000D0C49">
        <w:rPr>
          <w:rFonts w:ascii="Arial" w:hAnsi="Arial" w:cs="Arial"/>
          <w:b/>
          <w:sz w:val="20"/>
          <w:szCs w:val="20"/>
        </w:rPr>
        <w:t>of</w:t>
      </w:r>
      <w:r w:rsidRPr="000D0C49">
        <w:rPr>
          <w:rFonts w:ascii="Arial" w:hAnsi="Arial" w:cs="Arial"/>
          <w:b/>
          <w:spacing w:val="-2"/>
          <w:sz w:val="20"/>
          <w:szCs w:val="20"/>
        </w:rPr>
        <w:t xml:space="preserve"> Floating Lipid Granules</w:t>
      </w:r>
    </w:p>
    <w:p w14:paraId="15C26BB2" w14:textId="77777777" w:rsidR="00883285" w:rsidRPr="0073417E" w:rsidRDefault="00C50A23" w:rsidP="00883285">
      <w:pPr>
        <w:spacing w:before="100" w:beforeAutospacing="1" w:after="100" w:afterAutospacing="1"/>
        <w:jc w:val="both"/>
        <w:rPr>
          <w:rFonts w:ascii="Arial" w:hAnsi="Arial" w:cs="Arial"/>
          <w:sz w:val="20"/>
          <w:szCs w:val="20"/>
        </w:rPr>
      </w:pPr>
      <w:r w:rsidRPr="0073417E">
        <w:rPr>
          <w:rFonts w:ascii="Arial" w:hAnsi="Arial" w:cs="Arial"/>
          <w:sz w:val="20"/>
          <w:szCs w:val="20"/>
        </w:rPr>
        <w:t xml:space="preserve">Improved </w:t>
      </w:r>
      <w:r w:rsidR="00892E1D" w:rsidRPr="0073417E">
        <w:rPr>
          <w:rFonts w:ascii="Arial" w:hAnsi="Arial" w:cs="Arial"/>
          <w:sz w:val="20"/>
          <w:szCs w:val="20"/>
        </w:rPr>
        <w:t xml:space="preserve">% </w:t>
      </w:r>
      <w:r w:rsidRPr="0073417E">
        <w:rPr>
          <w:rFonts w:ascii="Arial" w:hAnsi="Arial" w:cs="Arial"/>
          <w:sz w:val="20"/>
          <w:szCs w:val="20"/>
        </w:rPr>
        <w:t xml:space="preserve">drug yield was notably achieved in formulations utilizing lower amounts of </w:t>
      </w:r>
      <w:proofErr w:type="spellStart"/>
      <w:r w:rsidRPr="0073417E">
        <w:rPr>
          <w:rFonts w:ascii="Arial" w:hAnsi="Arial" w:cs="Arial"/>
          <w:sz w:val="20"/>
          <w:szCs w:val="20"/>
        </w:rPr>
        <w:t>Gelucire</w:t>
      </w:r>
      <w:proofErr w:type="spellEnd"/>
      <w:r w:rsidRPr="0073417E">
        <w:rPr>
          <w:rFonts w:ascii="Arial" w:hAnsi="Arial" w:cs="Arial"/>
          <w:sz w:val="20"/>
          <w:szCs w:val="20"/>
        </w:rPr>
        <w:t xml:space="preserve"> 50/13 and </w:t>
      </w:r>
      <w:proofErr w:type="spellStart"/>
      <w:r w:rsidRPr="0073417E">
        <w:rPr>
          <w:rFonts w:ascii="Arial" w:hAnsi="Arial" w:cs="Arial"/>
          <w:sz w:val="20"/>
          <w:szCs w:val="20"/>
        </w:rPr>
        <w:t>Gelucire</w:t>
      </w:r>
      <w:proofErr w:type="spellEnd"/>
      <w:r w:rsidRPr="0073417E">
        <w:rPr>
          <w:rFonts w:ascii="Arial" w:hAnsi="Arial" w:cs="Arial"/>
          <w:sz w:val="20"/>
          <w:szCs w:val="20"/>
        </w:rPr>
        <w:t xml:space="preserve"> 43/01, possibly due to enhanced homogeneity in drug dispersion within the lipid matrix. The drug content across all nin</w:t>
      </w:r>
      <w:r w:rsidR="00892E1D" w:rsidRPr="0073417E">
        <w:rPr>
          <w:rFonts w:ascii="Arial" w:hAnsi="Arial" w:cs="Arial"/>
          <w:sz w:val="20"/>
          <w:szCs w:val="20"/>
        </w:rPr>
        <w:t>e formulations varied from 71.12% to 90.88</w:t>
      </w:r>
      <w:r w:rsidRPr="0073417E">
        <w:rPr>
          <w:rFonts w:ascii="Arial" w:hAnsi="Arial" w:cs="Arial"/>
          <w:sz w:val="20"/>
          <w:szCs w:val="20"/>
        </w:rPr>
        <w:t xml:space="preserve">%, with formulation F7 displaying the highest content, likely resulting from its increased </w:t>
      </w:r>
      <w:proofErr w:type="spellStart"/>
      <w:r w:rsidRPr="0073417E">
        <w:rPr>
          <w:rFonts w:ascii="Arial" w:hAnsi="Arial" w:cs="Arial"/>
          <w:sz w:val="20"/>
          <w:szCs w:val="20"/>
        </w:rPr>
        <w:t>Gelucire</w:t>
      </w:r>
      <w:proofErr w:type="spellEnd"/>
      <w:r w:rsidRPr="0073417E">
        <w:rPr>
          <w:rFonts w:ascii="Arial" w:hAnsi="Arial" w:cs="Arial"/>
          <w:sz w:val="20"/>
          <w:szCs w:val="20"/>
        </w:rPr>
        <w:t xml:space="preserve"> 43/01 and decreased </w:t>
      </w:r>
      <w:proofErr w:type="spellStart"/>
      <w:r w:rsidRPr="0073417E">
        <w:rPr>
          <w:rFonts w:ascii="Arial" w:hAnsi="Arial" w:cs="Arial"/>
          <w:sz w:val="20"/>
          <w:szCs w:val="20"/>
        </w:rPr>
        <w:t>Gelucire</w:t>
      </w:r>
      <w:proofErr w:type="spellEnd"/>
      <w:r w:rsidRPr="0073417E">
        <w:rPr>
          <w:rFonts w:ascii="Arial" w:hAnsi="Arial" w:cs="Arial"/>
          <w:sz w:val="20"/>
          <w:szCs w:val="20"/>
        </w:rPr>
        <w:t xml:space="preserve"> 50/13 concentrations. </w:t>
      </w:r>
      <w:r w:rsidR="00883285" w:rsidRPr="0073417E">
        <w:rPr>
          <w:rFonts w:ascii="Arial" w:eastAsia="Times New Roman" w:hAnsi="Arial" w:cs="Arial"/>
          <w:sz w:val="20"/>
          <w:szCs w:val="20"/>
          <w:lang w:eastAsia="en-IN"/>
        </w:rPr>
        <w:t xml:space="preserve">Floating time was performed, it ranges from 3 to 6.5 and is observed that the formulation having higher concentration of </w:t>
      </w:r>
      <w:proofErr w:type="spellStart"/>
      <w:r w:rsidR="00883285" w:rsidRPr="0073417E">
        <w:rPr>
          <w:rFonts w:ascii="Arial" w:hAnsi="Arial" w:cs="Arial"/>
          <w:sz w:val="20"/>
          <w:szCs w:val="20"/>
        </w:rPr>
        <w:t>Gelucire</w:t>
      </w:r>
      <w:proofErr w:type="spellEnd"/>
      <w:r w:rsidR="00883285" w:rsidRPr="0073417E">
        <w:rPr>
          <w:rFonts w:ascii="Arial" w:hAnsi="Arial" w:cs="Arial"/>
          <w:sz w:val="20"/>
          <w:szCs w:val="20"/>
        </w:rPr>
        <w:t xml:space="preserve"> 43/01 showed inc</w:t>
      </w:r>
      <w:r w:rsidR="00D662C0" w:rsidRPr="0073417E">
        <w:rPr>
          <w:rFonts w:ascii="Arial" w:hAnsi="Arial" w:cs="Arial"/>
          <w:sz w:val="20"/>
          <w:szCs w:val="20"/>
        </w:rPr>
        <w:t xml:space="preserve">reased floating time </w:t>
      </w:r>
      <w:r w:rsidR="00F206CA" w:rsidRPr="0073417E">
        <w:rPr>
          <w:rFonts w:ascii="Arial" w:hAnsi="Arial" w:cs="Arial"/>
          <w:sz w:val="20"/>
          <w:szCs w:val="20"/>
        </w:rPr>
        <w:t>[24]</w:t>
      </w:r>
    </w:p>
    <w:p w14:paraId="5EAA4FC6" w14:textId="77777777" w:rsidR="00413FBE" w:rsidRPr="000D0C49" w:rsidRDefault="0042707D" w:rsidP="00A4043F">
      <w:pPr>
        <w:pStyle w:val="BodyText"/>
        <w:tabs>
          <w:tab w:val="right" w:pos="9639"/>
        </w:tabs>
        <w:spacing w:before="130" w:after="160"/>
        <w:ind w:right="92"/>
        <w:jc w:val="center"/>
        <w:rPr>
          <w:rFonts w:ascii="Arial" w:hAnsi="Arial" w:cs="Arial"/>
          <w:b/>
          <w:spacing w:val="-5"/>
          <w:sz w:val="20"/>
          <w:szCs w:val="20"/>
        </w:rPr>
      </w:pPr>
      <w:r w:rsidRPr="000D0C49">
        <w:rPr>
          <w:rFonts w:ascii="Arial" w:hAnsi="Arial" w:cs="Arial"/>
          <w:b/>
          <w:spacing w:val="-5"/>
          <w:sz w:val="20"/>
          <w:szCs w:val="20"/>
        </w:rPr>
        <w:t xml:space="preserve">Table 2: </w:t>
      </w:r>
      <w:r w:rsidR="009B3837" w:rsidRPr="000D0C49">
        <w:rPr>
          <w:rFonts w:ascii="Arial" w:hAnsi="Arial" w:cs="Arial"/>
          <w:b/>
          <w:sz w:val="20"/>
          <w:szCs w:val="20"/>
        </w:rPr>
        <w:t>Percentage y</w:t>
      </w:r>
      <w:r w:rsidR="00E3184E" w:rsidRPr="000D0C49">
        <w:rPr>
          <w:rFonts w:ascii="Arial" w:hAnsi="Arial" w:cs="Arial"/>
          <w:b/>
          <w:sz w:val="20"/>
          <w:szCs w:val="20"/>
        </w:rPr>
        <w:t xml:space="preserve">ield, </w:t>
      </w:r>
      <w:r w:rsidR="00413FBE" w:rsidRPr="000D0C49">
        <w:rPr>
          <w:rFonts w:ascii="Arial" w:hAnsi="Arial" w:cs="Arial"/>
          <w:b/>
          <w:sz w:val="20"/>
          <w:szCs w:val="20"/>
        </w:rPr>
        <w:t>Drug</w:t>
      </w:r>
      <w:r w:rsidR="00413FBE" w:rsidRPr="000D0C49">
        <w:rPr>
          <w:rFonts w:ascii="Arial" w:hAnsi="Arial" w:cs="Arial"/>
          <w:b/>
          <w:spacing w:val="-3"/>
          <w:sz w:val="20"/>
          <w:szCs w:val="20"/>
        </w:rPr>
        <w:t xml:space="preserve"> </w:t>
      </w:r>
      <w:r w:rsidR="00413FBE" w:rsidRPr="000D0C49">
        <w:rPr>
          <w:rFonts w:ascii="Arial" w:hAnsi="Arial" w:cs="Arial"/>
          <w:b/>
          <w:sz w:val="20"/>
          <w:szCs w:val="20"/>
        </w:rPr>
        <w:t xml:space="preserve">content </w:t>
      </w:r>
      <w:r w:rsidR="00E3184E" w:rsidRPr="000D0C49">
        <w:rPr>
          <w:rFonts w:ascii="Arial" w:hAnsi="Arial" w:cs="Arial"/>
          <w:b/>
          <w:sz w:val="20"/>
          <w:szCs w:val="20"/>
        </w:rPr>
        <w:t xml:space="preserve">and Floating time </w:t>
      </w:r>
      <w:r w:rsidR="00413FBE" w:rsidRPr="000D0C49">
        <w:rPr>
          <w:rFonts w:ascii="Arial" w:hAnsi="Arial" w:cs="Arial"/>
          <w:b/>
          <w:sz w:val="20"/>
          <w:szCs w:val="20"/>
        </w:rPr>
        <w:t xml:space="preserve">of Loratadine </w:t>
      </w:r>
      <w:proofErr w:type="gramStart"/>
      <w:r w:rsidR="00413FBE" w:rsidRPr="000D0C49">
        <w:rPr>
          <w:rFonts w:ascii="Arial" w:hAnsi="Arial" w:cs="Arial"/>
          <w:b/>
          <w:sz w:val="20"/>
          <w:szCs w:val="20"/>
        </w:rPr>
        <w:t>lipid</w:t>
      </w:r>
      <w:r w:rsidR="00413FBE" w:rsidRPr="000D0C49">
        <w:rPr>
          <w:rFonts w:ascii="Arial" w:hAnsi="Arial" w:cs="Arial"/>
          <w:b/>
          <w:spacing w:val="-3"/>
          <w:sz w:val="20"/>
          <w:szCs w:val="20"/>
        </w:rPr>
        <w:t xml:space="preserve"> </w:t>
      </w:r>
      <w:r w:rsidR="00413FBE" w:rsidRPr="000D0C49">
        <w:rPr>
          <w:rFonts w:ascii="Arial" w:hAnsi="Arial" w:cs="Arial"/>
          <w:b/>
          <w:sz w:val="20"/>
          <w:szCs w:val="20"/>
        </w:rPr>
        <w:t>based</w:t>
      </w:r>
      <w:proofErr w:type="gramEnd"/>
      <w:r w:rsidR="00413FBE" w:rsidRPr="000D0C49">
        <w:rPr>
          <w:rFonts w:ascii="Arial" w:hAnsi="Arial" w:cs="Arial"/>
          <w:b/>
          <w:spacing w:val="-1"/>
          <w:sz w:val="20"/>
          <w:szCs w:val="20"/>
        </w:rPr>
        <w:t xml:space="preserve"> </w:t>
      </w:r>
      <w:r w:rsidR="00413FBE" w:rsidRPr="000D0C49">
        <w:rPr>
          <w:rFonts w:ascii="Arial" w:hAnsi="Arial" w:cs="Arial"/>
          <w:b/>
          <w:spacing w:val="-2"/>
          <w:sz w:val="20"/>
          <w:szCs w:val="20"/>
        </w:rPr>
        <w:t>formulation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8"/>
        <w:gridCol w:w="1704"/>
        <w:gridCol w:w="2472"/>
        <w:gridCol w:w="2472"/>
      </w:tblGrid>
      <w:tr w:rsidR="008E71B0" w:rsidRPr="000D0C49" w14:paraId="5E7CDE90" w14:textId="77777777" w:rsidTr="00A4043F">
        <w:trPr>
          <w:trHeight w:val="409"/>
          <w:jc w:val="center"/>
        </w:trPr>
        <w:tc>
          <w:tcPr>
            <w:tcW w:w="1568" w:type="dxa"/>
            <w:vAlign w:val="center"/>
          </w:tcPr>
          <w:p w14:paraId="46C33D0A" w14:textId="77777777" w:rsidR="008E71B0" w:rsidRPr="000D0C49" w:rsidRDefault="008E71B0" w:rsidP="00A4043F">
            <w:pPr>
              <w:pStyle w:val="TableParagraph"/>
              <w:spacing w:before="1" w:after="160"/>
              <w:ind w:left="3" w:right="134"/>
              <w:jc w:val="center"/>
              <w:rPr>
                <w:rFonts w:ascii="Arial" w:hAnsi="Arial" w:cs="Arial"/>
                <w:b/>
                <w:sz w:val="20"/>
                <w:szCs w:val="20"/>
              </w:rPr>
            </w:pPr>
            <w:r w:rsidRPr="000D0C49">
              <w:rPr>
                <w:rFonts w:ascii="Arial" w:hAnsi="Arial" w:cs="Arial"/>
                <w:b/>
                <w:sz w:val="20"/>
                <w:szCs w:val="20"/>
              </w:rPr>
              <w:t>Formulation</w:t>
            </w:r>
            <w:r w:rsidRPr="000D0C49">
              <w:rPr>
                <w:rFonts w:ascii="Arial" w:hAnsi="Arial" w:cs="Arial"/>
                <w:b/>
                <w:spacing w:val="-4"/>
                <w:sz w:val="20"/>
                <w:szCs w:val="20"/>
              </w:rPr>
              <w:t xml:space="preserve"> code</w:t>
            </w:r>
          </w:p>
        </w:tc>
        <w:tc>
          <w:tcPr>
            <w:tcW w:w="1704" w:type="dxa"/>
            <w:vAlign w:val="center"/>
          </w:tcPr>
          <w:p w14:paraId="4B0987DE" w14:textId="77777777" w:rsidR="008E71B0" w:rsidRPr="000D0C49" w:rsidRDefault="008E71B0" w:rsidP="00A4043F">
            <w:pPr>
              <w:pStyle w:val="TableParagraph"/>
              <w:spacing w:before="1" w:after="160"/>
              <w:ind w:left="3" w:right="130"/>
              <w:jc w:val="center"/>
              <w:rPr>
                <w:rFonts w:ascii="Arial" w:hAnsi="Arial" w:cs="Arial"/>
                <w:b/>
                <w:sz w:val="20"/>
                <w:szCs w:val="20"/>
              </w:rPr>
            </w:pPr>
            <w:r w:rsidRPr="000D0C49">
              <w:rPr>
                <w:rFonts w:ascii="Arial" w:hAnsi="Arial" w:cs="Arial"/>
                <w:b/>
                <w:sz w:val="20"/>
                <w:szCs w:val="20"/>
              </w:rPr>
              <w:t>%</w:t>
            </w:r>
            <w:r w:rsidRPr="000D0C49">
              <w:rPr>
                <w:rFonts w:ascii="Arial" w:hAnsi="Arial" w:cs="Arial"/>
                <w:b/>
                <w:spacing w:val="2"/>
                <w:sz w:val="20"/>
                <w:szCs w:val="20"/>
              </w:rPr>
              <w:t xml:space="preserve"> </w:t>
            </w:r>
            <w:r w:rsidRPr="000D0C49">
              <w:rPr>
                <w:rFonts w:ascii="Arial" w:hAnsi="Arial" w:cs="Arial"/>
                <w:b/>
                <w:spacing w:val="-2"/>
                <w:sz w:val="20"/>
                <w:szCs w:val="20"/>
              </w:rPr>
              <w:t>Yield</w:t>
            </w:r>
          </w:p>
        </w:tc>
        <w:tc>
          <w:tcPr>
            <w:tcW w:w="2472" w:type="dxa"/>
            <w:vAlign w:val="center"/>
          </w:tcPr>
          <w:p w14:paraId="47AE2451" w14:textId="77777777" w:rsidR="008E71B0" w:rsidRPr="000D0C49" w:rsidRDefault="008E71B0" w:rsidP="00A4043F">
            <w:pPr>
              <w:pStyle w:val="TableParagraph"/>
              <w:spacing w:before="1" w:after="160"/>
              <w:ind w:right="135"/>
              <w:jc w:val="center"/>
              <w:rPr>
                <w:rFonts w:ascii="Arial" w:hAnsi="Arial" w:cs="Arial"/>
                <w:b/>
                <w:sz w:val="20"/>
                <w:szCs w:val="20"/>
              </w:rPr>
            </w:pPr>
            <w:r w:rsidRPr="000D0C49">
              <w:rPr>
                <w:rFonts w:ascii="Arial" w:hAnsi="Arial" w:cs="Arial"/>
                <w:b/>
                <w:sz w:val="20"/>
                <w:szCs w:val="20"/>
              </w:rPr>
              <w:t>Drug</w:t>
            </w:r>
            <w:r w:rsidRPr="000D0C49">
              <w:rPr>
                <w:rFonts w:ascii="Arial" w:hAnsi="Arial" w:cs="Arial"/>
                <w:b/>
                <w:spacing w:val="-3"/>
                <w:sz w:val="20"/>
                <w:szCs w:val="20"/>
              </w:rPr>
              <w:t xml:space="preserve"> </w:t>
            </w:r>
            <w:r w:rsidRPr="000D0C49">
              <w:rPr>
                <w:rFonts w:ascii="Arial" w:hAnsi="Arial" w:cs="Arial"/>
                <w:b/>
                <w:sz w:val="20"/>
                <w:szCs w:val="20"/>
              </w:rPr>
              <w:t>content</w:t>
            </w:r>
          </w:p>
        </w:tc>
        <w:tc>
          <w:tcPr>
            <w:tcW w:w="2472" w:type="dxa"/>
            <w:vAlign w:val="center"/>
          </w:tcPr>
          <w:p w14:paraId="7EB41B01" w14:textId="77777777" w:rsidR="00953BA0" w:rsidRPr="000D0C49" w:rsidRDefault="008E71B0" w:rsidP="00A4043F">
            <w:pPr>
              <w:pStyle w:val="TableParagraph"/>
              <w:spacing w:before="1" w:after="160"/>
              <w:ind w:right="135"/>
              <w:jc w:val="center"/>
              <w:rPr>
                <w:rFonts w:ascii="Arial" w:hAnsi="Arial" w:cs="Arial"/>
                <w:b/>
                <w:sz w:val="20"/>
                <w:szCs w:val="20"/>
              </w:rPr>
            </w:pPr>
            <w:r w:rsidRPr="000D0C49">
              <w:rPr>
                <w:rFonts w:ascii="Arial" w:hAnsi="Arial" w:cs="Arial"/>
                <w:b/>
                <w:sz w:val="20"/>
                <w:szCs w:val="20"/>
              </w:rPr>
              <w:t>Floating time</w:t>
            </w:r>
            <w:r w:rsidR="00953BA0" w:rsidRPr="000D0C49">
              <w:rPr>
                <w:rFonts w:ascii="Arial" w:hAnsi="Arial" w:cs="Arial"/>
                <w:b/>
                <w:sz w:val="20"/>
                <w:szCs w:val="20"/>
              </w:rPr>
              <w:t xml:space="preserve"> (</w:t>
            </w:r>
            <w:proofErr w:type="spellStart"/>
            <w:r w:rsidR="00953BA0" w:rsidRPr="000D0C49">
              <w:rPr>
                <w:rFonts w:ascii="Arial" w:hAnsi="Arial" w:cs="Arial"/>
                <w:b/>
                <w:sz w:val="20"/>
                <w:szCs w:val="20"/>
              </w:rPr>
              <w:t>hr</w:t>
            </w:r>
            <w:proofErr w:type="spellEnd"/>
            <w:r w:rsidR="00953BA0" w:rsidRPr="000D0C49">
              <w:rPr>
                <w:rFonts w:ascii="Arial" w:hAnsi="Arial" w:cs="Arial"/>
                <w:b/>
                <w:sz w:val="20"/>
                <w:szCs w:val="20"/>
              </w:rPr>
              <w:t>)</w:t>
            </w:r>
          </w:p>
        </w:tc>
      </w:tr>
      <w:tr w:rsidR="008E71B0" w:rsidRPr="000D0C49" w14:paraId="5EDA5FBF" w14:textId="77777777" w:rsidTr="00A4043F">
        <w:trPr>
          <w:trHeight w:val="409"/>
          <w:jc w:val="center"/>
        </w:trPr>
        <w:tc>
          <w:tcPr>
            <w:tcW w:w="1568" w:type="dxa"/>
          </w:tcPr>
          <w:p w14:paraId="7773150C" w14:textId="77777777" w:rsidR="008E71B0" w:rsidRPr="000D0C49" w:rsidRDefault="008E71B0" w:rsidP="00F11B03">
            <w:pPr>
              <w:pStyle w:val="TableParagraph"/>
              <w:spacing w:after="160" w:line="270" w:lineRule="exact"/>
              <w:ind w:right="134"/>
              <w:jc w:val="center"/>
              <w:rPr>
                <w:rFonts w:ascii="Arial" w:hAnsi="Arial" w:cs="Arial"/>
                <w:sz w:val="20"/>
                <w:szCs w:val="20"/>
              </w:rPr>
            </w:pPr>
            <w:r w:rsidRPr="000D0C49">
              <w:rPr>
                <w:rFonts w:ascii="Arial" w:hAnsi="Arial" w:cs="Arial"/>
                <w:spacing w:val="-5"/>
                <w:sz w:val="20"/>
                <w:szCs w:val="20"/>
              </w:rPr>
              <w:t>F1</w:t>
            </w:r>
          </w:p>
        </w:tc>
        <w:tc>
          <w:tcPr>
            <w:tcW w:w="1704" w:type="dxa"/>
          </w:tcPr>
          <w:p w14:paraId="14FB6C4A" w14:textId="77777777" w:rsidR="008E71B0" w:rsidRPr="000D0C49" w:rsidRDefault="00892E1D" w:rsidP="00F11B03">
            <w:pPr>
              <w:pStyle w:val="TableParagraph"/>
              <w:spacing w:after="160" w:line="270" w:lineRule="exact"/>
              <w:ind w:right="130"/>
              <w:jc w:val="center"/>
              <w:rPr>
                <w:rFonts w:ascii="Arial" w:hAnsi="Arial" w:cs="Arial"/>
                <w:sz w:val="20"/>
                <w:szCs w:val="20"/>
              </w:rPr>
            </w:pPr>
            <w:r w:rsidRPr="000D0C49">
              <w:rPr>
                <w:rFonts w:ascii="Arial" w:hAnsi="Arial" w:cs="Arial"/>
                <w:spacing w:val="-2"/>
                <w:sz w:val="20"/>
                <w:szCs w:val="20"/>
              </w:rPr>
              <w:t>99.67</w:t>
            </w:r>
          </w:p>
        </w:tc>
        <w:tc>
          <w:tcPr>
            <w:tcW w:w="2472" w:type="dxa"/>
          </w:tcPr>
          <w:p w14:paraId="0C762156" w14:textId="77777777" w:rsidR="008E71B0" w:rsidRPr="000D0C49" w:rsidRDefault="00892E1D" w:rsidP="00ED0328">
            <w:pPr>
              <w:pStyle w:val="TableParagraph"/>
              <w:spacing w:after="160" w:line="270" w:lineRule="exact"/>
              <w:ind w:left="513" w:hanging="425"/>
              <w:jc w:val="center"/>
              <w:rPr>
                <w:rFonts w:ascii="Arial" w:hAnsi="Arial" w:cs="Arial"/>
                <w:sz w:val="20"/>
                <w:szCs w:val="20"/>
              </w:rPr>
            </w:pPr>
            <w:r w:rsidRPr="000D0C49">
              <w:rPr>
                <w:rFonts w:ascii="Arial" w:hAnsi="Arial" w:cs="Arial"/>
                <w:sz w:val="20"/>
                <w:szCs w:val="20"/>
              </w:rPr>
              <w:t>88.18</w:t>
            </w:r>
            <w:r w:rsidR="008E71B0" w:rsidRPr="000D0C49">
              <w:rPr>
                <w:rFonts w:ascii="Arial" w:hAnsi="Arial" w:cs="Arial"/>
                <w:sz w:val="20"/>
                <w:szCs w:val="20"/>
              </w:rPr>
              <w:t xml:space="preserve"> ± </w:t>
            </w:r>
            <w:r w:rsidRPr="000D0C49">
              <w:rPr>
                <w:rFonts w:ascii="Arial" w:hAnsi="Arial" w:cs="Arial"/>
                <w:spacing w:val="-2"/>
                <w:sz w:val="20"/>
                <w:szCs w:val="20"/>
              </w:rPr>
              <w:t>1.15</w:t>
            </w:r>
          </w:p>
        </w:tc>
        <w:tc>
          <w:tcPr>
            <w:tcW w:w="2472" w:type="dxa"/>
          </w:tcPr>
          <w:p w14:paraId="2AE99A8A" w14:textId="77777777" w:rsidR="008E71B0" w:rsidRPr="000D0C49" w:rsidRDefault="00953BA0" w:rsidP="00ED0328">
            <w:pPr>
              <w:pStyle w:val="TableParagraph"/>
              <w:spacing w:after="160" w:line="270" w:lineRule="exact"/>
              <w:ind w:left="513" w:hanging="425"/>
              <w:jc w:val="center"/>
              <w:rPr>
                <w:rFonts w:ascii="Arial" w:hAnsi="Arial" w:cs="Arial"/>
                <w:sz w:val="20"/>
                <w:szCs w:val="20"/>
              </w:rPr>
            </w:pPr>
            <w:r w:rsidRPr="000D0C49">
              <w:rPr>
                <w:rFonts w:ascii="Arial" w:hAnsi="Arial" w:cs="Arial"/>
                <w:sz w:val="20"/>
                <w:szCs w:val="20"/>
              </w:rPr>
              <w:t>3.5</w:t>
            </w:r>
          </w:p>
        </w:tc>
      </w:tr>
      <w:tr w:rsidR="008E71B0" w:rsidRPr="000D0C49" w14:paraId="31E6AD29" w14:textId="77777777" w:rsidTr="00A4043F">
        <w:trPr>
          <w:trHeight w:val="407"/>
          <w:jc w:val="center"/>
        </w:trPr>
        <w:tc>
          <w:tcPr>
            <w:tcW w:w="1568" w:type="dxa"/>
          </w:tcPr>
          <w:p w14:paraId="7A980464" w14:textId="77777777" w:rsidR="008E71B0" w:rsidRPr="000D0C49" w:rsidRDefault="008E71B0" w:rsidP="00F11B03">
            <w:pPr>
              <w:pStyle w:val="TableParagraph"/>
              <w:spacing w:after="160" w:line="270" w:lineRule="exact"/>
              <w:ind w:right="134"/>
              <w:jc w:val="center"/>
              <w:rPr>
                <w:rFonts w:ascii="Arial" w:hAnsi="Arial" w:cs="Arial"/>
                <w:sz w:val="20"/>
                <w:szCs w:val="20"/>
              </w:rPr>
            </w:pPr>
            <w:r w:rsidRPr="000D0C49">
              <w:rPr>
                <w:rFonts w:ascii="Arial" w:hAnsi="Arial" w:cs="Arial"/>
                <w:spacing w:val="-5"/>
                <w:sz w:val="20"/>
                <w:szCs w:val="20"/>
              </w:rPr>
              <w:t>F2</w:t>
            </w:r>
          </w:p>
        </w:tc>
        <w:tc>
          <w:tcPr>
            <w:tcW w:w="1704" w:type="dxa"/>
          </w:tcPr>
          <w:p w14:paraId="34ED60A6" w14:textId="77777777" w:rsidR="008E71B0" w:rsidRPr="000D0C49" w:rsidRDefault="00892E1D" w:rsidP="00F11B03">
            <w:pPr>
              <w:pStyle w:val="TableParagraph"/>
              <w:spacing w:after="160" w:line="270" w:lineRule="exact"/>
              <w:ind w:right="130"/>
              <w:jc w:val="center"/>
              <w:rPr>
                <w:rFonts w:ascii="Arial" w:hAnsi="Arial" w:cs="Arial"/>
                <w:sz w:val="20"/>
                <w:szCs w:val="20"/>
              </w:rPr>
            </w:pPr>
            <w:r w:rsidRPr="000D0C49">
              <w:rPr>
                <w:rFonts w:ascii="Arial" w:hAnsi="Arial" w:cs="Arial"/>
                <w:spacing w:val="-2"/>
                <w:sz w:val="20"/>
                <w:szCs w:val="20"/>
              </w:rPr>
              <w:t>98.19</w:t>
            </w:r>
          </w:p>
        </w:tc>
        <w:tc>
          <w:tcPr>
            <w:tcW w:w="2472" w:type="dxa"/>
          </w:tcPr>
          <w:p w14:paraId="11A17E93" w14:textId="77777777" w:rsidR="008E71B0" w:rsidRPr="000D0C49" w:rsidRDefault="00892E1D" w:rsidP="00ED0328">
            <w:pPr>
              <w:pStyle w:val="TableParagraph"/>
              <w:spacing w:after="160" w:line="270" w:lineRule="exact"/>
              <w:ind w:left="88"/>
              <w:jc w:val="center"/>
              <w:rPr>
                <w:rFonts w:ascii="Arial" w:hAnsi="Arial" w:cs="Arial"/>
                <w:sz w:val="20"/>
                <w:szCs w:val="20"/>
              </w:rPr>
            </w:pPr>
            <w:r w:rsidRPr="000D0C49">
              <w:rPr>
                <w:rFonts w:ascii="Arial" w:hAnsi="Arial" w:cs="Arial"/>
                <w:sz w:val="20"/>
                <w:szCs w:val="20"/>
              </w:rPr>
              <w:t>86.24</w:t>
            </w:r>
            <w:r w:rsidR="008E71B0" w:rsidRPr="000D0C49">
              <w:rPr>
                <w:rFonts w:ascii="Arial" w:hAnsi="Arial" w:cs="Arial"/>
                <w:sz w:val="20"/>
                <w:szCs w:val="20"/>
              </w:rPr>
              <w:t xml:space="preserve"> ± </w:t>
            </w:r>
            <w:r w:rsidRPr="000D0C49">
              <w:rPr>
                <w:rFonts w:ascii="Arial" w:hAnsi="Arial" w:cs="Arial"/>
                <w:spacing w:val="-2"/>
                <w:sz w:val="20"/>
                <w:szCs w:val="20"/>
              </w:rPr>
              <w:t>1.43</w:t>
            </w:r>
          </w:p>
        </w:tc>
        <w:tc>
          <w:tcPr>
            <w:tcW w:w="2472" w:type="dxa"/>
          </w:tcPr>
          <w:p w14:paraId="7B817EB4" w14:textId="77777777" w:rsidR="008E71B0" w:rsidRPr="000D0C49" w:rsidRDefault="00953BA0" w:rsidP="00ED0328">
            <w:pPr>
              <w:pStyle w:val="TableParagraph"/>
              <w:spacing w:after="160" w:line="270" w:lineRule="exact"/>
              <w:ind w:left="88"/>
              <w:jc w:val="center"/>
              <w:rPr>
                <w:rFonts w:ascii="Arial" w:hAnsi="Arial" w:cs="Arial"/>
                <w:sz w:val="20"/>
                <w:szCs w:val="20"/>
              </w:rPr>
            </w:pPr>
            <w:r w:rsidRPr="000D0C49">
              <w:rPr>
                <w:rFonts w:ascii="Arial" w:hAnsi="Arial" w:cs="Arial"/>
                <w:sz w:val="20"/>
                <w:szCs w:val="20"/>
              </w:rPr>
              <w:t>3</w:t>
            </w:r>
          </w:p>
        </w:tc>
      </w:tr>
      <w:tr w:rsidR="008E71B0" w:rsidRPr="000D0C49" w14:paraId="4A5B811C" w14:textId="77777777" w:rsidTr="00A4043F">
        <w:trPr>
          <w:trHeight w:val="409"/>
          <w:jc w:val="center"/>
        </w:trPr>
        <w:tc>
          <w:tcPr>
            <w:tcW w:w="1568" w:type="dxa"/>
          </w:tcPr>
          <w:p w14:paraId="798DDBC7" w14:textId="77777777" w:rsidR="008E71B0" w:rsidRPr="000D0C49" w:rsidRDefault="008E71B0" w:rsidP="00F11B03">
            <w:pPr>
              <w:pStyle w:val="TableParagraph"/>
              <w:spacing w:after="160" w:line="273" w:lineRule="exact"/>
              <w:ind w:right="134"/>
              <w:jc w:val="center"/>
              <w:rPr>
                <w:rFonts w:ascii="Arial" w:hAnsi="Arial" w:cs="Arial"/>
                <w:sz w:val="20"/>
                <w:szCs w:val="20"/>
              </w:rPr>
            </w:pPr>
            <w:r w:rsidRPr="000D0C49">
              <w:rPr>
                <w:rFonts w:ascii="Arial" w:hAnsi="Arial" w:cs="Arial"/>
                <w:spacing w:val="-5"/>
                <w:sz w:val="20"/>
                <w:szCs w:val="20"/>
              </w:rPr>
              <w:t>F3</w:t>
            </w:r>
          </w:p>
        </w:tc>
        <w:tc>
          <w:tcPr>
            <w:tcW w:w="1704" w:type="dxa"/>
          </w:tcPr>
          <w:p w14:paraId="523551FC" w14:textId="77777777" w:rsidR="008E71B0" w:rsidRPr="000D0C49" w:rsidRDefault="00892E1D" w:rsidP="00ED0328">
            <w:pPr>
              <w:pStyle w:val="TableParagraph"/>
              <w:spacing w:after="160" w:line="273" w:lineRule="exact"/>
              <w:ind w:left="-43" w:right="130"/>
              <w:jc w:val="center"/>
              <w:rPr>
                <w:rFonts w:ascii="Arial" w:hAnsi="Arial" w:cs="Arial"/>
                <w:sz w:val="20"/>
                <w:szCs w:val="20"/>
              </w:rPr>
            </w:pPr>
            <w:r w:rsidRPr="000D0C49">
              <w:rPr>
                <w:rFonts w:ascii="Arial" w:hAnsi="Arial" w:cs="Arial"/>
                <w:spacing w:val="-4"/>
                <w:sz w:val="20"/>
                <w:szCs w:val="20"/>
              </w:rPr>
              <w:t>99.1</w:t>
            </w:r>
          </w:p>
        </w:tc>
        <w:tc>
          <w:tcPr>
            <w:tcW w:w="2472" w:type="dxa"/>
          </w:tcPr>
          <w:p w14:paraId="62971194" w14:textId="77777777" w:rsidR="008E71B0" w:rsidRPr="000D0C49" w:rsidRDefault="00892E1D" w:rsidP="00ED0328">
            <w:pPr>
              <w:pStyle w:val="TableParagraph"/>
              <w:spacing w:after="160" w:line="273" w:lineRule="exact"/>
              <w:ind w:left="88"/>
              <w:jc w:val="center"/>
              <w:rPr>
                <w:rFonts w:ascii="Arial" w:hAnsi="Arial" w:cs="Arial"/>
                <w:sz w:val="20"/>
                <w:szCs w:val="20"/>
              </w:rPr>
            </w:pPr>
            <w:r w:rsidRPr="000D0C49">
              <w:rPr>
                <w:rFonts w:ascii="Arial" w:hAnsi="Arial" w:cs="Arial"/>
                <w:sz w:val="20"/>
                <w:szCs w:val="20"/>
              </w:rPr>
              <w:t>87.47</w:t>
            </w:r>
            <w:r w:rsidR="008E71B0" w:rsidRPr="000D0C49">
              <w:rPr>
                <w:rFonts w:ascii="Arial" w:hAnsi="Arial" w:cs="Arial"/>
                <w:sz w:val="20"/>
                <w:szCs w:val="20"/>
              </w:rPr>
              <w:t xml:space="preserve"> ± </w:t>
            </w:r>
            <w:r w:rsidRPr="000D0C49">
              <w:rPr>
                <w:rFonts w:ascii="Arial" w:hAnsi="Arial" w:cs="Arial"/>
                <w:spacing w:val="-2"/>
                <w:sz w:val="20"/>
                <w:szCs w:val="20"/>
              </w:rPr>
              <w:t>0.28</w:t>
            </w:r>
          </w:p>
        </w:tc>
        <w:tc>
          <w:tcPr>
            <w:tcW w:w="2472" w:type="dxa"/>
          </w:tcPr>
          <w:p w14:paraId="588A3D38" w14:textId="77777777" w:rsidR="008E71B0" w:rsidRPr="000D0C49" w:rsidRDefault="00953BA0" w:rsidP="00ED0328">
            <w:pPr>
              <w:pStyle w:val="TableParagraph"/>
              <w:spacing w:after="160" w:line="273" w:lineRule="exact"/>
              <w:ind w:left="88"/>
              <w:jc w:val="center"/>
              <w:rPr>
                <w:rFonts w:ascii="Arial" w:hAnsi="Arial" w:cs="Arial"/>
                <w:sz w:val="20"/>
                <w:szCs w:val="20"/>
              </w:rPr>
            </w:pPr>
            <w:r w:rsidRPr="000D0C49">
              <w:rPr>
                <w:rFonts w:ascii="Arial" w:hAnsi="Arial" w:cs="Arial"/>
                <w:sz w:val="20"/>
                <w:szCs w:val="20"/>
              </w:rPr>
              <w:t>4</w:t>
            </w:r>
          </w:p>
        </w:tc>
      </w:tr>
      <w:tr w:rsidR="008E71B0" w:rsidRPr="000D0C49" w14:paraId="3EE96D25" w14:textId="77777777" w:rsidTr="00A4043F">
        <w:trPr>
          <w:trHeight w:val="409"/>
          <w:jc w:val="center"/>
        </w:trPr>
        <w:tc>
          <w:tcPr>
            <w:tcW w:w="1568" w:type="dxa"/>
          </w:tcPr>
          <w:p w14:paraId="3374DB00" w14:textId="77777777" w:rsidR="008E71B0" w:rsidRPr="000D0C49" w:rsidRDefault="008E71B0" w:rsidP="00F11B03">
            <w:pPr>
              <w:pStyle w:val="TableParagraph"/>
              <w:spacing w:after="160" w:line="270" w:lineRule="exact"/>
              <w:ind w:right="134"/>
              <w:jc w:val="center"/>
              <w:rPr>
                <w:rFonts w:ascii="Arial" w:hAnsi="Arial" w:cs="Arial"/>
                <w:sz w:val="20"/>
                <w:szCs w:val="20"/>
              </w:rPr>
            </w:pPr>
            <w:r w:rsidRPr="000D0C49">
              <w:rPr>
                <w:rFonts w:ascii="Arial" w:hAnsi="Arial" w:cs="Arial"/>
                <w:spacing w:val="-5"/>
                <w:sz w:val="20"/>
                <w:szCs w:val="20"/>
              </w:rPr>
              <w:t>F4</w:t>
            </w:r>
          </w:p>
        </w:tc>
        <w:tc>
          <w:tcPr>
            <w:tcW w:w="1704" w:type="dxa"/>
          </w:tcPr>
          <w:p w14:paraId="250261F3" w14:textId="77777777" w:rsidR="008E71B0" w:rsidRPr="000D0C49" w:rsidRDefault="00892E1D" w:rsidP="00F11B03">
            <w:pPr>
              <w:pStyle w:val="TableParagraph"/>
              <w:spacing w:after="160" w:line="270" w:lineRule="exact"/>
              <w:ind w:right="130"/>
              <w:jc w:val="center"/>
              <w:rPr>
                <w:rFonts w:ascii="Arial" w:hAnsi="Arial" w:cs="Arial"/>
                <w:sz w:val="20"/>
                <w:szCs w:val="20"/>
              </w:rPr>
            </w:pPr>
            <w:r w:rsidRPr="000D0C49">
              <w:rPr>
                <w:rFonts w:ascii="Arial" w:hAnsi="Arial" w:cs="Arial"/>
                <w:spacing w:val="-2"/>
                <w:sz w:val="20"/>
                <w:szCs w:val="20"/>
              </w:rPr>
              <w:t>99.32</w:t>
            </w:r>
          </w:p>
        </w:tc>
        <w:tc>
          <w:tcPr>
            <w:tcW w:w="2472" w:type="dxa"/>
          </w:tcPr>
          <w:p w14:paraId="67745DAC" w14:textId="77777777" w:rsidR="008E71B0" w:rsidRPr="000D0C49" w:rsidRDefault="00892E1D" w:rsidP="00ED0328">
            <w:pPr>
              <w:pStyle w:val="TableParagraph"/>
              <w:spacing w:after="160" w:line="270" w:lineRule="exact"/>
              <w:ind w:left="229" w:right="135"/>
              <w:jc w:val="center"/>
              <w:rPr>
                <w:rFonts w:ascii="Arial" w:hAnsi="Arial" w:cs="Arial"/>
                <w:sz w:val="20"/>
                <w:szCs w:val="20"/>
              </w:rPr>
            </w:pPr>
            <w:r w:rsidRPr="000D0C49">
              <w:rPr>
                <w:rFonts w:ascii="Arial" w:hAnsi="Arial" w:cs="Arial"/>
                <w:sz w:val="20"/>
                <w:szCs w:val="20"/>
              </w:rPr>
              <w:t>89.69</w:t>
            </w:r>
            <w:r w:rsidR="008E71B0" w:rsidRPr="000D0C49">
              <w:rPr>
                <w:rFonts w:ascii="Arial" w:hAnsi="Arial" w:cs="Arial"/>
                <w:sz w:val="20"/>
                <w:szCs w:val="20"/>
              </w:rPr>
              <w:t xml:space="preserve"> ± </w:t>
            </w:r>
            <w:r w:rsidRPr="000D0C49">
              <w:rPr>
                <w:rFonts w:ascii="Arial" w:hAnsi="Arial" w:cs="Arial"/>
                <w:spacing w:val="-2"/>
                <w:sz w:val="20"/>
                <w:szCs w:val="20"/>
              </w:rPr>
              <w:t>0.36</w:t>
            </w:r>
          </w:p>
        </w:tc>
        <w:tc>
          <w:tcPr>
            <w:tcW w:w="2472" w:type="dxa"/>
          </w:tcPr>
          <w:p w14:paraId="763A8ABD" w14:textId="77777777" w:rsidR="008E71B0" w:rsidRPr="000D0C49" w:rsidRDefault="00953BA0" w:rsidP="00ED0328">
            <w:pPr>
              <w:pStyle w:val="TableParagraph"/>
              <w:spacing w:after="160" w:line="270" w:lineRule="exact"/>
              <w:ind w:left="229" w:right="135"/>
              <w:jc w:val="center"/>
              <w:rPr>
                <w:rFonts w:ascii="Arial" w:hAnsi="Arial" w:cs="Arial"/>
                <w:sz w:val="20"/>
                <w:szCs w:val="20"/>
              </w:rPr>
            </w:pPr>
            <w:r w:rsidRPr="000D0C49">
              <w:rPr>
                <w:rFonts w:ascii="Arial" w:hAnsi="Arial" w:cs="Arial"/>
                <w:sz w:val="20"/>
                <w:szCs w:val="20"/>
              </w:rPr>
              <w:t>5</w:t>
            </w:r>
          </w:p>
        </w:tc>
      </w:tr>
      <w:tr w:rsidR="008E71B0" w:rsidRPr="000D0C49" w14:paraId="7760863C" w14:textId="77777777" w:rsidTr="00A4043F">
        <w:trPr>
          <w:trHeight w:val="407"/>
          <w:jc w:val="center"/>
        </w:trPr>
        <w:tc>
          <w:tcPr>
            <w:tcW w:w="1568" w:type="dxa"/>
          </w:tcPr>
          <w:p w14:paraId="1C0D0148" w14:textId="77777777" w:rsidR="008E71B0" w:rsidRPr="000D0C49" w:rsidRDefault="008E71B0" w:rsidP="00F11B03">
            <w:pPr>
              <w:pStyle w:val="TableParagraph"/>
              <w:spacing w:after="160" w:line="271" w:lineRule="exact"/>
              <w:ind w:right="134"/>
              <w:jc w:val="center"/>
              <w:rPr>
                <w:rFonts w:ascii="Arial" w:hAnsi="Arial" w:cs="Arial"/>
                <w:sz w:val="20"/>
                <w:szCs w:val="20"/>
              </w:rPr>
            </w:pPr>
            <w:r w:rsidRPr="000D0C49">
              <w:rPr>
                <w:rFonts w:ascii="Arial" w:hAnsi="Arial" w:cs="Arial"/>
                <w:spacing w:val="-5"/>
                <w:sz w:val="20"/>
                <w:szCs w:val="20"/>
              </w:rPr>
              <w:t>F5</w:t>
            </w:r>
          </w:p>
        </w:tc>
        <w:tc>
          <w:tcPr>
            <w:tcW w:w="1704" w:type="dxa"/>
          </w:tcPr>
          <w:p w14:paraId="39F6DCA8" w14:textId="77777777" w:rsidR="008E71B0" w:rsidRPr="000D0C49" w:rsidRDefault="00892E1D" w:rsidP="00F11B03">
            <w:pPr>
              <w:pStyle w:val="TableParagraph"/>
              <w:spacing w:after="160" w:line="271" w:lineRule="exact"/>
              <w:ind w:right="130"/>
              <w:jc w:val="center"/>
              <w:rPr>
                <w:rFonts w:ascii="Arial" w:hAnsi="Arial" w:cs="Arial"/>
                <w:sz w:val="20"/>
                <w:szCs w:val="20"/>
              </w:rPr>
            </w:pPr>
            <w:r w:rsidRPr="000D0C49">
              <w:rPr>
                <w:rFonts w:ascii="Arial" w:hAnsi="Arial" w:cs="Arial"/>
                <w:spacing w:val="-2"/>
                <w:sz w:val="20"/>
                <w:szCs w:val="20"/>
              </w:rPr>
              <w:t>99.47</w:t>
            </w:r>
          </w:p>
        </w:tc>
        <w:tc>
          <w:tcPr>
            <w:tcW w:w="2472" w:type="dxa"/>
          </w:tcPr>
          <w:p w14:paraId="4E7BE708" w14:textId="77777777" w:rsidR="008E71B0" w:rsidRPr="000D0C49" w:rsidRDefault="00892E1D" w:rsidP="00ED0328">
            <w:pPr>
              <w:pStyle w:val="TableParagraph"/>
              <w:spacing w:after="160" w:line="271" w:lineRule="exact"/>
              <w:ind w:left="229" w:right="135"/>
              <w:jc w:val="center"/>
              <w:rPr>
                <w:rFonts w:ascii="Arial" w:hAnsi="Arial" w:cs="Arial"/>
                <w:sz w:val="20"/>
                <w:szCs w:val="20"/>
              </w:rPr>
            </w:pPr>
            <w:r w:rsidRPr="000D0C49">
              <w:rPr>
                <w:rFonts w:ascii="Arial" w:hAnsi="Arial" w:cs="Arial"/>
                <w:sz w:val="20"/>
                <w:szCs w:val="20"/>
              </w:rPr>
              <w:t>90.67</w:t>
            </w:r>
            <w:r w:rsidR="008E71B0" w:rsidRPr="000D0C49">
              <w:rPr>
                <w:rFonts w:ascii="Arial" w:hAnsi="Arial" w:cs="Arial"/>
                <w:sz w:val="20"/>
                <w:szCs w:val="20"/>
              </w:rPr>
              <w:t xml:space="preserve"> ± </w:t>
            </w:r>
            <w:r w:rsidRPr="000D0C49">
              <w:rPr>
                <w:rFonts w:ascii="Arial" w:hAnsi="Arial" w:cs="Arial"/>
                <w:spacing w:val="-2"/>
                <w:sz w:val="20"/>
                <w:szCs w:val="20"/>
              </w:rPr>
              <w:t>0.38</w:t>
            </w:r>
          </w:p>
        </w:tc>
        <w:tc>
          <w:tcPr>
            <w:tcW w:w="2472" w:type="dxa"/>
          </w:tcPr>
          <w:p w14:paraId="025AFB1F" w14:textId="77777777" w:rsidR="008E71B0" w:rsidRPr="000D0C49" w:rsidRDefault="00953BA0" w:rsidP="00ED0328">
            <w:pPr>
              <w:pStyle w:val="TableParagraph"/>
              <w:spacing w:after="160" w:line="271" w:lineRule="exact"/>
              <w:ind w:left="229" w:right="135"/>
              <w:jc w:val="center"/>
              <w:rPr>
                <w:rFonts w:ascii="Arial" w:hAnsi="Arial" w:cs="Arial"/>
                <w:sz w:val="20"/>
                <w:szCs w:val="20"/>
              </w:rPr>
            </w:pPr>
            <w:r w:rsidRPr="000D0C49">
              <w:rPr>
                <w:rFonts w:ascii="Arial" w:hAnsi="Arial" w:cs="Arial"/>
                <w:sz w:val="20"/>
                <w:szCs w:val="20"/>
              </w:rPr>
              <w:t>5.5</w:t>
            </w:r>
          </w:p>
        </w:tc>
      </w:tr>
      <w:tr w:rsidR="008E71B0" w:rsidRPr="000D0C49" w14:paraId="54B1AF4D" w14:textId="77777777" w:rsidTr="00A4043F">
        <w:trPr>
          <w:trHeight w:val="409"/>
          <w:jc w:val="center"/>
        </w:trPr>
        <w:tc>
          <w:tcPr>
            <w:tcW w:w="1568" w:type="dxa"/>
          </w:tcPr>
          <w:p w14:paraId="4D0AB1EC" w14:textId="77777777" w:rsidR="008E71B0" w:rsidRPr="000D0C49" w:rsidRDefault="008E71B0" w:rsidP="00F11B03">
            <w:pPr>
              <w:pStyle w:val="TableParagraph"/>
              <w:spacing w:after="160" w:line="270" w:lineRule="exact"/>
              <w:ind w:right="134"/>
              <w:jc w:val="center"/>
              <w:rPr>
                <w:rFonts w:ascii="Arial" w:hAnsi="Arial" w:cs="Arial"/>
                <w:sz w:val="20"/>
                <w:szCs w:val="20"/>
              </w:rPr>
            </w:pPr>
            <w:r w:rsidRPr="000D0C49">
              <w:rPr>
                <w:rFonts w:ascii="Arial" w:hAnsi="Arial" w:cs="Arial"/>
                <w:spacing w:val="-5"/>
                <w:sz w:val="20"/>
                <w:szCs w:val="20"/>
              </w:rPr>
              <w:t>F6</w:t>
            </w:r>
          </w:p>
        </w:tc>
        <w:tc>
          <w:tcPr>
            <w:tcW w:w="1704" w:type="dxa"/>
          </w:tcPr>
          <w:p w14:paraId="2E587A89" w14:textId="77777777" w:rsidR="008E71B0" w:rsidRPr="000D0C49" w:rsidRDefault="00892E1D" w:rsidP="00F11B03">
            <w:pPr>
              <w:pStyle w:val="TableParagraph"/>
              <w:spacing w:after="160" w:line="270" w:lineRule="exact"/>
              <w:ind w:right="130"/>
              <w:jc w:val="center"/>
              <w:rPr>
                <w:rFonts w:ascii="Arial" w:hAnsi="Arial" w:cs="Arial"/>
                <w:sz w:val="20"/>
                <w:szCs w:val="20"/>
              </w:rPr>
            </w:pPr>
            <w:r w:rsidRPr="000D0C49">
              <w:rPr>
                <w:rFonts w:ascii="Arial" w:hAnsi="Arial" w:cs="Arial"/>
                <w:spacing w:val="-2"/>
                <w:sz w:val="20"/>
                <w:szCs w:val="20"/>
              </w:rPr>
              <w:t>75.15</w:t>
            </w:r>
          </w:p>
        </w:tc>
        <w:tc>
          <w:tcPr>
            <w:tcW w:w="2472" w:type="dxa"/>
          </w:tcPr>
          <w:p w14:paraId="13619E68" w14:textId="77777777" w:rsidR="008E71B0" w:rsidRPr="000D0C49" w:rsidRDefault="00892E1D" w:rsidP="00ED0328">
            <w:pPr>
              <w:pStyle w:val="TableParagraph"/>
              <w:spacing w:after="160" w:line="270" w:lineRule="exact"/>
              <w:ind w:left="88"/>
              <w:jc w:val="center"/>
              <w:rPr>
                <w:rFonts w:ascii="Arial" w:hAnsi="Arial" w:cs="Arial"/>
                <w:sz w:val="20"/>
                <w:szCs w:val="20"/>
              </w:rPr>
            </w:pPr>
            <w:r w:rsidRPr="000D0C49">
              <w:rPr>
                <w:rFonts w:ascii="Arial" w:hAnsi="Arial" w:cs="Arial"/>
                <w:sz w:val="20"/>
                <w:szCs w:val="20"/>
              </w:rPr>
              <w:t>71.12</w:t>
            </w:r>
            <w:r w:rsidR="008E71B0" w:rsidRPr="000D0C49">
              <w:rPr>
                <w:rFonts w:ascii="Arial" w:hAnsi="Arial" w:cs="Arial"/>
                <w:sz w:val="20"/>
                <w:szCs w:val="20"/>
              </w:rPr>
              <w:t xml:space="preserve"> ± </w:t>
            </w:r>
            <w:r w:rsidRPr="000D0C49">
              <w:rPr>
                <w:rFonts w:ascii="Arial" w:hAnsi="Arial" w:cs="Arial"/>
                <w:spacing w:val="-2"/>
                <w:sz w:val="20"/>
                <w:szCs w:val="20"/>
              </w:rPr>
              <w:t>1.29</w:t>
            </w:r>
          </w:p>
        </w:tc>
        <w:tc>
          <w:tcPr>
            <w:tcW w:w="2472" w:type="dxa"/>
          </w:tcPr>
          <w:p w14:paraId="2306BDF2" w14:textId="77777777" w:rsidR="008E71B0" w:rsidRPr="000D0C49" w:rsidRDefault="00953BA0" w:rsidP="00ED0328">
            <w:pPr>
              <w:pStyle w:val="TableParagraph"/>
              <w:spacing w:after="160" w:line="270" w:lineRule="exact"/>
              <w:ind w:left="88"/>
              <w:jc w:val="center"/>
              <w:rPr>
                <w:rFonts w:ascii="Arial" w:hAnsi="Arial" w:cs="Arial"/>
                <w:sz w:val="20"/>
                <w:szCs w:val="20"/>
              </w:rPr>
            </w:pPr>
            <w:r w:rsidRPr="000D0C49">
              <w:rPr>
                <w:rFonts w:ascii="Arial" w:hAnsi="Arial" w:cs="Arial"/>
                <w:sz w:val="20"/>
                <w:szCs w:val="20"/>
              </w:rPr>
              <w:t>4.5</w:t>
            </w:r>
          </w:p>
        </w:tc>
      </w:tr>
      <w:tr w:rsidR="008E71B0" w:rsidRPr="000D0C49" w14:paraId="670CE3F6" w14:textId="77777777" w:rsidTr="00A4043F">
        <w:trPr>
          <w:trHeight w:val="409"/>
          <w:jc w:val="center"/>
        </w:trPr>
        <w:tc>
          <w:tcPr>
            <w:tcW w:w="1568" w:type="dxa"/>
          </w:tcPr>
          <w:p w14:paraId="3F9EF444" w14:textId="77777777" w:rsidR="008E71B0" w:rsidRPr="000D0C49" w:rsidRDefault="008E71B0" w:rsidP="00F11B03">
            <w:pPr>
              <w:pStyle w:val="TableParagraph"/>
              <w:spacing w:after="160" w:line="270" w:lineRule="exact"/>
              <w:ind w:right="134"/>
              <w:jc w:val="center"/>
              <w:rPr>
                <w:rFonts w:ascii="Arial" w:hAnsi="Arial" w:cs="Arial"/>
                <w:sz w:val="20"/>
                <w:szCs w:val="20"/>
              </w:rPr>
            </w:pPr>
            <w:r w:rsidRPr="000D0C49">
              <w:rPr>
                <w:rFonts w:ascii="Arial" w:hAnsi="Arial" w:cs="Arial"/>
                <w:spacing w:val="-5"/>
                <w:sz w:val="20"/>
                <w:szCs w:val="20"/>
              </w:rPr>
              <w:t>F7</w:t>
            </w:r>
          </w:p>
        </w:tc>
        <w:tc>
          <w:tcPr>
            <w:tcW w:w="1704" w:type="dxa"/>
          </w:tcPr>
          <w:p w14:paraId="500D9FA1" w14:textId="77777777" w:rsidR="008E71B0" w:rsidRPr="000D0C49" w:rsidRDefault="00892E1D" w:rsidP="00F11B03">
            <w:pPr>
              <w:pStyle w:val="TableParagraph"/>
              <w:spacing w:after="160" w:line="270" w:lineRule="exact"/>
              <w:ind w:right="130"/>
              <w:jc w:val="center"/>
              <w:rPr>
                <w:rFonts w:ascii="Arial" w:hAnsi="Arial" w:cs="Arial"/>
                <w:sz w:val="20"/>
                <w:szCs w:val="20"/>
              </w:rPr>
            </w:pPr>
            <w:r w:rsidRPr="000D0C49">
              <w:rPr>
                <w:rFonts w:ascii="Arial" w:hAnsi="Arial" w:cs="Arial"/>
                <w:spacing w:val="-2"/>
                <w:sz w:val="20"/>
                <w:szCs w:val="20"/>
              </w:rPr>
              <w:t>99.36</w:t>
            </w:r>
          </w:p>
        </w:tc>
        <w:tc>
          <w:tcPr>
            <w:tcW w:w="2472" w:type="dxa"/>
          </w:tcPr>
          <w:p w14:paraId="35B1D5E8" w14:textId="77777777" w:rsidR="008E71B0" w:rsidRPr="000D0C49" w:rsidRDefault="00892E1D" w:rsidP="00ED0328">
            <w:pPr>
              <w:pStyle w:val="TableParagraph"/>
              <w:spacing w:after="160" w:line="270" w:lineRule="exact"/>
              <w:ind w:left="88"/>
              <w:jc w:val="center"/>
              <w:rPr>
                <w:rFonts w:ascii="Arial" w:hAnsi="Arial" w:cs="Arial"/>
                <w:sz w:val="20"/>
                <w:szCs w:val="20"/>
              </w:rPr>
            </w:pPr>
            <w:r w:rsidRPr="000D0C49">
              <w:rPr>
                <w:rFonts w:ascii="Arial" w:hAnsi="Arial" w:cs="Arial"/>
                <w:sz w:val="20"/>
                <w:szCs w:val="20"/>
              </w:rPr>
              <w:t>90.88</w:t>
            </w:r>
            <w:r w:rsidR="008E71B0" w:rsidRPr="000D0C49">
              <w:rPr>
                <w:rFonts w:ascii="Arial" w:hAnsi="Arial" w:cs="Arial"/>
                <w:sz w:val="20"/>
                <w:szCs w:val="20"/>
              </w:rPr>
              <w:t xml:space="preserve"> ± </w:t>
            </w:r>
            <w:r w:rsidRPr="000D0C49">
              <w:rPr>
                <w:rFonts w:ascii="Arial" w:hAnsi="Arial" w:cs="Arial"/>
                <w:spacing w:val="-2"/>
                <w:sz w:val="20"/>
                <w:szCs w:val="20"/>
              </w:rPr>
              <w:t>0.57</w:t>
            </w:r>
          </w:p>
        </w:tc>
        <w:tc>
          <w:tcPr>
            <w:tcW w:w="2472" w:type="dxa"/>
          </w:tcPr>
          <w:p w14:paraId="0267E6C6" w14:textId="77777777" w:rsidR="008E71B0" w:rsidRPr="000D0C49" w:rsidRDefault="00953BA0" w:rsidP="00ED0328">
            <w:pPr>
              <w:pStyle w:val="TableParagraph"/>
              <w:spacing w:after="160" w:line="270" w:lineRule="exact"/>
              <w:ind w:left="88"/>
              <w:jc w:val="center"/>
              <w:rPr>
                <w:rFonts w:ascii="Arial" w:hAnsi="Arial" w:cs="Arial"/>
                <w:sz w:val="20"/>
                <w:szCs w:val="20"/>
              </w:rPr>
            </w:pPr>
            <w:r w:rsidRPr="000D0C49">
              <w:rPr>
                <w:rFonts w:ascii="Arial" w:hAnsi="Arial" w:cs="Arial"/>
                <w:sz w:val="20"/>
                <w:szCs w:val="20"/>
              </w:rPr>
              <w:t>6.2</w:t>
            </w:r>
          </w:p>
        </w:tc>
      </w:tr>
      <w:tr w:rsidR="008E71B0" w:rsidRPr="000D0C49" w14:paraId="3618321B" w14:textId="77777777" w:rsidTr="00A4043F">
        <w:trPr>
          <w:trHeight w:val="407"/>
          <w:jc w:val="center"/>
        </w:trPr>
        <w:tc>
          <w:tcPr>
            <w:tcW w:w="1568" w:type="dxa"/>
          </w:tcPr>
          <w:p w14:paraId="749250BF" w14:textId="77777777" w:rsidR="008E71B0" w:rsidRPr="000D0C49" w:rsidRDefault="008E71B0" w:rsidP="00F11B03">
            <w:pPr>
              <w:pStyle w:val="TableParagraph"/>
              <w:spacing w:after="160" w:line="270" w:lineRule="exact"/>
              <w:ind w:right="134"/>
              <w:jc w:val="center"/>
              <w:rPr>
                <w:rFonts w:ascii="Arial" w:hAnsi="Arial" w:cs="Arial"/>
                <w:sz w:val="20"/>
                <w:szCs w:val="20"/>
              </w:rPr>
            </w:pPr>
            <w:r w:rsidRPr="000D0C49">
              <w:rPr>
                <w:rFonts w:ascii="Arial" w:hAnsi="Arial" w:cs="Arial"/>
                <w:spacing w:val="-5"/>
                <w:sz w:val="20"/>
                <w:szCs w:val="20"/>
              </w:rPr>
              <w:t>F8</w:t>
            </w:r>
          </w:p>
        </w:tc>
        <w:tc>
          <w:tcPr>
            <w:tcW w:w="1704" w:type="dxa"/>
          </w:tcPr>
          <w:p w14:paraId="2C30B450" w14:textId="77777777" w:rsidR="008E71B0" w:rsidRPr="000D0C49" w:rsidRDefault="00892E1D" w:rsidP="00F11B03">
            <w:pPr>
              <w:pStyle w:val="TableParagraph"/>
              <w:spacing w:after="160" w:line="270" w:lineRule="exact"/>
              <w:ind w:right="130"/>
              <w:jc w:val="center"/>
              <w:rPr>
                <w:rFonts w:ascii="Arial" w:hAnsi="Arial" w:cs="Arial"/>
                <w:sz w:val="20"/>
                <w:szCs w:val="20"/>
              </w:rPr>
            </w:pPr>
            <w:r w:rsidRPr="000D0C49">
              <w:rPr>
                <w:rFonts w:ascii="Arial" w:hAnsi="Arial" w:cs="Arial"/>
                <w:spacing w:val="-2"/>
                <w:sz w:val="20"/>
                <w:szCs w:val="20"/>
              </w:rPr>
              <w:t>99.63</w:t>
            </w:r>
          </w:p>
        </w:tc>
        <w:tc>
          <w:tcPr>
            <w:tcW w:w="2472" w:type="dxa"/>
          </w:tcPr>
          <w:p w14:paraId="63821D87" w14:textId="77777777" w:rsidR="008E71B0" w:rsidRPr="000D0C49" w:rsidRDefault="00892E1D" w:rsidP="00ED0328">
            <w:pPr>
              <w:pStyle w:val="TableParagraph"/>
              <w:spacing w:after="160" w:line="270" w:lineRule="exact"/>
              <w:ind w:left="229" w:right="135"/>
              <w:jc w:val="center"/>
              <w:rPr>
                <w:rFonts w:ascii="Arial" w:hAnsi="Arial" w:cs="Arial"/>
                <w:sz w:val="20"/>
                <w:szCs w:val="20"/>
              </w:rPr>
            </w:pPr>
            <w:r w:rsidRPr="000D0C49">
              <w:rPr>
                <w:rFonts w:ascii="Arial" w:hAnsi="Arial" w:cs="Arial"/>
                <w:sz w:val="20"/>
                <w:szCs w:val="20"/>
              </w:rPr>
              <w:t xml:space="preserve">90.741 </w:t>
            </w:r>
            <w:r w:rsidR="008E71B0" w:rsidRPr="000D0C49">
              <w:rPr>
                <w:rFonts w:ascii="Arial" w:hAnsi="Arial" w:cs="Arial"/>
                <w:sz w:val="20"/>
                <w:szCs w:val="20"/>
              </w:rPr>
              <w:t xml:space="preserve">± </w:t>
            </w:r>
            <w:r w:rsidRPr="000D0C49">
              <w:rPr>
                <w:rFonts w:ascii="Arial" w:hAnsi="Arial" w:cs="Arial"/>
                <w:spacing w:val="-2"/>
                <w:sz w:val="20"/>
                <w:szCs w:val="20"/>
              </w:rPr>
              <w:t>0.47</w:t>
            </w:r>
          </w:p>
        </w:tc>
        <w:tc>
          <w:tcPr>
            <w:tcW w:w="2472" w:type="dxa"/>
          </w:tcPr>
          <w:p w14:paraId="11B3B44A" w14:textId="77777777" w:rsidR="008E71B0" w:rsidRPr="000D0C49" w:rsidRDefault="00953BA0" w:rsidP="00ED0328">
            <w:pPr>
              <w:pStyle w:val="TableParagraph"/>
              <w:spacing w:after="160" w:line="270" w:lineRule="exact"/>
              <w:ind w:left="229" w:right="135"/>
              <w:jc w:val="center"/>
              <w:rPr>
                <w:rFonts w:ascii="Arial" w:hAnsi="Arial" w:cs="Arial"/>
                <w:sz w:val="20"/>
                <w:szCs w:val="20"/>
              </w:rPr>
            </w:pPr>
            <w:r w:rsidRPr="000D0C49">
              <w:rPr>
                <w:rFonts w:ascii="Arial" w:hAnsi="Arial" w:cs="Arial"/>
                <w:sz w:val="20"/>
                <w:szCs w:val="20"/>
              </w:rPr>
              <w:t>6</w:t>
            </w:r>
          </w:p>
        </w:tc>
      </w:tr>
      <w:tr w:rsidR="008E71B0" w:rsidRPr="000D0C49" w14:paraId="364B8193" w14:textId="77777777" w:rsidTr="00A4043F">
        <w:trPr>
          <w:trHeight w:val="409"/>
          <w:jc w:val="center"/>
        </w:trPr>
        <w:tc>
          <w:tcPr>
            <w:tcW w:w="1568" w:type="dxa"/>
          </w:tcPr>
          <w:p w14:paraId="59470AA0" w14:textId="77777777" w:rsidR="008E71B0" w:rsidRPr="000D0C49" w:rsidRDefault="008E71B0" w:rsidP="00F11B03">
            <w:pPr>
              <w:pStyle w:val="TableParagraph"/>
              <w:spacing w:after="160" w:line="270" w:lineRule="exact"/>
              <w:ind w:right="134"/>
              <w:jc w:val="center"/>
              <w:rPr>
                <w:rFonts w:ascii="Arial" w:hAnsi="Arial" w:cs="Arial"/>
                <w:sz w:val="20"/>
                <w:szCs w:val="20"/>
              </w:rPr>
            </w:pPr>
            <w:r w:rsidRPr="000D0C49">
              <w:rPr>
                <w:rFonts w:ascii="Arial" w:hAnsi="Arial" w:cs="Arial"/>
                <w:spacing w:val="-5"/>
                <w:sz w:val="20"/>
                <w:szCs w:val="20"/>
              </w:rPr>
              <w:t>F9</w:t>
            </w:r>
          </w:p>
        </w:tc>
        <w:tc>
          <w:tcPr>
            <w:tcW w:w="1704" w:type="dxa"/>
          </w:tcPr>
          <w:p w14:paraId="156F8DA5" w14:textId="77777777" w:rsidR="008E71B0" w:rsidRPr="000D0C49" w:rsidRDefault="00892E1D" w:rsidP="00F11B03">
            <w:pPr>
              <w:pStyle w:val="TableParagraph"/>
              <w:spacing w:after="160" w:line="270" w:lineRule="exact"/>
              <w:ind w:right="130"/>
              <w:jc w:val="center"/>
              <w:rPr>
                <w:rFonts w:ascii="Arial" w:hAnsi="Arial" w:cs="Arial"/>
                <w:sz w:val="20"/>
                <w:szCs w:val="20"/>
              </w:rPr>
            </w:pPr>
            <w:r w:rsidRPr="000D0C49">
              <w:rPr>
                <w:rFonts w:ascii="Arial" w:hAnsi="Arial" w:cs="Arial"/>
                <w:spacing w:val="-2"/>
                <w:sz w:val="20"/>
                <w:szCs w:val="20"/>
              </w:rPr>
              <w:t>99.47</w:t>
            </w:r>
          </w:p>
        </w:tc>
        <w:tc>
          <w:tcPr>
            <w:tcW w:w="2472" w:type="dxa"/>
          </w:tcPr>
          <w:p w14:paraId="7399AD88" w14:textId="77777777" w:rsidR="008E71B0" w:rsidRPr="000D0C49" w:rsidRDefault="00892E1D" w:rsidP="00ED0328">
            <w:pPr>
              <w:pStyle w:val="TableParagraph"/>
              <w:spacing w:after="160" w:line="270" w:lineRule="exact"/>
              <w:ind w:left="88"/>
              <w:jc w:val="center"/>
              <w:rPr>
                <w:rFonts w:ascii="Arial" w:hAnsi="Arial" w:cs="Arial"/>
                <w:sz w:val="20"/>
                <w:szCs w:val="20"/>
              </w:rPr>
            </w:pPr>
            <w:r w:rsidRPr="000D0C49">
              <w:rPr>
                <w:rFonts w:ascii="Arial" w:hAnsi="Arial" w:cs="Arial"/>
                <w:sz w:val="20"/>
                <w:szCs w:val="20"/>
              </w:rPr>
              <w:t>89.56</w:t>
            </w:r>
            <w:r w:rsidR="008E71B0" w:rsidRPr="000D0C49">
              <w:rPr>
                <w:rFonts w:ascii="Arial" w:hAnsi="Arial" w:cs="Arial"/>
                <w:sz w:val="20"/>
                <w:szCs w:val="20"/>
              </w:rPr>
              <w:t xml:space="preserve"> ± </w:t>
            </w:r>
            <w:r w:rsidRPr="000D0C49">
              <w:rPr>
                <w:rFonts w:ascii="Arial" w:hAnsi="Arial" w:cs="Arial"/>
                <w:spacing w:val="-2"/>
                <w:sz w:val="20"/>
                <w:szCs w:val="20"/>
              </w:rPr>
              <w:t>0.971</w:t>
            </w:r>
          </w:p>
        </w:tc>
        <w:tc>
          <w:tcPr>
            <w:tcW w:w="2472" w:type="dxa"/>
          </w:tcPr>
          <w:p w14:paraId="69A33C41" w14:textId="77777777" w:rsidR="008E71B0" w:rsidRPr="000D0C49" w:rsidRDefault="0078646B" w:rsidP="00ED0328">
            <w:pPr>
              <w:pStyle w:val="TableParagraph"/>
              <w:spacing w:after="160" w:line="270" w:lineRule="exact"/>
              <w:ind w:left="88"/>
              <w:jc w:val="center"/>
              <w:rPr>
                <w:rFonts w:ascii="Arial" w:hAnsi="Arial" w:cs="Arial"/>
                <w:sz w:val="20"/>
                <w:szCs w:val="20"/>
              </w:rPr>
            </w:pPr>
            <w:r w:rsidRPr="000D0C49">
              <w:rPr>
                <w:rFonts w:ascii="Arial" w:hAnsi="Arial" w:cs="Arial"/>
                <w:sz w:val="20"/>
                <w:szCs w:val="20"/>
              </w:rPr>
              <w:t>6.5</w:t>
            </w:r>
          </w:p>
        </w:tc>
      </w:tr>
    </w:tbl>
    <w:p w14:paraId="09B6B6D4" w14:textId="77777777" w:rsidR="004C63C2" w:rsidRPr="000D0C49" w:rsidRDefault="00A52E1D" w:rsidP="00F11B03">
      <w:pPr>
        <w:pStyle w:val="BodyText"/>
        <w:tabs>
          <w:tab w:val="right" w:pos="9639"/>
        </w:tabs>
        <w:spacing w:before="130" w:after="160"/>
        <w:ind w:right="92"/>
        <w:jc w:val="both"/>
        <w:rPr>
          <w:rFonts w:ascii="Arial" w:hAnsi="Arial" w:cs="Arial"/>
          <w:b/>
          <w:spacing w:val="-5"/>
          <w:sz w:val="20"/>
          <w:szCs w:val="20"/>
        </w:rPr>
      </w:pPr>
      <w:r w:rsidRPr="000D0C49">
        <w:rPr>
          <w:rFonts w:ascii="Arial" w:hAnsi="Arial" w:cs="Arial"/>
          <w:b/>
          <w:sz w:val="20"/>
          <w:szCs w:val="20"/>
        </w:rPr>
        <w:t>3.2</w:t>
      </w:r>
      <w:r w:rsidRPr="000D0C49">
        <w:rPr>
          <w:rFonts w:ascii="Arial" w:hAnsi="Arial" w:cs="Arial"/>
          <w:b/>
          <w:i/>
          <w:sz w:val="20"/>
          <w:szCs w:val="20"/>
        </w:rPr>
        <w:t xml:space="preserve"> In</w:t>
      </w:r>
      <w:r w:rsidRPr="000D0C49">
        <w:rPr>
          <w:rFonts w:ascii="Arial" w:hAnsi="Arial" w:cs="Arial"/>
          <w:b/>
          <w:i/>
          <w:spacing w:val="-1"/>
          <w:sz w:val="20"/>
          <w:szCs w:val="20"/>
        </w:rPr>
        <w:t xml:space="preserve"> </w:t>
      </w:r>
      <w:r w:rsidRPr="000D0C49">
        <w:rPr>
          <w:rFonts w:ascii="Arial" w:hAnsi="Arial" w:cs="Arial"/>
          <w:b/>
          <w:i/>
          <w:sz w:val="20"/>
          <w:szCs w:val="20"/>
        </w:rPr>
        <w:t xml:space="preserve">Vitro </w:t>
      </w:r>
      <w:r w:rsidRPr="000D0C49">
        <w:rPr>
          <w:rFonts w:ascii="Arial" w:hAnsi="Arial" w:cs="Arial"/>
          <w:b/>
          <w:sz w:val="20"/>
          <w:szCs w:val="20"/>
        </w:rPr>
        <w:t>Drug</w:t>
      </w:r>
      <w:r w:rsidRPr="000D0C49">
        <w:rPr>
          <w:rFonts w:ascii="Arial" w:hAnsi="Arial" w:cs="Arial"/>
          <w:b/>
          <w:spacing w:val="-2"/>
          <w:sz w:val="20"/>
          <w:szCs w:val="20"/>
        </w:rPr>
        <w:t xml:space="preserve"> </w:t>
      </w:r>
      <w:r w:rsidRPr="000D0C49">
        <w:rPr>
          <w:rFonts w:ascii="Arial" w:hAnsi="Arial" w:cs="Arial"/>
          <w:b/>
          <w:sz w:val="20"/>
          <w:szCs w:val="20"/>
        </w:rPr>
        <w:t>Release</w:t>
      </w:r>
      <w:r w:rsidRPr="000D0C49">
        <w:rPr>
          <w:rFonts w:ascii="Arial" w:hAnsi="Arial" w:cs="Arial"/>
          <w:b/>
          <w:spacing w:val="-3"/>
          <w:sz w:val="20"/>
          <w:szCs w:val="20"/>
        </w:rPr>
        <w:t xml:space="preserve"> Studies </w:t>
      </w:r>
    </w:p>
    <w:p w14:paraId="41908F00" w14:textId="77777777" w:rsidR="001701AA" w:rsidRPr="0073417E" w:rsidRDefault="00914255" w:rsidP="00F11B03">
      <w:pPr>
        <w:pStyle w:val="BodyText"/>
        <w:tabs>
          <w:tab w:val="right" w:pos="9639"/>
        </w:tabs>
        <w:spacing w:before="130" w:after="160"/>
        <w:ind w:right="92"/>
        <w:jc w:val="both"/>
        <w:rPr>
          <w:rFonts w:ascii="Arial" w:hAnsi="Arial" w:cs="Arial"/>
          <w:b/>
          <w:spacing w:val="-5"/>
          <w:sz w:val="20"/>
          <w:szCs w:val="20"/>
        </w:rPr>
      </w:pPr>
      <w:r w:rsidRPr="0073417E">
        <w:rPr>
          <w:rFonts w:ascii="Arial" w:hAnsi="Arial" w:cs="Arial"/>
          <w:sz w:val="20"/>
          <w:szCs w:val="20"/>
        </w:rPr>
        <w:t>The in vitro release profile of Loratadine demonstrated immediate drug release with zero lag time in an acidic medium (pH 1.2, 0.1N HCl) over a 6-hour duration. This consistent release behavior can be attributed to the enhanced solubility of Loratadine under acidic conditions. Among the tested formulations, F7 exhibited the most stable and sustained release, with drug release percentages ranging from 27.92 ± 0.35% to 56.17 ± 0.33% across all formulations in pH 1.2 over the study period</w:t>
      </w:r>
      <w:r w:rsidR="00562229">
        <w:rPr>
          <w:rFonts w:ascii="Arial" w:hAnsi="Arial" w:cs="Arial"/>
          <w:sz w:val="20"/>
          <w:szCs w:val="20"/>
        </w:rPr>
        <w:t xml:space="preserve"> [25,26]</w:t>
      </w:r>
      <w:r w:rsidRPr="0073417E">
        <w:rPr>
          <w:rFonts w:ascii="Arial" w:hAnsi="Arial" w:cs="Arial"/>
          <w:sz w:val="20"/>
          <w:szCs w:val="20"/>
        </w:rPr>
        <w:t>.</w:t>
      </w:r>
    </w:p>
    <w:p w14:paraId="61CABE60" w14:textId="77777777" w:rsidR="00413FBE" w:rsidRPr="000D0C49" w:rsidRDefault="005F6712" w:rsidP="00F11B03">
      <w:pPr>
        <w:pStyle w:val="BodyText"/>
        <w:tabs>
          <w:tab w:val="left" w:pos="4052"/>
        </w:tabs>
        <w:spacing w:before="132" w:after="160"/>
        <w:jc w:val="center"/>
        <w:rPr>
          <w:rFonts w:ascii="Arial" w:hAnsi="Arial" w:cs="Arial"/>
          <w:sz w:val="20"/>
          <w:szCs w:val="20"/>
        </w:rPr>
      </w:pPr>
      <w:r w:rsidRPr="000D0C49">
        <w:rPr>
          <w:rFonts w:ascii="Arial" w:hAnsi="Arial" w:cs="Arial"/>
          <w:sz w:val="20"/>
          <w:szCs w:val="20"/>
        </w:rPr>
        <w:lastRenderedPageBreak/>
        <w:br w:type="textWrapping" w:clear="all"/>
      </w:r>
      <w:r w:rsidR="00971DA7" w:rsidRPr="000D0C49">
        <w:rPr>
          <w:rFonts w:ascii="Arial" w:hAnsi="Arial" w:cs="Arial"/>
          <w:noProof/>
          <w:sz w:val="20"/>
          <w:szCs w:val="20"/>
          <w:lang w:val="en-IN" w:eastAsia="en-IN"/>
        </w:rPr>
        <w:drawing>
          <wp:inline distT="0" distB="0" distL="0" distR="0" wp14:anchorId="791BDBAA" wp14:editId="3CC70D75">
            <wp:extent cx="5153025" cy="32385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F65EBD" w14:textId="77777777" w:rsidR="00413FBE" w:rsidRPr="000D0C49" w:rsidRDefault="00413FBE" w:rsidP="00F11B03">
      <w:pPr>
        <w:jc w:val="center"/>
        <w:rPr>
          <w:rFonts w:ascii="Arial" w:hAnsi="Arial" w:cs="Arial"/>
          <w:b/>
          <w:sz w:val="20"/>
          <w:szCs w:val="20"/>
          <w:lang w:val="en-US"/>
        </w:rPr>
      </w:pPr>
      <w:r w:rsidRPr="000D0C49">
        <w:rPr>
          <w:rFonts w:ascii="Arial" w:hAnsi="Arial" w:cs="Arial"/>
          <w:b/>
          <w:sz w:val="20"/>
          <w:szCs w:val="20"/>
          <w:lang w:val="en-US"/>
        </w:rPr>
        <w:t xml:space="preserve">Fig 1: </w:t>
      </w:r>
      <w:r w:rsidRPr="000D0C49">
        <w:rPr>
          <w:rFonts w:ascii="Arial" w:hAnsi="Arial" w:cs="Arial"/>
          <w:b/>
          <w:sz w:val="20"/>
          <w:szCs w:val="20"/>
        </w:rPr>
        <w:t>Cumulative</w:t>
      </w:r>
      <w:r w:rsidRPr="000D0C49">
        <w:rPr>
          <w:rFonts w:ascii="Arial" w:hAnsi="Arial" w:cs="Arial"/>
          <w:b/>
          <w:spacing w:val="-2"/>
          <w:sz w:val="20"/>
          <w:szCs w:val="20"/>
        </w:rPr>
        <w:t xml:space="preserve"> </w:t>
      </w:r>
      <w:r w:rsidRPr="000D0C49">
        <w:rPr>
          <w:rFonts w:ascii="Arial" w:hAnsi="Arial" w:cs="Arial"/>
          <w:b/>
          <w:sz w:val="20"/>
          <w:szCs w:val="20"/>
        </w:rPr>
        <w:t>drug</w:t>
      </w:r>
      <w:r w:rsidRPr="000D0C49">
        <w:rPr>
          <w:rFonts w:ascii="Arial" w:hAnsi="Arial" w:cs="Arial"/>
          <w:b/>
          <w:spacing w:val="1"/>
          <w:sz w:val="20"/>
          <w:szCs w:val="20"/>
        </w:rPr>
        <w:t xml:space="preserve"> </w:t>
      </w:r>
      <w:r w:rsidRPr="000D0C49">
        <w:rPr>
          <w:rFonts w:ascii="Arial" w:hAnsi="Arial" w:cs="Arial"/>
          <w:b/>
          <w:sz w:val="20"/>
          <w:szCs w:val="20"/>
        </w:rPr>
        <w:t>release</w:t>
      </w:r>
    </w:p>
    <w:p w14:paraId="3B9D47C9" w14:textId="77777777" w:rsidR="00740BDE" w:rsidRPr="000D0C49" w:rsidRDefault="00971DA7" w:rsidP="00F11B03">
      <w:pPr>
        <w:spacing w:before="240"/>
        <w:jc w:val="both"/>
        <w:rPr>
          <w:rFonts w:ascii="Arial" w:hAnsi="Arial" w:cs="Arial"/>
          <w:b/>
          <w:sz w:val="20"/>
          <w:szCs w:val="20"/>
        </w:rPr>
      </w:pPr>
      <w:r w:rsidRPr="000D0C49">
        <w:rPr>
          <w:rFonts w:ascii="Arial" w:hAnsi="Arial" w:cs="Arial"/>
          <w:b/>
          <w:sz w:val="20"/>
          <w:szCs w:val="20"/>
        </w:rPr>
        <w:t xml:space="preserve">3.3 </w:t>
      </w:r>
      <w:r w:rsidR="00740BDE" w:rsidRPr="000D0C49">
        <w:rPr>
          <w:rFonts w:ascii="Arial" w:hAnsi="Arial" w:cs="Arial"/>
          <w:b/>
          <w:sz w:val="20"/>
          <w:szCs w:val="20"/>
        </w:rPr>
        <w:t xml:space="preserve">Drug </w:t>
      </w:r>
      <w:r w:rsidR="00BF2AA6" w:rsidRPr="000D0C49">
        <w:rPr>
          <w:rFonts w:ascii="Arial" w:hAnsi="Arial" w:cs="Arial"/>
          <w:b/>
          <w:sz w:val="20"/>
          <w:szCs w:val="20"/>
        </w:rPr>
        <w:t xml:space="preserve">Excipient Compatibility Studies </w:t>
      </w:r>
    </w:p>
    <w:p w14:paraId="1BD7BCAB" w14:textId="77777777" w:rsidR="001701AA" w:rsidRPr="000D0C49" w:rsidRDefault="00971DA7" w:rsidP="001701AA">
      <w:pPr>
        <w:pStyle w:val="BodyText"/>
        <w:spacing w:before="1" w:after="160"/>
        <w:ind w:right="92"/>
        <w:jc w:val="both"/>
        <w:rPr>
          <w:rFonts w:ascii="Arial" w:hAnsi="Arial" w:cs="Arial"/>
          <w:b/>
          <w:sz w:val="20"/>
          <w:szCs w:val="20"/>
          <w:u w:val="single"/>
        </w:rPr>
      </w:pPr>
      <w:r w:rsidRPr="000D0C49">
        <w:rPr>
          <w:rFonts w:ascii="Arial" w:hAnsi="Arial" w:cs="Arial"/>
          <w:b/>
          <w:sz w:val="20"/>
          <w:szCs w:val="20"/>
          <w:u w:val="single"/>
        </w:rPr>
        <w:t xml:space="preserve">3.3.1 </w:t>
      </w:r>
      <w:r w:rsidR="00740BDE" w:rsidRPr="000D0C49">
        <w:rPr>
          <w:rFonts w:ascii="Arial" w:hAnsi="Arial" w:cs="Arial"/>
          <w:b/>
          <w:sz w:val="20"/>
          <w:szCs w:val="20"/>
          <w:u w:val="single"/>
        </w:rPr>
        <w:t xml:space="preserve">Fourier </w:t>
      </w:r>
      <w:r w:rsidRPr="000D0C49">
        <w:rPr>
          <w:rFonts w:ascii="Arial" w:hAnsi="Arial" w:cs="Arial"/>
          <w:b/>
          <w:sz w:val="20"/>
          <w:szCs w:val="20"/>
          <w:u w:val="single"/>
        </w:rPr>
        <w:t>transform infrared spectroscopy</w:t>
      </w:r>
      <w:r w:rsidR="00914255" w:rsidRPr="000D0C49">
        <w:rPr>
          <w:rFonts w:ascii="Arial" w:hAnsi="Arial" w:cs="Arial"/>
          <w:b/>
          <w:sz w:val="20"/>
          <w:szCs w:val="20"/>
          <w:u w:val="single"/>
        </w:rPr>
        <w:t xml:space="preserve"> (FTIR)</w:t>
      </w:r>
    </w:p>
    <w:p w14:paraId="3E6DAD02" w14:textId="77777777" w:rsidR="00670775" w:rsidRPr="000D0C49" w:rsidRDefault="00670775" w:rsidP="00B01467">
      <w:pPr>
        <w:pStyle w:val="BodyText"/>
        <w:spacing w:before="1" w:after="160"/>
        <w:ind w:right="117"/>
        <w:jc w:val="both"/>
        <w:rPr>
          <w:rFonts w:ascii="Arial" w:hAnsi="Arial" w:cs="Arial"/>
          <w:sz w:val="20"/>
          <w:szCs w:val="20"/>
        </w:rPr>
      </w:pPr>
      <w:r w:rsidRPr="000D0C49">
        <w:rPr>
          <w:rFonts w:ascii="Arial" w:hAnsi="Arial" w:cs="Arial"/>
          <w:noProof/>
          <w:sz w:val="20"/>
          <w:szCs w:val="20"/>
          <w:lang w:val="en-IN" w:eastAsia="en-IN"/>
        </w:rPr>
        <w:drawing>
          <wp:anchor distT="0" distB="0" distL="114300" distR="114300" simplePos="0" relativeHeight="251666432" behindDoc="0" locked="0" layoutInCell="1" allowOverlap="1" wp14:anchorId="3B5C0F5B" wp14:editId="55C5E555">
            <wp:simplePos x="0" y="0"/>
            <wp:positionH relativeFrom="margin">
              <wp:posOffset>105600</wp:posOffset>
            </wp:positionH>
            <wp:positionV relativeFrom="paragraph">
              <wp:posOffset>1229912</wp:posOffset>
            </wp:positionV>
            <wp:extent cx="5645150" cy="2061210"/>
            <wp:effectExtent l="0" t="0" r="0" b="0"/>
            <wp:wrapTopAndBottom/>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45150" cy="2061210"/>
                    </a:xfrm>
                    <a:prstGeom prst="rect">
                      <a:avLst/>
                    </a:prstGeom>
                  </pic:spPr>
                </pic:pic>
              </a:graphicData>
            </a:graphic>
            <wp14:sizeRelH relativeFrom="margin">
              <wp14:pctWidth>0</wp14:pctWidth>
            </wp14:sizeRelH>
            <wp14:sizeRelV relativeFrom="margin">
              <wp14:pctHeight>0</wp14:pctHeight>
            </wp14:sizeRelV>
          </wp:anchor>
        </w:drawing>
      </w:r>
      <w:r w:rsidRPr="000D0C49">
        <w:rPr>
          <w:rFonts w:ascii="Arial" w:hAnsi="Arial" w:cs="Arial"/>
          <w:sz w:val="20"/>
          <w:szCs w:val="20"/>
        </w:rPr>
        <w:t>The infrared (IR) spectrum of Loratadine exhibited a characteristic peak at 1274.72 cm</w:t>
      </w:r>
      <w:r w:rsidRPr="000D0C49">
        <w:rPr>
          <w:rFonts w:ascii="Cambria Math" w:hAnsi="Cambria Math" w:cs="Cambria Math"/>
          <w:sz w:val="20"/>
          <w:szCs w:val="20"/>
        </w:rPr>
        <w:t>⁻</w:t>
      </w:r>
      <w:r w:rsidRPr="000D0C49">
        <w:rPr>
          <w:rFonts w:ascii="Arial" w:hAnsi="Arial" w:cs="Arial"/>
          <w:sz w:val="20"/>
          <w:szCs w:val="20"/>
        </w:rPr>
        <w:t>¹, corresponding to C–O stretching of the carboxylate group. Peaks observed at 1560.13 cm</w:t>
      </w:r>
      <w:r w:rsidRPr="000D0C49">
        <w:rPr>
          <w:rFonts w:ascii="Cambria Math" w:hAnsi="Cambria Math" w:cs="Cambria Math"/>
          <w:sz w:val="20"/>
          <w:szCs w:val="20"/>
        </w:rPr>
        <w:t>⁻</w:t>
      </w:r>
      <w:r w:rsidRPr="000D0C49">
        <w:rPr>
          <w:rFonts w:ascii="Arial" w:hAnsi="Arial" w:cs="Arial"/>
          <w:sz w:val="20"/>
          <w:szCs w:val="20"/>
        </w:rPr>
        <w:t>¹ and 1435.74 cm</w:t>
      </w:r>
      <w:r w:rsidRPr="000D0C49">
        <w:rPr>
          <w:rFonts w:ascii="Cambria Math" w:hAnsi="Cambria Math" w:cs="Cambria Math"/>
          <w:sz w:val="20"/>
          <w:szCs w:val="20"/>
        </w:rPr>
        <w:t>⁻</w:t>
      </w:r>
      <w:r w:rsidRPr="000D0C49">
        <w:rPr>
          <w:rFonts w:ascii="Arial" w:hAnsi="Arial" w:cs="Arial"/>
          <w:sz w:val="20"/>
          <w:szCs w:val="20"/>
        </w:rPr>
        <w:t>¹ were attributed to the stretching vibrations of the benzene ring. The peak at 1321.96 cm</w:t>
      </w:r>
      <w:r w:rsidRPr="000D0C49">
        <w:rPr>
          <w:rFonts w:ascii="Cambria Math" w:hAnsi="Cambria Math" w:cs="Cambria Math"/>
          <w:sz w:val="20"/>
          <w:szCs w:val="20"/>
        </w:rPr>
        <w:t>⁻</w:t>
      </w:r>
      <w:r w:rsidRPr="000D0C49">
        <w:rPr>
          <w:rFonts w:ascii="Arial" w:hAnsi="Arial" w:cs="Arial"/>
          <w:sz w:val="20"/>
          <w:szCs w:val="20"/>
        </w:rPr>
        <w:t>¹ was indicative of C–N stretching within the aryl amine group, while the peak at 748.03 cm</w:t>
      </w:r>
      <w:r w:rsidRPr="000D0C49">
        <w:rPr>
          <w:rFonts w:ascii="Cambria Math" w:hAnsi="Cambria Math" w:cs="Cambria Math"/>
          <w:sz w:val="20"/>
          <w:szCs w:val="20"/>
        </w:rPr>
        <w:t>⁻</w:t>
      </w:r>
      <w:r w:rsidRPr="000D0C49">
        <w:rPr>
          <w:rFonts w:ascii="Arial" w:hAnsi="Arial" w:cs="Arial"/>
          <w:sz w:val="20"/>
          <w:szCs w:val="20"/>
        </w:rPr>
        <w:t>¹ was associated with aryl C–Cl stretching. Additionally, a peak at 1702.84 cm</w:t>
      </w:r>
      <w:r w:rsidRPr="000D0C49">
        <w:rPr>
          <w:rFonts w:ascii="Cambria Math" w:hAnsi="Cambria Math" w:cs="Cambria Math"/>
          <w:sz w:val="20"/>
          <w:szCs w:val="20"/>
        </w:rPr>
        <w:t>⁻</w:t>
      </w:r>
      <w:r w:rsidRPr="000D0C49">
        <w:rPr>
          <w:rFonts w:ascii="Arial" w:hAnsi="Arial" w:cs="Arial"/>
          <w:sz w:val="20"/>
          <w:szCs w:val="20"/>
        </w:rPr>
        <w:t>¹ was assigned to the C=O stretching vibration of the ester functional group. These distinctive spectral features were also present in the IR spectrum of the formulated product, confirming that the chemical structure of Loratadine remained intact during formulation.</w:t>
      </w:r>
    </w:p>
    <w:p w14:paraId="10930B1C" w14:textId="77777777" w:rsidR="001701AA" w:rsidRPr="000D0C49" w:rsidRDefault="001701AA" w:rsidP="00670775">
      <w:pPr>
        <w:pStyle w:val="BodyText"/>
        <w:spacing w:before="1" w:after="160"/>
        <w:ind w:right="92"/>
        <w:jc w:val="both"/>
        <w:rPr>
          <w:rFonts w:ascii="Arial" w:hAnsi="Arial" w:cs="Arial"/>
        </w:rPr>
      </w:pPr>
    </w:p>
    <w:p w14:paraId="741DDB6E" w14:textId="77777777" w:rsidR="003071A9" w:rsidRPr="000D0C49" w:rsidRDefault="00C65EAC" w:rsidP="003071A9">
      <w:pPr>
        <w:jc w:val="center"/>
        <w:rPr>
          <w:rFonts w:ascii="Arial" w:hAnsi="Arial" w:cs="Arial"/>
          <w:b/>
          <w:sz w:val="20"/>
          <w:szCs w:val="20"/>
        </w:rPr>
      </w:pPr>
      <w:r w:rsidRPr="000D0C49">
        <w:rPr>
          <w:rFonts w:ascii="Arial" w:hAnsi="Arial" w:cs="Arial"/>
          <w:b/>
          <w:sz w:val="20"/>
          <w:szCs w:val="20"/>
        </w:rPr>
        <w:t xml:space="preserve">Fig 2: FTIR </w:t>
      </w:r>
      <w:r w:rsidRPr="000D0C49">
        <w:rPr>
          <w:rFonts w:ascii="Arial" w:hAnsi="Arial" w:cs="Arial"/>
          <w:b/>
          <w:spacing w:val="-2"/>
          <w:sz w:val="20"/>
          <w:szCs w:val="20"/>
        </w:rPr>
        <w:t>spectra</w:t>
      </w:r>
      <w:r w:rsidRPr="000D0C49">
        <w:rPr>
          <w:rFonts w:ascii="Arial" w:hAnsi="Arial" w:cs="Arial"/>
          <w:b/>
          <w:noProof/>
          <w:sz w:val="20"/>
          <w:szCs w:val="20"/>
          <w:lang w:eastAsia="en-IN"/>
        </w:rPr>
        <w:t xml:space="preserve"> of </w:t>
      </w:r>
      <w:r w:rsidRPr="000D0C49">
        <w:rPr>
          <w:rFonts w:ascii="Arial" w:hAnsi="Arial" w:cs="Arial"/>
          <w:b/>
          <w:sz w:val="20"/>
          <w:szCs w:val="20"/>
        </w:rPr>
        <w:t>Loratadine</w:t>
      </w:r>
    </w:p>
    <w:p w14:paraId="3877F5E2" w14:textId="77777777" w:rsidR="007D2BE8" w:rsidRPr="000D0C49" w:rsidRDefault="001701AA" w:rsidP="003071A9">
      <w:pPr>
        <w:jc w:val="center"/>
        <w:rPr>
          <w:rFonts w:ascii="Arial" w:hAnsi="Arial" w:cs="Arial"/>
          <w:b/>
          <w:sz w:val="20"/>
          <w:szCs w:val="20"/>
        </w:rPr>
      </w:pPr>
      <w:r w:rsidRPr="000D0C49">
        <w:rPr>
          <w:rFonts w:ascii="Arial" w:hAnsi="Arial" w:cs="Arial"/>
          <w:noProof/>
          <w:sz w:val="20"/>
          <w:szCs w:val="20"/>
          <w:lang w:eastAsia="en-IN"/>
        </w:rPr>
        <w:lastRenderedPageBreak/>
        <w:drawing>
          <wp:anchor distT="0" distB="0" distL="114300" distR="114300" simplePos="0" relativeHeight="251663360" behindDoc="0" locked="0" layoutInCell="1" allowOverlap="1" wp14:anchorId="23FBCE77" wp14:editId="0E2C63E1">
            <wp:simplePos x="0" y="0"/>
            <wp:positionH relativeFrom="margin">
              <wp:align>center</wp:align>
            </wp:positionH>
            <wp:positionV relativeFrom="paragraph">
              <wp:posOffset>266</wp:posOffset>
            </wp:positionV>
            <wp:extent cx="5613400" cy="2115820"/>
            <wp:effectExtent l="0" t="0" r="6350" b="0"/>
            <wp:wrapTopAndBottom/>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3400" cy="2115820"/>
                    </a:xfrm>
                    <a:prstGeom prst="rect">
                      <a:avLst/>
                    </a:prstGeom>
                  </pic:spPr>
                </pic:pic>
              </a:graphicData>
            </a:graphic>
            <wp14:sizeRelH relativeFrom="page">
              <wp14:pctWidth>0</wp14:pctWidth>
            </wp14:sizeRelH>
            <wp14:sizeRelV relativeFrom="page">
              <wp14:pctHeight>0</wp14:pctHeight>
            </wp14:sizeRelV>
          </wp:anchor>
        </w:drawing>
      </w:r>
      <w:r w:rsidR="00C65EAC" w:rsidRPr="000D0C49">
        <w:rPr>
          <w:rFonts w:ascii="Arial" w:hAnsi="Arial" w:cs="Arial"/>
          <w:b/>
          <w:sz w:val="20"/>
          <w:szCs w:val="20"/>
          <w:lang w:val="en-US"/>
        </w:rPr>
        <w:t xml:space="preserve">Fig 3: </w:t>
      </w:r>
      <w:r w:rsidR="00C65EAC" w:rsidRPr="000D0C49">
        <w:rPr>
          <w:rFonts w:ascii="Arial" w:hAnsi="Arial" w:cs="Arial"/>
          <w:b/>
          <w:sz w:val="20"/>
          <w:szCs w:val="20"/>
        </w:rPr>
        <w:t>FTIR</w:t>
      </w:r>
      <w:r w:rsidR="00C65EAC" w:rsidRPr="000D0C49">
        <w:rPr>
          <w:rFonts w:ascii="Arial" w:hAnsi="Arial" w:cs="Arial"/>
          <w:b/>
          <w:spacing w:val="-2"/>
          <w:sz w:val="20"/>
          <w:szCs w:val="20"/>
        </w:rPr>
        <w:t xml:space="preserve"> spectra of </w:t>
      </w:r>
      <w:r w:rsidR="00C65EAC" w:rsidRPr="000D0C49">
        <w:rPr>
          <w:rFonts w:ascii="Arial" w:hAnsi="Arial" w:cs="Arial"/>
          <w:b/>
          <w:sz w:val="20"/>
          <w:szCs w:val="20"/>
        </w:rPr>
        <w:t>Formulation F7</w:t>
      </w:r>
    </w:p>
    <w:p w14:paraId="6D20C0BB" w14:textId="77777777" w:rsidR="001701AA" w:rsidRPr="000D0C49" w:rsidRDefault="001701AA" w:rsidP="00F11B03">
      <w:pPr>
        <w:jc w:val="both"/>
        <w:rPr>
          <w:rFonts w:ascii="Arial" w:hAnsi="Arial" w:cs="Arial"/>
          <w:b/>
          <w:sz w:val="20"/>
          <w:szCs w:val="20"/>
        </w:rPr>
      </w:pPr>
    </w:p>
    <w:p w14:paraId="1C8EB9C6" w14:textId="77777777" w:rsidR="00C65EAC" w:rsidRPr="000D0C49" w:rsidRDefault="00BF2AA6" w:rsidP="00F11B03">
      <w:pPr>
        <w:jc w:val="both"/>
        <w:rPr>
          <w:rFonts w:ascii="Arial" w:hAnsi="Arial" w:cs="Arial"/>
          <w:b/>
          <w:sz w:val="20"/>
          <w:szCs w:val="20"/>
          <w:u w:val="single"/>
        </w:rPr>
      </w:pPr>
      <w:r w:rsidRPr="000D0C49">
        <w:rPr>
          <w:rFonts w:ascii="Arial" w:hAnsi="Arial" w:cs="Arial"/>
          <w:b/>
          <w:sz w:val="20"/>
          <w:szCs w:val="20"/>
          <w:u w:val="single"/>
        </w:rPr>
        <w:t>3.3.2 D</w:t>
      </w:r>
      <w:r w:rsidR="00EB4EA5" w:rsidRPr="000D0C49">
        <w:rPr>
          <w:rFonts w:ascii="Arial" w:hAnsi="Arial" w:cs="Arial"/>
          <w:b/>
          <w:sz w:val="20"/>
          <w:szCs w:val="20"/>
          <w:u w:val="single"/>
        </w:rPr>
        <w:t>i</w:t>
      </w:r>
      <w:r w:rsidRPr="000D0C49">
        <w:rPr>
          <w:rFonts w:ascii="Arial" w:hAnsi="Arial" w:cs="Arial"/>
          <w:b/>
          <w:sz w:val="20"/>
          <w:szCs w:val="20"/>
          <w:u w:val="single"/>
        </w:rPr>
        <w:t>fferential scanning calorimetry</w:t>
      </w:r>
    </w:p>
    <w:p w14:paraId="2A79B3E0" w14:textId="77777777" w:rsidR="001701AA" w:rsidRPr="000D0C49" w:rsidRDefault="001750BA" w:rsidP="001701AA">
      <w:pPr>
        <w:pStyle w:val="BodyText"/>
        <w:spacing w:after="160"/>
        <w:ind w:right="41"/>
        <w:jc w:val="both"/>
        <w:rPr>
          <w:rFonts w:ascii="Arial" w:hAnsi="Arial" w:cs="Arial"/>
          <w:sz w:val="20"/>
          <w:szCs w:val="20"/>
        </w:rPr>
      </w:pPr>
      <w:r>
        <w:rPr>
          <w:rFonts w:ascii="Arial" w:hAnsi="Arial" w:cs="Arial"/>
          <w:sz w:val="20"/>
          <w:szCs w:val="20"/>
        </w:rPr>
        <w:t>DSC</w:t>
      </w:r>
      <w:r w:rsidR="00670775" w:rsidRPr="000D0C49">
        <w:rPr>
          <w:rFonts w:ascii="Arial" w:hAnsi="Arial" w:cs="Arial"/>
          <w:sz w:val="20"/>
          <w:szCs w:val="20"/>
        </w:rPr>
        <w:t xml:space="preserve"> thermogram of the pure drug Loratadine </w:t>
      </w:r>
      <w:r w:rsidR="0081749F">
        <w:rPr>
          <w:rFonts w:ascii="Arial" w:hAnsi="Arial" w:cs="Arial"/>
          <w:sz w:val="20"/>
          <w:szCs w:val="20"/>
        </w:rPr>
        <w:t>showe</w:t>
      </w:r>
      <w:r w:rsidR="00670775" w:rsidRPr="000D0C49">
        <w:rPr>
          <w:rFonts w:ascii="Arial" w:hAnsi="Arial" w:cs="Arial"/>
          <w:sz w:val="20"/>
          <w:szCs w:val="20"/>
        </w:rPr>
        <w:t>d a sharp endothermic peak at 140°C, corresponding to its melting point and indicating its crystalline nature. In contrast, the DSC thermogram of formulation F7 showed the absence of this sharp peak,</w:t>
      </w:r>
      <w:r w:rsidR="00CD440A">
        <w:rPr>
          <w:rFonts w:ascii="Arial" w:hAnsi="Arial" w:cs="Arial"/>
          <w:sz w:val="20"/>
          <w:szCs w:val="20"/>
        </w:rPr>
        <w:t xml:space="preserve"> suggesting that Loratadine is converted </w:t>
      </w:r>
      <w:r w:rsidR="00670775" w:rsidRPr="000D0C49">
        <w:rPr>
          <w:rFonts w:ascii="Arial" w:hAnsi="Arial" w:cs="Arial"/>
          <w:sz w:val="20"/>
          <w:szCs w:val="20"/>
        </w:rPr>
        <w:t xml:space="preserve">from a crystalline to an amorphous state within the formulation. Additionally, two distinct thermal events were observed at 232°C and 262°C, which are indicative of the thermal degradation of the carriers </w:t>
      </w:r>
      <w:proofErr w:type="spellStart"/>
      <w:r w:rsidR="00670775" w:rsidRPr="000D0C49">
        <w:rPr>
          <w:rFonts w:ascii="Arial" w:hAnsi="Arial" w:cs="Arial"/>
          <w:sz w:val="20"/>
          <w:szCs w:val="20"/>
        </w:rPr>
        <w:t>Gelucire</w:t>
      </w:r>
      <w:proofErr w:type="spellEnd"/>
      <w:r w:rsidR="00670775" w:rsidRPr="000D0C49">
        <w:rPr>
          <w:rFonts w:ascii="Arial" w:hAnsi="Arial" w:cs="Arial"/>
          <w:sz w:val="20"/>
          <w:szCs w:val="20"/>
        </w:rPr>
        <w:t xml:space="preserve"> 43/01 and </w:t>
      </w:r>
      <w:proofErr w:type="spellStart"/>
      <w:r w:rsidR="00670775" w:rsidRPr="000D0C49">
        <w:rPr>
          <w:rFonts w:ascii="Arial" w:hAnsi="Arial" w:cs="Arial"/>
          <w:sz w:val="20"/>
          <w:szCs w:val="20"/>
        </w:rPr>
        <w:t>Gelucire</w:t>
      </w:r>
      <w:proofErr w:type="spellEnd"/>
      <w:r w:rsidR="00670775" w:rsidRPr="000D0C49">
        <w:rPr>
          <w:rFonts w:ascii="Arial" w:hAnsi="Arial" w:cs="Arial"/>
          <w:sz w:val="20"/>
          <w:szCs w:val="20"/>
        </w:rPr>
        <w:t xml:space="preserve"> 50/13, respectively.</w:t>
      </w:r>
    </w:p>
    <w:p w14:paraId="19F67524" w14:textId="77777777" w:rsidR="001D2474" w:rsidRPr="000D0C49" w:rsidRDefault="001D2474" w:rsidP="00CA1DE2">
      <w:pPr>
        <w:pStyle w:val="BodyText"/>
        <w:spacing w:after="160"/>
        <w:ind w:right="41"/>
        <w:jc w:val="center"/>
        <w:rPr>
          <w:rFonts w:ascii="Arial" w:hAnsi="Arial" w:cs="Arial"/>
          <w:sz w:val="20"/>
          <w:szCs w:val="20"/>
        </w:rPr>
      </w:pPr>
      <w:r w:rsidRPr="000D0C49">
        <w:rPr>
          <w:rFonts w:ascii="Arial" w:hAnsi="Arial" w:cs="Arial"/>
          <w:noProof/>
          <w:sz w:val="20"/>
          <w:szCs w:val="20"/>
          <w:lang w:val="en-IN" w:eastAsia="en-IN"/>
        </w:rPr>
        <w:drawing>
          <wp:inline distT="0" distB="0" distL="0" distR="0" wp14:anchorId="58006E80" wp14:editId="239C1472">
            <wp:extent cx="5177790" cy="430593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7790" cy="4305935"/>
                    </a:xfrm>
                    <a:prstGeom prst="rect">
                      <a:avLst/>
                    </a:prstGeom>
                    <a:noFill/>
                    <a:ln>
                      <a:noFill/>
                    </a:ln>
                  </pic:spPr>
                </pic:pic>
              </a:graphicData>
            </a:graphic>
          </wp:inline>
        </w:drawing>
      </w:r>
    </w:p>
    <w:p w14:paraId="1EF8949C" w14:textId="77777777" w:rsidR="00C65EAC" w:rsidRPr="000D0C49" w:rsidRDefault="00BF2AA6" w:rsidP="00BF2AA6">
      <w:pPr>
        <w:tabs>
          <w:tab w:val="left" w:pos="2344"/>
        </w:tabs>
        <w:spacing w:before="240"/>
        <w:jc w:val="center"/>
        <w:rPr>
          <w:rFonts w:ascii="Arial" w:hAnsi="Arial" w:cs="Arial"/>
          <w:b/>
          <w:sz w:val="20"/>
          <w:szCs w:val="20"/>
          <w:lang w:val="en-US"/>
        </w:rPr>
      </w:pPr>
      <w:r w:rsidRPr="000D0C49">
        <w:rPr>
          <w:rFonts w:ascii="Arial" w:hAnsi="Arial" w:cs="Arial"/>
          <w:b/>
          <w:sz w:val="20"/>
          <w:szCs w:val="20"/>
          <w:lang w:val="en-US"/>
        </w:rPr>
        <w:t>Fig</w:t>
      </w:r>
      <w:r w:rsidR="00EB4EA5" w:rsidRPr="000D0C49">
        <w:rPr>
          <w:rFonts w:ascii="Arial" w:hAnsi="Arial" w:cs="Arial"/>
          <w:b/>
          <w:sz w:val="20"/>
          <w:szCs w:val="20"/>
          <w:lang w:val="en-US"/>
        </w:rPr>
        <w:t xml:space="preserve"> 4: DSC of Loratadine and Formulation 7</w:t>
      </w:r>
    </w:p>
    <w:p w14:paraId="4169F6CB" w14:textId="77777777" w:rsidR="00BF2AA6" w:rsidRPr="000D0C49" w:rsidRDefault="00BF2AA6" w:rsidP="00F11B03">
      <w:pPr>
        <w:spacing w:before="240"/>
        <w:jc w:val="both"/>
        <w:rPr>
          <w:rFonts w:ascii="Arial" w:hAnsi="Arial" w:cs="Arial"/>
          <w:b/>
          <w:sz w:val="20"/>
          <w:szCs w:val="20"/>
          <w:u w:val="single"/>
        </w:rPr>
      </w:pPr>
    </w:p>
    <w:p w14:paraId="192DA696" w14:textId="77777777" w:rsidR="00091FB5" w:rsidRPr="000D0C49" w:rsidRDefault="00BF2AA6" w:rsidP="00F11B03">
      <w:pPr>
        <w:spacing w:before="240"/>
        <w:jc w:val="both"/>
        <w:rPr>
          <w:rFonts w:ascii="Arial" w:hAnsi="Arial" w:cs="Arial"/>
          <w:b/>
          <w:sz w:val="20"/>
          <w:szCs w:val="20"/>
          <w:u w:val="single"/>
        </w:rPr>
      </w:pPr>
      <w:r w:rsidRPr="000D0C49">
        <w:rPr>
          <w:rFonts w:ascii="Arial" w:hAnsi="Arial" w:cs="Arial"/>
          <w:b/>
          <w:sz w:val="20"/>
          <w:szCs w:val="20"/>
          <w:u w:val="single"/>
        </w:rPr>
        <w:lastRenderedPageBreak/>
        <w:t>3.3.3 X-Ray Diffraction</w:t>
      </w:r>
    </w:p>
    <w:p w14:paraId="075C7DFF" w14:textId="77777777" w:rsidR="001701AA" w:rsidRPr="000D0C49" w:rsidRDefault="00BF2AA6" w:rsidP="001701AA">
      <w:pPr>
        <w:spacing w:before="100" w:beforeAutospacing="1" w:after="100" w:afterAutospacing="1"/>
        <w:jc w:val="both"/>
        <w:rPr>
          <w:rFonts w:ascii="Arial" w:eastAsia="Times New Roman" w:hAnsi="Arial" w:cs="Arial"/>
          <w:sz w:val="20"/>
          <w:szCs w:val="20"/>
          <w:lang w:eastAsia="en-IN"/>
        </w:rPr>
      </w:pPr>
      <w:r w:rsidRPr="0073417E">
        <w:rPr>
          <w:rFonts w:ascii="Arial" w:hAnsi="Arial" w:cs="Arial"/>
          <w:b/>
          <w:noProof/>
          <w:sz w:val="20"/>
          <w:szCs w:val="20"/>
          <w:lang w:eastAsia="en-IN"/>
        </w:rPr>
        <w:drawing>
          <wp:anchor distT="0" distB="0" distL="114300" distR="114300" simplePos="0" relativeHeight="251665408" behindDoc="0" locked="0" layoutInCell="1" allowOverlap="1" wp14:anchorId="35C91B21" wp14:editId="7F227FED">
            <wp:simplePos x="0" y="0"/>
            <wp:positionH relativeFrom="margin">
              <wp:posOffset>238125</wp:posOffset>
            </wp:positionH>
            <wp:positionV relativeFrom="paragraph">
              <wp:posOffset>1019175</wp:posOffset>
            </wp:positionV>
            <wp:extent cx="5455920" cy="49225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5920" cy="4922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4255" w:rsidRPr="0073417E">
        <w:rPr>
          <w:rFonts w:ascii="Arial" w:hAnsi="Arial" w:cs="Arial"/>
          <w:sz w:val="20"/>
          <w:szCs w:val="20"/>
        </w:rPr>
        <w:t>X-ray diffraction analysis was performed on both pure Loratadine and formulation F7. The diffractogram of the pure drug displayed sharp and intense peaks, characteristic of its crystalline structure. However, these distinct peaks were absent in the diffractogram of formulation F7, indicating a transformation of Loratadine from a crystalline to an amorphous state. This conversion to an amorphous form within the lipid-based matrix is associated with an improvement in the drug’s dissolution rate</w:t>
      </w:r>
      <w:r w:rsidR="001701AA" w:rsidRPr="000D0C49">
        <w:rPr>
          <w:rFonts w:ascii="Arial" w:eastAsia="Times New Roman" w:hAnsi="Arial" w:cs="Arial"/>
          <w:sz w:val="20"/>
          <w:szCs w:val="20"/>
          <w:lang w:eastAsia="en-IN"/>
        </w:rPr>
        <w:t>.</w:t>
      </w:r>
    </w:p>
    <w:p w14:paraId="025A4747" w14:textId="77777777" w:rsidR="001701AA" w:rsidRPr="000D0C49" w:rsidRDefault="00BF2AA6" w:rsidP="00BF2AA6">
      <w:pPr>
        <w:tabs>
          <w:tab w:val="left" w:pos="2177"/>
        </w:tabs>
        <w:spacing w:before="240"/>
        <w:jc w:val="center"/>
        <w:rPr>
          <w:rFonts w:ascii="Arial" w:hAnsi="Arial" w:cs="Arial"/>
          <w:b/>
          <w:sz w:val="20"/>
          <w:szCs w:val="20"/>
          <w:lang w:val="en-US"/>
        </w:rPr>
      </w:pPr>
      <w:r w:rsidRPr="000D0C49">
        <w:rPr>
          <w:rFonts w:ascii="Arial" w:hAnsi="Arial" w:cs="Arial"/>
          <w:b/>
          <w:sz w:val="20"/>
          <w:szCs w:val="20"/>
          <w:lang w:val="en-US"/>
        </w:rPr>
        <w:t>Fig 5</w:t>
      </w:r>
      <w:r w:rsidR="00091FB5" w:rsidRPr="000D0C49">
        <w:rPr>
          <w:rFonts w:ascii="Arial" w:hAnsi="Arial" w:cs="Arial"/>
          <w:b/>
          <w:sz w:val="20"/>
          <w:szCs w:val="20"/>
          <w:lang w:val="en-US"/>
        </w:rPr>
        <w:t>: XRD of Loratadine and Formulation 7</w:t>
      </w:r>
    </w:p>
    <w:p w14:paraId="5C6D25A4" w14:textId="77777777" w:rsidR="00546B75" w:rsidRPr="000D0C49" w:rsidRDefault="00BF2AA6" w:rsidP="00670775">
      <w:pPr>
        <w:pStyle w:val="Heading2"/>
        <w:tabs>
          <w:tab w:val="left" w:pos="4629"/>
        </w:tabs>
        <w:spacing w:after="160" w:line="276" w:lineRule="auto"/>
        <w:ind w:left="0"/>
        <w:rPr>
          <w:rFonts w:ascii="Arial" w:hAnsi="Arial" w:cs="Arial"/>
          <w:sz w:val="22"/>
          <w:szCs w:val="20"/>
        </w:rPr>
      </w:pPr>
      <w:r w:rsidRPr="000D0C49">
        <w:rPr>
          <w:rFonts w:ascii="Arial" w:hAnsi="Arial" w:cs="Arial"/>
          <w:spacing w:val="-2"/>
          <w:sz w:val="22"/>
          <w:szCs w:val="20"/>
        </w:rPr>
        <w:t>4. CONCLUSION</w:t>
      </w:r>
    </w:p>
    <w:p w14:paraId="6249DCEB" w14:textId="77777777" w:rsidR="00A171C2" w:rsidRDefault="00670775" w:rsidP="00A171C2">
      <w:pPr>
        <w:jc w:val="both"/>
        <w:rPr>
          <w:rFonts w:ascii="Arial" w:hAnsi="Arial" w:cs="Arial"/>
          <w:b/>
        </w:rPr>
      </w:pPr>
      <w:r w:rsidRPr="000D0C49">
        <w:rPr>
          <w:rFonts w:ascii="Arial" w:hAnsi="Arial" w:cs="Arial"/>
          <w:sz w:val="20"/>
          <w:szCs w:val="20"/>
        </w:rPr>
        <w:t xml:space="preserve">The present study focused on the formulation of lipid-based delivery systems for Loratadine using </w:t>
      </w:r>
      <w:proofErr w:type="spellStart"/>
      <w:r w:rsidRPr="000D0C49">
        <w:rPr>
          <w:rFonts w:ascii="Arial" w:hAnsi="Arial" w:cs="Arial"/>
          <w:sz w:val="20"/>
          <w:szCs w:val="20"/>
        </w:rPr>
        <w:t>Gelucire</w:t>
      </w:r>
      <w:proofErr w:type="spellEnd"/>
      <w:r w:rsidRPr="000D0C49">
        <w:rPr>
          <w:rFonts w:ascii="Arial" w:hAnsi="Arial" w:cs="Arial"/>
          <w:sz w:val="20"/>
          <w:szCs w:val="20"/>
        </w:rPr>
        <w:t xml:space="preserve"> 43/01 and </w:t>
      </w:r>
      <w:proofErr w:type="spellStart"/>
      <w:r w:rsidRPr="000D0C49">
        <w:rPr>
          <w:rFonts w:ascii="Arial" w:hAnsi="Arial" w:cs="Arial"/>
          <w:sz w:val="20"/>
          <w:szCs w:val="20"/>
        </w:rPr>
        <w:t>Gelucire</w:t>
      </w:r>
      <w:proofErr w:type="spellEnd"/>
      <w:r w:rsidRPr="000D0C49">
        <w:rPr>
          <w:rFonts w:ascii="Arial" w:hAnsi="Arial" w:cs="Arial"/>
          <w:sz w:val="20"/>
          <w:szCs w:val="20"/>
        </w:rPr>
        <w:t xml:space="preserve"> 50/13, serving as hydrophobic and hydrophilic carriers, respectively. Among the nine formulations developed, formulation F7 demonstrated optimal performance, exhibiting a production yield of 99.35%, drug content of 90.89 ± 0.591%, and a floating duration of 6 hours. The cumulative drug release from F7 in 0.1 N HCl over 6 hours was 56.17 ± 0.33%. Characterization studies, including DSC, FT-IR, and XRD analyses, confirmed the conversion of Loratadine to its amorphous form within the lipid matrix, which contributed to enhanced dissolution. Furthermore, no significant drug–excipient interactions were observed, indicating compatibility between the drug and carriers.</w:t>
      </w:r>
      <w:r w:rsidR="00A171C2" w:rsidRPr="00A171C2">
        <w:rPr>
          <w:rFonts w:ascii="Arial" w:hAnsi="Arial" w:cs="Arial"/>
          <w:b/>
        </w:rPr>
        <w:t xml:space="preserve"> </w:t>
      </w:r>
    </w:p>
    <w:p w14:paraId="2B4B19EE" w14:textId="77777777" w:rsidR="004775D6" w:rsidRDefault="004775D6" w:rsidP="00A171C2">
      <w:pPr>
        <w:jc w:val="both"/>
        <w:rPr>
          <w:rFonts w:ascii="Arial" w:hAnsi="Arial" w:cs="Arial"/>
          <w:b/>
        </w:rPr>
      </w:pPr>
    </w:p>
    <w:p w14:paraId="5FEDAA76" w14:textId="77777777" w:rsidR="004775D6" w:rsidRDefault="004775D6" w:rsidP="004775D6">
      <w:pPr>
        <w:jc w:val="both"/>
        <w:rPr>
          <w:rFonts w:ascii="Arial" w:hAnsi="Arial" w:cs="Arial"/>
          <w:b/>
        </w:rPr>
      </w:pPr>
    </w:p>
    <w:p w14:paraId="1B1318DC" w14:textId="77777777" w:rsidR="004775D6" w:rsidRDefault="004775D6" w:rsidP="004775D6">
      <w:pPr>
        <w:jc w:val="both"/>
        <w:rPr>
          <w:rFonts w:ascii="Arial" w:hAnsi="Arial" w:cs="Arial"/>
          <w:b/>
        </w:rPr>
      </w:pPr>
    </w:p>
    <w:p w14:paraId="4A0DE411" w14:textId="77777777" w:rsidR="00025CC6" w:rsidRDefault="00025CC6" w:rsidP="00025CC6">
      <w:pPr>
        <w:jc w:val="both"/>
        <w:rPr>
          <w:rFonts w:ascii="Arial" w:hAnsi="Arial" w:cs="Arial"/>
          <w:b/>
        </w:rPr>
      </w:pPr>
    </w:p>
    <w:p w14:paraId="11F34C00" w14:textId="77777777" w:rsidR="00025CC6" w:rsidRPr="00883285" w:rsidRDefault="00025CC6" w:rsidP="00025CC6">
      <w:pPr>
        <w:jc w:val="both"/>
        <w:rPr>
          <w:rFonts w:ascii="Arial" w:hAnsi="Arial" w:cs="Arial"/>
          <w:b/>
        </w:rPr>
      </w:pPr>
      <w:r>
        <w:rPr>
          <w:rFonts w:ascii="Arial" w:hAnsi="Arial" w:cs="Arial"/>
          <w:b/>
        </w:rPr>
        <w:t xml:space="preserve">5. </w:t>
      </w:r>
      <w:r w:rsidRPr="00883285">
        <w:rPr>
          <w:rFonts w:ascii="Arial" w:hAnsi="Arial" w:cs="Arial"/>
          <w:b/>
        </w:rPr>
        <w:t xml:space="preserve">REFERENCE </w:t>
      </w:r>
    </w:p>
    <w:p w14:paraId="3DB75E16"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sz w:val="20"/>
          <w:szCs w:val="20"/>
        </w:rPr>
        <w:t xml:space="preserve">Meins J, Behnam D, Abdel-Tawab M, 2018. Enhanced absorption of </w:t>
      </w:r>
      <w:proofErr w:type="spellStart"/>
      <w:r w:rsidRPr="00883285">
        <w:rPr>
          <w:rFonts w:ascii="Arial" w:hAnsi="Arial" w:cs="Arial"/>
          <w:sz w:val="20"/>
          <w:szCs w:val="20"/>
        </w:rPr>
        <w:t>boswellic</w:t>
      </w:r>
      <w:proofErr w:type="spellEnd"/>
      <w:r w:rsidRPr="00883285">
        <w:rPr>
          <w:rFonts w:ascii="Arial" w:hAnsi="Arial" w:cs="Arial"/>
          <w:sz w:val="20"/>
          <w:szCs w:val="20"/>
        </w:rPr>
        <w:t xml:space="preserve"> acids by a micellar solubilized delivery form of Boswellia, extract NFS J, 11, 12–16. </w:t>
      </w:r>
    </w:p>
    <w:p w14:paraId="3EA153C6"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sz w:val="20"/>
          <w:szCs w:val="20"/>
        </w:rPr>
        <w:t xml:space="preserve">Vijayarani KR, Govindarajulu M, Ramesh S, </w:t>
      </w:r>
      <w:proofErr w:type="spellStart"/>
      <w:r w:rsidRPr="00883285">
        <w:rPr>
          <w:rFonts w:ascii="Arial" w:hAnsi="Arial" w:cs="Arial"/>
          <w:sz w:val="20"/>
          <w:szCs w:val="20"/>
        </w:rPr>
        <w:t>Alturki</w:t>
      </w:r>
      <w:proofErr w:type="spellEnd"/>
      <w:r w:rsidRPr="00883285">
        <w:rPr>
          <w:rFonts w:ascii="Arial" w:hAnsi="Arial" w:cs="Arial"/>
          <w:sz w:val="20"/>
          <w:szCs w:val="20"/>
        </w:rPr>
        <w:t xml:space="preserve"> M, et al, 2020. Enhanced Bioavailability of </w:t>
      </w:r>
      <w:proofErr w:type="spellStart"/>
      <w:r w:rsidRPr="00883285">
        <w:rPr>
          <w:rFonts w:ascii="Arial" w:hAnsi="Arial" w:cs="Arial"/>
          <w:sz w:val="20"/>
          <w:szCs w:val="20"/>
        </w:rPr>
        <w:t>Boswellic</w:t>
      </w:r>
      <w:proofErr w:type="spellEnd"/>
      <w:r w:rsidRPr="00883285">
        <w:rPr>
          <w:rFonts w:ascii="Arial" w:hAnsi="Arial" w:cs="Arial"/>
          <w:sz w:val="20"/>
          <w:szCs w:val="20"/>
        </w:rPr>
        <w:t xml:space="preserve"> Acid by Piper longum A Computational and Pharmacokinetic Study, Front </w:t>
      </w:r>
      <w:proofErr w:type="spellStart"/>
      <w:r w:rsidRPr="00883285">
        <w:rPr>
          <w:rFonts w:ascii="Arial" w:hAnsi="Arial" w:cs="Arial"/>
          <w:sz w:val="20"/>
          <w:szCs w:val="20"/>
        </w:rPr>
        <w:t>Pharmacol</w:t>
      </w:r>
      <w:proofErr w:type="spellEnd"/>
      <w:r w:rsidRPr="00883285">
        <w:rPr>
          <w:rFonts w:ascii="Arial" w:hAnsi="Arial" w:cs="Arial"/>
          <w:sz w:val="20"/>
          <w:szCs w:val="20"/>
        </w:rPr>
        <w:t>, 11, 1-8.</w:t>
      </w:r>
    </w:p>
    <w:p w14:paraId="4E17AE57"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color w:val="212121"/>
          <w:sz w:val="20"/>
          <w:szCs w:val="20"/>
          <w:shd w:val="clear" w:color="auto" w:fill="FFFFFF"/>
        </w:rPr>
        <w:t xml:space="preserve">Shrestha H, Bala R, Arora S. Lipid-Based Drug Delivery Systems. J Pharm (Cairo). </w:t>
      </w:r>
      <w:proofErr w:type="gramStart"/>
      <w:r w:rsidRPr="00883285">
        <w:rPr>
          <w:rFonts w:ascii="Arial" w:hAnsi="Arial" w:cs="Arial"/>
          <w:color w:val="212121"/>
          <w:sz w:val="20"/>
          <w:szCs w:val="20"/>
          <w:shd w:val="clear" w:color="auto" w:fill="FFFFFF"/>
        </w:rPr>
        <w:t>2014;2014:801820</w:t>
      </w:r>
      <w:proofErr w:type="gramEnd"/>
      <w:r w:rsidRPr="00883285">
        <w:rPr>
          <w:rFonts w:ascii="Arial" w:hAnsi="Arial" w:cs="Arial"/>
          <w:color w:val="212121"/>
          <w:sz w:val="20"/>
          <w:szCs w:val="20"/>
          <w:shd w:val="clear" w:color="auto" w:fill="FFFFFF"/>
        </w:rPr>
        <w:t xml:space="preserve">. </w:t>
      </w:r>
      <w:proofErr w:type="spellStart"/>
      <w:r w:rsidRPr="00883285">
        <w:rPr>
          <w:rFonts w:ascii="Arial" w:hAnsi="Arial" w:cs="Arial"/>
          <w:color w:val="212121"/>
          <w:sz w:val="20"/>
          <w:szCs w:val="20"/>
          <w:shd w:val="clear" w:color="auto" w:fill="FFFFFF"/>
        </w:rPr>
        <w:t>doi</w:t>
      </w:r>
      <w:proofErr w:type="spellEnd"/>
      <w:r w:rsidRPr="00883285">
        <w:rPr>
          <w:rFonts w:ascii="Arial" w:hAnsi="Arial" w:cs="Arial"/>
          <w:color w:val="212121"/>
          <w:sz w:val="20"/>
          <w:szCs w:val="20"/>
          <w:shd w:val="clear" w:color="auto" w:fill="FFFFFF"/>
        </w:rPr>
        <w:t xml:space="preserve">: 10.1155/2014/801820. </w:t>
      </w:r>
      <w:proofErr w:type="spellStart"/>
      <w:r w:rsidRPr="00883285">
        <w:rPr>
          <w:rFonts w:ascii="Arial" w:hAnsi="Arial" w:cs="Arial"/>
          <w:color w:val="212121"/>
          <w:sz w:val="20"/>
          <w:szCs w:val="20"/>
          <w:shd w:val="clear" w:color="auto" w:fill="FFFFFF"/>
        </w:rPr>
        <w:t>Epub</w:t>
      </w:r>
      <w:proofErr w:type="spellEnd"/>
      <w:r w:rsidRPr="00883285">
        <w:rPr>
          <w:rFonts w:ascii="Arial" w:hAnsi="Arial" w:cs="Arial"/>
          <w:color w:val="212121"/>
          <w:sz w:val="20"/>
          <w:szCs w:val="20"/>
          <w:shd w:val="clear" w:color="auto" w:fill="FFFFFF"/>
        </w:rPr>
        <w:t xml:space="preserve"> 2014 May 19. PMID: 26556202; PMCID: PMC4590796.</w:t>
      </w:r>
    </w:p>
    <w:p w14:paraId="7D883085"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sz w:val="20"/>
          <w:szCs w:val="20"/>
        </w:rPr>
        <w:t xml:space="preserve">S. Singh, S. Chakraborty, D. Shukla, B. Mishra, Lipid-An emerging platform for oral delivery of drugs with poor bioavailability, Eur. J. Pharm. Bio. Pharm. 73 (2009) 1-15. </w:t>
      </w:r>
    </w:p>
    <w:p w14:paraId="6CBA5440"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sz w:val="20"/>
          <w:szCs w:val="20"/>
        </w:rPr>
        <w:t xml:space="preserve">P. </w:t>
      </w:r>
      <w:proofErr w:type="spellStart"/>
      <w:r w:rsidRPr="00883285">
        <w:rPr>
          <w:rFonts w:ascii="Arial" w:hAnsi="Arial" w:cs="Arial"/>
          <w:sz w:val="20"/>
          <w:szCs w:val="20"/>
        </w:rPr>
        <w:t>Upadhaya</w:t>
      </w:r>
      <w:proofErr w:type="spellEnd"/>
      <w:r w:rsidRPr="00883285">
        <w:rPr>
          <w:rFonts w:ascii="Arial" w:hAnsi="Arial" w:cs="Arial"/>
          <w:sz w:val="20"/>
          <w:szCs w:val="20"/>
        </w:rPr>
        <w:t xml:space="preserve">, J.K. Pandit, A.K. </w:t>
      </w:r>
      <w:proofErr w:type="spellStart"/>
      <w:r w:rsidRPr="00883285">
        <w:rPr>
          <w:rFonts w:ascii="Arial" w:hAnsi="Arial" w:cs="Arial"/>
          <w:sz w:val="20"/>
          <w:szCs w:val="20"/>
        </w:rPr>
        <w:t>Wahi</w:t>
      </w:r>
      <w:proofErr w:type="spellEnd"/>
      <w:r w:rsidRPr="00883285">
        <w:rPr>
          <w:rFonts w:ascii="Arial" w:hAnsi="Arial" w:cs="Arial"/>
          <w:sz w:val="20"/>
          <w:szCs w:val="20"/>
        </w:rPr>
        <w:t xml:space="preserve">, </w:t>
      </w:r>
      <w:proofErr w:type="spellStart"/>
      <w:r w:rsidRPr="00883285">
        <w:rPr>
          <w:rFonts w:ascii="Arial" w:hAnsi="Arial" w:cs="Arial"/>
          <w:sz w:val="20"/>
          <w:szCs w:val="20"/>
        </w:rPr>
        <w:t>Gelucire</w:t>
      </w:r>
      <w:proofErr w:type="spellEnd"/>
      <w:r w:rsidRPr="00883285">
        <w:rPr>
          <w:rFonts w:ascii="Arial" w:hAnsi="Arial" w:cs="Arial"/>
          <w:sz w:val="20"/>
          <w:szCs w:val="20"/>
        </w:rPr>
        <w:t xml:space="preserve">: an alternative formulation technological tool for both sustained and fast release of drugs in treating </w:t>
      </w:r>
      <w:proofErr w:type="spellStart"/>
      <w:r w:rsidRPr="00883285">
        <w:rPr>
          <w:rFonts w:ascii="Arial" w:hAnsi="Arial" w:cs="Arial"/>
          <w:sz w:val="20"/>
          <w:szCs w:val="20"/>
        </w:rPr>
        <w:t>diabetis</w:t>
      </w:r>
      <w:proofErr w:type="spellEnd"/>
      <w:r w:rsidRPr="00883285">
        <w:rPr>
          <w:rFonts w:ascii="Arial" w:hAnsi="Arial" w:cs="Arial"/>
          <w:sz w:val="20"/>
          <w:szCs w:val="20"/>
        </w:rPr>
        <w:t xml:space="preserve"> mellitus type II disease, J. Sci. Ind. Res. 72 (2016) 776-780.</w:t>
      </w:r>
    </w:p>
    <w:p w14:paraId="433F17DB"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sz w:val="20"/>
          <w:szCs w:val="20"/>
        </w:rPr>
        <w:t>A.I. Mohamed, E. Mahmoud, Formulation of immediate release pellets containing famotidine solid dispersions, Saudi Pharm. J. 22 (2) (2014) 149-156.</w:t>
      </w:r>
    </w:p>
    <w:p w14:paraId="66830918"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sz w:val="20"/>
          <w:szCs w:val="20"/>
        </w:rPr>
        <w:t xml:space="preserve">A.J. Humberstone, W.N. Charman, Lipid-based vehicles for the oral delivery of poorly </w:t>
      </w:r>
      <w:proofErr w:type="gramStart"/>
      <w:r w:rsidRPr="00883285">
        <w:rPr>
          <w:rFonts w:ascii="Arial" w:hAnsi="Arial" w:cs="Arial"/>
          <w:sz w:val="20"/>
          <w:szCs w:val="20"/>
        </w:rPr>
        <w:t>water soluble</w:t>
      </w:r>
      <w:proofErr w:type="gramEnd"/>
      <w:r w:rsidRPr="00883285">
        <w:rPr>
          <w:rFonts w:ascii="Arial" w:hAnsi="Arial" w:cs="Arial"/>
          <w:sz w:val="20"/>
          <w:szCs w:val="20"/>
        </w:rPr>
        <w:t xml:space="preserve"> drugs, Adv. Drug Del. Rev. 25 (1997) 103–128.</w:t>
      </w:r>
    </w:p>
    <w:p w14:paraId="4C00C412"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sz w:val="20"/>
          <w:szCs w:val="20"/>
        </w:rPr>
        <w:t xml:space="preserve">K.C. Panigrahi, C.N. Patra, </w:t>
      </w:r>
      <w:proofErr w:type="spellStart"/>
      <w:r w:rsidRPr="00883285">
        <w:rPr>
          <w:rFonts w:ascii="Arial" w:hAnsi="Arial" w:cs="Arial"/>
          <w:sz w:val="20"/>
          <w:szCs w:val="20"/>
        </w:rPr>
        <w:t>G.</w:t>
      </w:r>
      <w:proofErr w:type="gramStart"/>
      <w:r w:rsidRPr="00883285">
        <w:rPr>
          <w:rFonts w:ascii="Arial" w:hAnsi="Arial" w:cs="Arial"/>
          <w:sz w:val="20"/>
          <w:szCs w:val="20"/>
        </w:rPr>
        <w:t>K.Jena</w:t>
      </w:r>
      <w:proofErr w:type="spellEnd"/>
      <w:proofErr w:type="gramEnd"/>
      <w:r w:rsidRPr="00883285">
        <w:rPr>
          <w:rFonts w:ascii="Arial" w:hAnsi="Arial" w:cs="Arial"/>
          <w:sz w:val="20"/>
          <w:szCs w:val="20"/>
        </w:rPr>
        <w:t xml:space="preserve">, </w:t>
      </w:r>
      <w:proofErr w:type="spellStart"/>
      <w:r w:rsidRPr="00883285">
        <w:rPr>
          <w:rFonts w:ascii="Arial" w:hAnsi="Arial" w:cs="Arial"/>
          <w:sz w:val="20"/>
          <w:szCs w:val="20"/>
        </w:rPr>
        <w:t>D.Ghose</w:t>
      </w:r>
      <w:proofErr w:type="spellEnd"/>
      <w:r w:rsidRPr="00883285">
        <w:rPr>
          <w:rFonts w:ascii="Arial" w:hAnsi="Arial" w:cs="Arial"/>
          <w:sz w:val="20"/>
          <w:szCs w:val="20"/>
        </w:rPr>
        <w:t xml:space="preserve">, </w:t>
      </w:r>
      <w:proofErr w:type="spellStart"/>
      <w:r w:rsidRPr="00883285">
        <w:rPr>
          <w:rFonts w:ascii="Arial" w:hAnsi="Arial" w:cs="Arial"/>
          <w:sz w:val="20"/>
          <w:szCs w:val="20"/>
        </w:rPr>
        <w:t>J.Jena</w:t>
      </w:r>
      <w:proofErr w:type="spellEnd"/>
      <w:r w:rsidRPr="00883285">
        <w:rPr>
          <w:rFonts w:ascii="Arial" w:hAnsi="Arial" w:cs="Arial"/>
          <w:sz w:val="20"/>
          <w:szCs w:val="20"/>
        </w:rPr>
        <w:t xml:space="preserve">, S.K. Panda, M. </w:t>
      </w:r>
      <w:proofErr w:type="spellStart"/>
      <w:r w:rsidRPr="00883285">
        <w:rPr>
          <w:rFonts w:ascii="Arial" w:hAnsi="Arial" w:cs="Arial"/>
          <w:sz w:val="20"/>
          <w:szCs w:val="20"/>
        </w:rPr>
        <w:t>Sahu</w:t>
      </w:r>
      <w:proofErr w:type="spellEnd"/>
      <w:r w:rsidRPr="00883285">
        <w:rPr>
          <w:rFonts w:ascii="Arial" w:hAnsi="Arial" w:cs="Arial"/>
          <w:sz w:val="20"/>
          <w:szCs w:val="20"/>
        </w:rPr>
        <w:t xml:space="preserve">, </w:t>
      </w:r>
      <w:proofErr w:type="spellStart"/>
      <w:r w:rsidRPr="00883285">
        <w:rPr>
          <w:rFonts w:ascii="Arial" w:hAnsi="Arial" w:cs="Arial"/>
          <w:sz w:val="20"/>
          <w:szCs w:val="20"/>
        </w:rPr>
        <w:t>Gelucire</w:t>
      </w:r>
      <w:proofErr w:type="spellEnd"/>
      <w:r w:rsidRPr="00883285">
        <w:rPr>
          <w:rFonts w:ascii="Arial" w:hAnsi="Arial" w:cs="Arial"/>
          <w:sz w:val="20"/>
          <w:szCs w:val="20"/>
        </w:rPr>
        <w:t>: A versatile polymer for modified release drug delivery system, Future Journal of Pharmaceutical Sciences. 4 (2018) 102-108.</w:t>
      </w:r>
    </w:p>
    <w:p w14:paraId="546EC506"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sz w:val="20"/>
          <w:szCs w:val="20"/>
        </w:rPr>
        <w:t xml:space="preserve">Zhao S, </w:t>
      </w:r>
      <w:proofErr w:type="spellStart"/>
      <w:r w:rsidRPr="00883285">
        <w:rPr>
          <w:rFonts w:ascii="Arial" w:hAnsi="Arial" w:cs="Arial"/>
          <w:sz w:val="20"/>
          <w:szCs w:val="20"/>
        </w:rPr>
        <w:t>Lv</w:t>
      </w:r>
      <w:proofErr w:type="spellEnd"/>
      <w:r w:rsidRPr="00883285">
        <w:rPr>
          <w:rFonts w:ascii="Arial" w:hAnsi="Arial" w:cs="Arial"/>
          <w:sz w:val="20"/>
          <w:szCs w:val="20"/>
        </w:rPr>
        <w:t xml:space="preserve"> Y, Zhang J-B, et al. </w:t>
      </w:r>
      <w:proofErr w:type="spellStart"/>
      <w:r w:rsidRPr="00883285">
        <w:rPr>
          <w:rFonts w:ascii="Arial" w:hAnsi="Arial" w:cs="Arial"/>
          <w:sz w:val="20"/>
          <w:szCs w:val="20"/>
        </w:rPr>
        <w:t>Gastroretentive</w:t>
      </w:r>
      <w:proofErr w:type="spellEnd"/>
      <w:r w:rsidRPr="00883285">
        <w:rPr>
          <w:rFonts w:ascii="Arial" w:hAnsi="Arial" w:cs="Arial"/>
          <w:sz w:val="20"/>
          <w:szCs w:val="20"/>
        </w:rPr>
        <w:t xml:space="preserve"> drug delivery systems for the treatment of Helicobacter pylori. World J Gastroenterol. 2014;20(28):9321–9329.</w:t>
      </w:r>
    </w:p>
    <w:p w14:paraId="388952E5"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sz w:val="20"/>
          <w:szCs w:val="20"/>
        </w:rPr>
        <w:t xml:space="preserve">Mandal UK, Chatterjee B, </w:t>
      </w:r>
      <w:proofErr w:type="spellStart"/>
      <w:r w:rsidRPr="00883285">
        <w:rPr>
          <w:rFonts w:ascii="Arial" w:hAnsi="Arial" w:cs="Arial"/>
          <w:sz w:val="20"/>
          <w:szCs w:val="20"/>
        </w:rPr>
        <w:t>Senjoti</w:t>
      </w:r>
      <w:proofErr w:type="spellEnd"/>
      <w:r w:rsidRPr="00883285">
        <w:rPr>
          <w:rFonts w:ascii="Arial" w:hAnsi="Arial" w:cs="Arial"/>
          <w:sz w:val="20"/>
          <w:szCs w:val="20"/>
        </w:rPr>
        <w:t xml:space="preserve"> FG. Gastro-retentive drug delivery systems and their in vivo success: a recent update. Asian J Pharm Sci. 2016;11(5):575–584.</w:t>
      </w:r>
    </w:p>
    <w:p w14:paraId="073DDB42"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color w:val="222222"/>
          <w:sz w:val="20"/>
          <w:szCs w:val="20"/>
          <w:shd w:val="clear" w:color="auto" w:fill="FFFFFF"/>
        </w:rPr>
        <w:t xml:space="preserve">Branco AC, Yoshikawa FS, </w:t>
      </w:r>
      <w:proofErr w:type="spellStart"/>
      <w:r w:rsidRPr="00883285">
        <w:rPr>
          <w:rFonts w:ascii="Arial" w:hAnsi="Arial" w:cs="Arial"/>
          <w:color w:val="222222"/>
          <w:sz w:val="20"/>
          <w:szCs w:val="20"/>
          <w:shd w:val="clear" w:color="auto" w:fill="FFFFFF"/>
        </w:rPr>
        <w:t>Pietrobon</w:t>
      </w:r>
      <w:proofErr w:type="spellEnd"/>
      <w:r w:rsidRPr="00883285">
        <w:rPr>
          <w:rFonts w:ascii="Arial" w:hAnsi="Arial" w:cs="Arial"/>
          <w:color w:val="222222"/>
          <w:sz w:val="20"/>
          <w:szCs w:val="20"/>
          <w:shd w:val="clear" w:color="auto" w:fill="FFFFFF"/>
        </w:rPr>
        <w:t xml:space="preserve"> AJ, Sato MN. Role of histamine in modulating the immune response and inflammation. Mediators of inflammation. 2018;2018(1):9524075.</w:t>
      </w:r>
    </w:p>
    <w:p w14:paraId="6B113210"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sz w:val="20"/>
          <w:szCs w:val="20"/>
        </w:rPr>
        <w:t xml:space="preserve">Simons, F. E. R., &amp; Simons, K. J. (2020). </w:t>
      </w:r>
      <w:r w:rsidRPr="00883285">
        <w:rPr>
          <w:rStyle w:val="Emphasis"/>
          <w:rFonts w:ascii="Arial" w:hAnsi="Arial" w:cs="Arial"/>
          <w:sz w:val="20"/>
          <w:szCs w:val="20"/>
        </w:rPr>
        <w:t>Histamine and H1-antihistamines: celebrating a century of progress</w:t>
      </w:r>
      <w:r w:rsidRPr="00883285">
        <w:rPr>
          <w:rFonts w:ascii="Arial" w:hAnsi="Arial" w:cs="Arial"/>
          <w:sz w:val="20"/>
          <w:szCs w:val="20"/>
        </w:rPr>
        <w:t xml:space="preserve">. Journal of Allergy and Clinical Immunology, 145(2), 471–483. </w:t>
      </w:r>
      <w:hyperlink r:id="rId13" w:history="1">
        <w:r w:rsidRPr="00883285">
          <w:rPr>
            <w:rStyle w:val="Hyperlink"/>
            <w:rFonts w:ascii="Arial" w:hAnsi="Arial" w:cs="Arial"/>
            <w:sz w:val="20"/>
            <w:szCs w:val="20"/>
          </w:rPr>
          <w:t>https://doi.org/10.1016/j.jaci.2019.12.979</w:t>
        </w:r>
      </w:hyperlink>
    </w:p>
    <w:p w14:paraId="0DBA8DC5" w14:textId="77777777" w:rsidR="00025CC6" w:rsidRPr="00883285" w:rsidRDefault="00025CC6" w:rsidP="00025CC6">
      <w:pPr>
        <w:pStyle w:val="ListParagraph"/>
        <w:widowControl w:val="0"/>
        <w:numPr>
          <w:ilvl w:val="0"/>
          <w:numId w:val="1"/>
        </w:numPr>
        <w:tabs>
          <w:tab w:val="left" w:pos="1440"/>
        </w:tabs>
        <w:autoSpaceDE w:val="0"/>
        <w:autoSpaceDN w:val="0"/>
        <w:spacing w:before="139"/>
        <w:ind w:left="567" w:right="-164"/>
        <w:contextualSpacing w:val="0"/>
        <w:jc w:val="both"/>
        <w:rPr>
          <w:rFonts w:ascii="Arial" w:hAnsi="Arial" w:cs="Arial"/>
          <w:sz w:val="20"/>
          <w:szCs w:val="20"/>
        </w:rPr>
      </w:pPr>
      <w:r w:rsidRPr="00883285">
        <w:rPr>
          <w:rFonts w:ascii="Arial" w:hAnsi="Arial" w:cs="Arial"/>
          <w:color w:val="222222"/>
          <w:sz w:val="20"/>
          <w:szCs w:val="20"/>
          <w:shd w:val="clear" w:color="auto" w:fill="FFFFFF"/>
        </w:rPr>
        <w:t xml:space="preserve">Islam N, Khan NU, Razzaq A, Menaa F, Khan ZU, Hussain A, Rehman SU, Iqbal H, Ni J. Loratadine oral bioavailability enhancement via solid dispersion loaded </w:t>
      </w:r>
      <w:proofErr w:type="spellStart"/>
      <w:r w:rsidRPr="00883285">
        <w:rPr>
          <w:rFonts w:ascii="Arial" w:hAnsi="Arial" w:cs="Arial"/>
          <w:color w:val="222222"/>
          <w:sz w:val="20"/>
          <w:szCs w:val="20"/>
          <w:shd w:val="clear" w:color="auto" w:fill="FFFFFF"/>
        </w:rPr>
        <w:t>oro</w:t>
      </w:r>
      <w:proofErr w:type="spellEnd"/>
      <w:r w:rsidRPr="00883285">
        <w:rPr>
          <w:rFonts w:ascii="Arial" w:hAnsi="Arial" w:cs="Arial"/>
          <w:color w:val="222222"/>
          <w:sz w:val="20"/>
          <w:szCs w:val="20"/>
          <w:shd w:val="clear" w:color="auto" w:fill="FFFFFF"/>
        </w:rPr>
        <w:t xml:space="preserve">-dispersible films: Formulation, characterization and pharmacokinetics. Colloids and Surfaces B: </w:t>
      </w:r>
      <w:proofErr w:type="spellStart"/>
      <w:r w:rsidRPr="00883285">
        <w:rPr>
          <w:rFonts w:ascii="Arial" w:hAnsi="Arial" w:cs="Arial"/>
          <w:color w:val="222222"/>
          <w:sz w:val="20"/>
          <w:szCs w:val="20"/>
          <w:shd w:val="clear" w:color="auto" w:fill="FFFFFF"/>
        </w:rPr>
        <w:t>Biointerfaces</w:t>
      </w:r>
      <w:proofErr w:type="spellEnd"/>
      <w:r w:rsidRPr="00883285">
        <w:rPr>
          <w:rFonts w:ascii="Arial" w:hAnsi="Arial" w:cs="Arial"/>
          <w:color w:val="222222"/>
          <w:sz w:val="20"/>
          <w:szCs w:val="20"/>
          <w:shd w:val="clear" w:color="auto" w:fill="FFFFFF"/>
        </w:rPr>
        <w:t xml:space="preserve">. 2023 Oct </w:t>
      </w:r>
      <w:proofErr w:type="gramStart"/>
      <w:r w:rsidRPr="00883285">
        <w:rPr>
          <w:rFonts w:ascii="Arial" w:hAnsi="Arial" w:cs="Arial"/>
          <w:color w:val="222222"/>
          <w:sz w:val="20"/>
          <w:szCs w:val="20"/>
          <w:shd w:val="clear" w:color="auto" w:fill="FFFFFF"/>
        </w:rPr>
        <w:t>1;230:113526</w:t>
      </w:r>
      <w:proofErr w:type="gramEnd"/>
      <w:r w:rsidRPr="00883285">
        <w:rPr>
          <w:rFonts w:ascii="Arial" w:hAnsi="Arial" w:cs="Arial"/>
          <w:color w:val="222222"/>
          <w:sz w:val="20"/>
          <w:szCs w:val="20"/>
          <w:shd w:val="clear" w:color="auto" w:fill="FFFFFF"/>
        </w:rPr>
        <w:t>.</w:t>
      </w:r>
      <w:r w:rsidRPr="00883285">
        <w:rPr>
          <w:rFonts w:ascii="Arial" w:hAnsi="Arial" w:cs="Arial"/>
          <w:sz w:val="20"/>
          <w:szCs w:val="20"/>
        </w:rPr>
        <w:t xml:space="preserve"> </w:t>
      </w:r>
    </w:p>
    <w:p w14:paraId="48DD7F14" w14:textId="77777777" w:rsidR="00025CC6" w:rsidRPr="00883285" w:rsidRDefault="00E053BC" w:rsidP="00025CC6">
      <w:pPr>
        <w:pStyle w:val="ListParagraph"/>
        <w:widowControl w:val="0"/>
        <w:numPr>
          <w:ilvl w:val="0"/>
          <w:numId w:val="1"/>
        </w:numPr>
        <w:tabs>
          <w:tab w:val="left" w:pos="1440"/>
        </w:tabs>
        <w:autoSpaceDE w:val="0"/>
        <w:autoSpaceDN w:val="0"/>
        <w:spacing w:before="139"/>
        <w:ind w:left="567" w:right="-164"/>
        <w:contextualSpacing w:val="0"/>
        <w:jc w:val="both"/>
        <w:rPr>
          <w:rFonts w:ascii="Arial" w:hAnsi="Arial" w:cs="Arial"/>
          <w:sz w:val="20"/>
          <w:szCs w:val="20"/>
        </w:rPr>
      </w:pPr>
      <w:hyperlink r:id="rId14">
        <w:r w:rsidR="00025CC6" w:rsidRPr="00883285">
          <w:rPr>
            <w:rFonts w:ascii="Arial" w:hAnsi="Arial" w:cs="Arial"/>
            <w:sz w:val="20"/>
            <w:szCs w:val="20"/>
          </w:rPr>
          <w:t>S.K.</w:t>
        </w:r>
        <w:r w:rsidR="00025CC6" w:rsidRPr="00883285">
          <w:rPr>
            <w:rFonts w:ascii="Arial" w:hAnsi="Arial" w:cs="Arial"/>
            <w:spacing w:val="-10"/>
            <w:sz w:val="20"/>
            <w:szCs w:val="20"/>
          </w:rPr>
          <w:t xml:space="preserve"> </w:t>
        </w:r>
        <w:r w:rsidR="00025CC6" w:rsidRPr="00883285">
          <w:rPr>
            <w:rFonts w:ascii="Arial" w:hAnsi="Arial" w:cs="Arial"/>
            <w:sz w:val="20"/>
            <w:szCs w:val="20"/>
          </w:rPr>
          <w:t>Jain,</w:t>
        </w:r>
        <w:r w:rsidR="00025CC6" w:rsidRPr="00883285">
          <w:rPr>
            <w:rFonts w:ascii="Arial" w:hAnsi="Arial" w:cs="Arial"/>
            <w:spacing w:val="-9"/>
            <w:sz w:val="20"/>
            <w:szCs w:val="20"/>
          </w:rPr>
          <w:t xml:space="preserve"> </w:t>
        </w:r>
        <w:r w:rsidR="00025CC6" w:rsidRPr="00883285">
          <w:rPr>
            <w:rFonts w:ascii="Arial" w:hAnsi="Arial" w:cs="Arial"/>
            <w:sz w:val="20"/>
            <w:szCs w:val="20"/>
          </w:rPr>
          <w:t>A.</w:t>
        </w:r>
        <w:r w:rsidR="00025CC6" w:rsidRPr="00883285">
          <w:rPr>
            <w:rFonts w:ascii="Arial" w:hAnsi="Arial" w:cs="Arial"/>
            <w:spacing w:val="-10"/>
            <w:sz w:val="20"/>
            <w:szCs w:val="20"/>
          </w:rPr>
          <w:t xml:space="preserve"> </w:t>
        </w:r>
        <w:r w:rsidR="00025CC6" w:rsidRPr="00883285">
          <w:rPr>
            <w:rFonts w:ascii="Arial" w:hAnsi="Arial" w:cs="Arial"/>
            <w:sz w:val="20"/>
            <w:szCs w:val="20"/>
          </w:rPr>
          <w:t>Gupta,</w:t>
        </w:r>
        <w:r w:rsidR="00025CC6" w:rsidRPr="00883285">
          <w:rPr>
            <w:rFonts w:ascii="Arial" w:hAnsi="Arial" w:cs="Arial"/>
            <w:spacing w:val="-9"/>
            <w:sz w:val="20"/>
            <w:szCs w:val="20"/>
          </w:rPr>
          <w:t xml:space="preserve"> </w:t>
        </w:r>
        <w:r w:rsidR="00025CC6" w:rsidRPr="00883285">
          <w:rPr>
            <w:rFonts w:ascii="Arial" w:hAnsi="Arial" w:cs="Arial"/>
            <w:sz w:val="20"/>
            <w:szCs w:val="20"/>
          </w:rPr>
          <w:t>Development</w:t>
        </w:r>
        <w:r w:rsidR="00025CC6" w:rsidRPr="00883285">
          <w:rPr>
            <w:rFonts w:ascii="Arial" w:hAnsi="Arial" w:cs="Arial"/>
            <w:spacing w:val="-9"/>
            <w:sz w:val="20"/>
            <w:szCs w:val="20"/>
          </w:rPr>
          <w:t xml:space="preserve"> </w:t>
        </w:r>
        <w:r w:rsidR="00025CC6" w:rsidRPr="00883285">
          <w:rPr>
            <w:rFonts w:ascii="Arial" w:hAnsi="Arial" w:cs="Arial"/>
            <w:sz w:val="20"/>
            <w:szCs w:val="20"/>
          </w:rPr>
          <w:t>of</w:t>
        </w:r>
        <w:r w:rsidR="00025CC6" w:rsidRPr="00883285">
          <w:rPr>
            <w:rFonts w:ascii="Arial" w:hAnsi="Arial" w:cs="Arial"/>
            <w:spacing w:val="-8"/>
            <w:sz w:val="20"/>
            <w:szCs w:val="20"/>
          </w:rPr>
          <w:t xml:space="preserve"> </w:t>
        </w:r>
        <w:proofErr w:type="spellStart"/>
        <w:r w:rsidR="00025CC6" w:rsidRPr="00883285">
          <w:rPr>
            <w:rFonts w:ascii="Arial" w:hAnsi="Arial" w:cs="Arial"/>
            <w:sz w:val="20"/>
            <w:szCs w:val="20"/>
          </w:rPr>
          <w:t>gelucire</w:t>
        </w:r>
        <w:proofErr w:type="spellEnd"/>
        <w:r w:rsidR="00025CC6" w:rsidRPr="00883285">
          <w:rPr>
            <w:rFonts w:ascii="Arial" w:hAnsi="Arial" w:cs="Arial"/>
            <w:spacing w:val="-10"/>
            <w:sz w:val="20"/>
            <w:szCs w:val="20"/>
          </w:rPr>
          <w:t xml:space="preserve"> </w:t>
        </w:r>
        <w:r w:rsidR="00025CC6" w:rsidRPr="00883285">
          <w:rPr>
            <w:rFonts w:ascii="Arial" w:hAnsi="Arial" w:cs="Arial"/>
            <w:sz w:val="20"/>
            <w:szCs w:val="20"/>
          </w:rPr>
          <w:t>43/01</w:t>
        </w:r>
        <w:r w:rsidR="00025CC6" w:rsidRPr="00883285">
          <w:rPr>
            <w:rFonts w:ascii="Arial" w:hAnsi="Arial" w:cs="Arial"/>
            <w:spacing w:val="-9"/>
            <w:sz w:val="20"/>
            <w:szCs w:val="20"/>
          </w:rPr>
          <w:t xml:space="preserve"> </w:t>
        </w:r>
        <w:r w:rsidR="00025CC6" w:rsidRPr="00883285">
          <w:rPr>
            <w:rFonts w:ascii="Arial" w:hAnsi="Arial" w:cs="Arial"/>
            <w:sz w:val="20"/>
            <w:szCs w:val="20"/>
          </w:rPr>
          <w:t>beads</w:t>
        </w:r>
        <w:r w:rsidR="00025CC6" w:rsidRPr="00883285">
          <w:rPr>
            <w:rFonts w:ascii="Arial" w:hAnsi="Arial" w:cs="Arial"/>
            <w:spacing w:val="-9"/>
            <w:sz w:val="20"/>
            <w:szCs w:val="20"/>
          </w:rPr>
          <w:t xml:space="preserve"> </w:t>
        </w:r>
        <w:r w:rsidR="00025CC6" w:rsidRPr="00883285">
          <w:rPr>
            <w:rFonts w:ascii="Arial" w:hAnsi="Arial" w:cs="Arial"/>
            <w:sz w:val="20"/>
            <w:szCs w:val="20"/>
          </w:rPr>
          <w:t>of</w:t>
        </w:r>
        <w:r w:rsidR="00025CC6" w:rsidRPr="00883285">
          <w:rPr>
            <w:rFonts w:ascii="Arial" w:hAnsi="Arial" w:cs="Arial"/>
            <w:spacing w:val="-10"/>
            <w:sz w:val="20"/>
            <w:szCs w:val="20"/>
          </w:rPr>
          <w:t xml:space="preserve"> </w:t>
        </w:r>
        <w:r w:rsidR="00025CC6" w:rsidRPr="00883285">
          <w:rPr>
            <w:rFonts w:ascii="Arial" w:hAnsi="Arial" w:cs="Arial"/>
            <w:sz w:val="20"/>
            <w:szCs w:val="20"/>
          </w:rPr>
          <w:t>metformin</w:t>
        </w:r>
      </w:hyperlink>
      <w:r w:rsidR="00025CC6" w:rsidRPr="00883285">
        <w:rPr>
          <w:rFonts w:ascii="Arial" w:hAnsi="Arial" w:cs="Arial"/>
          <w:spacing w:val="-6"/>
          <w:sz w:val="20"/>
          <w:szCs w:val="20"/>
        </w:rPr>
        <w:t xml:space="preserve"> </w:t>
      </w:r>
      <w:hyperlink r:id="rId15">
        <w:r w:rsidR="00025CC6" w:rsidRPr="00883285">
          <w:rPr>
            <w:rFonts w:ascii="Arial" w:hAnsi="Arial" w:cs="Arial"/>
            <w:sz w:val="20"/>
            <w:szCs w:val="20"/>
          </w:rPr>
          <w:t>hydrochloride</w:t>
        </w:r>
      </w:hyperlink>
      <w:r w:rsidR="00025CC6" w:rsidRPr="00883285">
        <w:rPr>
          <w:rFonts w:ascii="Arial" w:hAnsi="Arial" w:cs="Arial"/>
          <w:sz w:val="20"/>
          <w:szCs w:val="20"/>
        </w:rPr>
        <w:t xml:space="preserve"> </w:t>
      </w:r>
      <w:hyperlink r:id="rId16">
        <w:r w:rsidR="00025CC6" w:rsidRPr="00883285">
          <w:rPr>
            <w:rFonts w:ascii="Arial" w:hAnsi="Arial" w:cs="Arial"/>
            <w:sz w:val="20"/>
            <w:szCs w:val="20"/>
          </w:rPr>
          <w:t>for</w:t>
        </w:r>
      </w:hyperlink>
      <w:r w:rsidR="00025CC6" w:rsidRPr="00883285">
        <w:rPr>
          <w:rFonts w:ascii="Arial" w:hAnsi="Arial" w:cs="Arial"/>
          <w:sz w:val="20"/>
          <w:szCs w:val="20"/>
        </w:rPr>
        <w:t xml:space="preserve"> </w:t>
      </w:r>
      <w:hyperlink r:id="rId17">
        <w:r w:rsidR="00025CC6" w:rsidRPr="00883285">
          <w:rPr>
            <w:rFonts w:ascii="Arial" w:hAnsi="Arial" w:cs="Arial"/>
            <w:sz w:val="20"/>
            <w:szCs w:val="20"/>
          </w:rPr>
          <w:t>fl</w:t>
        </w:r>
      </w:hyperlink>
      <w:hyperlink r:id="rId18">
        <w:r w:rsidR="00025CC6" w:rsidRPr="00883285">
          <w:rPr>
            <w:rFonts w:ascii="Arial" w:hAnsi="Arial" w:cs="Arial"/>
            <w:sz w:val="20"/>
            <w:szCs w:val="20"/>
          </w:rPr>
          <w:t>oating delivery, AAPS Sci. Tech. 10 (4) (2009) 1128</w:t>
        </w:r>
      </w:hyperlink>
      <w:r w:rsidR="00025CC6" w:rsidRPr="00883285">
        <w:rPr>
          <w:rFonts w:ascii="Arial" w:hAnsi="Arial" w:cs="Arial"/>
          <w:sz w:val="20"/>
          <w:szCs w:val="20"/>
        </w:rPr>
        <w:t>-1136.</w:t>
      </w:r>
    </w:p>
    <w:p w14:paraId="74610B2A" w14:textId="77777777" w:rsidR="00025CC6" w:rsidRPr="00883285" w:rsidRDefault="00025CC6" w:rsidP="00025CC6">
      <w:pPr>
        <w:pStyle w:val="ListParagraph"/>
        <w:widowControl w:val="0"/>
        <w:numPr>
          <w:ilvl w:val="0"/>
          <w:numId w:val="1"/>
        </w:numPr>
        <w:tabs>
          <w:tab w:val="left" w:pos="1440"/>
        </w:tabs>
        <w:autoSpaceDE w:val="0"/>
        <w:autoSpaceDN w:val="0"/>
        <w:spacing w:before="139" w:line="276" w:lineRule="auto"/>
        <w:ind w:left="567" w:right="-164"/>
        <w:contextualSpacing w:val="0"/>
        <w:jc w:val="both"/>
        <w:rPr>
          <w:rFonts w:ascii="Arial" w:hAnsi="Arial" w:cs="Arial"/>
          <w:sz w:val="20"/>
          <w:szCs w:val="20"/>
        </w:rPr>
      </w:pPr>
      <w:r w:rsidRPr="00883285">
        <w:rPr>
          <w:rFonts w:ascii="Arial" w:hAnsi="Arial" w:cs="Arial"/>
          <w:color w:val="222222"/>
          <w:sz w:val="20"/>
          <w:szCs w:val="20"/>
          <w:shd w:val="clear" w:color="auto" w:fill="FFFFFF"/>
        </w:rPr>
        <w:t>Dave V, Yadav RB, Kushwaha K, Yadav S, Sharma S, Agrawal U. Lipid-polymer hybrid nanoparticles: Development &amp; statistical optimization of norfloxacin for topical drug delivery system. Bioactive materials. 2017 Dec 1;2(4):269-80.</w:t>
      </w:r>
    </w:p>
    <w:p w14:paraId="49F62F7C" w14:textId="77777777" w:rsidR="00025CC6" w:rsidRPr="00883285" w:rsidRDefault="00025CC6" w:rsidP="00025CC6">
      <w:pPr>
        <w:pStyle w:val="ListParagraph"/>
        <w:numPr>
          <w:ilvl w:val="0"/>
          <w:numId w:val="1"/>
        </w:numPr>
        <w:ind w:left="567" w:right="-164"/>
        <w:jc w:val="both"/>
        <w:rPr>
          <w:rFonts w:ascii="Arial" w:hAnsi="Arial" w:cs="Arial"/>
          <w:sz w:val="20"/>
          <w:szCs w:val="20"/>
        </w:rPr>
      </w:pPr>
      <w:proofErr w:type="spellStart"/>
      <w:r w:rsidRPr="00883285">
        <w:rPr>
          <w:rFonts w:ascii="Arial" w:hAnsi="Arial" w:cs="Arial"/>
          <w:sz w:val="20"/>
          <w:szCs w:val="20"/>
        </w:rPr>
        <w:t>Galgatte</w:t>
      </w:r>
      <w:proofErr w:type="spellEnd"/>
      <w:r w:rsidRPr="00883285">
        <w:rPr>
          <w:rFonts w:ascii="Arial" w:hAnsi="Arial" w:cs="Arial"/>
          <w:sz w:val="20"/>
          <w:szCs w:val="20"/>
        </w:rPr>
        <w:t xml:space="preserve">, U.C.; </w:t>
      </w:r>
      <w:proofErr w:type="spellStart"/>
      <w:r w:rsidRPr="00883285">
        <w:rPr>
          <w:rFonts w:ascii="Arial" w:hAnsi="Arial" w:cs="Arial"/>
          <w:sz w:val="20"/>
          <w:szCs w:val="20"/>
        </w:rPr>
        <w:t>Kumbhar</w:t>
      </w:r>
      <w:proofErr w:type="spellEnd"/>
      <w:r w:rsidRPr="00883285">
        <w:rPr>
          <w:rFonts w:ascii="Arial" w:hAnsi="Arial" w:cs="Arial"/>
          <w:sz w:val="20"/>
          <w:szCs w:val="20"/>
        </w:rPr>
        <w:t>, A.B.; Chaudhari, P.D. Development of in situ gel for nasal delivery: Design, optimization, in vitro and in vivo evaluation. Drug Deliv. 2014, 21, 62–73.</w:t>
      </w:r>
    </w:p>
    <w:p w14:paraId="0488912D" w14:textId="77777777" w:rsidR="00025CC6" w:rsidRPr="00883285" w:rsidRDefault="00025CC6" w:rsidP="00025CC6">
      <w:pPr>
        <w:pStyle w:val="ListParagraph"/>
        <w:widowControl w:val="0"/>
        <w:numPr>
          <w:ilvl w:val="0"/>
          <w:numId w:val="1"/>
        </w:numPr>
        <w:tabs>
          <w:tab w:val="left" w:pos="1440"/>
        </w:tabs>
        <w:autoSpaceDE w:val="0"/>
        <w:autoSpaceDN w:val="0"/>
        <w:spacing w:after="0"/>
        <w:ind w:left="567" w:right="-164"/>
        <w:contextualSpacing w:val="0"/>
        <w:jc w:val="both"/>
        <w:rPr>
          <w:rFonts w:ascii="Arial" w:hAnsi="Arial" w:cs="Arial"/>
          <w:sz w:val="20"/>
          <w:szCs w:val="20"/>
        </w:rPr>
      </w:pPr>
      <w:r w:rsidRPr="00883285">
        <w:rPr>
          <w:rFonts w:ascii="Arial" w:hAnsi="Arial" w:cs="Arial"/>
          <w:sz w:val="20"/>
          <w:szCs w:val="20"/>
        </w:rPr>
        <w:t xml:space="preserve">S. Shimpi, B. Chauhan, K.R. Mahadik, A. </w:t>
      </w:r>
      <w:proofErr w:type="spellStart"/>
      <w:r w:rsidRPr="00883285">
        <w:rPr>
          <w:rFonts w:ascii="Arial" w:hAnsi="Arial" w:cs="Arial"/>
          <w:sz w:val="20"/>
          <w:szCs w:val="20"/>
        </w:rPr>
        <w:t>Paradkar</w:t>
      </w:r>
      <w:proofErr w:type="spellEnd"/>
      <w:r w:rsidRPr="00883285">
        <w:rPr>
          <w:rFonts w:ascii="Arial" w:hAnsi="Arial" w:cs="Arial"/>
          <w:sz w:val="20"/>
          <w:szCs w:val="20"/>
        </w:rPr>
        <w:t>, Preparation and Evaluation of Diltiazem Hydrochloride-</w:t>
      </w:r>
      <w:proofErr w:type="spellStart"/>
      <w:r w:rsidRPr="00883285">
        <w:rPr>
          <w:rFonts w:ascii="Arial" w:hAnsi="Arial" w:cs="Arial"/>
          <w:sz w:val="20"/>
          <w:szCs w:val="20"/>
        </w:rPr>
        <w:t>Gelucire</w:t>
      </w:r>
      <w:proofErr w:type="spellEnd"/>
      <w:r w:rsidRPr="00883285">
        <w:rPr>
          <w:rFonts w:ascii="Arial" w:hAnsi="Arial" w:cs="Arial"/>
          <w:sz w:val="20"/>
          <w:szCs w:val="20"/>
        </w:rPr>
        <w:t xml:space="preserve"> 43/01 Floating Granules Prepared by Melt Granulation, AAPS Pharm SciTech 5 (3) (2004) Article 43.</w:t>
      </w:r>
    </w:p>
    <w:p w14:paraId="063618C2"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sz w:val="20"/>
          <w:szCs w:val="20"/>
        </w:rPr>
        <w:t xml:space="preserve">Patel, A. R., Vavia, P. R., &amp; Misra, A. (2014). Lipid-based drug delivery systems: Promising approach for improving oral bioavailability of poorly water-soluble drugs. </w:t>
      </w:r>
      <w:r w:rsidRPr="00883285">
        <w:rPr>
          <w:rStyle w:val="Emphasis"/>
          <w:rFonts w:ascii="Arial" w:hAnsi="Arial" w:cs="Arial"/>
          <w:sz w:val="20"/>
          <w:szCs w:val="20"/>
        </w:rPr>
        <w:t>Journal of Controlled Release</w:t>
      </w:r>
      <w:r w:rsidRPr="00883285">
        <w:rPr>
          <w:rFonts w:ascii="Arial" w:hAnsi="Arial" w:cs="Arial"/>
          <w:sz w:val="20"/>
          <w:szCs w:val="20"/>
        </w:rPr>
        <w:t>, 192, 323–332.</w:t>
      </w:r>
    </w:p>
    <w:p w14:paraId="646080CC"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sz w:val="20"/>
          <w:szCs w:val="20"/>
        </w:rPr>
        <w:t xml:space="preserve">Mahajan, H. S., Tyagi, V. K., &amp; </w:t>
      </w:r>
      <w:proofErr w:type="spellStart"/>
      <w:r w:rsidRPr="00883285">
        <w:rPr>
          <w:rFonts w:ascii="Arial" w:hAnsi="Arial" w:cs="Arial"/>
          <w:sz w:val="20"/>
          <w:szCs w:val="20"/>
        </w:rPr>
        <w:t>Shirkhedkar</w:t>
      </w:r>
      <w:proofErr w:type="spellEnd"/>
      <w:r w:rsidRPr="00883285">
        <w:rPr>
          <w:rFonts w:ascii="Arial" w:hAnsi="Arial" w:cs="Arial"/>
          <w:sz w:val="20"/>
          <w:szCs w:val="20"/>
        </w:rPr>
        <w:t xml:space="preserve">, A. A. (2012). Formulation and evaluation of mucoadhesive buccal films of loratadine. </w:t>
      </w:r>
      <w:r w:rsidRPr="00883285">
        <w:rPr>
          <w:rStyle w:val="Emphasis"/>
          <w:rFonts w:ascii="Arial" w:hAnsi="Arial" w:cs="Arial"/>
          <w:sz w:val="20"/>
          <w:szCs w:val="20"/>
        </w:rPr>
        <w:t>Pharmaceutical Development and Technology</w:t>
      </w:r>
      <w:r w:rsidRPr="00883285">
        <w:rPr>
          <w:rFonts w:ascii="Arial" w:hAnsi="Arial" w:cs="Arial"/>
          <w:sz w:val="20"/>
          <w:szCs w:val="20"/>
        </w:rPr>
        <w:t xml:space="preserve">, 17(5), 488–495. </w:t>
      </w:r>
      <w:hyperlink r:id="rId19" w:history="1">
        <w:r w:rsidRPr="00883285">
          <w:rPr>
            <w:rStyle w:val="Hyperlink"/>
            <w:rFonts w:ascii="Arial" w:hAnsi="Arial" w:cs="Arial"/>
            <w:sz w:val="20"/>
            <w:szCs w:val="20"/>
          </w:rPr>
          <w:t>https://doi.org/10.3109/10837450.2010.542600</w:t>
        </w:r>
      </w:hyperlink>
    </w:p>
    <w:p w14:paraId="653A0665" w14:textId="77777777" w:rsidR="00025CC6" w:rsidRPr="00883285" w:rsidRDefault="00025CC6" w:rsidP="00025CC6">
      <w:pPr>
        <w:pStyle w:val="ListParagraph"/>
        <w:numPr>
          <w:ilvl w:val="0"/>
          <w:numId w:val="1"/>
        </w:numPr>
        <w:spacing w:before="100" w:beforeAutospacing="1"/>
        <w:ind w:left="567" w:right="-164"/>
        <w:jc w:val="both"/>
        <w:rPr>
          <w:rFonts w:ascii="Arial" w:eastAsia="Times New Roman" w:hAnsi="Arial" w:cs="Arial"/>
          <w:sz w:val="20"/>
          <w:szCs w:val="20"/>
          <w:lang w:eastAsia="en-IN"/>
        </w:rPr>
      </w:pPr>
      <w:r w:rsidRPr="00883285">
        <w:rPr>
          <w:rFonts w:ascii="Arial" w:eastAsia="Times New Roman" w:hAnsi="Arial" w:cs="Arial"/>
          <w:sz w:val="20"/>
          <w:szCs w:val="20"/>
          <w:lang w:eastAsia="en-IN"/>
        </w:rPr>
        <w:t xml:space="preserve">Khan, K. A., Raghavendra Rao, N. G., &amp; Puttaswamy, N. G. (2011). Characterization and dissolution studies of loratadine solid dispersions. </w:t>
      </w:r>
      <w:r w:rsidRPr="00883285">
        <w:rPr>
          <w:rFonts w:ascii="Arial" w:eastAsia="Times New Roman" w:hAnsi="Arial" w:cs="Arial"/>
          <w:i/>
          <w:iCs/>
          <w:sz w:val="20"/>
          <w:szCs w:val="20"/>
          <w:lang w:eastAsia="en-IN"/>
        </w:rPr>
        <w:t>International Journal of Pharmaceutical Sciences and Drug Research</w:t>
      </w:r>
      <w:r w:rsidRPr="00883285">
        <w:rPr>
          <w:rFonts w:ascii="Arial" w:eastAsia="Times New Roman" w:hAnsi="Arial" w:cs="Arial"/>
          <w:sz w:val="20"/>
          <w:szCs w:val="20"/>
          <w:lang w:eastAsia="en-IN"/>
        </w:rPr>
        <w:t>, 3(2), 98–103.</w:t>
      </w:r>
    </w:p>
    <w:p w14:paraId="7E144D4B" w14:textId="77777777" w:rsidR="00025CC6" w:rsidRPr="00883285" w:rsidRDefault="00025CC6" w:rsidP="00025CC6">
      <w:pPr>
        <w:pStyle w:val="ListParagraph"/>
        <w:numPr>
          <w:ilvl w:val="0"/>
          <w:numId w:val="1"/>
        </w:numPr>
        <w:spacing w:before="100" w:beforeAutospacing="1"/>
        <w:ind w:left="567" w:right="-164"/>
        <w:jc w:val="both"/>
        <w:rPr>
          <w:rFonts w:ascii="Arial" w:eastAsia="Times New Roman" w:hAnsi="Arial" w:cs="Arial"/>
          <w:sz w:val="20"/>
          <w:szCs w:val="20"/>
          <w:lang w:eastAsia="en-IN"/>
        </w:rPr>
      </w:pPr>
      <w:r w:rsidRPr="00883285">
        <w:rPr>
          <w:rFonts w:ascii="Arial" w:eastAsia="Times New Roman" w:hAnsi="Arial" w:cs="Arial"/>
          <w:sz w:val="20"/>
          <w:szCs w:val="20"/>
          <w:lang w:eastAsia="en-IN"/>
        </w:rPr>
        <w:t xml:space="preserve">Desai, J., Alexander, K., &amp; Riga, A. (2012). Characterization of polymeric dispersions of loratadine prepared by hot melt extrusion. </w:t>
      </w:r>
      <w:r w:rsidRPr="00883285">
        <w:rPr>
          <w:rFonts w:ascii="Arial" w:eastAsia="Times New Roman" w:hAnsi="Arial" w:cs="Arial"/>
          <w:i/>
          <w:iCs/>
          <w:sz w:val="20"/>
          <w:szCs w:val="20"/>
          <w:lang w:eastAsia="en-IN"/>
        </w:rPr>
        <w:t>International Journal of Pharmaceutics</w:t>
      </w:r>
      <w:r w:rsidRPr="00883285">
        <w:rPr>
          <w:rFonts w:ascii="Arial" w:eastAsia="Times New Roman" w:hAnsi="Arial" w:cs="Arial"/>
          <w:sz w:val="20"/>
          <w:szCs w:val="20"/>
          <w:lang w:eastAsia="en-IN"/>
        </w:rPr>
        <w:t>, 436(1–2), 304–312.</w:t>
      </w:r>
    </w:p>
    <w:p w14:paraId="6BE63912" w14:textId="77777777" w:rsidR="00025CC6" w:rsidRPr="00883285" w:rsidRDefault="00025CC6" w:rsidP="00025CC6">
      <w:pPr>
        <w:pStyle w:val="ListParagraph"/>
        <w:numPr>
          <w:ilvl w:val="0"/>
          <w:numId w:val="1"/>
        </w:numPr>
        <w:spacing w:before="100" w:beforeAutospacing="1"/>
        <w:ind w:left="567" w:right="-164"/>
        <w:jc w:val="both"/>
        <w:rPr>
          <w:rFonts w:ascii="Arial" w:eastAsia="Times New Roman" w:hAnsi="Arial" w:cs="Arial"/>
          <w:sz w:val="20"/>
          <w:szCs w:val="20"/>
          <w:lang w:eastAsia="en-IN"/>
        </w:rPr>
      </w:pPr>
      <w:r w:rsidRPr="00883285">
        <w:rPr>
          <w:rFonts w:ascii="Arial" w:hAnsi="Arial" w:cs="Arial"/>
          <w:sz w:val="20"/>
          <w:szCs w:val="20"/>
        </w:rPr>
        <w:t xml:space="preserve">Patel, R. P., Patel, M. M., &amp; Patel, N. M. (2012). Physicochemical characterization and in vitro dissolution </w:t>
      </w:r>
      <w:proofErr w:type="spellStart"/>
      <w:r w:rsidRPr="00883285">
        <w:rPr>
          <w:rFonts w:ascii="Arial" w:hAnsi="Arial" w:cs="Arial"/>
          <w:sz w:val="20"/>
          <w:szCs w:val="20"/>
        </w:rPr>
        <w:t>behavior</w:t>
      </w:r>
      <w:proofErr w:type="spellEnd"/>
      <w:r w:rsidRPr="00883285">
        <w:rPr>
          <w:rFonts w:ascii="Arial" w:hAnsi="Arial" w:cs="Arial"/>
          <w:sz w:val="20"/>
          <w:szCs w:val="20"/>
        </w:rPr>
        <w:t xml:space="preserve"> of solid dispersions of loratadine with polyethylene glycol 6000 and polyvinylpyrrolidone K30. </w:t>
      </w:r>
      <w:r w:rsidRPr="00883285">
        <w:rPr>
          <w:rStyle w:val="Emphasis"/>
          <w:rFonts w:ascii="Arial" w:hAnsi="Arial" w:cs="Arial"/>
          <w:sz w:val="20"/>
          <w:szCs w:val="20"/>
        </w:rPr>
        <w:t>Dissolution Technologies</w:t>
      </w:r>
      <w:r w:rsidRPr="00883285">
        <w:rPr>
          <w:rFonts w:ascii="Arial" w:hAnsi="Arial" w:cs="Arial"/>
          <w:sz w:val="20"/>
          <w:szCs w:val="20"/>
        </w:rPr>
        <w:t>, 19(3), 24–30. https://doi.org/10.14227/DT190312P24.</w:t>
      </w:r>
    </w:p>
    <w:p w14:paraId="7A284712" w14:textId="77777777" w:rsidR="00025CC6" w:rsidRPr="00883285" w:rsidRDefault="00025CC6" w:rsidP="00025CC6">
      <w:pPr>
        <w:pStyle w:val="ListParagraph"/>
        <w:numPr>
          <w:ilvl w:val="0"/>
          <w:numId w:val="1"/>
        </w:numPr>
        <w:spacing w:before="100" w:beforeAutospacing="1" w:after="100" w:afterAutospacing="1"/>
        <w:ind w:left="567" w:right="-164"/>
        <w:jc w:val="both"/>
        <w:rPr>
          <w:rFonts w:ascii="Arial" w:eastAsia="Times New Roman" w:hAnsi="Arial" w:cs="Arial"/>
          <w:sz w:val="20"/>
          <w:szCs w:val="20"/>
          <w:lang w:eastAsia="en-IN"/>
        </w:rPr>
      </w:pPr>
      <w:r w:rsidRPr="00883285">
        <w:rPr>
          <w:rFonts w:ascii="Arial" w:eastAsia="Times New Roman" w:hAnsi="Arial" w:cs="Arial"/>
          <w:sz w:val="20"/>
          <w:szCs w:val="20"/>
          <w:lang w:eastAsia="en-IN"/>
        </w:rPr>
        <w:lastRenderedPageBreak/>
        <w:t xml:space="preserve">Moustafa, Y. M., </w:t>
      </w:r>
      <w:proofErr w:type="spellStart"/>
      <w:r w:rsidRPr="00883285">
        <w:rPr>
          <w:rFonts w:ascii="Arial" w:eastAsia="Times New Roman" w:hAnsi="Arial" w:cs="Arial"/>
          <w:sz w:val="20"/>
          <w:szCs w:val="20"/>
          <w:lang w:eastAsia="en-IN"/>
        </w:rPr>
        <w:t>Elshafeey</w:t>
      </w:r>
      <w:proofErr w:type="spellEnd"/>
      <w:r w:rsidRPr="00883285">
        <w:rPr>
          <w:rFonts w:ascii="Arial" w:eastAsia="Times New Roman" w:hAnsi="Arial" w:cs="Arial"/>
          <w:sz w:val="20"/>
          <w:szCs w:val="20"/>
          <w:lang w:eastAsia="en-IN"/>
        </w:rPr>
        <w:t xml:space="preserve">, A. H., &amp; Elsayed, I. (2021). Development of loratadine nanostructured lipid carriers: Statistical optimization and in-vitro characterization. </w:t>
      </w:r>
      <w:r w:rsidRPr="00883285">
        <w:rPr>
          <w:rFonts w:ascii="Arial" w:eastAsia="Times New Roman" w:hAnsi="Arial" w:cs="Arial"/>
          <w:i/>
          <w:iCs/>
          <w:sz w:val="20"/>
          <w:szCs w:val="20"/>
          <w:lang w:eastAsia="en-IN"/>
        </w:rPr>
        <w:t>Drug Development and Industrial Pharmacy</w:t>
      </w:r>
      <w:r w:rsidRPr="00883285">
        <w:rPr>
          <w:rFonts w:ascii="Arial" w:eastAsia="Times New Roman" w:hAnsi="Arial" w:cs="Arial"/>
          <w:sz w:val="20"/>
          <w:szCs w:val="20"/>
          <w:lang w:eastAsia="en-IN"/>
        </w:rPr>
        <w:t>, 47(7), 1136–1145.</w:t>
      </w:r>
    </w:p>
    <w:p w14:paraId="763B6E27" w14:textId="77777777" w:rsidR="00025CC6" w:rsidRPr="00883285" w:rsidRDefault="00025CC6" w:rsidP="00025CC6">
      <w:pPr>
        <w:pStyle w:val="ListParagraph"/>
        <w:numPr>
          <w:ilvl w:val="0"/>
          <w:numId w:val="1"/>
        </w:numPr>
        <w:spacing w:before="100" w:beforeAutospacing="1" w:after="100" w:afterAutospacing="1"/>
        <w:ind w:left="567" w:right="-164"/>
        <w:jc w:val="both"/>
        <w:rPr>
          <w:rFonts w:ascii="Arial" w:eastAsia="Times New Roman" w:hAnsi="Arial" w:cs="Arial"/>
          <w:sz w:val="20"/>
          <w:szCs w:val="20"/>
          <w:lang w:eastAsia="en-IN"/>
        </w:rPr>
      </w:pPr>
      <w:r w:rsidRPr="00883285">
        <w:rPr>
          <w:rFonts w:ascii="Arial" w:eastAsia="Times New Roman" w:hAnsi="Arial" w:cs="Arial"/>
          <w:sz w:val="20"/>
          <w:szCs w:val="20"/>
          <w:lang w:eastAsia="en-IN"/>
        </w:rPr>
        <w:t xml:space="preserve">Singh, A., Sharma, P. K., &amp; Malviya, R. (2015). Enhancement of solubility of poorly </w:t>
      </w:r>
      <w:proofErr w:type="gramStart"/>
      <w:r w:rsidRPr="00883285">
        <w:rPr>
          <w:rFonts w:ascii="Arial" w:eastAsia="Times New Roman" w:hAnsi="Arial" w:cs="Arial"/>
          <w:sz w:val="20"/>
          <w:szCs w:val="20"/>
          <w:lang w:eastAsia="en-IN"/>
        </w:rPr>
        <w:t>water soluble</w:t>
      </w:r>
      <w:proofErr w:type="gramEnd"/>
      <w:r w:rsidRPr="00883285">
        <w:rPr>
          <w:rFonts w:ascii="Arial" w:eastAsia="Times New Roman" w:hAnsi="Arial" w:cs="Arial"/>
          <w:sz w:val="20"/>
          <w:szCs w:val="20"/>
          <w:lang w:eastAsia="en-IN"/>
        </w:rPr>
        <w:t xml:space="preserve"> drugs by solid dispersion technique. </w:t>
      </w:r>
      <w:r w:rsidRPr="00883285">
        <w:rPr>
          <w:rFonts w:ascii="Arial" w:eastAsia="Times New Roman" w:hAnsi="Arial" w:cs="Arial"/>
          <w:i/>
          <w:iCs/>
          <w:sz w:val="20"/>
          <w:szCs w:val="20"/>
          <w:lang w:eastAsia="en-IN"/>
        </w:rPr>
        <w:t>International Journal of Pharmaceutical Sciences and Research</w:t>
      </w:r>
      <w:r w:rsidRPr="00883285">
        <w:rPr>
          <w:rFonts w:ascii="Arial" w:eastAsia="Times New Roman" w:hAnsi="Arial" w:cs="Arial"/>
          <w:sz w:val="20"/>
          <w:szCs w:val="20"/>
          <w:lang w:eastAsia="en-IN"/>
        </w:rPr>
        <w:t>, 6(10), 4176–4183.</w:t>
      </w:r>
    </w:p>
    <w:p w14:paraId="60FDCEAB" w14:textId="77777777" w:rsidR="00025CC6" w:rsidRPr="00883285" w:rsidRDefault="00025CC6" w:rsidP="00025CC6">
      <w:pPr>
        <w:pStyle w:val="ListParagraph"/>
        <w:numPr>
          <w:ilvl w:val="0"/>
          <w:numId w:val="1"/>
        </w:numPr>
        <w:spacing w:before="100" w:beforeAutospacing="1" w:after="100" w:afterAutospacing="1"/>
        <w:ind w:left="567" w:right="-164"/>
        <w:jc w:val="both"/>
        <w:rPr>
          <w:rFonts w:ascii="Arial" w:eastAsia="Times New Roman" w:hAnsi="Arial" w:cs="Arial"/>
          <w:sz w:val="20"/>
          <w:szCs w:val="20"/>
          <w:lang w:eastAsia="en-IN"/>
        </w:rPr>
      </w:pPr>
      <w:r w:rsidRPr="00883285">
        <w:rPr>
          <w:rFonts w:ascii="Arial" w:hAnsi="Arial" w:cs="Arial"/>
          <w:sz w:val="20"/>
          <w:szCs w:val="20"/>
        </w:rPr>
        <w:t xml:space="preserve">Kumari, M., Pathak, K., &amp; Verma, P. (2022). Lipid-based nanocarriers for oral delivery of poorly water-soluble drugs: A promising approach for loratadine. </w:t>
      </w:r>
      <w:r w:rsidRPr="00883285">
        <w:rPr>
          <w:rStyle w:val="Emphasis"/>
          <w:rFonts w:ascii="Arial" w:hAnsi="Arial" w:cs="Arial"/>
          <w:sz w:val="20"/>
          <w:szCs w:val="20"/>
        </w:rPr>
        <w:t>Journal of Drug Delivery Science and Technology</w:t>
      </w:r>
      <w:r w:rsidRPr="00883285">
        <w:rPr>
          <w:rFonts w:ascii="Arial" w:hAnsi="Arial" w:cs="Arial"/>
          <w:sz w:val="20"/>
          <w:szCs w:val="20"/>
        </w:rPr>
        <w:t>, 67, 102953.</w:t>
      </w:r>
    </w:p>
    <w:p w14:paraId="03EE63BF" w14:textId="77777777" w:rsidR="00025CC6" w:rsidRPr="0008343A" w:rsidRDefault="00025CC6" w:rsidP="00025CC6">
      <w:pPr>
        <w:pStyle w:val="ListParagraph"/>
        <w:numPr>
          <w:ilvl w:val="0"/>
          <w:numId w:val="1"/>
        </w:numPr>
        <w:spacing w:before="100" w:beforeAutospacing="1" w:after="100" w:afterAutospacing="1"/>
        <w:ind w:left="567" w:right="-164"/>
        <w:jc w:val="both"/>
        <w:rPr>
          <w:rFonts w:ascii="Arial" w:eastAsia="Times New Roman" w:hAnsi="Arial" w:cs="Arial"/>
          <w:sz w:val="20"/>
          <w:szCs w:val="20"/>
          <w:lang w:eastAsia="en-IN"/>
        </w:rPr>
      </w:pPr>
      <w:r w:rsidRPr="00883285">
        <w:rPr>
          <w:rFonts w:ascii="Arial" w:hAnsi="Arial" w:cs="Arial"/>
          <w:sz w:val="20"/>
          <w:szCs w:val="20"/>
        </w:rPr>
        <w:t>Bansal, A. K., Harikumar, S. L., &amp; Kaur, R. (2021). Formulation and evaluation of self-</w:t>
      </w:r>
      <w:proofErr w:type="spellStart"/>
      <w:r w:rsidRPr="00883285">
        <w:rPr>
          <w:rFonts w:ascii="Arial" w:hAnsi="Arial" w:cs="Arial"/>
          <w:sz w:val="20"/>
          <w:szCs w:val="20"/>
        </w:rPr>
        <w:t>microemulsifying</w:t>
      </w:r>
      <w:proofErr w:type="spellEnd"/>
      <w:r w:rsidRPr="00883285">
        <w:rPr>
          <w:rFonts w:ascii="Arial" w:hAnsi="Arial" w:cs="Arial"/>
          <w:sz w:val="20"/>
          <w:szCs w:val="20"/>
        </w:rPr>
        <w:t xml:space="preserve"> drug delivery system (SMEDDS) for enhancing solubility of loratadine. </w:t>
      </w:r>
      <w:r w:rsidRPr="00883285">
        <w:rPr>
          <w:rStyle w:val="Emphasis"/>
          <w:rFonts w:ascii="Arial" w:hAnsi="Arial" w:cs="Arial"/>
          <w:sz w:val="20"/>
          <w:szCs w:val="20"/>
        </w:rPr>
        <w:t>Journal of Drug Delivery and Therapeutics</w:t>
      </w:r>
      <w:r w:rsidRPr="00883285">
        <w:rPr>
          <w:rFonts w:ascii="Arial" w:hAnsi="Arial" w:cs="Arial"/>
          <w:sz w:val="20"/>
          <w:szCs w:val="20"/>
        </w:rPr>
        <w:t>, 11(2), 15–22.</w:t>
      </w:r>
    </w:p>
    <w:p w14:paraId="6B753FE5" w14:textId="77777777" w:rsidR="00025CC6" w:rsidRDefault="00025CC6" w:rsidP="00A171C2">
      <w:pPr>
        <w:jc w:val="both"/>
        <w:rPr>
          <w:rFonts w:ascii="Arial" w:hAnsi="Arial" w:cs="Arial"/>
          <w:b/>
        </w:rPr>
      </w:pPr>
    </w:p>
    <w:p w14:paraId="0C212629" w14:textId="77777777" w:rsidR="00A171C2" w:rsidRDefault="00A171C2" w:rsidP="00A171C2">
      <w:pPr>
        <w:jc w:val="both"/>
        <w:rPr>
          <w:rFonts w:ascii="Arial" w:hAnsi="Arial" w:cs="Arial"/>
          <w:b/>
        </w:rPr>
      </w:pPr>
    </w:p>
    <w:p w14:paraId="6EC1B102" w14:textId="77777777" w:rsidR="0073417E" w:rsidRDefault="0073417E" w:rsidP="00A171C2">
      <w:pPr>
        <w:jc w:val="both"/>
        <w:rPr>
          <w:rFonts w:ascii="Arial" w:hAnsi="Arial" w:cs="Arial"/>
          <w:b/>
        </w:rPr>
      </w:pPr>
    </w:p>
    <w:p w14:paraId="17B089D2" w14:textId="77777777" w:rsidR="00670775" w:rsidRPr="000D0C49" w:rsidRDefault="00670775" w:rsidP="00DF43B3">
      <w:pPr>
        <w:ind w:right="-164"/>
        <w:jc w:val="both"/>
        <w:rPr>
          <w:rFonts w:ascii="Arial" w:hAnsi="Arial" w:cs="Arial"/>
          <w:sz w:val="20"/>
          <w:szCs w:val="20"/>
        </w:rPr>
        <w:sectPr w:rsidR="00670775" w:rsidRPr="000D0C49" w:rsidSect="00A171C2">
          <w:headerReference w:type="even" r:id="rId20"/>
          <w:headerReference w:type="default" r:id="rId21"/>
          <w:footerReference w:type="even" r:id="rId22"/>
          <w:footerReference w:type="default" r:id="rId23"/>
          <w:headerReference w:type="first" r:id="rId24"/>
          <w:footerReference w:type="first" r:id="rId25"/>
          <w:pgSz w:w="11906" w:h="16838" w:code="9"/>
          <w:pgMar w:top="1440" w:right="991" w:bottom="1440" w:left="1440" w:header="0" w:footer="964" w:gutter="0"/>
          <w:cols w:space="720"/>
          <w:docGrid w:linePitch="299"/>
        </w:sectPr>
      </w:pPr>
    </w:p>
    <w:p w14:paraId="6AA40CF0" w14:textId="77777777" w:rsidR="003071A9" w:rsidRPr="000D0C49" w:rsidRDefault="003071A9" w:rsidP="00DF43B3">
      <w:pPr>
        <w:ind w:right="-164"/>
        <w:jc w:val="both"/>
        <w:rPr>
          <w:rFonts w:ascii="Arial" w:eastAsia="Times New Roman" w:hAnsi="Arial" w:cs="Arial"/>
          <w:sz w:val="20"/>
          <w:szCs w:val="20"/>
          <w:lang w:eastAsia="en-IN"/>
        </w:rPr>
      </w:pPr>
    </w:p>
    <w:sectPr w:rsidR="003071A9" w:rsidRPr="000D0C49" w:rsidSect="00A171C2">
      <w:type w:val="continuous"/>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DA260" w14:textId="77777777" w:rsidR="00E053BC" w:rsidRDefault="00E053BC" w:rsidP="00EE7554">
      <w:pPr>
        <w:spacing w:after="0"/>
      </w:pPr>
      <w:r>
        <w:separator/>
      </w:r>
    </w:p>
  </w:endnote>
  <w:endnote w:type="continuationSeparator" w:id="0">
    <w:p w14:paraId="1CDA87BD" w14:textId="77777777" w:rsidR="00E053BC" w:rsidRDefault="00E053BC" w:rsidP="00EE75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17B4" w14:textId="77777777" w:rsidR="000006AE" w:rsidRDefault="00000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AB621" w14:textId="77777777" w:rsidR="000006AE" w:rsidRDefault="000006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99048" w14:textId="77777777" w:rsidR="000006AE" w:rsidRDefault="00000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CC503" w14:textId="77777777" w:rsidR="00E053BC" w:rsidRDefault="00E053BC" w:rsidP="00EE7554">
      <w:pPr>
        <w:spacing w:after="0"/>
      </w:pPr>
      <w:r>
        <w:separator/>
      </w:r>
    </w:p>
  </w:footnote>
  <w:footnote w:type="continuationSeparator" w:id="0">
    <w:p w14:paraId="07669772" w14:textId="77777777" w:rsidR="00E053BC" w:rsidRDefault="00E053BC" w:rsidP="00EE75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ED424" w14:textId="2806261B" w:rsidR="000006AE" w:rsidRDefault="000006AE">
    <w:pPr>
      <w:pStyle w:val="Header"/>
    </w:pPr>
    <w:r>
      <w:rPr>
        <w:noProof/>
      </w:rPr>
      <w:pict w14:anchorId="734B3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061579" o:spid="_x0000_s2050"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CB1E" w14:textId="7086FCA1" w:rsidR="000006AE" w:rsidRDefault="000006AE">
    <w:pPr>
      <w:pStyle w:val="Header"/>
    </w:pPr>
    <w:r>
      <w:rPr>
        <w:noProof/>
      </w:rPr>
      <w:pict w14:anchorId="76994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061580" o:spid="_x0000_s2051"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D76A9" w14:textId="6A215326" w:rsidR="000006AE" w:rsidRDefault="000006AE">
    <w:pPr>
      <w:pStyle w:val="Header"/>
    </w:pPr>
    <w:r>
      <w:rPr>
        <w:noProof/>
      </w:rPr>
      <w:pict w14:anchorId="2465A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061578" o:spid="_x0000_s2049"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04139"/>
    <w:multiLevelType w:val="hybridMultilevel"/>
    <w:tmpl w:val="C17A1F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825828"/>
    <w:multiLevelType w:val="hybridMultilevel"/>
    <w:tmpl w:val="8A40398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369713F"/>
    <w:multiLevelType w:val="multilevel"/>
    <w:tmpl w:val="246A6442"/>
    <w:lvl w:ilvl="0">
      <w:start w:val="4"/>
      <w:numFmt w:val="decimal"/>
      <w:lvlText w:val="%1"/>
      <w:lvlJc w:val="left"/>
      <w:pPr>
        <w:ind w:left="3742" w:hanging="423"/>
      </w:pPr>
      <w:rPr>
        <w:rFonts w:hint="default"/>
        <w:lang w:val="en-US" w:eastAsia="en-US" w:bidi="ar-SA"/>
      </w:rPr>
    </w:lvl>
    <w:lvl w:ilvl="1">
      <w:start w:val="3"/>
      <w:numFmt w:val="decimal"/>
      <w:lvlText w:val="%1.%2"/>
      <w:lvlJc w:val="left"/>
      <w:pPr>
        <w:ind w:left="3742" w:hanging="423"/>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711" w:hanging="632"/>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5228" w:hanging="632"/>
      </w:pPr>
      <w:rPr>
        <w:rFonts w:hint="default"/>
        <w:lang w:val="en-US" w:eastAsia="en-US" w:bidi="ar-SA"/>
      </w:rPr>
    </w:lvl>
    <w:lvl w:ilvl="4">
      <w:numFmt w:val="bullet"/>
      <w:lvlText w:val="•"/>
      <w:lvlJc w:val="left"/>
      <w:pPr>
        <w:ind w:left="5973" w:hanging="632"/>
      </w:pPr>
      <w:rPr>
        <w:rFonts w:hint="default"/>
        <w:lang w:val="en-US" w:eastAsia="en-US" w:bidi="ar-SA"/>
      </w:rPr>
    </w:lvl>
    <w:lvl w:ilvl="5">
      <w:numFmt w:val="bullet"/>
      <w:lvlText w:val="•"/>
      <w:lvlJc w:val="left"/>
      <w:pPr>
        <w:ind w:left="6717" w:hanging="632"/>
      </w:pPr>
      <w:rPr>
        <w:rFonts w:hint="default"/>
        <w:lang w:val="en-US" w:eastAsia="en-US" w:bidi="ar-SA"/>
      </w:rPr>
    </w:lvl>
    <w:lvl w:ilvl="6">
      <w:numFmt w:val="bullet"/>
      <w:lvlText w:val="•"/>
      <w:lvlJc w:val="left"/>
      <w:pPr>
        <w:ind w:left="7462" w:hanging="632"/>
      </w:pPr>
      <w:rPr>
        <w:rFonts w:hint="default"/>
        <w:lang w:val="en-US" w:eastAsia="en-US" w:bidi="ar-SA"/>
      </w:rPr>
    </w:lvl>
    <w:lvl w:ilvl="7">
      <w:numFmt w:val="bullet"/>
      <w:lvlText w:val="•"/>
      <w:lvlJc w:val="left"/>
      <w:pPr>
        <w:ind w:left="8206" w:hanging="632"/>
      </w:pPr>
      <w:rPr>
        <w:rFonts w:hint="default"/>
        <w:lang w:val="en-US" w:eastAsia="en-US" w:bidi="ar-SA"/>
      </w:rPr>
    </w:lvl>
    <w:lvl w:ilvl="8">
      <w:numFmt w:val="bullet"/>
      <w:lvlText w:val="•"/>
      <w:lvlJc w:val="left"/>
      <w:pPr>
        <w:ind w:left="8951" w:hanging="632"/>
      </w:pPr>
      <w:rPr>
        <w:rFonts w:hint="default"/>
        <w:lang w:val="en-US" w:eastAsia="en-US" w:bidi="ar-SA"/>
      </w:rPr>
    </w:lvl>
  </w:abstractNum>
  <w:abstractNum w:abstractNumId="3" w15:restartNumberingAfterBreak="0">
    <w:nsid w:val="39774E62"/>
    <w:multiLevelType w:val="hybridMultilevel"/>
    <w:tmpl w:val="ED568084"/>
    <w:lvl w:ilvl="0" w:tplc="CD32900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A3F5506"/>
    <w:multiLevelType w:val="multilevel"/>
    <w:tmpl w:val="D4E28E00"/>
    <w:lvl w:ilvl="0">
      <w:start w:val="1"/>
      <w:numFmt w:val="decimal"/>
      <w:lvlText w:val="%1."/>
      <w:lvlJc w:val="left"/>
      <w:pPr>
        <w:ind w:left="4460" w:hanging="360"/>
        <w:jc w:val="righ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080" w:hanging="423"/>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642" w:hanging="562"/>
      </w:pPr>
      <w:rPr>
        <w:rFonts w:ascii="Times New Roman" w:eastAsia="Times New Roman" w:hAnsi="Times New Roman" w:cs="Times New Roman" w:hint="default"/>
        <w:b/>
        <w:bCs/>
        <w:i w:val="0"/>
        <w:iCs w:val="0"/>
        <w:spacing w:val="-3"/>
        <w:w w:val="100"/>
        <w:sz w:val="26"/>
        <w:szCs w:val="26"/>
        <w:lang w:val="en-US" w:eastAsia="en-US" w:bidi="ar-SA"/>
      </w:rPr>
    </w:lvl>
    <w:lvl w:ilvl="3">
      <w:numFmt w:val="bullet"/>
      <w:lvlText w:val="•"/>
      <w:lvlJc w:val="left"/>
      <w:pPr>
        <w:ind w:left="3640" w:hanging="562"/>
      </w:pPr>
      <w:rPr>
        <w:rFonts w:hint="default"/>
        <w:lang w:val="en-US" w:eastAsia="en-US" w:bidi="ar-SA"/>
      </w:rPr>
    </w:lvl>
    <w:lvl w:ilvl="4">
      <w:numFmt w:val="bullet"/>
      <w:lvlText w:val="•"/>
      <w:lvlJc w:val="left"/>
      <w:pPr>
        <w:ind w:left="4460" w:hanging="562"/>
      </w:pPr>
      <w:rPr>
        <w:rFonts w:hint="default"/>
        <w:lang w:val="en-US" w:eastAsia="en-US" w:bidi="ar-SA"/>
      </w:rPr>
    </w:lvl>
    <w:lvl w:ilvl="5">
      <w:numFmt w:val="bullet"/>
      <w:lvlText w:val="•"/>
      <w:lvlJc w:val="left"/>
      <w:pPr>
        <w:ind w:left="5456" w:hanging="562"/>
      </w:pPr>
      <w:rPr>
        <w:rFonts w:hint="default"/>
        <w:lang w:val="en-US" w:eastAsia="en-US" w:bidi="ar-SA"/>
      </w:rPr>
    </w:lvl>
    <w:lvl w:ilvl="6">
      <w:numFmt w:val="bullet"/>
      <w:lvlText w:val="•"/>
      <w:lvlJc w:val="left"/>
      <w:pPr>
        <w:ind w:left="6453" w:hanging="562"/>
      </w:pPr>
      <w:rPr>
        <w:rFonts w:hint="default"/>
        <w:lang w:val="en-US" w:eastAsia="en-US" w:bidi="ar-SA"/>
      </w:rPr>
    </w:lvl>
    <w:lvl w:ilvl="7">
      <w:numFmt w:val="bullet"/>
      <w:lvlText w:val="•"/>
      <w:lvlJc w:val="left"/>
      <w:pPr>
        <w:ind w:left="7450" w:hanging="562"/>
      </w:pPr>
      <w:rPr>
        <w:rFonts w:hint="default"/>
        <w:lang w:val="en-US" w:eastAsia="en-US" w:bidi="ar-SA"/>
      </w:rPr>
    </w:lvl>
    <w:lvl w:ilvl="8">
      <w:numFmt w:val="bullet"/>
      <w:lvlText w:val="•"/>
      <w:lvlJc w:val="left"/>
      <w:pPr>
        <w:ind w:left="8446" w:hanging="562"/>
      </w:pPr>
      <w:rPr>
        <w:rFonts w:hint="default"/>
        <w:lang w:val="en-US" w:eastAsia="en-US" w:bidi="ar-SA"/>
      </w:rPr>
    </w:lvl>
  </w:abstractNum>
  <w:abstractNum w:abstractNumId="5" w15:restartNumberingAfterBreak="0">
    <w:nsid w:val="40B8221A"/>
    <w:multiLevelType w:val="multilevel"/>
    <w:tmpl w:val="F222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F0077"/>
    <w:multiLevelType w:val="hybridMultilevel"/>
    <w:tmpl w:val="0A1ADF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D5B6096"/>
    <w:multiLevelType w:val="hybridMultilevel"/>
    <w:tmpl w:val="50A8B32A"/>
    <w:lvl w:ilvl="0" w:tplc="C2745914">
      <w:start w:val="1"/>
      <w:numFmt w:val="decimal"/>
      <w:lvlText w:val="%1."/>
      <w:lvlJc w:val="left"/>
      <w:pPr>
        <w:ind w:left="1440" w:hanging="360"/>
      </w:pPr>
      <w:rPr>
        <w:rFonts w:hint="default"/>
        <w:spacing w:val="0"/>
        <w:w w:val="100"/>
        <w:lang w:val="en-US" w:eastAsia="en-US" w:bidi="ar-SA"/>
      </w:rPr>
    </w:lvl>
    <w:lvl w:ilvl="1" w:tplc="B21E9814">
      <w:numFmt w:val="bullet"/>
      <w:lvlText w:val="•"/>
      <w:lvlJc w:val="left"/>
      <w:pPr>
        <w:ind w:left="2340" w:hanging="360"/>
      </w:pPr>
      <w:rPr>
        <w:rFonts w:hint="default"/>
        <w:lang w:val="en-US" w:eastAsia="en-US" w:bidi="ar-SA"/>
      </w:rPr>
    </w:lvl>
    <w:lvl w:ilvl="2" w:tplc="CA8ACE06">
      <w:numFmt w:val="bullet"/>
      <w:lvlText w:val="•"/>
      <w:lvlJc w:val="left"/>
      <w:pPr>
        <w:ind w:left="3240" w:hanging="360"/>
      </w:pPr>
      <w:rPr>
        <w:rFonts w:hint="default"/>
        <w:lang w:val="en-US" w:eastAsia="en-US" w:bidi="ar-SA"/>
      </w:rPr>
    </w:lvl>
    <w:lvl w:ilvl="3" w:tplc="32927BFA">
      <w:numFmt w:val="bullet"/>
      <w:lvlText w:val="•"/>
      <w:lvlJc w:val="left"/>
      <w:pPr>
        <w:ind w:left="4140" w:hanging="360"/>
      </w:pPr>
      <w:rPr>
        <w:rFonts w:hint="default"/>
        <w:lang w:val="en-US" w:eastAsia="en-US" w:bidi="ar-SA"/>
      </w:rPr>
    </w:lvl>
    <w:lvl w:ilvl="4" w:tplc="C178D39E">
      <w:numFmt w:val="bullet"/>
      <w:lvlText w:val="•"/>
      <w:lvlJc w:val="left"/>
      <w:pPr>
        <w:ind w:left="5040" w:hanging="360"/>
      </w:pPr>
      <w:rPr>
        <w:rFonts w:hint="default"/>
        <w:lang w:val="en-US" w:eastAsia="en-US" w:bidi="ar-SA"/>
      </w:rPr>
    </w:lvl>
    <w:lvl w:ilvl="5" w:tplc="E19CAF5C">
      <w:numFmt w:val="bullet"/>
      <w:lvlText w:val="•"/>
      <w:lvlJc w:val="left"/>
      <w:pPr>
        <w:ind w:left="5940" w:hanging="360"/>
      </w:pPr>
      <w:rPr>
        <w:rFonts w:hint="default"/>
        <w:lang w:val="en-US" w:eastAsia="en-US" w:bidi="ar-SA"/>
      </w:rPr>
    </w:lvl>
    <w:lvl w:ilvl="6" w:tplc="0220EC60">
      <w:numFmt w:val="bullet"/>
      <w:lvlText w:val="•"/>
      <w:lvlJc w:val="left"/>
      <w:pPr>
        <w:ind w:left="6840" w:hanging="360"/>
      </w:pPr>
      <w:rPr>
        <w:rFonts w:hint="default"/>
        <w:lang w:val="en-US" w:eastAsia="en-US" w:bidi="ar-SA"/>
      </w:rPr>
    </w:lvl>
    <w:lvl w:ilvl="7" w:tplc="AF24760A">
      <w:numFmt w:val="bullet"/>
      <w:lvlText w:val="•"/>
      <w:lvlJc w:val="left"/>
      <w:pPr>
        <w:ind w:left="7740" w:hanging="360"/>
      </w:pPr>
      <w:rPr>
        <w:rFonts w:hint="default"/>
        <w:lang w:val="en-US" w:eastAsia="en-US" w:bidi="ar-SA"/>
      </w:rPr>
    </w:lvl>
    <w:lvl w:ilvl="8" w:tplc="C0342CF8">
      <w:numFmt w:val="bullet"/>
      <w:lvlText w:val="•"/>
      <w:lvlJc w:val="left"/>
      <w:pPr>
        <w:ind w:left="8640" w:hanging="360"/>
      </w:pPr>
      <w:rPr>
        <w:rFonts w:hint="default"/>
        <w:lang w:val="en-US" w:eastAsia="en-US" w:bidi="ar-SA"/>
      </w:rPr>
    </w:lvl>
  </w:abstractNum>
  <w:abstractNum w:abstractNumId="8" w15:restartNumberingAfterBreak="0">
    <w:nsid w:val="4EE452D2"/>
    <w:multiLevelType w:val="hybridMultilevel"/>
    <w:tmpl w:val="180028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EC014C1"/>
    <w:multiLevelType w:val="hybridMultilevel"/>
    <w:tmpl w:val="4330F6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DB60090"/>
    <w:multiLevelType w:val="hybridMultilevel"/>
    <w:tmpl w:val="AADE82FA"/>
    <w:lvl w:ilvl="0" w:tplc="58AAE18C">
      <w:start w:val="1"/>
      <w:numFmt w:val="decimal"/>
      <w:lvlText w:val="%1."/>
      <w:lvlJc w:val="left"/>
      <w:pPr>
        <w:ind w:left="1440" w:hanging="360"/>
      </w:pPr>
      <w:rPr>
        <w:rFonts w:hint="default"/>
        <w:spacing w:val="0"/>
        <w:w w:val="100"/>
        <w:lang w:val="en-US" w:eastAsia="en-US" w:bidi="ar-SA"/>
      </w:rPr>
    </w:lvl>
    <w:lvl w:ilvl="1" w:tplc="480C577C">
      <w:numFmt w:val="bullet"/>
      <w:lvlText w:val="•"/>
      <w:lvlJc w:val="left"/>
      <w:pPr>
        <w:ind w:left="2340" w:hanging="360"/>
      </w:pPr>
      <w:rPr>
        <w:rFonts w:hint="default"/>
        <w:lang w:val="en-US" w:eastAsia="en-US" w:bidi="ar-SA"/>
      </w:rPr>
    </w:lvl>
    <w:lvl w:ilvl="2" w:tplc="8E44607C">
      <w:numFmt w:val="bullet"/>
      <w:lvlText w:val="•"/>
      <w:lvlJc w:val="left"/>
      <w:pPr>
        <w:ind w:left="3240" w:hanging="360"/>
      </w:pPr>
      <w:rPr>
        <w:rFonts w:hint="default"/>
        <w:lang w:val="en-US" w:eastAsia="en-US" w:bidi="ar-SA"/>
      </w:rPr>
    </w:lvl>
    <w:lvl w:ilvl="3" w:tplc="D23CCB52">
      <w:numFmt w:val="bullet"/>
      <w:lvlText w:val="•"/>
      <w:lvlJc w:val="left"/>
      <w:pPr>
        <w:ind w:left="4140" w:hanging="360"/>
      </w:pPr>
      <w:rPr>
        <w:rFonts w:hint="default"/>
        <w:lang w:val="en-US" w:eastAsia="en-US" w:bidi="ar-SA"/>
      </w:rPr>
    </w:lvl>
    <w:lvl w:ilvl="4" w:tplc="B8FC31C0">
      <w:numFmt w:val="bullet"/>
      <w:lvlText w:val="•"/>
      <w:lvlJc w:val="left"/>
      <w:pPr>
        <w:ind w:left="5040" w:hanging="360"/>
      </w:pPr>
      <w:rPr>
        <w:rFonts w:hint="default"/>
        <w:lang w:val="en-US" w:eastAsia="en-US" w:bidi="ar-SA"/>
      </w:rPr>
    </w:lvl>
    <w:lvl w:ilvl="5" w:tplc="D9D0AAB8">
      <w:numFmt w:val="bullet"/>
      <w:lvlText w:val="•"/>
      <w:lvlJc w:val="left"/>
      <w:pPr>
        <w:ind w:left="5940" w:hanging="360"/>
      </w:pPr>
      <w:rPr>
        <w:rFonts w:hint="default"/>
        <w:lang w:val="en-US" w:eastAsia="en-US" w:bidi="ar-SA"/>
      </w:rPr>
    </w:lvl>
    <w:lvl w:ilvl="6" w:tplc="EA2AE7E8">
      <w:numFmt w:val="bullet"/>
      <w:lvlText w:val="•"/>
      <w:lvlJc w:val="left"/>
      <w:pPr>
        <w:ind w:left="6840" w:hanging="360"/>
      </w:pPr>
      <w:rPr>
        <w:rFonts w:hint="default"/>
        <w:lang w:val="en-US" w:eastAsia="en-US" w:bidi="ar-SA"/>
      </w:rPr>
    </w:lvl>
    <w:lvl w:ilvl="7" w:tplc="2BF6062A">
      <w:numFmt w:val="bullet"/>
      <w:lvlText w:val="•"/>
      <w:lvlJc w:val="left"/>
      <w:pPr>
        <w:ind w:left="7740" w:hanging="360"/>
      </w:pPr>
      <w:rPr>
        <w:rFonts w:hint="default"/>
        <w:lang w:val="en-US" w:eastAsia="en-US" w:bidi="ar-SA"/>
      </w:rPr>
    </w:lvl>
    <w:lvl w:ilvl="8" w:tplc="DC84377A">
      <w:numFmt w:val="bullet"/>
      <w:lvlText w:val="•"/>
      <w:lvlJc w:val="left"/>
      <w:pPr>
        <w:ind w:left="8640" w:hanging="360"/>
      </w:pPr>
      <w:rPr>
        <w:rFonts w:hint="default"/>
        <w:lang w:val="en-US" w:eastAsia="en-US" w:bidi="ar-SA"/>
      </w:rPr>
    </w:lvl>
  </w:abstractNum>
  <w:num w:numId="1">
    <w:abstractNumId w:val="0"/>
  </w:num>
  <w:num w:numId="2">
    <w:abstractNumId w:val="8"/>
  </w:num>
  <w:num w:numId="3">
    <w:abstractNumId w:val="3"/>
  </w:num>
  <w:num w:numId="4">
    <w:abstractNumId w:val="6"/>
  </w:num>
  <w:num w:numId="5">
    <w:abstractNumId w:val="2"/>
  </w:num>
  <w:num w:numId="6">
    <w:abstractNumId w:val="4"/>
  </w:num>
  <w:num w:numId="7">
    <w:abstractNumId w:val="7"/>
  </w:num>
  <w:num w:numId="8">
    <w:abstractNumId w:val="5"/>
  </w:num>
  <w:num w:numId="9">
    <w:abstractNumId w:val="1"/>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A8"/>
    <w:rsid w:val="000006AE"/>
    <w:rsid w:val="000103A8"/>
    <w:rsid w:val="00013587"/>
    <w:rsid w:val="00013BCF"/>
    <w:rsid w:val="00025CC6"/>
    <w:rsid w:val="00031DC1"/>
    <w:rsid w:val="00042BDA"/>
    <w:rsid w:val="00061DE8"/>
    <w:rsid w:val="00062CC5"/>
    <w:rsid w:val="0008343A"/>
    <w:rsid w:val="00086F74"/>
    <w:rsid w:val="00091FB5"/>
    <w:rsid w:val="000A4949"/>
    <w:rsid w:val="000C06CF"/>
    <w:rsid w:val="000D0C49"/>
    <w:rsid w:val="000E2469"/>
    <w:rsid w:val="000E4DDB"/>
    <w:rsid w:val="000F7B8B"/>
    <w:rsid w:val="001135C0"/>
    <w:rsid w:val="00131D42"/>
    <w:rsid w:val="0013495E"/>
    <w:rsid w:val="001701AA"/>
    <w:rsid w:val="001750BA"/>
    <w:rsid w:val="001C54B1"/>
    <w:rsid w:val="001D2474"/>
    <w:rsid w:val="001D3EB3"/>
    <w:rsid w:val="001E086A"/>
    <w:rsid w:val="001E4DD1"/>
    <w:rsid w:val="001F3323"/>
    <w:rsid w:val="0021471F"/>
    <w:rsid w:val="0023248B"/>
    <w:rsid w:val="00237B57"/>
    <w:rsid w:val="00252BA2"/>
    <w:rsid w:val="00270B10"/>
    <w:rsid w:val="00286BED"/>
    <w:rsid w:val="002A02BD"/>
    <w:rsid w:val="002B730E"/>
    <w:rsid w:val="002C0E09"/>
    <w:rsid w:val="002D0399"/>
    <w:rsid w:val="003071A9"/>
    <w:rsid w:val="003201EC"/>
    <w:rsid w:val="00345077"/>
    <w:rsid w:val="00376489"/>
    <w:rsid w:val="003960BB"/>
    <w:rsid w:val="003A0CC7"/>
    <w:rsid w:val="003A1E50"/>
    <w:rsid w:val="003A7CCE"/>
    <w:rsid w:val="003B17A9"/>
    <w:rsid w:val="003F61F2"/>
    <w:rsid w:val="00400417"/>
    <w:rsid w:val="00402107"/>
    <w:rsid w:val="00413FBE"/>
    <w:rsid w:val="004210A6"/>
    <w:rsid w:val="00421904"/>
    <w:rsid w:val="0042707D"/>
    <w:rsid w:val="0042797B"/>
    <w:rsid w:val="00464014"/>
    <w:rsid w:val="004775D6"/>
    <w:rsid w:val="004926B4"/>
    <w:rsid w:val="00495D87"/>
    <w:rsid w:val="004C0449"/>
    <w:rsid w:val="004C63C2"/>
    <w:rsid w:val="004C6F8B"/>
    <w:rsid w:val="004E226F"/>
    <w:rsid w:val="004F26A8"/>
    <w:rsid w:val="00501FEA"/>
    <w:rsid w:val="0050239A"/>
    <w:rsid w:val="00520799"/>
    <w:rsid w:val="00537CE6"/>
    <w:rsid w:val="00546B75"/>
    <w:rsid w:val="00562229"/>
    <w:rsid w:val="005902FE"/>
    <w:rsid w:val="0059581A"/>
    <w:rsid w:val="005A52FB"/>
    <w:rsid w:val="005D655E"/>
    <w:rsid w:val="005E0954"/>
    <w:rsid w:val="005F329D"/>
    <w:rsid w:val="005F37E0"/>
    <w:rsid w:val="005F6454"/>
    <w:rsid w:val="005F6712"/>
    <w:rsid w:val="00620E01"/>
    <w:rsid w:val="00620F1D"/>
    <w:rsid w:val="00642FE5"/>
    <w:rsid w:val="0064354B"/>
    <w:rsid w:val="00650B8A"/>
    <w:rsid w:val="0065656E"/>
    <w:rsid w:val="00670775"/>
    <w:rsid w:val="006B7469"/>
    <w:rsid w:val="006D285A"/>
    <w:rsid w:val="006E2567"/>
    <w:rsid w:val="006F2C90"/>
    <w:rsid w:val="006F71C6"/>
    <w:rsid w:val="00711537"/>
    <w:rsid w:val="0072799C"/>
    <w:rsid w:val="00733CAD"/>
    <w:rsid w:val="0073417E"/>
    <w:rsid w:val="00740BDE"/>
    <w:rsid w:val="00741120"/>
    <w:rsid w:val="007454E2"/>
    <w:rsid w:val="00766CDA"/>
    <w:rsid w:val="00773E49"/>
    <w:rsid w:val="007857DD"/>
    <w:rsid w:val="0078646B"/>
    <w:rsid w:val="007C03DF"/>
    <w:rsid w:val="007D2BE8"/>
    <w:rsid w:val="007E0FD8"/>
    <w:rsid w:val="007F30F8"/>
    <w:rsid w:val="007F78A7"/>
    <w:rsid w:val="0081749F"/>
    <w:rsid w:val="008337D8"/>
    <w:rsid w:val="0087374C"/>
    <w:rsid w:val="00876258"/>
    <w:rsid w:val="00883285"/>
    <w:rsid w:val="00891451"/>
    <w:rsid w:val="008925E3"/>
    <w:rsid w:val="00892E1D"/>
    <w:rsid w:val="008A4E8D"/>
    <w:rsid w:val="008B24CA"/>
    <w:rsid w:val="008C45AD"/>
    <w:rsid w:val="008E71B0"/>
    <w:rsid w:val="008E77F5"/>
    <w:rsid w:val="008F1716"/>
    <w:rsid w:val="00914255"/>
    <w:rsid w:val="00927C0E"/>
    <w:rsid w:val="009346C8"/>
    <w:rsid w:val="00937487"/>
    <w:rsid w:val="00937BC4"/>
    <w:rsid w:val="00942C1C"/>
    <w:rsid w:val="009437E5"/>
    <w:rsid w:val="00953471"/>
    <w:rsid w:val="00953BA0"/>
    <w:rsid w:val="00965BB8"/>
    <w:rsid w:val="00971DA7"/>
    <w:rsid w:val="00985666"/>
    <w:rsid w:val="009863F6"/>
    <w:rsid w:val="009B050B"/>
    <w:rsid w:val="009B3837"/>
    <w:rsid w:val="009C483B"/>
    <w:rsid w:val="009D3861"/>
    <w:rsid w:val="009D6038"/>
    <w:rsid w:val="009F3CFD"/>
    <w:rsid w:val="00A05B51"/>
    <w:rsid w:val="00A144B9"/>
    <w:rsid w:val="00A171C2"/>
    <w:rsid w:val="00A24968"/>
    <w:rsid w:val="00A31260"/>
    <w:rsid w:val="00A4043F"/>
    <w:rsid w:val="00A52E1D"/>
    <w:rsid w:val="00A61BBA"/>
    <w:rsid w:val="00A96AAE"/>
    <w:rsid w:val="00AD095B"/>
    <w:rsid w:val="00B00BF4"/>
    <w:rsid w:val="00B01467"/>
    <w:rsid w:val="00B30068"/>
    <w:rsid w:val="00B41B84"/>
    <w:rsid w:val="00B44CD7"/>
    <w:rsid w:val="00B75593"/>
    <w:rsid w:val="00B9405E"/>
    <w:rsid w:val="00BC0480"/>
    <w:rsid w:val="00BE17D0"/>
    <w:rsid w:val="00BE2D1B"/>
    <w:rsid w:val="00BE2DF8"/>
    <w:rsid w:val="00BF2AA6"/>
    <w:rsid w:val="00BF7DBF"/>
    <w:rsid w:val="00C12CAE"/>
    <w:rsid w:val="00C50A23"/>
    <w:rsid w:val="00C64C13"/>
    <w:rsid w:val="00C65EAC"/>
    <w:rsid w:val="00C70BF7"/>
    <w:rsid w:val="00C77DED"/>
    <w:rsid w:val="00C82CFB"/>
    <w:rsid w:val="00CA1DE2"/>
    <w:rsid w:val="00CB0A33"/>
    <w:rsid w:val="00CC1064"/>
    <w:rsid w:val="00CD178E"/>
    <w:rsid w:val="00CD440A"/>
    <w:rsid w:val="00CE3498"/>
    <w:rsid w:val="00CE3CDB"/>
    <w:rsid w:val="00CF142B"/>
    <w:rsid w:val="00CF3815"/>
    <w:rsid w:val="00CF5694"/>
    <w:rsid w:val="00D15EAE"/>
    <w:rsid w:val="00D36E90"/>
    <w:rsid w:val="00D372A8"/>
    <w:rsid w:val="00D61F5D"/>
    <w:rsid w:val="00D662C0"/>
    <w:rsid w:val="00D8022B"/>
    <w:rsid w:val="00DA61EF"/>
    <w:rsid w:val="00DC5E13"/>
    <w:rsid w:val="00DF3278"/>
    <w:rsid w:val="00DF3A5B"/>
    <w:rsid w:val="00DF43B3"/>
    <w:rsid w:val="00E0190A"/>
    <w:rsid w:val="00E053BC"/>
    <w:rsid w:val="00E071A0"/>
    <w:rsid w:val="00E07366"/>
    <w:rsid w:val="00E164A6"/>
    <w:rsid w:val="00E3184E"/>
    <w:rsid w:val="00E31E3C"/>
    <w:rsid w:val="00E44D81"/>
    <w:rsid w:val="00E50B6F"/>
    <w:rsid w:val="00E54AC3"/>
    <w:rsid w:val="00EA5E36"/>
    <w:rsid w:val="00EB44E1"/>
    <w:rsid w:val="00EB4EA5"/>
    <w:rsid w:val="00EC02C6"/>
    <w:rsid w:val="00ED0328"/>
    <w:rsid w:val="00EE0115"/>
    <w:rsid w:val="00EE3EF1"/>
    <w:rsid w:val="00EE7554"/>
    <w:rsid w:val="00EE7ADF"/>
    <w:rsid w:val="00F11B03"/>
    <w:rsid w:val="00F12D73"/>
    <w:rsid w:val="00F206CA"/>
    <w:rsid w:val="00F37D2D"/>
    <w:rsid w:val="00F42A12"/>
    <w:rsid w:val="00F46089"/>
    <w:rsid w:val="00F5269D"/>
    <w:rsid w:val="00F52BA4"/>
    <w:rsid w:val="00FB6069"/>
    <w:rsid w:val="00FE1E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C98C74"/>
  <w15:chartTrackingRefBased/>
  <w15:docId w15:val="{E0FAF379-32E5-428D-8169-59192063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43F"/>
    <w:pPr>
      <w:spacing w:line="240" w:lineRule="auto"/>
    </w:pPr>
  </w:style>
  <w:style w:type="paragraph" w:styleId="Heading2">
    <w:name w:val="heading 2"/>
    <w:basedOn w:val="Normal"/>
    <w:link w:val="Heading2Char"/>
    <w:uiPriority w:val="1"/>
    <w:qFormat/>
    <w:rsid w:val="004C63C2"/>
    <w:pPr>
      <w:widowControl w:val="0"/>
      <w:autoSpaceDE w:val="0"/>
      <w:autoSpaceDN w:val="0"/>
      <w:spacing w:before="78" w:after="0"/>
      <w:ind w:left="1080"/>
      <w:outlineLvl w:val="1"/>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41B84"/>
    <w:pPr>
      <w:ind w:left="720"/>
      <w:contextualSpacing/>
    </w:pPr>
  </w:style>
  <w:style w:type="paragraph" w:styleId="NormalWeb">
    <w:name w:val="Normal (Web)"/>
    <w:basedOn w:val="Normal"/>
    <w:uiPriority w:val="99"/>
    <w:unhideWhenUsed/>
    <w:rsid w:val="001C54B1"/>
    <w:pPr>
      <w:spacing w:before="100" w:beforeAutospacing="1" w:after="100" w:afterAutospacing="1"/>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54AC3"/>
    <w:rPr>
      <w:i/>
      <w:iCs/>
    </w:rPr>
  </w:style>
  <w:style w:type="paragraph" w:styleId="BodyText">
    <w:name w:val="Body Text"/>
    <w:basedOn w:val="Normal"/>
    <w:link w:val="BodyTextChar"/>
    <w:uiPriority w:val="1"/>
    <w:qFormat/>
    <w:rsid w:val="00BE2DF8"/>
    <w:pPr>
      <w:widowControl w:val="0"/>
      <w:autoSpaceDE w:val="0"/>
      <w:autoSpaceDN w:val="0"/>
      <w:spacing w:after="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E2DF8"/>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CC1064"/>
    <w:pPr>
      <w:widowControl w:val="0"/>
      <w:autoSpaceDE w:val="0"/>
      <w:autoSpaceDN w:val="0"/>
      <w:spacing w:after="0"/>
    </w:pPr>
    <w:rPr>
      <w:rFonts w:ascii="Times New Roman" w:eastAsia="Times New Roman" w:hAnsi="Times New Roman" w:cs="Times New Roman"/>
      <w:lang w:val="en-US"/>
    </w:rPr>
  </w:style>
  <w:style w:type="character" w:styleId="Hyperlink">
    <w:name w:val="Hyperlink"/>
    <w:basedOn w:val="DefaultParagraphFont"/>
    <w:uiPriority w:val="99"/>
    <w:unhideWhenUsed/>
    <w:rsid w:val="007454E2"/>
    <w:rPr>
      <w:color w:val="0563C1" w:themeColor="hyperlink"/>
      <w:u w:val="single"/>
    </w:rPr>
  </w:style>
  <w:style w:type="paragraph" w:styleId="Header">
    <w:name w:val="header"/>
    <w:basedOn w:val="Normal"/>
    <w:link w:val="HeaderChar"/>
    <w:uiPriority w:val="99"/>
    <w:unhideWhenUsed/>
    <w:rsid w:val="00650B8A"/>
    <w:pPr>
      <w:tabs>
        <w:tab w:val="center" w:pos="4513"/>
        <w:tab w:val="right" w:pos="9026"/>
      </w:tabs>
      <w:spacing w:after="0"/>
    </w:pPr>
  </w:style>
  <w:style w:type="character" w:customStyle="1" w:styleId="HeaderChar">
    <w:name w:val="Header Char"/>
    <w:basedOn w:val="DefaultParagraphFont"/>
    <w:link w:val="Header"/>
    <w:uiPriority w:val="99"/>
    <w:rsid w:val="00650B8A"/>
  </w:style>
  <w:style w:type="character" w:customStyle="1" w:styleId="Heading2Char">
    <w:name w:val="Heading 2 Char"/>
    <w:basedOn w:val="DefaultParagraphFont"/>
    <w:link w:val="Heading2"/>
    <w:uiPriority w:val="1"/>
    <w:rsid w:val="004C63C2"/>
    <w:rPr>
      <w:rFonts w:ascii="Times New Roman" w:eastAsia="Times New Roman" w:hAnsi="Times New Roman" w:cs="Times New Roman"/>
      <w:b/>
      <w:bCs/>
      <w:sz w:val="28"/>
      <w:szCs w:val="28"/>
      <w:lang w:val="en-US"/>
    </w:rPr>
  </w:style>
  <w:style w:type="paragraph" w:styleId="Footer">
    <w:name w:val="footer"/>
    <w:basedOn w:val="Normal"/>
    <w:link w:val="FooterChar"/>
    <w:uiPriority w:val="99"/>
    <w:unhideWhenUsed/>
    <w:rsid w:val="00EE7554"/>
    <w:pPr>
      <w:tabs>
        <w:tab w:val="center" w:pos="4513"/>
        <w:tab w:val="right" w:pos="9026"/>
      </w:tabs>
      <w:spacing w:after="0"/>
    </w:pPr>
  </w:style>
  <w:style w:type="character" w:customStyle="1" w:styleId="FooterChar">
    <w:name w:val="Footer Char"/>
    <w:basedOn w:val="DefaultParagraphFont"/>
    <w:link w:val="Footer"/>
    <w:uiPriority w:val="99"/>
    <w:rsid w:val="00EE7554"/>
  </w:style>
  <w:style w:type="character" w:styleId="PlaceholderText">
    <w:name w:val="Placeholder Text"/>
    <w:basedOn w:val="DefaultParagraphFont"/>
    <w:uiPriority w:val="99"/>
    <w:semiHidden/>
    <w:rsid w:val="001E086A"/>
    <w:rPr>
      <w:color w:val="808080"/>
    </w:rPr>
  </w:style>
  <w:style w:type="character" w:styleId="UnresolvedMention">
    <w:name w:val="Unresolved Mention"/>
    <w:basedOn w:val="DefaultParagraphFont"/>
    <w:uiPriority w:val="99"/>
    <w:semiHidden/>
    <w:unhideWhenUsed/>
    <w:rsid w:val="00A24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2581">
      <w:bodyDiv w:val="1"/>
      <w:marLeft w:val="0"/>
      <w:marRight w:val="0"/>
      <w:marTop w:val="0"/>
      <w:marBottom w:val="0"/>
      <w:divBdr>
        <w:top w:val="none" w:sz="0" w:space="0" w:color="auto"/>
        <w:left w:val="none" w:sz="0" w:space="0" w:color="auto"/>
        <w:bottom w:val="none" w:sz="0" w:space="0" w:color="auto"/>
        <w:right w:val="none" w:sz="0" w:space="0" w:color="auto"/>
      </w:divBdr>
    </w:div>
    <w:div w:id="371148804">
      <w:bodyDiv w:val="1"/>
      <w:marLeft w:val="0"/>
      <w:marRight w:val="0"/>
      <w:marTop w:val="0"/>
      <w:marBottom w:val="0"/>
      <w:divBdr>
        <w:top w:val="none" w:sz="0" w:space="0" w:color="auto"/>
        <w:left w:val="none" w:sz="0" w:space="0" w:color="auto"/>
        <w:bottom w:val="none" w:sz="0" w:space="0" w:color="auto"/>
        <w:right w:val="none" w:sz="0" w:space="0" w:color="auto"/>
      </w:divBdr>
    </w:div>
    <w:div w:id="1027605491">
      <w:bodyDiv w:val="1"/>
      <w:marLeft w:val="0"/>
      <w:marRight w:val="0"/>
      <w:marTop w:val="0"/>
      <w:marBottom w:val="0"/>
      <w:divBdr>
        <w:top w:val="none" w:sz="0" w:space="0" w:color="auto"/>
        <w:left w:val="none" w:sz="0" w:space="0" w:color="auto"/>
        <w:bottom w:val="none" w:sz="0" w:space="0" w:color="auto"/>
        <w:right w:val="none" w:sz="0" w:space="0" w:color="auto"/>
      </w:divBdr>
    </w:div>
    <w:div w:id="1179848531">
      <w:bodyDiv w:val="1"/>
      <w:marLeft w:val="0"/>
      <w:marRight w:val="0"/>
      <w:marTop w:val="0"/>
      <w:marBottom w:val="0"/>
      <w:divBdr>
        <w:top w:val="none" w:sz="0" w:space="0" w:color="auto"/>
        <w:left w:val="none" w:sz="0" w:space="0" w:color="auto"/>
        <w:bottom w:val="none" w:sz="0" w:space="0" w:color="auto"/>
        <w:right w:val="none" w:sz="0" w:space="0" w:color="auto"/>
      </w:divBdr>
    </w:div>
    <w:div w:id="1330717605">
      <w:bodyDiv w:val="1"/>
      <w:marLeft w:val="0"/>
      <w:marRight w:val="0"/>
      <w:marTop w:val="0"/>
      <w:marBottom w:val="0"/>
      <w:divBdr>
        <w:top w:val="none" w:sz="0" w:space="0" w:color="auto"/>
        <w:left w:val="none" w:sz="0" w:space="0" w:color="auto"/>
        <w:bottom w:val="none" w:sz="0" w:space="0" w:color="auto"/>
        <w:right w:val="none" w:sz="0" w:space="0" w:color="auto"/>
      </w:divBdr>
    </w:div>
    <w:div w:id="1667710351">
      <w:bodyDiv w:val="1"/>
      <w:marLeft w:val="0"/>
      <w:marRight w:val="0"/>
      <w:marTop w:val="0"/>
      <w:marBottom w:val="0"/>
      <w:divBdr>
        <w:top w:val="none" w:sz="0" w:space="0" w:color="auto"/>
        <w:left w:val="none" w:sz="0" w:space="0" w:color="auto"/>
        <w:bottom w:val="none" w:sz="0" w:space="0" w:color="auto"/>
        <w:right w:val="none" w:sz="0" w:space="0" w:color="auto"/>
      </w:divBdr>
    </w:div>
    <w:div w:id="1775902225">
      <w:bodyDiv w:val="1"/>
      <w:marLeft w:val="0"/>
      <w:marRight w:val="0"/>
      <w:marTop w:val="0"/>
      <w:marBottom w:val="0"/>
      <w:divBdr>
        <w:top w:val="none" w:sz="0" w:space="0" w:color="auto"/>
        <w:left w:val="none" w:sz="0" w:space="0" w:color="auto"/>
        <w:bottom w:val="none" w:sz="0" w:space="0" w:color="auto"/>
        <w:right w:val="none" w:sz="0" w:space="0" w:color="auto"/>
      </w:divBdr>
    </w:div>
    <w:div w:id="181517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jaci.2019.12.979" TargetMode="External"/><Relationship Id="rId18" Type="http://schemas.openxmlformats.org/officeDocument/2006/relationships/hyperlink" Target="http://refhub.elsevier.com/S2314-7245(17)30064-X/sref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refhub.elsevier.com/S2314-7245(17)30064-X/sref9"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refhub.elsevier.com/S2314-7245(17)30064-X/sref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refhub.elsevier.com/S2314-7245(17)30064-X/sref9"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oi.org/10.3109/10837450.2010.54260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refhub.elsevier.com/S2314-7245(17)30064-X/sref9"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800" b="1">
                <a:effectLst/>
                <a:latin typeface="Times New Roman" panose="02020603050405020304" pitchFamily="18" charset="0"/>
                <a:cs typeface="Times New Roman" panose="02020603050405020304" pitchFamily="18" charset="0"/>
              </a:rPr>
              <a:t>Cumulative Drug Release</a:t>
            </a:r>
            <a:endParaRPr lang="en-IN" sz="1800">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0663137843555509"/>
          <c:y val="0.12977157855268093"/>
          <c:w val="0.86375881108506924"/>
          <c:h val="0.6478725159355081"/>
        </c:manualLayout>
      </c:layout>
      <c:scatterChart>
        <c:scatterStyle val="smoothMarker"/>
        <c:varyColors val="0"/>
        <c:ser>
          <c:idx val="0"/>
          <c:order val="0"/>
          <c:tx>
            <c:strRef>
              <c:f>Sheet1!$F$15</c:f>
              <c:strCache>
                <c:ptCount val="1"/>
                <c:pt idx="0">
                  <c:v>F1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Sheet1!$E$16:$E$22</c:f>
              <c:numCache>
                <c:formatCode>General</c:formatCode>
                <c:ptCount val="7"/>
                <c:pt idx="0">
                  <c:v>0</c:v>
                </c:pt>
                <c:pt idx="1">
                  <c:v>1</c:v>
                </c:pt>
                <c:pt idx="2">
                  <c:v>2</c:v>
                </c:pt>
                <c:pt idx="3">
                  <c:v>3</c:v>
                </c:pt>
                <c:pt idx="4">
                  <c:v>4</c:v>
                </c:pt>
                <c:pt idx="5">
                  <c:v>5</c:v>
                </c:pt>
                <c:pt idx="6">
                  <c:v>6</c:v>
                </c:pt>
              </c:numCache>
            </c:numRef>
          </c:xVal>
          <c:yVal>
            <c:numRef>
              <c:f>Sheet1!$F$16:$F$22</c:f>
              <c:numCache>
                <c:formatCode>General</c:formatCode>
                <c:ptCount val="7"/>
                <c:pt idx="0">
                  <c:v>0</c:v>
                </c:pt>
                <c:pt idx="1">
                  <c:v>57.43</c:v>
                </c:pt>
                <c:pt idx="2">
                  <c:v>70.489999999999995</c:v>
                </c:pt>
                <c:pt idx="3">
                  <c:v>77.36</c:v>
                </c:pt>
                <c:pt idx="4">
                  <c:v>82.1</c:v>
                </c:pt>
                <c:pt idx="5">
                  <c:v>79.37</c:v>
                </c:pt>
                <c:pt idx="6">
                  <c:v>81.98</c:v>
                </c:pt>
              </c:numCache>
            </c:numRef>
          </c:yVal>
          <c:smooth val="1"/>
          <c:extLst>
            <c:ext xmlns:c16="http://schemas.microsoft.com/office/drawing/2014/chart" uri="{C3380CC4-5D6E-409C-BE32-E72D297353CC}">
              <c16:uniqueId val="{00000000-5249-4D2B-A74F-FBD7CE1A8778}"/>
            </c:ext>
          </c:extLst>
        </c:ser>
        <c:ser>
          <c:idx val="1"/>
          <c:order val="1"/>
          <c:tx>
            <c:strRef>
              <c:f>Sheet1!$G$15</c:f>
              <c:strCache>
                <c:ptCount val="1"/>
                <c:pt idx="0">
                  <c:v>F2</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Sheet1!$E$16:$E$22</c:f>
              <c:numCache>
                <c:formatCode>General</c:formatCode>
                <c:ptCount val="7"/>
                <c:pt idx="0">
                  <c:v>0</c:v>
                </c:pt>
                <c:pt idx="1">
                  <c:v>1</c:v>
                </c:pt>
                <c:pt idx="2">
                  <c:v>2</c:v>
                </c:pt>
                <c:pt idx="3">
                  <c:v>3</c:v>
                </c:pt>
                <c:pt idx="4">
                  <c:v>4</c:v>
                </c:pt>
                <c:pt idx="5">
                  <c:v>5</c:v>
                </c:pt>
                <c:pt idx="6">
                  <c:v>6</c:v>
                </c:pt>
              </c:numCache>
            </c:numRef>
          </c:xVal>
          <c:yVal>
            <c:numRef>
              <c:f>Sheet1!$G$16:$G$22</c:f>
              <c:numCache>
                <c:formatCode>General</c:formatCode>
                <c:ptCount val="7"/>
                <c:pt idx="0">
                  <c:v>0</c:v>
                </c:pt>
                <c:pt idx="1">
                  <c:v>56.79</c:v>
                </c:pt>
                <c:pt idx="2">
                  <c:v>68.78</c:v>
                </c:pt>
                <c:pt idx="3">
                  <c:v>76.72</c:v>
                </c:pt>
                <c:pt idx="4">
                  <c:v>84.88</c:v>
                </c:pt>
                <c:pt idx="5">
                  <c:v>84.71</c:v>
                </c:pt>
                <c:pt idx="6">
                  <c:v>86.04</c:v>
                </c:pt>
              </c:numCache>
            </c:numRef>
          </c:yVal>
          <c:smooth val="1"/>
          <c:extLst>
            <c:ext xmlns:c16="http://schemas.microsoft.com/office/drawing/2014/chart" uri="{C3380CC4-5D6E-409C-BE32-E72D297353CC}">
              <c16:uniqueId val="{00000001-5249-4D2B-A74F-FBD7CE1A8778}"/>
            </c:ext>
          </c:extLst>
        </c:ser>
        <c:ser>
          <c:idx val="2"/>
          <c:order val="2"/>
          <c:tx>
            <c:strRef>
              <c:f>Sheet1!$H$15</c:f>
              <c:strCache>
                <c:ptCount val="1"/>
                <c:pt idx="0">
                  <c:v>F3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Sheet1!$E$16:$E$22</c:f>
              <c:numCache>
                <c:formatCode>General</c:formatCode>
                <c:ptCount val="7"/>
                <c:pt idx="0">
                  <c:v>0</c:v>
                </c:pt>
                <c:pt idx="1">
                  <c:v>1</c:v>
                </c:pt>
                <c:pt idx="2">
                  <c:v>2</c:v>
                </c:pt>
                <c:pt idx="3">
                  <c:v>3</c:v>
                </c:pt>
                <c:pt idx="4">
                  <c:v>4</c:v>
                </c:pt>
                <c:pt idx="5">
                  <c:v>5</c:v>
                </c:pt>
                <c:pt idx="6">
                  <c:v>6</c:v>
                </c:pt>
              </c:numCache>
            </c:numRef>
          </c:xVal>
          <c:yVal>
            <c:numRef>
              <c:f>Sheet1!$H$16:$H$22</c:f>
              <c:numCache>
                <c:formatCode>General</c:formatCode>
                <c:ptCount val="7"/>
                <c:pt idx="0">
                  <c:v>0</c:v>
                </c:pt>
                <c:pt idx="1">
                  <c:v>52.52</c:v>
                </c:pt>
                <c:pt idx="2">
                  <c:v>64.08</c:v>
                </c:pt>
                <c:pt idx="3">
                  <c:v>67.53</c:v>
                </c:pt>
                <c:pt idx="4">
                  <c:v>72.91</c:v>
                </c:pt>
                <c:pt idx="5">
                  <c:v>76.150000000000006</c:v>
                </c:pt>
                <c:pt idx="6">
                  <c:v>71.28</c:v>
                </c:pt>
              </c:numCache>
            </c:numRef>
          </c:yVal>
          <c:smooth val="1"/>
          <c:extLst>
            <c:ext xmlns:c16="http://schemas.microsoft.com/office/drawing/2014/chart" uri="{C3380CC4-5D6E-409C-BE32-E72D297353CC}">
              <c16:uniqueId val="{00000002-5249-4D2B-A74F-FBD7CE1A8778}"/>
            </c:ext>
          </c:extLst>
        </c:ser>
        <c:ser>
          <c:idx val="3"/>
          <c:order val="3"/>
          <c:tx>
            <c:strRef>
              <c:f>Sheet1!$I$15</c:f>
              <c:strCache>
                <c:ptCount val="1"/>
                <c:pt idx="0">
                  <c:v>F4</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Sheet1!$E$16:$E$22</c:f>
              <c:numCache>
                <c:formatCode>General</c:formatCode>
                <c:ptCount val="7"/>
                <c:pt idx="0">
                  <c:v>0</c:v>
                </c:pt>
                <c:pt idx="1">
                  <c:v>1</c:v>
                </c:pt>
                <c:pt idx="2">
                  <c:v>2</c:v>
                </c:pt>
                <c:pt idx="3">
                  <c:v>3</c:v>
                </c:pt>
                <c:pt idx="4">
                  <c:v>4</c:v>
                </c:pt>
                <c:pt idx="5">
                  <c:v>5</c:v>
                </c:pt>
                <c:pt idx="6">
                  <c:v>6</c:v>
                </c:pt>
              </c:numCache>
            </c:numRef>
          </c:xVal>
          <c:yVal>
            <c:numRef>
              <c:f>Sheet1!$I$16:$I$22</c:f>
              <c:numCache>
                <c:formatCode>General</c:formatCode>
                <c:ptCount val="7"/>
                <c:pt idx="0">
                  <c:v>0</c:v>
                </c:pt>
                <c:pt idx="1">
                  <c:v>42.91</c:v>
                </c:pt>
                <c:pt idx="2">
                  <c:v>53.19</c:v>
                </c:pt>
                <c:pt idx="3">
                  <c:v>68.59</c:v>
                </c:pt>
                <c:pt idx="4">
                  <c:v>73.11</c:v>
                </c:pt>
                <c:pt idx="5">
                  <c:v>79.77</c:v>
                </c:pt>
                <c:pt idx="6">
                  <c:v>80.459999999999994</c:v>
                </c:pt>
              </c:numCache>
            </c:numRef>
          </c:yVal>
          <c:smooth val="1"/>
          <c:extLst>
            <c:ext xmlns:c16="http://schemas.microsoft.com/office/drawing/2014/chart" uri="{C3380CC4-5D6E-409C-BE32-E72D297353CC}">
              <c16:uniqueId val="{00000003-5249-4D2B-A74F-FBD7CE1A8778}"/>
            </c:ext>
          </c:extLst>
        </c:ser>
        <c:ser>
          <c:idx val="4"/>
          <c:order val="4"/>
          <c:tx>
            <c:strRef>
              <c:f>Sheet1!$J$15</c:f>
              <c:strCache>
                <c:ptCount val="1"/>
                <c:pt idx="0">
                  <c:v>F5</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Sheet1!$E$16:$E$22</c:f>
              <c:numCache>
                <c:formatCode>General</c:formatCode>
                <c:ptCount val="7"/>
                <c:pt idx="0">
                  <c:v>0</c:v>
                </c:pt>
                <c:pt idx="1">
                  <c:v>1</c:v>
                </c:pt>
                <c:pt idx="2">
                  <c:v>2</c:v>
                </c:pt>
                <c:pt idx="3">
                  <c:v>3</c:v>
                </c:pt>
                <c:pt idx="4">
                  <c:v>4</c:v>
                </c:pt>
                <c:pt idx="5">
                  <c:v>5</c:v>
                </c:pt>
                <c:pt idx="6">
                  <c:v>6</c:v>
                </c:pt>
              </c:numCache>
            </c:numRef>
          </c:xVal>
          <c:yVal>
            <c:numRef>
              <c:f>Sheet1!$J$16:$J$22</c:f>
              <c:numCache>
                <c:formatCode>General</c:formatCode>
                <c:ptCount val="7"/>
                <c:pt idx="0">
                  <c:v>0</c:v>
                </c:pt>
                <c:pt idx="1">
                  <c:v>56.14</c:v>
                </c:pt>
                <c:pt idx="2">
                  <c:v>66.430000000000007</c:v>
                </c:pt>
                <c:pt idx="3">
                  <c:v>68.819999999999993</c:v>
                </c:pt>
                <c:pt idx="4">
                  <c:v>74.62</c:v>
                </c:pt>
                <c:pt idx="5">
                  <c:v>79.36</c:v>
                </c:pt>
                <c:pt idx="6">
                  <c:v>87.52</c:v>
                </c:pt>
              </c:numCache>
            </c:numRef>
          </c:yVal>
          <c:smooth val="1"/>
          <c:extLst>
            <c:ext xmlns:c16="http://schemas.microsoft.com/office/drawing/2014/chart" uri="{C3380CC4-5D6E-409C-BE32-E72D297353CC}">
              <c16:uniqueId val="{00000004-5249-4D2B-A74F-FBD7CE1A8778}"/>
            </c:ext>
          </c:extLst>
        </c:ser>
        <c:ser>
          <c:idx val="5"/>
          <c:order val="5"/>
          <c:tx>
            <c:strRef>
              <c:f>Sheet1!$K$15</c:f>
              <c:strCache>
                <c:ptCount val="1"/>
                <c:pt idx="0">
                  <c:v>F6</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Sheet1!$E$16:$E$22</c:f>
              <c:numCache>
                <c:formatCode>General</c:formatCode>
                <c:ptCount val="7"/>
                <c:pt idx="0">
                  <c:v>0</c:v>
                </c:pt>
                <c:pt idx="1">
                  <c:v>1</c:v>
                </c:pt>
                <c:pt idx="2">
                  <c:v>2</c:v>
                </c:pt>
                <c:pt idx="3">
                  <c:v>3</c:v>
                </c:pt>
                <c:pt idx="4">
                  <c:v>4</c:v>
                </c:pt>
                <c:pt idx="5">
                  <c:v>5</c:v>
                </c:pt>
                <c:pt idx="6">
                  <c:v>6</c:v>
                </c:pt>
              </c:numCache>
            </c:numRef>
          </c:xVal>
          <c:yVal>
            <c:numRef>
              <c:f>Sheet1!$K$16:$K$22</c:f>
              <c:numCache>
                <c:formatCode>General</c:formatCode>
                <c:ptCount val="7"/>
                <c:pt idx="0">
                  <c:v>0</c:v>
                </c:pt>
                <c:pt idx="1">
                  <c:v>64.48</c:v>
                </c:pt>
                <c:pt idx="2">
                  <c:v>68.36</c:v>
                </c:pt>
                <c:pt idx="3">
                  <c:v>70.319999999999993</c:v>
                </c:pt>
                <c:pt idx="4">
                  <c:v>73.349999999999994</c:v>
                </c:pt>
                <c:pt idx="5">
                  <c:v>75.739999999999995</c:v>
                </c:pt>
                <c:pt idx="6">
                  <c:v>76.2</c:v>
                </c:pt>
              </c:numCache>
            </c:numRef>
          </c:yVal>
          <c:smooth val="1"/>
          <c:extLst>
            <c:ext xmlns:c16="http://schemas.microsoft.com/office/drawing/2014/chart" uri="{C3380CC4-5D6E-409C-BE32-E72D297353CC}">
              <c16:uniqueId val="{00000005-5249-4D2B-A74F-FBD7CE1A8778}"/>
            </c:ext>
          </c:extLst>
        </c:ser>
        <c:ser>
          <c:idx val="6"/>
          <c:order val="6"/>
          <c:tx>
            <c:strRef>
              <c:f>Sheet1!$L$15</c:f>
              <c:strCache>
                <c:ptCount val="1"/>
                <c:pt idx="0">
                  <c:v>F7</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Sheet1!$E$16:$E$22</c:f>
              <c:numCache>
                <c:formatCode>General</c:formatCode>
                <c:ptCount val="7"/>
                <c:pt idx="0">
                  <c:v>0</c:v>
                </c:pt>
                <c:pt idx="1">
                  <c:v>1</c:v>
                </c:pt>
                <c:pt idx="2">
                  <c:v>2</c:v>
                </c:pt>
                <c:pt idx="3">
                  <c:v>3</c:v>
                </c:pt>
                <c:pt idx="4">
                  <c:v>4</c:v>
                </c:pt>
                <c:pt idx="5">
                  <c:v>5</c:v>
                </c:pt>
                <c:pt idx="6">
                  <c:v>6</c:v>
                </c:pt>
              </c:numCache>
            </c:numRef>
          </c:xVal>
          <c:yVal>
            <c:numRef>
              <c:f>Sheet1!$L$16:$L$22</c:f>
              <c:numCache>
                <c:formatCode>General</c:formatCode>
                <c:ptCount val="7"/>
                <c:pt idx="0">
                  <c:v>0</c:v>
                </c:pt>
                <c:pt idx="1">
                  <c:v>27.92</c:v>
                </c:pt>
                <c:pt idx="2">
                  <c:v>36.21</c:v>
                </c:pt>
                <c:pt idx="3">
                  <c:v>41.58</c:v>
                </c:pt>
                <c:pt idx="4">
                  <c:v>47.17</c:v>
                </c:pt>
                <c:pt idx="5">
                  <c:v>51.87</c:v>
                </c:pt>
                <c:pt idx="6">
                  <c:v>56.17</c:v>
                </c:pt>
              </c:numCache>
            </c:numRef>
          </c:yVal>
          <c:smooth val="1"/>
          <c:extLst>
            <c:ext xmlns:c16="http://schemas.microsoft.com/office/drawing/2014/chart" uri="{C3380CC4-5D6E-409C-BE32-E72D297353CC}">
              <c16:uniqueId val="{00000006-5249-4D2B-A74F-FBD7CE1A8778}"/>
            </c:ext>
          </c:extLst>
        </c:ser>
        <c:ser>
          <c:idx val="7"/>
          <c:order val="7"/>
          <c:tx>
            <c:strRef>
              <c:f>Sheet1!$M$15</c:f>
              <c:strCache>
                <c:ptCount val="1"/>
                <c:pt idx="0">
                  <c:v>F8</c:v>
                </c:pt>
              </c:strCache>
            </c:strRef>
          </c:tx>
          <c:spPr>
            <a:ln w="19050"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xVal>
            <c:numRef>
              <c:f>Sheet1!$E$16:$E$22</c:f>
              <c:numCache>
                <c:formatCode>General</c:formatCode>
                <c:ptCount val="7"/>
                <c:pt idx="0">
                  <c:v>0</c:v>
                </c:pt>
                <c:pt idx="1">
                  <c:v>1</c:v>
                </c:pt>
                <c:pt idx="2">
                  <c:v>2</c:v>
                </c:pt>
                <c:pt idx="3">
                  <c:v>3</c:v>
                </c:pt>
                <c:pt idx="4">
                  <c:v>4</c:v>
                </c:pt>
                <c:pt idx="5">
                  <c:v>5</c:v>
                </c:pt>
                <c:pt idx="6">
                  <c:v>6</c:v>
                </c:pt>
              </c:numCache>
            </c:numRef>
          </c:xVal>
          <c:yVal>
            <c:numRef>
              <c:f>Sheet1!$M$16:$M$22</c:f>
              <c:numCache>
                <c:formatCode>General</c:formatCode>
                <c:ptCount val="7"/>
                <c:pt idx="0">
                  <c:v>0</c:v>
                </c:pt>
                <c:pt idx="1">
                  <c:v>22.27</c:v>
                </c:pt>
                <c:pt idx="2">
                  <c:v>24.74</c:v>
                </c:pt>
                <c:pt idx="3">
                  <c:v>26.41</c:v>
                </c:pt>
                <c:pt idx="4">
                  <c:v>27.6</c:v>
                </c:pt>
                <c:pt idx="5">
                  <c:v>28.95</c:v>
                </c:pt>
                <c:pt idx="6">
                  <c:v>31.65</c:v>
                </c:pt>
              </c:numCache>
            </c:numRef>
          </c:yVal>
          <c:smooth val="1"/>
          <c:extLst>
            <c:ext xmlns:c16="http://schemas.microsoft.com/office/drawing/2014/chart" uri="{C3380CC4-5D6E-409C-BE32-E72D297353CC}">
              <c16:uniqueId val="{00000007-5249-4D2B-A74F-FBD7CE1A8778}"/>
            </c:ext>
          </c:extLst>
        </c:ser>
        <c:ser>
          <c:idx val="8"/>
          <c:order val="8"/>
          <c:tx>
            <c:strRef>
              <c:f>Sheet1!$N$15</c:f>
              <c:strCache>
                <c:ptCount val="1"/>
                <c:pt idx="0">
                  <c:v>F9</c:v>
                </c:pt>
              </c:strCache>
            </c:strRef>
          </c:tx>
          <c:spPr>
            <a:ln w="19050"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xVal>
            <c:numRef>
              <c:f>Sheet1!$E$16:$E$22</c:f>
              <c:numCache>
                <c:formatCode>General</c:formatCode>
                <c:ptCount val="7"/>
                <c:pt idx="0">
                  <c:v>0</c:v>
                </c:pt>
                <c:pt idx="1">
                  <c:v>1</c:v>
                </c:pt>
                <c:pt idx="2">
                  <c:v>2</c:v>
                </c:pt>
                <c:pt idx="3">
                  <c:v>3</c:v>
                </c:pt>
                <c:pt idx="4">
                  <c:v>4</c:v>
                </c:pt>
                <c:pt idx="5">
                  <c:v>5</c:v>
                </c:pt>
                <c:pt idx="6">
                  <c:v>6</c:v>
                </c:pt>
              </c:numCache>
            </c:numRef>
          </c:xVal>
          <c:yVal>
            <c:numRef>
              <c:f>Sheet1!$N$16:$N$22</c:f>
              <c:numCache>
                <c:formatCode>General</c:formatCode>
                <c:ptCount val="7"/>
                <c:pt idx="0">
                  <c:v>0</c:v>
                </c:pt>
                <c:pt idx="1">
                  <c:v>16.440000000000001</c:v>
                </c:pt>
                <c:pt idx="2">
                  <c:v>19.010000000000002</c:v>
                </c:pt>
                <c:pt idx="3">
                  <c:v>22.43</c:v>
                </c:pt>
                <c:pt idx="4">
                  <c:v>25.01</c:v>
                </c:pt>
                <c:pt idx="5">
                  <c:v>27.16</c:v>
                </c:pt>
                <c:pt idx="6">
                  <c:v>30.59</c:v>
                </c:pt>
              </c:numCache>
            </c:numRef>
          </c:yVal>
          <c:smooth val="1"/>
          <c:extLst>
            <c:ext xmlns:c16="http://schemas.microsoft.com/office/drawing/2014/chart" uri="{C3380CC4-5D6E-409C-BE32-E72D297353CC}">
              <c16:uniqueId val="{00000008-5249-4D2B-A74F-FBD7CE1A8778}"/>
            </c:ext>
          </c:extLst>
        </c:ser>
        <c:dLbls>
          <c:showLegendKey val="0"/>
          <c:showVal val="0"/>
          <c:showCatName val="0"/>
          <c:showSerName val="0"/>
          <c:showPercent val="0"/>
          <c:showBubbleSize val="0"/>
        </c:dLbls>
        <c:axId val="179888720"/>
        <c:axId val="179890800"/>
      </c:scatterChart>
      <c:valAx>
        <c:axId val="179888720"/>
        <c:scaling>
          <c:orientation val="minMax"/>
          <c:max val="6"/>
          <c:min val="0"/>
        </c:scaling>
        <c:delete val="0"/>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400" b="1">
                    <a:effectLst/>
                    <a:latin typeface="Times New Roman" panose="02020603050405020304" pitchFamily="18" charset="0"/>
                    <a:cs typeface="Times New Roman" panose="02020603050405020304" pitchFamily="18" charset="0"/>
                  </a:rPr>
                  <a:t>Time in Hours</a:t>
                </a:r>
                <a:endParaRPr lang="en-IN" sz="1400">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layout>
            <c:manualLayout>
              <c:xMode val="edge"/>
              <c:yMode val="edge"/>
              <c:x val="0.4003109226731274"/>
              <c:y val="0.81373378327709034"/>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890800"/>
        <c:crosses val="autoZero"/>
        <c:crossBetween val="midCat"/>
      </c:valAx>
      <c:valAx>
        <c:axId val="179890800"/>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400" b="1">
                    <a:effectLst/>
                    <a:latin typeface="Times New Roman" panose="02020603050405020304" pitchFamily="18" charset="0"/>
                    <a:cs typeface="Times New Roman" panose="02020603050405020304" pitchFamily="18" charset="0"/>
                  </a:rPr>
                  <a:t>Release</a:t>
                </a:r>
                <a:r>
                  <a:rPr lang="en-IN" sz="1400" b="1">
                    <a:effectLst/>
                  </a:rPr>
                  <a:t> %</a:t>
                </a:r>
                <a:endParaRPr lang="en-IN" sz="14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layout>
            <c:manualLayout>
              <c:xMode val="edge"/>
              <c:yMode val="edge"/>
              <c:x val="2.0261940501584457E-2"/>
              <c:y val="0.34025556805399326"/>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888720"/>
        <c:crosses val="autoZero"/>
        <c:crossBetween val="midCat"/>
      </c:valAx>
      <c:spPr>
        <a:noFill/>
        <a:ln>
          <a:noFill/>
        </a:ln>
        <a:effectLst/>
      </c:spPr>
    </c:plotArea>
    <c:legend>
      <c:legendPos val="b"/>
      <c:layout>
        <c:manualLayout>
          <c:xMode val="edge"/>
          <c:yMode val="edge"/>
          <c:x val="0.10184056937429956"/>
          <c:y val="0.90637208584221085"/>
          <c:w val="0.87025601467099423"/>
          <c:h val="6.617693376563223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B8938-57BE-45C8-BB4D-4585F960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9</Pages>
  <Words>3270</Words>
  <Characters>18644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103</cp:revision>
  <dcterms:created xsi:type="dcterms:W3CDTF">2025-05-02T05:38:00Z</dcterms:created>
  <dcterms:modified xsi:type="dcterms:W3CDTF">2025-05-06T07:46:00Z</dcterms:modified>
</cp:coreProperties>
</file>