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1FBD" w14:textId="77777777" w:rsidR="00EB361E" w:rsidRDefault="00BA519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COINFECTION OF TUBERCULOSIS (TB) AND OCCULT HEPATITIS B (OBI) INFECTION AMONG RESIDENTS IN RIVERS STATE NIGERIA</w:t>
      </w:r>
    </w:p>
    <w:p w14:paraId="33445F96" w14:textId="77777777" w:rsidR="00563253" w:rsidRDefault="00563253">
      <w:pPr>
        <w:spacing w:line="240" w:lineRule="auto"/>
        <w:jc w:val="both"/>
        <w:rPr>
          <w:rFonts w:ascii="Times New Roman" w:hAnsi="Times New Roman" w:cs="Times New Roman"/>
          <w:b/>
          <w:sz w:val="24"/>
          <w:szCs w:val="24"/>
        </w:rPr>
      </w:pPr>
    </w:p>
    <w:p w14:paraId="73475CFF" w14:textId="3E252D37" w:rsidR="00EB361E" w:rsidRDefault="00BA519F">
      <w:p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13C79894" w14:textId="77777777" w:rsidR="00EB361E" w:rsidRDefault="00BA519F">
      <w:pPr>
        <w:spacing w:line="24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6B3515A4"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Tuberculosis (TB) and Occult Hepatitis B Infection (OBI) presents a significant health challenge globally, particularly in regions like Rivers State, Nigeria.</w:t>
      </w:r>
      <w:r>
        <w:rPr>
          <w:rFonts w:ascii="Times New Roman" w:hAnsi="Times New Roman" w:cs="Times New Roman"/>
          <w:sz w:val="24"/>
          <w:szCs w:val="24"/>
          <w:shd w:val="clear" w:color="auto" w:fill="FFFFFF"/>
        </w:rPr>
        <w:t xml:space="preserve"> The </w:t>
      </w:r>
      <w:r>
        <w:rPr>
          <w:rStyle w:val="Emphasis"/>
          <w:rFonts w:ascii="Times New Roman" w:hAnsi="Times New Roman" w:cs="Times New Roman"/>
          <w:b/>
          <w:bCs/>
          <w:i w:val="0"/>
          <w:iCs w:val="0"/>
          <w:sz w:val="24"/>
          <w:szCs w:val="24"/>
          <w:shd w:val="clear" w:color="auto" w:fill="FFFFFF"/>
        </w:rPr>
        <w:t>prevalence</w:t>
      </w:r>
      <w:r>
        <w:rPr>
          <w:rFonts w:ascii="Times New Roman" w:hAnsi="Times New Roman" w:cs="Times New Roman"/>
          <w:sz w:val="24"/>
          <w:szCs w:val="24"/>
          <w:shd w:val="clear" w:color="auto" w:fill="FFFFFF"/>
        </w:rPr>
        <w:t> of OBI in different world regions varie</w:t>
      </w:r>
      <w:r>
        <w:rPr>
          <w:rFonts w:ascii="Times New Roman" w:hAnsi="Times New Roman" w:cs="Times New Roman"/>
          <w:sz w:val="24"/>
          <w:szCs w:val="24"/>
          <w:shd w:val="clear" w:color="auto" w:fill="FFFFFF"/>
        </w:rPr>
        <w:t xml:space="preserve">s from 1 to 87%. </w:t>
      </w:r>
      <w:r>
        <w:rPr>
          <w:rFonts w:ascii="Times New Roman" w:hAnsi="Times New Roman" w:cs="Times New Roman"/>
          <w:sz w:val="24"/>
          <w:szCs w:val="24"/>
        </w:rPr>
        <w:t>This cross-sectional study aimed to investigate the prevalence of TB/OBI coinfection among residents in Rivers State and compare demographic differences in coinfection distribution.</w:t>
      </w:r>
    </w:p>
    <w:p w14:paraId="6E8C3767"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Method</w:t>
      </w:r>
    </w:p>
    <w:p w14:paraId="143649F4"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total of 392 participants suspected of TB/OBI we</w:t>
      </w:r>
      <w:r>
        <w:rPr>
          <w:rFonts w:ascii="Times New Roman" w:hAnsi="Times New Roman" w:cs="Times New Roman"/>
          <w:sz w:val="24"/>
          <w:szCs w:val="24"/>
        </w:rPr>
        <w:t xml:space="preserve">re enrolled. Sputum and blood samples were collected for TB and HBV DNA quantification respectively. Simple random sampling was employed to select participants, ensuring equal representation. </w:t>
      </w:r>
    </w:p>
    <w:p w14:paraId="01BFDFE6"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Results</w:t>
      </w:r>
    </w:p>
    <w:p w14:paraId="38FD2E42"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Results showed a low prevalence of TB/OBI coinfection, </w:t>
      </w:r>
      <w:r>
        <w:rPr>
          <w:rFonts w:ascii="Times New Roman" w:hAnsi="Times New Roman" w:cs="Times New Roman"/>
          <w:sz w:val="24"/>
          <w:szCs w:val="24"/>
        </w:rPr>
        <w:t>with only one case detected (0.3%). Statistical analysis revealed no significant differences in coinfection rates based on sex or age at (p=0.42) and (p=0.88) respectively.</w:t>
      </w:r>
    </w:p>
    <w:p w14:paraId="63E45A31"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w:t>
      </w:r>
    </w:p>
    <w:p w14:paraId="4A64EDD4" w14:textId="77777777" w:rsidR="00EB361E" w:rsidRDefault="00BA5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findings highlight the importance of comprehensive surveillance a</w:t>
      </w:r>
      <w:r>
        <w:rPr>
          <w:rFonts w:ascii="Times New Roman" w:hAnsi="Times New Roman" w:cs="Times New Roman"/>
          <w:sz w:val="24"/>
          <w:szCs w:val="24"/>
        </w:rPr>
        <w:t>nd integrated healthcare strategies to address infectious diseases effectively. While the study provides valuable insights into TB/OBI coinfection in Rivers State, its cross-sectional design and sample size limitations warrant further longitudinal research</w:t>
      </w:r>
      <w:r>
        <w:rPr>
          <w:rFonts w:ascii="Times New Roman" w:hAnsi="Times New Roman" w:cs="Times New Roman"/>
          <w:sz w:val="24"/>
          <w:szCs w:val="24"/>
        </w:rPr>
        <w:t xml:space="preserve"> for a deeper understanding of coinfection dynamics and trends. Nonetheless, the study contributes to the body of knowledge guiding public health interventions aimed at improving patient outcomes in regions burdened by TB and HBV infections.</w:t>
      </w:r>
    </w:p>
    <w:p w14:paraId="1D04CAAA" w14:textId="77777777" w:rsidR="00EB361E" w:rsidRDefault="00EB361E">
      <w:pPr>
        <w:spacing w:after="0" w:line="360" w:lineRule="auto"/>
        <w:jc w:val="both"/>
        <w:rPr>
          <w:rFonts w:ascii="Times New Roman" w:hAnsi="Times New Roman" w:cs="Times New Roman"/>
          <w:sz w:val="24"/>
          <w:szCs w:val="24"/>
        </w:rPr>
      </w:pPr>
    </w:p>
    <w:p w14:paraId="5BDF9DC5" w14:textId="77777777" w:rsidR="00EB361E" w:rsidRDefault="00BA519F">
      <w:pPr>
        <w:spacing w:line="360" w:lineRule="auto"/>
        <w:jc w:val="both"/>
        <w:rPr>
          <w:rFonts w:ascii="Times New Roman" w:hAnsi="Times New Roman" w:cs="Times New Roman"/>
          <w:sz w:val="24"/>
          <w:szCs w:val="24"/>
        </w:rPr>
      </w:pPr>
      <w:r>
        <w:rPr>
          <w:rFonts w:ascii="Times New Roman" w:hAnsi="Times New Roman" w:cs="Times New Roman"/>
          <w:b/>
          <w:i/>
          <w:iCs/>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Coi</w:t>
      </w:r>
      <w:r>
        <w:rPr>
          <w:rFonts w:ascii="Times New Roman" w:hAnsi="Times New Roman" w:cs="Times New Roman"/>
          <w:i/>
          <w:sz w:val="24"/>
          <w:szCs w:val="24"/>
        </w:rPr>
        <w:t>nfection, Occult Hepatitis B, Prevalence, Rivers State, Tuberculosis</w:t>
      </w:r>
    </w:p>
    <w:p w14:paraId="2CB46962" w14:textId="77777777" w:rsidR="00EB361E" w:rsidRDefault="00EB361E">
      <w:pPr>
        <w:spacing w:line="360" w:lineRule="auto"/>
        <w:jc w:val="both"/>
        <w:rPr>
          <w:rFonts w:ascii="Times New Roman" w:hAnsi="Times New Roman" w:cs="Times New Roman"/>
          <w:b/>
          <w:sz w:val="24"/>
          <w:szCs w:val="24"/>
        </w:rPr>
      </w:pPr>
    </w:p>
    <w:p w14:paraId="203B8DC6" w14:textId="77777777" w:rsidR="00EB361E" w:rsidRDefault="00EB361E">
      <w:pPr>
        <w:spacing w:line="360" w:lineRule="auto"/>
        <w:jc w:val="both"/>
        <w:rPr>
          <w:rFonts w:ascii="Times New Roman" w:hAnsi="Times New Roman" w:cs="Times New Roman"/>
          <w:b/>
          <w:sz w:val="24"/>
          <w:szCs w:val="24"/>
        </w:rPr>
      </w:pPr>
    </w:p>
    <w:p w14:paraId="27BAAF1C"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FDC9845"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Tuberculosis (TB) and Hepatitis B Virus (HBV) infection are two significant infectious diseases that pose a substantial health burden [1].   TB, caused by </w:t>
      </w:r>
      <w:r>
        <w:rPr>
          <w:rFonts w:ascii="Times New Roman" w:hAnsi="Times New Roman" w:cs="Times New Roman"/>
          <w:i/>
          <w:sz w:val="24"/>
          <w:szCs w:val="24"/>
        </w:rPr>
        <w:t>Mycobacterium tub</w:t>
      </w:r>
      <w:r>
        <w:rPr>
          <w:rFonts w:ascii="Times New Roman" w:hAnsi="Times New Roman" w:cs="Times New Roman"/>
          <w:i/>
          <w:sz w:val="24"/>
          <w:szCs w:val="24"/>
        </w:rPr>
        <w:t>erculosis</w:t>
      </w:r>
      <w:r>
        <w:rPr>
          <w:rFonts w:ascii="Times New Roman" w:hAnsi="Times New Roman" w:cs="Times New Roman"/>
          <w:sz w:val="24"/>
          <w:szCs w:val="24"/>
        </w:rPr>
        <w:t>, is one of the top 10 causes of death worldwide [2]. In Nigeria, TB is a major public health problem, with the country ranking among those with the highest TB burden globally [3]. The disease is contagious and spreads through infected droplets re</w:t>
      </w:r>
      <w:r>
        <w:rPr>
          <w:rFonts w:ascii="Times New Roman" w:hAnsi="Times New Roman" w:cs="Times New Roman"/>
          <w:sz w:val="24"/>
          <w:szCs w:val="24"/>
        </w:rPr>
        <w:t>leased into the air by coughing or sneezing. Symptoms of TB can range from a persistent cough, chest pain, and fever to weight loss and night sweats [1].</w:t>
      </w:r>
    </w:p>
    <w:p w14:paraId="0CCA5368"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On the other hand, Hepatitis B, an infectious disease caused by the Hepatitis B virus, is a significan</w:t>
      </w:r>
      <w:r>
        <w:rPr>
          <w:rFonts w:ascii="Times New Roman" w:hAnsi="Times New Roman" w:cs="Times New Roman"/>
          <w:sz w:val="24"/>
          <w:szCs w:val="24"/>
        </w:rPr>
        <w:t>t health issue, particularly in Africa. According to the WHO, as of 2022, an estimated 254 million people were living with chronic Hepatitis B infection [4]. The term “occult” Hepatitis B infection describes a condition where Hepatitis B virus DNA is detec</w:t>
      </w:r>
      <w:r>
        <w:rPr>
          <w:rFonts w:ascii="Times New Roman" w:hAnsi="Times New Roman" w:cs="Times New Roman"/>
          <w:sz w:val="24"/>
          <w:szCs w:val="24"/>
        </w:rPr>
        <w:t>table in the blood or liver tissues, but the Hepatitis B surface antigen (HBsAg) is not detectable in the serum. This condition is of particular concern as it poses a risk for transmission through blood transfusion and organ transplantation [5]. The overal</w:t>
      </w:r>
      <w:r>
        <w:rPr>
          <w:rFonts w:ascii="Times New Roman" w:hAnsi="Times New Roman" w:cs="Times New Roman"/>
          <w:sz w:val="24"/>
          <w:szCs w:val="24"/>
        </w:rPr>
        <w:t xml:space="preserve">l, </w:t>
      </w:r>
      <w:r>
        <w:rPr>
          <w:rStyle w:val="Emphasis"/>
          <w:rFonts w:ascii="Times New Roman" w:hAnsi="Times New Roman" w:cs="Times New Roman"/>
          <w:i w:val="0"/>
          <w:iCs w:val="0"/>
          <w:sz w:val="24"/>
          <w:szCs w:val="24"/>
          <w:shd w:val="clear" w:color="auto" w:fill="FFFFFF"/>
        </w:rPr>
        <w:t>prevalence</w:t>
      </w:r>
      <w:r>
        <w:rPr>
          <w:rFonts w:ascii="Times New Roman" w:hAnsi="Times New Roman" w:cs="Times New Roman"/>
          <w:sz w:val="24"/>
          <w:szCs w:val="24"/>
          <w:shd w:val="clear" w:color="auto" w:fill="FFFFFF"/>
        </w:rPr>
        <w:t> of OBI in different world regions varies from 1 to 87%</w:t>
      </w:r>
      <w:r>
        <w:rPr>
          <w:rFonts w:ascii="Times New Roman" w:hAnsi="Times New Roman" w:cs="Times New Roman"/>
          <w:sz w:val="24"/>
          <w:szCs w:val="24"/>
        </w:rPr>
        <w:t xml:space="preserve"> [6].</w:t>
      </w:r>
    </w:p>
    <w:p w14:paraId="48EE6312"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coexistence of TB and occult HBV infection introduces a complex clinical scenario [7]. The pathogenesis of TB involves the invasion of </w:t>
      </w:r>
      <w:r>
        <w:rPr>
          <w:rFonts w:ascii="Times New Roman" w:hAnsi="Times New Roman" w:cs="Times New Roman"/>
          <w:i/>
          <w:sz w:val="24"/>
          <w:szCs w:val="24"/>
        </w:rPr>
        <w:t>Mycobacterium tuberculosis</w:t>
      </w:r>
      <w:r>
        <w:rPr>
          <w:rFonts w:ascii="Times New Roman" w:hAnsi="Times New Roman" w:cs="Times New Roman"/>
          <w:sz w:val="24"/>
          <w:szCs w:val="24"/>
        </w:rPr>
        <w:t xml:space="preserve"> into the lungs, </w:t>
      </w:r>
      <w:r>
        <w:rPr>
          <w:rFonts w:ascii="Times New Roman" w:hAnsi="Times New Roman" w:cs="Times New Roman"/>
          <w:sz w:val="24"/>
          <w:szCs w:val="24"/>
        </w:rPr>
        <w:t>leading to the formation of granulomas and tissue damage [2]. Hepatitis B virus, on the other hand, primarily targets the liver, leading to inflammation and potentially progressing to cirrhosis or hepatocellular carcinoma. The interaction between these pat</w:t>
      </w:r>
      <w:r>
        <w:rPr>
          <w:rFonts w:ascii="Times New Roman" w:hAnsi="Times New Roman" w:cs="Times New Roman"/>
          <w:sz w:val="24"/>
          <w:szCs w:val="24"/>
        </w:rPr>
        <w:t>hogens and their impact on the host's immune response complicates disease prognosis and management [7].</w:t>
      </w:r>
    </w:p>
    <w:p w14:paraId="7C5B7C68"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Rivers State, located in the Niger Delta region of Nigeria, is not exempt from these health challenges. Recent studies have shown a high prevalence of </w:t>
      </w:r>
      <w:r>
        <w:rPr>
          <w:rFonts w:ascii="Times New Roman" w:hAnsi="Times New Roman" w:cs="Times New Roman"/>
          <w:sz w:val="24"/>
          <w:szCs w:val="24"/>
        </w:rPr>
        <w:t>TB in the state [8,9]. Similarly, Nigeria is considered a high-prevalence country for HBV, with inconsistent estimates of HBV cases, necessitating further research for clarity [9]. This study aims to investigate the coinfection of Tuberculosis and Occult H</w:t>
      </w:r>
      <w:r>
        <w:rPr>
          <w:rFonts w:ascii="Times New Roman" w:hAnsi="Times New Roman" w:cs="Times New Roman"/>
          <w:sz w:val="24"/>
          <w:szCs w:val="24"/>
        </w:rPr>
        <w:t>epatitis B among residents in Rivers State, Nigeria. The specific objectives are to determine the prevalence of Tuberculosis /Occult Hepatitis B Coinfection among residents in Rivers State Nigeria and to compare the demographic difference in the distributi</w:t>
      </w:r>
      <w:r>
        <w:rPr>
          <w:rFonts w:ascii="Times New Roman" w:hAnsi="Times New Roman" w:cs="Times New Roman"/>
          <w:sz w:val="24"/>
          <w:szCs w:val="24"/>
        </w:rPr>
        <w:t xml:space="preserve">on of Tuberculosis and Occult Hepatitis B Coinfection in the study population. By achieving these objectives, this study will provide valuable insights into the epidemiology of TB and occult HBV coinfection in Rivers State. This information is crucial for </w:t>
      </w:r>
      <w:r>
        <w:rPr>
          <w:rFonts w:ascii="Times New Roman" w:hAnsi="Times New Roman" w:cs="Times New Roman"/>
          <w:sz w:val="24"/>
          <w:szCs w:val="24"/>
        </w:rPr>
        <w:t>informing public health interventions aimed at controlling these infections and improving the health outcomes of the affected population.</w:t>
      </w:r>
    </w:p>
    <w:p w14:paraId="5CC09DF0" w14:textId="77777777" w:rsidR="00EB361E" w:rsidRDefault="00EB361E">
      <w:pPr>
        <w:spacing w:line="276" w:lineRule="auto"/>
        <w:jc w:val="both"/>
        <w:rPr>
          <w:rFonts w:ascii="Times New Roman" w:hAnsi="Times New Roman" w:cs="Times New Roman"/>
          <w:b/>
          <w:sz w:val="24"/>
          <w:szCs w:val="24"/>
        </w:rPr>
      </w:pPr>
    </w:p>
    <w:p w14:paraId="6477D946" w14:textId="77777777" w:rsidR="00EB361E" w:rsidRDefault="00EB361E">
      <w:pPr>
        <w:spacing w:line="276" w:lineRule="auto"/>
        <w:jc w:val="both"/>
        <w:rPr>
          <w:rFonts w:ascii="Times New Roman" w:hAnsi="Times New Roman" w:cs="Times New Roman"/>
          <w:b/>
          <w:sz w:val="24"/>
          <w:szCs w:val="24"/>
        </w:rPr>
      </w:pPr>
    </w:p>
    <w:p w14:paraId="64D75182" w14:textId="77777777" w:rsidR="00EB361E" w:rsidRDefault="00EB361E">
      <w:pPr>
        <w:spacing w:line="276" w:lineRule="auto"/>
        <w:jc w:val="both"/>
        <w:rPr>
          <w:rFonts w:ascii="Times New Roman" w:hAnsi="Times New Roman" w:cs="Times New Roman"/>
          <w:b/>
          <w:sz w:val="24"/>
          <w:szCs w:val="24"/>
        </w:rPr>
      </w:pPr>
    </w:p>
    <w:p w14:paraId="335EC477"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55A3D3B5"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08FDB5BA"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was carried out at the Rivers State University Teaching Hospital (RSUTH</w:t>
      </w:r>
      <w:r>
        <w:rPr>
          <w:rFonts w:ascii="Times New Roman" w:hAnsi="Times New Roman" w:cs="Times New Roman"/>
          <w:sz w:val="24"/>
          <w:szCs w:val="24"/>
        </w:rPr>
        <w:t>), a tertiary healthcare institution located in the bustling city of Port Harcourt, the capital of Rivers State, Nigeria. RSUTH provides a high level of medical care, offering a wide range of specialized health services. Its location in a major urban cente</w:t>
      </w:r>
      <w:r>
        <w:rPr>
          <w:rFonts w:ascii="Times New Roman" w:hAnsi="Times New Roman" w:cs="Times New Roman"/>
          <w:sz w:val="24"/>
          <w:szCs w:val="24"/>
        </w:rPr>
        <w:t>r allows it to serve a diverse population, making it an ideal setting for this study.</w:t>
      </w:r>
    </w:p>
    <w:p w14:paraId="0831546D"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Study Design</w:t>
      </w:r>
    </w:p>
    <w:p w14:paraId="67808162"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This cross-sectional study was conducted from October 2023 to February 2024.  A total of 392 participants suspected of having Tuberculosis (TB) and Occult He</w:t>
      </w:r>
      <w:r>
        <w:rPr>
          <w:rFonts w:ascii="Times New Roman" w:hAnsi="Times New Roman" w:cs="Times New Roman"/>
          <w:sz w:val="24"/>
          <w:szCs w:val="24"/>
        </w:rPr>
        <w:t>patitis B were enrolled in the study. Sputum samples were systematically collected for TB examinations, and blood samples were collected for HBV DNA Quantification to detect Occult Hepatitis B.</w:t>
      </w:r>
    </w:p>
    <w:p w14:paraId="47F077C0"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Sampling Method</w:t>
      </w:r>
    </w:p>
    <w:p w14:paraId="6F2ED0D9"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The sampling method employed in this study was</w:t>
      </w:r>
      <w:r>
        <w:rPr>
          <w:rFonts w:ascii="Times New Roman" w:hAnsi="Times New Roman" w:cs="Times New Roman"/>
          <w:sz w:val="24"/>
          <w:szCs w:val="24"/>
        </w:rPr>
        <w:t xml:space="preserve"> simple random sampling. Each presumptive patient was assigned a binary numbering system, consisting of the digits “1” and “0”. Participants were then asked to pick a number at random. Those who picked a “0” were included in the study sample, while those w</w:t>
      </w:r>
      <w:r>
        <w:rPr>
          <w:rFonts w:ascii="Times New Roman" w:hAnsi="Times New Roman" w:cs="Times New Roman"/>
          <w:sz w:val="24"/>
          <w:szCs w:val="24"/>
        </w:rPr>
        <w:t>ho picked a “1” were not selected.  This method ensures that every individual in the population has an equal chance of being selected, thereby reducing selection bias and allowing the results to be generalized to the larger population</w:t>
      </w:r>
    </w:p>
    <w:p w14:paraId="720EF556"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Measures</w:t>
      </w:r>
    </w:p>
    <w:p w14:paraId="42E6E2A5"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Processing o</w:t>
      </w:r>
      <w:r>
        <w:rPr>
          <w:rFonts w:ascii="Times New Roman" w:hAnsi="Times New Roman" w:cs="Times New Roman"/>
          <w:b/>
          <w:sz w:val="24"/>
          <w:szCs w:val="24"/>
        </w:rPr>
        <w:t>f Sputum Samples for Culture:</w:t>
      </w:r>
    </w:p>
    <w:p w14:paraId="2E91BE44"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The processing of sputum samples for culture was meticulously carried out using the N-Acetyl-L-Cysteine (NALC)-NaOH method [10]. Initially, 4% NaOH and 2.9% Sodium citrate were prepared and sterilized separately. These reagent</w:t>
      </w:r>
      <w:r>
        <w:rPr>
          <w:rFonts w:ascii="Times New Roman" w:hAnsi="Times New Roman" w:cs="Times New Roman"/>
          <w:sz w:val="24"/>
          <w:szCs w:val="24"/>
        </w:rPr>
        <w:t>s were then mixed in equal volumes to create the working solution. To this, 1 gram of NALC was added freshly. An equal volume of the NALC-NaOH solution was then added to the sputum samples, which were gently mixed by inversion and subsequently vortexed for</w:t>
      </w:r>
      <w:r>
        <w:rPr>
          <w:rFonts w:ascii="Times New Roman" w:hAnsi="Times New Roman" w:cs="Times New Roman"/>
          <w:sz w:val="24"/>
          <w:szCs w:val="24"/>
        </w:rPr>
        <w:t xml:space="preserve"> 30 seconds. The mixture was allowed to stand for 15 minutes, with intermittent mixing to ensure proper lysis of the sputum. Following this, the content was neutralized using phosphate-buffered saline (PBS) at a pH of 6.8. The samples were then centrifuged</w:t>
      </w:r>
      <w:r>
        <w:rPr>
          <w:rFonts w:ascii="Times New Roman" w:hAnsi="Times New Roman" w:cs="Times New Roman"/>
          <w:sz w:val="24"/>
          <w:szCs w:val="24"/>
        </w:rPr>
        <w:t xml:space="preserve"> at 3000xg for 15 minutes. After discarding the supernatant, the pellet was resuspended in 2 ml of PBS. Finally, 3 drops of the resuspended sample were inoculated into the Lowenstein-Jensen media in duplicate and incubated at 37°C for 8 weeks to allow for </w:t>
      </w:r>
      <w:r>
        <w:rPr>
          <w:rFonts w:ascii="Times New Roman" w:hAnsi="Times New Roman" w:cs="Times New Roman"/>
          <w:sz w:val="24"/>
          <w:szCs w:val="24"/>
        </w:rPr>
        <w:t>the growth and identification of mycobacteria.</w:t>
      </w:r>
    </w:p>
    <w:p w14:paraId="283D06E1" w14:textId="77777777" w:rsidR="00EB361E" w:rsidRDefault="00EB361E">
      <w:pPr>
        <w:spacing w:line="276" w:lineRule="auto"/>
        <w:jc w:val="both"/>
        <w:rPr>
          <w:rFonts w:ascii="Times New Roman" w:hAnsi="Times New Roman" w:cs="Times New Roman"/>
          <w:b/>
          <w:sz w:val="24"/>
          <w:szCs w:val="24"/>
        </w:rPr>
      </w:pPr>
    </w:p>
    <w:p w14:paraId="483DA6DA" w14:textId="77777777" w:rsidR="00EB361E" w:rsidRDefault="00EB361E">
      <w:pPr>
        <w:spacing w:line="276" w:lineRule="auto"/>
        <w:jc w:val="both"/>
        <w:rPr>
          <w:rFonts w:ascii="Times New Roman" w:hAnsi="Times New Roman" w:cs="Times New Roman"/>
          <w:b/>
          <w:sz w:val="24"/>
          <w:szCs w:val="24"/>
        </w:rPr>
      </w:pPr>
    </w:p>
    <w:p w14:paraId="0036CD1F"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HBV DNA Quantification:</w:t>
      </w:r>
    </w:p>
    <w:p w14:paraId="5167BC28"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quantification of HBV DNA was meticulously carried out using Real-Time Polymerase Chain Reaction (PCR) [11]. Initially, blood was collected, typically from a vein in the arm. The </w:t>
      </w:r>
      <w:r>
        <w:rPr>
          <w:rFonts w:ascii="Times New Roman" w:hAnsi="Times New Roman" w:cs="Times New Roman"/>
          <w:sz w:val="24"/>
          <w:szCs w:val="24"/>
        </w:rPr>
        <w:t>blood sample was then centrifuged to separate the serum or plasma and was used for the test.</w:t>
      </w:r>
      <w:r>
        <w:rPr>
          <w:rFonts w:ascii="Times New Roman" w:hAnsi="Times New Roman" w:cs="Times New Roman"/>
          <w:b/>
          <w:sz w:val="24"/>
          <w:szCs w:val="24"/>
        </w:rPr>
        <w:t xml:space="preserve"> </w:t>
      </w:r>
      <w:r>
        <w:rPr>
          <w:rFonts w:ascii="Times New Roman" w:hAnsi="Times New Roman" w:cs="Times New Roman"/>
          <w:sz w:val="24"/>
          <w:szCs w:val="24"/>
        </w:rPr>
        <w:t>HBV DNA was extracted from the serum or plasma sample using a DNA extraction kit following the manufacturer's instructions. The extracted DNA was then prepared for</w:t>
      </w:r>
      <w:r>
        <w:rPr>
          <w:rFonts w:ascii="Times New Roman" w:hAnsi="Times New Roman" w:cs="Times New Roman"/>
          <w:sz w:val="24"/>
          <w:szCs w:val="24"/>
        </w:rPr>
        <w:t xml:space="preserve"> PCR. The PCR reaction mix was prepared by adding the extracted DNA, a pair of primers specific to HBV DNA, and a fluorescent probe to a PCR master mix. The master mix contained the necessary components for the PCR, including Taq polymerase, dNTPs, and buf</w:t>
      </w:r>
      <w:r>
        <w:rPr>
          <w:rFonts w:ascii="Times New Roman" w:hAnsi="Times New Roman" w:cs="Times New Roman"/>
          <w:sz w:val="24"/>
          <w:szCs w:val="24"/>
        </w:rPr>
        <w:t>fer. The reaction mix was loaded into a real-</w:t>
      </w:r>
      <w:r>
        <w:rPr>
          <w:rFonts w:ascii="Times New Roman" w:hAnsi="Times New Roman" w:cs="Times New Roman"/>
          <w:sz w:val="24"/>
          <w:szCs w:val="24"/>
        </w:rPr>
        <w:lastRenderedPageBreak/>
        <w:t>time PCR machine. The machine cycled through different temperatures to denature the DNA, anneal the primers, and extend the new DNA strands. The fluorescent probe was bound to the amplified HBV DNA, and the mach</w:t>
      </w:r>
      <w:r>
        <w:rPr>
          <w:rFonts w:ascii="Times New Roman" w:hAnsi="Times New Roman" w:cs="Times New Roman"/>
          <w:sz w:val="24"/>
          <w:szCs w:val="24"/>
        </w:rPr>
        <w:t>ine measured the fluorescence after each cycle.</w:t>
      </w:r>
      <w:r>
        <w:rPr>
          <w:rFonts w:ascii="Times New Roman" w:hAnsi="Times New Roman" w:cs="Times New Roman"/>
          <w:b/>
          <w:sz w:val="24"/>
          <w:szCs w:val="24"/>
        </w:rPr>
        <w:t xml:space="preserve"> </w:t>
      </w:r>
      <w:r>
        <w:rPr>
          <w:rFonts w:ascii="Times New Roman" w:hAnsi="Times New Roman" w:cs="Times New Roman"/>
          <w:sz w:val="24"/>
          <w:szCs w:val="24"/>
        </w:rPr>
        <w:t>The real-time PCR machine generated a cycle threshold (Ct) value, which was the number of cycles it took for the fluorescence to exceed a certain threshold. This Ct value was inversely proportional to the amo</w:t>
      </w:r>
      <w:r>
        <w:rPr>
          <w:rFonts w:ascii="Times New Roman" w:hAnsi="Times New Roman" w:cs="Times New Roman"/>
          <w:sz w:val="24"/>
          <w:szCs w:val="24"/>
        </w:rPr>
        <w:t>unt of HBV DNA in the sample. The viral load (HBV DNA copies/mL) was then calculated based on the Ct value.</w:t>
      </w:r>
      <w:r>
        <w:rPr>
          <w:rFonts w:ascii="Times New Roman" w:hAnsi="Times New Roman" w:cs="Times New Roman"/>
          <w:b/>
          <w:sz w:val="24"/>
          <w:szCs w:val="24"/>
        </w:rPr>
        <w:t xml:space="preserve"> </w:t>
      </w:r>
      <w:r>
        <w:rPr>
          <w:rFonts w:ascii="Times New Roman" w:hAnsi="Times New Roman" w:cs="Times New Roman"/>
          <w:sz w:val="24"/>
          <w:szCs w:val="24"/>
        </w:rPr>
        <w:t>Finally, the results were documented and reported to the healthcare provider. This entire process was carried out with strict adherence to the manuf</w:t>
      </w:r>
      <w:r>
        <w:rPr>
          <w:rFonts w:ascii="Times New Roman" w:hAnsi="Times New Roman" w:cs="Times New Roman"/>
          <w:sz w:val="24"/>
          <w:szCs w:val="24"/>
        </w:rPr>
        <w:t>acturer's instructions and local guidelines when performing HBV DNA testing.</w:t>
      </w:r>
    </w:p>
    <w:p w14:paraId="13AA3695"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14:paraId="03FCB126"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In the statistical analysis of the collected data, descriptive statistics were employed, with results expressed as percentages. The Chi-square test was utilized to a</w:t>
      </w:r>
      <w:r>
        <w:rPr>
          <w:rFonts w:ascii="Times New Roman" w:hAnsi="Times New Roman" w:cs="Times New Roman"/>
          <w:sz w:val="24"/>
          <w:szCs w:val="24"/>
        </w:rPr>
        <w:t xml:space="preserve">scertain the association between the rates of infection and various socio-demographic variables. Mann-Whitney Test was used to compare Sex Specific Difference in Distribution of TB/OBI Co-infection, and Kruskal-Wallis Test was used to compare age Specific </w:t>
      </w:r>
      <w:r>
        <w:rPr>
          <w:rFonts w:ascii="Times New Roman" w:hAnsi="Times New Roman" w:cs="Times New Roman"/>
          <w:sz w:val="24"/>
          <w:szCs w:val="24"/>
        </w:rPr>
        <w:t>differences in the distribution of TB/OBI Co-infection. Throughout the analysis, the level of significance was established at α of 0.05, indicating that results with a p-value less than 0.05 would be considered statistically significant.</w:t>
      </w:r>
    </w:p>
    <w:p w14:paraId="1024A911" w14:textId="77777777" w:rsidR="00EB361E" w:rsidRDefault="00BA519F">
      <w:pPr>
        <w:spacing w:line="276" w:lineRule="auto"/>
        <w:jc w:val="both"/>
        <w:rPr>
          <w:rFonts w:ascii="Times New Roman" w:hAnsi="Times New Roman" w:cs="Times New Roman"/>
          <w:b/>
          <w:sz w:val="24"/>
          <w:szCs w:val="24"/>
        </w:rPr>
      </w:pPr>
      <w:r>
        <w:rPr>
          <w:rFonts w:ascii="Times New Roman" w:hAnsi="Times New Roman" w:cs="Times New Roman"/>
          <w:b/>
          <w:sz w:val="24"/>
          <w:szCs w:val="24"/>
        </w:rPr>
        <w:t>Ethical Considerat</w:t>
      </w:r>
      <w:r>
        <w:rPr>
          <w:rFonts w:ascii="Times New Roman" w:hAnsi="Times New Roman" w:cs="Times New Roman"/>
          <w:b/>
          <w:sz w:val="24"/>
          <w:szCs w:val="24"/>
        </w:rPr>
        <w:t>ion</w:t>
      </w:r>
    </w:p>
    <w:p w14:paraId="6976B5BC" w14:textId="77777777" w:rsidR="00EB361E" w:rsidRDefault="00BA519F">
      <w:pPr>
        <w:spacing w:line="276" w:lineRule="auto"/>
        <w:jc w:val="both"/>
        <w:rPr>
          <w:rFonts w:ascii="Times New Roman" w:hAnsi="Times New Roman" w:cs="Times New Roman"/>
          <w:sz w:val="24"/>
          <w:szCs w:val="24"/>
        </w:rPr>
      </w:pPr>
      <w:r>
        <w:rPr>
          <w:rFonts w:ascii="Times New Roman" w:hAnsi="Times New Roman" w:cs="Times New Roman"/>
          <w:sz w:val="24"/>
          <w:szCs w:val="24"/>
        </w:rPr>
        <w:t>Ethical approval was obtained for this study, and written consent was obtained from all participants.</w:t>
      </w:r>
    </w:p>
    <w:p w14:paraId="0A26CEDB" w14:textId="77777777" w:rsidR="00EB361E" w:rsidRDefault="00EB361E">
      <w:pPr>
        <w:spacing w:line="276" w:lineRule="auto"/>
        <w:jc w:val="both"/>
        <w:rPr>
          <w:rFonts w:ascii="Times New Roman" w:hAnsi="Times New Roman" w:cs="Times New Roman"/>
          <w:b/>
          <w:sz w:val="24"/>
          <w:szCs w:val="24"/>
        </w:rPr>
      </w:pPr>
    </w:p>
    <w:p w14:paraId="0DDA6E12" w14:textId="77777777" w:rsidR="00EB361E" w:rsidRDefault="00EB361E">
      <w:pPr>
        <w:spacing w:line="276" w:lineRule="auto"/>
        <w:jc w:val="both"/>
        <w:rPr>
          <w:rFonts w:ascii="Times New Roman" w:hAnsi="Times New Roman" w:cs="Times New Roman"/>
          <w:b/>
          <w:sz w:val="24"/>
          <w:szCs w:val="24"/>
        </w:rPr>
      </w:pPr>
    </w:p>
    <w:p w14:paraId="0FBD5919" w14:textId="77777777" w:rsidR="00EB361E" w:rsidRDefault="00EB361E">
      <w:pPr>
        <w:spacing w:line="276" w:lineRule="auto"/>
        <w:jc w:val="both"/>
        <w:rPr>
          <w:rFonts w:ascii="Times New Roman" w:hAnsi="Times New Roman" w:cs="Times New Roman"/>
          <w:b/>
          <w:sz w:val="24"/>
          <w:szCs w:val="24"/>
        </w:rPr>
      </w:pPr>
    </w:p>
    <w:p w14:paraId="6E0FBC2B" w14:textId="77777777" w:rsidR="00EB361E" w:rsidRDefault="00EB361E">
      <w:pPr>
        <w:spacing w:line="276" w:lineRule="auto"/>
        <w:jc w:val="both"/>
        <w:rPr>
          <w:rFonts w:ascii="Times New Roman" w:hAnsi="Times New Roman" w:cs="Times New Roman"/>
          <w:b/>
          <w:sz w:val="24"/>
          <w:szCs w:val="24"/>
        </w:rPr>
      </w:pPr>
    </w:p>
    <w:p w14:paraId="6CB29E47" w14:textId="77777777" w:rsidR="00EB361E" w:rsidRDefault="00EB361E">
      <w:pPr>
        <w:spacing w:line="276" w:lineRule="auto"/>
        <w:jc w:val="both"/>
        <w:rPr>
          <w:rFonts w:ascii="Times New Roman" w:hAnsi="Times New Roman" w:cs="Times New Roman"/>
          <w:b/>
          <w:sz w:val="24"/>
          <w:szCs w:val="24"/>
        </w:rPr>
      </w:pPr>
    </w:p>
    <w:p w14:paraId="1B6EEFEC" w14:textId="77777777" w:rsidR="00EB361E" w:rsidRDefault="00EB361E">
      <w:pPr>
        <w:spacing w:line="276" w:lineRule="auto"/>
        <w:jc w:val="both"/>
        <w:rPr>
          <w:rFonts w:ascii="Times New Roman" w:hAnsi="Times New Roman" w:cs="Times New Roman"/>
          <w:b/>
          <w:sz w:val="24"/>
          <w:szCs w:val="24"/>
        </w:rPr>
      </w:pPr>
    </w:p>
    <w:p w14:paraId="09F6FA64" w14:textId="77777777" w:rsidR="00EB361E" w:rsidRDefault="00BA519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62F09702" w14:textId="77777777" w:rsidR="00EB361E" w:rsidRDefault="00BA519F">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Table 1: Frequency Distribution of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41"/>
        <w:gridCol w:w="2348"/>
        <w:gridCol w:w="2335"/>
      </w:tblGrid>
      <w:tr w:rsidR="00EB361E" w14:paraId="26675F64" w14:textId="77777777">
        <w:tc>
          <w:tcPr>
            <w:tcW w:w="2394" w:type="dxa"/>
            <w:tcBorders>
              <w:top w:val="single" w:sz="4" w:space="0" w:color="auto"/>
              <w:bottom w:val="single" w:sz="4" w:space="0" w:color="auto"/>
            </w:tcBorders>
          </w:tcPr>
          <w:p w14:paraId="42DE08E9"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2394" w:type="dxa"/>
            <w:tcBorders>
              <w:top w:val="single" w:sz="4" w:space="0" w:color="auto"/>
              <w:bottom w:val="single" w:sz="4" w:space="0" w:color="auto"/>
            </w:tcBorders>
          </w:tcPr>
          <w:p w14:paraId="5B089CAC"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Group</w:t>
            </w:r>
          </w:p>
        </w:tc>
        <w:tc>
          <w:tcPr>
            <w:tcW w:w="2394" w:type="dxa"/>
            <w:tcBorders>
              <w:top w:val="single" w:sz="4" w:space="0" w:color="auto"/>
              <w:bottom w:val="single" w:sz="4" w:space="0" w:color="auto"/>
            </w:tcBorders>
          </w:tcPr>
          <w:p w14:paraId="746F5E01"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Frequency</w:t>
            </w:r>
          </w:p>
        </w:tc>
        <w:tc>
          <w:tcPr>
            <w:tcW w:w="2394" w:type="dxa"/>
            <w:tcBorders>
              <w:top w:val="single" w:sz="4" w:space="0" w:color="auto"/>
              <w:bottom w:val="single" w:sz="4" w:space="0" w:color="auto"/>
            </w:tcBorders>
          </w:tcPr>
          <w:p w14:paraId="6F763F4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Percent</w:t>
            </w:r>
          </w:p>
        </w:tc>
      </w:tr>
      <w:tr w:rsidR="00EB361E" w14:paraId="7E02B41E" w14:textId="77777777">
        <w:tc>
          <w:tcPr>
            <w:tcW w:w="2394" w:type="dxa"/>
            <w:tcBorders>
              <w:top w:val="single" w:sz="4" w:space="0" w:color="auto"/>
            </w:tcBorders>
            <w:vAlign w:val="center"/>
          </w:tcPr>
          <w:p w14:paraId="66C340E3" w14:textId="77777777" w:rsidR="00EB361E" w:rsidRDefault="00BA519F">
            <w:pPr>
              <w:autoSpaceDE w:val="0"/>
              <w:autoSpaceDN w:val="0"/>
              <w:adjustRightInd w:val="0"/>
              <w:spacing w:after="0" w:line="240" w:lineRule="auto"/>
              <w:ind w:right="60"/>
              <w:rPr>
                <w:rFonts w:ascii="Times New Roman" w:hAnsi="Times New Roman" w:cs="Times New Roman"/>
                <w:sz w:val="24"/>
                <w:szCs w:val="24"/>
              </w:rPr>
            </w:pPr>
            <w:r>
              <w:rPr>
                <w:rFonts w:ascii="Times New Roman" w:hAnsi="Times New Roman" w:cs="Times New Roman"/>
                <w:sz w:val="24"/>
                <w:szCs w:val="24"/>
              </w:rPr>
              <w:t>Age</w:t>
            </w:r>
          </w:p>
        </w:tc>
        <w:tc>
          <w:tcPr>
            <w:tcW w:w="2394" w:type="dxa"/>
            <w:tcBorders>
              <w:top w:val="single" w:sz="4" w:space="0" w:color="auto"/>
            </w:tcBorders>
            <w:vAlign w:val="center"/>
          </w:tcPr>
          <w:p w14:paraId="6B9D4231"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&lt;20</w:t>
            </w:r>
          </w:p>
        </w:tc>
        <w:tc>
          <w:tcPr>
            <w:tcW w:w="2394" w:type="dxa"/>
            <w:tcBorders>
              <w:top w:val="single" w:sz="4" w:space="0" w:color="auto"/>
            </w:tcBorders>
          </w:tcPr>
          <w:p w14:paraId="0B014A10"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51</w:t>
            </w:r>
          </w:p>
        </w:tc>
        <w:tc>
          <w:tcPr>
            <w:tcW w:w="2394" w:type="dxa"/>
            <w:tcBorders>
              <w:top w:val="single" w:sz="4" w:space="0" w:color="auto"/>
            </w:tcBorders>
          </w:tcPr>
          <w:p w14:paraId="4B830FD1"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13.0</w:t>
            </w:r>
          </w:p>
        </w:tc>
      </w:tr>
      <w:tr w:rsidR="00EB361E" w14:paraId="3CBDACFF" w14:textId="77777777">
        <w:tc>
          <w:tcPr>
            <w:tcW w:w="2394" w:type="dxa"/>
            <w:vAlign w:val="center"/>
          </w:tcPr>
          <w:p w14:paraId="48C4D204"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1B9CBAE"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21-29</w:t>
            </w:r>
          </w:p>
        </w:tc>
        <w:tc>
          <w:tcPr>
            <w:tcW w:w="2394" w:type="dxa"/>
          </w:tcPr>
          <w:p w14:paraId="0FC79F17"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70</w:t>
            </w:r>
          </w:p>
        </w:tc>
        <w:tc>
          <w:tcPr>
            <w:tcW w:w="2394" w:type="dxa"/>
          </w:tcPr>
          <w:p w14:paraId="782EF6C4"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17.9</w:t>
            </w:r>
          </w:p>
        </w:tc>
      </w:tr>
      <w:tr w:rsidR="00EB361E" w14:paraId="255171C7" w14:textId="77777777">
        <w:tc>
          <w:tcPr>
            <w:tcW w:w="2394" w:type="dxa"/>
            <w:vAlign w:val="center"/>
          </w:tcPr>
          <w:p w14:paraId="53A28CC6"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1DFF757A"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30-39</w:t>
            </w:r>
          </w:p>
        </w:tc>
        <w:tc>
          <w:tcPr>
            <w:tcW w:w="2394" w:type="dxa"/>
          </w:tcPr>
          <w:p w14:paraId="6C4A9239"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180</w:t>
            </w:r>
          </w:p>
        </w:tc>
        <w:tc>
          <w:tcPr>
            <w:tcW w:w="2394" w:type="dxa"/>
          </w:tcPr>
          <w:p w14:paraId="03D88ACC"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45.9</w:t>
            </w:r>
          </w:p>
        </w:tc>
      </w:tr>
      <w:tr w:rsidR="00EB361E" w14:paraId="26128E26" w14:textId="77777777">
        <w:tc>
          <w:tcPr>
            <w:tcW w:w="2394" w:type="dxa"/>
            <w:vAlign w:val="center"/>
          </w:tcPr>
          <w:p w14:paraId="4086A593"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088AE0C8"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40-50</w:t>
            </w:r>
          </w:p>
        </w:tc>
        <w:tc>
          <w:tcPr>
            <w:tcW w:w="2394" w:type="dxa"/>
          </w:tcPr>
          <w:p w14:paraId="52DE0D1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73</w:t>
            </w:r>
          </w:p>
        </w:tc>
        <w:tc>
          <w:tcPr>
            <w:tcW w:w="2394" w:type="dxa"/>
          </w:tcPr>
          <w:p w14:paraId="2BA9A458"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18.6</w:t>
            </w:r>
          </w:p>
        </w:tc>
      </w:tr>
      <w:tr w:rsidR="00EB361E" w14:paraId="7EB17231" w14:textId="77777777">
        <w:tc>
          <w:tcPr>
            <w:tcW w:w="2394" w:type="dxa"/>
            <w:vAlign w:val="center"/>
          </w:tcPr>
          <w:p w14:paraId="30E41AE7"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39E8D441"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51&gt;</w:t>
            </w:r>
          </w:p>
        </w:tc>
        <w:tc>
          <w:tcPr>
            <w:tcW w:w="2394" w:type="dxa"/>
          </w:tcPr>
          <w:p w14:paraId="34238E44"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2394" w:type="dxa"/>
          </w:tcPr>
          <w:p w14:paraId="53159993"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4.6</w:t>
            </w:r>
          </w:p>
        </w:tc>
      </w:tr>
      <w:tr w:rsidR="00EB361E" w14:paraId="3F572138" w14:textId="77777777">
        <w:tc>
          <w:tcPr>
            <w:tcW w:w="2394" w:type="dxa"/>
            <w:vAlign w:val="center"/>
          </w:tcPr>
          <w:p w14:paraId="7876C12D"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7EDDD374"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1F060FF0"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469E3B56"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EB361E" w14:paraId="4EC94B03" w14:textId="77777777">
        <w:tc>
          <w:tcPr>
            <w:tcW w:w="2394" w:type="dxa"/>
            <w:vAlign w:val="center"/>
          </w:tcPr>
          <w:p w14:paraId="0CA2260E"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39AB037" w14:textId="77777777" w:rsidR="00EB361E" w:rsidRDefault="00EB361E">
            <w:pPr>
              <w:autoSpaceDE w:val="0"/>
              <w:autoSpaceDN w:val="0"/>
              <w:adjustRightInd w:val="0"/>
              <w:spacing w:after="0" w:line="240" w:lineRule="auto"/>
              <w:ind w:left="60" w:right="60"/>
              <w:rPr>
                <w:rFonts w:ascii="Times New Roman" w:hAnsi="Times New Roman" w:cs="Times New Roman"/>
                <w:sz w:val="24"/>
                <w:szCs w:val="24"/>
              </w:rPr>
            </w:pPr>
          </w:p>
        </w:tc>
        <w:tc>
          <w:tcPr>
            <w:tcW w:w="2394" w:type="dxa"/>
          </w:tcPr>
          <w:p w14:paraId="2067129D"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c>
          <w:tcPr>
            <w:tcW w:w="2394" w:type="dxa"/>
          </w:tcPr>
          <w:p w14:paraId="2D41C257"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r>
      <w:tr w:rsidR="00EB361E" w14:paraId="119EE490" w14:textId="77777777">
        <w:tc>
          <w:tcPr>
            <w:tcW w:w="2394" w:type="dxa"/>
          </w:tcPr>
          <w:p w14:paraId="1B4F8FE7"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Sex</w:t>
            </w:r>
          </w:p>
        </w:tc>
        <w:tc>
          <w:tcPr>
            <w:tcW w:w="2394" w:type="dxa"/>
            <w:vAlign w:val="center"/>
          </w:tcPr>
          <w:p w14:paraId="56505447"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Male</w:t>
            </w:r>
          </w:p>
        </w:tc>
        <w:tc>
          <w:tcPr>
            <w:tcW w:w="2394" w:type="dxa"/>
          </w:tcPr>
          <w:p w14:paraId="62BE0CF2"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154</w:t>
            </w:r>
          </w:p>
        </w:tc>
        <w:tc>
          <w:tcPr>
            <w:tcW w:w="2394" w:type="dxa"/>
          </w:tcPr>
          <w:p w14:paraId="300381FF"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39.3</w:t>
            </w:r>
          </w:p>
        </w:tc>
      </w:tr>
      <w:tr w:rsidR="00EB361E" w14:paraId="1F464D16" w14:textId="77777777">
        <w:tc>
          <w:tcPr>
            <w:tcW w:w="2394" w:type="dxa"/>
          </w:tcPr>
          <w:p w14:paraId="17B32262"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E3ADAAC"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Female</w:t>
            </w:r>
          </w:p>
        </w:tc>
        <w:tc>
          <w:tcPr>
            <w:tcW w:w="2394" w:type="dxa"/>
          </w:tcPr>
          <w:p w14:paraId="42E3E6D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238</w:t>
            </w:r>
          </w:p>
        </w:tc>
        <w:tc>
          <w:tcPr>
            <w:tcW w:w="2394" w:type="dxa"/>
          </w:tcPr>
          <w:p w14:paraId="3C1C2864"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60.7</w:t>
            </w:r>
          </w:p>
        </w:tc>
      </w:tr>
      <w:tr w:rsidR="00EB361E" w14:paraId="6FCF2024" w14:textId="77777777">
        <w:tc>
          <w:tcPr>
            <w:tcW w:w="2394" w:type="dxa"/>
          </w:tcPr>
          <w:p w14:paraId="670806C7"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39F8EC91"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1D983C36"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744AACA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EB361E" w14:paraId="3783DEE8" w14:textId="77777777">
        <w:tc>
          <w:tcPr>
            <w:tcW w:w="2394" w:type="dxa"/>
          </w:tcPr>
          <w:p w14:paraId="78110760"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054E948" w14:textId="77777777" w:rsidR="00EB361E" w:rsidRDefault="00EB361E">
            <w:pPr>
              <w:autoSpaceDE w:val="0"/>
              <w:autoSpaceDN w:val="0"/>
              <w:adjustRightInd w:val="0"/>
              <w:spacing w:after="0" w:line="240" w:lineRule="auto"/>
              <w:ind w:left="60" w:right="60"/>
              <w:rPr>
                <w:rFonts w:ascii="Times New Roman" w:hAnsi="Times New Roman" w:cs="Times New Roman"/>
                <w:sz w:val="24"/>
                <w:szCs w:val="24"/>
              </w:rPr>
            </w:pPr>
          </w:p>
        </w:tc>
        <w:tc>
          <w:tcPr>
            <w:tcW w:w="2394" w:type="dxa"/>
          </w:tcPr>
          <w:p w14:paraId="14864F4B"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c>
          <w:tcPr>
            <w:tcW w:w="2394" w:type="dxa"/>
          </w:tcPr>
          <w:p w14:paraId="7F9CA571" w14:textId="77777777" w:rsidR="00EB361E" w:rsidRDefault="00EB361E">
            <w:pPr>
              <w:autoSpaceDE w:val="0"/>
              <w:autoSpaceDN w:val="0"/>
              <w:adjustRightInd w:val="0"/>
              <w:spacing w:after="0" w:line="240" w:lineRule="auto"/>
              <w:ind w:left="60" w:right="60"/>
              <w:jc w:val="center"/>
              <w:rPr>
                <w:rFonts w:ascii="Times New Roman" w:hAnsi="Times New Roman" w:cs="Times New Roman"/>
                <w:sz w:val="24"/>
                <w:szCs w:val="24"/>
              </w:rPr>
            </w:pPr>
          </w:p>
        </w:tc>
      </w:tr>
      <w:tr w:rsidR="00EB361E" w14:paraId="77C0703B" w14:textId="77777777">
        <w:tc>
          <w:tcPr>
            <w:tcW w:w="2394" w:type="dxa"/>
          </w:tcPr>
          <w:p w14:paraId="590B31B0"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Family History of TB</w:t>
            </w:r>
          </w:p>
        </w:tc>
        <w:tc>
          <w:tcPr>
            <w:tcW w:w="2394" w:type="dxa"/>
            <w:vAlign w:val="center"/>
          </w:tcPr>
          <w:p w14:paraId="1D7E0AC0"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Yes</w:t>
            </w:r>
          </w:p>
        </w:tc>
        <w:tc>
          <w:tcPr>
            <w:tcW w:w="2394" w:type="dxa"/>
          </w:tcPr>
          <w:p w14:paraId="076F2B1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2394" w:type="dxa"/>
          </w:tcPr>
          <w:p w14:paraId="4ED5B653"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r>
      <w:tr w:rsidR="00EB361E" w14:paraId="4F6F82DC" w14:textId="77777777">
        <w:tc>
          <w:tcPr>
            <w:tcW w:w="2394" w:type="dxa"/>
          </w:tcPr>
          <w:p w14:paraId="2C9E7EB9"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57703946"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No</w:t>
            </w:r>
          </w:p>
        </w:tc>
        <w:tc>
          <w:tcPr>
            <w:tcW w:w="2394" w:type="dxa"/>
          </w:tcPr>
          <w:p w14:paraId="075229DF"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391</w:t>
            </w:r>
          </w:p>
        </w:tc>
        <w:tc>
          <w:tcPr>
            <w:tcW w:w="2394" w:type="dxa"/>
          </w:tcPr>
          <w:p w14:paraId="761CF1A7"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99.7</w:t>
            </w:r>
          </w:p>
        </w:tc>
      </w:tr>
      <w:tr w:rsidR="00EB361E" w14:paraId="46272AA3" w14:textId="77777777">
        <w:tc>
          <w:tcPr>
            <w:tcW w:w="2394" w:type="dxa"/>
          </w:tcPr>
          <w:p w14:paraId="03FC210B"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7A8C64C8"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770338E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51ABC812"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EB361E" w14:paraId="111EB4F9" w14:textId="77777777">
        <w:tc>
          <w:tcPr>
            <w:tcW w:w="2394" w:type="dxa"/>
          </w:tcPr>
          <w:p w14:paraId="679B8FB8" w14:textId="77777777" w:rsidR="00EB361E" w:rsidRDefault="00BA51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TB/OBI Co-infection</w:t>
            </w:r>
          </w:p>
        </w:tc>
        <w:tc>
          <w:tcPr>
            <w:tcW w:w="2394" w:type="dxa"/>
            <w:vAlign w:val="center"/>
          </w:tcPr>
          <w:p w14:paraId="55E5843F"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Positive</w:t>
            </w:r>
          </w:p>
        </w:tc>
        <w:tc>
          <w:tcPr>
            <w:tcW w:w="2394" w:type="dxa"/>
          </w:tcPr>
          <w:p w14:paraId="610F4F22"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2394" w:type="dxa"/>
          </w:tcPr>
          <w:p w14:paraId="235BBAEC"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r>
      <w:tr w:rsidR="00EB361E" w14:paraId="61F4A6D2" w14:textId="77777777">
        <w:tc>
          <w:tcPr>
            <w:tcW w:w="2394" w:type="dxa"/>
          </w:tcPr>
          <w:p w14:paraId="621161A3"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4FDB985C"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Negative</w:t>
            </w:r>
          </w:p>
        </w:tc>
        <w:tc>
          <w:tcPr>
            <w:tcW w:w="2394" w:type="dxa"/>
          </w:tcPr>
          <w:p w14:paraId="3670DBB6"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391</w:t>
            </w:r>
          </w:p>
        </w:tc>
        <w:tc>
          <w:tcPr>
            <w:tcW w:w="2394" w:type="dxa"/>
          </w:tcPr>
          <w:p w14:paraId="22A9AA3D"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99.7</w:t>
            </w:r>
          </w:p>
        </w:tc>
      </w:tr>
      <w:tr w:rsidR="00EB361E" w14:paraId="472F3C9C" w14:textId="77777777">
        <w:tc>
          <w:tcPr>
            <w:tcW w:w="2394" w:type="dxa"/>
          </w:tcPr>
          <w:p w14:paraId="01B0BD21"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2394" w:type="dxa"/>
            <w:vAlign w:val="center"/>
          </w:tcPr>
          <w:p w14:paraId="7454519C" w14:textId="77777777" w:rsidR="00EB361E" w:rsidRDefault="00BA519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61CBB779"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392</w:t>
            </w:r>
          </w:p>
        </w:tc>
        <w:tc>
          <w:tcPr>
            <w:tcW w:w="2394" w:type="dxa"/>
          </w:tcPr>
          <w:p w14:paraId="5F4A79CB" w14:textId="77777777" w:rsidR="00EB361E" w:rsidRDefault="00BA519F">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bl>
    <w:p w14:paraId="7A34FAAB"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5D8175B2" w14:textId="77777777" w:rsidR="00EB361E" w:rsidRDefault="00BA519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Pr>
          <w:rFonts w:ascii="Times New Roman" w:hAnsi="Times New Roman" w:cs="Times New Roman"/>
          <w:sz w:val="24"/>
          <w:szCs w:val="24"/>
        </w:rPr>
        <w:t>Presents the demographic distribution of the study participants, totaling 392 individuals. The age distribution is segmented into five categories: under 20 years (13.0%), 21-29 years (17.9%), 30-39 years (45.9%), 40-50 years (18.6%), and above 51 years (4.</w:t>
      </w:r>
      <w:r>
        <w:rPr>
          <w:rFonts w:ascii="Times New Roman" w:hAnsi="Times New Roman" w:cs="Times New Roman"/>
          <w:sz w:val="24"/>
          <w:szCs w:val="24"/>
        </w:rPr>
        <w:t>6%). The gender composition is predominantly female, constituting 60.7%, while males account for 39.3%. Regarding the family history of TB, only 0.3% of participants reported a positive family history. The prevalence of TB/OBI co-infection in the study pop</w:t>
      </w:r>
      <w:r>
        <w:rPr>
          <w:rFonts w:ascii="Times New Roman" w:hAnsi="Times New Roman" w:cs="Times New Roman"/>
          <w:sz w:val="24"/>
          <w:szCs w:val="24"/>
        </w:rPr>
        <w:t>ulation was found to be 0.3%.</w:t>
      </w:r>
    </w:p>
    <w:p w14:paraId="4A8D0601" w14:textId="77777777" w:rsidR="00EB361E" w:rsidRDefault="00EB361E">
      <w:pPr>
        <w:autoSpaceDE w:val="0"/>
        <w:autoSpaceDN w:val="0"/>
        <w:adjustRightInd w:val="0"/>
        <w:spacing w:after="0" w:line="240" w:lineRule="auto"/>
        <w:rPr>
          <w:rFonts w:ascii="Times New Roman" w:hAnsi="Times New Roman" w:cs="Times New Roman"/>
          <w:b/>
          <w:bCs/>
          <w:sz w:val="24"/>
          <w:szCs w:val="24"/>
        </w:rPr>
      </w:pPr>
    </w:p>
    <w:p w14:paraId="1F2C3420" w14:textId="77777777" w:rsidR="00EB361E" w:rsidRDefault="00BA519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2: Prevalence of TB/OBI Co-infection in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38"/>
        <w:gridCol w:w="2334"/>
        <w:gridCol w:w="2346"/>
      </w:tblGrid>
      <w:tr w:rsidR="00EB361E" w14:paraId="1E1A70B4" w14:textId="77777777">
        <w:tc>
          <w:tcPr>
            <w:tcW w:w="2394" w:type="dxa"/>
            <w:tcBorders>
              <w:top w:val="single" w:sz="4" w:space="0" w:color="auto"/>
              <w:bottom w:val="single" w:sz="4" w:space="0" w:color="auto"/>
            </w:tcBorders>
          </w:tcPr>
          <w:p w14:paraId="7DD86858"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Number Examined</w:t>
            </w:r>
          </w:p>
        </w:tc>
        <w:tc>
          <w:tcPr>
            <w:tcW w:w="2394" w:type="dxa"/>
            <w:tcBorders>
              <w:top w:val="single" w:sz="4" w:space="0" w:color="auto"/>
              <w:bottom w:val="single" w:sz="4" w:space="0" w:color="auto"/>
            </w:tcBorders>
          </w:tcPr>
          <w:p w14:paraId="7227E510"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Number Negative</w:t>
            </w:r>
          </w:p>
        </w:tc>
        <w:tc>
          <w:tcPr>
            <w:tcW w:w="2394" w:type="dxa"/>
            <w:tcBorders>
              <w:top w:val="single" w:sz="4" w:space="0" w:color="auto"/>
              <w:bottom w:val="single" w:sz="4" w:space="0" w:color="auto"/>
            </w:tcBorders>
          </w:tcPr>
          <w:p w14:paraId="7F8B82A1"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Number Positive</w:t>
            </w:r>
          </w:p>
        </w:tc>
        <w:tc>
          <w:tcPr>
            <w:tcW w:w="2394" w:type="dxa"/>
            <w:tcBorders>
              <w:top w:val="single" w:sz="4" w:space="0" w:color="auto"/>
              <w:bottom w:val="single" w:sz="4" w:space="0" w:color="auto"/>
            </w:tcBorders>
          </w:tcPr>
          <w:p w14:paraId="261F6961"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Prevalence</w:t>
            </w:r>
          </w:p>
        </w:tc>
      </w:tr>
      <w:tr w:rsidR="00EB361E" w14:paraId="7B177E99" w14:textId="77777777">
        <w:tc>
          <w:tcPr>
            <w:tcW w:w="2394" w:type="dxa"/>
            <w:tcBorders>
              <w:top w:val="single" w:sz="4" w:space="0" w:color="auto"/>
            </w:tcBorders>
          </w:tcPr>
          <w:p w14:paraId="77626149"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Borders>
              <w:top w:val="single" w:sz="4" w:space="0" w:color="auto"/>
            </w:tcBorders>
          </w:tcPr>
          <w:p w14:paraId="143B1AB1"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Borders>
              <w:top w:val="single" w:sz="4" w:space="0" w:color="auto"/>
            </w:tcBorders>
          </w:tcPr>
          <w:p w14:paraId="3A7BC4CE"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Borders>
              <w:top w:val="single" w:sz="4" w:space="0" w:color="auto"/>
            </w:tcBorders>
          </w:tcPr>
          <w:p w14:paraId="3939D7C5"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r>
      <w:tr w:rsidR="00EB361E" w14:paraId="07A3EA75" w14:textId="77777777">
        <w:tc>
          <w:tcPr>
            <w:tcW w:w="2394" w:type="dxa"/>
          </w:tcPr>
          <w:p w14:paraId="4F60B236"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    392</w:t>
            </w:r>
          </w:p>
        </w:tc>
        <w:tc>
          <w:tcPr>
            <w:tcW w:w="2394" w:type="dxa"/>
          </w:tcPr>
          <w:p w14:paraId="4BA19A8F"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        391</w:t>
            </w:r>
          </w:p>
        </w:tc>
        <w:tc>
          <w:tcPr>
            <w:tcW w:w="2394" w:type="dxa"/>
          </w:tcPr>
          <w:p w14:paraId="11B32ABB"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2394" w:type="dxa"/>
          </w:tcPr>
          <w:p w14:paraId="217B060D" w14:textId="77777777" w:rsidR="00EB361E" w:rsidRDefault="00BA519F">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     0.3%</w:t>
            </w:r>
          </w:p>
        </w:tc>
      </w:tr>
      <w:tr w:rsidR="00EB361E" w14:paraId="6C2A7B6E" w14:textId="77777777">
        <w:tc>
          <w:tcPr>
            <w:tcW w:w="2394" w:type="dxa"/>
          </w:tcPr>
          <w:p w14:paraId="366633CA"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Pr>
          <w:p w14:paraId="09DDA973"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Pr>
          <w:p w14:paraId="17BA44D2"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c>
          <w:tcPr>
            <w:tcW w:w="2394" w:type="dxa"/>
          </w:tcPr>
          <w:p w14:paraId="5FEEEDED" w14:textId="77777777" w:rsidR="00EB361E" w:rsidRDefault="00EB361E">
            <w:pPr>
              <w:autoSpaceDE w:val="0"/>
              <w:autoSpaceDN w:val="0"/>
              <w:adjustRightInd w:val="0"/>
              <w:spacing w:after="0" w:line="480" w:lineRule="auto"/>
              <w:rPr>
                <w:rFonts w:ascii="Times New Roman" w:hAnsi="Times New Roman" w:cs="Times New Roman"/>
                <w:bCs/>
                <w:sz w:val="24"/>
                <w:szCs w:val="24"/>
              </w:rPr>
            </w:pPr>
          </w:p>
        </w:tc>
      </w:tr>
    </w:tbl>
    <w:p w14:paraId="34CE1F1A" w14:textId="77777777" w:rsidR="00EB361E" w:rsidRDefault="00EB361E">
      <w:pPr>
        <w:autoSpaceDE w:val="0"/>
        <w:autoSpaceDN w:val="0"/>
        <w:adjustRightInd w:val="0"/>
        <w:spacing w:after="0" w:line="240" w:lineRule="auto"/>
        <w:rPr>
          <w:rFonts w:ascii="Times New Roman" w:hAnsi="Times New Roman" w:cs="Times New Roman"/>
          <w:b/>
          <w:bCs/>
          <w:sz w:val="24"/>
          <w:szCs w:val="24"/>
        </w:rPr>
      </w:pPr>
    </w:p>
    <w:p w14:paraId="628BF0E6" w14:textId="77777777" w:rsidR="00EB361E" w:rsidRDefault="00BA519F">
      <w:pPr>
        <w:autoSpaceDE w:val="0"/>
        <w:autoSpaceDN w:val="0"/>
        <w:adjustRightInd w:val="0"/>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Table 2: Provides a summary of the prevalence </w:t>
      </w:r>
      <w:r>
        <w:rPr>
          <w:rFonts w:ascii="Times New Roman" w:hAnsi="Times New Roman" w:cs="Times New Roman"/>
          <w:sz w:val="24"/>
          <w:szCs w:val="24"/>
        </w:rPr>
        <w:t>of TB/OBI co-infection in the study population. Out of the 392 participants examined, only one was found to be positive for TB/OBI co-infection, resulting in a prevalence rate of 0.3%.</w:t>
      </w:r>
    </w:p>
    <w:p w14:paraId="2DA59A32"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4519468E"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75B49FFB" w14:textId="77777777" w:rsidR="00EB361E" w:rsidRDefault="00BA519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3: Sex Specific Difference in Distribution of TB/OBI Co-infecti</w:t>
      </w:r>
      <w:r>
        <w:rPr>
          <w:rFonts w:ascii="Times New Roman" w:hAnsi="Times New Roman" w:cs="Times New Roman"/>
          <w:b/>
          <w:bCs/>
          <w:sz w:val="24"/>
          <w:szCs w:val="24"/>
        </w:rPr>
        <w:t>on</w:t>
      </w:r>
    </w:p>
    <w:tbl>
      <w:tblPr>
        <w:tblW w:w="869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08"/>
        <w:gridCol w:w="792"/>
        <w:gridCol w:w="1298"/>
        <w:gridCol w:w="1632"/>
        <w:gridCol w:w="1565"/>
        <w:gridCol w:w="899"/>
        <w:gridCol w:w="1298"/>
      </w:tblGrid>
      <w:tr w:rsidR="00EB361E" w14:paraId="1CAF46F7" w14:textId="77777777">
        <w:trPr>
          <w:cantSplit/>
          <w:trHeight w:val="685"/>
        </w:trPr>
        <w:tc>
          <w:tcPr>
            <w:tcW w:w="1208" w:type="dxa"/>
            <w:tcBorders>
              <w:top w:val="single" w:sz="4" w:space="0" w:color="auto"/>
              <w:bottom w:val="single" w:sz="4" w:space="0" w:color="auto"/>
            </w:tcBorders>
            <w:shd w:val="clear" w:color="auto" w:fill="FFFFFF"/>
          </w:tcPr>
          <w:p w14:paraId="2D6A5DB1"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Sex</w:t>
            </w:r>
          </w:p>
        </w:tc>
        <w:tc>
          <w:tcPr>
            <w:tcW w:w="792" w:type="dxa"/>
            <w:tcBorders>
              <w:top w:val="single" w:sz="4" w:space="0" w:color="auto"/>
              <w:bottom w:val="single" w:sz="4" w:space="0" w:color="auto"/>
            </w:tcBorders>
            <w:shd w:val="clear" w:color="auto" w:fill="FFFFFF"/>
          </w:tcPr>
          <w:p w14:paraId="64990C5E"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N</w:t>
            </w:r>
          </w:p>
        </w:tc>
        <w:tc>
          <w:tcPr>
            <w:tcW w:w="1298" w:type="dxa"/>
            <w:tcBorders>
              <w:top w:val="single" w:sz="4" w:space="0" w:color="auto"/>
              <w:bottom w:val="single" w:sz="4" w:space="0" w:color="auto"/>
            </w:tcBorders>
            <w:shd w:val="clear" w:color="auto" w:fill="FFFFFF"/>
          </w:tcPr>
          <w:p w14:paraId="5E7C4D69"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Mean Rank</w:t>
            </w:r>
          </w:p>
        </w:tc>
        <w:tc>
          <w:tcPr>
            <w:tcW w:w="1632" w:type="dxa"/>
            <w:tcBorders>
              <w:top w:val="single" w:sz="4" w:space="0" w:color="auto"/>
              <w:bottom w:val="single" w:sz="4" w:space="0" w:color="auto"/>
            </w:tcBorders>
            <w:shd w:val="clear" w:color="auto" w:fill="FFFFFF"/>
          </w:tcPr>
          <w:p w14:paraId="61B29820"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Sum of Ranks</w:t>
            </w:r>
          </w:p>
        </w:tc>
        <w:tc>
          <w:tcPr>
            <w:tcW w:w="1565" w:type="dxa"/>
            <w:tcBorders>
              <w:top w:val="single" w:sz="4" w:space="0" w:color="auto"/>
              <w:bottom w:val="single" w:sz="4" w:space="0" w:color="auto"/>
            </w:tcBorders>
            <w:shd w:val="clear" w:color="auto" w:fill="FFFFFF"/>
          </w:tcPr>
          <w:p w14:paraId="1B82DB72" w14:textId="77777777" w:rsidR="00EB361E" w:rsidRDefault="00BA519F">
            <w:pPr>
              <w:rPr>
                <w:rFonts w:ascii="Times New Roman" w:hAnsi="Times New Roman" w:cs="Times New Roman"/>
                <w:sz w:val="24"/>
                <w:szCs w:val="24"/>
              </w:rPr>
            </w:pPr>
            <w:r>
              <w:rPr>
                <w:rFonts w:ascii="Times New Roman" w:hAnsi="Times New Roman" w:cs="Times New Roman"/>
                <w:sz w:val="24"/>
                <w:szCs w:val="24"/>
              </w:rPr>
              <w:t>Mann-Whitney U</w:t>
            </w:r>
          </w:p>
          <w:p w14:paraId="06295366" w14:textId="77777777" w:rsidR="00EB361E" w:rsidRDefault="00EB361E">
            <w:pPr>
              <w:autoSpaceDE w:val="0"/>
              <w:autoSpaceDN w:val="0"/>
              <w:adjustRightInd w:val="0"/>
              <w:spacing w:after="0" w:line="320" w:lineRule="atLeast"/>
              <w:ind w:right="60"/>
              <w:jc w:val="center"/>
              <w:rPr>
                <w:rFonts w:ascii="Times New Roman" w:hAnsi="Times New Roman" w:cs="Times New Roman"/>
                <w:sz w:val="24"/>
                <w:szCs w:val="24"/>
              </w:rPr>
            </w:pPr>
          </w:p>
        </w:tc>
        <w:tc>
          <w:tcPr>
            <w:tcW w:w="899" w:type="dxa"/>
            <w:tcBorders>
              <w:top w:val="single" w:sz="4" w:space="0" w:color="auto"/>
              <w:bottom w:val="single" w:sz="4" w:space="0" w:color="auto"/>
            </w:tcBorders>
            <w:shd w:val="clear" w:color="auto" w:fill="FFFFFF"/>
          </w:tcPr>
          <w:p w14:paraId="7A711F42"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p-value</w:t>
            </w:r>
          </w:p>
        </w:tc>
        <w:tc>
          <w:tcPr>
            <w:tcW w:w="1298" w:type="dxa"/>
            <w:tcBorders>
              <w:top w:val="single" w:sz="4" w:space="0" w:color="auto"/>
              <w:bottom w:val="single" w:sz="4" w:space="0" w:color="auto"/>
            </w:tcBorders>
            <w:shd w:val="clear" w:color="auto" w:fill="FFFFFF"/>
          </w:tcPr>
          <w:p w14:paraId="60C91173" w14:textId="77777777" w:rsidR="00EB361E" w:rsidRDefault="00BA519F">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Remark</w:t>
            </w:r>
          </w:p>
        </w:tc>
      </w:tr>
      <w:tr w:rsidR="00EB361E" w14:paraId="2BE5825D" w14:textId="77777777">
        <w:trPr>
          <w:cantSplit/>
          <w:trHeight w:val="288"/>
        </w:trPr>
        <w:tc>
          <w:tcPr>
            <w:tcW w:w="1208" w:type="dxa"/>
            <w:tcBorders>
              <w:top w:val="single" w:sz="4" w:space="0" w:color="auto"/>
            </w:tcBorders>
            <w:shd w:val="clear" w:color="auto" w:fill="FFFFFF"/>
            <w:vAlign w:val="center"/>
          </w:tcPr>
          <w:p w14:paraId="0B423193"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Male</w:t>
            </w:r>
          </w:p>
        </w:tc>
        <w:tc>
          <w:tcPr>
            <w:tcW w:w="792" w:type="dxa"/>
            <w:tcBorders>
              <w:top w:val="single" w:sz="4" w:space="0" w:color="auto"/>
            </w:tcBorders>
            <w:shd w:val="clear" w:color="auto" w:fill="FFFFFF"/>
          </w:tcPr>
          <w:p w14:paraId="05747E97"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154</w:t>
            </w:r>
          </w:p>
        </w:tc>
        <w:tc>
          <w:tcPr>
            <w:tcW w:w="1298" w:type="dxa"/>
            <w:tcBorders>
              <w:top w:val="single" w:sz="4" w:space="0" w:color="auto"/>
            </w:tcBorders>
            <w:shd w:val="clear" w:color="auto" w:fill="FFFFFF"/>
          </w:tcPr>
          <w:p w14:paraId="61292472"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632" w:type="dxa"/>
            <w:tcBorders>
              <w:top w:val="single" w:sz="4" w:space="0" w:color="auto"/>
            </w:tcBorders>
            <w:shd w:val="clear" w:color="auto" w:fill="FFFFFF"/>
          </w:tcPr>
          <w:p w14:paraId="02680F19"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30338.00</w:t>
            </w:r>
          </w:p>
        </w:tc>
        <w:tc>
          <w:tcPr>
            <w:tcW w:w="1565" w:type="dxa"/>
            <w:tcBorders>
              <w:top w:val="single" w:sz="4" w:space="0" w:color="auto"/>
            </w:tcBorders>
            <w:shd w:val="clear" w:color="auto" w:fill="FFFFFF"/>
          </w:tcPr>
          <w:p w14:paraId="6D17D1D9" w14:textId="77777777" w:rsidR="00EB361E" w:rsidRDefault="00BA519F">
            <w:pPr>
              <w:autoSpaceDE w:val="0"/>
              <w:autoSpaceDN w:val="0"/>
              <w:adjustRightInd w:val="0"/>
              <w:spacing w:after="0" w:line="320" w:lineRule="atLeast"/>
              <w:ind w:right="60"/>
              <w:jc w:val="right"/>
              <w:rPr>
                <w:rFonts w:ascii="Times New Roman" w:hAnsi="Times New Roman" w:cs="Times New Roman"/>
                <w:sz w:val="24"/>
                <w:szCs w:val="24"/>
              </w:rPr>
            </w:pPr>
            <w:r>
              <w:rPr>
                <w:rFonts w:ascii="Times New Roman" w:hAnsi="Times New Roman" w:cs="Times New Roman"/>
                <w:sz w:val="24"/>
                <w:szCs w:val="24"/>
              </w:rPr>
              <w:t>18249.000</w:t>
            </w:r>
          </w:p>
        </w:tc>
        <w:tc>
          <w:tcPr>
            <w:tcW w:w="899" w:type="dxa"/>
            <w:tcBorders>
              <w:top w:val="single" w:sz="4" w:space="0" w:color="auto"/>
            </w:tcBorders>
            <w:shd w:val="clear" w:color="auto" w:fill="FFFFFF"/>
          </w:tcPr>
          <w:p w14:paraId="45DA72A3"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0.421</w:t>
            </w:r>
          </w:p>
        </w:tc>
        <w:tc>
          <w:tcPr>
            <w:tcW w:w="1298" w:type="dxa"/>
            <w:tcBorders>
              <w:top w:val="single" w:sz="4" w:space="0" w:color="auto"/>
            </w:tcBorders>
            <w:shd w:val="clear" w:color="auto" w:fill="FFFFFF"/>
          </w:tcPr>
          <w:p w14:paraId="686CAAE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NS</w:t>
            </w:r>
          </w:p>
        </w:tc>
      </w:tr>
      <w:tr w:rsidR="00EB361E" w14:paraId="3C039987" w14:textId="77777777">
        <w:trPr>
          <w:cantSplit/>
          <w:trHeight w:val="288"/>
        </w:trPr>
        <w:tc>
          <w:tcPr>
            <w:tcW w:w="1208" w:type="dxa"/>
            <w:shd w:val="clear" w:color="auto" w:fill="FFFFFF"/>
            <w:vAlign w:val="center"/>
          </w:tcPr>
          <w:p w14:paraId="1EC6FBD6"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Female</w:t>
            </w:r>
          </w:p>
        </w:tc>
        <w:tc>
          <w:tcPr>
            <w:tcW w:w="792" w:type="dxa"/>
            <w:shd w:val="clear" w:color="auto" w:fill="FFFFFF"/>
          </w:tcPr>
          <w:p w14:paraId="52B7F03F"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238</w:t>
            </w:r>
          </w:p>
        </w:tc>
        <w:tc>
          <w:tcPr>
            <w:tcW w:w="1298" w:type="dxa"/>
            <w:shd w:val="clear" w:color="auto" w:fill="FFFFFF"/>
          </w:tcPr>
          <w:p w14:paraId="758880DE"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196.18</w:t>
            </w:r>
          </w:p>
        </w:tc>
        <w:tc>
          <w:tcPr>
            <w:tcW w:w="1632" w:type="dxa"/>
            <w:shd w:val="clear" w:color="auto" w:fill="FFFFFF"/>
          </w:tcPr>
          <w:p w14:paraId="10C4B8A4"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46690.00</w:t>
            </w:r>
          </w:p>
        </w:tc>
        <w:tc>
          <w:tcPr>
            <w:tcW w:w="1565" w:type="dxa"/>
            <w:shd w:val="clear" w:color="auto" w:fill="FFFFFF"/>
          </w:tcPr>
          <w:p w14:paraId="65EC25F2" w14:textId="77777777" w:rsidR="00EB361E" w:rsidRDefault="00EB361E">
            <w:pPr>
              <w:autoSpaceDE w:val="0"/>
              <w:autoSpaceDN w:val="0"/>
              <w:adjustRightInd w:val="0"/>
              <w:spacing w:after="0" w:line="320" w:lineRule="atLeast"/>
              <w:ind w:right="60"/>
              <w:jc w:val="right"/>
              <w:rPr>
                <w:rFonts w:ascii="Times New Roman" w:hAnsi="Times New Roman" w:cs="Times New Roman"/>
                <w:sz w:val="24"/>
                <w:szCs w:val="24"/>
              </w:rPr>
            </w:pPr>
          </w:p>
        </w:tc>
        <w:tc>
          <w:tcPr>
            <w:tcW w:w="899" w:type="dxa"/>
            <w:shd w:val="clear" w:color="auto" w:fill="FFFFFF"/>
          </w:tcPr>
          <w:p w14:paraId="2F78A1DC"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298" w:type="dxa"/>
            <w:shd w:val="clear" w:color="auto" w:fill="FFFFFF"/>
          </w:tcPr>
          <w:p w14:paraId="41E652CF"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21B9D9C9" w14:textId="77777777">
        <w:trPr>
          <w:cantSplit/>
          <w:trHeight w:val="302"/>
        </w:trPr>
        <w:tc>
          <w:tcPr>
            <w:tcW w:w="1208" w:type="dxa"/>
            <w:shd w:val="clear" w:color="auto" w:fill="FFFFFF"/>
            <w:vAlign w:val="center"/>
          </w:tcPr>
          <w:p w14:paraId="7125B113"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Total</w:t>
            </w:r>
          </w:p>
        </w:tc>
        <w:tc>
          <w:tcPr>
            <w:tcW w:w="792" w:type="dxa"/>
            <w:shd w:val="clear" w:color="auto" w:fill="FFFFFF"/>
          </w:tcPr>
          <w:p w14:paraId="4E07085C"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392</w:t>
            </w:r>
          </w:p>
        </w:tc>
        <w:tc>
          <w:tcPr>
            <w:tcW w:w="1298" w:type="dxa"/>
            <w:shd w:val="clear" w:color="auto" w:fill="FFFFFF"/>
          </w:tcPr>
          <w:p w14:paraId="7ED87EF8"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632" w:type="dxa"/>
            <w:shd w:val="clear" w:color="auto" w:fill="FFFFFF"/>
          </w:tcPr>
          <w:p w14:paraId="528BF038"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565" w:type="dxa"/>
            <w:shd w:val="clear" w:color="auto" w:fill="FFFFFF"/>
          </w:tcPr>
          <w:p w14:paraId="5D8B858F"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899" w:type="dxa"/>
            <w:shd w:val="clear" w:color="auto" w:fill="FFFFFF"/>
          </w:tcPr>
          <w:p w14:paraId="4C8FAA65"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298" w:type="dxa"/>
            <w:shd w:val="clear" w:color="auto" w:fill="FFFFFF"/>
          </w:tcPr>
          <w:p w14:paraId="3E88D0AA"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r>
    </w:tbl>
    <w:p w14:paraId="71E4A731" w14:textId="77777777" w:rsidR="00EB361E" w:rsidRDefault="00EB361E">
      <w:pPr>
        <w:autoSpaceDE w:val="0"/>
        <w:autoSpaceDN w:val="0"/>
        <w:adjustRightInd w:val="0"/>
        <w:spacing w:after="0" w:line="23" w:lineRule="atLeast"/>
        <w:rPr>
          <w:rFonts w:ascii="Times New Roman" w:hAnsi="Times New Roman" w:cs="Times New Roman"/>
          <w:sz w:val="24"/>
          <w:szCs w:val="24"/>
        </w:rPr>
      </w:pPr>
    </w:p>
    <w:p w14:paraId="6BEF0553" w14:textId="77777777" w:rsidR="00EB361E" w:rsidRDefault="00BA519F">
      <w:pPr>
        <w:autoSpaceDE w:val="0"/>
        <w:autoSpaceDN w:val="0"/>
        <w:adjustRightInd w:val="0"/>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 xml:space="preserve">Table 3: Presents the results of the Mann-Whitney U test, which was used to compare the </w:t>
      </w:r>
      <w:r>
        <w:rPr>
          <w:rFonts w:ascii="Times New Roman" w:hAnsi="Times New Roman" w:cs="Times New Roman"/>
          <w:sz w:val="24"/>
          <w:szCs w:val="24"/>
        </w:rPr>
        <w:t>distribution of TB/OBI co-infection between males and females. The test did not find a significant difference in the distribution of TB/OBI co-infection between the two sexes (p-value = 0.421).</w:t>
      </w:r>
    </w:p>
    <w:p w14:paraId="4BAC2B2D" w14:textId="77777777" w:rsidR="00EB361E" w:rsidRDefault="00EB361E">
      <w:pPr>
        <w:autoSpaceDE w:val="0"/>
        <w:autoSpaceDN w:val="0"/>
        <w:adjustRightInd w:val="0"/>
        <w:spacing w:after="0" w:line="400" w:lineRule="atLeast"/>
        <w:rPr>
          <w:rFonts w:ascii="Times New Roman" w:hAnsi="Times New Roman" w:cs="Times New Roman"/>
          <w:sz w:val="24"/>
          <w:szCs w:val="24"/>
        </w:rPr>
      </w:pPr>
    </w:p>
    <w:p w14:paraId="27013816" w14:textId="77777777" w:rsidR="00EB361E" w:rsidRDefault="00BA519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sz w:val="24"/>
          <w:szCs w:val="24"/>
        </w:rPr>
        <w:t xml:space="preserve">able 4: </w:t>
      </w:r>
      <w:r>
        <w:rPr>
          <w:rFonts w:ascii="Times New Roman" w:hAnsi="Times New Roman" w:cs="Times New Roman"/>
          <w:b/>
          <w:bCs/>
          <w:sz w:val="24"/>
          <w:szCs w:val="24"/>
        </w:rPr>
        <w:t xml:space="preserve">Age Specific differences in the distribution of </w:t>
      </w:r>
      <w:r>
        <w:rPr>
          <w:rFonts w:ascii="Times New Roman" w:hAnsi="Times New Roman" w:cs="Times New Roman"/>
          <w:b/>
          <w:bCs/>
          <w:sz w:val="24"/>
          <w:szCs w:val="24"/>
        </w:rPr>
        <w:t>TB/OBI Co-infection</w:t>
      </w:r>
    </w:p>
    <w:tbl>
      <w:tblPr>
        <w:tblW w:w="8394" w:type="dxa"/>
        <w:tblInd w:w="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630"/>
        <w:gridCol w:w="1170"/>
        <w:gridCol w:w="1440"/>
        <w:gridCol w:w="630"/>
        <w:gridCol w:w="990"/>
        <w:gridCol w:w="1914"/>
      </w:tblGrid>
      <w:tr w:rsidR="00EB361E" w14:paraId="0EED1CFA" w14:textId="77777777">
        <w:trPr>
          <w:cantSplit/>
          <w:trHeight w:val="892"/>
        </w:trPr>
        <w:tc>
          <w:tcPr>
            <w:tcW w:w="1620" w:type="dxa"/>
            <w:tcBorders>
              <w:top w:val="single" w:sz="4" w:space="0" w:color="auto"/>
              <w:bottom w:val="single" w:sz="4" w:space="0" w:color="auto"/>
            </w:tcBorders>
            <w:shd w:val="clear" w:color="auto" w:fill="FFFFFF"/>
          </w:tcPr>
          <w:p w14:paraId="74D17C8E"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Age</w:t>
            </w:r>
          </w:p>
        </w:tc>
        <w:tc>
          <w:tcPr>
            <w:tcW w:w="630" w:type="dxa"/>
            <w:tcBorders>
              <w:top w:val="single" w:sz="4" w:space="0" w:color="auto"/>
              <w:bottom w:val="single" w:sz="4" w:space="0" w:color="auto"/>
            </w:tcBorders>
            <w:shd w:val="clear" w:color="auto" w:fill="FFFFFF"/>
          </w:tcPr>
          <w:p w14:paraId="23A44840"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N</w:t>
            </w:r>
          </w:p>
        </w:tc>
        <w:tc>
          <w:tcPr>
            <w:tcW w:w="1170" w:type="dxa"/>
            <w:tcBorders>
              <w:top w:val="single" w:sz="4" w:space="0" w:color="auto"/>
              <w:bottom w:val="single" w:sz="4" w:space="0" w:color="auto"/>
            </w:tcBorders>
            <w:shd w:val="clear" w:color="auto" w:fill="FFFFFF"/>
          </w:tcPr>
          <w:p w14:paraId="7074920B"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Mean Rank</w:t>
            </w:r>
          </w:p>
        </w:tc>
        <w:tc>
          <w:tcPr>
            <w:tcW w:w="1440" w:type="dxa"/>
            <w:tcBorders>
              <w:top w:val="single" w:sz="4" w:space="0" w:color="auto"/>
              <w:bottom w:val="single" w:sz="4" w:space="0" w:color="auto"/>
            </w:tcBorders>
            <w:shd w:val="clear" w:color="auto" w:fill="FFFFFF"/>
          </w:tcPr>
          <w:p w14:paraId="4313A52F" w14:textId="77777777" w:rsidR="00EB361E" w:rsidRDefault="00BA519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Chi Square (Kruskal-Wallis)</w:t>
            </w:r>
          </w:p>
        </w:tc>
        <w:tc>
          <w:tcPr>
            <w:tcW w:w="630" w:type="dxa"/>
            <w:tcBorders>
              <w:top w:val="single" w:sz="4" w:space="0" w:color="auto"/>
              <w:bottom w:val="single" w:sz="4" w:space="0" w:color="auto"/>
            </w:tcBorders>
            <w:shd w:val="clear" w:color="auto" w:fill="FFFFFF"/>
          </w:tcPr>
          <w:p w14:paraId="63B4D935" w14:textId="77777777" w:rsidR="00EB361E" w:rsidRDefault="00EB361E">
            <w:pPr>
              <w:rPr>
                <w:rFonts w:ascii="Times New Roman" w:hAnsi="Times New Roman" w:cs="Times New Roman"/>
                <w:sz w:val="24"/>
                <w:szCs w:val="24"/>
              </w:rPr>
            </w:pPr>
          </w:p>
          <w:p w14:paraId="2BFDBDFE" w14:textId="77777777" w:rsidR="00EB361E" w:rsidRDefault="00BA519F">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Df</w:t>
            </w:r>
          </w:p>
        </w:tc>
        <w:tc>
          <w:tcPr>
            <w:tcW w:w="990" w:type="dxa"/>
            <w:tcBorders>
              <w:top w:val="single" w:sz="4" w:space="0" w:color="auto"/>
              <w:bottom w:val="single" w:sz="4" w:space="0" w:color="auto"/>
            </w:tcBorders>
            <w:shd w:val="clear" w:color="auto" w:fill="FFFFFF"/>
          </w:tcPr>
          <w:p w14:paraId="406E76CA"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p-value</w:t>
            </w:r>
          </w:p>
        </w:tc>
        <w:tc>
          <w:tcPr>
            <w:tcW w:w="1914" w:type="dxa"/>
            <w:tcBorders>
              <w:top w:val="single" w:sz="4" w:space="0" w:color="auto"/>
              <w:bottom w:val="single" w:sz="4" w:space="0" w:color="auto"/>
            </w:tcBorders>
            <w:shd w:val="clear" w:color="auto" w:fill="FFFFFF"/>
          </w:tcPr>
          <w:p w14:paraId="68D00217" w14:textId="77777777" w:rsidR="00EB361E" w:rsidRDefault="00BA519F">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Remark</w:t>
            </w:r>
          </w:p>
        </w:tc>
      </w:tr>
      <w:tr w:rsidR="00EB361E" w14:paraId="7208BC68" w14:textId="77777777">
        <w:trPr>
          <w:cantSplit/>
          <w:trHeight w:val="307"/>
        </w:trPr>
        <w:tc>
          <w:tcPr>
            <w:tcW w:w="1620" w:type="dxa"/>
            <w:tcBorders>
              <w:top w:val="single" w:sz="4" w:space="0" w:color="auto"/>
            </w:tcBorders>
            <w:shd w:val="clear" w:color="auto" w:fill="FFFFFF"/>
            <w:vAlign w:val="center"/>
          </w:tcPr>
          <w:p w14:paraId="397D5686"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&lt;20years</w:t>
            </w:r>
          </w:p>
        </w:tc>
        <w:tc>
          <w:tcPr>
            <w:tcW w:w="630" w:type="dxa"/>
            <w:tcBorders>
              <w:top w:val="single" w:sz="4" w:space="0" w:color="auto"/>
            </w:tcBorders>
            <w:shd w:val="clear" w:color="auto" w:fill="FFFFFF"/>
          </w:tcPr>
          <w:p w14:paraId="186D12E5"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51</w:t>
            </w:r>
          </w:p>
        </w:tc>
        <w:tc>
          <w:tcPr>
            <w:tcW w:w="1170" w:type="dxa"/>
            <w:tcBorders>
              <w:top w:val="single" w:sz="4" w:space="0" w:color="auto"/>
            </w:tcBorders>
            <w:shd w:val="clear" w:color="auto" w:fill="FFFFFF"/>
          </w:tcPr>
          <w:p w14:paraId="2B7AA83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tcBorders>
              <w:top w:val="single" w:sz="4" w:space="0" w:color="auto"/>
            </w:tcBorders>
            <w:shd w:val="clear" w:color="auto" w:fill="FFFFFF"/>
          </w:tcPr>
          <w:p w14:paraId="1B943BB2"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tcBorders>
              <w:top w:val="single" w:sz="4" w:space="0" w:color="auto"/>
            </w:tcBorders>
            <w:shd w:val="clear" w:color="auto" w:fill="FFFFFF"/>
          </w:tcPr>
          <w:p w14:paraId="20C2DCDB"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tcBorders>
              <w:top w:val="single" w:sz="4" w:space="0" w:color="auto"/>
            </w:tcBorders>
            <w:shd w:val="clear" w:color="auto" w:fill="FFFFFF"/>
          </w:tcPr>
          <w:p w14:paraId="6E9F7215"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tcBorders>
              <w:top w:val="single" w:sz="4" w:space="0" w:color="auto"/>
            </w:tcBorders>
            <w:shd w:val="clear" w:color="auto" w:fill="FFFFFF"/>
          </w:tcPr>
          <w:p w14:paraId="75E87621"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18E12C6F" w14:textId="77777777">
        <w:trPr>
          <w:cantSplit/>
          <w:trHeight w:val="322"/>
        </w:trPr>
        <w:tc>
          <w:tcPr>
            <w:tcW w:w="1620" w:type="dxa"/>
            <w:shd w:val="clear" w:color="auto" w:fill="FFFFFF"/>
            <w:vAlign w:val="center"/>
          </w:tcPr>
          <w:p w14:paraId="5430DBB0"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21-29 years</w:t>
            </w:r>
          </w:p>
        </w:tc>
        <w:tc>
          <w:tcPr>
            <w:tcW w:w="630" w:type="dxa"/>
            <w:shd w:val="clear" w:color="auto" w:fill="FFFFFF"/>
          </w:tcPr>
          <w:p w14:paraId="7168DD2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70</w:t>
            </w:r>
          </w:p>
        </w:tc>
        <w:tc>
          <w:tcPr>
            <w:tcW w:w="1170" w:type="dxa"/>
            <w:shd w:val="clear" w:color="auto" w:fill="FFFFFF"/>
          </w:tcPr>
          <w:p w14:paraId="5EF928C9"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shd w:val="clear" w:color="auto" w:fill="FFFFFF"/>
          </w:tcPr>
          <w:p w14:paraId="179E9E88"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1.178</w:t>
            </w:r>
          </w:p>
        </w:tc>
        <w:tc>
          <w:tcPr>
            <w:tcW w:w="630" w:type="dxa"/>
            <w:shd w:val="clear" w:color="auto" w:fill="FFFFFF"/>
          </w:tcPr>
          <w:p w14:paraId="3B349662"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shd w:val="clear" w:color="auto" w:fill="FFFFFF"/>
          </w:tcPr>
          <w:p w14:paraId="6B79F24F"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0.88</w:t>
            </w:r>
          </w:p>
        </w:tc>
        <w:tc>
          <w:tcPr>
            <w:tcW w:w="1914" w:type="dxa"/>
            <w:shd w:val="clear" w:color="auto" w:fill="FFFFFF"/>
          </w:tcPr>
          <w:p w14:paraId="4051B031"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Not Significant</w:t>
            </w:r>
          </w:p>
        </w:tc>
      </w:tr>
      <w:tr w:rsidR="00EB361E" w14:paraId="4D9A9F79" w14:textId="77777777">
        <w:trPr>
          <w:cantSplit/>
          <w:trHeight w:val="307"/>
        </w:trPr>
        <w:tc>
          <w:tcPr>
            <w:tcW w:w="1620" w:type="dxa"/>
            <w:shd w:val="clear" w:color="auto" w:fill="FFFFFF"/>
            <w:vAlign w:val="center"/>
          </w:tcPr>
          <w:p w14:paraId="11724FA1"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30-39 years</w:t>
            </w:r>
          </w:p>
        </w:tc>
        <w:tc>
          <w:tcPr>
            <w:tcW w:w="630" w:type="dxa"/>
            <w:shd w:val="clear" w:color="auto" w:fill="FFFFFF"/>
          </w:tcPr>
          <w:p w14:paraId="69659AE5"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180</w:t>
            </w:r>
          </w:p>
        </w:tc>
        <w:tc>
          <w:tcPr>
            <w:tcW w:w="1170" w:type="dxa"/>
            <w:shd w:val="clear" w:color="auto" w:fill="FFFFFF"/>
          </w:tcPr>
          <w:p w14:paraId="79F42100"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195.91</w:t>
            </w:r>
          </w:p>
        </w:tc>
        <w:tc>
          <w:tcPr>
            <w:tcW w:w="1440" w:type="dxa"/>
            <w:shd w:val="clear" w:color="auto" w:fill="FFFFFF"/>
          </w:tcPr>
          <w:p w14:paraId="25A2E6BA"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shd w:val="clear" w:color="auto" w:fill="FFFFFF"/>
          </w:tcPr>
          <w:p w14:paraId="757A2C6F"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shd w:val="clear" w:color="auto" w:fill="FFFFFF"/>
          </w:tcPr>
          <w:p w14:paraId="6B07875F"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shd w:val="clear" w:color="auto" w:fill="FFFFFF"/>
          </w:tcPr>
          <w:p w14:paraId="1AE13AD4"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2E7F9C10" w14:textId="77777777">
        <w:trPr>
          <w:cantSplit/>
          <w:trHeight w:val="307"/>
        </w:trPr>
        <w:tc>
          <w:tcPr>
            <w:tcW w:w="1620" w:type="dxa"/>
            <w:shd w:val="clear" w:color="auto" w:fill="FFFFFF"/>
            <w:vAlign w:val="center"/>
          </w:tcPr>
          <w:p w14:paraId="3FE4B13C"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40-50 years</w:t>
            </w:r>
          </w:p>
        </w:tc>
        <w:tc>
          <w:tcPr>
            <w:tcW w:w="630" w:type="dxa"/>
            <w:shd w:val="clear" w:color="auto" w:fill="FFFFFF"/>
          </w:tcPr>
          <w:p w14:paraId="43702130"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73</w:t>
            </w:r>
          </w:p>
        </w:tc>
        <w:tc>
          <w:tcPr>
            <w:tcW w:w="1170" w:type="dxa"/>
            <w:shd w:val="clear" w:color="auto" w:fill="FFFFFF"/>
          </w:tcPr>
          <w:p w14:paraId="3FB618D6"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shd w:val="clear" w:color="auto" w:fill="FFFFFF"/>
          </w:tcPr>
          <w:p w14:paraId="47E3A0E2"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shd w:val="clear" w:color="auto" w:fill="FFFFFF"/>
          </w:tcPr>
          <w:p w14:paraId="029FE176"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shd w:val="clear" w:color="auto" w:fill="FFFFFF"/>
          </w:tcPr>
          <w:p w14:paraId="4A9919CC"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shd w:val="clear" w:color="auto" w:fill="FFFFFF"/>
          </w:tcPr>
          <w:p w14:paraId="6E7F8E36"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5BED6711" w14:textId="77777777">
        <w:trPr>
          <w:cantSplit/>
          <w:trHeight w:val="322"/>
        </w:trPr>
        <w:tc>
          <w:tcPr>
            <w:tcW w:w="1620" w:type="dxa"/>
            <w:shd w:val="clear" w:color="auto" w:fill="FFFFFF"/>
            <w:vAlign w:val="center"/>
          </w:tcPr>
          <w:p w14:paraId="7092E1C2"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51 years &amp; Above</w:t>
            </w:r>
          </w:p>
        </w:tc>
        <w:tc>
          <w:tcPr>
            <w:tcW w:w="630" w:type="dxa"/>
            <w:shd w:val="clear" w:color="auto" w:fill="FFFFFF"/>
          </w:tcPr>
          <w:p w14:paraId="4DEBC869"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w:t>
            </w:r>
          </w:p>
        </w:tc>
        <w:tc>
          <w:tcPr>
            <w:tcW w:w="1170" w:type="dxa"/>
            <w:shd w:val="clear" w:color="auto" w:fill="FFFFFF"/>
          </w:tcPr>
          <w:p w14:paraId="69744493"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197.00</w:t>
            </w:r>
          </w:p>
        </w:tc>
        <w:tc>
          <w:tcPr>
            <w:tcW w:w="1440" w:type="dxa"/>
            <w:shd w:val="clear" w:color="auto" w:fill="FFFFFF"/>
          </w:tcPr>
          <w:p w14:paraId="2C77B2D7"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630" w:type="dxa"/>
            <w:shd w:val="clear" w:color="auto" w:fill="FFFFFF"/>
          </w:tcPr>
          <w:p w14:paraId="0714AA1E"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990" w:type="dxa"/>
            <w:shd w:val="clear" w:color="auto" w:fill="FFFFFF"/>
          </w:tcPr>
          <w:p w14:paraId="3ECEE35E"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914" w:type="dxa"/>
            <w:shd w:val="clear" w:color="auto" w:fill="FFFFFF"/>
          </w:tcPr>
          <w:p w14:paraId="21F555E8" w14:textId="77777777" w:rsidR="00EB361E" w:rsidRDefault="00EB361E">
            <w:pPr>
              <w:autoSpaceDE w:val="0"/>
              <w:autoSpaceDN w:val="0"/>
              <w:adjustRightInd w:val="0"/>
              <w:spacing w:after="0" w:line="320" w:lineRule="atLeast"/>
              <w:ind w:left="60" w:right="60"/>
              <w:jc w:val="right"/>
              <w:rPr>
                <w:rFonts w:ascii="Times New Roman" w:hAnsi="Times New Roman" w:cs="Times New Roman"/>
                <w:sz w:val="24"/>
                <w:szCs w:val="24"/>
              </w:rPr>
            </w:pPr>
          </w:p>
        </w:tc>
      </w:tr>
      <w:tr w:rsidR="00EB361E" w14:paraId="07F4B9D2" w14:textId="77777777">
        <w:trPr>
          <w:cantSplit/>
          <w:trHeight w:val="322"/>
        </w:trPr>
        <w:tc>
          <w:tcPr>
            <w:tcW w:w="1620" w:type="dxa"/>
            <w:shd w:val="clear" w:color="auto" w:fill="FFFFFF"/>
            <w:vAlign w:val="center"/>
          </w:tcPr>
          <w:p w14:paraId="3D97E373" w14:textId="77777777" w:rsidR="00EB361E" w:rsidRDefault="00BA519F">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Total</w:t>
            </w:r>
          </w:p>
        </w:tc>
        <w:tc>
          <w:tcPr>
            <w:tcW w:w="630" w:type="dxa"/>
            <w:shd w:val="clear" w:color="auto" w:fill="FFFFFF"/>
          </w:tcPr>
          <w:p w14:paraId="06FD7851" w14:textId="77777777" w:rsidR="00EB361E" w:rsidRDefault="00BA519F">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392</w:t>
            </w:r>
          </w:p>
        </w:tc>
        <w:tc>
          <w:tcPr>
            <w:tcW w:w="1170" w:type="dxa"/>
            <w:shd w:val="clear" w:color="auto" w:fill="FFFFFF"/>
          </w:tcPr>
          <w:p w14:paraId="44FD5E1E"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440" w:type="dxa"/>
            <w:shd w:val="clear" w:color="auto" w:fill="FFFFFF"/>
          </w:tcPr>
          <w:p w14:paraId="4710828F"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tcPr>
          <w:p w14:paraId="5F6D83BC"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tcPr>
          <w:p w14:paraId="0763B0B2"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c>
          <w:tcPr>
            <w:tcW w:w="1914" w:type="dxa"/>
            <w:shd w:val="clear" w:color="auto" w:fill="FFFFFF"/>
          </w:tcPr>
          <w:p w14:paraId="167E57A3" w14:textId="77777777" w:rsidR="00EB361E" w:rsidRDefault="00EB361E">
            <w:pPr>
              <w:autoSpaceDE w:val="0"/>
              <w:autoSpaceDN w:val="0"/>
              <w:adjustRightInd w:val="0"/>
              <w:spacing w:after="0" w:line="240" w:lineRule="auto"/>
              <w:rPr>
                <w:rFonts w:ascii="Times New Roman" w:hAnsi="Times New Roman" w:cs="Times New Roman"/>
                <w:sz w:val="24"/>
                <w:szCs w:val="24"/>
              </w:rPr>
            </w:pPr>
          </w:p>
        </w:tc>
      </w:tr>
    </w:tbl>
    <w:p w14:paraId="52896A34" w14:textId="77777777" w:rsidR="00EB361E" w:rsidRDefault="00EB361E">
      <w:pPr>
        <w:autoSpaceDE w:val="0"/>
        <w:autoSpaceDN w:val="0"/>
        <w:adjustRightInd w:val="0"/>
        <w:spacing w:after="0" w:line="23" w:lineRule="atLeast"/>
        <w:rPr>
          <w:rFonts w:ascii="Times New Roman" w:hAnsi="Times New Roman" w:cs="Times New Roman"/>
          <w:sz w:val="24"/>
          <w:szCs w:val="24"/>
        </w:rPr>
      </w:pPr>
    </w:p>
    <w:p w14:paraId="7CBC4094" w14:textId="77777777" w:rsidR="00EB361E" w:rsidRDefault="00BA519F">
      <w:pPr>
        <w:autoSpaceDE w:val="0"/>
        <w:autoSpaceDN w:val="0"/>
        <w:adjustRightInd w:val="0"/>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Table 4: Presents the results of the Kruskal-Wallis test, which was used to compare the distribution of TB/OBI co-infection across different age groups. The test did not find a significant difference in the distribution of TB/OBI co-infection </w:t>
      </w:r>
      <w:r>
        <w:rPr>
          <w:rFonts w:ascii="Times New Roman" w:hAnsi="Times New Roman" w:cs="Times New Roman"/>
          <w:sz w:val="24"/>
          <w:szCs w:val="24"/>
        </w:rPr>
        <w:t>across the age groups (p-value = 0.88).</w:t>
      </w:r>
    </w:p>
    <w:p w14:paraId="5D0658FD" w14:textId="77777777" w:rsidR="00EB361E" w:rsidRDefault="00EB361E">
      <w:pPr>
        <w:tabs>
          <w:tab w:val="left" w:pos="7500"/>
        </w:tabs>
        <w:jc w:val="both"/>
        <w:rPr>
          <w:rFonts w:ascii="Times New Roman" w:hAnsi="Times New Roman" w:cs="Times New Roman"/>
          <w:b/>
          <w:sz w:val="24"/>
          <w:szCs w:val="24"/>
        </w:rPr>
      </w:pPr>
    </w:p>
    <w:p w14:paraId="5790B90D" w14:textId="77777777" w:rsidR="00EB361E" w:rsidRDefault="00BA519F">
      <w:pPr>
        <w:tabs>
          <w:tab w:val="left" w:pos="7500"/>
        </w:tabs>
        <w:spacing w:line="23" w:lineRule="atLeast"/>
        <w:jc w:val="both"/>
        <w:rPr>
          <w:rFonts w:ascii="Times New Roman" w:hAnsi="Times New Roman" w:cs="Times New Roman"/>
          <w:b/>
          <w:sz w:val="24"/>
          <w:szCs w:val="24"/>
        </w:rPr>
      </w:pPr>
      <w:r>
        <w:rPr>
          <w:rFonts w:ascii="Times New Roman" w:hAnsi="Times New Roman" w:cs="Times New Roman"/>
          <w:b/>
          <w:sz w:val="24"/>
          <w:szCs w:val="24"/>
        </w:rPr>
        <w:t>DISCUSSION</w:t>
      </w:r>
    </w:p>
    <w:p w14:paraId="66180B13"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Out of the 392 participants, 391 tested </w:t>
      </w:r>
      <w:proofErr w:type="gramStart"/>
      <w:r>
        <w:rPr>
          <w:rFonts w:ascii="Times New Roman" w:hAnsi="Times New Roman" w:cs="Times New Roman"/>
          <w:sz w:val="24"/>
          <w:szCs w:val="24"/>
        </w:rPr>
        <w:t>negative</w:t>
      </w:r>
      <w:proofErr w:type="gramEnd"/>
      <w:r>
        <w:rPr>
          <w:rFonts w:ascii="Times New Roman" w:hAnsi="Times New Roman" w:cs="Times New Roman"/>
          <w:sz w:val="24"/>
          <w:szCs w:val="24"/>
        </w:rPr>
        <w:t xml:space="preserve"> for TB/OBI co-infection. This indicates the vast majority of the study population did not have a co-infection of TB and OBI. This could be due to several </w:t>
      </w:r>
      <w:r>
        <w:rPr>
          <w:rFonts w:ascii="Times New Roman" w:hAnsi="Times New Roman" w:cs="Times New Roman"/>
          <w:sz w:val="24"/>
          <w:szCs w:val="24"/>
        </w:rPr>
        <w:t>factors, such as effective public health interventions, low exposure to pathogens, or high immunity among the study population.</w:t>
      </w:r>
    </w:p>
    <w:p w14:paraId="436DD28F"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Interestingly, only one participant tested positive for TB/OBI co-infection, resulting in a prevalence rate of 0.3%. This low pr</w:t>
      </w:r>
      <w:r>
        <w:rPr>
          <w:rFonts w:ascii="Times New Roman" w:hAnsi="Times New Roman" w:cs="Times New Roman"/>
          <w:sz w:val="24"/>
          <w:szCs w:val="24"/>
        </w:rPr>
        <w:t>evalence rate suggests that co-infection of TB and OBI is not common among the residents in Rivers State, Nigeria. However, even a single case of co-infection can have significant implications</w:t>
      </w:r>
      <w:r>
        <w:rPr>
          <w:sz w:val="24"/>
          <w:szCs w:val="24"/>
        </w:rPr>
        <w:t xml:space="preserve">, </w:t>
      </w:r>
      <w:r>
        <w:rPr>
          <w:rFonts w:ascii="Times New Roman" w:hAnsi="Times New Roman" w:cs="Times New Roman"/>
          <w:sz w:val="24"/>
          <w:szCs w:val="24"/>
        </w:rPr>
        <w:t>as both TB and OBI are diseases with significant morbidity and</w:t>
      </w:r>
      <w:r>
        <w:rPr>
          <w:rFonts w:ascii="Times New Roman" w:hAnsi="Times New Roman" w:cs="Times New Roman"/>
          <w:sz w:val="24"/>
          <w:szCs w:val="24"/>
        </w:rPr>
        <w:t xml:space="preserve"> mortality risks. Co-infection can complicate disease prognosis and management due to the interaction between the two pathogens and their impact on the host’s immune response [7]. Moreover, the treatment of TB can be complicated by the reactivation of occu</w:t>
      </w:r>
      <w:r>
        <w:rPr>
          <w:rFonts w:ascii="Times New Roman" w:hAnsi="Times New Roman" w:cs="Times New Roman"/>
          <w:sz w:val="24"/>
          <w:szCs w:val="24"/>
        </w:rPr>
        <w:t>lt HBV, leading to severe hepatitis [1]. It’s important to note that these results are based on the specific sample of residents who participated in this study. The actual prevalence rate in the broader population might be different. The implications of th</w:t>
      </w:r>
      <w:r>
        <w:rPr>
          <w:rFonts w:ascii="Times New Roman" w:hAnsi="Times New Roman" w:cs="Times New Roman"/>
          <w:sz w:val="24"/>
          <w:szCs w:val="24"/>
        </w:rPr>
        <w:t>is finding are multifaceted. Firstly, it</w:t>
      </w:r>
      <w:r>
        <w:rPr>
          <w:rFonts w:ascii="Times New Roman" w:hAnsi="Times New Roman" w:cs="Times New Roman"/>
          <w:b/>
          <w:sz w:val="24"/>
          <w:szCs w:val="24"/>
        </w:rPr>
        <w:t xml:space="preserve"> </w:t>
      </w:r>
      <w:r>
        <w:rPr>
          <w:rFonts w:ascii="Times New Roman" w:hAnsi="Times New Roman" w:cs="Times New Roman"/>
          <w:sz w:val="24"/>
          <w:szCs w:val="24"/>
        </w:rPr>
        <w:t>emphasizes the necessity for health surveillance systems to include testing for OBI in TB patients, as OBI can remain undetected due to its occult nature. Secondly, it highlights the need for further research to und</w:t>
      </w:r>
      <w:r>
        <w:rPr>
          <w:rFonts w:ascii="Times New Roman" w:hAnsi="Times New Roman" w:cs="Times New Roman"/>
          <w:sz w:val="24"/>
          <w:szCs w:val="24"/>
        </w:rPr>
        <w:t>erstand the transmission dynamics of OBI among TB patients, which could inform targeted interventions. Studies on prevalent rates in TB/OBI coinfection is generally lacking, however, comparing this study’s findings with other research, such as the study co</w:t>
      </w:r>
      <w:r>
        <w:rPr>
          <w:rFonts w:ascii="Times New Roman" w:hAnsi="Times New Roman" w:cs="Times New Roman"/>
          <w:sz w:val="24"/>
          <w:szCs w:val="24"/>
        </w:rPr>
        <w:t xml:space="preserve">nducted in Southeast China [12], which reported a higher prevalence of TB co-infection with hepatitis B virus, suggests </w:t>
      </w:r>
      <w:r>
        <w:rPr>
          <w:rFonts w:ascii="Times New Roman" w:hAnsi="Times New Roman" w:cs="Times New Roman"/>
          <w:sz w:val="24"/>
          <w:szCs w:val="24"/>
        </w:rPr>
        <w:lastRenderedPageBreak/>
        <w:t>regional variations in co-infection rates. Another study on the impacts of hepatitis B and C co-infection with tuberculosis [13] provide</w:t>
      </w:r>
      <w:r>
        <w:rPr>
          <w:rFonts w:ascii="Times New Roman" w:hAnsi="Times New Roman" w:cs="Times New Roman"/>
          <w:sz w:val="24"/>
          <w:szCs w:val="24"/>
        </w:rPr>
        <w:t>s additional context on the complexity of managing TB in the presence of viral hepatitis co-infections. The differences in co-infection rates between Rivers State and other regions could be due to several factors, including the effectiveness of public heal</w:t>
      </w:r>
      <w:r>
        <w:rPr>
          <w:rFonts w:ascii="Times New Roman" w:hAnsi="Times New Roman" w:cs="Times New Roman"/>
          <w:sz w:val="24"/>
          <w:szCs w:val="24"/>
        </w:rPr>
        <w:t>th interventions, such as vaccination programs and TB control measures. Additionally, genetic factors, environmental conditions, and social determinants of health may play roles in influencing the prevalence of co-infections.</w:t>
      </w:r>
    </w:p>
    <w:p w14:paraId="67339F0C"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There was no significant sex-s</w:t>
      </w:r>
      <w:r>
        <w:rPr>
          <w:rFonts w:ascii="Times New Roman" w:hAnsi="Times New Roman" w:cs="Times New Roman"/>
          <w:sz w:val="24"/>
          <w:szCs w:val="24"/>
        </w:rPr>
        <w:t>pecific difference in the distribution of TB/OBI co-infection within the study population (p-value = 0.421). This finding suggests that the risk of co-infection is not influenced by se, contrasting a recent study by Seifert et al. [14]. The lack of signifi</w:t>
      </w:r>
      <w:r>
        <w:rPr>
          <w:rFonts w:ascii="Times New Roman" w:hAnsi="Times New Roman" w:cs="Times New Roman"/>
          <w:sz w:val="24"/>
          <w:szCs w:val="24"/>
        </w:rPr>
        <w:t>cance in this study could be due to the relatively small number of co-infection cases or the specific demographics of the population studied.</w:t>
      </w:r>
    </w:p>
    <w:p w14:paraId="42698D2A"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Similarly, the Kruskal-Wallis test showed no significant age-specific difference in the distribution of TB/OBI co-</w:t>
      </w:r>
      <w:r>
        <w:rPr>
          <w:rFonts w:ascii="Times New Roman" w:hAnsi="Times New Roman" w:cs="Times New Roman"/>
          <w:sz w:val="24"/>
          <w:szCs w:val="24"/>
        </w:rPr>
        <w:t>infection (p-value = 0.88). This uniformity across age groups suggests that age may not be a determining factor for co-infection within this region, also contrasting Seifert et al. [14]. The consistent mean ranks across all age categories in this study imp</w:t>
      </w:r>
      <w:r>
        <w:rPr>
          <w:rFonts w:ascii="Times New Roman" w:hAnsi="Times New Roman" w:cs="Times New Roman"/>
          <w:sz w:val="24"/>
          <w:szCs w:val="24"/>
        </w:rPr>
        <w:t>ly a homogenous distribution of co-infection risk, which may reflect effective public health interventions or unique epidemiological characteristics of the region.</w:t>
      </w:r>
    </w:p>
    <w:p w14:paraId="66595D1F"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The absence of significant sex and age differences in TB/OBI co-infection within this study’</w:t>
      </w:r>
      <w:r>
        <w:rPr>
          <w:rFonts w:ascii="Times New Roman" w:hAnsi="Times New Roman" w:cs="Times New Roman"/>
          <w:sz w:val="24"/>
          <w:szCs w:val="24"/>
        </w:rPr>
        <w:t>s cohort could have several implications. It may indicate the need for uniform public health strategies across all sexes and ages rather than targeted interventions. However, it also highlights the importance of continuous surveillance to monitor potential</w:t>
      </w:r>
      <w:r>
        <w:rPr>
          <w:rFonts w:ascii="Times New Roman" w:hAnsi="Times New Roman" w:cs="Times New Roman"/>
          <w:sz w:val="24"/>
          <w:szCs w:val="24"/>
        </w:rPr>
        <w:t xml:space="preserve"> shifts in trends that could emerge due to changes in public health policies, healthcare access, or socio-economic factors.</w:t>
      </w:r>
    </w:p>
    <w:p w14:paraId="0D565870"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b/>
          <w:sz w:val="24"/>
          <w:szCs w:val="24"/>
        </w:rPr>
        <w:t>Conclusion</w:t>
      </w:r>
    </w:p>
    <w:p w14:paraId="448B82ED"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This study provides valuable insights into the coinfection of tuberculosis (TB) and occult hepatitis B infection (OBI) am</w:t>
      </w:r>
      <w:r>
        <w:rPr>
          <w:rFonts w:ascii="Times New Roman" w:hAnsi="Times New Roman" w:cs="Times New Roman"/>
          <w:sz w:val="24"/>
          <w:szCs w:val="24"/>
        </w:rPr>
        <w:t>ong residents in Rivers State, Nigeria. The findings indicate a low prevalence of TB/OBI coinfection, with only one case detected out of 392 participants, yielding a prevalence rate of 0.3%. This relatively low prevalence suggests that while coinfection ma</w:t>
      </w:r>
      <w:r>
        <w:rPr>
          <w:rFonts w:ascii="Times New Roman" w:hAnsi="Times New Roman" w:cs="Times New Roman"/>
          <w:sz w:val="24"/>
          <w:szCs w:val="24"/>
        </w:rPr>
        <w:t xml:space="preserve">y occur, it is not a common occurrence in this population. The implications of TB/OBI coinfection, despite its low prevalence, are substantial. Coinfection presents challenges in disease management and prognosis due to the complex interplay between TB and </w:t>
      </w:r>
      <w:r>
        <w:rPr>
          <w:rFonts w:ascii="Times New Roman" w:hAnsi="Times New Roman" w:cs="Times New Roman"/>
          <w:sz w:val="24"/>
          <w:szCs w:val="24"/>
        </w:rPr>
        <w:t>hepatitis B virus (HBV), potentially leading to adverse health outcomes. It is imperative to recognize the possibility of coinfection in clinical practice, particularly in regions where TB and HBV are endemic.</w:t>
      </w:r>
    </w:p>
    <w:p w14:paraId="372A8774" w14:textId="77777777" w:rsidR="00EB361E" w:rsidRDefault="00BA519F">
      <w:pPr>
        <w:spacing w:line="23" w:lineRule="atLeast"/>
        <w:jc w:val="both"/>
        <w:rPr>
          <w:rFonts w:ascii="Times New Roman" w:hAnsi="Times New Roman" w:cs="Times New Roman"/>
          <w:sz w:val="24"/>
          <w:szCs w:val="24"/>
        </w:rPr>
      </w:pPr>
      <w:r>
        <w:rPr>
          <w:rFonts w:ascii="Times New Roman" w:hAnsi="Times New Roman" w:cs="Times New Roman"/>
          <w:sz w:val="24"/>
          <w:szCs w:val="24"/>
        </w:rPr>
        <w:t>Furthermore, this study highlights the importa</w:t>
      </w:r>
      <w:r>
        <w:rPr>
          <w:rFonts w:ascii="Times New Roman" w:hAnsi="Times New Roman" w:cs="Times New Roman"/>
          <w:sz w:val="24"/>
          <w:szCs w:val="24"/>
        </w:rPr>
        <w:t>nce of comprehensive surveillance and integrated healthcare strategies in addressing infectious diseases. While no significant differences were observed in coinfection rates based on sex or age, continuous monitoring is essential to detect any emerging tre</w:t>
      </w:r>
      <w:r>
        <w:rPr>
          <w:rFonts w:ascii="Times New Roman" w:hAnsi="Times New Roman" w:cs="Times New Roman"/>
          <w:sz w:val="24"/>
          <w:szCs w:val="24"/>
        </w:rPr>
        <w:t>nds or shifts in epidemiology. Understanding the epidemiological factors influencing TB/OBI coinfection can inform targeted interventions and improve patient outcomes. It is essential to acknowledge certain limitations of this study, including its cross-se</w:t>
      </w:r>
      <w:r>
        <w:rPr>
          <w:rFonts w:ascii="Times New Roman" w:hAnsi="Times New Roman" w:cs="Times New Roman"/>
          <w:sz w:val="24"/>
          <w:szCs w:val="24"/>
        </w:rPr>
        <w:t>ctional design, which provides a snapshot of coinfection prevalence at a specific point in time. Longitudinal studies are warranted to assess temporal trends and dynamics of TB/OBI coinfection. Additionally, the study's sample size may limit the generaliza</w:t>
      </w:r>
      <w:r>
        <w:rPr>
          <w:rFonts w:ascii="Times New Roman" w:hAnsi="Times New Roman" w:cs="Times New Roman"/>
          <w:sz w:val="24"/>
          <w:szCs w:val="24"/>
        </w:rPr>
        <w:t>bility of findings to the broader population of Rivers State.</w:t>
      </w:r>
    </w:p>
    <w:p w14:paraId="759B404F" w14:textId="77777777" w:rsidR="00EB361E" w:rsidRDefault="00EB361E">
      <w:pPr>
        <w:spacing w:line="360" w:lineRule="auto"/>
        <w:rPr>
          <w:rFonts w:ascii="Times New Roman" w:hAnsi="Times New Roman" w:cs="Times New Roman"/>
          <w:b/>
          <w:sz w:val="24"/>
          <w:szCs w:val="24"/>
        </w:rPr>
      </w:pPr>
    </w:p>
    <w:p w14:paraId="5FFF085D" w14:textId="77777777" w:rsidR="00EB361E" w:rsidRDefault="00BA519F">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55F0C6C1"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Chen L, Bao D, Gu L, Gu Y, Zhou L, Gao Z, et al. Co-infection with hepatitis B virus among tuberculosis patients is associated with poor outcomes during anti-tuberculosis treatment. </w:t>
      </w:r>
      <w:r>
        <w:rPr>
          <w:rFonts w:ascii="Times New Roman" w:hAnsi="Times New Roman" w:cs="Times New Roman"/>
          <w:sz w:val="24"/>
          <w:szCs w:val="24"/>
        </w:rPr>
        <w:t>BMC Infectious Diseases. 2018 Jul 3;18(1).</w:t>
      </w:r>
    </w:p>
    <w:p w14:paraId="1105B455"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Agyeman AA, Ofori-Asenso R. Tuberculosis—an overview. Journal of Public Health and Emergency. 2017;1(7):1-11.</w:t>
      </w:r>
    </w:p>
    <w:p w14:paraId="22E3C8AB" w14:textId="77777777" w:rsidR="00EB361E" w:rsidRDefault="00BA519F">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Ogbo</w:t>
      </w:r>
      <w:proofErr w:type="spellEnd"/>
      <w:r>
        <w:rPr>
          <w:rFonts w:ascii="Times New Roman" w:hAnsi="Times New Roman" w:cs="Times New Roman"/>
          <w:sz w:val="24"/>
          <w:szCs w:val="24"/>
        </w:rPr>
        <w:t xml:space="preserve"> FA, </w:t>
      </w:r>
      <w:proofErr w:type="spellStart"/>
      <w:r>
        <w:rPr>
          <w:rFonts w:ascii="Times New Roman" w:hAnsi="Times New Roman" w:cs="Times New Roman"/>
          <w:sz w:val="24"/>
          <w:szCs w:val="24"/>
        </w:rPr>
        <w:t>Ogeleka</w:t>
      </w:r>
      <w:proofErr w:type="spellEnd"/>
      <w:r>
        <w:rPr>
          <w:rFonts w:ascii="Times New Roman" w:hAnsi="Times New Roman" w:cs="Times New Roman"/>
          <w:sz w:val="24"/>
          <w:szCs w:val="24"/>
        </w:rPr>
        <w:t xml:space="preserve"> P, Okoro A, Olusanya BO, </w:t>
      </w:r>
      <w:proofErr w:type="spellStart"/>
      <w:r>
        <w:rPr>
          <w:rFonts w:ascii="Times New Roman" w:hAnsi="Times New Roman" w:cs="Times New Roman"/>
          <w:sz w:val="24"/>
          <w:szCs w:val="24"/>
        </w:rPr>
        <w:t>Olusanya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Ifegwu</w:t>
      </w:r>
      <w:proofErr w:type="spellEnd"/>
      <w:r>
        <w:rPr>
          <w:rFonts w:ascii="Times New Roman" w:hAnsi="Times New Roman" w:cs="Times New Roman"/>
          <w:sz w:val="24"/>
          <w:szCs w:val="24"/>
        </w:rPr>
        <w:t xml:space="preserve"> IK, et al. Tuberculosis disease burden and</w:t>
      </w:r>
      <w:r>
        <w:rPr>
          <w:rFonts w:ascii="Times New Roman" w:hAnsi="Times New Roman" w:cs="Times New Roman"/>
          <w:sz w:val="24"/>
          <w:szCs w:val="24"/>
        </w:rPr>
        <w:t xml:space="preserve"> attributable risk factors in Nigeria, 1990–2016. Tropical Medicine and Health [Internet]. 2018 Sep 25;46(1). Available from: </w:t>
      </w:r>
      <w:hyperlink r:id="rId7" w:history="1">
        <w:r>
          <w:rPr>
            <w:rStyle w:val="Hyperlink"/>
            <w:rFonts w:ascii="Times New Roman" w:hAnsi="Times New Roman" w:cs="Times New Roman"/>
            <w:color w:val="auto"/>
            <w:sz w:val="24"/>
            <w:szCs w:val="24"/>
          </w:rPr>
          <w:t>https://tropmedhealth.biomedcentral.com</w:t>
        </w:r>
        <w:r>
          <w:rPr>
            <w:rStyle w:val="Hyperlink"/>
            <w:rFonts w:ascii="Times New Roman" w:hAnsi="Times New Roman" w:cs="Times New Roman"/>
            <w:color w:val="auto"/>
            <w:sz w:val="24"/>
            <w:szCs w:val="24"/>
          </w:rPr>
          <w:t>/articles/10.1186/s41182-018-0114-9</w:t>
        </w:r>
      </w:hyperlink>
    </w:p>
    <w:p w14:paraId="17960CE8"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World Health Organization. Hepatitis B [Internet]. World Health Organization. 2023. Available from: </w:t>
      </w:r>
      <w:hyperlink r:id="rId8" w:history="1">
        <w:r>
          <w:rPr>
            <w:rStyle w:val="Hyperlink"/>
            <w:rFonts w:ascii="Times New Roman" w:hAnsi="Times New Roman" w:cs="Times New Roman"/>
            <w:color w:val="auto"/>
            <w:sz w:val="24"/>
            <w:szCs w:val="24"/>
          </w:rPr>
          <w:t>https://www.who.int/news-room/fact-sheets/d</w:t>
        </w:r>
        <w:r>
          <w:rPr>
            <w:rStyle w:val="Hyperlink"/>
            <w:rFonts w:ascii="Times New Roman" w:hAnsi="Times New Roman" w:cs="Times New Roman"/>
            <w:color w:val="auto"/>
            <w:sz w:val="24"/>
            <w:szCs w:val="24"/>
          </w:rPr>
          <w:t>etail/hepatitis-b</w:t>
        </w:r>
      </w:hyperlink>
      <w:r>
        <w:rPr>
          <w:rFonts w:ascii="Times New Roman" w:hAnsi="Times New Roman" w:cs="Times New Roman"/>
          <w:sz w:val="24"/>
          <w:szCs w:val="24"/>
        </w:rPr>
        <w:t xml:space="preserve"> </w:t>
      </w:r>
    </w:p>
    <w:p w14:paraId="7279F060"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Lee BT, </w:t>
      </w:r>
      <w:proofErr w:type="spellStart"/>
      <w:r>
        <w:rPr>
          <w:rFonts w:ascii="Times New Roman" w:hAnsi="Times New Roman" w:cs="Times New Roman"/>
          <w:sz w:val="24"/>
          <w:szCs w:val="24"/>
        </w:rPr>
        <w:t>Perumalswami</w:t>
      </w:r>
      <w:proofErr w:type="spellEnd"/>
      <w:r>
        <w:rPr>
          <w:rFonts w:ascii="Times New Roman" w:hAnsi="Times New Roman" w:cs="Times New Roman"/>
          <w:sz w:val="24"/>
          <w:szCs w:val="24"/>
        </w:rPr>
        <w:t xml:space="preserve"> PV. Diagnosis and Management of Occult Hepatitis B Infection. Current Hepatology Reports. 2020 Nov 23;19(4):354–61.</w:t>
      </w:r>
    </w:p>
    <w:p w14:paraId="4B0799BF" w14:textId="77777777" w:rsidR="00EB361E" w:rsidRDefault="00BA519F">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sz w:val="24"/>
          <w:szCs w:val="24"/>
        </w:rPr>
        <w:t>Ghezeldasht</w:t>
      </w:r>
      <w:proofErr w:type="spellEnd"/>
      <w:r>
        <w:rPr>
          <w:rFonts w:ascii="Times New Roman" w:hAnsi="Times New Roman"/>
          <w:sz w:val="24"/>
          <w:szCs w:val="24"/>
        </w:rPr>
        <w:t> SA, </w:t>
      </w:r>
      <w:proofErr w:type="spellStart"/>
      <w:r>
        <w:rPr>
          <w:rFonts w:ascii="Times New Roman" w:hAnsi="Times New Roman"/>
          <w:sz w:val="24"/>
          <w:szCs w:val="24"/>
        </w:rPr>
        <w:t>Soleimanpour</w:t>
      </w:r>
      <w:proofErr w:type="spellEnd"/>
      <w:r>
        <w:rPr>
          <w:rFonts w:ascii="Times New Roman" w:hAnsi="Times New Roman"/>
          <w:sz w:val="24"/>
          <w:szCs w:val="24"/>
        </w:rPr>
        <w:t xml:space="preserve"> S, Moghaddam MR, </w:t>
      </w:r>
      <w:proofErr w:type="spellStart"/>
      <w:r>
        <w:rPr>
          <w:rFonts w:ascii="Times New Roman" w:hAnsi="Times New Roman"/>
          <w:sz w:val="24"/>
          <w:szCs w:val="24"/>
        </w:rPr>
        <w:t>Farshchian</w:t>
      </w:r>
      <w:proofErr w:type="spellEnd"/>
      <w:r>
        <w:rPr>
          <w:rFonts w:ascii="Times New Roman" w:hAnsi="Times New Roman"/>
          <w:sz w:val="24"/>
          <w:szCs w:val="24"/>
        </w:rPr>
        <w:t> M, </w:t>
      </w:r>
      <w:proofErr w:type="spellStart"/>
      <w:r>
        <w:rPr>
          <w:rFonts w:ascii="Times New Roman" w:hAnsi="Times New Roman"/>
          <w:sz w:val="24"/>
          <w:szCs w:val="24"/>
        </w:rPr>
        <w:t>Rezaee</w:t>
      </w:r>
      <w:proofErr w:type="spellEnd"/>
      <w:r>
        <w:rPr>
          <w:rFonts w:ascii="Times New Roman" w:hAnsi="Times New Roman"/>
          <w:sz w:val="24"/>
          <w:szCs w:val="24"/>
        </w:rPr>
        <w:t> SA, </w:t>
      </w:r>
      <w:proofErr w:type="spellStart"/>
      <w:r>
        <w:rPr>
          <w:rFonts w:ascii="Times New Roman" w:hAnsi="Times New Roman"/>
          <w:sz w:val="24"/>
          <w:szCs w:val="24"/>
        </w:rPr>
        <w:t>Mosavat</w:t>
      </w:r>
      <w:proofErr w:type="spellEnd"/>
      <w:r>
        <w:rPr>
          <w:rFonts w:ascii="Times New Roman" w:hAnsi="Times New Roman"/>
          <w:sz w:val="24"/>
          <w:szCs w:val="24"/>
        </w:rPr>
        <w:t> A. Rate of occult hep</w:t>
      </w:r>
      <w:r>
        <w:rPr>
          <w:rFonts w:ascii="Times New Roman" w:hAnsi="Times New Roman"/>
          <w:sz w:val="24"/>
          <w:szCs w:val="24"/>
        </w:rPr>
        <w:t>atitis B virus infection among individuals with tuberculosis in northeastern Iran: A molecular epidemiological study. Journal of Virus Eradication. 2023 Jun 19;9(2):10033</w:t>
      </w:r>
    </w:p>
    <w:p w14:paraId="7DA20C6D"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Trigo C, Emmanuel P, Alice M, Liane de Castro. Occult hepatitis B virus infection: </w:t>
      </w:r>
      <w:r>
        <w:rPr>
          <w:rFonts w:ascii="Times New Roman" w:hAnsi="Times New Roman" w:cs="Times New Roman"/>
          <w:sz w:val="24"/>
          <w:szCs w:val="24"/>
        </w:rPr>
        <w:t>clinical implications in tuberculosis treatment. Journal of Viral Hepatitis. 2016 Sep 13;23(12):1027–35.</w:t>
      </w:r>
    </w:p>
    <w:p w14:paraId="4CC39BD8"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Prevalence of Tuberculosis and Compliance to Treatment from 2010-2020 In Rivers State, </w:t>
      </w:r>
      <w:proofErr w:type="spellStart"/>
      <w:r>
        <w:rPr>
          <w:rFonts w:ascii="Times New Roman" w:hAnsi="Times New Roman" w:cs="Times New Roman"/>
          <w:sz w:val="24"/>
          <w:szCs w:val="24"/>
        </w:rPr>
        <w:t>Southsouth</w:t>
      </w:r>
      <w:proofErr w:type="spellEnd"/>
      <w:r>
        <w:rPr>
          <w:rFonts w:ascii="Times New Roman" w:hAnsi="Times New Roman" w:cs="Times New Roman"/>
          <w:sz w:val="24"/>
          <w:szCs w:val="24"/>
        </w:rPr>
        <w:t xml:space="preserve"> Nigeria [Internet]. International Journal of Environm</w:t>
      </w:r>
      <w:r>
        <w:rPr>
          <w:rFonts w:ascii="Times New Roman" w:hAnsi="Times New Roman" w:cs="Times New Roman"/>
          <w:sz w:val="24"/>
          <w:szCs w:val="24"/>
        </w:rPr>
        <w:t xml:space="preserve">ent and Pollution Research (IJEPR). [cited 2024 Apr 16]. Available from: </w:t>
      </w:r>
      <w:hyperlink r:id="rId9" w:history="1">
        <w:r>
          <w:rPr>
            <w:rStyle w:val="Hyperlink"/>
            <w:rFonts w:ascii="Times New Roman" w:hAnsi="Times New Roman" w:cs="Times New Roman"/>
            <w:color w:val="auto"/>
            <w:sz w:val="24"/>
            <w:szCs w:val="24"/>
          </w:rPr>
          <w:t>https://eajou</w:t>
        </w:r>
        <w:r>
          <w:rPr>
            <w:rStyle w:val="Hyperlink"/>
            <w:rFonts w:ascii="Times New Roman" w:hAnsi="Times New Roman" w:cs="Times New Roman"/>
            <w:color w:val="auto"/>
            <w:sz w:val="24"/>
            <w:szCs w:val="24"/>
          </w:rPr>
          <w:t>rnals.org/ijepr/vol10-issue-3-2022/prevalence-of-tuberculosis-and-compliance-to-treatment-from-2010-2020-in-rivers-state-southsouth-nigeria/</w:t>
        </w:r>
      </w:hyperlink>
    </w:p>
    <w:p w14:paraId="073E9D31" w14:textId="77777777" w:rsidR="00EB361E" w:rsidRDefault="00BA519F">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Yujuico</w:t>
      </w:r>
      <w:proofErr w:type="spellEnd"/>
      <w:r>
        <w:rPr>
          <w:rFonts w:ascii="Times New Roman" w:hAnsi="Times New Roman" w:cs="Times New Roman"/>
          <w:sz w:val="24"/>
          <w:szCs w:val="24"/>
        </w:rPr>
        <w:t xml:space="preserve"> I, Roper K, Richardson A, </w:t>
      </w: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Lidbury</w:t>
      </w:r>
      <w:proofErr w:type="spellEnd"/>
      <w:r>
        <w:rPr>
          <w:rFonts w:ascii="Times New Roman" w:hAnsi="Times New Roman" w:cs="Times New Roman"/>
          <w:sz w:val="24"/>
          <w:szCs w:val="24"/>
        </w:rPr>
        <w:t xml:space="preserve"> BA. Hepatitis B virus infection in Nigeria: a systema</w:t>
      </w:r>
      <w:r>
        <w:rPr>
          <w:rFonts w:ascii="Times New Roman" w:hAnsi="Times New Roman" w:cs="Times New Roman"/>
          <w:sz w:val="24"/>
          <w:szCs w:val="24"/>
        </w:rPr>
        <w:t>tic review and meta-analysis of data published between 2010 and 2019. BMC Infectious Diseases. 2021 Oct 30;21(1).</w:t>
      </w:r>
    </w:p>
    <w:p w14:paraId="08210D9D" w14:textId="77777777" w:rsidR="00EB361E" w:rsidRDefault="00BA51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Verma G. Decontamination Method for Tuberculosis: A Review 1 </w:t>
      </w:r>
      <w:proofErr w:type="spellStart"/>
      <w:r>
        <w:rPr>
          <w:rFonts w:ascii="Times New Roman" w:hAnsi="Times New Roman" w:cs="Times New Roman"/>
          <w:sz w:val="24"/>
          <w:szCs w:val="24"/>
        </w:rPr>
        <w:t>MedDocs</w:t>
      </w:r>
      <w:proofErr w:type="spellEnd"/>
      <w:r>
        <w:rPr>
          <w:rFonts w:ascii="Times New Roman" w:hAnsi="Times New Roman" w:cs="Times New Roman"/>
          <w:sz w:val="24"/>
          <w:szCs w:val="24"/>
        </w:rPr>
        <w:t xml:space="preserve"> Publishers of Creative Commons Attribution 4.0 International License. 202</w:t>
      </w:r>
      <w:r>
        <w:rPr>
          <w:rFonts w:ascii="Times New Roman" w:hAnsi="Times New Roman" w:cs="Times New Roman"/>
          <w:sz w:val="24"/>
          <w:szCs w:val="24"/>
        </w:rPr>
        <w:t>1;4(1):1025. Available from: https://meddocsonline.org/journal-of-tuberculosis/Decontamination-Method-for-Tuberculosis-A-Review.pdf</w:t>
      </w:r>
    </w:p>
    <w:p w14:paraId="7713E4F9"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Watanabe M, Toyoda H, Kawabata T. Rapid quantification assay of hepatitis B virus DNA in human serum and plasma by Fully Aut</w:t>
      </w:r>
      <w:r>
        <w:rPr>
          <w:rFonts w:ascii="Times New Roman" w:hAnsi="Times New Roman" w:cs="Times New Roman"/>
          <w:sz w:val="24"/>
          <w:szCs w:val="24"/>
        </w:rPr>
        <w:t xml:space="preserve">omated Genetic Analyzer </w:t>
      </w:r>
      <w:proofErr w:type="spellStart"/>
      <w:r>
        <w:rPr>
          <w:rFonts w:ascii="Times New Roman" w:hAnsi="Times New Roman" w:cs="Times New Roman"/>
          <w:sz w:val="24"/>
          <w:szCs w:val="24"/>
        </w:rPr>
        <w:t>μTASWako</w:t>
      </w:r>
      <w:proofErr w:type="spellEnd"/>
      <w:r>
        <w:rPr>
          <w:rFonts w:ascii="Times New Roman" w:hAnsi="Times New Roman" w:cs="Times New Roman"/>
          <w:sz w:val="24"/>
          <w:szCs w:val="24"/>
        </w:rPr>
        <w:t xml:space="preserve"> g1. Hossain </w:t>
      </w:r>
      <w:proofErr w:type="spellStart"/>
      <w:r>
        <w:rPr>
          <w:rFonts w:ascii="Times New Roman" w:hAnsi="Times New Roman" w:cs="Times New Roman"/>
          <w:sz w:val="24"/>
          <w:szCs w:val="24"/>
        </w:rPr>
        <w:t>MdG</w:t>
      </w:r>
      <w:proofErr w:type="spellEnd"/>
      <w:r>
        <w:rPr>
          <w:rFonts w:ascii="Times New Roman" w:hAnsi="Times New Roman" w:cs="Times New Roman"/>
          <w:sz w:val="24"/>
          <w:szCs w:val="24"/>
        </w:rPr>
        <w:t>, editor. PLOS ONE. 2023 Feb 9;18(2</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02781</w:t>
      </w:r>
    </w:p>
    <w:p w14:paraId="5144135A"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Zhou Y, Li T, Lin SY, Chen DY, Du Y, Chen J, Chen K, Dai Z. Characteristics and treatment outcomes of co-infected tuberculosis patients with human immunodeficiency</w:t>
      </w:r>
      <w:r>
        <w:rPr>
          <w:rFonts w:ascii="Times New Roman" w:hAnsi="Times New Roman" w:cs="Times New Roman"/>
          <w:sz w:val="24"/>
          <w:szCs w:val="24"/>
        </w:rPr>
        <w:t xml:space="preserve"> virus in Southeast China, 2012–2021. BMC Infectious Diseases. 2023 Aug 10;23(1).</w:t>
      </w:r>
    </w:p>
    <w:p w14:paraId="3BA736F1"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Feleke BE, Feleke TE, Adane WG, Girma A. Impacts of hepatitis B and hepatitis C co-infection with tuberculosis, a prospective cohort study. Virology Journal. 2020 Jul </w:t>
      </w:r>
      <w:r>
        <w:rPr>
          <w:rFonts w:ascii="Times New Roman" w:hAnsi="Times New Roman" w:cs="Times New Roman"/>
          <w:sz w:val="24"/>
          <w:szCs w:val="24"/>
        </w:rPr>
        <w:t>23;17(1).</w:t>
      </w:r>
    </w:p>
    <w:p w14:paraId="18F38DD3" w14:textId="77777777" w:rsidR="00EB361E" w:rsidRDefault="00BA51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Seifert M, Aung HT, Besler N, Harris V, Mar TT, Colman RE, Rodwell TC, Aung ST. Age and sex distribution of Mycobacterium tuberculosis infection and rifampicin resistance in Myanmar as detected by Xpert MTB/RIF. BMC Infectious Diseases. 2021 Aug </w:t>
      </w:r>
      <w:r>
        <w:rPr>
          <w:rFonts w:ascii="Times New Roman" w:hAnsi="Times New Roman" w:cs="Times New Roman"/>
          <w:sz w:val="24"/>
          <w:szCs w:val="24"/>
        </w:rPr>
        <w:t>9;21(1).</w:t>
      </w:r>
    </w:p>
    <w:p w14:paraId="52949C10" w14:textId="77777777" w:rsidR="00EB361E" w:rsidRDefault="00EB361E">
      <w:pPr>
        <w:spacing w:line="360" w:lineRule="auto"/>
        <w:rPr>
          <w:rFonts w:ascii="Times New Roman" w:eastAsia="Times New Roman" w:hAnsi="Times New Roman" w:cs="Times New Roman"/>
          <w:sz w:val="24"/>
          <w:szCs w:val="24"/>
        </w:rPr>
      </w:pPr>
    </w:p>
    <w:p w14:paraId="2A33E56F" w14:textId="77777777" w:rsidR="00EB361E" w:rsidRDefault="00BA519F">
      <w:pPr>
        <w:spacing w:line="360" w:lineRule="auto"/>
        <w:rPr>
          <w:rFonts w:ascii="Times New Roman" w:hAnsi="Times New Roman" w:cs="Times New Roman"/>
          <w:sz w:val="24"/>
          <w:szCs w:val="24"/>
        </w:rPr>
      </w:pPr>
      <w:r>
        <w:rPr>
          <w:rFonts w:ascii="Times New Roman" w:hAnsi="Times New Roman" w:cs="Times New Roman"/>
          <w:sz w:val="24"/>
          <w:szCs w:val="24"/>
        </w:rPr>
        <w:t>‌</w:t>
      </w:r>
    </w:p>
    <w:sectPr w:rsidR="00EB36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951B" w14:textId="77777777" w:rsidR="00BA519F" w:rsidRDefault="00BA519F">
      <w:pPr>
        <w:spacing w:line="240" w:lineRule="auto"/>
      </w:pPr>
      <w:r>
        <w:separator/>
      </w:r>
    </w:p>
  </w:endnote>
  <w:endnote w:type="continuationSeparator" w:id="0">
    <w:p w14:paraId="7480391F" w14:textId="77777777" w:rsidR="00BA519F" w:rsidRDefault="00BA5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ourceSansPro-Bold">
    <w:altName w:val="Cambria"/>
    <w:charset w:val="00"/>
    <w:family w:val="roman"/>
    <w:pitch w:val="default"/>
  </w:font>
  <w:font w:name="SourceSansPro-It">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CF0B" w14:textId="77777777" w:rsidR="00563253" w:rsidRDefault="0056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AA48" w14:textId="77777777" w:rsidR="00563253" w:rsidRDefault="00563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F8BE" w14:textId="77777777" w:rsidR="00563253" w:rsidRDefault="0056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9FBB6" w14:textId="77777777" w:rsidR="00BA519F" w:rsidRDefault="00BA519F">
      <w:pPr>
        <w:spacing w:after="0"/>
      </w:pPr>
      <w:r>
        <w:separator/>
      </w:r>
    </w:p>
  </w:footnote>
  <w:footnote w:type="continuationSeparator" w:id="0">
    <w:p w14:paraId="158237F5" w14:textId="77777777" w:rsidR="00BA519F" w:rsidRDefault="00BA51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61EB" w14:textId="5045CD7C" w:rsidR="00563253" w:rsidRDefault="00563253">
    <w:pPr>
      <w:pStyle w:val="Header"/>
    </w:pPr>
    <w:r>
      <w:rPr>
        <w:noProof/>
      </w:rPr>
      <w:pict w14:anchorId="11038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3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AD2F" w14:textId="57101007" w:rsidR="00563253" w:rsidRDefault="00563253">
    <w:pPr>
      <w:pStyle w:val="Header"/>
    </w:pPr>
    <w:r>
      <w:rPr>
        <w:noProof/>
      </w:rPr>
      <w:pict w14:anchorId="7C72B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3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FDE6" w14:textId="2E1EE507" w:rsidR="00563253" w:rsidRDefault="00563253">
    <w:pPr>
      <w:pStyle w:val="Header"/>
    </w:pPr>
    <w:r>
      <w:rPr>
        <w:noProof/>
      </w:rPr>
      <w:pict w14:anchorId="6FFB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3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D0A7A"/>
    <w:multiLevelType w:val="multilevel"/>
    <w:tmpl w:val="659D0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C6"/>
    <w:rsid w:val="000205D4"/>
    <w:rsid w:val="00033EB7"/>
    <w:rsid w:val="000B7024"/>
    <w:rsid w:val="000D1758"/>
    <w:rsid w:val="000D5A8A"/>
    <w:rsid w:val="000E12A9"/>
    <w:rsid w:val="00124EF2"/>
    <w:rsid w:val="0018188A"/>
    <w:rsid w:val="001B5BCD"/>
    <w:rsid w:val="001C01C7"/>
    <w:rsid w:val="00227ECA"/>
    <w:rsid w:val="00272684"/>
    <w:rsid w:val="00322CA4"/>
    <w:rsid w:val="00373E53"/>
    <w:rsid w:val="003A78C6"/>
    <w:rsid w:val="003F79E9"/>
    <w:rsid w:val="0044444A"/>
    <w:rsid w:val="00503765"/>
    <w:rsid w:val="00510330"/>
    <w:rsid w:val="005523CA"/>
    <w:rsid w:val="0055512E"/>
    <w:rsid w:val="00563253"/>
    <w:rsid w:val="00567AB0"/>
    <w:rsid w:val="005D1B69"/>
    <w:rsid w:val="005E00EB"/>
    <w:rsid w:val="005E48B1"/>
    <w:rsid w:val="00614670"/>
    <w:rsid w:val="00653B5A"/>
    <w:rsid w:val="006564D7"/>
    <w:rsid w:val="006D3889"/>
    <w:rsid w:val="006E2FBE"/>
    <w:rsid w:val="0070168C"/>
    <w:rsid w:val="007046AE"/>
    <w:rsid w:val="008010E7"/>
    <w:rsid w:val="00814D93"/>
    <w:rsid w:val="008A7135"/>
    <w:rsid w:val="008C39CF"/>
    <w:rsid w:val="008C4FE2"/>
    <w:rsid w:val="008F7F04"/>
    <w:rsid w:val="009E7A0F"/>
    <w:rsid w:val="00A108C0"/>
    <w:rsid w:val="00A4148E"/>
    <w:rsid w:val="00AF7A6D"/>
    <w:rsid w:val="00B21D9B"/>
    <w:rsid w:val="00B34D92"/>
    <w:rsid w:val="00B714C9"/>
    <w:rsid w:val="00B8198E"/>
    <w:rsid w:val="00BA519F"/>
    <w:rsid w:val="00C04A5F"/>
    <w:rsid w:val="00C1308B"/>
    <w:rsid w:val="00C54577"/>
    <w:rsid w:val="00CA1079"/>
    <w:rsid w:val="00CB6DCF"/>
    <w:rsid w:val="00CF794D"/>
    <w:rsid w:val="00D016CF"/>
    <w:rsid w:val="00D2631C"/>
    <w:rsid w:val="00D4583B"/>
    <w:rsid w:val="00D569E2"/>
    <w:rsid w:val="00D93A54"/>
    <w:rsid w:val="00DC0BD2"/>
    <w:rsid w:val="00E65D0B"/>
    <w:rsid w:val="00EA4CFF"/>
    <w:rsid w:val="00EB361E"/>
    <w:rsid w:val="00EB5CA0"/>
    <w:rsid w:val="00F01B97"/>
    <w:rsid w:val="00F22D22"/>
    <w:rsid w:val="00F3219B"/>
    <w:rsid w:val="00F45AC1"/>
    <w:rsid w:val="00F6118E"/>
    <w:rsid w:val="00FD5112"/>
    <w:rsid w:val="0D0A0F15"/>
    <w:rsid w:val="4569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205578"/>
  <w15:docId w15:val="{8710B931-D220-41ED-A722-37596707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name">
    <w:name w:val="name"/>
    <w:basedOn w:val="DefaultParagraphFont"/>
  </w:style>
  <w:style w:type="character" w:customStyle="1" w:styleId="fontstyle01">
    <w:name w:val="fontstyle01"/>
    <w:basedOn w:val="DefaultParagraphFont"/>
    <w:qFormat/>
    <w:rPr>
      <w:rFonts w:ascii="SourceSansPro-Bold" w:hAnsi="SourceSansPro-Bold" w:hint="default"/>
      <w:b/>
      <w:bCs/>
      <w:color w:val="000000"/>
      <w:sz w:val="18"/>
      <w:szCs w:val="18"/>
    </w:rPr>
  </w:style>
  <w:style w:type="character" w:customStyle="1" w:styleId="fontstyle21">
    <w:name w:val="fontstyle21"/>
    <w:basedOn w:val="DefaultParagraphFont"/>
    <w:qFormat/>
    <w:rPr>
      <w:rFonts w:ascii="SourceSansPro-It" w:hAnsi="SourceSansPro-It" w:hint="default"/>
      <w:i/>
      <w:iCs/>
      <w:color w:val="000000"/>
      <w:sz w:val="16"/>
      <w:szCs w:val="16"/>
    </w:rPr>
  </w:style>
  <w:style w:type="character" w:styleId="UnresolvedMention">
    <w:name w:val="Unresolved Mention"/>
    <w:basedOn w:val="DefaultParagraphFont"/>
    <w:uiPriority w:val="99"/>
    <w:semiHidden/>
    <w:unhideWhenUsed/>
    <w:rsid w:val="00322CA4"/>
    <w:rPr>
      <w:color w:val="605E5C"/>
      <w:shd w:val="clear" w:color="auto" w:fill="E1DFDD"/>
    </w:rPr>
  </w:style>
  <w:style w:type="paragraph" w:styleId="Header">
    <w:name w:val="header"/>
    <w:basedOn w:val="Normal"/>
    <w:link w:val="HeaderChar"/>
    <w:uiPriority w:val="99"/>
    <w:unhideWhenUsed/>
    <w:rsid w:val="0056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53"/>
    <w:rPr>
      <w:sz w:val="22"/>
      <w:szCs w:val="22"/>
      <w:lang w:val="en-US" w:eastAsia="en-US"/>
    </w:rPr>
  </w:style>
  <w:style w:type="paragraph" w:styleId="Footer">
    <w:name w:val="footer"/>
    <w:basedOn w:val="Normal"/>
    <w:link w:val="FooterChar"/>
    <w:uiPriority w:val="99"/>
    <w:unhideWhenUsed/>
    <w:rsid w:val="0056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5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hepatitis-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ropmedhealth.biomedcentral.com/articles/10.1186/s41182-018-0114-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journals.org/ijepr/vol10-issue-3-2022/prevalence-of-tuberculosis-and-compliance-to-treatment-from-2010-2020-in-rivers-state-southsouth-niger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3142</Words>
  <Characters>17916</Characters>
  <Application>Microsoft Office Word</Application>
  <DocSecurity>0</DocSecurity>
  <Lines>149</Lines>
  <Paragraphs>42</Paragraphs>
  <ScaleCrop>false</ScaleCrop>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2024-12-24T13:07:00Z</dcterms:created>
  <dcterms:modified xsi:type="dcterms:W3CDTF">2025-01-24T12:28:00Z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47fa286d2261cada2346b7289c02fb4412a87df7ade30b36495c7350c46f1660</vt:lpwstr>
  </property>
  <property fmtid="{D5CDD505-2E9C-101B-9397-08002B2CF9AE}" pid="3" name="KSOProductBuildVer">
    <vt:lpwstr>1033-12.2.0.18607</vt:lpwstr>
  </property>
  <property fmtid="{D5CDD505-2E9C-101B-9397-08002B2CF9AE}" pid="4" name="ICV">
    <vt:lpwstr>6BEFDC61EE054DA0BD454584C8B9E236_12</vt:lpwstr>
  </property>
</Properties>
</file>