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AC51F" w14:textId="77777777" w:rsidR="00754C9A" w:rsidRDefault="00754C9A" w:rsidP="00441B6F">
      <w:pPr>
        <w:pStyle w:val="Title"/>
        <w:spacing w:after="0"/>
        <w:jc w:val="both"/>
        <w:rPr>
          <w:rFonts w:ascii="Arial" w:hAnsi="Arial" w:cs="Arial"/>
        </w:rPr>
      </w:pPr>
    </w:p>
    <w:p w14:paraId="4955E1E7" w14:textId="77777777" w:rsidR="00003311" w:rsidRPr="00003311" w:rsidRDefault="00003311" w:rsidP="00003311">
      <w:pPr>
        <w:pStyle w:val="Author"/>
        <w:rPr>
          <w:rFonts w:ascii="Arial" w:hAnsi="Arial" w:cs="Arial"/>
          <w:bCs/>
          <w:i/>
          <w:iCs/>
          <w:kern w:val="28"/>
          <w:sz w:val="18"/>
          <w:szCs w:val="18"/>
          <w:u w:val="single"/>
        </w:rPr>
      </w:pPr>
      <w:r w:rsidRPr="00003311">
        <w:rPr>
          <w:rFonts w:ascii="Arial" w:hAnsi="Arial" w:cs="Arial"/>
          <w:bCs/>
          <w:i/>
          <w:iCs/>
          <w:kern w:val="28"/>
          <w:sz w:val="18"/>
          <w:szCs w:val="18"/>
          <w:u w:val="single"/>
        </w:rPr>
        <w:t xml:space="preserve">Case report </w:t>
      </w:r>
    </w:p>
    <w:p w14:paraId="4A48FAD2" w14:textId="77777777" w:rsidR="00A258C3" w:rsidRPr="00790ADA" w:rsidRDefault="00D05083" w:rsidP="00D05083">
      <w:pPr>
        <w:pStyle w:val="Author"/>
        <w:spacing w:line="240" w:lineRule="auto"/>
        <w:rPr>
          <w:rFonts w:ascii="Arial" w:hAnsi="Arial" w:cs="Arial"/>
          <w:sz w:val="36"/>
        </w:rPr>
      </w:pPr>
      <w:proofErr w:type="spellStart"/>
      <w:r w:rsidRPr="00D05083">
        <w:rPr>
          <w:rFonts w:ascii="Arial" w:hAnsi="Arial" w:cs="Arial"/>
          <w:bCs/>
          <w:iCs/>
          <w:kern w:val="28"/>
          <w:sz w:val="36"/>
        </w:rPr>
        <w:t>Sporotrichoid</w:t>
      </w:r>
      <w:proofErr w:type="spellEnd"/>
      <w:r w:rsidRPr="00D05083">
        <w:rPr>
          <w:rFonts w:ascii="Arial" w:hAnsi="Arial" w:cs="Arial"/>
          <w:bCs/>
          <w:iCs/>
          <w:kern w:val="28"/>
          <w:sz w:val="36"/>
        </w:rPr>
        <w:t xml:space="preserve"> Tuberculosis Verrucosa Cutis: Clinical and Dermoscopic Insights</w:t>
      </w:r>
    </w:p>
    <w:p w14:paraId="4BD3E5B7" w14:textId="77777777" w:rsidR="00391D73" w:rsidRDefault="00391D73" w:rsidP="00391D73">
      <w:pPr>
        <w:pStyle w:val="ListParagraph"/>
        <w:rPr>
          <w:rFonts w:cstheme="minorHAnsi"/>
          <w:lang w:val="fr-MA"/>
        </w:rPr>
      </w:pPr>
    </w:p>
    <w:p w14:paraId="1B1675AA" w14:textId="77777777" w:rsidR="00C64E26" w:rsidRDefault="00C64E26" w:rsidP="00391D73">
      <w:pPr>
        <w:pStyle w:val="ListParagraph"/>
        <w:rPr>
          <w:rFonts w:cstheme="minorHAnsi"/>
          <w:lang w:val="fr-MA"/>
        </w:rPr>
      </w:pPr>
    </w:p>
    <w:p w14:paraId="495F860B" w14:textId="77777777" w:rsidR="00C64E26" w:rsidRDefault="00C64E26" w:rsidP="00391D73">
      <w:pPr>
        <w:pStyle w:val="ListParagraph"/>
        <w:rPr>
          <w:rFonts w:cstheme="minorHAnsi"/>
          <w:lang w:val="fr-MA"/>
        </w:rPr>
      </w:pPr>
    </w:p>
    <w:p w14:paraId="318FA40C" w14:textId="77777777" w:rsidR="00C64E26" w:rsidRDefault="00C64E26" w:rsidP="00391D73">
      <w:pPr>
        <w:pStyle w:val="ListParagraph"/>
        <w:rPr>
          <w:rFonts w:cstheme="minorHAnsi"/>
          <w:lang w:val="fr-MA"/>
        </w:rPr>
      </w:pPr>
    </w:p>
    <w:p w14:paraId="6A09B4AF" w14:textId="77777777" w:rsidR="00C64E26" w:rsidRDefault="00C64E26" w:rsidP="00391D73">
      <w:pPr>
        <w:pStyle w:val="ListParagraph"/>
        <w:rPr>
          <w:rFonts w:cstheme="minorHAnsi"/>
          <w:lang w:val="fr-MA"/>
        </w:rPr>
      </w:pPr>
    </w:p>
    <w:p w14:paraId="02123097" w14:textId="77777777" w:rsidR="00C64E26" w:rsidRPr="001A5C84" w:rsidRDefault="00C64E26" w:rsidP="00391D73">
      <w:pPr>
        <w:pStyle w:val="ListParagraph"/>
        <w:rPr>
          <w:rFonts w:cstheme="minorHAnsi"/>
          <w:lang w:val="fr-MA"/>
        </w:rPr>
      </w:pPr>
    </w:p>
    <w:p w14:paraId="2A2B1DC3" w14:textId="77777777" w:rsidR="00B024A2" w:rsidRDefault="00B024A2" w:rsidP="00D05083">
      <w:pPr>
        <w:pStyle w:val="Affiliation"/>
        <w:spacing w:after="0" w:line="240" w:lineRule="auto"/>
        <w:rPr>
          <w:rFonts w:ascii="Times New Roman" w:hAnsi="Times New Roman"/>
          <w:lang w:eastAsia="fr-FR"/>
        </w:rPr>
      </w:pPr>
    </w:p>
    <w:p w14:paraId="5148DD00" w14:textId="77777777" w:rsidR="00D05083" w:rsidRDefault="00D05083" w:rsidP="00441B6F">
      <w:pPr>
        <w:pStyle w:val="Copyright"/>
        <w:spacing w:after="0" w:line="240" w:lineRule="auto"/>
        <w:jc w:val="both"/>
        <w:rPr>
          <w:rFonts w:ascii="Arial" w:hAnsi="Arial" w:cs="Arial"/>
        </w:rPr>
      </w:pPr>
      <w:r>
        <w:rPr>
          <w:rFonts w:ascii="Arial" w:hAnsi="Arial" w:cs="Arial"/>
        </w:rPr>
        <w:t>`</w:t>
      </w:r>
    </w:p>
    <w:p w14:paraId="73532589" w14:textId="77777777" w:rsidR="00B01FCD" w:rsidRPr="00FB3A86" w:rsidRDefault="00000000" w:rsidP="00441B6F">
      <w:pPr>
        <w:pStyle w:val="Copyright"/>
        <w:spacing w:after="0" w:line="240" w:lineRule="auto"/>
        <w:jc w:val="both"/>
        <w:rPr>
          <w:rFonts w:ascii="Arial" w:hAnsi="Arial" w:cs="Arial"/>
        </w:rPr>
        <w:sectPr w:rsidR="00B01FCD" w:rsidRPr="00FB3A86" w:rsidSect="00C64E2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76C39AA">
          <v:shapetype id="_x0000_t32" coordsize="21600,21600" o:spt="32" o:oned="t" path="m,l21600,21600e" filled="f">
            <v:path arrowok="t" fillok="f" o:connecttype="none"/>
            <o:lock v:ext="edit" shapetype="t"/>
          </v:shapetype>
          <v:shape id="_x0000_s205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57D3DF1F"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62386E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7A1993B" w14:textId="77777777" w:rsidTr="001E44FE">
        <w:tc>
          <w:tcPr>
            <w:tcW w:w="9576" w:type="dxa"/>
            <w:shd w:val="clear" w:color="auto" w:fill="F2F2F2"/>
          </w:tcPr>
          <w:p w14:paraId="4BFAE8D7" w14:textId="77777777" w:rsidR="00BA1B01" w:rsidRPr="00287EE2" w:rsidRDefault="00BA1B01" w:rsidP="00441B6F">
            <w:pPr>
              <w:pStyle w:val="Body"/>
              <w:spacing w:after="0"/>
              <w:rPr>
                <w:rFonts w:ascii="Arial" w:eastAsia="Calibri" w:hAnsi="Arial" w:cs="Arial"/>
                <w:szCs w:val="22"/>
              </w:rPr>
            </w:pPr>
            <w:r w:rsidRPr="00287EE2">
              <w:rPr>
                <w:rFonts w:ascii="Arial" w:eastAsia="Calibri" w:hAnsi="Arial" w:cs="Arial"/>
                <w:b/>
                <w:szCs w:val="22"/>
              </w:rPr>
              <w:t xml:space="preserve">Aims: </w:t>
            </w:r>
            <w:r w:rsidR="00173BE6" w:rsidRPr="00287EE2">
              <w:rPr>
                <w:rFonts w:ascii="Arial" w:hAnsi="Arial" w:cs="Arial"/>
              </w:rPr>
              <w:t xml:space="preserve">We report a rare case of extensive tuberculosis verrucosa cutis (TBVC) with a sporotrichoid pattern, highlighting its dermoscopic features and diagnostic challenges. This case aims to raise awareness of atypical TBVC presentations and the potential value of </w:t>
            </w:r>
            <w:proofErr w:type="spellStart"/>
            <w:r w:rsidR="00173BE6" w:rsidRPr="00287EE2">
              <w:rPr>
                <w:rFonts w:ascii="Arial" w:hAnsi="Arial" w:cs="Arial"/>
              </w:rPr>
              <w:t>dermoscopy</w:t>
            </w:r>
            <w:proofErr w:type="spellEnd"/>
            <w:r w:rsidR="00173BE6" w:rsidRPr="00287EE2">
              <w:rPr>
                <w:rFonts w:ascii="Arial" w:hAnsi="Arial" w:cs="Arial"/>
              </w:rPr>
              <w:t xml:space="preserve"> in aiding diagnosis</w:t>
            </w:r>
            <w:r w:rsidRPr="00287EE2">
              <w:rPr>
                <w:rFonts w:ascii="Arial" w:eastAsia="Calibri" w:hAnsi="Arial" w:cs="Arial"/>
                <w:szCs w:val="22"/>
              </w:rPr>
              <w:t>.</w:t>
            </w:r>
          </w:p>
          <w:p w14:paraId="73C35E70" w14:textId="77777777" w:rsidR="00BA1B01" w:rsidRPr="00287EE2" w:rsidRDefault="00173BE6" w:rsidP="00441B6F">
            <w:pPr>
              <w:pStyle w:val="Body"/>
              <w:spacing w:after="0"/>
              <w:rPr>
                <w:rFonts w:ascii="Arial" w:eastAsia="Calibri" w:hAnsi="Arial" w:cs="Arial"/>
                <w:szCs w:val="22"/>
              </w:rPr>
            </w:pPr>
            <w:r w:rsidRPr="00287EE2">
              <w:rPr>
                <w:rFonts w:ascii="Arial" w:eastAsia="Calibri" w:hAnsi="Arial" w:cs="Arial"/>
                <w:b/>
                <w:szCs w:val="22"/>
              </w:rPr>
              <w:t>Presentation of Case</w:t>
            </w:r>
            <w:r w:rsidR="00BA1B01" w:rsidRPr="00287EE2">
              <w:rPr>
                <w:rFonts w:ascii="Arial" w:eastAsia="Calibri" w:hAnsi="Arial" w:cs="Arial"/>
                <w:b/>
                <w:szCs w:val="22"/>
              </w:rPr>
              <w:t>:</w:t>
            </w:r>
            <w:r w:rsidR="00BA1B01" w:rsidRPr="00287EE2">
              <w:rPr>
                <w:rFonts w:ascii="Arial" w:eastAsia="Calibri" w:hAnsi="Arial" w:cs="Arial"/>
                <w:szCs w:val="22"/>
              </w:rPr>
              <w:t xml:space="preserve">  </w:t>
            </w:r>
            <w:r w:rsidR="00287EE2" w:rsidRPr="00287EE2">
              <w:rPr>
                <w:rFonts w:ascii="Arial" w:hAnsi="Arial" w:cs="Arial"/>
              </w:rPr>
              <w:t xml:space="preserve">An 89-year-old immunocompetent woman presented with an eight-month history of asymptomatic verrucous plaques and nodules on the lower limbs in a sporotrichoid pattern, associated with an exudative lesion on the left ear. </w:t>
            </w:r>
            <w:proofErr w:type="spellStart"/>
            <w:r w:rsidR="00287EE2" w:rsidRPr="00287EE2">
              <w:rPr>
                <w:rFonts w:ascii="Arial" w:hAnsi="Arial" w:cs="Arial"/>
              </w:rPr>
              <w:t>Dermoscopy</w:t>
            </w:r>
            <w:proofErr w:type="spellEnd"/>
            <w:r w:rsidR="00287EE2" w:rsidRPr="00287EE2">
              <w:rPr>
                <w:rFonts w:ascii="Arial" w:hAnsi="Arial" w:cs="Arial"/>
              </w:rPr>
              <w:t xml:space="preserve"> revealed papillated surfaces, linear vessels, brown and red-orange structureless areas, chrysalides, and whitish scales. Histopathology showed granulomatous inflammation with caseous necrosis. Tuberculin skin test and interferon-gamma release assay were positive. Chest CT revealed cavitary pulmonary tuberculosis. A diagnosis of multifocal TBVC was made. The patient was treated with a six-month course of rifampicin, isoniazid, pyrazinamide, and ethambutol, leading to complete resolution of skin lesions.</w:t>
            </w:r>
          </w:p>
          <w:p w14:paraId="290AE2D4" w14:textId="77777777" w:rsidR="00BA1B01" w:rsidRPr="00287EE2" w:rsidRDefault="00173BE6" w:rsidP="00441B6F">
            <w:pPr>
              <w:pStyle w:val="Body"/>
              <w:spacing w:after="0"/>
              <w:rPr>
                <w:rFonts w:ascii="Arial" w:eastAsia="Calibri" w:hAnsi="Arial" w:cs="Arial"/>
                <w:b/>
                <w:bCs/>
                <w:szCs w:val="22"/>
              </w:rPr>
            </w:pPr>
            <w:r w:rsidRPr="00287EE2">
              <w:rPr>
                <w:rFonts w:ascii="Arial" w:eastAsia="Calibri" w:hAnsi="Arial" w:cs="Arial"/>
                <w:b/>
                <w:bCs/>
                <w:szCs w:val="22"/>
              </w:rPr>
              <w:t>Discussion</w:t>
            </w:r>
            <w:r w:rsidR="00BA1B01" w:rsidRPr="00287EE2">
              <w:rPr>
                <w:rFonts w:ascii="Arial" w:eastAsia="Calibri" w:hAnsi="Arial" w:cs="Arial"/>
                <w:b/>
                <w:bCs/>
                <w:szCs w:val="22"/>
              </w:rPr>
              <w:t>:</w:t>
            </w:r>
            <w:r w:rsidR="00BA1B01" w:rsidRPr="00287EE2">
              <w:rPr>
                <w:rFonts w:ascii="Arial" w:eastAsia="Calibri" w:hAnsi="Arial" w:cs="Arial"/>
                <w:szCs w:val="22"/>
              </w:rPr>
              <w:t xml:space="preserve"> </w:t>
            </w:r>
            <w:r w:rsidR="00287EE2" w:rsidRPr="00287EE2">
              <w:rPr>
                <w:rFonts w:ascii="Arial" w:hAnsi="Arial" w:cs="Arial"/>
              </w:rPr>
              <w:t xml:space="preserve">TBVC is a rare form of cutaneous tuberculosis, typically presenting as a solitary lesion. Sporotrichoid and multifocal patterns are exceptional. </w:t>
            </w:r>
            <w:proofErr w:type="spellStart"/>
            <w:r w:rsidR="00287EE2" w:rsidRPr="00287EE2">
              <w:rPr>
                <w:rFonts w:ascii="Arial" w:hAnsi="Arial" w:cs="Arial"/>
              </w:rPr>
              <w:t>Dermoscopy</w:t>
            </w:r>
            <w:proofErr w:type="spellEnd"/>
            <w:r w:rsidR="00287EE2" w:rsidRPr="00287EE2">
              <w:rPr>
                <w:rFonts w:ascii="Arial" w:hAnsi="Arial" w:cs="Arial"/>
              </w:rPr>
              <w:t xml:space="preserve"> may assist in differentiating TBVC from other infectious or inflammatory dermatoses. Diagnosis remains challenging due to negative microbiological results in most cases, making </w:t>
            </w:r>
            <w:proofErr w:type="spellStart"/>
            <w:r w:rsidR="00287EE2" w:rsidRPr="00287EE2">
              <w:rPr>
                <w:rFonts w:ascii="Arial" w:hAnsi="Arial" w:cs="Arial"/>
              </w:rPr>
              <w:t>clinico</w:t>
            </w:r>
            <w:proofErr w:type="spellEnd"/>
            <w:r w:rsidR="00287EE2" w:rsidRPr="00287EE2">
              <w:rPr>
                <w:rFonts w:ascii="Arial" w:hAnsi="Arial" w:cs="Arial"/>
              </w:rPr>
              <w:t>-pathological correlation essential.</w:t>
            </w:r>
          </w:p>
          <w:p w14:paraId="21ACA779" w14:textId="77777777" w:rsidR="00505F06" w:rsidRPr="00BA1B01" w:rsidRDefault="00BA1B01" w:rsidP="00441B6F">
            <w:pPr>
              <w:pStyle w:val="Body"/>
              <w:spacing w:after="0"/>
              <w:rPr>
                <w:rFonts w:ascii="Arial" w:eastAsia="Calibri" w:hAnsi="Arial" w:cs="Arial"/>
                <w:szCs w:val="22"/>
              </w:rPr>
            </w:pPr>
            <w:r w:rsidRPr="00287EE2">
              <w:rPr>
                <w:rFonts w:ascii="Arial" w:eastAsia="Calibri" w:hAnsi="Arial" w:cs="Arial"/>
                <w:b/>
                <w:bCs/>
                <w:szCs w:val="22"/>
              </w:rPr>
              <w:t>Conclusion:</w:t>
            </w:r>
            <w:r w:rsidRPr="00287EE2">
              <w:rPr>
                <w:rFonts w:ascii="Arial" w:eastAsia="Calibri" w:hAnsi="Arial" w:cs="Arial"/>
                <w:szCs w:val="22"/>
              </w:rPr>
              <w:t xml:space="preserve"> </w:t>
            </w:r>
            <w:r w:rsidR="00287EE2" w:rsidRPr="00287EE2">
              <w:rPr>
                <w:rFonts w:ascii="Arial" w:hAnsi="Arial" w:cs="Arial"/>
              </w:rPr>
              <w:t xml:space="preserve">This case illustrates an unusual extensive presentation of TBVC with characteristic dermoscopic features. </w:t>
            </w:r>
            <w:proofErr w:type="spellStart"/>
            <w:r w:rsidR="00287EE2" w:rsidRPr="00287EE2">
              <w:rPr>
                <w:rFonts w:ascii="Arial" w:hAnsi="Arial" w:cs="Arial"/>
              </w:rPr>
              <w:t>Dermoscopy</w:t>
            </w:r>
            <w:proofErr w:type="spellEnd"/>
            <w:r w:rsidR="00287EE2" w:rsidRPr="00287EE2">
              <w:rPr>
                <w:rFonts w:ascii="Arial" w:hAnsi="Arial" w:cs="Arial"/>
              </w:rPr>
              <w:t xml:space="preserve"> can support early diagnosis, especially in endemic areas, allowing timely treatment and preventing complications.</w:t>
            </w:r>
          </w:p>
        </w:tc>
      </w:tr>
    </w:tbl>
    <w:p w14:paraId="0D806931" w14:textId="77777777" w:rsidR="00636EB2" w:rsidRDefault="00636EB2" w:rsidP="00441B6F">
      <w:pPr>
        <w:pStyle w:val="Body"/>
        <w:spacing w:after="0"/>
        <w:rPr>
          <w:rFonts w:ascii="Arial" w:hAnsi="Arial" w:cs="Arial"/>
          <w:i/>
        </w:rPr>
      </w:pPr>
    </w:p>
    <w:p w14:paraId="125040EA" w14:textId="77777777" w:rsidR="00505F06" w:rsidRPr="00D43144" w:rsidRDefault="00A24E7E" w:rsidP="00D43144">
      <w:pPr>
        <w:spacing w:before="100" w:beforeAutospacing="1" w:after="100" w:afterAutospacing="1"/>
        <w:jc w:val="both"/>
        <w:rPr>
          <w:rFonts w:ascii="Times New Roman" w:hAnsi="Times New Roman"/>
          <w:sz w:val="24"/>
          <w:szCs w:val="24"/>
          <w:lang w:eastAsia="fr-FR"/>
        </w:rPr>
      </w:pPr>
      <w:r>
        <w:rPr>
          <w:rFonts w:ascii="Arial" w:hAnsi="Arial" w:cs="Arial"/>
          <w:i/>
        </w:rPr>
        <w:t xml:space="preserve">Keywords: </w:t>
      </w:r>
      <w:r w:rsidR="00287EE2" w:rsidRPr="00287EE2">
        <w:rPr>
          <w:rFonts w:ascii="Arial" w:hAnsi="Arial" w:cs="Arial"/>
          <w:i/>
          <w:iCs/>
          <w:lang w:eastAsia="fr-FR"/>
        </w:rPr>
        <w:t xml:space="preserve">Tuberculosis verrucosa cutis, Cutaneous tuberculosis, </w:t>
      </w:r>
      <w:proofErr w:type="spellStart"/>
      <w:r w:rsidR="00287EE2" w:rsidRPr="00287EE2">
        <w:rPr>
          <w:rFonts w:ascii="Arial" w:hAnsi="Arial" w:cs="Arial"/>
          <w:i/>
          <w:iCs/>
          <w:lang w:eastAsia="fr-FR"/>
        </w:rPr>
        <w:t>Sporotrichoid</w:t>
      </w:r>
      <w:proofErr w:type="spellEnd"/>
      <w:r w:rsidR="00287EE2" w:rsidRPr="00287EE2">
        <w:rPr>
          <w:rFonts w:ascii="Arial" w:hAnsi="Arial" w:cs="Arial"/>
          <w:i/>
          <w:iCs/>
          <w:lang w:eastAsia="fr-FR"/>
        </w:rPr>
        <w:t xml:space="preserve"> pattern, </w:t>
      </w:r>
      <w:proofErr w:type="spellStart"/>
      <w:r w:rsidR="00287EE2" w:rsidRPr="00287EE2">
        <w:rPr>
          <w:rFonts w:ascii="Arial" w:hAnsi="Arial" w:cs="Arial"/>
          <w:i/>
          <w:iCs/>
          <w:lang w:eastAsia="fr-FR"/>
        </w:rPr>
        <w:t>Dermoscopy</w:t>
      </w:r>
      <w:proofErr w:type="spellEnd"/>
      <w:r w:rsidR="00287EE2" w:rsidRPr="00287EE2">
        <w:rPr>
          <w:rFonts w:ascii="Arial" w:hAnsi="Arial" w:cs="Arial"/>
          <w:i/>
          <w:iCs/>
          <w:lang w:eastAsia="fr-FR"/>
        </w:rPr>
        <w:t>, Granulomatous dermatosis</w:t>
      </w:r>
    </w:p>
    <w:p w14:paraId="2BD708C2" w14:textId="77777777" w:rsidR="007F7B32" w:rsidRDefault="00902823" w:rsidP="00D43144">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377B358" w14:textId="77777777" w:rsidR="00287EE2" w:rsidRDefault="00287EE2" w:rsidP="00D43144">
      <w:pPr>
        <w:pStyle w:val="Body"/>
        <w:spacing w:after="0"/>
        <w:rPr>
          <w:rFonts w:ascii="Arial" w:eastAsia="Calibri" w:hAnsi="Arial" w:cs="Arial"/>
          <w:szCs w:val="22"/>
        </w:rPr>
      </w:pPr>
    </w:p>
    <w:p w14:paraId="52283200" w14:textId="77777777" w:rsidR="00400633" w:rsidRPr="00400633" w:rsidRDefault="0066510A" w:rsidP="00D43144">
      <w:pPr>
        <w:pStyle w:val="Body"/>
        <w:spacing w:after="0"/>
        <w:rPr>
          <w:rFonts w:ascii="Arial" w:hAnsi="Arial" w:cs="Arial"/>
        </w:rPr>
      </w:pPr>
      <w:r w:rsidRPr="00B95236">
        <w:rPr>
          <w:rFonts w:ascii="Arial" w:hAnsi="Arial" w:cs="Arial"/>
        </w:rPr>
        <w:t xml:space="preserve"> </w:t>
      </w:r>
      <w:r w:rsidR="00400633" w:rsidRPr="00400633">
        <w:rPr>
          <w:rFonts w:ascii="Arial" w:hAnsi="Arial" w:cs="Arial"/>
        </w:rPr>
        <w:t>Cutaneous tuberculosis is a rare form of Mycobacterium tuberculosis infection, accounting for about 2% of extrapulmonary tuberculosis cases (</w:t>
      </w:r>
      <w:proofErr w:type="spellStart"/>
      <w:r w:rsidR="00400633" w:rsidRPr="00400633">
        <w:rPr>
          <w:rFonts w:ascii="Arial" w:hAnsi="Arial" w:cs="Arial"/>
        </w:rPr>
        <w:t>Zinoune</w:t>
      </w:r>
      <w:proofErr w:type="spellEnd"/>
      <w:r w:rsidR="00400633" w:rsidRPr="00400633">
        <w:rPr>
          <w:rFonts w:ascii="Arial" w:hAnsi="Arial" w:cs="Arial"/>
        </w:rPr>
        <w:t xml:space="preserve"> et al., 2019). Tuberculosis verrucosa cutis (TBVC) is a particularly rare clinical variant, typically affecting immunocompetent individuals, and often misdiagnosed due to its variable presentation and paucibacillary nature. Diagnostic delay can increase the physical, emotional, and financial burden on patients, particularly those from disadvantaged backgrounds.</w:t>
      </w:r>
    </w:p>
    <w:p w14:paraId="6B130DBA" w14:textId="77777777" w:rsidR="00790ADA" w:rsidRPr="00FB3A86" w:rsidRDefault="00400633" w:rsidP="00D43144">
      <w:pPr>
        <w:pStyle w:val="Body"/>
        <w:spacing w:after="0"/>
        <w:rPr>
          <w:rFonts w:ascii="Arial" w:hAnsi="Arial" w:cs="Arial"/>
        </w:rPr>
      </w:pPr>
      <w:r w:rsidRPr="00400633">
        <w:rPr>
          <w:rFonts w:ascii="Arial" w:hAnsi="Arial" w:cs="Arial"/>
        </w:rPr>
        <w:t xml:space="preserve">This report highlights a rare case of extensive TBVC with an atypical sporotrichoid distribution and auricular involvement, describing its dermoscopic features that may aid diagnosis. </w:t>
      </w:r>
    </w:p>
    <w:p w14:paraId="55028FB5" w14:textId="77777777" w:rsidR="00732965" w:rsidRDefault="00732965" w:rsidP="00D43144">
      <w:pPr>
        <w:pStyle w:val="AbstHead"/>
        <w:spacing w:after="0"/>
        <w:rPr>
          <w:rFonts w:ascii="Arial" w:hAnsi="Arial" w:cs="Arial"/>
        </w:rPr>
      </w:pPr>
    </w:p>
    <w:p w14:paraId="5E4FE566" w14:textId="77777777" w:rsidR="00790ADA" w:rsidRDefault="00902823" w:rsidP="00D43144">
      <w:pPr>
        <w:pStyle w:val="AbstHead"/>
        <w:spacing w:after="0"/>
        <w:rPr>
          <w:rFonts w:ascii="Arial" w:hAnsi="Arial" w:cs="Arial"/>
        </w:rPr>
      </w:pPr>
      <w:r>
        <w:rPr>
          <w:rFonts w:ascii="Arial" w:hAnsi="Arial" w:cs="Arial"/>
        </w:rPr>
        <w:t xml:space="preserve">2. </w:t>
      </w:r>
      <w:r w:rsidR="00287EE2" w:rsidRPr="00BB1F33">
        <w:rPr>
          <w:rFonts w:ascii="Arial" w:hAnsi="Arial" w:cs="Arial"/>
          <w:iCs/>
          <w:szCs w:val="22"/>
        </w:rPr>
        <w:t>Presentation of Case</w:t>
      </w:r>
      <w:r w:rsidR="00287EE2">
        <w:rPr>
          <w:rFonts w:ascii="Arial" w:hAnsi="Arial" w:cs="Arial"/>
        </w:rPr>
        <w:t xml:space="preserve"> </w:t>
      </w:r>
    </w:p>
    <w:p w14:paraId="3A20614E" w14:textId="77777777" w:rsidR="00732965" w:rsidRPr="00FB3A86" w:rsidRDefault="00732965" w:rsidP="00D43144">
      <w:pPr>
        <w:pStyle w:val="AbstHead"/>
        <w:spacing w:after="0"/>
        <w:rPr>
          <w:rFonts w:ascii="Arial" w:hAnsi="Arial" w:cs="Arial"/>
        </w:rPr>
      </w:pPr>
    </w:p>
    <w:p w14:paraId="0741D2B8" w14:textId="77777777" w:rsidR="007B13CB" w:rsidRPr="007B13CB" w:rsidRDefault="007B13CB" w:rsidP="00D43144">
      <w:pPr>
        <w:pStyle w:val="Body"/>
        <w:spacing w:after="0"/>
        <w:rPr>
          <w:rFonts w:ascii="Arial" w:hAnsi="Arial" w:cs="Arial"/>
        </w:rPr>
      </w:pPr>
      <w:r w:rsidRPr="007B13CB">
        <w:rPr>
          <w:rFonts w:ascii="Arial" w:hAnsi="Arial" w:cs="Arial"/>
        </w:rPr>
        <w:t>An 89-year-old woman presented with asymptomatic skin lesions on the lower limbs evolving over eight months, associated with asthenia and significant weight loss. She had previously received anti-staphylococcal antibiotics without improvement. The patient had no history of diabetes or immunosuppressive therapy. However, her nephew had been treated for pulmonary tuberculosis ten years prior.</w:t>
      </w:r>
    </w:p>
    <w:p w14:paraId="033D871B" w14:textId="77777777" w:rsidR="00BB1F33" w:rsidRDefault="007B13CB" w:rsidP="00D43144">
      <w:pPr>
        <w:pStyle w:val="Body"/>
        <w:spacing w:after="0"/>
        <w:rPr>
          <w:rFonts w:ascii="Arial" w:hAnsi="Arial" w:cs="Arial"/>
        </w:rPr>
      </w:pPr>
      <w:r w:rsidRPr="007B13CB">
        <w:rPr>
          <w:rFonts w:ascii="Arial" w:hAnsi="Arial" w:cs="Arial"/>
        </w:rPr>
        <w:t>Dermatological examination revealed multiple vegetative plaques and nodules of varying sizes with a verrucous surface, an infiltrated base, and a firm consistency distributed along the lower limbs in a sporotrichoid pattern. Additionally, an exudative erythematous and crusted plaque was observed on the left ear</w:t>
      </w:r>
      <w:r w:rsidR="00BB1F33" w:rsidRPr="00BB1F33">
        <w:rPr>
          <w:rFonts w:ascii="Arial" w:hAnsi="Arial" w:cs="Arial"/>
        </w:rPr>
        <w:t xml:space="preserve"> (Fig</w:t>
      </w:r>
      <w:r w:rsidR="00BB1F33">
        <w:rPr>
          <w:rFonts w:ascii="Arial" w:hAnsi="Arial" w:cs="Arial"/>
        </w:rPr>
        <w:t>.</w:t>
      </w:r>
      <w:r w:rsidR="00BB1F33" w:rsidRPr="00BB1F33">
        <w:rPr>
          <w:rFonts w:ascii="Arial" w:hAnsi="Arial" w:cs="Arial"/>
        </w:rPr>
        <w:t>1).</w:t>
      </w:r>
    </w:p>
    <w:p w14:paraId="6A74DB5E" w14:textId="77777777" w:rsidR="00732965" w:rsidRDefault="00732965" w:rsidP="00D43144">
      <w:pPr>
        <w:pStyle w:val="Body"/>
        <w:spacing w:after="0"/>
        <w:rPr>
          <w:rFonts w:ascii="Arial" w:hAnsi="Arial" w:cs="Arial"/>
        </w:rPr>
      </w:pPr>
    </w:p>
    <w:p w14:paraId="201086B6" w14:textId="77777777" w:rsidR="00BB1F33" w:rsidRDefault="00BB1F33" w:rsidP="00D43144">
      <w:pPr>
        <w:pStyle w:val="Body"/>
        <w:spacing w:after="0"/>
        <w:jc w:val="center"/>
        <w:rPr>
          <w:rFonts w:ascii="Arial" w:hAnsi="Arial" w:cs="Arial"/>
        </w:rPr>
      </w:pPr>
      <w:r>
        <w:rPr>
          <w:rFonts w:ascii="Arial" w:hAnsi="Arial" w:cs="Arial"/>
          <w:noProof/>
        </w:rPr>
        <w:drawing>
          <wp:inline distT="0" distB="0" distL="0" distR="0" wp14:anchorId="0DED21B4" wp14:editId="5D329C14">
            <wp:extent cx="4910155" cy="1806612"/>
            <wp:effectExtent l="0" t="0" r="0" b="0"/>
            <wp:docPr id="14563580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58072" name="Image 145635807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17386" cy="1809273"/>
                    </a:xfrm>
                    <a:prstGeom prst="rect">
                      <a:avLst/>
                    </a:prstGeom>
                  </pic:spPr>
                </pic:pic>
              </a:graphicData>
            </a:graphic>
          </wp:inline>
        </w:drawing>
      </w:r>
    </w:p>
    <w:p w14:paraId="350CAB44" w14:textId="77777777" w:rsidR="00BB1F33" w:rsidRPr="00BB1F33" w:rsidRDefault="00BB1F33" w:rsidP="00D43144">
      <w:pPr>
        <w:pStyle w:val="NormalWeb"/>
        <w:spacing w:before="0" w:beforeAutospacing="0" w:after="0" w:afterAutospacing="0"/>
        <w:jc w:val="both"/>
        <w:rPr>
          <w:rFonts w:ascii="Arial" w:hAnsi="Arial" w:cs="Arial"/>
          <w:b/>
          <w:bCs/>
          <w:sz w:val="20"/>
          <w:szCs w:val="20"/>
          <w:lang w:val="en-US"/>
        </w:rPr>
      </w:pPr>
      <w:r w:rsidRPr="00BB1F33">
        <w:rPr>
          <w:rStyle w:val="Strong"/>
          <w:rFonts w:ascii="Arial" w:hAnsi="Arial" w:cs="Arial"/>
          <w:sz w:val="20"/>
          <w:szCs w:val="20"/>
          <w:lang w:val="en-US"/>
        </w:rPr>
        <w:t>Fig. 1.</w:t>
      </w:r>
      <w:r w:rsidRPr="00BB1F33">
        <w:rPr>
          <w:rFonts w:ascii="Arial" w:hAnsi="Arial" w:cs="Arial"/>
          <w:b/>
          <w:bCs/>
          <w:sz w:val="20"/>
          <w:szCs w:val="20"/>
          <w:lang w:val="en-US"/>
        </w:rPr>
        <w:t xml:space="preserve"> Clinical presentation showing verrucous plaques and nodules with a sporotrichoid pattern along the lower limb (A), as well as an erythematous, crusted lesion on the left ear (B).</w:t>
      </w:r>
    </w:p>
    <w:p w14:paraId="42131D8E" w14:textId="77777777" w:rsidR="00BB1F33" w:rsidRPr="00BB1F33" w:rsidRDefault="00BB1F33" w:rsidP="00D43144">
      <w:pPr>
        <w:pStyle w:val="Body"/>
        <w:spacing w:after="0"/>
        <w:rPr>
          <w:rFonts w:ascii="Arial" w:hAnsi="Arial" w:cs="Arial"/>
        </w:rPr>
      </w:pPr>
    </w:p>
    <w:p w14:paraId="72619FDB" w14:textId="77777777" w:rsidR="00BB1F33" w:rsidRDefault="007B13CB" w:rsidP="00D43144">
      <w:pPr>
        <w:pStyle w:val="Body"/>
        <w:spacing w:after="0"/>
        <w:rPr>
          <w:rFonts w:ascii="Arial" w:hAnsi="Arial" w:cs="Arial"/>
        </w:rPr>
      </w:pPr>
      <w:proofErr w:type="spellStart"/>
      <w:r w:rsidRPr="007B13CB">
        <w:rPr>
          <w:rFonts w:ascii="Arial" w:hAnsi="Arial" w:cs="Arial"/>
        </w:rPr>
        <w:t>Dermoscopy</w:t>
      </w:r>
      <w:proofErr w:type="spellEnd"/>
      <w:r w:rsidRPr="007B13CB">
        <w:rPr>
          <w:rFonts w:ascii="Arial" w:hAnsi="Arial" w:cs="Arial"/>
        </w:rPr>
        <w:t xml:space="preserve"> of the lower limb lesions showed a papillated surface with irregularly dilated vessels within the papillae, brown areas, chrysalides, and red-orange globular and structureless areas. </w:t>
      </w:r>
      <w:proofErr w:type="spellStart"/>
      <w:r w:rsidRPr="007B13CB">
        <w:rPr>
          <w:rFonts w:ascii="Arial" w:hAnsi="Arial" w:cs="Arial"/>
        </w:rPr>
        <w:t>Dermoscopy</w:t>
      </w:r>
      <w:proofErr w:type="spellEnd"/>
      <w:r w:rsidRPr="007B13CB">
        <w:rPr>
          <w:rFonts w:ascii="Arial" w:hAnsi="Arial" w:cs="Arial"/>
        </w:rPr>
        <w:t xml:space="preserve"> of the ear lesion revealed a red-orange background, linear vessels, shiny white streaks, and yellowish-white scales</w:t>
      </w:r>
      <w:r w:rsidR="00BB1F33" w:rsidRPr="00BB1F33">
        <w:rPr>
          <w:rFonts w:ascii="Arial" w:hAnsi="Arial" w:cs="Arial"/>
        </w:rPr>
        <w:t xml:space="preserve"> (Fig</w:t>
      </w:r>
      <w:r w:rsidR="00BB1F33">
        <w:rPr>
          <w:rFonts w:ascii="Arial" w:hAnsi="Arial" w:cs="Arial"/>
        </w:rPr>
        <w:t>. 2</w:t>
      </w:r>
      <w:r w:rsidR="00BB1F33" w:rsidRPr="00BB1F33">
        <w:rPr>
          <w:rFonts w:ascii="Arial" w:hAnsi="Arial" w:cs="Arial"/>
        </w:rPr>
        <w:t>).</w:t>
      </w:r>
    </w:p>
    <w:p w14:paraId="263E9B82" w14:textId="77777777" w:rsidR="00732965" w:rsidRDefault="00732965" w:rsidP="00D43144">
      <w:pPr>
        <w:pStyle w:val="Body"/>
        <w:spacing w:after="0"/>
        <w:rPr>
          <w:rFonts w:ascii="Arial" w:hAnsi="Arial" w:cs="Arial"/>
        </w:rPr>
      </w:pPr>
    </w:p>
    <w:p w14:paraId="4AE082F2" w14:textId="77777777" w:rsidR="00BB1F33" w:rsidRDefault="00BB1F33" w:rsidP="00D43144">
      <w:pPr>
        <w:pStyle w:val="Body"/>
        <w:spacing w:after="0"/>
        <w:jc w:val="center"/>
        <w:rPr>
          <w:rFonts w:ascii="Arial" w:hAnsi="Arial" w:cs="Arial"/>
        </w:rPr>
      </w:pPr>
      <w:r>
        <w:rPr>
          <w:rFonts w:ascii="Arial" w:hAnsi="Arial" w:cs="Arial"/>
          <w:noProof/>
        </w:rPr>
        <w:drawing>
          <wp:inline distT="0" distB="0" distL="0" distR="0" wp14:anchorId="799A931D" wp14:editId="3A0AB64C">
            <wp:extent cx="4606506" cy="2648404"/>
            <wp:effectExtent l="0" t="0" r="0" b="0"/>
            <wp:docPr id="176762472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624722" name="Image 176762472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74385" cy="2687430"/>
                    </a:xfrm>
                    <a:prstGeom prst="rect">
                      <a:avLst/>
                    </a:prstGeom>
                  </pic:spPr>
                </pic:pic>
              </a:graphicData>
            </a:graphic>
          </wp:inline>
        </w:drawing>
      </w:r>
    </w:p>
    <w:p w14:paraId="220C6B03" w14:textId="77777777" w:rsidR="00BB1F33" w:rsidRDefault="00BB1F33" w:rsidP="00D43144">
      <w:pPr>
        <w:pStyle w:val="NormalWeb"/>
        <w:spacing w:before="0" w:beforeAutospacing="0" w:after="0" w:afterAutospacing="0"/>
        <w:jc w:val="both"/>
        <w:rPr>
          <w:rFonts w:ascii="Arial" w:hAnsi="Arial" w:cs="Arial"/>
          <w:b/>
          <w:bCs/>
          <w:sz w:val="20"/>
          <w:szCs w:val="20"/>
          <w:lang w:val="en-US"/>
        </w:rPr>
      </w:pPr>
      <w:r>
        <w:rPr>
          <w:rFonts w:ascii="Arial" w:hAnsi="Arial" w:cs="Arial"/>
          <w:b/>
          <w:bCs/>
          <w:sz w:val="20"/>
          <w:szCs w:val="20"/>
          <w:lang w:val="en-US"/>
        </w:rPr>
        <w:t xml:space="preserve">Fig. 2. </w:t>
      </w:r>
      <w:proofErr w:type="spellStart"/>
      <w:r w:rsidRPr="00BB1F33">
        <w:rPr>
          <w:rFonts w:ascii="Arial" w:hAnsi="Arial" w:cs="Arial"/>
          <w:b/>
          <w:bCs/>
          <w:sz w:val="20"/>
          <w:szCs w:val="20"/>
          <w:lang w:val="en-US"/>
        </w:rPr>
        <w:t>Dermoscopy</w:t>
      </w:r>
      <w:proofErr w:type="spellEnd"/>
      <w:r w:rsidRPr="00BB1F33">
        <w:rPr>
          <w:rFonts w:ascii="Arial" w:hAnsi="Arial" w:cs="Arial"/>
          <w:b/>
          <w:bCs/>
          <w:sz w:val="20"/>
          <w:szCs w:val="20"/>
          <w:lang w:val="en-US"/>
        </w:rPr>
        <w:t xml:space="preserve"> of limb (A) and ear (B) lesions showing a papillated surface with dilated vessels within the papillae (red arrow), red-orange structureless globular structures (black arrows), brown areas (green arrow), white streaks (white arrows), linear tortuous vessels (blue arrows), yellow-whitish scales (yellow arrow), and a red-orange background (black asterisk).</w:t>
      </w:r>
    </w:p>
    <w:p w14:paraId="5172178C" w14:textId="77777777" w:rsidR="00732965" w:rsidRPr="00D43144" w:rsidRDefault="00732965" w:rsidP="00D43144">
      <w:pPr>
        <w:pStyle w:val="NormalWeb"/>
        <w:spacing w:before="0" w:beforeAutospacing="0" w:after="0" w:afterAutospacing="0"/>
        <w:jc w:val="both"/>
        <w:rPr>
          <w:rFonts w:ascii="Arial" w:hAnsi="Arial" w:cs="Arial"/>
          <w:b/>
          <w:bCs/>
          <w:sz w:val="20"/>
          <w:szCs w:val="20"/>
          <w:lang w:val="en-US"/>
        </w:rPr>
      </w:pPr>
    </w:p>
    <w:p w14:paraId="20FE3E50" w14:textId="77777777" w:rsidR="007B13CB" w:rsidRPr="007B13CB" w:rsidRDefault="007B13CB" w:rsidP="00D43144">
      <w:pPr>
        <w:pStyle w:val="Body"/>
        <w:spacing w:after="0"/>
        <w:rPr>
          <w:rFonts w:ascii="Arial" w:hAnsi="Arial" w:cs="Arial"/>
        </w:rPr>
      </w:pPr>
      <w:r w:rsidRPr="007B13CB">
        <w:rPr>
          <w:rFonts w:ascii="Arial" w:hAnsi="Arial" w:cs="Arial"/>
        </w:rPr>
        <w:t xml:space="preserve">Laboratory tests showed mild anemia (hemoglobin: 11.1 g/dL), an elevated erythrocyte sedimentation rate (55 mm/h), and normal C-reactive protein (2.8 mg/dL). HIV serology was negative. Skin smear for leishmaniasis and sputum testing for tuberculosis were negative, but the tuberculin skin test (TST) was </w:t>
      </w:r>
      <w:proofErr w:type="spellStart"/>
      <w:r w:rsidRPr="007B13CB">
        <w:rPr>
          <w:rFonts w:ascii="Arial" w:hAnsi="Arial" w:cs="Arial"/>
        </w:rPr>
        <w:t>phlyctenular</w:t>
      </w:r>
      <w:proofErr w:type="spellEnd"/>
      <w:r w:rsidRPr="007B13CB">
        <w:rPr>
          <w:rFonts w:ascii="Arial" w:hAnsi="Arial" w:cs="Arial"/>
        </w:rPr>
        <w:t>.</w:t>
      </w:r>
    </w:p>
    <w:p w14:paraId="54A93E7B" w14:textId="77777777" w:rsidR="007B13CB" w:rsidRPr="007B13CB" w:rsidRDefault="007B13CB" w:rsidP="00D43144">
      <w:pPr>
        <w:pStyle w:val="Body"/>
        <w:spacing w:after="0"/>
        <w:rPr>
          <w:rFonts w:ascii="Arial" w:hAnsi="Arial" w:cs="Arial"/>
        </w:rPr>
      </w:pPr>
      <w:r w:rsidRPr="007B13CB">
        <w:rPr>
          <w:rFonts w:ascii="Arial" w:hAnsi="Arial" w:cs="Arial"/>
        </w:rPr>
        <w:t>Two biopsies were performed from both limb and ear lesions. Bacteriological examination, including Ziehl-</w:t>
      </w:r>
      <w:proofErr w:type="spellStart"/>
      <w:r w:rsidRPr="007B13CB">
        <w:rPr>
          <w:rFonts w:ascii="Arial" w:hAnsi="Arial" w:cs="Arial"/>
        </w:rPr>
        <w:t>Neelsen</w:t>
      </w:r>
      <w:proofErr w:type="spellEnd"/>
      <w:r w:rsidRPr="007B13CB">
        <w:rPr>
          <w:rFonts w:ascii="Arial" w:hAnsi="Arial" w:cs="Arial"/>
        </w:rPr>
        <w:t xml:space="preserve"> staining, was negative. Direct mycological examination and culture were also negative. Histopathology revealed epithelioid and multinucleated giant cell granulomas with caseous necrosis, consistent with cutaneous tuberculosis. </w:t>
      </w:r>
      <w:r w:rsidRPr="007B13CB">
        <w:rPr>
          <w:rFonts w:ascii="Arial" w:hAnsi="Arial" w:cs="Arial"/>
        </w:rPr>
        <w:lastRenderedPageBreak/>
        <w:t>Interferon-gamma release assay (IGRA) testing was positive, and a full-body CT scan revealed cavitary lesions in the right upper lobe, consistent with pulmonary tuberculosis.</w:t>
      </w:r>
    </w:p>
    <w:p w14:paraId="7BCED018" w14:textId="77777777" w:rsidR="007B13CB" w:rsidRPr="007B13CB" w:rsidRDefault="007B13CB" w:rsidP="00D43144">
      <w:pPr>
        <w:pStyle w:val="Body"/>
        <w:spacing w:after="0"/>
        <w:rPr>
          <w:rFonts w:ascii="Arial" w:hAnsi="Arial" w:cs="Arial"/>
        </w:rPr>
      </w:pPr>
      <w:r w:rsidRPr="007B13CB">
        <w:rPr>
          <w:rFonts w:ascii="Arial" w:hAnsi="Arial" w:cs="Arial"/>
        </w:rPr>
        <w:t>Based on clinical, biological, radiological, and histopathological findings, a final diagnosis of multifocal tuberculosis was established, with pulmonary and cutaneous involvement in the form of extensive TBVC exhibiting a sporotrichoid pattern on the lower limbs and an exudative presentation on the left ear.</w:t>
      </w:r>
    </w:p>
    <w:p w14:paraId="481219A3" w14:textId="77777777" w:rsidR="00790ADA" w:rsidRDefault="007B13CB" w:rsidP="00D43144">
      <w:pPr>
        <w:pStyle w:val="Body"/>
        <w:spacing w:after="0"/>
        <w:rPr>
          <w:rFonts w:ascii="Arial" w:hAnsi="Arial" w:cs="Arial"/>
        </w:rPr>
      </w:pPr>
      <w:r w:rsidRPr="007B13CB">
        <w:rPr>
          <w:rFonts w:ascii="Arial" w:hAnsi="Arial" w:cs="Arial"/>
        </w:rPr>
        <w:t>The patient was treated with rifampicin (10 mg/kg/day), isoniazid (5 mg/kg/day), pyrazinamide (25 mg/kg/day), and ethambutol (10 mg/kg/day) for two months, followed by four months of rifampicin and isoniazid, resulting in complete resolution of lesions.</w:t>
      </w:r>
    </w:p>
    <w:p w14:paraId="796E51DC" w14:textId="77777777" w:rsidR="007B13CB" w:rsidRPr="00FB3A86" w:rsidRDefault="007B13CB" w:rsidP="00D43144">
      <w:pPr>
        <w:pStyle w:val="Body"/>
        <w:spacing w:after="0"/>
        <w:rPr>
          <w:rFonts w:ascii="Arial" w:hAnsi="Arial" w:cs="Arial"/>
        </w:rPr>
      </w:pPr>
    </w:p>
    <w:p w14:paraId="18476859" w14:textId="77777777" w:rsidR="00902823" w:rsidRDefault="00000F8F" w:rsidP="00D43144">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067AE8E4" w14:textId="77777777" w:rsidR="00790ADA" w:rsidRPr="00FB3A86" w:rsidRDefault="00790ADA" w:rsidP="00D43144">
      <w:pPr>
        <w:pStyle w:val="Head1"/>
        <w:spacing w:after="0"/>
        <w:jc w:val="both"/>
        <w:rPr>
          <w:rFonts w:ascii="Arial" w:hAnsi="Arial" w:cs="Arial"/>
        </w:rPr>
      </w:pPr>
    </w:p>
    <w:p w14:paraId="34451C0A" w14:textId="77777777" w:rsidR="007B13CB" w:rsidRPr="007B13CB" w:rsidRDefault="007B13CB" w:rsidP="00D43144">
      <w:pPr>
        <w:pStyle w:val="Body"/>
        <w:spacing w:after="0"/>
        <w:rPr>
          <w:rFonts w:ascii="Arial" w:hAnsi="Arial" w:cs="Arial"/>
        </w:rPr>
      </w:pPr>
      <w:r w:rsidRPr="007B13CB">
        <w:rPr>
          <w:rFonts w:ascii="Arial" w:hAnsi="Arial" w:cs="Arial"/>
        </w:rPr>
        <w:t>Tuberculosis remains endemic in many developing countries, including Morocco (</w:t>
      </w:r>
      <w:proofErr w:type="spellStart"/>
      <w:r w:rsidRPr="007B13CB">
        <w:rPr>
          <w:rFonts w:ascii="Arial" w:hAnsi="Arial" w:cs="Arial"/>
        </w:rPr>
        <w:t>Zinoune</w:t>
      </w:r>
      <w:proofErr w:type="spellEnd"/>
      <w:r w:rsidRPr="007B13CB">
        <w:rPr>
          <w:rFonts w:ascii="Arial" w:hAnsi="Arial" w:cs="Arial"/>
        </w:rPr>
        <w:t xml:space="preserve"> et al., 2019; </w:t>
      </w:r>
      <w:proofErr w:type="spellStart"/>
      <w:r w:rsidRPr="007B13CB">
        <w:rPr>
          <w:rFonts w:ascii="Arial" w:hAnsi="Arial" w:cs="Arial"/>
        </w:rPr>
        <w:t>Gallouj</w:t>
      </w:r>
      <w:proofErr w:type="spellEnd"/>
      <w:r w:rsidRPr="007B13CB">
        <w:rPr>
          <w:rFonts w:ascii="Arial" w:hAnsi="Arial" w:cs="Arial"/>
        </w:rPr>
        <w:t xml:space="preserve"> et al., 2011). Cutaneous involvement, however, is rare, primarily caused by Mycobacterium tuberculosis, less frequently by Mycobacterium </w:t>
      </w:r>
      <w:proofErr w:type="spellStart"/>
      <w:r w:rsidRPr="007B13CB">
        <w:rPr>
          <w:rFonts w:ascii="Arial" w:hAnsi="Arial" w:cs="Arial"/>
        </w:rPr>
        <w:t>bovis</w:t>
      </w:r>
      <w:proofErr w:type="spellEnd"/>
      <w:r w:rsidRPr="007B13CB">
        <w:rPr>
          <w:rFonts w:ascii="Arial" w:hAnsi="Arial" w:cs="Arial"/>
        </w:rPr>
        <w:t>, and rarely by bacillus Calmette-Guérin (BCG).</w:t>
      </w:r>
    </w:p>
    <w:p w14:paraId="5A5181B9" w14:textId="77777777" w:rsidR="007B13CB" w:rsidRPr="007B13CB" w:rsidRDefault="007B13CB" w:rsidP="00D43144">
      <w:pPr>
        <w:pStyle w:val="Body"/>
        <w:spacing w:after="0"/>
        <w:rPr>
          <w:rFonts w:ascii="Arial" w:hAnsi="Arial" w:cs="Arial"/>
        </w:rPr>
      </w:pPr>
      <w:r w:rsidRPr="007B13CB">
        <w:rPr>
          <w:rFonts w:ascii="Arial" w:hAnsi="Arial" w:cs="Arial"/>
        </w:rPr>
        <w:t xml:space="preserve">The clinical presentation of cutaneous tuberculosis is influenced by the host's immune status, bacterial virulence, and the mode of skin invasion (Pau et al., 2009). The most common forms include </w:t>
      </w:r>
      <w:proofErr w:type="spellStart"/>
      <w:r w:rsidRPr="007B13CB">
        <w:rPr>
          <w:rFonts w:ascii="Arial" w:hAnsi="Arial" w:cs="Arial"/>
        </w:rPr>
        <w:t>scrofuloderma</w:t>
      </w:r>
      <w:proofErr w:type="spellEnd"/>
      <w:r w:rsidRPr="007B13CB">
        <w:rPr>
          <w:rFonts w:ascii="Arial" w:hAnsi="Arial" w:cs="Arial"/>
        </w:rPr>
        <w:t xml:space="preserve">, </w:t>
      </w:r>
      <w:proofErr w:type="spellStart"/>
      <w:r w:rsidRPr="007B13CB">
        <w:rPr>
          <w:rFonts w:ascii="Arial" w:hAnsi="Arial" w:cs="Arial"/>
        </w:rPr>
        <w:t>gummatous</w:t>
      </w:r>
      <w:proofErr w:type="spellEnd"/>
      <w:r w:rsidRPr="007B13CB">
        <w:rPr>
          <w:rFonts w:ascii="Arial" w:hAnsi="Arial" w:cs="Arial"/>
        </w:rPr>
        <w:t xml:space="preserve"> tuberculosis, and lupus vulgaris (</w:t>
      </w:r>
      <w:proofErr w:type="spellStart"/>
      <w:r w:rsidRPr="007B13CB">
        <w:rPr>
          <w:rFonts w:ascii="Arial" w:hAnsi="Arial" w:cs="Arial"/>
        </w:rPr>
        <w:t>Gallouj</w:t>
      </w:r>
      <w:proofErr w:type="spellEnd"/>
      <w:r w:rsidRPr="007B13CB">
        <w:rPr>
          <w:rFonts w:ascii="Arial" w:hAnsi="Arial" w:cs="Arial"/>
        </w:rPr>
        <w:t xml:space="preserve"> et al., 2011; Pau et al., 2009; Ledesma et al., 2023).</w:t>
      </w:r>
    </w:p>
    <w:p w14:paraId="03EA8B19" w14:textId="77777777" w:rsidR="007B13CB" w:rsidRPr="007B13CB" w:rsidRDefault="007B13CB" w:rsidP="00D43144">
      <w:pPr>
        <w:pStyle w:val="Body"/>
        <w:spacing w:after="0"/>
        <w:rPr>
          <w:rFonts w:ascii="Arial" w:hAnsi="Arial" w:cs="Arial"/>
        </w:rPr>
      </w:pPr>
      <w:r w:rsidRPr="007B13CB">
        <w:rPr>
          <w:rFonts w:ascii="Arial" w:hAnsi="Arial" w:cs="Arial"/>
        </w:rPr>
        <w:t>Tuberculosis verrucosa cutis (TBVC), also known as warty tuberculosis, is an uncommon variant, often resulting from exogenous inoculation in immunocompetent individuals. Despite their intact immunity, some rare cases of multifocal TBVC with extra-cutaneous localizations, particularly pulmonary, have been reported. Our case represents one of these rare instances.</w:t>
      </w:r>
    </w:p>
    <w:p w14:paraId="57E6FF58" w14:textId="77777777" w:rsidR="007B13CB" w:rsidRPr="007B13CB" w:rsidRDefault="007B13CB" w:rsidP="00D43144">
      <w:pPr>
        <w:pStyle w:val="Body"/>
        <w:spacing w:after="0"/>
        <w:rPr>
          <w:rFonts w:ascii="Arial" w:hAnsi="Arial" w:cs="Arial"/>
        </w:rPr>
      </w:pPr>
      <w:r w:rsidRPr="007B13CB">
        <w:rPr>
          <w:rFonts w:ascii="Arial" w:hAnsi="Arial" w:cs="Arial"/>
        </w:rPr>
        <w:t>TBVC typically manifests as a solitary lesion, with extensive presentations being exceptionally rare, usually occurring in immunocompromised patients. Lesions commonly develop on trauma-exposed areas contaminated with infected sputum or other tuberculosis material. In Europe, the hands are predominantly affected, whereas in Asia and Africa, the lower limbs are more frequently involved (Reza et al., 2023).</w:t>
      </w:r>
    </w:p>
    <w:p w14:paraId="53DEB4D3" w14:textId="77777777" w:rsidR="007B13CB" w:rsidRPr="007B13CB" w:rsidRDefault="007B13CB" w:rsidP="00D43144">
      <w:pPr>
        <w:pStyle w:val="Body"/>
        <w:spacing w:after="0"/>
        <w:rPr>
          <w:rFonts w:ascii="Arial" w:hAnsi="Arial" w:cs="Arial"/>
        </w:rPr>
      </w:pPr>
      <w:r w:rsidRPr="007B13CB">
        <w:rPr>
          <w:rFonts w:ascii="Arial" w:hAnsi="Arial" w:cs="Arial"/>
        </w:rPr>
        <w:t xml:space="preserve">A sporotrichoid pattern, characterized by lesions arranged linearly along lymphatic vessels, is more commonly associated with sporotrichosis but has been reported in various forms of cutaneous tuberculosis, including </w:t>
      </w:r>
      <w:proofErr w:type="spellStart"/>
      <w:r w:rsidRPr="007B13CB">
        <w:rPr>
          <w:rFonts w:ascii="Arial" w:hAnsi="Arial" w:cs="Arial"/>
        </w:rPr>
        <w:t>gummas</w:t>
      </w:r>
      <w:proofErr w:type="spellEnd"/>
      <w:r w:rsidRPr="007B13CB">
        <w:rPr>
          <w:rFonts w:ascii="Arial" w:hAnsi="Arial" w:cs="Arial"/>
        </w:rPr>
        <w:t>, lupus vulgaris, and, rarely, TBVC. It is more prevalent in children and young adults due to efficient lymphatic drainage and increased trauma exposure, which was not the case in our patient (</w:t>
      </w:r>
      <w:proofErr w:type="spellStart"/>
      <w:r w:rsidRPr="007B13CB">
        <w:rPr>
          <w:rFonts w:ascii="Arial" w:hAnsi="Arial" w:cs="Arial"/>
        </w:rPr>
        <w:t>Azendour</w:t>
      </w:r>
      <w:proofErr w:type="spellEnd"/>
      <w:r w:rsidRPr="007B13CB">
        <w:rPr>
          <w:rFonts w:ascii="Arial" w:hAnsi="Arial" w:cs="Arial"/>
        </w:rPr>
        <w:t xml:space="preserve"> et al., 2021; Downey et al., 2015).</w:t>
      </w:r>
    </w:p>
    <w:p w14:paraId="21CBE509" w14:textId="77777777" w:rsidR="007B13CB" w:rsidRPr="007B13CB" w:rsidRDefault="007B13CB" w:rsidP="00D43144">
      <w:pPr>
        <w:pStyle w:val="Body"/>
        <w:spacing w:after="0"/>
        <w:rPr>
          <w:rFonts w:ascii="Arial" w:hAnsi="Arial" w:cs="Arial"/>
        </w:rPr>
      </w:pPr>
      <w:proofErr w:type="spellStart"/>
      <w:r w:rsidRPr="007B13CB">
        <w:rPr>
          <w:rFonts w:ascii="Arial" w:hAnsi="Arial" w:cs="Arial"/>
        </w:rPr>
        <w:t>Dermoscopy</w:t>
      </w:r>
      <w:proofErr w:type="spellEnd"/>
      <w:r w:rsidRPr="007B13CB">
        <w:rPr>
          <w:rFonts w:ascii="Arial" w:hAnsi="Arial" w:cs="Arial"/>
        </w:rPr>
        <w:t xml:space="preserve"> is a valuable tool for differentiating TBVC from its mimickers. To date, only seven cases of TBVC </w:t>
      </w:r>
      <w:proofErr w:type="spellStart"/>
      <w:r w:rsidRPr="007B13CB">
        <w:rPr>
          <w:rFonts w:ascii="Arial" w:hAnsi="Arial" w:cs="Arial"/>
        </w:rPr>
        <w:t>dermoscopy</w:t>
      </w:r>
      <w:proofErr w:type="spellEnd"/>
      <w:r w:rsidRPr="007B13CB">
        <w:rPr>
          <w:rFonts w:ascii="Arial" w:hAnsi="Arial" w:cs="Arial"/>
        </w:rPr>
        <w:t xml:space="preserve"> have been reported in the literature. Common features include a yellowish or reddish background, yellow-orange globular and structureless areas, a papillated surface with irregularly dilated vessels, dot, hairpin, and linear curved vessels, yellowish-white scales, hemorrhagic crusts, pigmented globules, brown areas, white structureless areas, and white streaks (Jindal et al., 2022; Jakhar et al., 2021; Prasanna et al., 2023; </w:t>
      </w:r>
      <w:proofErr w:type="spellStart"/>
      <w:r w:rsidRPr="007B13CB">
        <w:rPr>
          <w:rFonts w:ascii="Arial" w:hAnsi="Arial" w:cs="Arial"/>
        </w:rPr>
        <w:t>Septiafni</w:t>
      </w:r>
      <w:proofErr w:type="spellEnd"/>
      <w:r w:rsidRPr="007B13CB">
        <w:rPr>
          <w:rFonts w:ascii="Arial" w:hAnsi="Arial" w:cs="Arial"/>
        </w:rPr>
        <w:t xml:space="preserve"> et al., 2022). Our findings align with these descriptions.</w:t>
      </w:r>
    </w:p>
    <w:p w14:paraId="261E50B4" w14:textId="77777777" w:rsidR="00E053D0" w:rsidRDefault="007B13CB" w:rsidP="00D43144">
      <w:pPr>
        <w:pStyle w:val="Body"/>
        <w:spacing w:after="0"/>
        <w:rPr>
          <w:rFonts w:ascii="Arial" w:hAnsi="Arial" w:cs="Arial"/>
        </w:rPr>
      </w:pPr>
      <w:r w:rsidRPr="007B13CB">
        <w:rPr>
          <w:rFonts w:ascii="Arial" w:hAnsi="Arial" w:cs="Arial"/>
        </w:rPr>
        <w:t xml:space="preserve">Given its paucibacillary nature, confirming the diagnosis of TBVC can be challenging. Although TST is usually </w:t>
      </w:r>
      <w:proofErr w:type="spellStart"/>
      <w:r w:rsidRPr="007B13CB">
        <w:rPr>
          <w:rFonts w:ascii="Arial" w:hAnsi="Arial" w:cs="Arial"/>
        </w:rPr>
        <w:t>phlyctenular</w:t>
      </w:r>
      <w:proofErr w:type="spellEnd"/>
      <w:r w:rsidRPr="007B13CB">
        <w:rPr>
          <w:rFonts w:ascii="Arial" w:hAnsi="Arial" w:cs="Arial"/>
        </w:rPr>
        <w:t xml:space="preserve">, culture results are frequently negative, and PCR testing, although more sensitive, is not routinely performed in resource-limited settings (Weaver et al., 2023). Histopathology typically reveals tuberculoid granulomatous inflammation in the dermis, with epidermal hyperplasia (Reza et al., 2023). However, bacteriological isolation of M. tuberculosis in skin lesions is achieved in only about one-third of cases (Hadj et al., 2014). Consequently, diagnosis of TBVC usually relies on </w:t>
      </w:r>
      <w:proofErr w:type="spellStart"/>
      <w:r w:rsidRPr="007B13CB">
        <w:rPr>
          <w:rFonts w:ascii="Arial" w:hAnsi="Arial" w:cs="Arial"/>
        </w:rPr>
        <w:t>clinico</w:t>
      </w:r>
      <w:proofErr w:type="spellEnd"/>
      <w:r w:rsidRPr="007B13CB">
        <w:rPr>
          <w:rFonts w:ascii="Arial" w:hAnsi="Arial" w:cs="Arial"/>
        </w:rPr>
        <w:t xml:space="preserve">-pathological correlation and therapeutic response to antimycobacterial agents. </w:t>
      </w:r>
    </w:p>
    <w:p w14:paraId="740AD956" w14:textId="77777777" w:rsidR="00790ADA" w:rsidRPr="00FB3A86" w:rsidRDefault="00790ADA" w:rsidP="00D43144">
      <w:pPr>
        <w:pStyle w:val="Body"/>
        <w:spacing w:after="0"/>
        <w:rPr>
          <w:rFonts w:ascii="Arial" w:hAnsi="Arial" w:cs="Arial"/>
        </w:rPr>
      </w:pPr>
    </w:p>
    <w:p w14:paraId="5F40B12D" w14:textId="77777777" w:rsidR="00B01FCD" w:rsidRDefault="00000F8F" w:rsidP="00D43144">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FD9EBC8" w14:textId="77777777" w:rsidR="00790ADA" w:rsidRPr="00FB3A86" w:rsidRDefault="00790ADA" w:rsidP="00D43144">
      <w:pPr>
        <w:pStyle w:val="ConcHead"/>
        <w:spacing w:after="0"/>
        <w:jc w:val="both"/>
        <w:rPr>
          <w:rFonts w:ascii="Arial" w:hAnsi="Arial" w:cs="Arial"/>
        </w:rPr>
      </w:pPr>
    </w:p>
    <w:p w14:paraId="763728BA" w14:textId="77777777" w:rsidR="00790ADA" w:rsidRDefault="00FC1DAA" w:rsidP="00D43144">
      <w:pPr>
        <w:pStyle w:val="Body"/>
        <w:spacing w:after="0"/>
        <w:rPr>
          <w:rFonts w:ascii="Arial" w:hAnsi="Arial" w:cs="Arial"/>
        </w:rPr>
      </w:pPr>
      <w:r w:rsidRPr="00FC1DAA">
        <w:rPr>
          <w:rFonts w:ascii="Arial" w:hAnsi="Arial" w:cs="Arial"/>
        </w:rPr>
        <w:t xml:space="preserve">This case highlights an atypical, extensive presentation of tuberculosis verrucosa cutis </w:t>
      </w:r>
      <w:r>
        <w:rPr>
          <w:rFonts w:ascii="Arial" w:hAnsi="Arial" w:cs="Arial"/>
        </w:rPr>
        <w:t xml:space="preserve">(TBVC) </w:t>
      </w:r>
      <w:r w:rsidRPr="00FC1DAA">
        <w:rPr>
          <w:rFonts w:ascii="Arial" w:hAnsi="Arial" w:cs="Arial"/>
        </w:rPr>
        <w:t xml:space="preserve">with a sporotrichoid pattern and auricular involvement, associated with pulmonary tuberculosis. Although TBVC is classically described as a solitary lesion in immunocompetent individuals, clinicians should be aware of its potential for multifocal and unusual presentations. </w:t>
      </w:r>
      <w:proofErr w:type="spellStart"/>
      <w:r w:rsidR="00240120" w:rsidRPr="00240120">
        <w:rPr>
          <w:rFonts w:ascii="Arial" w:hAnsi="Arial" w:cs="Arial"/>
        </w:rPr>
        <w:t>Dermoscopy</w:t>
      </w:r>
      <w:proofErr w:type="spellEnd"/>
      <w:r w:rsidR="00240120" w:rsidRPr="00240120">
        <w:rPr>
          <w:rFonts w:ascii="Arial" w:hAnsi="Arial" w:cs="Arial"/>
        </w:rPr>
        <w:t xml:space="preserve"> emerges as a useful non-invasive tool, revealing characteristic features such as a papillated surface, irregularly dilated vessels, yellow-orange and red-orange structureless areas, brown pigmentation, white streaks, and yellowish-white scales. These patterns may assist in differentiating TBVC from other infectious or inflammatory skin conditions. Given the diagnostic limitations of microbiological tests in paucibacillary forms, a multidisciplinary approach integrating clinical, dermoscopic, histopathological, and immunological findings is essential. Early recognition and treatment are crucial to prevent complications and improve outcomes, particularly</w:t>
      </w:r>
      <w:r w:rsidR="00240120">
        <w:rPr>
          <w:rFonts w:ascii="Arial" w:hAnsi="Arial" w:cs="Arial"/>
        </w:rPr>
        <w:t xml:space="preserve"> in </w:t>
      </w:r>
      <w:r w:rsidRPr="00FC1DAA">
        <w:rPr>
          <w:rFonts w:ascii="Arial" w:hAnsi="Arial" w:cs="Arial"/>
        </w:rPr>
        <w:t>tuberculosis-endemic regions.</w:t>
      </w:r>
    </w:p>
    <w:p w14:paraId="3D2255F1" w14:textId="77777777" w:rsidR="00FC1DAA" w:rsidRPr="00FB3A86" w:rsidRDefault="00FC1DAA" w:rsidP="00D43144">
      <w:pPr>
        <w:pStyle w:val="Body"/>
        <w:spacing w:after="0"/>
        <w:rPr>
          <w:rFonts w:ascii="Arial" w:hAnsi="Arial" w:cs="Arial"/>
        </w:rPr>
      </w:pPr>
    </w:p>
    <w:p w14:paraId="26AFC7BB" w14:textId="77777777" w:rsidR="00315186" w:rsidRPr="00315186" w:rsidRDefault="00315186" w:rsidP="00441B6F"/>
    <w:p w14:paraId="019A96AE" w14:textId="77777777" w:rsidR="00732965" w:rsidRDefault="00732965" w:rsidP="00732965">
      <w:pPr>
        <w:rPr>
          <w:rFonts w:ascii="Arial" w:hAnsi="Arial" w:cs="Arial"/>
        </w:rPr>
      </w:pPr>
    </w:p>
    <w:p w14:paraId="229343B7" w14:textId="77777777" w:rsidR="00732965" w:rsidRPr="00732965" w:rsidRDefault="00732965" w:rsidP="00732965">
      <w:pPr>
        <w:rPr>
          <w:rFonts w:ascii="Arial" w:hAnsi="Arial" w:cs="Arial"/>
          <w:b/>
          <w:sz w:val="22"/>
          <w:szCs w:val="22"/>
        </w:rPr>
      </w:pPr>
      <w:r>
        <w:rPr>
          <w:rFonts w:ascii="Arial" w:hAnsi="Arial" w:cs="Arial"/>
          <w:b/>
          <w:sz w:val="22"/>
          <w:szCs w:val="22"/>
        </w:rPr>
        <w:t>CONSENT</w:t>
      </w:r>
    </w:p>
    <w:p w14:paraId="0699874C" w14:textId="77777777" w:rsidR="00732965" w:rsidRDefault="00732965" w:rsidP="00732965">
      <w:pPr>
        <w:rPr>
          <w:rFonts w:ascii="Arial" w:hAnsi="Arial" w:cs="Arial"/>
          <w:bCs/>
        </w:rPr>
      </w:pPr>
    </w:p>
    <w:p w14:paraId="4AE815FC" w14:textId="77777777" w:rsidR="00732965" w:rsidRPr="00732965" w:rsidRDefault="001A29D8" w:rsidP="00732965">
      <w:pPr>
        <w:rPr>
          <w:rFonts w:ascii="Arial" w:hAnsi="Arial" w:cs="Arial"/>
        </w:rPr>
      </w:pPr>
      <w:r w:rsidRPr="00240120">
        <w:rPr>
          <w:rFonts w:ascii="Arial" w:hAnsi="Arial" w:cs="Arial"/>
        </w:rPr>
        <w:lastRenderedPageBreak/>
        <w:t>All authors declare that written informed consent was obtained from the for publication of this case report and accompanying images. A copy of the written consent is available for review by the Editorial office/Chief Editor/Editorial Board members of this journal</w:t>
      </w:r>
    </w:p>
    <w:p w14:paraId="44A03C8D" w14:textId="77777777" w:rsidR="005C784C" w:rsidRDefault="005C784C" w:rsidP="00240120">
      <w:pPr>
        <w:pStyle w:val="ReferHead"/>
        <w:spacing w:after="0"/>
        <w:jc w:val="both"/>
        <w:rPr>
          <w:rFonts w:ascii="Arial" w:hAnsi="Arial" w:cs="Arial"/>
          <w:b w:val="0"/>
          <w:caps w:val="0"/>
          <w:sz w:val="20"/>
        </w:rPr>
      </w:pPr>
    </w:p>
    <w:p w14:paraId="523FC0D8" w14:textId="77777777" w:rsidR="005C784C" w:rsidRDefault="005C784C" w:rsidP="00240120">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72D5ED37" w14:textId="77777777" w:rsidR="005C784C" w:rsidRPr="002B685A" w:rsidRDefault="005C784C" w:rsidP="00240120">
      <w:pPr>
        <w:pStyle w:val="ReferHead"/>
        <w:spacing w:after="0"/>
        <w:jc w:val="both"/>
        <w:rPr>
          <w:rFonts w:ascii="Arial" w:hAnsi="Arial" w:cs="Arial"/>
          <w:bCs/>
        </w:rPr>
      </w:pPr>
    </w:p>
    <w:p w14:paraId="13FA5384" w14:textId="77777777" w:rsidR="00860000" w:rsidRDefault="00240120" w:rsidP="00240120">
      <w:pPr>
        <w:pStyle w:val="ReferHead"/>
        <w:spacing w:after="0"/>
        <w:jc w:val="both"/>
        <w:rPr>
          <w:rFonts w:ascii="Arial" w:hAnsi="Arial" w:cs="Arial"/>
          <w:b w:val="0"/>
          <w:caps w:val="0"/>
          <w:sz w:val="20"/>
        </w:rPr>
      </w:pPr>
      <w:r w:rsidRPr="00240120">
        <w:rPr>
          <w:rFonts w:ascii="Arial" w:hAnsi="Arial" w:cs="Arial"/>
          <w:b w:val="0"/>
          <w:caps w:val="0"/>
          <w:sz w:val="20"/>
        </w:rPr>
        <w:t>This case report did not require institutional ethical approval as per our institution’s policy for single patient case reports. All procedures performed were in accordance with the ethical standards of the Declaration of Helsinki.</w:t>
      </w:r>
    </w:p>
    <w:p w14:paraId="5D80EA96" w14:textId="77777777" w:rsidR="008C41A1" w:rsidRDefault="008C41A1" w:rsidP="00240120">
      <w:pPr>
        <w:pStyle w:val="ReferHead"/>
        <w:spacing w:after="0"/>
        <w:jc w:val="both"/>
        <w:rPr>
          <w:rFonts w:ascii="Arial" w:hAnsi="Arial" w:cs="Arial"/>
          <w:b w:val="0"/>
          <w:caps w:val="0"/>
          <w:sz w:val="20"/>
        </w:rPr>
      </w:pPr>
    </w:p>
    <w:p w14:paraId="002C5F8C" w14:textId="77777777" w:rsidR="008C41A1" w:rsidRPr="00A5730D" w:rsidRDefault="008C41A1" w:rsidP="008C41A1">
      <w:pPr>
        <w:pStyle w:val="DefAcrHead"/>
        <w:spacing w:after="0"/>
        <w:jc w:val="both"/>
        <w:rPr>
          <w:rFonts w:ascii="Arial" w:hAnsi="Arial" w:cs="Arial"/>
          <w:sz w:val="20"/>
        </w:rPr>
      </w:pPr>
      <w:r w:rsidRPr="00A5730D">
        <w:rPr>
          <w:rFonts w:ascii="Arial" w:hAnsi="Arial" w:cs="Arial"/>
          <w:sz w:val="20"/>
        </w:rPr>
        <w:t>Acronyms, Abbreviations</w:t>
      </w:r>
    </w:p>
    <w:p w14:paraId="415A36A8" w14:textId="77777777" w:rsidR="008C41A1" w:rsidRDefault="008C41A1" w:rsidP="008C41A1">
      <w:pPr>
        <w:pStyle w:val="Body"/>
        <w:spacing w:after="0"/>
        <w:rPr>
          <w:rFonts w:ascii="Arial" w:hAnsi="Arial" w:cs="Arial"/>
        </w:rPr>
      </w:pPr>
    </w:p>
    <w:p w14:paraId="3CEF98BC" w14:textId="77777777" w:rsidR="008C41A1" w:rsidRPr="00240120" w:rsidRDefault="008C41A1" w:rsidP="008C41A1">
      <w:pPr>
        <w:pStyle w:val="Body"/>
        <w:spacing w:after="0"/>
        <w:rPr>
          <w:rFonts w:ascii="Arial" w:hAnsi="Arial" w:cs="Arial"/>
        </w:rPr>
      </w:pPr>
      <w:r w:rsidRPr="00240120">
        <w:rPr>
          <w:rFonts w:ascii="Arial" w:hAnsi="Arial" w:cs="Arial"/>
          <w:b/>
          <w:bCs/>
        </w:rPr>
        <w:t>TBVC:</w:t>
      </w:r>
      <w:r w:rsidRPr="00240120">
        <w:rPr>
          <w:rFonts w:ascii="Arial" w:hAnsi="Arial" w:cs="Arial"/>
        </w:rPr>
        <w:t xml:space="preserve"> Tuberculosis verrucosa cutis</w:t>
      </w:r>
    </w:p>
    <w:p w14:paraId="4EC33405" w14:textId="77777777" w:rsidR="008C41A1" w:rsidRPr="00240120" w:rsidRDefault="008C41A1" w:rsidP="008C41A1">
      <w:pPr>
        <w:pStyle w:val="Body"/>
        <w:spacing w:after="0"/>
        <w:rPr>
          <w:rFonts w:ascii="Arial" w:hAnsi="Arial" w:cs="Arial"/>
        </w:rPr>
      </w:pPr>
      <w:r w:rsidRPr="00240120">
        <w:rPr>
          <w:rFonts w:ascii="Arial" w:hAnsi="Arial" w:cs="Arial"/>
          <w:b/>
          <w:bCs/>
        </w:rPr>
        <w:t>TST:</w:t>
      </w:r>
      <w:r w:rsidRPr="00240120">
        <w:rPr>
          <w:rFonts w:ascii="Arial" w:hAnsi="Arial" w:cs="Arial"/>
        </w:rPr>
        <w:t xml:space="preserve"> Tuberculin skin test</w:t>
      </w:r>
    </w:p>
    <w:p w14:paraId="31AF87D9" w14:textId="77777777" w:rsidR="008C41A1" w:rsidRPr="00240120" w:rsidRDefault="008C41A1" w:rsidP="008C41A1">
      <w:pPr>
        <w:pStyle w:val="Body"/>
        <w:spacing w:after="0"/>
        <w:rPr>
          <w:rFonts w:ascii="Arial" w:hAnsi="Arial" w:cs="Arial"/>
        </w:rPr>
      </w:pPr>
      <w:r w:rsidRPr="00240120">
        <w:rPr>
          <w:rFonts w:ascii="Arial" w:hAnsi="Arial" w:cs="Arial"/>
          <w:b/>
          <w:bCs/>
        </w:rPr>
        <w:t>IGRA:</w:t>
      </w:r>
      <w:r w:rsidRPr="00240120">
        <w:rPr>
          <w:rFonts w:ascii="Arial" w:hAnsi="Arial" w:cs="Arial"/>
        </w:rPr>
        <w:t xml:space="preserve"> Interferon-gamma release assay</w:t>
      </w:r>
    </w:p>
    <w:p w14:paraId="35FB561E" w14:textId="77777777" w:rsidR="008C41A1" w:rsidRPr="00240120" w:rsidRDefault="008C41A1" w:rsidP="008C41A1">
      <w:pPr>
        <w:pStyle w:val="Body"/>
        <w:spacing w:after="0"/>
        <w:rPr>
          <w:rFonts w:ascii="Arial" w:hAnsi="Arial" w:cs="Arial"/>
        </w:rPr>
      </w:pPr>
      <w:r w:rsidRPr="00240120">
        <w:rPr>
          <w:rFonts w:ascii="Arial" w:hAnsi="Arial" w:cs="Arial"/>
          <w:b/>
          <w:bCs/>
        </w:rPr>
        <w:t>CT:</w:t>
      </w:r>
      <w:r w:rsidRPr="00240120">
        <w:rPr>
          <w:rFonts w:ascii="Arial" w:hAnsi="Arial" w:cs="Arial"/>
        </w:rPr>
        <w:t xml:space="preserve"> Computed tomography</w:t>
      </w:r>
    </w:p>
    <w:p w14:paraId="06237EEA" w14:textId="77777777" w:rsidR="008C41A1" w:rsidRPr="00240120" w:rsidRDefault="008C41A1" w:rsidP="008C41A1">
      <w:pPr>
        <w:pStyle w:val="Body"/>
        <w:spacing w:after="0"/>
        <w:rPr>
          <w:rFonts w:ascii="Arial" w:hAnsi="Arial" w:cs="Arial"/>
        </w:rPr>
      </w:pPr>
      <w:r w:rsidRPr="00240120">
        <w:rPr>
          <w:rFonts w:ascii="Arial" w:hAnsi="Arial" w:cs="Arial"/>
          <w:b/>
          <w:bCs/>
        </w:rPr>
        <w:t>BCG:</w:t>
      </w:r>
      <w:r w:rsidRPr="00240120">
        <w:rPr>
          <w:rFonts w:ascii="Arial" w:hAnsi="Arial" w:cs="Arial"/>
        </w:rPr>
        <w:t xml:space="preserve"> Bacillus Calmette-Guérin</w:t>
      </w:r>
    </w:p>
    <w:p w14:paraId="1AC88B76" w14:textId="77777777" w:rsidR="008C41A1" w:rsidRPr="00240120" w:rsidRDefault="008C41A1" w:rsidP="008C41A1">
      <w:pPr>
        <w:pStyle w:val="Body"/>
        <w:spacing w:after="0"/>
        <w:rPr>
          <w:rFonts w:ascii="Arial" w:hAnsi="Arial" w:cs="Arial"/>
        </w:rPr>
      </w:pPr>
      <w:r w:rsidRPr="00240120">
        <w:rPr>
          <w:rFonts w:ascii="Arial" w:hAnsi="Arial" w:cs="Arial"/>
          <w:b/>
          <w:bCs/>
        </w:rPr>
        <w:t>PCR:</w:t>
      </w:r>
      <w:r w:rsidRPr="00240120">
        <w:rPr>
          <w:rFonts w:ascii="Arial" w:hAnsi="Arial" w:cs="Arial"/>
        </w:rPr>
        <w:t xml:space="preserve"> Polymerase chain reaction</w:t>
      </w:r>
    </w:p>
    <w:p w14:paraId="1A9AE70A" w14:textId="77777777" w:rsidR="008C41A1" w:rsidRPr="00240120" w:rsidRDefault="008C41A1" w:rsidP="008C41A1">
      <w:pPr>
        <w:pStyle w:val="Body"/>
        <w:spacing w:after="0"/>
        <w:rPr>
          <w:rFonts w:ascii="Arial" w:hAnsi="Arial" w:cs="Arial"/>
        </w:rPr>
      </w:pPr>
      <w:r w:rsidRPr="00240120">
        <w:rPr>
          <w:rFonts w:ascii="Arial" w:hAnsi="Arial" w:cs="Arial"/>
          <w:b/>
          <w:bCs/>
        </w:rPr>
        <w:t>HIV:</w:t>
      </w:r>
      <w:r w:rsidRPr="00240120">
        <w:rPr>
          <w:rFonts w:ascii="Arial" w:hAnsi="Arial" w:cs="Arial"/>
        </w:rPr>
        <w:t xml:space="preserve"> Human immunodeficiency virus</w:t>
      </w:r>
    </w:p>
    <w:p w14:paraId="439E34D0" w14:textId="77777777" w:rsidR="008C41A1" w:rsidRPr="00240120" w:rsidRDefault="008C41A1" w:rsidP="008C41A1">
      <w:pPr>
        <w:pStyle w:val="Body"/>
        <w:spacing w:after="0"/>
        <w:rPr>
          <w:rFonts w:ascii="Arial" w:hAnsi="Arial" w:cs="Arial"/>
        </w:rPr>
      </w:pPr>
      <w:r w:rsidRPr="00240120">
        <w:rPr>
          <w:rFonts w:ascii="Arial" w:hAnsi="Arial" w:cs="Arial"/>
          <w:b/>
          <w:bCs/>
        </w:rPr>
        <w:t>ESR:</w:t>
      </w:r>
      <w:r w:rsidRPr="00240120">
        <w:rPr>
          <w:rFonts w:ascii="Arial" w:hAnsi="Arial" w:cs="Arial"/>
        </w:rPr>
        <w:t xml:space="preserve"> Erythrocyte sedimentation rate</w:t>
      </w:r>
    </w:p>
    <w:p w14:paraId="275CE2A9" w14:textId="77777777" w:rsidR="008C41A1" w:rsidRDefault="008C41A1" w:rsidP="008C41A1">
      <w:pPr>
        <w:pStyle w:val="Body"/>
        <w:spacing w:after="0"/>
        <w:rPr>
          <w:rFonts w:ascii="Arial" w:hAnsi="Arial" w:cs="Arial"/>
        </w:rPr>
      </w:pPr>
      <w:r w:rsidRPr="00240120">
        <w:rPr>
          <w:rFonts w:ascii="Arial" w:hAnsi="Arial" w:cs="Arial"/>
          <w:b/>
          <w:bCs/>
        </w:rPr>
        <w:t>CRP:</w:t>
      </w:r>
      <w:r w:rsidRPr="00240120">
        <w:rPr>
          <w:rFonts w:ascii="Arial" w:hAnsi="Arial" w:cs="Arial"/>
        </w:rPr>
        <w:t xml:space="preserve"> C-reactive protein</w:t>
      </w:r>
    </w:p>
    <w:p w14:paraId="5C11AE13" w14:textId="77777777" w:rsidR="008C41A1" w:rsidRDefault="008C41A1" w:rsidP="00240120">
      <w:pPr>
        <w:pStyle w:val="ReferHead"/>
        <w:spacing w:after="0"/>
        <w:jc w:val="both"/>
        <w:rPr>
          <w:rFonts w:ascii="Arial" w:hAnsi="Arial" w:cs="Arial"/>
          <w:b w:val="0"/>
          <w:caps w:val="0"/>
          <w:sz w:val="20"/>
        </w:rPr>
      </w:pPr>
    </w:p>
    <w:p w14:paraId="05629E3D" w14:textId="77777777" w:rsidR="00240120" w:rsidRDefault="00240120" w:rsidP="00240120">
      <w:pPr>
        <w:pStyle w:val="ReferHead"/>
        <w:spacing w:after="0"/>
        <w:jc w:val="both"/>
        <w:rPr>
          <w:rFonts w:ascii="Arial" w:hAnsi="Arial" w:cs="Arial"/>
        </w:rPr>
      </w:pPr>
    </w:p>
    <w:p w14:paraId="335D2EE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8DC215E" w14:textId="77777777" w:rsidR="00284C4C" w:rsidRPr="00284C4C" w:rsidRDefault="00284C4C" w:rsidP="00441B6F">
      <w:pPr>
        <w:pStyle w:val="Body"/>
        <w:spacing w:after="0"/>
        <w:rPr>
          <w:rFonts w:ascii="Arial" w:hAnsi="Arial" w:cs="Arial"/>
          <w:i/>
          <w:u w:val="single"/>
        </w:rPr>
      </w:pPr>
    </w:p>
    <w:p w14:paraId="4FF8CC65" w14:textId="77777777" w:rsidR="00DA32EC" w:rsidRPr="00D771C3" w:rsidRDefault="00DA32EC" w:rsidP="00D771C3">
      <w:pPr>
        <w:pStyle w:val="Body"/>
        <w:numPr>
          <w:ilvl w:val="0"/>
          <w:numId w:val="33"/>
        </w:numPr>
        <w:spacing w:after="0"/>
        <w:rPr>
          <w:rFonts w:ascii="Arial" w:hAnsi="Arial" w:cs="Arial"/>
          <w:color w:val="000000" w:themeColor="text1"/>
        </w:rPr>
      </w:pPr>
      <w:proofErr w:type="spellStart"/>
      <w:r w:rsidRPr="00D771C3">
        <w:rPr>
          <w:rFonts w:ascii="Arial" w:hAnsi="Arial" w:cs="Arial"/>
          <w:color w:val="000000" w:themeColor="text1"/>
          <w:lang w:val="fr-MA"/>
        </w:rPr>
        <w:t>Zinoune</w:t>
      </w:r>
      <w:proofErr w:type="spellEnd"/>
      <w:r w:rsidRPr="00D771C3">
        <w:rPr>
          <w:rFonts w:ascii="Arial" w:hAnsi="Arial" w:cs="Arial"/>
          <w:color w:val="000000" w:themeColor="text1"/>
          <w:lang w:val="fr-MA"/>
        </w:rPr>
        <w:t xml:space="preserve">, S., </w:t>
      </w:r>
      <w:proofErr w:type="spellStart"/>
      <w:r w:rsidRPr="00D771C3">
        <w:rPr>
          <w:rFonts w:ascii="Arial" w:hAnsi="Arial" w:cs="Arial"/>
          <w:color w:val="000000" w:themeColor="text1"/>
          <w:lang w:val="fr-MA"/>
        </w:rPr>
        <w:t>Baybay</w:t>
      </w:r>
      <w:proofErr w:type="spellEnd"/>
      <w:r w:rsidRPr="00D771C3">
        <w:rPr>
          <w:rFonts w:ascii="Arial" w:hAnsi="Arial" w:cs="Arial"/>
          <w:color w:val="000000" w:themeColor="text1"/>
          <w:lang w:val="fr-MA"/>
        </w:rPr>
        <w:t xml:space="preserve">, H., </w:t>
      </w:r>
      <w:proofErr w:type="spellStart"/>
      <w:r w:rsidRPr="00D771C3">
        <w:rPr>
          <w:rFonts w:ascii="Arial" w:hAnsi="Arial" w:cs="Arial"/>
          <w:color w:val="000000" w:themeColor="text1"/>
          <w:lang w:val="fr-MA"/>
        </w:rPr>
        <w:t>Assenhaji</w:t>
      </w:r>
      <w:proofErr w:type="spellEnd"/>
      <w:r w:rsidRPr="00D771C3">
        <w:rPr>
          <w:rFonts w:ascii="Arial" w:hAnsi="Arial" w:cs="Arial"/>
          <w:color w:val="000000" w:themeColor="text1"/>
          <w:lang w:val="fr-MA"/>
        </w:rPr>
        <w:t xml:space="preserve">, I. L., </w:t>
      </w:r>
      <w:proofErr w:type="spellStart"/>
      <w:r w:rsidRPr="00D771C3">
        <w:rPr>
          <w:rFonts w:ascii="Arial" w:hAnsi="Arial" w:cs="Arial"/>
          <w:color w:val="000000" w:themeColor="text1"/>
          <w:lang w:val="fr-MA"/>
        </w:rPr>
        <w:t>Chaouche</w:t>
      </w:r>
      <w:proofErr w:type="spellEnd"/>
      <w:r w:rsidRPr="00D771C3">
        <w:rPr>
          <w:rFonts w:ascii="Arial" w:hAnsi="Arial" w:cs="Arial"/>
          <w:color w:val="000000" w:themeColor="text1"/>
          <w:lang w:val="fr-MA"/>
        </w:rPr>
        <w:t xml:space="preserve">, M., </w:t>
      </w:r>
      <w:proofErr w:type="spellStart"/>
      <w:r w:rsidRPr="00D771C3">
        <w:rPr>
          <w:rFonts w:ascii="Arial" w:hAnsi="Arial" w:cs="Arial"/>
          <w:color w:val="000000" w:themeColor="text1"/>
          <w:lang w:val="fr-MA"/>
        </w:rPr>
        <w:t>Douhi</w:t>
      </w:r>
      <w:proofErr w:type="spellEnd"/>
      <w:r w:rsidRPr="00D771C3">
        <w:rPr>
          <w:rFonts w:ascii="Arial" w:hAnsi="Arial" w:cs="Arial"/>
          <w:color w:val="000000" w:themeColor="text1"/>
          <w:lang w:val="fr-MA"/>
        </w:rPr>
        <w:t xml:space="preserve">, Z., </w:t>
      </w:r>
      <w:proofErr w:type="spellStart"/>
      <w:r w:rsidRPr="00D771C3">
        <w:rPr>
          <w:rFonts w:ascii="Arial" w:hAnsi="Arial" w:cs="Arial"/>
          <w:color w:val="000000" w:themeColor="text1"/>
          <w:lang w:val="fr-MA"/>
        </w:rPr>
        <w:t>Elloudi</w:t>
      </w:r>
      <w:proofErr w:type="spellEnd"/>
      <w:r w:rsidRPr="00D771C3">
        <w:rPr>
          <w:rFonts w:ascii="Arial" w:hAnsi="Arial" w:cs="Arial"/>
          <w:color w:val="000000" w:themeColor="text1"/>
          <w:lang w:val="fr-MA"/>
        </w:rPr>
        <w:t xml:space="preserve">, S. et al. (2019). </w:t>
      </w:r>
      <w:r w:rsidRPr="00D771C3">
        <w:rPr>
          <w:rFonts w:ascii="Arial" w:hAnsi="Arial" w:cs="Arial"/>
          <w:color w:val="000000" w:themeColor="text1"/>
        </w:rPr>
        <w:t xml:space="preserve">A cross study of cutaneous tuberculosis: A still relevant disease in Morocco (A study of 146 cases). </w:t>
      </w:r>
      <w:proofErr w:type="spellStart"/>
      <w:r w:rsidRPr="00D771C3">
        <w:rPr>
          <w:rFonts w:ascii="Arial" w:hAnsi="Arial" w:cs="Arial"/>
          <w:color w:val="000000" w:themeColor="text1"/>
        </w:rPr>
        <w:t>Madridge</w:t>
      </w:r>
      <w:proofErr w:type="spellEnd"/>
      <w:r w:rsidRPr="00D771C3">
        <w:rPr>
          <w:rFonts w:ascii="Arial" w:hAnsi="Arial" w:cs="Arial"/>
          <w:color w:val="000000" w:themeColor="text1"/>
        </w:rPr>
        <w:t xml:space="preserve"> J Case Rep Stud, 3(1), 126-129. DOI: 10.18689/mjcrs-1000131</w:t>
      </w:r>
    </w:p>
    <w:p w14:paraId="16C60FD7" w14:textId="77777777" w:rsidR="00E96AC2" w:rsidRPr="00D771C3" w:rsidRDefault="00DA32EC" w:rsidP="00D771C3">
      <w:pPr>
        <w:pStyle w:val="Body"/>
        <w:numPr>
          <w:ilvl w:val="0"/>
          <w:numId w:val="33"/>
        </w:numPr>
        <w:spacing w:after="0"/>
        <w:rPr>
          <w:rFonts w:ascii="Arial" w:hAnsi="Arial" w:cs="Arial"/>
          <w:color w:val="000000" w:themeColor="text1"/>
        </w:rPr>
      </w:pPr>
      <w:proofErr w:type="spellStart"/>
      <w:r w:rsidRPr="00D771C3">
        <w:rPr>
          <w:rFonts w:ascii="Arial" w:hAnsi="Arial" w:cs="Arial"/>
          <w:color w:val="000000" w:themeColor="text1"/>
          <w:shd w:val="clear" w:color="auto" w:fill="FFFFFF"/>
        </w:rPr>
        <w:t>Gallouj</w:t>
      </w:r>
      <w:proofErr w:type="spellEnd"/>
      <w:r w:rsidRPr="00D771C3">
        <w:rPr>
          <w:rFonts w:ascii="Arial" w:hAnsi="Arial" w:cs="Arial"/>
          <w:color w:val="000000" w:themeColor="text1"/>
          <w:shd w:val="clear" w:color="auto" w:fill="FFFFFF"/>
        </w:rPr>
        <w:t xml:space="preserve">, S., </w:t>
      </w:r>
      <w:proofErr w:type="spellStart"/>
      <w:r w:rsidRPr="00D771C3">
        <w:rPr>
          <w:rFonts w:ascii="Arial" w:hAnsi="Arial" w:cs="Arial"/>
          <w:color w:val="000000" w:themeColor="text1"/>
          <w:shd w:val="clear" w:color="auto" w:fill="FFFFFF"/>
        </w:rPr>
        <w:t>Harmouch</w:t>
      </w:r>
      <w:proofErr w:type="spellEnd"/>
      <w:r w:rsidRPr="00D771C3">
        <w:rPr>
          <w:rFonts w:ascii="Arial" w:hAnsi="Arial" w:cs="Arial"/>
          <w:color w:val="000000" w:themeColor="text1"/>
          <w:shd w:val="clear" w:color="auto" w:fill="FFFFFF"/>
        </w:rPr>
        <w:t xml:space="preserve">, T., Karkos, F. Z., Baybay, H., Meziane, M., </w:t>
      </w:r>
      <w:proofErr w:type="spellStart"/>
      <w:r w:rsidRPr="00D771C3">
        <w:rPr>
          <w:rFonts w:ascii="Arial" w:hAnsi="Arial" w:cs="Arial"/>
          <w:color w:val="000000" w:themeColor="text1"/>
          <w:shd w:val="clear" w:color="auto" w:fill="FFFFFF"/>
        </w:rPr>
        <w:t>Sekal</w:t>
      </w:r>
      <w:proofErr w:type="spellEnd"/>
      <w:r w:rsidRPr="00D771C3">
        <w:rPr>
          <w:rFonts w:ascii="Arial" w:hAnsi="Arial" w:cs="Arial"/>
          <w:color w:val="000000" w:themeColor="text1"/>
          <w:shd w:val="clear" w:color="auto" w:fill="FFFFFF"/>
        </w:rPr>
        <w:t>, M. et al</w:t>
      </w:r>
      <w:r w:rsidR="00AD0B50" w:rsidRPr="00D771C3">
        <w:rPr>
          <w:rFonts w:ascii="Arial" w:hAnsi="Arial" w:cs="Arial"/>
          <w:color w:val="000000" w:themeColor="text1"/>
          <w:shd w:val="clear" w:color="auto" w:fill="FFFFFF"/>
        </w:rPr>
        <w:t xml:space="preserve">. </w:t>
      </w:r>
      <w:r w:rsidRPr="00D771C3">
        <w:rPr>
          <w:rFonts w:ascii="Arial" w:hAnsi="Arial" w:cs="Arial"/>
          <w:color w:val="000000" w:themeColor="text1"/>
          <w:shd w:val="clear" w:color="auto" w:fill="FFFFFF"/>
        </w:rPr>
        <w:t>(2011). Cutaneous tuberculosis: a 36-case series from Morocco. </w:t>
      </w:r>
      <w:r w:rsidR="00E96AC2" w:rsidRPr="00D771C3">
        <w:rPr>
          <w:rFonts w:ascii="Arial" w:hAnsi="Arial" w:cs="Arial"/>
          <w:color w:val="000000" w:themeColor="text1"/>
        </w:rPr>
        <w:t>Med Trop (Mars)</w:t>
      </w:r>
      <w:r w:rsidRPr="00D771C3">
        <w:rPr>
          <w:rFonts w:ascii="Arial" w:hAnsi="Arial" w:cs="Arial"/>
          <w:color w:val="000000" w:themeColor="text1"/>
          <w:shd w:val="clear" w:color="auto" w:fill="FFFFFF"/>
        </w:rPr>
        <w:t>, 71(1), 58-60.</w:t>
      </w:r>
      <w:r w:rsidR="00AD0B50" w:rsidRPr="00D771C3">
        <w:rPr>
          <w:rFonts w:ascii="Arial" w:hAnsi="Arial" w:cs="Arial"/>
          <w:color w:val="000000" w:themeColor="text1"/>
          <w:shd w:val="clear" w:color="auto" w:fill="FFFFFF"/>
        </w:rPr>
        <w:t xml:space="preserve"> PMID: 21585093 </w:t>
      </w:r>
    </w:p>
    <w:p w14:paraId="475A7A14" w14:textId="77777777" w:rsidR="00AD0B50" w:rsidRPr="00D771C3" w:rsidRDefault="00AD0B50" w:rsidP="00D771C3">
      <w:pPr>
        <w:pStyle w:val="Body"/>
        <w:numPr>
          <w:ilvl w:val="0"/>
          <w:numId w:val="33"/>
        </w:numPr>
        <w:spacing w:after="0"/>
        <w:rPr>
          <w:rFonts w:ascii="Arial" w:hAnsi="Arial" w:cs="Arial"/>
          <w:color w:val="000000" w:themeColor="text1"/>
        </w:rPr>
      </w:pPr>
      <w:r w:rsidRPr="00D771C3">
        <w:rPr>
          <w:rFonts w:ascii="Arial" w:hAnsi="Arial" w:cs="Arial"/>
          <w:color w:val="000000" w:themeColor="text1"/>
          <w:shd w:val="clear" w:color="auto" w:fill="FFFFFF"/>
        </w:rPr>
        <w:t>Pau, W. S. C., AlSaffar, H., Weinstein, M., &amp; Kitai, I. (2009). Sporotrichoid-like tuberculosis. </w:t>
      </w:r>
      <w:proofErr w:type="spellStart"/>
      <w:r w:rsidR="00E96AC2" w:rsidRPr="00D771C3">
        <w:rPr>
          <w:rFonts w:ascii="Arial" w:hAnsi="Arial" w:cs="Arial"/>
          <w:color w:val="000000" w:themeColor="text1"/>
          <w:lang w:val="fr-MA" w:eastAsia="fr-FR"/>
        </w:rPr>
        <w:t>Pediatr</w:t>
      </w:r>
      <w:proofErr w:type="spellEnd"/>
      <w:r w:rsidR="00E96AC2" w:rsidRPr="00D771C3">
        <w:rPr>
          <w:rFonts w:ascii="Arial" w:hAnsi="Arial" w:cs="Arial"/>
          <w:color w:val="000000" w:themeColor="text1"/>
          <w:lang w:val="fr-MA" w:eastAsia="fr-FR"/>
        </w:rPr>
        <w:t>. Infect. Dis. J</w:t>
      </w:r>
      <w:r w:rsidRPr="00D771C3">
        <w:rPr>
          <w:rFonts w:ascii="Arial" w:hAnsi="Arial" w:cs="Arial"/>
          <w:color w:val="000000" w:themeColor="text1"/>
          <w:shd w:val="clear" w:color="auto" w:fill="FFFFFF"/>
        </w:rPr>
        <w:t xml:space="preserve">, 28(12), 1135-1136. </w:t>
      </w:r>
      <w:r w:rsidRPr="00D771C3">
        <w:rPr>
          <w:rStyle w:val="ej-journal-doi"/>
          <w:rFonts w:ascii="Arial" w:hAnsi="Arial" w:cs="Arial"/>
          <w:color w:val="000000" w:themeColor="text1"/>
          <w:shd w:val="clear" w:color="auto" w:fill="FFFFFF"/>
        </w:rPr>
        <w:t>DOI: </w:t>
      </w:r>
      <w:r w:rsidRPr="00D771C3">
        <w:rPr>
          <w:rFonts w:ascii="Arial" w:hAnsi="Arial" w:cs="Arial"/>
          <w:color w:val="000000" w:themeColor="text1"/>
          <w:shd w:val="clear" w:color="auto" w:fill="FFFFFF"/>
        </w:rPr>
        <w:t>10.1097/INF.0b013e3181abe007</w:t>
      </w:r>
    </w:p>
    <w:p w14:paraId="750A3C56" w14:textId="77777777" w:rsidR="00AD0B50" w:rsidRPr="00D771C3" w:rsidRDefault="00AD0B50" w:rsidP="00D771C3">
      <w:pPr>
        <w:pStyle w:val="Body"/>
        <w:numPr>
          <w:ilvl w:val="0"/>
          <w:numId w:val="33"/>
        </w:numPr>
        <w:spacing w:after="0"/>
        <w:rPr>
          <w:rFonts w:ascii="Arial" w:hAnsi="Arial" w:cs="Arial"/>
          <w:color w:val="000000" w:themeColor="text1"/>
        </w:rPr>
      </w:pPr>
      <w:r w:rsidRPr="00D771C3">
        <w:rPr>
          <w:rFonts w:ascii="Arial" w:hAnsi="Arial" w:cs="Arial"/>
          <w:color w:val="000000" w:themeColor="text1"/>
          <w:shd w:val="clear" w:color="auto" w:fill="FFFFFF"/>
        </w:rPr>
        <w:t>Ledesma, J. F. M., Hurtado, M. E. P., Lerma, E. H., Medina, M. E. E., Ramírez-Madrigal, M. A., &amp; Troche, P. F. (2023). Dermatological Manifestations Due to Mycobacterium Tuberculosis Infection.</w:t>
      </w:r>
      <w:r w:rsidR="00E96AC2" w:rsidRPr="00D771C3">
        <w:rPr>
          <w:rFonts w:ascii="Arial" w:hAnsi="Arial" w:cs="Arial"/>
          <w:color w:val="000000" w:themeColor="text1"/>
          <w:lang w:eastAsia="fr-FR"/>
        </w:rPr>
        <w:t xml:space="preserve"> </w:t>
      </w:r>
      <w:r w:rsidR="00E96AC2" w:rsidRPr="00D771C3">
        <w:rPr>
          <w:rFonts w:ascii="Arial" w:hAnsi="Arial" w:cs="Arial"/>
          <w:color w:val="000000" w:themeColor="text1"/>
        </w:rPr>
        <w:t xml:space="preserve">J. Clin. Invest, 3(3), 400-402. </w:t>
      </w:r>
      <w:r w:rsidRPr="00D771C3">
        <w:rPr>
          <w:rFonts w:ascii="Arial" w:hAnsi="Arial" w:cs="Arial"/>
          <w:color w:val="000000" w:themeColor="text1"/>
        </w:rPr>
        <w:t>DOI: 10.47191/</w:t>
      </w:r>
      <w:proofErr w:type="spellStart"/>
      <w:r w:rsidRPr="00D771C3">
        <w:rPr>
          <w:rFonts w:ascii="Arial" w:hAnsi="Arial" w:cs="Arial"/>
          <w:color w:val="000000" w:themeColor="text1"/>
        </w:rPr>
        <w:t>ijmscrs</w:t>
      </w:r>
      <w:proofErr w:type="spellEnd"/>
      <w:r w:rsidRPr="00D771C3">
        <w:rPr>
          <w:rFonts w:ascii="Arial" w:hAnsi="Arial" w:cs="Arial"/>
          <w:color w:val="000000" w:themeColor="text1"/>
        </w:rPr>
        <w:t xml:space="preserve">/v3-i3-22. </w:t>
      </w:r>
    </w:p>
    <w:p w14:paraId="24B99EBD" w14:textId="77777777" w:rsidR="00DA32EC" w:rsidRPr="00D771C3" w:rsidRDefault="00E96AC2" w:rsidP="00D771C3">
      <w:pPr>
        <w:pStyle w:val="Body"/>
        <w:numPr>
          <w:ilvl w:val="0"/>
          <w:numId w:val="33"/>
        </w:numPr>
        <w:spacing w:after="0"/>
        <w:rPr>
          <w:rFonts w:ascii="Arial" w:hAnsi="Arial" w:cs="Arial"/>
          <w:color w:val="000000" w:themeColor="text1"/>
        </w:rPr>
      </w:pPr>
      <w:r w:rsidRPr="00D771C3">
        <w:rPr>
          <w:rFonts w:ascii="Arial" w:hAnsi="Arial" w:cs="Arial"/>
          <w:color w:val="000000" w:themeColor="text1"/>
          <w:shd w:val="clear" w:color="auto" w:fill="FFFFFF"/>
        </w:rPr>
        <w:t>Reza, I. B., Ahasan, H. N., &amp; Prince, S. K. Z. (2023). A Suspicious Skin Lesion: Sufferings of A Remittance Warrior. </w:t>
      </w:r>
      <w:r w:rsidRPr="00D771C3">
        <w:rPr>
          <w:rFonts w:ascii="Arial" w:hAnsi="Arial" w:cs="Arial"/>
          <w:color w:val="000000" w:themeColor="text1"/>
        </w:rPr>
        <w:t>J. Med</w:t>
      </w:r>
      <w:r w:rsidRPr="00D771C3">
        <w:rPr>
          <w:rFonts w:ascii="Arial" w:hAnsi="Arial" w:cs="Arial"/>
          <w:color w:val="000000" w:themeColor="text1"/>
          <w:shd w:val="clear" w:color="auto" w:fill="FFFFFF"/>
        </w:rPr>
        <w:t>, 24(1), 67-68. DOI:</w:t>
      </w:r>
      <w:r w:rsidRPr="00D771C3">
        <w:rPr>
          <w:rFonts w:ascii="Arial" w:hAnsi="Arial" w:cs="Arial"/>
          <w:color w:val="000000" w:themeColor="text1"/>
        </w:rPr>
        <w:t>10.3329/</w:t>
      </w:r>
      <w:proofErr w:type="gramStart"/>
      <w:r w:rsidRPr="00D771C3">
        <w:rPr>
          <w:rFonts w:ascii="Arial" w:hAnsi="Arial" w:cs="Arial"/>
          <w:color w:val="000000" w:themeColor="text1"/>
        </w:rPr>
        <w:t>jom.v</w:t>
      </w:r>
      <w:proofErr w:type="gramEnd"/>
      <w:r w:rsidRPr="00D771C3">
        <w:rPr>
          <w:rFonts w:ascii="Arial" w:hAnsi="Arial" w:cs="Arial"/>
          <w:color w:val="000000" w:themeColor="text1"/>
        </w:rPr>
        <w:t>24i1.64908</w:t>
      </w:r>
    </w:p>
    <w:p w14:paraId="000B76EE" w14:textId="77777777" w:rsidR="00E96AC2" w:rsidRPr="00D771C3" w:rsidRDefault="00E96AC2" w:rsidP="00D771C3">
      <w:pPr>
        <w:pStyle w:val="Body"/>
        <w:numPr>
          <w:ilvl w:val="0"/>
          <w:numId w:val="33"/>
        </w:numPr>
        <w:spacing w:after="0"/>
        <w:rPr>
          <w:rFonts w:ascii="Arial" w:hAnsi="Arial" w:cs="Arial"/>
          <w:color w:val="000000" w:themeColor="text1"/>
        </w:rPr>
      </w:pPr>
      <w:proofErr w:type="spellStart"/>
      <w:r w:rsidRPr="00D771C3">
        <w:rPr>
          <w:rFonts w:ascii="Arial" w:hAnsi="Arial" w:cs="Arial"/>
          <w:color w:val="000000" w:themeColor="text1"/>
          <w:shd w:val="clear" w:color="auto" w:fill="FFFFFF"/>
        </w:rPr>
        <w:t>Azendour</w:t>
      </w:r>
      <w:proofErr w:type="spellEnd"/>
      <w:r w:rsidRPr="00D771C3">
        <w:rPr>
          <w:rFonts w:ascii="Arial" w:hAnsi="Arial" w:cs="Arial"/>
          <w:color w:val="000000" w:themeColor="text1"/>
          <w:shd w:val="clear" w:color="auto" w:fill="FFFFFF"/>
        </w:rPr>
        <w:t xml:space="preserve">, H., Meziane, M., </w:t>
      </w:r>
      <w:proofErr w:type="spellStart"/>
      <w:r w:rsidRPr="00D771C3">
        <w:rPr>
          <w:rFonts w:ascii="Arial" w:hAnsi="Arial" w:cs="Arial"/>
          <w:color w:val="000000" w:themeColor="text1"/>
          <w:shd w:val="clear" w:color="auto" w:fill="FFFFFF"/>
        </w:rPr>
        <w:t>Znati</w:t>
      </w:r>
      <w:proofErr w:type="spellEnd"/>
      <w:r w:rsidRPr="00D771C3">
        <w:rPr>
          <w:rFonts w:ascii="Arial" w:hAnsi="Arial" w:cs="Arial"/>
          <w:color w:val="000000" w:themeColor="text1"/>
          <w:shd w:val="clear" w:color="auto" w:fill="FFFFFF"/>
        </w:rPr>
        <w:t xml:space="preserve">, K., </w:t>
      </w:r>
      <w:proofErr w:type="spellStart"/>
      <w:r w:rsidRPr="00D771C3">
        <w:rPr>
          <w:rFonts w:ascii="Arial" w:hAnsi="Arial" w:cs="Arial"/>
          <w:color w:val="000000" w:themeColor="text1"/>
          <w:shd w:val="clear" w:color="auto" w:fill="FFFFFF"/>
        </w:rPr>
        <w:t>Benzekri</w:t>
      </w:r>
      <w:proofErr w:type="spellEnd"/>
      <w:r w:rsidRPr="00D771C3">
        <w:rPr>
          <w:rFonts w:ascii="Arial" w:hAnsi="Arial" w:cs="Arial"/>
          <w:color w:val="000000" w:themeColor="text1"/>
          <w:shd w:val="clear" w:color="auto" w:fill="FFFFFF"/>
        </w:rPr>
        <w:t>, L., &amp; Senouci, K. (2021). A polymorphous cutaneous tuberculosis. </w:t>
      </w:r>
      <w:r w:rsidRPr="00D771C3">
        <w:rPr>
          <w:rFonts w:ascii="Arial" w:hAnsi="Arial" w:cs="Arial"/>
          <w:color w:val="000000" w:themeColor="text1"/>
        </w:rPr>
        <w:t xml:space="preserve">Int. J. </w:t>
      </w:r>
      <w:proofErr w:type="spellStart"/>
      <w:r w:rsidRPr="00D771C3">
        <w:rPr>
          <w:rFonts w:ascii="Arial" w:hAnsi="Arial" w:cs="Arial"/>
          <w:color w:val="000000" w:themeColor="text1"/>
        </w:rPr>
        <w:t>Mycobacteriol</w:t>
      </w:r>
      <w:proofErr w:type="spellEnd"/>
      <w:r w:rsidRPr="00D771C3">
        <w:rPr>
          <w:rFonts w:ascii="Arial" w:hAnsi="Arial" w:cs="Arial"/>
          <w:color w:val="000000" w:themeColor="text1"/>
          <w:shd w:val="clear" w:color="auto" w:fill="FFFFFF"/>
        </w:rPr>
        <w:t>, 10(1), 85-88. DOI: 10.4103/ijmy.ijmy_224_20</w:t>
      </w:r>
    </w:p>
    <w:p w14:paraId="371834B6" w14:textId="1EBA4765" w:rsidR="005322C4" w:rsidRPr="005322C4" w:rsidRDefault="005322C4" w:rsidP="00D771C3">
      <w:pPr>
        <w:pStyle w:val="Body"/>
        <w:numPr>
          <w:ilvl w:val="0"/>
          <w:numId w:val="33"/>
        </w:numPr>
        <w:spacing w:after="0"/>
        <w:rPr>
          <w:rFonts w:ascii="Arial" w:hAnsi="Arial" w:cs="Arial"/>
          <w:color w:val="000000" w:themeColor="text1"/>
        </w:rPr>
      </w:pPr>
      <w:r w:rsidRPr="005322C4">
        <w:rPr>
          <w:rFonts w:ascii="Arial" w:hAnsi="Arial" w:cs="Arial"/>
          <w:color w:val="000000" w:themeColor="text1"/>
          <w:shd w:val="clear" w:color="auto" w:fill="FFFFFF"/>
        </w:rPr>
        <w:t xml:space="preserve">Downey, C., </w:t>
      </w:r>
      <w:proofErr w:type="spellStart"/>
      <w:r w:rsidRPr="005322C4">
        <w:rPr>
          <w:rFonts w:ascii="Arial" w:hAnsi="Arial" w:cs="Arial"/>
          <w:color w:val="000000" w:themeColor="text1"/>
          <w:shd w:val="clear" w:color="auto" w:fill="FFFFFF"/>
        </w:rPr>
        <w:t>Navajas</w:t>
      </w:r>
      <w:proofErr w:type="spellEnd"/>
      <w:r w:rsidRPr="005322C4">
        <w:rPr>
          <w:rFonts w:ascii="Arial" w:hAnsi="Arial" w:cs="Arial"/>
          <w:color w:val="000000" w:themeColor="text1"/>
          <w:shd w:val="clear" w:color="auto" w:fill="FFFFFF"/>
        </w:rPr>
        <w:t>, L., Andino, R., Vera-</w:t>
      </w:r>
      <w:proofErr w:type="spellStart"/>
      <w:r w:rsidRPr="005322C4">
        <w:rPr>
          <w:rFonts w:ascii="Arial" w:hAnsi="Arial" w:cs="Arial"/>
          <w:color w:val="000000" w:themeColor="text1"/>
          <w:shd w:val="clear" w:color="auto" w:fill="FFFFFF"/>
        </w:rPr>
        <w:t>Kellet</w:t>
      </w:r>
      <w:proofErr w:type="spellEnd"/>
      <w:r w:rsidRPr="005322C4">
        <w:rPr>
          <w:rFonts w:ascii="Arial" w:hAnsi="Arial" w:cs="Arial"/>
          <w:color w:val="000000" w:themeColor="text1"/>
          <w:shd w:val="clear" w:color="auto" w:fill="FFFFFF"/>
        </w:rPr>
        <w:t xml:space="preserve">, C., &amp; </w:t>
      </w:r>
      <w:proofErr w:type="spellStart"/>
      <w:r w:rsidRPr="005322C4">
        <w:rPr>
          <w:rFonts w:ascii="Arial" w:hAnsi="Arial" w:cs="Arial"/>
          <w:color w:val="000000" w:themeColor="text1"/>
          <w:shd w:val="clear" w:color="auto" w:fill="FFFFFF"/>
        </w:rPr>
        <w:t>Manríquez</w:t>
      </w:r>
      <w:proofErr w:type="spellEnd"/>
      <w:r w:rsidRPr="005322C4">
        <w:rPr>
          <w:rFonts w:ascii="Arial" w:hAnsi="Arial" w:cs="Arial"/>
          <w:color w:val="000000" w:themeColor="text1"/>
          <w:shd w:val="clear" w:color="auto" w:fill="FFFFFF"/>
        </w:rPr>
        <w:t xml:space="preserve">, J. J. (2015). </w:t>
      </w:r>
      <w:proofErr w:type="spellStart"/>
      <w:r w:rsidRPr="005322C4">
        <w:rPr>
          <w:rFonts w:ascii="Arial" w:hAnsi="Arial" w:cs="Arial"/>
          <w:color w:val="000000" w:themeColor="text1"/>
          <w:shd w:val="clear" w:color="auto" w:fill="FFFFFF"/>
        </w:rPr>
        <w:t>Sporotrichoid</w:t>
      </w:r>
      <w:proofErr w:type="spellEnd"/>
      <w:r w:rsidRPr="005322C4">
        <w:rPr>
          <w:rFonts w:ascii="Arial" w:hAnsi="Arial" w:cs="Arial"/>
          <w:color w:val="000000" w:themeColor="text1"/>
          <w:shd w:val="clear" w:color="auto" w:fill="FFFFFF"/>
        </w:rPr>
        <w:t xml:space="preserve"> pattern tuberculosis: an unusual presentation of cutaneous tuberculosis in an immunocompetent patient. Rev. Chil. </w:t>
      </w:r>
      <w:proofErr w:type="spellStart"/>
      <w:r w:rsidRPr="005322C4">
        <w:rPr>
          <w:rFonts w:ascii="Arial" w:hAnsi="Arial" w:cs="Arial"/>
          <w:color w:val="000000" w:themeColor="text1"/>
          <w:shd w:val="clear" w:color="auto" w:fill="FFFFFF"/>
        </w:rPr>
        <w:t>Infectol</w:t>
      </w:r>
      <w:proofErr w:type="spellEnd"/>
      <w:r w:rsidRPr="005322C4">
        <w:rPr>
          <w:rFonts w:ascii="Arial" w:hAnsi="Arial" w:cs="Arial"/>
          <w:color w:val="000000" w:themeColor="text1"/>
          <w:shd w:val="clear" w:color="auto" w:fill="FFFFFF"/>
        </w:rPr>
        <w:t>, 32(2), 234-237. DOI: 10.4067/S0716-10182015000300015</w:t>
      </w:r>
    </w:p>
    <w:p w14:paraId="325ADB9D" w14:textId="267379E6" w:rsidR="00E96AC2" w:rsidRPr="00D771C3" w:rsidRDefault="00D771C3" w:rsidP="00D771C3">
      <w:pPr>
        <w:pStyle w:val="Body"/>
        <w:numPr>
          <w:ilvl w:val="0"/>
          <w:numId w:val="33"/>
        </w:numPr>
        <w:spacing w:after="0"/>
        <w:rPr>
          <w:rFonts w:ascii="Arial" w:hAnsi="Arial" w:cs="Arial"/>
          <w:color w:val="000000" w:themeColor="text1"/>
        </w:rPr>
      </w:pPr>
      <w:r w:rsidRPr="00D771C3">
        <w:rPr>
          <w:rFonts w:ascii="Arial" w:hAnsi="Arial" w:cs="Arial"/>
          <w:color w:val="000000" w:themeColor="text1"/>
          <w:shd w:val="clear" w:color="auto" w:fill="FFFFFF"/>
        </w:rPr>
        <w:t xml:space="preserve">Jindal, R., Chauhan, P., &amp; Sethi, S. (2022). </w:t>
      </w:r>
      <w:proofErr w:type="spellStart"/>
      <w:r w:rsidRPr="00D771C3">
        <w:rPr>
          <w:rFonts w:ascii="Arial" w:hAnsi="Arial" w:cs="Arial"/>
          <w:color w:val="000000" w:themeColor="text1"/>
          <w:shd w:val="clear" w:color="auto" w:fill="FFFFFF"/>
        </w:rPr>
        <w:t>Dermoscopy</w:t>
      </w:r>
      <w:proofErr w:type="spellEnd"/>
      <w:r w:rsidRPr="00D771C3">
        <w:rPr>
          <w:rFonts w:ascii="Arial" w:hAnsi="Arial" w:cs="Arial"/>
          <w:color w:val="000000" w:themeColor="text1"/>
          <w:shd w:val="clear" w:color="auto" w:fill="FFFFFF"/>
        </w:rPr>
        <w:t xml:space="preserve"> of the diverse spectrum of cutaneous tuberculosis in the skin of color. </w:t>
      </w:r>
      <w:r w:rsidRPr="00D771C3">
        <w:rPr>
          <w:rFonts w:ascii="Arial" w:hAnsi="Arial" w:cs="Arial"/>
          <w:color w:val="000000" w:themeColor="text1"/>
        </w:rPr>
        <w:t xml:space="preserve">Dermatol. </w:t>
      </w:r>
      <w:proofErr w:type="spellStart"/>
      <w:r w:rsidRPr="00D771C3">
        <w:rPr>
          <w:rFonts w:ascii="Arial" w:hAnsi="Arial" w:cs="Arial"/>
          <w:color w:val="000000" w:themeColor="text1"/>
        </w:rPr>
        <w:t>Pract</w:t>
      </w:r>
      <w:proofErr w:type="spellEnd"/>
      <w:r w:rsidRPr="00D771C3">
        <w:rPr>
          <w:rFonts w:ascii="Arial" w:hAnsi="Arial" w:cs="Arial"/>
          <w:color w:val="000000" w:themeColor="text1"/>
        </w:rPr>
        <w:t>. Concept</w:t>
      </w:r>
      <w:r w:rsidRPr="00D771C3">
        <w:rPr>
          <w:rFonts w:ascii="Arial" w:hAnsi="Arial" w:cs="Arial"/>
          <w:color w:val="000000" w:themeColor="text1"/>
          <w:shd w:val="clear" w:color="auto" w:fill="FFFFFF"/>
        </w:rPr>
        <w:t>, 12(4), e2022203 PMID: </w:t>
      </w:r>
      <w:hyperlink r:id="rId16" w:history="1">
        <w:r w:rsidRPr="00D771C3">
          <w:rPr>
            <w:rStyle w:val="Hyperlink"/>
            <w:rFonts w:ascii="Arial" w:hAnsi="Arial" w:cs="Arial"/>
            <w:color w:val="000000" w:themeColor="text1"/>
            <w:u w:val="none"/>
            <w:shd w:val="clear" w:color="auto" w:fill="FFFFFF"/>
          </w:rPr>
          <w:t>36534549</w:t>
        </w:r>
      </w:hyperlink>
    </w:p>
    <w:p w14:paraId="62A7DB1E" w14:textId="77777777" w:rsidR="00D771C3" w:rsidRPr="00D771C3" w:rsidRDefault="00D771C3" w:rsidP="00D771C3">
      <w:pPr>
        <w:pStyle w:val="Body"/>
        <w:numPr>
          <w:ilvl w:val="0"/>
          <w:numId w:val="33"/>
        </w:numPr>
        <w:spacing w:after="0"/>
        <w:rPr>
          <w:rFonts w:ascii="Arial" w:hAnsi="Arial" w:cs="Arial"/>
          <w:color w:val="000000" w:themeColor="text1"/>
        </w:rPr>
      </w:pPr>
      <w:r w:rsidRPr="00D771C3">
        <w:rPr>
          <w:rFonts w:ascii="Arial" w:hAnsi="Arial" w:cs="Arial"/>
          <w:color w:val="000000" w:themeColor="text1"/>
          <w:shd w:val="clear" w:color="auto" w:fill="FFFFFF"/>
        </w:rPr>
        <w:t xml:space="preserve">Jakhar, D., Gupta, R. K., &amp; Sarin, N. (2021). </w:t>
      </w:r>
      <w:proofErr w:type="spellStart"/>
      <w:r w:rsidRPr="00D771C3">
        <w:rPr>
          <w:rFonts w:ascii="Arial" w:hAnsi="Arial" w:cs="Arial"/>
          <w:color w:val="000000" w:themeColor="text1"/>
          <w:shd w:val="clear" w:color="auto" w:fill="FFFFFF"/>
        </w:rPr>
        <w:t>Dermoscopy</w:t>
      </w:r>
      <w:proofErr w:type="spellEnd"/>
      <w:r w:rsidRPr="00D771C3">
        <w:rPr>
          <w:rFonts w:ascii="Arial" w:hAnsi="Arial" w:cs="Arial"/>
          <w:color w:val="000000" w:themeColor="text1"/>
          <w:shd w:val="clear" w:color="auto" w:fill="FFFFFF"/>
        </w:rPr>
        <w:t xml:space="preserve"> of tuberculosis verrucosa cutis. </w:t>
      </w:r>
      <w:r w:rsidRPr="00D771C3">
        <w:rPr>
          <w:rFonts w:ascii="Arial" w:hAnsi="Arial" w:cs="Arial"/>
          <w:color w:val="000000" w:themeColor="text1"/>
        </w:rPr>
        <w:t>Indian Dermatol. Online J</w:t>
      </w:r>
      <w:r w:rsidRPr="00D771C3">
        <w:rPr>
          <w:rFonts w:ascii="Arial" w:hAnsi="Arial" w:cs="Arial"/>
          <w:color w:val="000000" w:themeColor="text1"/>
          <w:shd w:val="clear" w:color="auto" w:fill="FFFFFF"/>
        </w:rPr>
        <w:t xml:space="preserve">, 12(1), 206-207. </w:t>
      </w:r>
      <w:r w:rsidRPr="00D771C3">
        <w:rPr>
          <w:rStyle w:val="ej-journal-doi"/>
          <w:rFonts w:ascii="Arial" w:hAnsi="Arial" w:cs="Arial"/>
          <w:color w:val="000000" w:themeColor="text1"/>
          <w:shd w:val="clear" w:color="auto" w:fill="FFFFFF"/>
        </w:rPr>
        <w:t>DOI: </w:t>
      </w:r>
      <w:r w:rsidRPr="00D771C3">
        <w:rPr>
          <w:rFonts w:ascii="Arial" w:hAnsi="Arial" w:cs="Arial"/>
          <w:color w:val="000000" w:themeColor="text1"/>
          <w:shd w:val="clear" w:color="auto" w:fill="FFFFFF"/>
        </w:rPr>
        <w:t>10.4103/idoj.IDOJ_292_19</w:t>
      </w:r>
    </w:p>
    <w:p w14:paraId="5C8DF9DE" w14:textId="77777777" w:rsidR="00D771C3" w:rsidRPr="00D771C3" w:rsidRDefault="00D771C3" w:rsidP="00D771C3">
      <w:pPr>
        <w:pStyle w:val="Body"/>
        <w:numPr>
          <w:ilvl w:val="0"/>
          <w:numId w:val="33"/>
        </w:numPr>
        <w:spacing w:after="0"/>
        <w:rPr>
          <w:rFonts w:ascii="Arial" w:hAnsi="Arial" w:cs="Arial"/>
          <w:color w:val="000000" w:themeColor="text1"/>
        </w:rPr>
      </w:pPr>
      <w:r w:rsidRPr="00D771C3">
        <w:rPr>
          <w:rFonts w:ascii="Arial" w:hAnsi="Arial" w:cs="Arial"/>
          <w:color w:val="000000" w:themeColor="text1"/>
          <w:shd w:val="clear" w:color="auto" w:fill="FFFFFF"/>
        </w:rPr>
        <w:t xml:space="preserve">Prasanna, S., </w:t>
      </w:r>
      <w:proofErr w:type="spellStart"/>
      <w:r w:rsidRPr="00D771C3">
        <w:rPr>
          <w:rFonts w:ascii="Arial" w:hAnsi="Arial" w:cs="Arial"/>
          <w:color w:val="000000" w:themeColor="text1"/>
          <w:shd w:val="clear" w:color="auto" w:fill="FFFFFF"/>
        </w:rPr>
        <w:t>Mithari</w:t>
      </w:r>
      <w:proofErr w:type="spellEnd"/>
      <w:r w:rsidRPr="00D771C3">
        <w:rPr>
          <w:rFonts w:ascii="Arial" w:hAnsi="Arial" w:cs="Arial"/>
          <w:color w:val="000000" w:themeColor="text1"/>
          <w:shd w:val="clear" w:color="auto" w:fill="FFFFFF"/>
        </w:rPr>
        <w:t xml:space="preserve">, H., &amp; </w:t>
      </w:r>
      <w:proofErr w:type="spellStart"/>
      <w:r w:rsidRPr="00D771C3">
        <w:rPr>
          <w:rFonts w:ascii="Arial" w:hAnsi="Arial" w:cs="Arial"/>
          <w:color w:val="000000" w:themeColor="text1"/>
          <w:shd w:val="clear" w:color="auto" w:fill="FFFFFF"/>
        </w:rPr>
        <w:t>Kharkar</w:t>
      </w:r>
      <w:proofErr w:type="spellEnd"/>
      <w:r w:rsidRPr="00D771C3">
        <w:rPr>
          <w:rFonts w:ascii="Arial" w:hAnsi="Arial" w:cs="Arial"/>
          <w:color w:val="000000" w:themeColor="text1"/>
          <w:shd w:val="clear" w:color="auto" w:fill="FFFFFF"/>
        </w:rPr>
        <w:t>, V. (2023). A cross sectional descriptive study of dermoscopic features of clinical variants of cutaneous tuberculosis. </w:t>
      </w:r>
      <w:r w:rsidRPr="00D771C3">
        <w:rPr>
          <w:rFonts w:ascii="Arial" w:hAnsi="Arial" w:cs="Arial"/>
          <w:color w:val="000000" w:themeColor="text1"/>
        </w:rPr>
        <w:t xml:space="preserve">Indian J. </w:t>
      </w:r>
      <w:proofErr w:type="spellStart"/>
      <w:r w:rsidRPr="00D771C3">
        <w:rPr>
          <w:rFonts w:ascii="Arial" w:hAnsi="Arial" w:cs="Arial"/>
          <w:color w:val="000000" w:themeColor="text1"/>
        </w:rPr>
        <w:t>Tuberc</w:t>
      </w:r>
      <w:proofErr w:type="spellEnd"/>
      <w:r w:rsidRPr="00D771C3">
        <w:rPr>
          <w:rFonts w:ascii="Arial" w:hAnsi="Arial" w:cs="Arial"/>
          <w:color w:val="000000" w:themeColor="text1"/>
          <w:shd w:val="clear" w:color="auto" w:fill="FFFFFF"/>
        </w:rPr>
        <w:t>, 70(4), 501-507. DOI:</w:t>
      </w:r>
      <w:r w:rsidRPr="00D771C3">
        <w:rPr>
          <w:rFonts w:ascii="Arial" w:hAnsi="Arial" w:cs="Arial"/>
          <w:color w:val="000000" w:themeColor="text1"/>
        </w:rPr>
        <w:t xml:space="preserve"> </w:t>
      </w:r>
      <w:hyperlink r:id="rId17" w:tgtFrame="_blank" w:tooltip="Persistent link using digital object identifier" w:history="1">
        <w:r w:rsidRPr="00D771C3">
          <w:rPr>
            <w:rStyle w:val="anchor-text"/>
            <w:rFonts w:ascii="Arial" w:hAnsi="Arial" w:cs="Arial"/>
            <w:color w:val="000000" w:themeColor="text1"/>
          </w:rPr>
          <w:t>10.1016/j.ijtb.2023.05.020</w:t>
        </w:r>
      </w:hyperlink>
    </w:p>
    <w:p w14:paraId="4DB7B009" w14:textId="77777777" w:rsidR="00DA32EC" w:rsidRPr="00D771C3" w:rsidRDefault="00D771C3" w:rsidP="00D771C3">
      <w:pPr>
        <w:pStyle w:val="Body"/>
        <w:numPr>
          <w:ilvl w:val="0"/>
          <w:numId w:val="33"/>
        </w:numPr>
        <w:spacing w:after="0"/>
        <w:rPr>
          <w:rFonts w:ascii="Arial" w:hAnsi="Arial" w:cs="Arial"/>
          <w:color w:val="000000" w:themeColor="text1"/>
        </w:rPr>
      </w:pPr>
      <w:proofErr w:type="spellStart"/>
      <w:r w:rsidRPr="00D771C3">
        <w:rPr>
          <w:rFonts w:ascii="Arial" w:hAnsi="Arial" w:cs="Arial"/>
          <w:color w:val="000000" w:themeColor="text1"/>
          <w:shd w:val="clear" w:color="auto" w:fill="FFFFFF"/>
        </w:rPr>
        <w:t>Septiafni</w:t>
      </w:r>
      <w:proofErr w:type="spellEnd"/>
      <w:r w:rsidRPr="00D771C3">
        <w:rPr>
          <w:rFonts w:ascii="Arial" w:hAnsi="Arial" w:cs="Arial"/>
          <w:color w:val="000000" w:themeColor="text1"/>
          <w:shd w:val="clear" w:color="auto" w:fill="FFFFFF"/>
        </w:rPr>
        <w:t xml:space="preserve">, K., </w:t>
      </w:r>
      <w:proofErr w:type="spellStart"/>
      <w:r w:rsidRPr="00D771C3">
        <w:rPr>
          <w:rFonts w:ascii="Arial" w:hAnsi="Arial" w:cs="Arial"/>
          <w:color w:val="000000" w:themeColor="text1"/>
          <w:shd w:val="clear" w:color="auto" w:fill="FFFFFF"/>
        </w:rPr>
        <w:t>Pamudji</w:t>
      </w:r>
      <w:proofErr w:type="spellEnd"/>
      <w:r w:rsidRPr="00D771C3">
        <w:rPr>
          <w:rFonts w:ascii="Arial" w:hAnsi="Arial" w:cs="Arial"/>
          <w:color w:val="000000" w:themeColor="text1"/>
          <w:shd w:val="clear" w:color="auto" w:fill="FFFFFF"/>
        </w:rPr>
        <w:t xml:space="preserve">, R., </w:t>
      </w:r>
      <w:proofErr w:type="spellStart"/>
      <w:r w:rsidRPr="00D771C3">
        <w:rPr>
          <w:rFonts w:ascii="Arial" w:hAnsi="Arial" w:cs="Arial"/>
          <w:color w:val="000000" w:themeColor="text1"/>
          <w:shd w:val="clear" w:color="auto" w:fill="FFFFFF"/>
        </w:rPr>
        <w:t>Rusmawardiana</w:t>
      </w:r>
      <w:proofErr w:type="spellEnd"/>
      <w:r w:rsidRPr="00D771C3">
        <w:rPr>
          <w:rFonts w:ascii="Arial" w:hAnsi="Arial" w:cs="Arial"/>
          <w:color w:val="000000" w:themeColor="text1"/>
          <w:shd w:val="clear" w:color="auto" w:fill="FFFFFF"/>
        </w:rPr>
        <w:t>, R., &amp; Argentina, F. (2022). Tuberculosis verrucous cutis mimicking chromoblastomycosis: A case report and diagnostic challenges. </w:t>
      </w:r>
      <w:r w:rsidRPr="00D771C3">
        <w:rPr>
          <w:rFonts w:ascii="Arial" w:hAnsi="Arial" w:cs="Arial"/>
          <w:color w:val="000000" w:themeColor="text1"/>
        </w:rPr>
        <w:t xml:space="preserve">Int. J. </w:t>
      </w:r>
      <w:proofErr w:type="spellStart"/>
      <w:r w:rsidRPr="00D771C3">
        <w:rPr>
          <w:rFonts w:ascii="Arial" w:hAnsi="Arial" w:cs="Arial"/>
          <w:color w:val="000000" w:themeColor="text1"/>
        </w:rPr>
        <w:t>Mycobacteriol</w:t>
      </w:r>
      <w:proofErr w:type="spellEnd"/>
      <w:r w:rsidRPr="00D771C3">
        <w:rPr>
          <w:rFonts w:ascii="Arial" w:hAnsi="Arial" w:cs="Arial"/>
          <w:color w:val="000000" w:themeColor="text1"/>
          <w:shd w:val="clear" w:color="auto" w:fill="FFFFFF"/>
        </w:rPr>
        <w:t xml:space="preserve">, 11(2), 208-210. </w:t>
      </w:r>
      <w:r w:rsidRPr="00D771C3">
        <w:rPr>
          <w:rStyle w:val="ej-journal-doi"/>
          <w:rFonts w:ascii="Arial" w:hAnsi="Arial" w:cs="Arial"/>
          <w:color w:val="000000" w:themeColor="text1"/>
          <w:shd w:val="clear" w:color="auto" w:fill="FFFFFF"/>
        </w:rPr>
        <w:t>DOI: </w:t>
      </w:r>
      <w:r w:rsidRPr="00D771C3">
        <w:rPr>
          <w:rFonts w:ascii="Arial" w:hAnsi="Arial" w:cs="Arial"/>
          <w:color w:val="000000" w:themeColor="text1"/>
          <w:shd w:val="clear" w:color="auto" w:fill="FFFFFF"/>
        </w:rPr>
        <w:t>10.4103/ijmy.ijmy_57_22</w:t>
      </w:r>
    </w:p>
    <w:p w14:paraId="1AE922D0" w14:textId="34F54F63" w:rsidR="00D771C3" w:rsidRPr="00D771C3" w:rsidRDefault="005322C4" w:rsidP="00D771C3">
      <w:pPr>
        <w:pStyle w:val="Body"/>
        <w:numPr>
          <w:ilvl w:val="0"/>
          <w:numId w:val="33"/>
        </w:numPr>
        <w:spacing w:after="0"/>
        <w:rPr>
          <w:rFonts w:ascii="Arial" w:hAnsi="Arial" w:cs="Arial"/>
          <w:color w:val="000000" w:themeColor="text1"/>
        </w:rPr>
      </w:pPr>
      <w:r w:rsidRPr="005322C4">
        <w:rPr>
          <w:rFonts w:ascii="Arial" w:hAnsi="Arial" w:cs="Arial"/>
          <w:color w:val="000000" w:themeColor="text1"/>
          <w:shd w:val="clear" w:color="auto" w:fill="FFFFFF"/>
        </w:rPr>
        <w:t xml:space="preserve">Weaver, D. A. R., Pacheco, J. M. P., Palafox, S. Y. H., Aquino, A. L., &amp; Mata, J. Á. I. R. (2023). Verrucous cutaneous tuberculosis: report of a case in an atypical location. Dermatol. </w:t>
      </w:r>
      <w:proofErr w:type="spellStart"/>
      <w:r w:rsidRPr="005322C4">
        <w:rPr>
          <w:rFonts w:ascii="Arial" w:hAnsi="Arial" w:cs="Arial"/>
          <w:color w:val="000000" w:themeColor="text1"/>
          <w:shd w:val="clear" w:color="auto" w:fill="FFFFFF"/>
        </w:rPr>
        <w:t>Cosmet</w:t>
      </w:r>
      <w:proofErr w:type="spellEnd"/>
      <w:r w:rsidRPr="005322C4">
        <w:rPr>
          <w:rFonts w:ascii="Arial" w:hAnsi="Arial" w:cs="Arial"/>
          <w:color w:val="000000" w:themeColor="text1"/>
          <w:shd w:val="clear" w:color="auto" w:fill="FFFFFF"/>
        </w:rPr>
        <w:t xml:space="preserve">. Med. </w:t>
      </w:r>
      <w:proofErr w:type="spellStart"/>
      <w:r w:rsidRPr="005322C4">
        <w:rPr>
          <w:rFonts w:ascii="Arial" w:hAnsi="Arial" w:cs="Arial"/>
          <w:color w:val="000000" w:themeColor="text1"/>
          <w:shd w:val="clear" w:color="auto" w:fill="FFFFFF"/>
        </w:rPr>
        <w:t>Quirúrg</w:t>
      </w:r>
      <w:proofErr w:type="spellEnd"/>
      <w:r w:rsidRPr="005322C4">
        <w:rPr>
          <w:rFonts w:ascii="Arial" w:hAnsi="Arial" w:cs="Arial"/>
          <w:color w:val="000000" w:themeColor="text1"/>
          <w:shd w:val="clear" w:color="auto" w:fill="FFFFFF"/>
        </w:rPr>
        <w:t>, 20(4), 427-430</w:t>
      </w:r>
      <w:r w:rsidR="00D771C3" w:rsidRPr="00D771C3">
        <w:rPr>
          <w:rFonts w:ascii="Arial" w:hAnsi="Arial" w:cs="Arial"/>
          <w:color w:val="000000" w:themeColor="text1"/>
          <w:shd w:val="clear" w:color="auto" w:fill="FFFFFF"/>
        </w:rPr>
        <w:t>.</w:t>
      </w:r>
    </w:p>
    <w:p w14:paraId="7CE93B5C" w14:textId="77777777" w:rsidR="00D771C3" w:rsidRPr="00D771C3" w:rsidRDefault="00D771C3" w:rsidP="00D771C3">
      <w:pPr>
        <w:pStyle w:val="Body"/>
        <w:numPr>
          <w:ilvl w:val="0"/>
          <w:numId w:val="33"/>
        </w:numPr>
        <w:spacing w:after="0"/>
        <w:rPr>
          <w:rFonts w:ascii="Arial" w:hAnsi="Arial" w:cs="Arial"/>
          <w:color w:val="000000" w:themeColor="text1"/>
        </w:rPr>
      </w:pPr>
      <w:r w:rsidRPr="00D771C3">
        <w:rPr>
          <w:rFonts w:ascii="Arial" w:hAnsi="Arial" w:cs="Arial"/>
          <w:color w:val="000000" w:themeColor="text1"/>
          <w:shd w:val="clear" w:color="auto" w:fill="FFFFFF"/>
        </w:rPr>
        <w:t xml:space="preserve">Hadj, I., Meziane, M., </w:t>
      </w:r>
      <w:proofErr w:type="spellStart"/>
      <w:r w:rsidRPr="00D771C3">
        <w:rPr>
          <w:rFonts w:ascii="Arial" w:hAnsi="Arial" w:cs="Arial"/>
          <w:color w:val="000000" w:themeColor="text1"/>
          <w:shd w:val="clear" w:color="auto" w:fill="FFFFFF"/>
        </w:rPr>
        <w:t>Mikou</w:t>
      </w:r>
      <w:proofErr w:type="spellEnd"/>
      <w:r w:rsidRPr="00D771C3">
        <w:rPr>
          <w:rFonts w:ascii="Arial" w:hAnsi="Arial" w:cs="Arial"/>
          <w:color w:val="000000" w:themeColor="text1"/>
          <w:shd w:val="clear" w:color="auto" w:fill="FFFFFF"/>
        </w:rPr>
        <w:t xml:space="preserve">, O., Inani, K., </w:t>
      </w:r>
      <w:proofErr w:type="spellStart"/>
      <w:r w:rsidRPr="00D771C3">
        <w:rPr>
          <w:rFonts w:ascii="Arial" w:hAnsi="Arial" w:cs="Arial"/>
          <w:color w:val="000000" w:themeColor="text1"/>
          <w:shd w:val="clear" w:color="auto" w:fill="FFFFFF"/>
        </w:rPr>
        <w:t>Harmouch</w:t>
      </w:r>
      <w:proofErr w:type="spellEnd"/>
      <w:r w:rsidRPr="00D771C3">
        <w:rPr>
          <w:rFonts w:ascii="Arial" w:hAnsi="Arial" w:cs="Arial"/>
          <w:color w:val="000000" w:themeColor="text1"/>
          <w:shd w:val="clear" w:color="auto" w:fill="FFFFFF"/>
        </w:rPr>
        <w:t xml:space="preserve">, T., &amp; Mernissi, F. Z. (2014). Tuberculous </w:t>
      </w:r>
      <w:proofErr w:type="spellStart"/>
      <w:r w:rsidRPr="00D771C3">
        <w:rPr>
          <w:rFonts w:ascii="Arial" w:hAnsi="Arial" w:cs="Arial"/>
          <w:color w:val="000000" w:themeColor="text1"/>
          <w:shd w:val="clear" w:color="auto" w:fill="FFFFFF"/>
        </w:rPr>
        <w:t>gummas</w:t>
      </w:r>
      <w:proofErr w:type="spellEnd"/>
      <w:r w:rsidRPr="00D771C3">
        <w:rPr>
          <w:rFonts w:ascii="Arial" w:hAnsi="Arial" w:cs="Arial"/>
          <w:color w:val="000000" w:themeColor="text1"/>
          <w:shd w:val="clear" w:color="auto" w:fill="FFFFFF"/>
        </w:rPr>
        <w:t xml:space="preserve"> with </w:t>
      </w:r>
      <w:proofErr w:type="spellStart"/>
      <w:r w:rsidRPr="00D771C3">
        <w:rPr>
          <w:rFonts w:ascii="Arial" w:hAnsi="Arial" w:cs="Arial"/>
          <w:color w:val="000000" w:themeColor="text1"/>
          <w:shd w:val="clear" w:color="auto" w:fill="FFFFFF"/>
        </w:rPr>
        <w:t>sporotrichoid</w:t>
      </w:r>
      <w:proofErr w:type="spellEnd"/>
      <w:r w:rsidRPr="00D771C3">
        <w:rPr>
          <w:rFonts w:ascii="Arial" w:hAnsi="Arial" w:cs="Arial"/>
          <w:color w:val="000000" w:themeColor="text1"/>
          <w:shd w:val="clear" w:color="auto" w:fill="FFFFFF"/>
        </w:rPr>
        <w:t xml:space="preserve"> pattern in a 57-year-old female: A case report and review of the literature. </w:t>
      </w:r>
      <w:r w:rsidRPr="00D771C3">
        <w:rPr>
          <w:rFonts w:ascii="Arial" w:hAnsi="Arial" w:cs="Arial"/>
          <w:color w:val="000000" w:themeColor="text1"/>
        </w:rPr>
        <w:t xml:space="preserve">Int. J. </w:t>
      </w:r>
      <w:proofErr w:type="spellStart"/>
      <w:r w:rsidRPr="00D771C3">
        <w:rPr>
          <w:rFonts w:ascii="Arial" w:hAnsi="Arial" w:cs="Arial"/>
          <w:color w:val="000000" w:themeColor="text1"/>
        </w:rPr>
        <w:t>Mycobacteriol</w:t>
      </w:r>
      <w:proofErr w:type="spellEnd"/>
      <w:r w:rsidRPr="00D771C3">
        <w:rPr>
          <w:rFonts w:ascii="Arial" w:hAnsi="Arial" w:cs="Arial"/>
          <w:color w:val="000000" w:themeColor="text1"/>
          <w:shd w:val="clear" w:color="auto" w:fill="FFFFFF"/>
        </w:rPr>
        <w:t>, 3(1), 66-70. DOI:</w:t>
      </w:r>
      <w:r w:rsidRPr="00D771C3">
        <w:rPr>
          <w:rFonts w:ascii="Arial" w:hAnsi="Arial" w:cs="Arial"/>
          <w:color w:val="000000" w:themeColor="text1"/>
        </w:rPr>
        <w:t xml:space="preserve"> </w:t>
      </w:r>
      <w:hyperlink r:id="rId18" w:tgtFrame="_blank" w:tooltip="Persistent link using digital object identifier" w:history="1">
        <w:r w:rsidRPr="00D771C3">
          <w:rPr>
            <w:rStyle w:val="anchor-text"/>
            <w:rFonts w:ascii="Arial" w:hAnsi="Arial" w:cs="Arial"/>
            <w:color w:val="000000" w:themeColor="text1"/>
          </w:rPr>
          <w:t>10.1016/j.ijmyco.2013.10.007</w:t>
        </w:r>
      </w:hyperlink>
    </w:p>
    <w:p w14:paraId="1A97224C" w14:textId="77777777" w:rsidR="00441B6F" w:rsidRPr="00A5730D" w:rsidRDefault="00441B6F" w:rsidP="00A5730D">
      <w:pPr>
        <w:pStyle w:val="Body"/>
        <w:spacing w:after="0"/>
        <w:jc w:val="left"/>
      </w:pPr>
    </w:p>
    <w:p w14:paraId="330B8A69" w14:textId="77777777" w:rsidR="00441B6F" w:rsidRDefault="00441B6F" w:rsidP="00A5730D">
      <w:pPr>
        <w:pStyle w:val="Body"/>
        <w:spacing w:after="0"/>
        <w:jc w:val="left"/>
        <w:rPr>
          <w:rFonts w:ascii="Arial" w:hAnsi="Arial" w:cs="Arial"/>
        </w:rPr>
      </w:pPr>
    </w:p>
    <w:p w14:paraId="5CC9BEF3" w14:textId="77777777" w:rsidR="00732965" w:rsidRPr="00A5730D" w:rsidRDefault="00732965" w:rsidP="00A5730D">
      <w:pPr>
        <w:pStyle w:val="Body"/>
        <w:spacing w:after="0"/>
        <w:jc w:val="left"/>
        <w:rPr>
          <w:rFonts w:ascii="Arial" w:hAnsi="Arial" w:cs="Arial"/>
        </w:rPr>
      </w:pPr>
    </w:p>
    <w:p w14:paraId="6ABC6E18" w14:textId="77777777" w:rsidR="00D771C3" w:rsidRPr="00FB3A86" w:rsidRDefault="00D771C3" w:rsidP="00441B6F">
      <w:pPr>
        <w:pStyle w:val="Body"/>
        <w:spacing w:after="0"/>
        <w:rPr>
          <w:rFonts w:ascii="Arial" w:hAnsi="Arial" w:cs="Arial"/>
        </w:rPr>
      </w:pPr>
    </w:p>
    <w:p w14:paraId="6182E157" w14:textId="77777777" w:rsidR="00B01FCD" w:rsidRDefault="00B01FCD" w:rsidP="00441B6F">
      <w:pPr>
        <w:pStyle w:val="Appendix"/>
        <w:spacing w:after="0"/>
        <w:jc w:val="both"/>
        <w:rPr>
          <w:rFonts w:ascii="Arial" w:hAnsi="Arial" w:cs="Arial"/>
          <w:b w:val="0"/>
        </w:rPr>
      </w:pPr>
    </w:p>
    <w:p w14:paraId="750BA7C9" w14:textId="77777777" w:rsidR="00D05083" w:rsidRPr="00FB3A86" w:rsidRDefault="00D05083" w:rsidP="00441B6F">
      <w:pPr>
        <w:pStyle w:val="Appendix"/>
        <w:spacing w:after="0"/>
        <w:jc w:val="both"/>
        <w:rPr>
          <w:rFonts w:ascii="Arial" w:hAnsi="Arial" w:cs="Arial"/>
          <w:b w:val="0"/>
        </w:rPr>
      </w:pPr>
    </w:p>
    <w:sectPr w:rsidR="00D05083" w:rsidRPr="00FB3A86" w:rsidSect="00C64E26">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D9231" w14:textId="77777777" w:rsidR="00745D18" w:rsidRDefault="00745D18" w:rsidP="00C37E61">
      <w:r>
        <w:separator/>
      </w:r>
    </w:p>
  </w:endnote>
  <w:endnote w:type="continuationSeparator" w:id="0">
    <w:p w14:paraId="20619507" w14:textId="77777777" w:rsidR="00745D18" w:rsidRDefault="00745D1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D0792" w14:textId="77777777" w:rsidR="00912697" w:rsidRDefault="00912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64A94" w14:textId="77777777" w:rsidR="00912697" w:rsidRDefault="00912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8F2AD" w14:textId="0EDEC42F" w:rsidR="00754C9A" w:rsidRPr="00C64E26" w:rsidRDefault="00754C9A" w:rsidP="00C64E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C66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57201" w14:textId="77777777" w:rsidR="00745D18" w:rsidRDefault="00745D18" w:rsidP="00C37E61">
      <w:r>
        <w:separator/>
      </w:r>
    </w:p>
  </w:footnote>
  <w:footnote w:type="continuationSeparator" w:id="0">
    <w:p w14:paraId="1745851B" w14:textId="77777777" w:rsidR="00745D18" w:rsidRDefault="00745D1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55533" w14:textId="3D385A53" w:rsidR="00912697" w:rsidRDefault="00912697">
    <w:pPr>
      <w:pStyle w:val="Header"/>
    </w:pPr>
    <w:r>
      <w:rPr>
        <w:noProof/>
      </w:rPr>
      <w:pict w14:anchorId="67F50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666016"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A9FD" w14:textId="0D1BD5F7" w:rsidR="00912697" w:rsidRDefault="00912697">
    <w:pPr>
      <w:pStyle w:val="Header"/>
    </w:pPr>
    <w:r>
      <w:rPr>
        <w:noProof/>
      </w:rPr>
      <w:pict w14:anchorId="3F0A66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666017"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5AD10" w14:textId="7452115A" w:rsidR="00296529" w:rsidRPr="00296529" w:rsidRDefault="00912697" w:rsidP="00296529">
    <w:pPr>
      <w:ind w:left="2160"/>
      <w:jc w:val="center"/>
      <w:rPr>
        <w:rFonts w:ascii="Times New Roman" w:eastAsia="Calibri" w:hAnsi="Times New Roman"/>
        <w:i/>
        <w:sz w:val="18"/>
        <w:szCs w:val="22"/>
      </w:rPr>
    </w:pPr>
    <w:r>
      <w:rPr>
        <w:noProof/>
      </w:rPr>
      <w:pict w14:anchorId="53EE34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666015"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66CF53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D07ED8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42F8CB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35FEF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582B29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209ACB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59F5A" w14:textId="2A8F19F4" w:rsidR="00912697" w:rsidRDefault="00912697">
    <w:pPr>
      <w:pStyle w:val="Header"/>
    </w:pPr>
    <w:r>
      <w:rPr>
        <w:noProof/>
      </w:rPr>
      <w:pict w14:anchorId="71A03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666019"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DF789" w14:textId="1B5EC521" w:rsidR="00912697" w:rsidRDefault="00912697">
    <w:pPr>
      <w:pStyle w:val="Header"/>
    </w:pPr>
    <w:r>
      <w:rPr>
        <w:noProof/>
      </w:rPr>
      <w:pict w14:anchorId="6D20B8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666020"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C79A" w14:textId="6ED33830" w:rsidR="00912697" w:rsidRDefault="00912697">
    <w:pPr>
      <w:pStyle w:val="Header"/>
    </w:pPr>
    <w:r>
      <w:rPr>
        <w:noProof/>
      </w:rPr>
      <w:pict w14:anchorId="2F15B5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666018"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D7B2594"/>
    <w:multiLevelType w:val="hybridMultilevel"/>
    <w:tmpl w:val="EA485CF6"/>
    <w:lvl w:ilvl="0" w:tplc="5210B0D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660312B"/>
    <w:multiLevelType w:val="hybridMultilevel"/>
    <w:tmpl w:val="E5BAA7DC"/>
    <w:lvl w:ilvl="0" w:tplc="DB48196C">
      <w:start w:val="1"/>
      <w:numFmt w:val="decimal"/>
      <w:lvlText w:val="%1-"/>
      <w:lvlJc w:val="left"/>
      <w:pPr>
        <w:ind w:left="720" w:hanging="360"/>
      </w:pPr>
      <w:rPr>
        <w:rFonts w:eastAsiaTheme="maj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0A6483"/>
    <w:multiLevelType w:val="hybridMultilevel"/>
    <w:tmpl w:val="68644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051092"/>
    <w:multiLevelType w:val="hybridMultilevel"/>
    <w:tmpl w:val="C062EFA0"/>
    <w:lvl w:ilvl="0" w:tplc="5210B0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0DC4E7D"/>
    <w:multiLevelType w:val="hybridMultilevel"/>
    <w:tmpl w:val="11404376"/>
    <w:lvl w:ilvl="0" w:tplc="5210B0D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138514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43602528">
    <w:abstractNumId w:val="19"/>
  </w:num>
  <w:num w:numId="3" w16cid:durableId="310135794">
    <w:abstractNumId w:val="28"/>
  </w:num>
  <w:num w:numId="4" w16cid:durableId="86475011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43953509">
    <w:abstractNumId w:val="7"/>
  </w:num>
  <w:num w:numId="6" w16cid:durableId="31155046">
    <w:abstractNumId w:val="6"/>
  </w:num>
  <w:num w:numId="7" w16cid:durableId="2101636575">
    <w:abstractNumId w:val="1"/>
  </w:num>
  <w:num w:numId="8" w16cid:durableId="1427841979">
    <w:abstractNumId w:val="13"/>
  </w:num>
  <w:num w:numId="9" w16cid:durableId="271715972">
    <w:abstractNumId w:val="30"/>
  </w:num>
  <w:num w:numId="10" w16cid:durableId="683630603">
    <w:abstractNumId w:val="2"/>
  </w:num>
  <w:num w:numId="11" w16cid:durableId="985160035">
    <w:abstractNumId w:val="23"/>
  </w:num>
  <w:num w:numId="12" w16cid:durableId="755907478">
    <w:abstractNumId w:val="3"/>
  </w:num>
  <w:num w:numId="13" w16cid:durableId="317729562">
    <w:abstractNumId w:val="22"/>
  </w:num>
  <w:num w:numId="14" w16cid:durableId="670136947">
    <w:abstractNumId w:val="8"/>
  </w:num>
  <w:num w:numId="15" w16cid:durableId="211969510">
    <w:abstractNumId w:val="26"/>
  </w:num>
  <w:num w:numId="16" w16cid:durableId="456993804">
    <w:abstractNumId w:val="5"/>
  </w:num>
  <w:num w:numId="17" w16cid:durableId="1901623835">
    <w:abstractNumId w:val="27"/>
  </w:num>
  <w:num w:numId="18" w16cid:durableId="1096705183">
    <w:abstractNumId w:val="15"/>
  </w:num>
  <w:num w:numId="19" w16cid:durableId="873277272">
    <w:abstractNumId w:val="33"/>
  </w:num>
  <w:num w:numId="20" w16cid:durableId="1319310462">
    <w:abstractNumId w:val="12"/>
  </w:num>
  <w:num w:numId="21" w16cid:durableId="277223824">
    <w:abstractNumId w:val="10"/>
  </w:num>
  <w:num w:numId="22" w16cid:durableId="1388843142">
    <w:abstractNumId w:val="14"/>
  </w:num>
  <w:num w:numId="23" w16cid:durableId="1688169045">
    <w:abstractNumId w:val="24"/>
  </w:num>
  <w:num w:numId="24" w16cid:durableId="467288633">
    <w:abstractNumId w:val="31"/>
  </w:num>
  <w:num w:numId="25" w16cid:durableId="403916507">
    <w:abstractNumId w:val="4"/>
  </w:num>
  <w:num w:numId="26" w16cid:durableId="1581255018">
    <w:abstractNumId w:val="21"/>
  </w:num>
  <w:num w:numId="27" w16cid:durableId="1965572767">
    <w:abstractNumId w:val="25"/>
  </w:num>
  <w:num w:numId="28" w16cid:durableId="1511873295">
    <w:abstractNumId w:val="32"/>
  </w:num>
  <w:num w:numId="29" w16cid:durableId="470753538">
    <w:abstractNumId w:val="29"/>
  </w:num>
  <w:num w:numId="30" w16cid:durableId="1371035887">
    <w:abstractNumId w:val="11"/>
  </w:num>
  <w:num w:numId="31" w16cid:durableId="2059207354">
    <w:abstractNumId w:val="18"/>
  </w:num>
  <w:num w:numId="32" w16cid:durableId="951477764">
    <w:abstractNumId w:val="9"/>
  </w:num>
  <w:num w:numId="33" w16cid:durableId="1657032602">
    <w:abstractNumId w:val="20"/>
  </w:num>
  <w:num w:numId="34" w16cid:durableId="1424761241">
    <w:abstractNumId w:val="16"/>
  </w:num>
  <w:num w:numId="35" w16cid:durableId="9240745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3311"/>
    <w:rsid w:val="00030174"/>
    <w:rsid w:val="0004130D"/>
    <w:rsid w:val="0004579C"/>
    <w:rsid w:val="00096DC0"/>
    <w:rsid w:val="000A47FA"/>
    <w:rsid w:val="000A65D3"/>
    <w:rsid w:val="000B1E33"/>
    <w:rsid w:val="000D689F"/>
    <w:rsid w:val="000E7B7B"/>
    <w:rsid w:val="000E7D62"/>
    <w:rsid w:val="00103357"/>
    <w:rsid w:val="00123C9F"/>
    <w:rsid w:val="00126190"/>
    <w:rsid w:val="00130F17"/>
    <w:rsid w:val="001320BF"/>
    <w:rsid w:val="00163BC4"/>
    <w:rsid w:val="00173BE6"/>
    <w:rsid w:val="00191062"/>
    <w:rsid w:val="00192B72"/>
    <w:rsid w:val="001A29D8"/>
    <w:rsid w:val="001A5CAA"/>
    <w:rsid w:val="001B0427"/>
    <w:rsid w:val="001D3A51"/>
    <w:rsid w:val="001E10D2"/>
    <w:rsid w:val="001E25B4"/>
    <w:rsid w:val="001E44FE"/>
    <w:rsid w:val="00200595"/>
    <w:rsid w:val="00204835"/>
    <w:rsid w:val="00231920"/>
    <w:rsid w:val="0023195C"/>
    <w:rsid w:val="00240120"/>
    <w:rsid w:val="0024282C"/>
    <w:rsid w:val="002460DC"/>
    <w:rsid w:val="00250985"/>
    <w:rsid w:val="002556F6"/>
    <w:rsid w:val="00283105"/>
    <w:rsid w:val="00284C4C"/>
    <w:rsid w:val="00287E68"/>
    <w:rsid w:val="00287EE2"/>
    <w:rsid w:val="00296529"/>
    <w:rsid w:val="002A2AC6"/>
    <w:rsid w:val="002B27FB"/>
    <w:rsid w:val="002B685A"/>
    <w:rsid w:val="002C57D2"/>
    <w:rsid w:val="002E0D56"/>
    <w:rsid w:val="00315186"/>
    <w:rsid w:val="0033343E"/>
    <w:rsid w:val="003512C2"/>
    <w:rsid w:val="00371FB6"/>
    <w:rsid w:val="003763C1"/>
    <w:rsid w:val="00376BBE"/>
    <w:rsid w:val="00391D73"/>
    <w:rsid w:val="0039224F"/>
    <w:rsid w:val="003A43A4"/>
    <w:rsid w:val="003A7E18"/>
    <w:rsid w:val="003C4C86"/>
    <w:rsid w:val="003C6258"/>
    <w:rsid w:val="003E2904"/>
    <w:rsid w:val="00400633"/>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26DE0"/>
    <w:rsid w:val="0053056E"/>
    <w:rsid w:val="005322C4"/>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2965"/>
    <w:rsid w:val="007369E6"/>
    <w:rsid w:val="00745D18"/>
    <w:rsid w:val="00746E59"/>
    <w:rsid w:val="00754C9A"/>
    <w:rsid w:val="0075599A"/>
    <w:rsid w:val="00761D52"/>
    <w:rsid w:val="0077749E"/>
    <w:rsid w:val="00790ADA"/>
    <w:rsid w:val="007A099A"/>
    <w:rsid w:val="007B13CB"/>
    <w:rsid w:val="007D2288"/>
    <w:rsid w:val="007E088F"/>
    <w:rsid w:val="007F7B32"/>
    <w:rsid w:val="00804BC2"/>
    <w:rsid w:val="0081431A"/>
    <w:rsid w:val="008277A3"/>
    <w:rsid w:val="0083216F"/>
    <w:rsid w:val="00842F7B"/>
    <w:rsid w:val="00860000"/>
    <w:rsid w:val="00863BD3"/>
    <w:rsid w:val="008641ED"/>
    <w:rsid w:val="00866D66"/>
    <w:rsid w:val="008671C6"/>
    <w:rsid w:val="00875803"/>
    <w:rsid w:val="008B459E"/>
    <w:rsid w:val="008C41A1"/>
    <w:rsid w:val="008E13AE"/>
    <w:rsid w:val="008E1506"/>
    <w:rsid w:val="008E710C"/>
    <w:rsid w:val="008F69D6"/>
    <w:rsid w:val="00902823"/>
    <w:rsid w:val="00912697"/>
    <w:rsid w:val="00915CA6"/>
    <w:rsid w:val="00927834"/>
    <w:rsid w:val="009500A6"/>
    <w:rsid w:val="00957C18"/>
    <w:rsid w:val="009659BA"/>
    <w:rsid w:val="00983040"/>
    <w:rsid w:val="009B3FB9"/>
    <w:rsid w:val="009C2465"/>
    <w:rsid w:val="009D35A0"/>
    <w:rsid w:val="009D7EB7"/>
    <w:rsid w:val="009D7F25"/>
    <w:rsid w:val="009E048A"/>
    <w:rsid w:val="009E08E9"/>
    <w:rsid w:val="009E3DB9"/>
    <w:rsid w:val="009E6E35"/>
    <w:rsid w:val="009F0EDA"/>
    <w:rsid w:val="00A03B96"/>
    <w:rsid w:val="00A05B19"/>
    <w:rsid w:val="00A1134E"/>
    <w:rsid w:val="00A24E7E"/>
    <w:rsid w:val="00A258C3"/>
    <w:rsid w:val="00A347C0"/>
    <w:rsid w:val="00A51431"/>
    <w:rsid w:val="00A539AD"/>
    <w:rsid w:val="00A5730D"/>
    <w:rsid w:val="00A94063"/>
    <w:rsid w:val="00AA6219"/>
    <w:rsid w:val="00AA74E0"/>
    <w:rsid w:val="00AB703F"/>
    <w:rsid w:val="00AC6BB8"/>
    <w:rsid w:val="00AD0B50"/>
    <w:rsid w:val="00AE008F"/>
    <w:rsid w:val="00B01FCD"/>
    <w:rsid w:val="00B024A2"/>
    <w:rsid w:val="00B1776C"/>
    <w:rsid w:val="00B52583"/>
    <w:rsid w:val="00B52896"/>
    <w:rsid w:val="00B95236"/>
    <w:rsid w:val="00B96BD9"/>
    <w:rsid w:val="00BA1B01"/>
    <w:rsid w:val="00BA2641"/>
    <w:rsid w:val="00BB1F33"/>
    <w:rsid w:val="00BB37AA"/>
    <w:rsid w:val="00BC53A0"/>
    <w:rsid w:val="00BE62AD"/>
    <w:rsid w:val="00BF121F"/>
    <w:rsid w:val="00BF1F80"/>
    <w:rsid w:val="00C166EF"/>
    <w:rsid w:val="00C17EB0"/>
    <w:rsid w:val="00C27F5F"/>
    <w:rsid w:val="00C30A0F"/>
    <w:rsid w:val="00C37E61"/>
    <w:rsid w:val="00C64E26"/>
    <w:rsid w:val="00C70F1B"/>
    <w:rsid w:val="00C71A47"/>
    <w:rsid w:val="00C7464C"/>
    <w:rsid w:val="00C85588"/>
    <w:rsid w:val="00CC76E0"/>
    <w:rsid w:val="00CD6755"/>
    <w:rsid w:val="00CD6856"/>
    <w:rsid w:val="00CE0089"/>
    <w:rsid w:val="00CE793C"/>
    <w:rsid w:val="00CF193C"/>
    <w:rsid w:val="00D05083"/>
    <w:rsid w:val="00D173F1"/>
    <w:rsid w:val="00D43144"/>
    <w:rsid w:val="00D74CB0"/>
    <w:rsid w:val="00D771C3"/>
    <w:rsid w:val="00D8295D"/>
    <w:rsid w:val="00D94CC5"/>
    <w:rsid w:val="00DA32EC"/>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6AC2"/>
    <w:rsid w:val="00EA012C"/>
    <w:rsid w:val="00EA58AA"/>
    <w:rsid w:val="00EC6A55"/>
    <w:rsid w:val="00ED0288"/>
    <w:rsid w:val="00EE52CB"/>
    <w:rsid w:val="00EF581D"/>
    <w:rsid w:val="00EF7FD8"/>
    <w:rsid w:val="00F06F59"/>
    <w:rsid w:val="00F17988"/>
    <w:rsid w:val="00F469F0"/>
    <w:rsid w:val="00F53273"/>
    <w:rsid w:val="00F55A9E"/>
    <w:rsid w:val="00F755E4"/>
    <w:rsid w:val="00F77D02"/>
    <w:rsid w:val="00FB3A86"/>
    <w:rsid w:val="00FC1DAA"/>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FB5FC4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4">
    <w:name w:val="heading 4"/>
    <w:basedOn w:val="Normal"/>
    <w:next w:val="Normal"/>
    <w:link w:val="Heading4Char"/>
    <w:semiHidden/>
    <w:unhideWhenUsed/>
    <w:qFormat/>
    <w:rsid w:val="00E96AC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BB1F33"/>
    <w:pPr>
      <w:spacing w:before="100" w:beforeAutospacing="1" w:after="100" w:afterAutospacing="1"/>
    </w:pPr>
    <w:rPr>
      <w:rFonts w:ascii="Times New Roman" w:hAnsi="Times New Roman"/>
      <w:sz w:val="24"/>
      <w:szCs w:val="24"/>
      <w:lang w:val="fr-MA" w:eastAsia="fr-FR"/>
    </w:rPr>
  </w:style>
  <w:style w:type="character" w:styleId="Strong">
    <w:name w:val="Strong"/>
    <w:basedOn w:val="DefaultParagraphFont"/>
    <w:uiPriority w:val="22"/>
    <w:qFormat/>
    <w:rsid w:val="00BB1F33"/>
    <w:rPr>
      <w:b/>
      <w:bCs/>
    </w:rPr>
  </w:style>
  <w:style w:type="character" w:customStyle="1" w:styleId="ej-journal-doi">
    <w:name w:val="ej-journal-doi"/>
    <w:basedOn w:val="DefaultParagraphFont"/>
    <w:rsid w:val="00AD0B50"/>
  </w:style>
  <w:style w:type="character" w:customStyle="1" w:styleId="Heading4Char">
    <w:name w:val="Heading 4 Char"/>
    <w:basedOn w:val="DefaultParagraphFont"/>
    <w:link w:val="Heading4"/>
    <w:semiHidden/>
    <w:rsid w:val="00E96AC2"/>
    <w:rPr>
      <w:rFonts w:asciiTheme="majorHAnsi" w:eastAsiaTheme="majorEastAsia" w:hAnsiTheme="majorHAnsi" w:cstheme="majorBidi"/>
      <w:i/>
      <w:iCs/>
      <w:color w:val="365F91" w:themeColor="accent1" w:themeShade="BF"/>
    </w:rPr>
  </w:style>
  <w:style w:type="character" w:customStyle="1" w:styleId="anchor-text">
    <w:name w:val="anchor-text"/>
    <w:basedOn w:val="DefaultParagraphFont"/>
    <w:rsid w:val="00D771C3"/>
  </w:style>
  <w:style w:type="paragraph" w:styleId="ListParagraph">
    <w:name w:val="List Paragraph"/>
    <w:basedOn w:val="Normal"/>
    <w:uiPriority w:val="34"/>
    <w:qFormat/>
    <w:rsid w:val="00B024A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2628654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9040341">
      <w:bodyDiv w:val="1"/>
      <w:marLeft w:val="0"/>
      <w:marRight w:val="0"/>
      <w:marTop w:val="0"/>
      <w:marBottom w:val="0"/>
      <w:divBdr>
        <w:top w:val="none" w:sz="0" w:space="0" w:color="auto"/>
        <w:left w:val="none" w:sz="0" w:space="0" w:color="auto"/>
        <w:bottom w:val="none" w:sz="0" w:space="0" w:color="auto"/>
        <w:right w:val="none" w:sz="0" w:space="0" w:color="auto"/>
      </w:divBdr>
    </w:div>
    <w:div w:id="735326474">
      <w:bodyDiv w:val="1"/>
      <w:marLeft w:val="0"/>
      <w:marRight w:val="0"/>
      <w:marTop w:val="0"/>
      <w:marBottom w:val="0"/>
      <w:divBdr>
        <w:top w:val="none" w:sz="0" w:space="0" w:color="auto"/>
        <w:left w:val="none" w:sz="0" w:space="0" w:color="auto"/>
        <w:bottom w:val="none" w:sz="0" w:space="0" w:color="auto"/>
        <w:right w:val="none" w:sz="0" w:space="0" w:color="auto"/>
      </w:divBdr>
    </w:div>
    <w:div w:id="746656215">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96654606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27382689">
      <w:bodyDiv w:val="1"/>
      <w:marLeft w:val="0"/>
      <w:marRight w:val="0"/>
      <w:marTop w:val="0"/>
      <w:marBottom w:val="0"/>
      <w:divBdr>
        <w:top w:val="none" w:sz="0" w:space="0" w:color="auto"/>
        <w:left w:val="none" w:sz="0" w:space="0" w:color="auto"/>
        <w:bottom w:val="none" w:sz="0" w:space="0" w:color="auto"/>
        <w:right w:val="none" w:sz="0" w:space="0" w:color="auto"/>
      </w:divBdr>
    </w:div>
    <w:div w:id="1428229826">
      <w:bodyDiv w:val="1"/>
      <w:marLeft w:val="0"/>
      <w:marRight w:val="0"/>
      <w:marTop w:val="0"/>
      <w:marBottom w:val="0"/>
      <w:divBdr>
        <w:top w:val="none" w:sz="0" w:space="0" w:color="auto"/>
        <w:left w:val="none" w:sz="0" w:space="0" w:color="auto"/>
        <w:bottom w:val="none" w:sz="0" w:space="0" w:color="auto"/>
        <w:right w:val="none" w:sz="0" w:space="0" w:color="auto"/>
      </w:divBdr>
    </w:div>
    <w:div w:id="154239950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75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16/j.ijmyco.2013.10.007"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ijtb.2023.05.020" TargetMode="External"/><Relationship Id="rId2" Type="http://schemas.openxmlformats.org/officeDocument/2006/relationships/numbering" Target="numbering.xml"/><Relationship Id="rId16" Type="http://schemas.openxmlformats.org/officeDocument/2006/relationships/hyperlink" Target="https://pubmed.ncbi.nlm.nih.gov/36534549/"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5</Pages>
  <Words>2087</Words>
  <Characters>11897</Characters>
  <Application>Microsoft Office Word</Application>
  <DocSecurity>0</DocSecurity>
  <Lines>99</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13957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12</cp:revision>
  <cp:lastPrinted>1999-07-06T11:00:00Z</cp:lastPrinted>
  <dcterms:created xsi:type="dcterms:W3CDTF">2025-05-19T17:20:00Z</dcterms:created>
  <dcterms:modified xsi:type="dcterms:W3CDTF">2025-05-20T09:47:00Z</dcterms:modified>
</cp:coreProperties>
</file>