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E1E57" w14:textId="77777777" w:rsidR="000B0077" w:rsidRPr="004C1987" w:rsidRDefault="000B0077" w:rsidP="00847D70">
      <w:pPr>
        <w:spacing w:line="240" w:lineRule="auto"/>
        <w:jc w:val="center"/>
        <w:rPr>
          <w:rFonts w:ascii="Times New Roman" w:hAnsi="Times New Roman" w:cs="Times New Roman"/>
          <w:b/>
          <w:bCs/>
          <w:sz w:val="28"/>
          <w:szCs w:val="24"/>
        </w:rPr>
      </w:pPr>
      <w:r w:rsidRPr="004C1987">
        <w:rPr>
          <w:rFonts w:ascii="Times New Roman" w:hAnsi="Times New Roman" w:cs="Times New Roman"/>
          <w:b/>
          <w:bCs/>
          <w:sz w:val="28"/>
          <w:szCs w:val="24"/>
        </w:rPr>
        <w:t xml:space="preserve">Exploring the Effects of Integrated Nitrogen Nutrition on </w:t>
      </w:r>
      <w:proofErr w:type="spellStart"/>
      <w:r w:rsidRPr="004C1987">
        <w:rPr>
          <w:rFonts w:ascii="Times New Roman" w:hAnsi="Times New Roman" w:cs="Times New Roman"/>
          <w:b/>
          <w:bCs/>
          <w:i/>
          <w:sz w:val="28"/>
          <w:szCs w:val="24"/>
        </w:rPr>
        <w:t>Boro</w:t>
      </w:r>
      <w:proofErr w:type="spellEnd"/>
      <w:r w:rsidRPr="004C1987">
        <w:rPr>
          <w:rFonts w:ascii="Times New Roman" w:hAnsi="Times New Roman" w:cs="Times New Roman"/>
          <w:b/>
          <w:bCs/>
          <w:i/>
          <w:sz w:val="28"/>
          <w:szCs w:val="24"/>
        </w:rPr>
        <w:t xml:space="preserve"> </w:t>
      </w:r>
      <w:r w:rsidRPr="004C1987">
        <w:rPr>
          <w:rFonts w:ascii="Times New Roman" w:hAnsi="Times New Roman" w:cs="Times New Roman"/>
          <w:b/>
          <w:bCs/>
          <w:sz w:val="28"/>
          <w:szCs w:val="24"/>
        </w:rPr>
        <w:t>Rice Growth and Yield: A Sustainable Approach</w:t>
      </w:r>
    </w:p>
    <w:p w14:paraId="4C25F652" w14:textId="77777777" w:rsidR="00866EFB" w:rsidRDefault="00866EFB">
      <w:pPr>
        <w:rPr>
          <w:rFonts w:ascii="Times New Roman" w:hAnsi="Times New Roman" w:cs="Times New Roman"/>
          <w:b/>
          <w:bCs/>
          <w:sz w:val="24"/>
          <w:szCs w:val="24"/>
        </w:rPr>
      </w:pPr>
    </w:p>
    <w:p w14:paraId="6F31FF0F" w14:textId="7A528E31" w:rsidR="00A8713A" w:rsidRPr="004C1987" w:rsidRDefault="0062774A">
      <w:pPr>
        <w:rPr>
          <w:rFonts w:ascii="Times New Roman" w:hAnsi="Times New Roman" w:cs="Times New Roman"/>
          <w:b/>
          <w:bCs/>
          <w:sz w:val="24"/>
          <w:szCs w:val="24"/>
        </w:rPr>
      </w:pPr>
      <w:r w:rsidRPr="004C1987">
        <w:rPr>
          <w:rFonts w:ascii="Times New Roman" w:hAnsi="Times New Roman" w:cs="Times New Roman"/>
          <w:b/>
          <w:bCs/>
          <w:sz w:val="24"/>
          <w:szCs w:val="24"/>
        </w:rPr>
        <w:t>Abstract</w:t>
      </w:r>
    </w:p>
    <w:p w14:paraId="57C67593" w14:textId="490BF8D4" w:rsidR="00083931" w:rsidRPr="004C1987" w:rsidRDefault="00083931" w:rsidP="00083931">
      <w:pPr>
        <w:pStyle w:val="NormalWeb"/>
        <w:spacing w:line="360" w:lineRule="auto"/>
        <w:jc w:val="both"/>
      </w:pPr>
      <w:r w:rsidRPr="004C1987">
        <w:t xml:space="preserve">This study evaluates the impact of integrated nitrogen nutrition on the growth, yield, and nitrogen use efficiency of </w:t>
      </w:r>
      <w:proofErr w:type="spellStart"/>
      <w:r w:rsidR="0096120C" w:rsidRPr="004C1987">
        <w:rPr>
          <w:i/>
        </w:rPr>
        <w:t>b</w:t>
      </w:r>
      <w:r w:rsidRPr="004C1987">
        <w:rPr>
          <w:i/>
        </w:rPr>
        <w:t>oro</w:t>
      </w:r>
      <w:proofErr w:type="spellEnd"/>
      <w:r w:rsidRPr="004C1987">
        <w:t xml:space="preserve"> rice (</w:t>
      </w:r>
      <w:r w:rsidRPr="004C1987">
        <w:rPr>
          <w:i/>
        </w:rPr>
        <w:t>Oryza sativa</w:t>
      </w:r>
      <w:r w:rsidRPr="004C1987">
        <w:t>). Four rice cultivars (BRRI dhan29, BRRI dhan59, BRRI dhan28, and Binadhan-10) were tested under six nitrogen treatments, including prilled urea (PU), urea super granules (USG), and combinations of PU with organic amendments (poultry manure, cowdung, and vermicompost). The experiment was conducted in a randomized complete block design (RCBD) with three replications. Significant variations in growth and yield parameters were observed among cultivars and nitrogen treatments. Binadhan-10 (V</w:t>
      </w:r>
      <w:r w:rsidRPr="004C1987">
        <w:rPr>
          <w:vertAlign w:val="subscript"/>
        </w:rPr>
        <w:t>4</w:t>
      </w:r>
      <w:r w:rsidRPr="004C1987">
        <w:t>) exhibited superior growth, with the highest plant height (90.62 cm), total tillers per hill (10.46), and grain yield (4.999 t ha⁻¹). Among nitrogen sources, the combination of 105 kg N ha⁻¹ from PU + 3 t ha⁻¹ poultry manure (N</w:t>
      </w:r>
      <w:r w:rsidRPr="004C1987">
        <w:rPr>
          <w:vertAlign w:val="subscript"/>
        </w:rPr>
        <w:t>4</w:t>
      </w:r>
      <w:r w:rsidRPr="004C1987">
        <w:t>) resulted in the highest grain yield (5.85 t ha⁻¹), straw yield (6.21 t ha⁻¹), and biological yield (12.07 t ha⁻¹). The interaction between Binadhan-10 and N</w:t>
      </w:r>
      <w:r w:rsidRPr="004C1987">
        <w:rPr>
          <w:vertAlign w:val="subscript"/>
        </w:rPr>
        <w:t>4</w:t>
      </w:r>
      <w:r w:rsidRPr="004C1987">
        <w:t xml:space="preserve"> produced the highest combined grain (6.03 t ha⁻¹) and straw yield (6.33 t ha⁻¹), as well as the highest biological yield (12.36 t ha⁻¹). Integrated nutrient management significantly improved nitrogen use efficiency compared to conventional prilled urea alone, with reductions in nitrogen loss and enhanced yield attributes. This research highlights the potential of integrated nutrient management, combining organic and inorganic fertilizers, to optimize rice yield, improve nitrogen efficiency, and ensure sustainable agricultural practices.</w:t>
      </w:r>
    </w:p>
    <w:p w14:paraId="2A93DD98" w14:textId="48BCA663" w:rsidR="00A8713A" w:rsidRPr="004C1987" w:rsidRDefault="0025186E">
      <w:pPr>
        <w:rPr>
          <w:rFonts w:ascii="Times New Roman" w:hAnsi="Times New Roman" w:cs="Times New Roman"/>
          <w:b/>
          <w:bCs/>
          <w:sz w:val="24"/>
          <w:szCs w:val="24"/>
        </w:rPr>
      </w:pPr>
      <w:r w:rsidRPr="004C1987">
        <w:rPr>
          <w:rFonts w:ascii="Times New Roman" w:hAnsi="Times New Roman" w:cs="Times New Roman"/>
          <w:b/>
          <w:bCs/>
          <w:sz w:val="24"/>
          <w:szCs w:val="24"/>
        </w:rPr>
        <w:t xml:space="preserve">Keywords: Integrated nitrogen nutrition, </w:t>
      </w:r>
      <w:proofErr w:type="spellStart"/>
      <w:r w:rsidRPr="004C1987">
        <w:rPr>
          <w:rFonts w:ascii="Times New Roman" w:hAnsi="Times New Roman" w:cs="Times New Roman"/>
          <w:b/>
          <w:bCs/>
          <w:i/>
          <w:sz w:val="24"/>
          <w:szCs w:val="24"/>
        </w:rPr>
        <w:t>boro</w:t>
      </w:r>
      <w:proofErr w:type="spellEnd"/>
      <w:r w:rsidRPr="004C1987">
        <w:rPr>
          <w:rFonts w:ascii="Times New Roman" w:hAnsi="Times New Roman" w:cs="Times New Roman"/>
          <w:b/>
          <w:bCs/>
          <w:sz w:val="24"/>
          <w:szCs w:val="24"/>
        </w:rPr>
        <w:t xml:space="preserve"> rice, yield attributes</w:t>
      </w:r>
      <w:r w:rsidR="00212D33" w:rsidRPr="004C1987">
        <w:rPr>
          <w:rFonts w:ascii="Times New Roman" w:hAnsi="Times New Roman" w:cs="Times New Roman"/>
          <w:b/>
          <w:bCs/>
          <w:sz w:val="24"/>
          <w:szCs w:val="24"/>
        </w:rPr>
        <w:t>, response</w:t>
      </w:r>
    </w:p>
    <w:p w14:paraId="699C210C" w14:textId="77777777" w:rsidR="00FC417B" w:rsidRPr="004C1987" w:rsidRDefault="00FC417B">
      <w:pPr>
        <w:rPr>
          <w:rFonts w:ascii="Times New Roman" w:hAnsi="Times New Roman" w:cs="Times New Roman"/>
          <w:b/>
          <w:bCs/>
          <w:sz w:val="24"/>
          <w:szCs w:val="24"/>
        </w:rPr>
      </w:pPr>
      <w:bookmarkStart w:id="0" w:name="_GoBack"/>
      <w:bookmarkEnd w:id="0"/>
    </w:p>
    <w:p w14:paraId="16BCBDED" w14:textId="77777777" w:rsidR="00FC417B" w:rsidRPr="004C1987" w:rsidRDefault="00DF2F00" w:rsidP="00FC417B">
      <w:pPr>
        <w:spacing w:after="0"/>
        <w:rPr>
          <w:rFonts w:ascii="Times New Roman" w:hAnsi="Times New Roman" w:cs="Times New Roman"/>
          <w:b/>
          <w:bCs/>
          <w:sz w:val="24"/>
          <w:szCs w:val="24"/>
        </w:rPr>
      </w:pPr>
      <w:r w:rsidRPr="004C1987">
        <w:rPr>
          <w:rFonts w:ascii="Times New Roman" w:hAnsi="Times New Roman" w:cs="Times New Roman"/>
          <w:b/>
          <w:bCs/>
          <w:sz w:val="24"/>
          <w:szCs w:val="24"/>
        </w:rPr>
        <w:t>1.</w:t>
      </w:r>
      <w:r w:rsidR="00E5485A" w:rsidRPr="004C1987">
        <w:rPr>
          <w:rFonts w:ascii="Times New Roman" w:hAnsi="Times New Roman" w:cs="Times New Roman"/>
          <w:b/>
          <w:bCs/>
          <w:sz w:val="24"/>
          <w:szCs w:val="24"/>
        </w:rPr>
        <w:t xml:space="preserve"> </w:t>
      </w:r>
      <w:r w:rsidR="00211058" w:rsidRPr="004C1987">
        <w:rPr>
          <w:rFonts w:ascii="Times New Roman" w:hAnsi="Times New Roman" w:cs="Times New Roman"/>
          <w:b/>
          <w:bCs/>
          <w:sz w:val="24"/>
          <w:szCs w:val="24"/>
        </w:rPr>
        <w:t>Introduction</w:t>
      </w:r>
    </w:p>
    <w:p w14:paraId="1D145D9E" w14:textId="77777777" w:rsidR="00FC417B" w:rsidRPr="004C1987" w:rsidRDefault="00FC417B" w:rsidP="00FC417B">
      <w:pPr>
        <w:spacing w:after="0"/>
        <w:rPr>
          <w:rFonts w:ascii="Times New Roman" w:hAnsi="Times New Roman" w:cs="Times New Roman"/>
          <w:b/>
          <w:bCs/>
          <w:sz w:val="24"/>
          <w:szCs w:val="24"/>
        </w:rPr>
      </w:pPr>
    </w:p>
    <w:p w14:paraId="3A08D25B" w14:textId="77777777"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 xml:space="preserve">Agriculture constitutes the foundation of Bangladesh’s economy, accounting for over 11.02% of the Gross Domestic Product (GDP) and employing over 37% of the labor force (BBS, 2024).  Agriculture in the country is predominantly characterized by rice (Oryza sativa), which covers roughly 74.85% of the total cultivated area and constitutes almost 80% of the irrigated land (BBS, 2024).  The tropical and humid climate of Bangladesh, combined with its advantageous </w:t>
      </w:r>
      <w:r w:rsidRPr="004C1987">
        <w:rPr>
          <w:rFonts w:ascii="Times New Roman" w:eastAsia="Times New Roman" w:hAnsi="Times New Roman" w:cs="Times New Roman"/>
          <w:sz w:val="24"/>
          <w:szCs w:val="24"/>
        </w:rPr>
        <w:lastRenderedPageBreak/>
        <w:t>terrain, renders it optimal for rice farming.  Rice is a fundamental crop essential for worldwide food security, with more than fifty percent of the world's population relying on it for nourishment (Chauhan &amp; Johnson, 2011).</w:t>
      </w:r>
    </w:p>
    <w:p w14:paraId="20DD3D61" w14:textId="77777777" w:rsidR="00FC417B" w:rsidRPr="004C1987" w:rsidRDefault="00FC417B" w:rsidP="00FC417B">
      <w:pPr>
        <w:spacing w:after="0" w:line="360" w:lineRule="auto"/>
        <w:jc w:val="both"/>
        <w:rPr>
          <w:rFonts w:ascii="Times New Roman" w:hAnsi="Times New Roman" w:cs="Times New Roman"/>
          <w:b/>
          <w:bCs/>
          <w:sz w:val="24"/>
          <w:szCs w:val="24"/>
        </w:rPr>
      </w:pPr>
    </w:p>
    <w:p w14:paraId="299B4226" w14:textId="77777777"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 xml:space="preserve"> Efficient plant nutrition is essential for crop output, and the effectiveness of nutrient management has emerged as a significant issue due to escalating soil nutrient pressures.  In Bangladesh, the degradation of soil fertility poses a substantial impediment to attaining elevated crop yields.  Nitrogen (N) is a crucial component for rice cultivation; yet, its management is intricate due to elevated demand and soil instability (Islam et al., 2016).  The efficiency of fertilizer utilization is inadequate, with nitrogen usage efficiency (NUE) in rice agriculture varying between 30% and 45% for irrigated flooded rice (</w:t>
      </w:r>
      <w:proofErr w:type="spellStart"/>
      <w:r w:rsidRPr="004C1987">
        <w:rPr>
          <w:rFonts w:ascii="Times New Roman" w:eastAsia="Times New Roman" w:hAnsi="Times New Roman" w:cs="Times New Roman"/>
          <w:sz w:val="24"/>
          <w:szCs w:val="24"/>
        </w:rPr>
        <w:t>Vlek</w:t>
      </w:r>
      <w:proofErr w:type="spellEnd"/>
      <w:r w:rsidRPr="004C1987">
        <w:rPr>
          <w:rFonts w:ascii="Times New Roman" w:eastAsia="Times New Roman" w:hAnsi="Times New Roman" w:cs="Times New Roman"/>
          <w:sz w:val="24"/>
          <w:szCs w:val="24"/>
        </w:rPr>
        <w:t xml:space="preserve"> &amp; </w:t>
      </w:r>
      <w:proofErr w:type="spellStart"/>
      <w:r w:rsidRPr="004C1987">
        <w:rPr>
          <w:rFonts w:ascii="Times New Roman" w:eastAsia="Times New Roman" w:hAnsi="Times New Roman" w:cs="Times New Roman"/>
          <w:sz w:val="24"/>
          <w:szCs w:val="24"/>
        </w:rPr>
        <w:t>Craswell</w:t>
      </w:r>
      <w:proofErr w:type="spellEnd"/>
      <w:r w:rsidRPr="004C1987">
        <w:rPr>
          <w:rFonts w:ascii="Times New Roman" w:eastAsia="Times New Roman" w:hAnsi="Times New Roman" w:cs="Times New Roman"/>
          <w:sz w:val="24"/>
          <w:szCs w:val="24"/>
        </w:rPr>
        <w:t xml:space="preserve">, 1981).  The prevalent use of prilled urea using broadcasting techniques significantly contributes to inefficiencies, resulting in substantial nitrogen losses through volatilization, denitrification, and leaching (Rahman &amp; </w:t>
      </w:r>
      <w:proofErr w:type="spellStart"/>
      <w:r w:rsidRPr="004C1987">
        <w:rPr>
          <w:rFonts w:ascii="Times New Roman" w:eastAsia="Times New Roman" w:hAnsi="Times New Roman" w:cs="Times New Roman"/>
          <w:sz w:val="24"/>
          <w:szCs w:val="24"/>
        </w:rPr>
        <w:t>Barmon</w:t>
      </w:r>
      <w:proofErr w:type="spellEnd"/>
      <w:r w:rsidRPr="004C1987">
        <w:rPr>
          <w:rFonts w:ascii="Times New Roman" w:eastAsia="Times New Roman" w:hAnsi="Times New Roman" w:cs="Times New Roman"/>
          <w:sz w:val="24"/>
          <w:szCs w:val="24"/>
        </w:rPr>
        <w:t>, 2015).  To reduce these losses and enhance nitrogen use efficiency (NUE), techniques such as the application of Urea Super Granules (USG) have been suggested, as they provide a better regulated release of nitrogen (</w:t>
      </w:r>
      <w:proofErr w:type="spellStart"/>
      <w:r w:rsidRPr="004C1987">
        <w:rPr>
          <w:rFonts w:ascii="Times New Roman" w:eastAsia="Times New Roman" w:hAnsi="Times New Roman" w:cs="Times New Roman"/>
          <w:sz w:val="24"/>
          <w:szCs w:val="24"/>
        </w:rPr>
        <w:t>Sarker</w:t>
      </w:r>
      <w:proofErr w:type="spellEnd"/>
      <w:r w:rsidRPr="004C1987">
        <w:rPr>
          <w:rFonts w:ascii="Times New Roman" w:eastAsia="Times New Roman" w:hAnsi="Times New Roman" w:cs="Times New Roman"/>
          <w:sz w:val="24"/>
          <w:szCs w:val="24"/>
        </w:rPr>
        <w:t xml:space="preserve"> et al., 2020).</w:t>
      </w:r>
    </w:p>
    <w:p w14:paraId="37E036BD" w14:textId="77777777" w:rsidR="00FC417B" w:rsidRPr="004C1987" w:rsidRDefault="00FC417B" w:rsidP="00FC417B">
      <w:pPr>
        <w:spacing w:after="0" w:line="360" w:lineRule="auto"/>
        <w:jc w:val="both"/>
        <w:rPr>
          <w:rFonts w:ascii="Times New Roman" w:hAnsi="Times New Roman" w:cs="Times New Roman"/>
          <w:b/>
          <w:bCs/>
          <w:sz w:val="24"/>
          <w:szCs w:val="24"/>
        </w:rPr>
      </w:pPr>
    </w:p>
    <w:p w14:paraId="22D72594" w14:textId="77777777"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 xml:space="preserve"> In Bangladesh, farmers frequently utilize nitrogen fertilizers like prilled urea in substantial amounts, often leading to inefficiencies caused by leaching, volatilization, and denitrification (</w:t>
      </w:r>
      <w:proofErr w:type="spellStart"/>
      <w:r w:rsidRPr="004C1987">
        <w:rPr>
          <w:rFonts w:ascii="Times New Roman" w:eastAsia="Times New Roman" w:hAnsi="Times New Roman" w:cs="Times New Roman"/>
          <w:sz w:val="24"/>
          <w:szCs w:val="24"/>
        </w:rPr>
        <w:t>Sarker</w:t>
      </w:r>
      <w:proofErr w:type="spellEnd"/>
      <w:r w:rsidRPr="004C1987">
        <w:rPr>
          <w:rFonts w:ascii="Times New Roman" w:eastAsia="Times New Roman" w:hAnsi="Times New Roman" w:cs="Times New Roman"/>
          <w:sz w:val="24"/>
          <w:szCs w:val="24"/>
        </w:rPr>
        <w:t xml:space="preserve"> et al., 2020).  To resolve this issue, integrated nitrogen nutrition, which amalgamates organic and inorganic fertilizers, is emerging as a more sustainable strategy.  Integrated nutrient management (INM) approaches enhance soil health and nitrogen use efficiency, decreasing reliance on chemical fertilizers while fostering increased yields and improved environmental results (Chakraborty et al., 2016).  The integration of organic fertilizers, including poultry manure and cow dung, with synthetic fertilizers is increasingly recognized for its potential to augment soil nutrient levels and promote crop yield (</w:t>
      </w:r>
      <w:proofErr w:type="spellStart"/>
      <w:r w:rsidRPr="004C1987">
        <w:rPr>
          <w:rFonts w:ascii="Times New Roman" w:eastAsia="Times New Roman" w:hAnsi="Times New Roman" w:cs="Times New Roman"/>
          <w:sz w:val="24"/>
          <w:szCs w:val="24"/>
        </w:rPr>
        <w:t>Bhowal</w:t>
      </w:r>
      <w:proofErr w:type="spellEnd"/>
      <w:r w:rsidRPr="004C1987">
        <w:rPr>
          <w:rFonts w:ascii="Times New Roman" w:eastAsia="Times New Roman" w:hAnsi="Times New Roman" w:cs="Times New Roman"/>
          <w:sz w:val="24"/>
          <w:szCs w:val="24"/>
        </w:rPr>
        <w:t xml:space="preserve"> et al., 2020).</w:t>
      </w:r>
    </w:p>
    <w:p w14:paraId="708764A4" w14:textId="77777777" w:rsidR="00FC417B" w:rsidRPr="004C1987" w:rsidRDefault="00FC417B" w:rsidP="00FC417B">
      <w:pPr>
        <w:spacing w:after="0" w:line="360" w:lineRule="auto"/>
        <w:jc w:val="both"/>
        <w:rPr>
          <w:rFonts w:ascii="Times New Roman" w:hAnsi="Times New Roman" w:cs="Times New Roman"/>
          <w:b/>
          <w:bCs/>
          <w:sz w:val="24"/>
          <w:szCs w:val="24"/>
        </w:rPr>
      </w:pPr>
    </w:p>
    <w:p w14:paraId="4175B145" w14:textId="32C95324"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 xml:space="preserve">Alongside the optimization of nitrogen utilization, integrated nutrient management (INM) is crucial for sustainable agriculture.  The integration of organic and inorganic fertilizers can improve soil health and fertility by remedying deficits in micronutrients and organic matter (Khatun, 2015).  The ongoing dependence on synthetic fertilizers, devoid of organic additives, </w:t>
      </w:r>
      <w:r w:rsidRPr="004C1987">
        <w:rPr>
          <w:rFonts w:ascii="Times New Roman" w:eastAsia="Times New Roman" w:hAnsi="Times New Roman" w:cs="Times New Roman"/>
          <w:sz w:val="24"/>
          <w:szCs w:val="24"/>
        </w:rPr>
        <w:lastRenderedPageBreak/>
        <w:t xml:space="preserve">has resulted in a decrease in soil organic matter in Bangladesh, frequently falling below 1.5% (Rahman &amp; </w:t>
      </w:r>
      <w:proofErr w:type="spellStart"/>
      <w:r w:rsidRPr="004C1987">
        <w:rPr>
          <w:rFonts w:ascii="Times New Roman" w:eastAsia="Times New Roman" w:hAnsi="Times New Roman" w:cs="Times New Roman"/>
          <w:sz w:val="24"/>
          <w:szCs w:val="24"/>
        </w:rPr>
        <w:t>Barmon</w:t>
      </w:r>
      <w:proofErr w:type="spellEnd"/>
      <w:r w:rsidRPr="004C1987">
        <w:rPr>
          <w:rFonts w:ascii="Times New Roman" w:eastAsia="Times New Roman" w:hAnsi="Times New Roman" w:cs="Times New Roman"/>
          <w:sz w:val="24"/>
          <w:szCs w:val="24"/>
        </w:rPr>
        <w:t>, 2015).  Consequently, the incorporation of organic inputs like poultry manure, cow dung, and vermicompost, alongside chemical fertilizers, can enhance soil quality and crop yield.</w:t>
      </w:r>
    </w:p>
    <w:p w14:paraId="5B1E78BC" w14:textId="77777777" w:rsidR="00FC417B" w:rsidRPr="004C1987" w:rsidRDefault="00FC417B" w:rsidP="00FC417B">
      <w:pPr>
        <w:keepNext/>
        <w:keepLines/>
        <w:spacing w:before="200" w:after="0" w:line="360" w:lineRule="auto"/>
        <w:jc w:val="both"/>
        <w:outlineLvl w:val="2"/>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 This study seeks to explore optimal rice cultivation practices by: (i) evaluating the impact of various rice varieties on crop performance and nitrogen use efficiency, (ii) assessing the influence of different nitrogen sources on rice performance and NUE, and (iii) analyzing the interactive effects of rice varieties and nitrogen sources on these parameters.  This project will enhance sustainable agriculture practices by discovering effective nitrogen management measures and </w:t>
      </w:r>
      <w:proofErr w:type="spellStart"/>
      <w:r w:rsidRPr="004C1987">
        <w:rPr>
          <w:rFonts w:ascii="Times New Roman" w:eastAsia="Times New Roman" w:hAnsi="Times New Roman" w:cs="Times New Roman"/>
          <w:sz w:val="24"/>
          <w:szCs w:val="24"/>
        </w:rPr>
        <w:t>boro</w:t>
      </w:r>
      <w:proofErr w:type="spellEnd"/>
      <w:r w:rsidRPr="004C1987">
        <w:rPr>
          <w:rFonts w:ascii="Times New Roman" w:eastAsia="Times New Roman" w:hAnsi="Times New Roman" w:cs="Times New Roman"/>
          <w:sz w:val="24"/>
          <w:szCs w:val="24"/>
        </w:rPr>
        <w:t xml:space="preserve"> rice cultivars to improve yields in Bangladesh.</w:t>
      </w:r>
    </w:p>
    <w:p w14:paraId="1C37B4F2" w14:textId="77777777" w:rsidR="00FC417B" w:rsidRPr="004C1987" w:rsidRDefault="00FC417B" w:rsidP="00FC417B">
      <w:pPr>
        <w:spacing w:after="0"/>
        <w:rPr>
          <w:rFonts w:ascii="Times New Roman" w:hAnsi="Times New Roman" w:cs="Times New Roman"/>
          <w:b/>
          <w:bCs/>
          <w:sz w:val="24"/>
          <w:szCs w:val="24"/>
        </w:rPr>
      </w:pPr>
    </w:p>
    <w:p w14:paraId="6165E0EB" w14:textId="5D749872" w:rsidR="00297147" w:rsidRPr="004C1987" w:rsidRDefault="00242430" w:rsidP="00FC417B">
      <w:pPr>
        <w:pStyle w:val="Heading3"/>
        <w:rPr>
          <w:rFonts w:ascii="Times New Roman" w:eastAsia="Times New Roman" w:hAnsi="Times New Roman" w:cs="Times New Roman"/>
          <w:color w:val="auto"/>
          <w:sz w:val="27"/>
          <w:szCs w:val="27"/>
        </w:rPr>
      </w:pPr>
      <w:r w:rsidRPr="004C1987">
        <w:rPr>
          <w:rFonts w:ascii="Times New Roman" w:hAnsi="Times New Roman" w:cs="Times New Roman"/>
          <w:b w:val="0"/>
          <w:bCs w:val="0"/>
          <w:color w:val="auto"/>
          <w:sz w:val="24"/>
          <w:szCs w:val="28"/>
        </w:rPr>
        <w:t>2</w:t>
      </w:r>
      <w:r w:rsidR="00DF2F00" w:rsidRPr="004C1987">
        <w:rPr>
          <w:rFonts w:ascii="Times New Roman" w:hAnsi="Times New Roman" w:cs="Times New Roman"/>
          <w:b w:val="0"/>
          <w:bCs w:val="0"/>
          <w:color w:val="auto"/>
          <w:sz w:val="24"/>
          <w:szCs w:val="28"/>
        </w:rPr>
        <w:t>.</w:t>
      </w:r>
      <w:r w:rsidR="004C0DCE" w:rsidRPr="004C1987">
        <w:rPr>
          <w:rFonts w:ascii="Times New Roman" w:hAnsi="Times New Roman" w:cs="Times New Roman"/>
          <w:b w:val="0"/>
          <w:bCs w:val="0"/>
          <w:color w:val="auto"/>
          <w:sz w:val="24"/>
          <w:szCs w:val="28"/>
        </w:rPr>
        <w:t xml:space="preserve">  </w:t>
      </w:r>
      <w:r w:rsidR="00297147" w:rsidRPr="004C1987">
        <w:rPr>
          <w:rFonts w:ascii="Times New Roman" w:eastAsia="Times New Roman" w:hAnsi="Times New Roman" w:cs="Times New Roman"/>
          <w:color w:val="auto"/>
          <w:sz w:val="27"/>
          <w:szCs w:val="27"/>
        </w:rPr>
        <w:t>Materials and Methods</w:t>
      </w:r>
    </w:p>
    <w:p w14:paraId="1C728B10" w14:textId="70EA7B73"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2.1 Experimental Design</w:t>
      </w:r>
    </w:p>
    <w:p w14:paraId="714DA9AB" w14:textId="5095E02D"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A field experiment was conducted to evaluate the effects of rice cultivars and nitrogen sources on crop performance and nitrogen use efficiency. The experiment followed a </w:t>
      </w:r>
      <w:r w:rsidRPr="004C1987">
        <w:rPr>
          <w:rFonts w:ascii="Times New Roman" w:eastAsia="Times New Roman" w:hAnsi="Times New Roman" w:cs="Times New Roman"/>
          <w:bCs/>
          <w:sz w:val="24"/>
          <w:szCs w:val="24"/>
        </w:rPr>
        <w:t>Randomized Complete Block Design (RCBD)</w:t>
      </w:r>
      <w:r w:rsidRPr="004C1987">
        <w:rPr>
          <w:rFonts w:ascii="Times New Roman" w:eastAsia="Times New Roman" w:hAnsi="Times New Roman" w:cs="Times New Roman"/>
          <w:sz w:val="24"/>
          <w:szCs w:val="24"/>
        </w:rPr>
        <w:t xml:space="preserve"> with three replications. The treatments consisted of four rice cultivars (Factor A) and six nitrogen sources (Factor B). The rice cultivars tested were </w:t>
      </w:r>
      <w:r w:rsidRPr="004C1987">
        <w:rPr>
          <w:rFonts w:ascii="Times New Roman" w:eastAsia="Times New Roman" w:hAnsi="Times New Roman" w:cs="Times New Roman"/>
          <w:bCs/>
          <w:sz w:val="24"/>
          <w:szCs w:val="24"/>
        </w:rPr>
        <w:t>BRRI dhan29 (V</w:t>
      </w:r>
      <w:r w:rsidRPr="004C1987">
        <w:rPr>
          <w:rFonts w:ascii="Times New Roman" w:eastAsia="Times New Roman" w:hAnsi="Times New Roman" w:cs="Times New Roman"/>
          <w:bCs/>
          <w:sz w:val="24"/>
          <w:szCs w:val="24"/>
          <w:vertAlign w:val="subscript"/>
        </w:rPr>
        <w:t>1</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BRRI dhan59 (V</w:t>
      </w:r>
      <w:r w:rsidRPr="004C1987">
        <w:rPr>
          <w:rFonts w:ascii="Times New Roman" w:eastAsia="Times New Roman" w:hAnsi="Times New Roman" w:cs="Times New Roman"/>
          <w:bCs/>
          <w:sz w:val="24"/>
          <w:szCs w:val="24"/>
          <w:vertAlign w:val="subscript"/>
        </w:rPr>
        <w:t>2</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BRRI dhan28 (V</w:t>
      </w:r>
      <w:r w:rsidRPr="004C1987">
        <w:rPr>
          <w:rFonts w:ascii="Times New Roman" w:eastAsia="Times New Roman" w:hAnsi="Times New Roman" w:cs="Times New Roman"/>
          <w:bCs/>
          <w:sz w:val="24"/>
          <w:szCs w:val="24"/>
          <w:vertAlign w:val="subscript"/>
        </w:rPr>
        <w:t>3</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Binadhan-10 (V</w:t>
      </w:r>
      <w:r w:rsidRPr="004C1987">
        <w:rPr>
          <w:rFonts w:ascii="Times New Roman" w:eastAsia="Times New Roman" w:hAnsi="Times New Roman" w:cs="Times New Roman"/>
          <w:bCs/>
          <w:sz w:val="24"/>
          <w:szCs w:val="24"/>
          <w:vertAlign w:val="subscript"/>
        </w:rPr>
        <w:t>4</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while the six nitrogen sources were as follows: </w:t>
      </w:r>
      <w:r w:rsidRPr="004C1987">
        <w:rPr>
          <w:rFonts w:ascii="Times New Roman" w:eastAsia="Times New Roman" w:hAnsi="Times New Roman" w:cs="Times New Roman"/>
          <w:bCs/>
          <w:sz w:val="24"/>
          <w:szCs w:val="24"/>
        </w:rPr>
        <w:t>Control (N</w:t>
      </w:r>
      <w:r w:rsidR="00A40DC4" w:rsidRPr="004C1987">
        <w:rPr>
          <w:rFonts w:ascii="Times New Roman" w:eastAsia="Times New Roman" w:hAnsi="Times New Roman" w:cs="Times New Roman"/>
          <w:bCs/>
          <w:sz w:val="24"/>
          <w:szCs w:val="24"/>
          <w:vertAlign w:val="subscript"/>
        </w:rPr>
        <w:t>1</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140 kg N ha⁻¹ from Prilled Urea (PU) (N</w:t>
      </w:r>
      <w:r w:rsidR="00A40DC4" w:rsidRPr="004C1987">
        <w:rPr>
          <w:rFonts w:ascii="Times New Roman" w:eastAsia="Times New Roman" w:hAnsi="Times New Roman" w:cs="Times New Roman"/>
          <w:bCs/>
          <w:sz w:val="24"/>
          <w:szCs w:val="24"/>
          <w:vertAlign w:val="subscript"/>
        </w:rPr>
        <w:t>2</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83 kg N ha⁻¹ from Urea Super Granule (USG) (N</w:t>
      </w:r>
      <w:r w:rsidR="00A40DC4" w:rsidRPr="004C1987">
        <w:rPr>
          <w:rFonts w:ascii="Times New Roman" w:eastAsia="Times New Roman" w:hAnsi="Times New Roman" w:cs="Times New Roman"/>
          <w:bCs/>
          <w:sz w:val="24"/>
          <w:szCs w:val="24"/>
          <w:vertAlign w:val="subscript"/>
        </w:rPr>
        <w:t>3</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105 kg N ha⁻¹ from PU + 3 t ha⁻¹ Poultry Manure (PM) (N</w:t>
      </w:r>
      <w:r w:rsidR="00A40DC4" w:rsidRPr="004C1987">
        <w:rPr>
          <w:rFonts w:ascii="Times New Roman" w:eastAsia="Times New Roman" w:hAnsi="Times New Roman" w:cs="Times New Roman"/>
          <w:bCs/>
          <w:sz w:val="24"/>
          <w:szCs w:val="24"/>
          <w:vertAlign w:val="subscript"/>
        </w:rPr>
        <w:t>4</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112 kg N ha⁻¹ from PU + 5 t ha⁻¹ Cowdung (N</w:t>
      </w:r>
      <w:r w:rsidR="00A40DC4" w:rsidRPr="004C1987">
        <w:rPr>
          <w:rFonts w:ascii="Times New Roman" w:eastAsia="Times New Roman" w:hAnsi="Times New Roman" w:cs="Times New Roman"/>
          <w:bCs/>
          <w:sz w:val="24"/>
          <w:szCs w:val="24"/>
          <w:vertAlign w:val="subscript"/>
        </w:rPr>
        <w:t>5</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77 kg N ha⁻¹ from PU + 4 t ha⁻¹ Vermicompost (N</w:t>
      </w:r>
      <w:r w:rsidR="00A40DC4" w:rsidRPr="004C1987">
        <w:rPr>
          <w:rFonts w:ascii="Times New Roman" w:eastAsia="Times New Roman" w:hAnsi="Times New Roman" w:cs="Times New Roman"/>
          <w:bCs/>
          <w:sz w:val="24"/>
          <w:szCs w:val="24"/>
          <w:vertAlign w:val="subscript"/>
        </w:rPr>
        <w:t>6</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The experiment was conducted at the </w:t>
      </w:r>
      <w:r w:rsidRPr="004C1987">
        <w:rPr>
          <w:rFonts w:ascii="Times New Roman" w:eastAsia="Times New Roman" w:hAnsi="Times New Roman" w:cs="Times New Roman"/>
          <w:bCs/>
          <w:sz w:val="24"/>
          <w:szCs w:val="24"/>
        </w:rPr>
        <w:t>Agronomy Field Laboratory</w:t>
      </w:r>
      <w:r w:rsidRPr="004C1987">
        <w:rPr>
          <w:rFonts w:ascii="Times New Roman" w:eastAsia="Times New Roman" w:hAnsi="Times New Roman" w:cs="Times New Roman"/>
          <w:sz w:val="24"/>
          <w:szCs w:val="24"/>
        </w:rPr>
        <w:t>, Bangladesh Agricultural University, Mymensingh, Bangladesh, and included a total of 72 unit plots (4.0 m × 2.5 m each).</w:t>
      </w:r>
    </w:p>
    <w:p w14:paraId="4B73028D" w14:textId="6E8ECF41"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2.2 Field Preparation and Fertilizer Application</w:t>
      </w:r>
    </w:p>
    <w:p w14:paraId="1635B79D"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The experimental plots were established on </w:t>
      </w:r>
      <w:r w:rsidRPr="004C1987">
        <w:rPr>
          <w:rFonts w:ascii="Times New Roman" w:eastAsia="Times New Roman" w:hAnsi="Times New Roman" w:cs="Times New Roman"/>
          <w:bCs/>
          <w:sz w:val="24"/>
          <w:szCs w:val="24"/>
        </w:rPr>
        <w:t>10 January 2017</w:t>
      </w:r>
      <w:r w:rsidRPr="004C1987">
        <w:rPr>
          <w:rFonts w:ascii="Times New Roman" w:eastAsia="Times New Roman" w:hAnsi="Times New Roman" w:cs="Times New Roman"/>
          <w:sz w:val="24"/>
          <w:szCs w:val="24"/>
        </w:rPr>
        <w:t xml:space="preserve">, after the selection of a high-quality field at the Agronomy Field Laboratory. The required nitrogen, phosphorus, potassium, and sulfur for each treatment were calculated on a per-hectare basis. Fertilizers applied included </w:t>
      </w:r>
      <w:r w:rsidRPr="004C1987">
        <w:rPr>
          <w:rFonts w:ascii="Times New Roman" w:eastAsia="Times New Roman" w:hAnsi="Times New Roman" w:cs="Times New Roman"/>
          <w:bCs/>
          <w:sz w:val="24"/>
          <w:szCs w:val="24"/>
        </w:rPr>
        <w:lastRenderedPageBreak/>
        <w:t>Triple Super Phosphate (TSP)</w:t>
      </w:r>
      <w:r w:rsidRPr="004C1987">
        <w:rPr>
          <w:rFonts w:ascii="Times New Roman" w:eastAsia="Times New Roman" w:hAnsi="Times New Roman" w:cs="Times New Roman"/>
          <w:sz w:val="24"/>
          <w:szCs w:val="24"/>
        </w:rPr>
        <w:t xml:space="preserve">, </w:t>
      </w:r>
      <w:proofErr w:type="spellStart"/>
      <w:r w:rsidRPr="004C1987">
        <w:rPr>
          <w:rFonts w:ascii="Times New Roman" w:eastAsia="Times New Roman" w:hAnsi="Times New Roman" w:cs="Times New Roman"/>
          <w:bCs/>
          <w:sz w:val="24"/>
          <w:szCs w:val="24"/>
        </w:rPr>
        <w:t>Muriate</w:t>
      </w:r>
      <w:proofErr w:type="spellEnd"/>
      <w:r w:rsidRPr="004C1987">
        <w:rPr>
          <w:rFonts w:ascii="Times New Roman" w:eastAsia="Times New Roman" w:hAnsi="Times New Roman" w:cs="Times New Roman"/>
          <w:bCs/>
          <w:sz w:val="24"/>
          <w:szCs w:val="24"/>
        </w:rPr>
        <w:t xml:space="preserve"> of Potash (</w:t>
      </w:r>
      <w:proofErr w:type="spellStart"/>
      <w:r w:rsidRPr="004C1987">
        <w:rPr>
          <w:rFonts w:ascii="Times New Roman" w:eastAsia="Times New Roman" w:hAnsi="Times New Roman" w:cs="Times New Roman"/>
          <w:bCs/>
          <w:sz w:val="24"/>
          <w:szCs w:val="24"/>
        </w:rPr>
        <w:t>MoP</w:t>
      </w:r>
      <w:proofErr w:type="spellEnd"/>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Gypsum</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Zinc Sulphate (</w:t>
      </w:r>
      <w:proofErr w:type="spellStart"/>
      <w:r w:rsidRPr="004C1987">
        <w:rPr>
          <w:rFonts w:ascii="Times New Roman" w:eastAsia="Times New Roman" w:hAnsi="Times New Roman" w:cs="Times New Roman"/>
          <w:bCs/>
          <w:sz w:val="24"/>
          <w:szCs w:val="24"/>
        </w:rPr>
        <w:t>ZnSO</w:t>
      </w:r>
      <w:proofErr w:type="spellEnd"/>
      <w:r w:rsidRPr="004C1987">
        <w:rPr>
          <w:rFonts w:ascii="Times New Roman" w:eastAsia="Times New Roman" w:hAnsi="Times New Roman" w:cs="Times New Roman"/>
          <w:bCs/>
          <w:sz w:val="24"/>
          <w:szCs w:val="24"/>
        </w:rPr>
        <w:t>₄)</w:t>
      </w:r>
      <w:r w:rsidRPr="004C1987">
        <w:rPr>
          <w:rFonts w:ascii="Times New Roman" w:eastAsia="Times New Roman" w:hAnsi="Times New Roman" w:cs="Times New Roman"/>
          <w:sz w:val="24"/>
          <w:szCs w:val="24"/>
        </w:rPr>
        <w:t xml:space="preserve">, and organic amendments (cowdung, poultry manure, and vermicompost) as per treatment requirements. Fertilizers were applied during final land preparation on </w:t>
      </w:r>
      <w:r w:rsidRPr="004C1987">
        <w:rPr>
          <w:rFonts w:ascii="Times New Roman" w:eastAsia="Times New Roman" w:hAnsi="Times New Roman" w:cs="Times New Roman"/>
          <w:bCs/>
          <w:sz w:val="24"/>
          <w:szCs w:val="24"/>
        </w:rPr>
        <w:t>13 January 2017</w:t>
      </w:r>
      <w:r w:rsidRPr="004C1987">
        <w:rPr>
          <w:rFonts w:ascii="Times New Roman" w:eastAsia="Times New Roman" w:hAnsi="Times New Roman" w:cs="Times New Roman"/>
          <w:sz w:val="24"/>
          <w:szCs w:val="24"/>
        </w:rPr>
        <w:t>.</w:t>
      </w:r>
    </w:p>
    <w:p w14:paraId="25D1B417" w14:textId="26354919"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Nitrogen was applied in the form of </w:t>
      </w:r>
      <w:r w:rsidRPr="004C1987">
        <w:rPr>
          <w:rFonts w:ascii="Times New Roman" w:eastAsia="Times New Roman" w:hAnsi="Times New Roman" w:cs="Times New Roman"/>
          <w:bCs/>
          <w:sz w:val="24"/>
          <w:szCs w:val="24"/>
        </w:rPr>
        <w:t>urea</w:t>
      </w:r>
      <w:r w:rsidRPr="004C1987">
        <w:rPr>
          <w:rFonts w:ascii="Times New Roman" w:eastAsia="Times New Roman" w:hAnsi="Times New Roman" w:cs="Times New Roman"/>
          <w:sz w:val="24"/>
          <w:szCs w:val="24"/>
        </w:rPr>
        <w:t xml:space="preserve"> at three equal splits: </w:t>
      </w:r>
      <w:r w:rsidRPr="004C1987">
        <w:rPr>
          <w:rFonts w:ascii="Times New Roman" w:eastAsia="Times New Roman" w:hAnsi="Times New Roman" w:cs="Times New Roman"/>
          <w:bCs/>
          <w:sz w:val="24"/>
          <w:szCs w:val="24"/>
        </w:rPr>
        <w:t>15, 30, and 45 days after transplanting (DAT)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Urea Super Granules (USG)</w:t>
      </w:r>
      <w:r w:rsidRPr="004C1987">
        <w:rPr>
          <w:rFonts w:ascii="Times New Roman" w:eastAsia="Times New Roman" w:hAnsi="Times New Roman" w:cs="Times New Roman"/>
          <w:sz w:val="24"/>
          <w:szCs w:val="24"/>
        </w:rPr>
        <w:t xml:space="preserve"> </w:t>
      </w:r>
      <w:r w:rsidR="009B366D" w:rsidRPr="004C1987">
        <w:rPr>
          <w:rFonts w:ascii="Times New Roman" w:eastAsia="Times New Roman" w:hAnsi="Times New Roman" w:cs="Times New Roman"/>
          <w:sz w:val="24"/>
          <w:szCs w:val="24"/>
        </w:rPr>
        <w:t>was</w:t>
      </w:r>
      <w:r w:rsidRPr="004C1987">
        <w:rPr>
          <w:rFonts w:ascii="Times New Roman" w:eastAsia="Times New Roman" w:hAnsi="Times New Roman" w:cs="Times New Roman"/>
          <w:sz w:val="24"/>
          <w:szCs w:val="24"/>
        </w:rPr>
        <w:t xml:space="preserve"> manually placed at a depth of </w:t>
      </w:r>
      <w:r w:rsidRPr="004C1987">
        <w:rPr>
          <w:rFonts w:ascii="Times New Roman" w:eastAsia="Times New Roman" w:hAnsi="Times New Roman" w:cs="Times New Roman"/>
          <w:bCs/>
          <w:sz w:val="24"/>
          <w:szCs w:val="24"/>
        </w:rPr>
        <w:t>6–8 cm</w:t>
      </w:r>
      <w:r w:rsidRPr="004C1987">
        <w:rPr>
          <w:rFonts w:ascii="Times New Roman" w:eastAsia="Times New Roman" w:hAnsi="Times New Roman" w:cs="Times New Roman"/>
          <w:sz w:val="24"/>
          <w:szCs w:val="24"/>
        </w:rPr>
        <w:t xml:space="preserve"> at the center of four hills of two adjacent rows on </w:t>
      </w:r>
      <w:r w:rsidRPr="004C1987">
        <w:rPr>
          <w:rFonts w:ascii="Times New Roman" w:eastAsia="Times New Roman" w:hAnsi="Times New Roman" w:cs="Times New Roman"/>
          <w:bCs/>
          <w:sz w:val="24"/>
          <w:szCs w:val="24"/>
        </w:rPr>
        <w:t>23 January 2017</w:t>
      </w:r>
      <w:r w:rsidRPr="004C1987">
        <w:rPr>
          <w:rFonts w:ascii="Times New Roman" w:eastAsia="Times New Roman" w:hAnsi="Times New Roman" w:cs="Times New Roman"/>
          <w:sz w:val="24"/>
          <w:szCs w:val="24"/>
        </w:rPr>
        <w:t>.</w:t>
      </w:r>
    </w:p>
    <w:p w14:paraId="78F696B7" w14:textId="77B1E0C7"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2.3 Transplanting and Crop Management</w:t>
      </w:r>
    </w:p>
    <w:p w14:paraId="2700EBCF"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Seedlings of </w:t>
      </w:r>
      <w:r w:rsidRPr="004C1987">
        <w:rPr>
          <w:rFonts w:ascii="Times New Roman" w:eastAsia="Times New Roman" w:hAnsi="Times New Roman" w:cs="Times New Roman"/>
          <w:bCs/>
          <w:sz w:val="24"/>
          <w:szCs w:val="24"/>
        </w:rPr>
        <w:t>BRRI dhan29</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BRRI dhan28</w:t>
      </w:r>
      <w:r w:rsidRPr="004C1987">
        <w:rPr>
          <w:rFonts w:ascii="Times New Roman" w:eastAsia="Times New Roman" w:hAnsi="Times New Roman" w:cs="Times New Roman"/>
          <w:sz w:val="24"/>
          <w:szCs w:val="24"/>
        </w:rPr>
        <w:t xml:space="preserve"> were obtained from the Agronomy Field Laboratory, Bangladesh Agricultural University; </w:t>
      </w:r>
      <w:r w:rsidRPr="004C1987">
        <w:rPr>
          <w:rFonts w:ascii="Times New Roman" w:eastAsia="Times New Roman" w:hAnsi="Times New Roman" w:cs="Times New Roman"/>
          <w:bCs/>
          <w:sz w:val="24"/>
          <w:szCs w:val="24"/>
        </w:rPr>
        <w:t>BRRI dhan59</w:t>
      </w:r>
      <w:r w:rsidRPr="004C1987">
        <w:rPr>
          <w:rFonts w:ascii="Times New Roman" w:eastAsia="Times New Roman" w:hAnsi="Times New Roman" w:cs="Times New Roman"/>
          <w:sz w:val="24"/>
          <w:szCs w:val="24"/>
        </w:rPr>
        <w:t xml:space="preserve"> from the </w:t>
      </w:r>
      <w:r w:rsidRPr="004C1987">
        <w:rPr>
          <w:rFonts w:ascii="Times New Roman" w:eastAsia="Times New Roman" w:hAnsi="Times New Roman" w:cs="Times New Roman"/>
          <w:bCs/>
          <w:sz w:val="24"/>
          <w:szCs w:val="24"/>
        </w:rPr>
        <w:t>Bangladesh Rice Research Institute</w:t>
      </w:r>
      <w:r w:rsidRPr="004C1987">
        <w:rPr>
          <w:rFonts w:ascii="Times New Roman" w:eastAsia="Times New Roman" w:hAnsi="Times New Roman" w:cs="Times New Roman"/>
          <w:sz w:val="24"/>
          <w:szCs w:val="24"/>
        </w:rPr>
        <w:t xml:space="preserve">, Gazipur; and </w:t>
      </w:r>
      <w:r w:rsidRPr="004C1987">
        <w:rPr>
          <w:rFonts w:ascii="Times New Roman" w:eastAsia="Times New Roman" w:hAnsi="Times New Roman" w:cs="Times New Roman"/>
          <w:bCs/>
          <w:sz w:val="24"/>
          <w:szCs w:val="24"/>
        </w:rPr>
        <w:t>Binadhan-10</w:t>
      </w:r>
      <w:r w:rsidRPr="004C1987">
        <w:rPr>
          <w:rFonts w:ascii="Times New Roman" w:eastAsia="Times New Roman" w:hAnsi="Times New Roman" w:cs="Times New Roman"/>
          <w:sz w:val="24"/>
          <w:szCs w:val="24"/>
        </w:rPr>
        <w:t xml:space="preserve"> from the </w:t>
      </w:r>
      <w:r w:rsidRPr="004C1987">
        <w:rPr>
          <w:rFonts w:ascii="Times New Roman" w:eastAsia="Times New Roman" w:hAnsi="Times New Roman" w:cs="Times New Roman"/>
          <w:bCs/>
          <w:sz w:val="24"/>
          <w:szCs w:val="24"/>
        </w:rPr>
        <w:t>Bangladesh Institute of Nuclear Agriculture</w:t>
      </w:r>
      <w:r w:rsidRPr="004C1987">
        <w:rPr>
          <w:rFonts w:ascii="Times New Roman" w:eastAsia="Times New Roman" w:hAnsi="Times New Roman" w:cs="Times New Roman"/>
          <w:sz w:val="24"/>
          <w:szCs w:val="24"/>
        </w:rPr>
        <w:t xml:space="preserve">, Mymensingh. Seedlings, aged </w:t>
      </w:r>
      <w:r w:rsidRPr="004C1987">
        <w:rPr>
          <w:rFonts w:ascii="Times New Roman" w:eastAsia="Times New Roman" w:hAnsi="Times New Roman" w:cs="Times New Roman"/>
          <w:bCs/>
          <w:sz w:val="24"/>
          <w:szCs w:val="24"/>
        </w:rPr>
        <w:t>39 days</w:t>
      </w:r>
      <w:r w:rsidRPr="004C1987">
        <w:rPr>
          <w:rFonts w:ascii="Times New Roman" w:eastAsia="Times New Roman" w:hAnsi="Times New Roman" w:cs="Times New Roman"/>
          <w:sz w:val="24"/>
          <w:szCs w:val="24"/>
        </w:rPr>
        <w:t xml:space="preserve">, were transplanted on </w:t>
      </w:r>
      <w:r w:rsidRPr="004C1987">
        <w:rPr>
          <w:rFonts w:ascii="Times New Roman" w:eastAsia="Times New Roman" w:hAnsi="Times New Roman" w:cs="Times New Roman"/>
          <w:bCs/>
          <w:sz w:val="24"/>
          <w:szCs w:val="24"/>
        </w:rPr>
        <w:t>17 January 2017</w:t>
      </w:r>
      <w:r w:rsidRPr="004C1987">
        <w:rPr>
          <w:rFonts w:ascii="Times New Roman" w:eastAsia="Times New Roman" w:hAnsi="Times New Roman" w:cs="Times New Roman"/>
          <w:sz w:val="24"/>
          <w:szCs w:val="24"/>
        </w:rPr>
        <w:t xml:space="preserve">, maintaining a spacing of </w:t>
      </w:r>
      <w:r w:rsidRPr="004C1987">
        <w:rPr>
          <w:rFonts w:ascii="Times New Roman" w:eastAsia="Times New Roman" w:hAnsi="Times New Roman" w:cs="Times New Roman"/>
          <w:bCs/>
          <w:sz w:val="24"/>
          <w:szCs w:val="24"/>
        </w:rPr>
        <w:t>25 cm × 15 cm</w:t>
      </w:r>
      <w:r w:rsidRPr="004C1987">
        <w:rPr>
          <w:rFonts w:ascii="Times New Roman" w:eastAsia="Times New Roman" w:hAnsi="Times New Roman" w:cs="Times New Roman"/>
          <w:sz w:val="24"/>
          <w:szCs w:val="24"/>
        </w:rPr>
        <w:t xml:space="preserve"> between hills and rows. Careful management of the crops was ensured throughout the growing season, including essential intercultural operations such as </w:t>
      </w:r>
      <w:r w:rsidRPr="004C1987">
        <w:rPr>
          <w:rFonts w:ascii="Times New Roman" w:eastAsia="Times New Roman" w:hAnsi="Times New Roman" w:cs="Times New Roman"/>
          <w:bCs/>
          <w:sz w:val="24"/>
          <w:szCs w:val="24"/>
        </w:rPr>
        <w:t>gap filling</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weeding</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irrigation</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plant protection measures</w:t>
      </w:r>
      <w:r w:rsidRPr="004C1987">
        <w:rPr>
          <w:rFonts w:ascii="Times New Roman" w:eastAsia="Times New Roman" w:hAnsi="Times New Roman" w:cs="Times New Roman"/>
          <w:sz w:val="24"/>
          <w:szCs w:val="24"/>
        </w:rPr>
        <w:t>.</w:t>
      </w:r>
    </w:p>
    <w:p w14:paraId="69632B4E" w14:textId="723F9153"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2.4 Harvesting and Yield Measurement</w:t>
      </w:r>
    </w:p>
    <w:p w14:paraId="1C8137A3"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Maturity was determined when </w:t>
      </w:r>
      <w:r w:rsidRPr="004C1987">
        <w:rPr>
          <w:rFonts w:ascii="Times New Roman" w:eastAsia="Times New Roman" w:hAnsi="Times New Roman" w:cs="Times New Roman"/>
          <w:bCs/>
          <w:sz w:val="24"/>
          <w:szCs w:val="24"/>
        </w:rPr>
        <w:t>90% of the grains</w:t>
      </w:r>
      <w:r w:rsidRPr="004C1987">
        <w:rPr>
          <w:rFonts w:ascii="Times New Roman" w:eastAsia="Times New Roman" w:hAnsi="Times New Roman" w:cs="Times New Roman"/>
          <w:sz w:val="24"/>
          <w:szCs w:val="24"/>
        </w:rPr>
        <w:t xml:space="preserve"> turned golden yellow. The rice cultivars were harvested on different dates: </w:t>
      </w:r>
      <w:r w:rsidRPr="004C1987">
        <w:rPr>
          <w:rFonts w:ascii="Times New Roman" w:eastAsia="Times New Roman" w:hAnsi="Times New Roman" w:cs="Times New Roman"/>
          <w:bCs/>
          <w:sz w:val="24"/>
          <w:szCs w:val="24"/>
        </w:rPr>
        <w:t>BRRI dhan59</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BRRI dhan28</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Binadhan-10</w:t>
      </w:r>
      <w:r w:rsidRPr="004C1987">
        <w:rPr>
          <w:rFonts w:ascii="Times New Roman" w:eastAsia="Times New Roman" w:hAnsi="Times New Roman" w:cs="Times New Roman"/>
          <w:sz w:val="24"/>
          <w:szCs w:val="24"/>
        </w:rPr>
        <w:t xml:space="preserve"> were harvested on </w:t>
      </w:r>
      <w:r w:rsidRPr="004C1987">
        <w:rPr>
          <w:rFonts w:ascii="Times New Roman" w:eastAsia="Times New Roman" w:hAnsi="Times New Roman" w:cs="Times New Roman"/>
          <w:bCs/>
          <w:sz w:val="24"/>
          <w:szCs w:val="24"/>
        </w:rPr>
        <w:t>4 May 2017</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BRRI dhan29</w:t>
      </w:r>
      <w:r w:rsidRPr="004C1987">
        <w:rPr>
          <w:rFonts w:ascii="Times New Roman" w:eastAsia="Times New Roman" w:hAnsi="Times New Roman" w:cs="Times New Roman"/>
          <w:sz w:val="24"/>
          <w:szCs w:val="24"/>
        </w:rPr>
        <w:t xml:space="preserve"> was harvested on </w:t>
      </w:r>
      <w:r w:rsidRPr="004C1987">
        <w:rPr>
          <w:rFonts w:ascii="Times New Roman" w:eastAsia="Times New Roman" w:hAnsi="Times New Roman" w:cs="Times New Roman"/>
          <w:bCs/>
          <w:sz w:val="24"/>
          <w:szCs w:val="24"/>
        </w:rPr>
        <w:t>15 May 2017</w:t>
      </w:r>
      <w:r w:rsidRPr="004C1987">
        <w:rPr>
          <w:rFonts w:ascii="Times New Roman" w:eastAsia="Times New Roman" w:hAnsi="Times New Roman" w:cs="Times New Roman"/>
          <w:sz w:val="24"/>
          <w:szCs w:val="24"/>
        </w:rPr>
        <w:t xml:space="preserve">. For each plot, five hills were randomly selected and tagged for recording growth parameters. A </w:t>
      </w:r>
      <w:r w:rsidRPr="004C1987">
        <w:rPr>
          <w:rFonts w:ascii="Times New Roman" w:eastAsia="Times New Roman" w:hAnsi="Times New Roman" w:cs="Times New Roman"/>
          <w:bCs/>
          <w:sz w:val="24"/>
          <w:szCs w:val="24"/>
        </w:rPr>
        <w:t>1 m²</w:t>
      </w:r>
      <w:r w:rsidRPr="004C1987">
        <w:rPr>
          <w:rFonts w:ascii="Times New Roman" w:eastAsia="Times New Roman" w:hAnsi="Times New Roman" w:cs="Times New Roman"/>
          <w:sz w:val="24"/>
          <w:szCs w:val="24"/>
        </w:rPr>
        <w:t xml:space="preserve"> area was harvested from each plot to measure both </w:t>
      </w:r>
      <w:r w:rsidRPr="004C1987">
        <w:rPr>
          <w:rFonts w:ascii="Times New Roman" w:eastAsia="Times New Roman" w:hAnsi="Times New Roman" w:cs="Times New Roman"/>
          <w:bCs/>
          <w:sz w:val="24"/>
          <w:szCs w:val="24"/>
        </w:rPr>
        <w:t>grain</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straw yields</w:t>
      </w:r>
      <w:r w:rsidRPr="004C1987">
        <w:rPr>
          <w:rFonts w:ascii="Times New Roman" w:eastAsia="Times New Roman" w:hAnsi="Times New Roman" w:cs="Times New Roman"/>
          <w:sz w:val="24"/>
          <w:szCs w:val="24"/>
        </w:rPr>
        <w:t>.</w:t>
      </w:r>
    </w:p>
    <w:p w14:paraId="24403C10"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The harvested crops were brought to a clean threshing floor, where the grains were cleaned and sun-dried to a moisture content of </w:t>
      </w:r>
      <w:r w:rsidRPr="004C1987">
        <w:rPr>
          <w:rFonts w:ascii="Times New Roman" w:eastAsia="Times New Roman" w:hAnsi="Times New Roman" w:cs="Times New Roman"/>
          <w:bCs/>
          <w:sz w:val="24"/>
          <w:szCs w:val="24"/>
        </w:rPr>
        <w:t>14%</w:t>
      </w:r>
      <w:r w:rsidRPr="004C1987">
        <w:rPr>
          <w:rFonts w:ascii="Times New Roman" w:eastAsia="Times New Roman" w:hAnsi="Times New Roman" w:cs="Times New Roman"/>
          <w:sz w:val="24"/>
          <w:szCs w:val="24"/>
        </w:rPr>
        <w:t xml:space="preserve">. The straw was also sun-dried. The dry weights of the grains and straw were recorded, and the yields were converted to </w:t>
      </w:r>
      <w:r w:rsidRPr="004C1987">
        <w:rPr>
          <w:rFonts w:ascii="Times New Roman" w:eastAsia="Times New Roman" w:hAnsi="Times New Roman" w:cs="Times New Roman"/>
          <w:bCs/>
          <w:sz w:val="24"/>
          <w:szCs w:val="24"/>
        </w:rPr>
        <w:t>t ha⁻¹</w:t>
      </w:r>
      <w:r w:rsidRPr="004C1987">
        <w:rPr>
          <w:rFonts w:ascii="Times New Roman" w:eastAsia="Times New Roman" w:hAnsi="Times New Roman" w:cs="Times New Roman"/>
          <w:sz w:val="24"/>
          <w:szCs w:val="24"/>
        </w:rPr>
        <w:t>.</w:t>
      </w:r>
    </w:p>
    <w:p w14:paraId="4F4CEF1A" w14:textId="0BB705FB"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2.5 Statistical Analysis</w:t>
      </w:r>
    </w:p>
    <w:p w14:paraId="43FBD0D0" w14:textId="10E48EE9" w:rsidR="00E5485A"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Data collected from various parameters were analyzed using </w:t>
      </w:r>
      <w:r w:rsidRPr="004C1987">
        <w:rPr>
          <w:rFonts w:ascii="Times New Roman" w:eastAsia="Times New Roman" w:hAnsi="Times New Roman" w:cs="Times New Roman"/>
          <w:bCs/>
          <w:sz w:val="24"/>
          <w:szCs w:val="24"/>
        </w:rPr>
        <w:t>Analysis of Variance (ANOVA)</w:t>
      </w:r>
      <w:r w:rsidRPr="004C1987">
        <w:rPr>
          <w:rFonts w:ascii="Times New Roman" w:eastAsia="Times New Roman" w:hAnsi="Times New Roman" w:cs="Times New Roman"/>
          <w:sz w:val="24"/>
          <w:szCs w:val="24"/>
        </w:rPr>
        <w:t xml:space="preserve">, and mean differences were compared using </w:t>
      </w:r>
      <w:r w:rsidRPr="004C1987">
        <w:rPr>
          <w:rFonts w:ascii="Times New Roman" w:eastAsia="Times New Roman" w:hAnsi="Times New Roman" w:cs="Times New Roman"/>
          <w:bCs/>
          <w:sz w:val="24"/>
          <w:szCs w:val="24"/>
        </w:rPr>
        <w:t>Duncan’s Multiple Range Test (DMRT)</w:t>
      </w:r>
      <w:r w:rsidRPr="004C1987">
        <w:rPr>
          <w:rFonts w:ascii="Times New Roman" w:eastAsia="Times New Roman" w:hAnsi="Times New Roman" w:cs="Times New Roman"/>
          <w:sz w:val="24"/>
          <w:szCs w:val="24"/>
        </w:rPr>
        <w:t xml:space="preserve"> (Gomez &amp; </w:t>
      </w:r>
      <w:r w:rsidRPr="004C1987">
        <w:rPr>
          <w:rFonts w:ascii="Times New Roman" w:eastAsia="Times New Roman" w:hAnsi="Times New Roman" w:cs="Times New Roman"/>
          <w:sz w:val="24"/>
          <w:szCs w:val="24"/>
        </w:rPr>
        <w:lastRenderedPageBreak/>
        <w:t xml:space="preserve">Gomez, 1984). Statistical analysis was performed using the </w:t>
      </w:r>
      <w:r w:rsidR="00424E87" w:rsidRPr="004C1987">
        <w:rPr>
          <w:rFonts w:ascii="Times New Roman" w:eastAsia="Times New Roman" w:hAnsi="Times New Roman" w:cs="Times New Roman"/>
          <w:sz w:val="24"/>
          <w:szCs w:val="24"/>
        </w:rPr>
        <w:t xml:space="preserve">open source </w:t>
      </w:r>
      <w:r w:rsidRPr="004C1987">
        <w:rPr>
          <w:rFonts w:ascii="Times New Roman" w:eastAsia="Times New Roman" w:hAnsi="Times New Roman" w:cs="Times New Roman"/>
          <w:sz w:val="24"/>
          <w:szCs w:val="24"/>
        </w:rPr>
        <w:t>computer software package</w:t>
      </w:r>
      <w:r w:rsidR="000B0077" w:rsidRPr="004C1987">
        <w:rPr>
          <w:rFonts w:ascii="Times New Roman" w:eastAsia="Times New Roman" w:hAnsi="Times New Roman" w:cs="Times New Roman"/>
          <w:sz w:val="24"/>
          <w:szCs w:val="24"/>
        </w:rPr>
        <w:t xml:space="preserve"> R</w:t>
      </w:r>
      <w:r w:rsidRPr="004C1987">
        <w:rPr>
          <w:rFonts w:ascii="Times New Roman" w:eastAsia="Times New Roman" w:hAnsi="Times New Roman" w:cs="Times New Roman"/>
          <w:sz w:val="24"/>
          <w:szCs w:val="24"/>
        </w:rPr>
        <w:t>.</w:t>
      </w:r>
    </w:p>
    <w:p w14:paraId="500CDC62" w14:textId="2DC8B812" w:rsidR="009E46B7" w:rsidRPr="004C1987" w:rsidRDefault="00297147" w:rsidP="009E46B7">
      <w:pPr>
        <w:spacing w:after="0" w:line="360" w:lineRule="auto"/>
        <w:jc w:val="both"/>
        <w:rPr>
          <w:rFonts w:ascii="Times New Roman" w:hAnsi="Times New Roman" w:cs="Times New Roman"/>
          <w:b/>
          <w:sz w:val="24"/>
          <w:szCs w:val="26"/>
        </w:rPr>
      </w:pPr>
      <w:r w:rsidRPr="004C1987">
        <w:rPr>
          <w:rFonts w:ascii="Times New Roman" w:hAnsi="Times New Roman" w:cs="Times New Roman"/>
          <w:b/>
          <w:sz w:val="24"/>
          <w:szCs w:val="26"/>
        </w:rPr>
        <w:t>3</w:t>
      </w:r>
      <w:r w:rsidR="009E46B7" w:rsidRPr="004C1987">
        <w:rPr>
          <w:rFonts w:ascii="Times New Roman" w:hAnsi="Times New Roman" w:cs="Times New Roman"/>
          <w:b/>
          <w:sz w:val="24"/>
          <w:szCs w:val="26"/>
        </w:rPr>
        <w:t>. Results and Discussion</w:t>
      </w:r>
    </w:p>
    <w:p w14:paraId="186F71C6" w14:textId="77777777" w:rsidR="009E46B7" w:rsidRPr="004C1987" w:rsidRDefault="009E46B7" w:rsidP="009E46B7">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This study aimed to assess the effects of rice cultivars and integrated nitrogen management on the growth and yield of </w:t>
      </w:r>
      <w:proofErr w:type="spellStart"/>
      <w:r w:rsidRPr="004C1987">
        <w:rPr>
          <w:rFonts w:ascii="Times New Roman" w:hAnsi="Times New Roman" w:cs="Times New Roman"/>
          <w:i/>
          <w:sz w:val="24"/>
          <w:szCs w:val="26"/>
        </w:rPr>
        <w:t>boro</w:t>
      </w:r>
      <w:proofErr w:type="spellEnd"/>
      <w:r w:rsidRPr="004C1987">
        <w:rPr>
          <w:rFonts w:ascii="Times New Roman" w:hAnsi="Times New Roman" w:cs="Times New Roman"/>
          <w:sz w:val="24"/>
          <w:szCs w:val="26"/>
        </w:rPr>
        <w:t xml:space="preserve"> rice. Significant variations were observed in various growth and yield-related parameters, influenced by the rice cultivars, nitrogen sources, and their interactions.</w:t>
      </w:r>
    </w:p>
    <w:p w14:paraId="25E68C97" w14:textId="77777777" w:rsidR="009A3811" w:rsidRPr="004C1987" w:rsidRDefault="009A3811" w:rsidP="009A3811">
      <w:pPr>
        <w:spacing w:after="0" w:line="360" w:lineRule="auto"/>
        <w:jc w:val="both"/>
        <w:rPr>
          <w:rFonts w:ascii="Times New Roman" w:hAnsi="Times New Roman" w:cs="Times New Roman"/>
          <w:sz w:val="24"/>
          <w:szCs w:val="26"/>
        </w:rPr>
      </w:pPr>
    </w:p>
    <w:p w14:paraId="6B06608B" w14:textId="25AC94EF"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.1 Growth Characteristics</w:t>
      </w:r>
    </w:p>
    <w:p w14:paraId="6EB29CA5" w14:textId="1C5BDDE2"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.1.1 Plant Height</w:t>
      </w:r>
    </w:p>
    <w:p w14:paraId="190B98E7" w14:textId="77777777"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plant height at 25, 50, and 75 days after transplanting (DAT) was significantly influenced by both the rice variety and nitrogen source at the 1% probability level. Among the varieties tested, Binadhan-10 exhibited the tallest plant height, with values of 34.67 cm, 55.04 cm, and 71.31 cm at 25, 50, and 75 DAT, respectively (Figure 1). This variety outperformed the other varieties, consistent with findings by Chakraborty (2016), who reported substantial variations in plant height across different varieties.</w:t>
      </w:r>
    </w:p>
    <w:p w14:paraId="6CF5A27E" w14:textId="77777777"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In comparison with other studies, the performance of Binadhan-10 in terms of plant height is notable. For instance, Das et al. (2015) observed that the BRRI dhan47 variety reached a plant height of 93.19 cm, which was the tallest among the varieties tested in their study, surpassing the shorter </w:t>
      </w:r>
      <w:proofErr w:type="spellStart"/>
      <w:r w:rsidRPr="004C1987">
        <w:rPr>
          <w:rFonts w:ascii="Times New Roman" w:hAnsi="Times New Roman" w:cs="Times New Roman"/>
          <w:sz w:val="24"/>
          <w:szCs w:val="26"/>
        </w:rPr>
        <w:t>Koshihikari</w:t>
      </w:r>
      <w:proofErr w:type="spellEnd"/>
      <w:r w:rsidRPr="004C1987">
        <w:rPr>
          <w:rFonts w:ascii="Times New Roman" w:hAnsi="Times New Roman" w:cs="Times New Roman"/>
          <w:sz w:val="24"/>
          <w:szCs w:val="26"/>
        </w:rPr>
        <w:t xml:space="preserve"> variety, which had a height of 78.30 cm. While Binadhan-10 showed impressive growth in this study, it appears to be of a more intermediate height when compared to varieties such as BRRI dhan47 (Das et al., 2015). However, the superior growth of Binadhan-10 is still significant when compared to many other varieties under similar conditions.</w:t>
      </w:r>
    </w:p>
    <w:p w14:paraId="2667AE0A" w14:textId="7290FCC5"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Similarly, the nitrogen source significantly influenced plant height, w</w:t>
      </w:r>
      <w:r w:rsidR="00690BE5" w:rsidRPr="004C1987">
        <w:rPr>
          <w:rFonts w:ascii="Times New Roman" w:hAnsi="Times New Roman" w:cs="Times New Roman"/>
          <w:sz w:val="24"/>
          <w:szCs w:val="26"/>
        </w:rPr>
        <w:t xml:space="preserve">ith the application of 140 kg N </w:t>
      </w:r>
      <w:r w:rsidRPr="004C1987">
        <w:rPr>
          <w:rFonts w:ascii="Times New Roman" w:hAnsi="Times New Roman" w:cs="Times New Roman"/>
          <w:sz w:val="24"/>
          <w:szCs w:val="26"/>
        </w:rPr>
        <w:t>ha</w:t>
      </w:r>
      <w:r w:rsidR="00690BE5"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from prilled urea (PU) resulting in the tallest plants at 33.61 cm, 50.58 cm, and 70.75 cm at 25, 50, and 75 DAT, respectively (Figure 2). This confirms the importance of nitrogen in promoting vegetative growth. These results align with the findings of </w:t>
      </w:r>
      <w:proofErr w:type="spellStart"/>
      <w:r w:rsidRPr="004C1987">
        <w:rPr>
          <w:rFonts w:ascii="Times New Roman" w:hAnsi="Times New Roman" w:cs="Times New Roman"/>
          <w:sz w:val="24"/>
          <w:szCs w:val="26"/>
        </w:rPr>
        <w:t>Prayoga</w:t>
      </w:r>
      <w:proofErr w:type="spellEnd"/>
      <w:r w:rsidRPr="004C1987">
        <w:rPr>
          <w:rFonts w:ascii="Times New Roman" w:hAnsi="Times New Roman" w:cs="Times New Roman"/>
          <w:sz w:val="24"/>
          <w:szCs w:val="26"/>
        </w:rPr>
        <w:t xml:space="preserve"> et al. (2018), who noted that nitrogen application significantly affected plant height, with varieties like </w:t>
      </w:r>
      <w:proofErr w:type="spellStart"/>
      <w:r w:rsidRPr="004C1987">
        <w:rPr>
          <w:rFonts w:ascii="Times New Roman" w:hAnsi="Times New Roman" w:cs="Times New Roman"/>
          <w:sz w:val="24"/>
          <w:szCs w:val="26"/>
        </w:rPr>
        <w:t>Inpari</w:t>
      </w:r>
      <w:proofErr w:type="spellEnd"/>
      <w:r w:rsidRPr="004C1987">
        <w:rPr>
          <w:rFonts w:ascii="Times New Roman" w:hAnsi="Times New Roman" w:cs="Times New Roman"/>
          <w:sz w:val="24"/>
          <w:szCs w:val="26"/>
        </w:rPr>
        <w:t xml:space="preserve"> 34 showing taller growth under optimal nitrogen management.</w:t>
      </w:r>
    </w:p>
    <w:p w14:paraId="728C8F9E" w14:textId="77777777"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The interaction between rice variety and nitrogen source did not significantly affect plant height at 25 and 75 DAT. However, at 50 DAT, the interaction between certain varieties and nitrogen </w:t>
      </w:r>
      <w:r w:rsidRPr="004C1987">
        <w:rPr>
          <w:rFonts w:ascii="Times New Roman" w:hAnsi="Times New Roman" w:cs="Times New Roman"/>
          <w:sz w:val="24"/>
          <w:szCs w:val="26"/>
        </w:rPr>
        <w:lastRenderedPageBreak/>
        <w:t xml:space="preserve">sources was significant (Figure 7), indicating that nitrogen management can have varying effects depending on the variety during critical growth stages. This observation is supported by the study of </w:t>
      </w:r>
      <w:proofErr w:type="spellStart"/>
      <w:r w:rsidRPr="004C1987">
        <w:rPr>
          <w:rFonts w:ascii="Times New Roman" w:hAnsi="Times New Roman" w:cs="Times New Roman"/>
          <w:sz w:val="24"/>
          <w:szCs w:val="26"/>
        </w:rPr>
        <w:t>Prayoga</w:t>
      </w:r>
      <w:proofErr w:type="spellEnd"/>
      <w:r w:rsidRPr="004C1987">
        <w:rPr>
          <w:rFonts w:ascii="Times New Roman" w:hAnsi="Times New Roman" w:cs="Times New Roman"/>
          <w:sz w:val="24"/>
          <w:szCs w:val="26"/>
        </w:rPr>
        <w:t xml:space="preserve"> et al. (2018), which also showed varying plant growth in different rice varieties when combined with different nitrogen management strategies.</w:t>
      </w:r>
    </w:p>
    <w:p w14:paraId="70E429D6" w14:textId="77777777" w:rsidR="00191F45" w:rsidRPr="004C1987" w:rsidRDefault="00191F45" w:rsidP="00191F45">
      <w:pPr>
        <w:spacing w:after="0" w:line="360" w:lineRule="auto"/>
        <w:jc w:val="both"/>
        <w:rPr>
          <w:rFonts w:ascii="Times New Roman" w:hAnsi="Times New Roman" w:cs="Times New Roman"/>
          <w:sz w:val="24"/>
          <w:szCs w:val="26"/>
        </w:rPr>
      </w:pPr>
    </w:p>
    <w:p w14:paraId="429AABAE" w14:textId="616F484F"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.1.2 Total Tillers Hill</w:t>
      </w:r>
      <w:r w:rsidR="009A3811" w:rsidRPr="004C1987">
        <w:rPr>
          <w:rFonts w:ascii="Times New Roman" w:hAnsi="Times New Roman" w:cs="Times New Roman"/>
          <w:sz w:val="24"/>
          <w:szCs w:val="26"/>
          <w:vertAlign w:val="superscript"/>
        </w:rPr>
        <w:t>-1</w:t>
      </w:r>
    </w:p>
    <w:p w14:paraId="10931F9B" w14:textId="30DFE9D4"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The number of total tillers per hill at 25, 50, and 75 days after transplanting (DAT) was significantly influenced by variety at the 1% significance level. Binadhan-10 exhibited the highest number of tillers, with 4.73, 11.46, and 17.74 at 25, 50, and 75 DAT, respectively (Figure 3). This result is in line with previous studies by </w:t>
      </w:r>
      <w:r w:rsidR="000A4807" w:rsidRPr="004C1987">
        <w:rPr>
          <w:rFonts w:ascii="Book Antiqua" w:hAnsi="Book Antiqua" w:cs="Times New Roman"/>
          <w:sz w:val="24"/>
          <w:szCs w:val="24"/>
        </w:rPr>
        <w:t>Wang</w:t>
      </w:r>
      <w:r w:rsidRPr="004C1987">
        <w:rPr>
          <w:rFonts w:ascii="Times New Roman" w:hAnsi="Times New Roman" w:cs="Times New Roman"/>
          <w:sz w:val="24"/>
          <w:szCs w:val="26"/>
        </w:rPr>
        <w:t xml:space="preserve"> et al. (201</w:t>
      </w:r>
      <w:r w:rsidR="000A4807" w:rsidRPr="004C1987">
        <w:rPr>
          <w:rFonts w:ascii="Times New Roman" w:hAnsi="Times New Roman" w:cs="Times New Roman"/>
          <w:sz w:val="24"/>
          <w:szCs w:val="26"/>
        </w:rPr>
        <w:t>7</w:t>
      </w:r>
      <w:r w:rsidRPr="004C1987">
        <w:rPr>
          <w:rFonts w:ascii="Times New Roman" w:hAnsi="Times New Roman" w:cs="Times New Roman"/>
          <w:sz w:val="24"/>
          <w:szCs w:val="26"/>
        </w:rPr>
        <w:t>), who found significant varietal differences in tillering, which directly influence plant growth and yield.</w:t>
      </w:r>
    </w:p>
    <w:p w14:paraId="77303414" w14:textId="30EBECB9"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In comparison with other studies, the performance of Binadhan-10 is remarkable. For example, </w:t>
      </w:r>
      <w:proofErr w:type="spellStart"/>
      <w:r w:rsidR="00C8691F" w:rsidRPr="004C1987">
        <w:rPr>
          <w:rFonts w:ascii="Book Antiqua" w:hAnsi="Book Antiqua" w:cs="Times New Roman"/>
          <w:sz w:val="24"/>
          <w:szCs w:val="24"/>
        </w:rPr>
        <w:t>Jayhoon</w:t>
      </w:r>
      <w:proofErr w:type="spellEnd"/>
      <w:r w:rsidRPr="004C1987">
        <w:rPr>
          <w:rFonts w:ascii="Times New Roman" w:hAnsi="Times New Roman" w:cs="Times New Roman"/>
          <w:sz w:val="24"/>
          <w:szCs w:val="26"/>
        </w:rPr>
        <w:t xml:space="preserve"> et al. (202</w:t>
      </w:r>
      <w:r w:rsidR="00C8691F" w:rsidRPr="004C1987">
        <w:rPr>
          <w:rFonts w:ascii="Times New Roman" w:hAnsi="Times New Roman" w:cs="Times New Roman"/>
          <w:sz w:val="24"/>
          <w:szCs w:val="26"/>
        </w:rPr>
        <w:t>4</w:t>
      </w:r>
      <w:r w:rsidRPr="004C1987">
        <w:rPr>
          <w:rFonts w:ascii="Times New Roman" w:hAnsi="Times New Roman" w:cs="Times New Roman"/>
          <w:sz w:val="24"/>
          <w:szCs w:val="26"/>
        </w:rPr>
        <w:t xml:space="preserve">) observed that </w:t>
      </w:r>
      <w:r w:rsidR="0093601C" w:rsidRPr="004C1987">
        <w:rPr>
          <w:rFonts w:ascii="Times New Roman" w:hAnsi="Times New Roman" w:cs="Times New Roman"/>
          <w:sz w:val="24"/>
          <w:szCs w:val="26"/>
        </w:rPr>
        <w:t>some varieties</w:t>
      </w:r>
      <w:r w:rsidRPr="004C1987">
        <w:rPr>
          <w:rFonts w:ascii="Times New Roman" w:hAnsi="Times New Roman" w:cs="Times New Roman"/>
          <w:sz w:val="24"/>
          <w:szCs w:val="26"/>
        </w:rPr>
        <w:t xml:space="preserve"> had the highest number of tillers per hill at 75 DAT. Similarly, in a study by Liu et al. (2019), nitrogen application after low-temperature exposure significantly enhanced tillering in rice, which aligns with our results that highlight the role of nitrogen management in tiller production.</w:t>
      </w:r>
    </w:p>
    <w:p w14:paraId="0F4ADB01" w14:textId="165A333E"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also had a significant effect on tilleri</w:t>
      </w:r>
      <w:r w:rsidR="00030591" w:rsidRPr="004C1987">
        <w:rPr>
          <w:rFonts w:ascii="Times New Roman" w:hAnsi="Times New Roman" w:cs="Times New Roman"/>
          <w:sz w:val="24"/>
          <w:szCs w:val="26"/>
        </w:rPr>
        <w:t xml:space="preserve">ng. The combination of 105 kg N </w:t>
      </w:r>
      <w:r w:rsidRPr="004C1987">
        <w:rPr>
          <w:rFonts w:ascii="Times New Roman" w:hAnsi="Times New Roman" w:cs="Times New Roman"/>
          <w:sz w:val="24"/>
          <w:szCs w:val="26"/>
        </w:rPr>
        <w:t>ha</w:t>
      </w:r>
      <w:r w:rsidR="00030591"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from prilled urea (PU) and 3 t/ha poultry manure (PM) produced the highest number of total tillers, with 4.86, 12.31, and 17.95 at 25, 50, and 75 DAT, respectively (Figure 4). This suggests that integrated nitrogen management, utilizing both organic and inorganic nitrogen sources, effectively enhances tiller production. This is consistent with findings from Geetha and Balasubramanian (2016), who observed significant improvements in tillering with optimized nitrogen management practices, particularly when using integrated sources like poultry manure.</w:t>
      </w:r>
    </w:p>
    <w:p w14:paraId="45C072E1" w14:textId="4443039B"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Despite the significant effect of variety and nitrogen source on total tillers, no significant interaction between variety and nitrogen source was observed. However, the combinat</w:t>
      </w:r>
      <w:r w:rsidR="00030591" w:rsidRPr="004C1987">
        <w:rPr>
          <w:rFonts w:ascii="Times New Roman" w:hAnsi="Times New Roman" w:cs="Times New Roman"/>
          <w:sz w:val="24"/>
          <w:szCs w:val="26"/>
        </w:rPr>
        <w:t xml:space="preserve">ion of Binadhan-10 and 105 kg N </w:t>
      </w:r>
      <w:r w:rsidRPr="004C1987">
        <w:rPr>
          <w:rFonts w:ascii="Times New Roman" w:hAnsi="Times New Roman" w:cs="Times New Roman"/>
          <w:sz w:val="24"/>
          <w:szCs w:val="26"/>
        </w:rPr>
        <w:t>ha</w:t>
      </w:r>
      <w:r w:rsidR="00030591"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from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resulted in the highest number of tillers at all growth stages (Figure 8), further emphasizing the benefits of organic-inorganic nitrogen combinations for optimal tiller production.</w:t>
      </w:r>
    </w:p>
    <w:p w14:paraId="055BA90B" w14:textId="77777777" w:rsidR="009A3811" w:rsidRPr="004C1987" w:rsidRDefault="009A3811" w:rsidP="009A3811">
      <w:pPr>
        <w:spacing w:after="0" w:line="360" w:lineRule="auto"/>
        <w:jc w:val="both"/>
        <w:rPr>
          <w:rFonts w:ascii="Times New Roman" w:hAnsi="Times New Roman" w:cs="Times New Roman"/>
          <w:sz w:val="24"/>
          <w:szCs w:val="26"/>
        </w:rPr>
      </w:pPr>
    </w:p>
    <w:p w14:paraId="2870C584" w14:textId="0283C0F9"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.1.3 Total Dry Weight</w:t>
      </w:r>
    </w:p>
    <w:p w14:paraId="00EB8911" w14:textId="427AA7DF" w:rsidR="00113099" w:rsidRPr="004C1987" w:rsidRDefault="00113099" w:rsidP="00113099">
      <w:pPr>
        <w:spacing w:after="0" w:line="360" w:lineRule="auto"/>
        <w:jc w:val="both"/>
        <w:rPr>
          <w:rFonts w:ascii="Times New Roman" w:hAnsi="Times New Roman" w:cs="Times New Roman"/>
          <w:sz w:val="24"/>
          <w:szCs w:val="26"/>
        </w:rPr>
      </w:pPr>
    </w:p>
    <w:p w14:paraId="66F60C5E" w14:textId="1A90679F" w:rsidR="00113099" w:rsidRPr="004C1987" w:rsidRDefault="00113099" w:rsidP="00113099">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lastRenderedPageBreak/>
        <w:t>The total dry weight of rice at 25, 50, and 75 days after transplanting (DAT) was significantly influenced by the variety at the 1% level (Figure 5). Among the varieties evaluated, Binadhan-10 exhibited superior biomass accumulation, with dry weights of 1.17g at 25 DAT, 4.02g at 50 DAT, and 24.09g at 75 DAT. These results underscore Binadhan-10's ability to accumulate biomass efficiently, which is crucial for promoting robust growth and enhancing yield potential. Previous research has indicated that varietal differences in dry matter production and nitrogen use efficiency (NUE) are key factors affecting crop productivity, with efficient nitrogen utilization contributing to enhanced growth and higher biomass production (</w:t>
      </w:r>
      <w:proofErr w:type="spellStart"/>
      <w:r w:rsidRPr="004C1987">
        <w:rPr>
          <w:rFonts w:ascii="Times New Roman" w:hAnsi="Times New Roman" w:cs="Times New Roman"/>
          <w:sz w:val="24"/>
          <w:szCs w:val="26"/>
        </w:rPr>
        <w:t>Namai</w:t>
      </w:r>
      <w:proofErr w:type="spellEnd"/>
      <w:r w:rsidRPr="004C1987">
        <w:rPr>
          <w:rFonts w:ascii="Times New Roman" w:hAnsi="Times New Roman" w:cs="Times New Roman"/>
          <w:sz w:val="24"/>
          <w:szCs w:val="26"/>
        </w:rPr>
        <w:t xml:space="preserve"> et al., 2009).</w:t>
      </w:r>
    </w:p>
    <w:p w14:paraId="08455F06" w14:textId="77777777" w:rsidR="00113099" w:rsidRPr="004C1987" w:rsidRDefault="00113099" w:rsidP="00113099">
      <w:pPr>
        <w:spacing w:after="0" w:line="360" w:lineRule="auto"/>
        <w:jc w:val="both"/>
        <w:rPr>
          <w:rFonts w:ascii="Times New Roman" w:hAnsi="Times New Roman" w:cs="Times New Roman"/>
          <w:sz w:val="24"/>
          <w:szCs w:val="26"/>
        </w:rPr>
      </w:pPr>
    </w:p>
    <w:p w14:paraId="0BAEDBF7" w14:textId="3C70E173" w:rsidR="00113099" w:rsidRPr="004C1987" w:rsidRDefault="00113099" w:rsidP="00113099">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also significantly influenced total dry weight across all growth stages (Figure 6). The combination of 105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 xml:space="preserve"> from PU + 3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resulted in the highest total dry weight, with 1.26g at 25 DAT, 4.22g at 50 DAT, and 26.96g at 75 DAT. These findings highlight the importance of combining organic amendments, such as poultry manure, with chemical fertilizers to improve biomass production and nitrogen use efficiency. Integrated nitrogen nutrition, which combines organic and inorganic sources of nitrogen, has been shown to improve dry matter accumulation, crop yield, and NUE in rice. This strategy not only enhances biomass production but also supports sustainable agricultural practices by minimizing nitrogen losses (</w:t>
      </w:r>
      <w:proofErr w:type="spellStart"/>
      <w:r w:rsidRPr="004C1987">
        <w:rPr>
          <w:rFonts w:ascii="Times New Roman" w:hAnsi="Times New Roman" w:cs="Times New Roman"/>
          <w:sz w:val="24"/>
          <w:szCs w:val="26"/>
        </w:rPr>
        <w:t>Puteh</w:t>
      </w:r>
      <w:proofErr w:type="spellEnd"/>
      <w:r w:rsidRPr="004C1987">
        <w:rPr>
          <w:rFonts w:ascii="Times New Roman" w:hAnsi="Times New Roman" w:cs="Times New Roman"/>
          <w:sz w:val="24"/>
          <w:szCs w:val="26"/>
        </w:rPr>
        <w:t xml:space="preserve"> &amp; Mondal, 2014).</w:t>
      </w:r>
    </w:p>
    <w:p w14:paraId="4E393C51" w14:textId="77777777" w:rsidR="00113099" w:rsidRPr="004C1987" w:rsidRDefault="00113099" w:rsidP="00113099">
      <w:pPr>
        <w:spacing w:after="0" w:line="360" w:lineRule="auto"/>
        <w:jc w:val="both"/>
        <w:rPr>
          <w:rFonts w:ascii="Times New Roman" w:hAnsi="Times New Roman" w:cs="Times New Roman"/>
          <w:sz w:val="24"/>
          <w:szCs w:val="26"/>
        </w:rPr>
      </w:pPr>
    </w:p>
    <w:p w14:paraId="574CD574" w14:textId="17DE33EC" w:rsidR="00297147" w:rsidRPr="004C1987" w:rsidRDefault="00113099" w:rsidP="00113099">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Although the interaction between variety and nitrogen source did not show a significant effect on total dry weight, the combination of Binadhan-10 and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consistently resulted in the highest total dry weight across all growth stages (Figure 9). This suggests that while both variety and nitrogen source independently influence biomass production, their combined effect, particularly when Binadhan-10 is paired with organic amendments, results in the optimal biomass accumulation. These findings are consistent with previous research indicating that combining high nitrogen efficiency varieties with well-managed nitrogen sources can enhance dry matter production and yield (Li et al., 2013).</w:t>
      </w:r>
    </w:p>
    <w:p w14:paraId="45A888E0" w14:textId="77777777" w:rsidR="00113099" w:rsidRPr="004C1987" w:rsidRDefault="00113099" w:rsidP="009A3811">
      <w:pPr>
        <w:spacing w:after="0" w:line="360" w:lineRule="auto"/>
        <w:jc w:val="both"/>
        <w:rPr>
          <w:rFonts w:ascii="Times New Roman" w:hAnsi="Times New Roman" w:cs="Times New Roman"/>
          <w:sz w:val="24"/>
          <w:szCs w:val="26"/>
        </w:rPr>
      </w:pPr>
    </w:p>
    <w:p w14:paraId="2338A31B" w14:textId="69891C45"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 Yield and Yield-Contributing Traits</w:t>
      </w:r>
    </w:p>
    <w:p w14:paraId="4ED60784" w14:textId="5FD80D63"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.2.1 Plant Height at Maturity</w:t>
      </w:r>
    </w:p>
    <w:p w14:paraId="3DDFA9BB" w14:textId="25409A4D" w:rsidR="00063B4D" w:rsidRPr="004C1987" w:rsidRDefault="00063B4D" w:rsidP="00063B4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lastRenderedPageBreak/>
        <w:t>The plant height at maturity varied significantly among the rice varieties at the 1% significance level (Table 1). Binadhan-10 produced the tallest plants, reaching 90.62 cm, while BRRI dhan59 produced the shortest plants, measuring 77.48 cm. This variation underscores the significant genetic differences in growth traits among rice varieties. These results align with previous studies, which show that varietal differences in plant height are influenced by genetic factors that affect plant vigor and overall biomass accumulation (</w:t>
      </w:r>
      <w:r w:rsidR="002A73DA" w:rsidRPr="004C1987">
        <w:rPr>
          <w:rFonts w:ascii="Book Antiqua" w:hAnsi="Book Antiqua" w:cs="Times New Roman"/>
          <w:sz w:val="24"/>
          <w:szCs w:val="24"/>
        </w:rPr>
        <w:t>Jahan</w:t>
      </w:r>
      <w:r w:rsidR="002A73DA" w:rsidRPr="004C1987">
        <w:rPr>
          <w:rFonts w:ascii="Times New Roman" w:hAnsi="Times New Roman" w:cs="Times New Roman"/>
          <w:sz w:val="24"/>
          <w:szCs w:val="26"/>
        </w:rPr>
        <w:t xml:space="preserve"> et al., 2022</w:t>
      </w:r>
      <w:r w:rsidRPr="004C1987">
        <w:rPr>
          <w:rFonts w:ascii="Times New Roman" w:hAnsi="Times New Roman" w:cs="Times New Roman"/>
          <w:sz w:val="24"/>
          <w:szCs w:val="26"/>
        </w:rPr>
        <w:t>).</w:t>
      </w:r>
    </w:p>
    <w:p w14:paraId="487F461F" w14:textId="77777777" w:rsidR="00063B4D" w:rsidRPr="004C1987" w:rsidRDefault="00063B4D" w:rsidP="00063B4D">
      <w:pPr>
        <w:spacing w:after="0" w:line="360" w:lineRule="auto"/>
        <w:jc w:val="both"/>
        <w:rPr>
          <w:rFonts w:ascii="Times New Roman" w:hAnsi="Times New Roman" w:cs="Times New Roman"/>
          <w:sz w:val="24"/>
          <w:szCs w:val="26"/>
        </w:rPr>
      </w:pPr>
    </w:p>
    <w:p w14:paraId="26352C5E" w14:textId="3592B3C2" w:rsidR="00063B4D" w:rsidRPr="004C1987" w:rsidRDefault="00063B4D" w:rsidP="00063B4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No significant differences were observed in plant height at maturity due to nitrogen source alone. However, the treatment with 77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PU + 4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vermicompost (N</w:t>
      </w:r>
      <w:r w:rsidRPr="004C1987">
        <w:rPr>
          <w:rFonts w:ascii="Times New Roman" w:hAnsi="Times New Roman" w:cs="Times New Roman"/>
          <w:sz w:val="24"/>
          <w:szCs w:val="26"/>
          <w:vertAlign w:val="subscript"/>
        </w:rPr>
        <w:t>6</w:t>
      </w:r>
      <w:r w:rsidRPr="004C1987">
        <w:rPr>
          <w:rFonts w:ascii="Times New Roman" w:hAnsi="Times New Roman" w:cs="Times New Roman"/>
          <w:sz w:val="24"/>
          <w:szCs w:val="26"/>
        </w:rPr>
        <w:t>) resulted in the tallest plants, followed by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which suggests that organic nitrogen sources might have a marginally positive effect on plant height. Previous studies have reported similar findings, where the application of organic fertilizers such as vermicompost positively influenced plant height in rice, though to a lesser extent than chemical fertilizers (</w:t>
      </w:r>
      <w:proofErr w:type="spellStart"/>
      <w:r w:rsidR="001744B3" w:rsidRPr="004C1987">
        <w:rPr>
          <w:rFonts w:ascii="Book Antiqua" w:hAnsi="Book Antiqua" w:cs="Times New Roman"/>
          <w:sz w:val="24"/>
          <w:szCs w:val="24"/>
        </w:rPr>
        <w:t>Shanker</w:t>
      </w:r>
      <w:proofErr w:type="spellEnd"/>
      <w:r w:rsidRPr="004C1987">
        <w:rPr>
          <w:rFonts w:ascii="Times New Roman" w:hAnsi="Times New Roman" w:cs="Times New Roman"/>
          <w:sz w:val="24"/>
          <w:szCs w:val="26"/>
        </w:rPr>
        <w:t xml:space="preserve"> et al., 2024).</w:t>
      </w:r>
    </w:p>
    <w:p w14:paraId="60F3E71E" w14:textId="77777777" w:rsidR="00063B4D" w:rsidRPr="004C1987" w:rsidRDefault="00063B4D" w:rsidP="00063B4D">
      <w:pPr>
        <w:spacing w:after="0" w:line="360" w:lineRule="auto"/>
        <w:jc w:val="both"/>
        <w:rPr>
          <w:rFonts w:ascii="Times New Roman" w:hAnsi="Times New Roman" w:cs="Times New Roman"/>
          <w:sz w:val="24"/>
          <w:szCs w:val="26"/>
        </w:rPr>
      </w:pPr>
    </w:p>
    <w:p w14:paraId="25058DAB" w14:textId="4F33006F" w:rsidR="009A3811" w:rsidRPr="004C1987" w:rsidRDefault="00063B4D" w:rsidP="00063B4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significantly affected plant height at maturity (Table 3). Binadhan-10, when paired with 105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produced the tallest plants at maturity, reaching 92.57 cm, while BRRI dhan59 with control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produced the shortest plants, measuring 77.22 cm. This interaction highlights the importance of appropriate nitrogen management in combination with variety selection to maximize growth. The positive interaction between Binadhan-10 and poultry manure was also observed in other studies, where high-efficiency nitrogen sources, combined with suitable varieties, resulted in increased growth and productivity (Faruk et al., 2021).</w:t>
      </w:r>
    </w:p>
    <w:p w14:paraId="11F0E966" w14:textId="77777777" w:rsidR="006E2E22" w:rsidRPr="004C1987" w:rsidRDefault="006E2E22" w:rsidP="00063B4D">
      <w:pPr>
        <w:spacing w:after="0" w:line="360" w:lineRule="auto"/>
        <w:jc w:val="both"/>
        <w:rPr>
          <w:rFonts w:ascii="Times New Roman" w:hAnsi="Times New Roman" w:cs="Times New Roman"/>
          <w:sz w:val="24"/>
          <w:szCs w:val="26"/>
        </w:rPr>
      </w:pPr>
    </w:p>
    <w:p w14:paraId="79FED532" w14:textId="0AA81C60"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2</w:t>
      </w:r>
      <w:r w:rsidR="009A3811" w:rsidRPr="004C1987">
        <w:rPr>
          <w:rFonts w:ascii="Times New Roman" w:hAnsi="Times New Roman" w:cs="Times New Roman"/>
          <w:sz w:val="24"/>
          <w:szCs w:val="26"/>
        </w:rPr>
        <w:t xml:space="preserve"> Grain Yield</w:t>
      </w:r>
    </w:p>
    <w:p w14:paraId="49F9606D" w14:textId="3D9A1AF3" w:rsidR="00405D1E" w:rsidRPr="004C1987" w:rsidRDefault="00405D1E" w:rsidP="00405D1E">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grain yield was significantly influenced by the variety at the 1% level of probability (Table 1). Binadhan-10 produced the highest grain yield of 4.99 t/ha, while BRRI dhan59 produced the lowest yield at 4.53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These findings are consistent with previous studies, where Binadhan-10 was identified as a high-yielding variety under optimal conditions. For instance, a study by Chowdhury et al. (2016) also reported that varieties like Binadhan-13 demonstrated significant </w:t>
      </w:r>
      <w:r w:rsidRPr="004C1987">
        <w:rPr>
          <w:rFonts w:ascii="Times New Roman" w:hAnsi="Times New Roman" w:cs="Times New Roman"/>
          <w:sz w:val="24"/>
          <w:szCs w:val="26"/>
        </w:rPr>
        <w:lastRenderedPageBreak/>
        <w:t>yield advantages compared to other varieties, confirming the high potential of these varieties when grown u</w:t>
      </w:r>
      <w:r w:rsidR="00FD68BC" w:rsidRPr="004C1987">
        <w:rPr>
          <w:rFonts w:ascii="Times New Roman" w:hAnsi="Times New Roman" w:cs="Times New Roman"/>
          <w:sz w:val="24"/>
          <w:szCs w:val="26"/>
        </w:rPr>
        <w:t>nder proper agronomic practices.</w:t>
      </w:r>
    </w:p>
    <w:p w14:paraId="7EF518CD" w14:textId="77777777" w:rsidR="00405D1E" w:rsidRPr="004C1987" w:rsidRDefault="00405D1E" w:rsidP="00405D1E">
      <w:pPr>
        <w:spacing w:after="0" w:line="360" w:lineRule="auto"/>
        <w:jc w:val="both"/>
        <w:rPr>
          <w:rFonts w:ascii="Times New Roman" w:hAnsi="Times New Roman" w:cs="Times New Roman"/>
          <w:sz w:val="24"/>
          <w:szCs w:val="26"/>
        </w:rPr>
      </w:pPr>
    </w:p>
    <w:p w14:paraId="7D951037" w14:textId="2012F700" w:rsidR="00405D1E" w:rsidRPr="004C1987" w:rsidRDefault="00405D1E" w:rsidP="00405D1E">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significantly affected the grain yield. The highest grain yield (5.85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obtained from the treatment with 105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PU + 3 t/ha 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yield (3.29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observed in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(Table 2). This suggests that integrated nitrogen management, combining both chemical fertilizers and organic amendments, can significantly increase grain yield. These results are consistent with findings by </w:t>
      </w:r>
      <w:proofErr w:type="spellStart"/>
      <w:r w:rsidRPr="004C1987">
        <w:rPr>
          <w:rFonts w:ascii="Times New Roman" w:hAnsi="Times New Roman" w:cs="Times New Roman"/>
          <w:sz w:val="24"/>
          <w:szCs w:val="26"/>
        </w:rPr>
        <w:t>Puteh</w:t>
      </w:r>
      <w:proofErr w:type="spellEnd"/>
      <w:r w:rsidRPr="004C1987">
        <w:rPr>
          <w:rFonts w:ascii="Times New Roman" w:hAnsi="Times New Roman" w:cs="Times New Roman"/>
          <w:sz w:val="24"/>
          <w:szCs w:val="26"/>
        </w:rPr>
        <w:t xml:space="preserve"> and Mondal (2014), who observed that nitrogen application from integrated sources greatly improved rice yield, especially when organic fertilizers were combined with synthetic nitrogen</w:t>
      </w:r>
      <w:r w:rsidR="009B366D" w:rsidRPr="004C1987">
        <w:rPr>
          <w:rFonts w:ascii="Times New Roman" w:hAnsi="Times New Roman" w:cs="Times New Roman"/>
          <w:sz w:val="24"/>
          <w:szCs w:val="26"/>
        </w:rPr>
        <w:t>.</w:t>
      </w:r>
    </w:p>
    <w:p w14:paraId="5A9C1201" w14:textId="77777777" w:rsidR="00405D1E" w:rsidRPr="004C1987" w:rsidRDefault="00405D1E" w:rsidP="00405D1E">
      <w:pPr>
        <w:spacing w:after="0" w:line="360" w:lineRule="auto"/>
        <w:jc w:val="both"/>
        <w:rPr>
          <w:rFonts w:ascii="Times New Roman" w:hAnsi="Times New Roman" w:cs="Times New Roman"/>
          <w:sz w:val="24"/>
          <w:szCs w:val="26"/>
        </w:rPr>
      </w:pPr>
    </w:p>
    <w:p w14:paraId="6236A127" w14:textId="3B8C3B20" w:rsidR="006E2E22" w:rsidRPr="004C1987" w:rsidRDefault="00405D1E" w:rsidP="00405D1E">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significantly affected grain yield at the 5% level (Table 3)</w:t>
      </w:r>
      <w:r w:rsidR="003E460A" w:rsidRPr="004C1987">
        <w:rPr>
          <w:rFonts w:ascii="Times New Roman" w:hAnsi="Times New Roman" w:cs="Times New Roman"/>
          <w:sz w:val="24"/>
          <w:szCs w:val="26"/>
        </w:rPr>
        <w:t xml:space="preserve">. The highest grain yield (6.03 </w:t>
      </w:r>
      <w:r w:rsidRPr="004C1987">
        <w:rPr>
          <w:rFonts w:ascii="Times New Roman" w:hAnsi="Times New Roman" w:cs="Times New Roman"/>
          <w:sz w:val="24"/>
          <w:szCs w:val="26"/>
        </w:rPr>
        <w:t>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the combination of Binadhan-10 and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yield (2.99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BRRI dhan59 and the control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This demonstrates the importance of selecting the appropriate variety in combination with the optimal nitrogen source for maximizing grain yield. Similar interactions between variety and nitrogen source have been observed in previous studies, which emphasize that variety selection, in combination with proper nitrogen management, plays a critical role in optimizing rice yield (Norman et al., 2015).</w:t>
      </w:r>
    </w:p>
    <w:p w14:paraId="133F34DD" w14:textId="77777777" w:rsidR="00405D1E" w:rsidRPr="004C1987" w:rsidRDefault="00405D1E" w:rsidP="00405D1E">
      <w:pPr>
        <w:spacing w:after="0" w:line="360" w:lineRule="auto"/>
        <w:jc w:val="both"/>
        <w:rPr>
          <w:rFonts w:ascii="Times New Roman" w:hAnsi="Times New Roman" w:cs="Times New Roman"/>
          <w:sz w:val="24"/>
          <w:szCs w:val="26"/>
        </w:rPr>
      </w:pPr>
    </w:p>
    <w:p w14:paraId="1E1344C9" w14:textId="5818C5C8"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3</w:t>
      </w:r>
      <w:r w:rsidR="009A3811" w:rsidRPr="004C1987">
        <w:rPr>
          <w:rFonts w:ascii="Times New Roman" w:hAnsi="Times New Roman" w:cs="Times New Roman"/>
          <w:sz w:val="24"/>
          <w:szCs w:val="26"/>
        </w:rPr>
        <w:t xml:space="preserve"> Straw Yield</w:t>
      </w:r>
    </w:p>
    <w:p w14:paraId="56C89EE7" w14:textId="60147698" w:rsidR="00BC11E6" w:rsidRPr="004C1987" w:rsidRDefault="00BC11E6" w:rsidP="00BC11E6">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straw yield in rice was significantly influenced by variety at the 1% significance level (Table 1). Binadhan-10 produced the highest straw yield of 5.50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while BRRI dhan59 produced the lowest straw yield at 5.05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This suggests that Binadhan-10 has a higher potential for both grain and straw production, contributing to its overall superior productivity. These results align with studies indicating that high-yielding varieties like Binadhan-10 exhibit higher biomass accumulation, both in grain and straw, under optimal nitrogen conditions (Ma et al., 2023).</w:t>
      </w:r>
    </w:p>
    <w:p w14:paraId="6984EB9E" w14:textId="77777777" w:rsidR="00BC11E6" w:rsidRPr="004C1987" w:rsidRDefault="00BC11E6" w:rsidP="00BC11E6">
      <w:pPr>
        <w:spacing w:after="0" w:line="360" w:lineRule="auto"/>
        <w:jc w:val="both"/>
        <w:rPr>
          <w:rFonts w:ascii="Times New Roman" w:hAnsi="Times New Roman" w:cs="Times New Roman"/>
          <w:sz w:val="24"/>
          <w:szCs w:val="26"/>
        </w:rPr>
      </w:pPr>
    </w:p>
    <w:p w14:paraId="357F69F8" w14:textId="422683C1" w:rsidR="00BC11E6" w:rsidRPr="004C1987" w:rsidRDefault="00BC11E6" w:rsidP="00BC11E6">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significantly influenced the straw yield. The highest straw yield (6.21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achieved with 105 kg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PU + 3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xml:space="preserve">), while the lowest yield </w:t>
      </w:r>
      <w:r w:rsidRPr="004C1987">
        <w:rPr>
          <w:rFonts w:ascii="Times New Roman" w:hAnsi="Times New Roman" w:cs="Times New Roman"/>
          <w:sz w:val="24"/>
          <w:szCs w:val="26"/>
        </w:rPr>
        <w:lastRenderedPageBreak/>
        <w:t>(3.81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observed in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(Table 2). These results emphasize that integrated nitrogen management, combining both organic and chemical nitrogen sources, increases not only grain yield but also biomass production, which is crucial for straw utilization in various agricultural practices. This is consistent with findings by Yi et al. (2023), who showed that poultry manure, when integrated with chemical fertilizers, improves both straw and grain yields in rice production (Yi et al., 2023).</w:t>
      </w:r>
    </w:p>
    <w:p w14:paraId="741115E6" w14:textId="77777777" w:rsidR="00BC11E6" w:rsidRPr="004C1987" w:rsidRDefault="00BC11E6" w:rsidP="00BC11E6">
      <w:pPr>
        <w:spacing w:after="0" w:line="360" w:lineRule="auto"/>
        <w:jc w:val="both"/>
        <w:rPr>
          <w:rFonts w:ascii="Times New Roman" w:hAnsi="Times New Roman" w:cs="Times New Roman"/>
          <w:sz w:val="24"/>
          <w:szCs w:val="26"/>
        </w:rPr>
      </w:pPr>
    </w:p>
    <w:p w14:paraId="64870D7E" w14:textId="0CB1900A" w:rsidR="009A3811" w:rsidRPr="004C1987" w:rsidRDefault="00BC11E6" w:rsidP="00BC11E6">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significantly affected straw yield at the 5% level (Table 3). The highest straw yield (6.33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the combination of Binadhan-10 and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straw yield (3.52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BRRI dhan59 and the control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This highlights the importance of selecting the right variety in combination with the appropriate nitrogen source to optimize both straw and grain production. These results align with findings from Zhang et al. (2022), who reported that nitrogen management significantly affects both grain yield and straw biomass, especially when organic nitrogen sources like poultry manure are used in combination with high-efficiency rice varieties (Zhang et al., 2022).</w:t>
      </w:r>
    </w:p>
    <w:p w14:paraId="2DC32CC4" w14:textId="77777777" w:rsidR="00BC11E6" w:rsidRPr="004C1987" w:rsidRDefault="00BC11E6" w:rsidP="00BC11E6">
      <w:pPr>
        <w:spacing w:after="0" w:line="360" w:lineRule="auto"/>
        <w:jc w:val="both"/>
        <w:rPr>
          <w:rFonts w:ascii="Times New Roman" w:hAnsi="Times New Roman" w:cs="Times New Roman"/>
          <w:sz w:val="24"/>
          <w:szCs w:val="26"/>
        </w:rPr>
      </w:pPr>
    </w:p>
    <w:p w14:paraId="2C1D7A29" w14:textId="43D21B6A"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4</w:t>
      </w:r>
      <w:r w:rsidR="009A3811" w:rsidRPr="004C1987">
        <w:rPr>
          <w:rFonts w:ascii="Times New Roman" w:hAnsi="Times New Roman" w:cs="Times New Roman"/>
          <w:sz w:val="24"/>
          <w:szCs w:val="26"/>
        </w:rPr>
        <w:t xml:space="preserve"> Biological Yield</w:t>
      </w:r>
    </w:p>
    <w:p w14:paraId="6F8E35BE" w14:textId="34AE2710" w:rsidR="00FE1ECD" w:rsidRPr="004C1987" w:rsidRDefault="00FE1ECD" w:rsidP="00FE1EC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biologi</w:t>
      </w:r>
      <w:r w:rsidR="00047D67" w:rsidRPr="004C1987">
        <w:rPr>
          <w:rFonts w:ascii="Times New Roman" w:hAnsi="Times New Roman" w:cs="Times New Roman"/>
          <w:sz w:val="24"/>
          <w:szCs w:val="26"/>
        </w:rPr>
        <w:t xml:space="preserve">cal yield of </w:t>
      </w:r>
      <w:proofErr w:type="spellStart"/>
      <w:r w:rsidR="00047D67" w:rsidRPr="004C1987">
        <w:rPr>
          <w:rFonts w:ascii="Times New Roman" w:hAnsi="Times New Roman" w:cs="Times New Roman"/>
          <w:i/>
          <w:sz w:val="24"/>
          <w:szCs w:val="26"/>
        </w:rPr>
        <w:t>b</w:t>
      </w:r>
      <w:r w:rsidRPr="004C1987">
        <w:rPr>
          <w:rFonts w:ascii="Times New Roman" w:hAnsi="Times New Roman" w:cs="Times New Roman"/>
          <w:i/>
          <w:sz w:val="24"/>
          <w:szCs w:val="26"/>
        </w:rPr>
        <w:t>oro</w:t>
      </w:r>
      <w:proofErr w:type="spellEnd"/>
      <w:r w:rsidRPr="004C1987">
        <w:rPr>
          <w:rFonts w:ascii="Times New Roman" w:hAnsi="Times New Roman" w:cs="Times New Roman"/>
          <w:sz w:val="24"/>
          <w:szCs w:val="26"/>
        </w:rPr>
        <w:t xml:space="preserve"> rice was significantly influenced by varietal differences at the 1% significance level (Table 1). Binadhan-10 exhibited the highest biological yield (10.50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surpassing BRRI dhan59, which recorded the lowest yield (9.58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This result underscores the superior biomass accumulation potential of Binadhan-10, likely attributable to its enhanced physiological and morphological traits that support both vegetative and reproductive growth. Similar varietal variations in yield performance have been observed in previous studies, with BRRI dhan29 and BRRI dhan28 also showing significant differences in total biomass and grain yield (</w:t>
      </w:r>
      <w:proofErr w:type="spellStart"/>
      <w:r w:rsidRPr="004C1987">
        <w:rPr>
          <w:rFonts w:ascii="Times New Roman" w:hAnsi="Times New Roman" w:cs="Times New Roman"/>
          <w:sz w:val="24"/>
          <w:szCs w:val="26"/>
        </w:rPr>
        <w:t>Akter</w:t>
      </w:r>
      <w:proofErr w:type="spellEnd"/>
      <w:r w:rsidRPr="004C1987">
        <w:rPr>
          <w:rFonts w:ascii="Times New Roman" w:hAnsi="Times New Roman" w:cs="Times New Roman"/>
          <w:sz w:val="24"/>
          <w:szCs w:val="26"/>
        </w:rPr>
        <w:t xml:space="preserve"> et al., 2018).</w:t>
      </w:r>
    </w:p>
    <w:p w14:paraId="3E30287A" w14:textId="5966530B" w:rsidR="00FE1ECD" w:rsidRPr="004C1987" w:rsidRDefault="00FE1ECD" w:rsidP="00FE1EC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Nitrogen management significantly impacted biological yield (p &lt; 0.01). The maximum biological yield (12.07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achieved with the application of 105 kg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prilled urea (PU) combined with 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whereas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resulted in the lowest yield (7.10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(Table 2). This highlights the importance of integrated nutrient management (INM), where organic sources enhance nutrient availability and microbial </w:t>
      </w:r>
      <w:r w:rsidRPr="004C1987">
        <w:rPr>
          <w:rFonts w:ascii="Times New Roman" w:hAnsi="Times New Roman" w:cs="Times New Roman"/>
          <w:sz w:val="24"/>
          <w:szCs w:val="26"/>
        </w:rPr>
        <w:lastRenderedPageBreak/>
        <w:t xml:space="preserve">activity, thereby improving biomass accumulation. Supporting evidence from </w:t>
      </w:r>
      <w:proofErr w:type="spellStart"/>
      <w:r w:rsidRPr="004C1987">
        <w:rPr>
          <w:rFonts w:ascii="Times New Roman" w:hAnsi="Times New Roman" w:cs="Times New Roman"/>
          <w:sz w:val="24"/>
          <w:szCs w:val="26"/>
        </w:rPr>
        <w:t>Akter</w:t>
      </w:r>
      <w:proofErr w:type="spellEnd"/>
      <w:r w:rsidRPr="004C1987">
        <w:rPr>
          <w:rFonts w:ascii="Times New Roman" w:hAnsi="Times New Roman" w:cs="Times New Roman"/>
          <w:sz w:val="24"/>
          <w:szCs w:val="26"/>
        </w:rPr>
        <w:t xml:space="preserve"> et al. (2018) demonstrated that integrating poultry manure with urea (75:25 ratio) substantially improved grain yield and is presumed to enhance biological yield as well</w:t>
      </w:r>
      <w:r w:rsidR="009B366D" w:rsidRPr="004C1987">
        <w:rPr>
          <w:rFonts w:ascii="Times New Roman" w:hAnsi="Times New Roman" w:cs="Times New Roman"/>
          <w:sz w:val="24"/>
          <w:szCs w:val="26"/>
        </w:rPr>
        <w:t xml:space="preserve">. </w:t>
      </w:r>
      <w:r w:rsidRPr="004C1987">
        <w:rPr>
          <w:rFonts w:ascii="Times New Roman" w:hAnsi="Times New Roman" w:cs="Times New Roman"/>
          <w:sz w:val="24"/>
          <w:szCs w:val="26"/>
        </w:rPr>
        <w:t>Similar findings were also reported in experiments where poultry manure combined with inorganic fertilizers improved rice biomass and soil health (</w:t>
      </w:r>
      <w:r w:rsidR="00935749" w:rsidRPr="004C1987">
        <w:rPr>
          <w:rFonts w:ascii="Times New Roman" w:hAnsi="Times New Roman" w:cs="Times New Roman"/>
          <w:sz w:val="24"/>
          <w:szCs w:val="26"/>
        </w:rPr>
        <w:t>Salam</w:t>
      </w:r>
      <w:r w:rsidRPr="004C1987">
        <w:rPr>
          <w:rFonts w:ascii="Times New Roman" w:hAnsi="Times New Roman" w:cs="Times New Roman"/>
          <w:sz w:val="24"/>
          <w:szCs w:val="26"/>
        </w:rPr>
        <w:t xml:space="preserve"> et al., 2020).</w:t>
      </w:r>
      <w:r w:rsidR="00047D67" w:rsidRPr="004C1987">
        <w:rPr>
          <w:rFonts w:ascii="Times New Roman" w:hAnsi="Times New Roman" w:cs="Times New Roman"/>
          <w:sz w:val="24"/>
          <w:szCs w:val="26"/>
        </w:rPr>
        <w:t xml:space="preserve"> </w:t>
      </w:r>
    </w:p>
    <w:p w14:paraId="588D96E7" w14:textId="77777777" w:rsidR="00FE1ECD" w:rsidRPr="004C1987" w:rsidRDefault="00FE1ECD" w:rsidP="00FE1ECD">
      <w:pPr>
        <w:spacing w:after="0" w:line="360" w:lineRule="auto"/>
        <w:jc w:val="both"/>
        <w:rPr>
          <w:rFonts w:ascii="Times New Roman" w:hAnsi="Times New Roman" w:cs="Times New Roman"/>
          <w:sz w:val="24"/>
          <w:szCs w:val="26"/>
        </w:rPr>
      </w:pPr>
    </w:p>
    <w:p w14:paraId="6D748371" w14:textId="588C297D" w:rsidR="009A3811" w:rsidRPr="004C1987" w:rsidRDefault="00FE1ECD" w:rsidP="00FE1EC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A significant interaction between variety and nitrogen source was observed (p &lt; 0.01). The highest biological yield (12.36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when Binadhan-10 was grown under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xml:space="preserve"> treatment (V</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yield (6.51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observed in BRRI dhan59 with no nitrogen input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(Table 3). This synergistic effect confirms that the selection of appropriate variety along with optimized nitrogen management is vital for maximizing total biomass. Integrated approaches have consistently demonstrated improved outcomes across varietal lines, as shown in studies where BRRI dhan29 combined with poultry manure and partial urea replacement significantly outperformed other combinations in terms of grain and straw yields (</w:t>
      </w:r>
      <w:r w:rsidR="00935749" w:rsidRPr="004C1987">
        <w:rPr>
          <w:rFonts w:ascii="Times New Roman" w:hAnsi="Times New Roman" w:cs="Times New Roman"/>
          <w:sz w:val="24"/>
          <w:szCs w:val="26"/>
        </w:rPr>
        <w:t>Salam</w:t>
      </w:r>
      <w:r w:rsidRPr="004C1987">
        <w:rPr>
          <w:rFonts w:ascii="Times New Roman" w:hAnsi="Times New Roman" w:cs="Times New Roman"/>
          <w:sz w:val="24"/>
          <w:szCs w:val="26"/>
        </w:rPr>
        <w:t xml:space="preserve"> et al., 2020), (</w:t>
      </w:r>
      <w:proofErr w:type="spellStart"/>
      <w:r w:rsidRPr="004C1987">
        <w:rPr>
          <w:rFonts w:ascii="Times New Roman" w:hAnsi="Times New Roman" w:cs="Times New Roman"/>
          <w:sz w:val="24"/>
          <w:szCs w:val="26"/>
        </w:rPr>
        <w:t>Akter</w:t>
      </w:r>
      <w:proofErr w:type="spellEnd"/>
      <w:r w:rsidRPr="004C1987">
        <w:rPr>
          <w:rFonts w:ascii="Times New Roman" w:hAnsi="Times New Roman" w:cs="Times New Roman"/>
          <w:sz w:val="24"/>
          <w:szCs w:val="26"/>
        </w:rPr>
        <w:t xml:space="preserve"> et al., 2018).</w:t>
      </w:r>
    </w:p>
    <w:p w14:paraId="1A10124B" w14:textId="77777777" w:rsidR="00FE1ECD" w:rsidRPr="004C1987" w:rsidRDefault="00FE1ECD" w:rsidP="00FE1ECD">
      <w:pPr>
        <w:spacing w:after="0" w:line="360" w:lineRule="auto"/>
        <w:jc w:val="both"/>
        <w:rPr>
          <w:rFonts w:ascii="Times New Roman" w:hAnsi="Times New Roman" w:cs="Times New Roman"/>
          <w:sz w:val="24"/>
          <w:szCs w:val="26"/>
        </w:rPr>
      </w:pPr>
    </w:p>
    <w:p w14:paraId="29E372D9" w14:textId="3A2DB474"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5</w:t>
      </w:r>
      <w:r w:rsidR="009A3811" w:rsidRPr="004C1987">
        <w:rPr>
          <w:rFonts w:ascii="Times New Roman" w:hAnsi="Times New Roman" w:cs="Times New Roman"/>
          <w:sz w:val="24"/>
          <w:szCs w:val="26"/>
        </w:rPr>
        <w:t xml:space="preserve"> Harvest Index</w:t>
      </w:r>
    </w:p>
    <w:p w14:paraId="7E4F90AE" w14:textId="4F465632" w:rsidR="004743C3" w:rsidRPr="004C1987" w:rsidRDefault="004743C3" w:rsidP="00A65A20">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Although statistical analysis revealed no significant varietal effect on the harvest index (HI) at the 1% significance level, numerical variation was noted. Binadhan-10 recorded a slightly higher HI (47.51%) compared to BRRI dhan59 (47.13%), indicating a marginally greater proportion of biomass allocated to grain production. Similar findings have been reported by </w:t>
      </w:r>
      <w:proofErr w:type="spellStart"/>
      <w:r w:rsidRPr="004C1987">
        <w:rPr>
          <w:rFonts w:ascii="Times New Roman" w:hAnsi="Times New Roman" w:cs="Times New Roman"/>
          <w:sz w:val="24"/>
          <w:szCs w:val="26"/>
        </w:rPr>
        <w:t>Razib</w:t>
      </w:r>
      <w:proofErr w:type="spellEnd"/>
      <w:r w:rsidRPr="004C1987">
        <w:rPr>
          <w:rFonts w:ascii="Times New Roman" w:hAnsi="Times New Roman" w:cs="Times New Roman"/>
          <w:sz w:val="24"/>
          <w:szCs w:val="26"/>
        </w:rPr>
        <w:t xml:space="preserve"> et al. (2023), who observed non-significant but numerically different harvest indices among BRRI dhan28, BRRI dhan29, and </w:t>
      </w:r>
      <w:proofErr w:type="spellStart"/>
      <w:r w:rsidRPr="004C1987">
        <w:rPr>
          <w:rFonts w:ascii="Times New Roman" w:hAnsi="Times New Roman" w:cs="Times New Roman"/>
          <w:sz w:val="24"/>
          <w:szCs w:val="26"/>
        </w:rPr>
        <w:t>Surjomoni</w:t>
      </w:r>
      <w:proofErr w:type="spellEnd"/>
      <w:r w:rsidRPr="004C1987">
        <w:rPr>
          <w:rFonts w:ascii="Times New Roman" w:hAnsi="Times New Roman" w:cs="Times New Roman"/>
          <w:sz w:val="24"/>
          <w:szCs w:val="26"/>
        </w:rPr>
        <w:t xml:space="preserve"> varieties under different nitrogen regimes</w:t>
      </w:r>
      <w:r w:rsidR="009B366D" w:rsidRPr="004C1987">
        <w:rPr>
          <w:rFonts w:ascii="Times New Roman" w:hAnsi="Times New Roman" w:cs="Times New Roman"/>
          <w:sz w:val="24"/>
          <w:szCs w:val="26"/>
        </w:rPr>
        <w:t xml:space="preserve">. </w:t>
      </w:r>
      <w:r w:rsidRPr="004C1987">
        <w:rPr>
          <w:rFonts w:ascii="Times New Roman" w:hAnsi="Times New Roman" w:cs="Times New Roman"/>
          <w:sz w:val="24"/>
          <w:szCs w:val="26"/>
        </w:rPr>
        <w:t>This pattern suggests inherent varietal traits influence assimilate partitioning.</w:t>
      </w:r>
    </w:p>
    <w:p w14:paraId="2F6789BB" w14:textId="29D814D7" w:rsidR="004743C3" w:rsidRPr="004C1987" w:rsidRDefault="004743C3" w:rsidP="00A65A20">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Nitrogen source had a statistically significant effect on harvest index (p &lt; 0.01). The highest HI (48.50%) was achieved with 105 kg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prilled urea plus 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 xml:space="preserve"> poultry manure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while the control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recorded the lowest HI (46.30%). This reflects the role of integrated nitrogen management in enhancing nitrogen use efficiency and grain partitioning. Supporting studies demonstrate that combining organic and inorganic nitrogen sources optimizes physiological efficiency and improves grain yield an</w:t>
      </w:r>
      <w:r w:rsidR="00FA20B7" w:rsidRPr="004C1987">
        <w:rPr>
          <w:rFonts w:ascii="Times New Roman" w:hAnsi="Times New Roman" w:cs="Times New Roman"/>
          <w:sz w:val="24"/>
          <w:szCs w:val="26"/>
        </w:rPr>
        <w:t>d HI (Chakraborty et al., 20</w:t>
      </w:r>
      <w:r w:rsidR="00C25A37" w:rsidRPr="004C1987">
        <w:rPr>
          <w:rFonts w:ascii="Times New Roman" w:hAnsi="Times New Roman" w:cs="Times New Roman"/>
          <w:sz w:val="24"/>
          <w:szCs w:val="26"/>
        </w:rPr>
        <w:t>16</w:t>
      </w:r>
      <w:r w:rsidR="00FA20B7" w:rsidRPr="004C1987">
        <w:rPr>
          <w:rFonts w:ascii="Times New Roman" w:hAnsi="Times New Roman" w:cs="Times New Roman"/>
          <w:sz w:val="24"/>
          <w:szCs w:val="26"/>
        </w:rPr>
        <w:t>)</w:t>
      </w:r>
      <w:r w:rsidRPr="004C1987">
        <w:rPr>
          <w:rFonts w:ascii="Times New Roman" w:hAnsi="Times New Roman" w:cs="Times New Roman"/>
          <w:sz w:val="24"/>
          <w:szCs w:val="26"/>
        </w:rPr>
        <w:t xml:space="preserve">. These </w:t>
      </w:r>
      <w:r w:rsidRPr="004C1987">
        <w:rPr>
          <w:rFonts w:ascii="Times New Roman" w:hAnsi="Times New Roman" w:cs="Times New Roman"/>
          <w:sz w:val="24"/>
          <w:szCs w:val="26"/>
        </w:rPr>
        <w:lastRenderedPageBreak/>
        <w:t xml:space="preserve">findings also align with </w:t>
      </w:r>
      <w:proofErr w:type="spellStart"/>
      <w:r w:rsidRPr="004C1987">
        <w:rPr>
          <w:rFonts w:ascii="Times New Roman" w:hAnsi="Times New Roman" w:cs="Times New Roman"/>
          <w:sz w:val="24"/>
          <w:szCs w:val="26"/>
        </w:rPr>
        <w:t>Bithy</w:t>
      </w:r>
      <w:proofErr w:type="spellEnd"/>
      <w:r w:rsidRPr="004C1987">
        <w:rPr>
          <w:rFonts w:ascii="Times New Roman" w:hAnsi="Times New Roman" w:cs="Times New Roman"/>
          <w:sz w:val="24"/>
          <w:szCs w:val="26"/>
        </w:rPr>
        <w:t xml:space="preserve"> (2023), who reported improved harvest indices under integrated </w:t>
      </w:r>
      <w:r w:rsidR="00B9281D" w:rsidRPr="004C1987">
        <w:rPr>
          <w:rFonts w:ascii="Times New Roman" w:hAnsi="Times New Roman" w:cs="Times New Roman"/>
          <w:sz w:val="24"/>
          <w:szCs w:val="26"/>
        </w:rPr>
        <w:t>nutrient systems in BRRI dhan29.</w:t>
      </w:r>
    </w:p>
    <w:p w14:paraId="321B8A40" w14:textId="77777777" w:rsidR="004743C3" w:rsidRPr="004C1987" w:rsidRDefault="004743C3" w:rsidP="00A65A20">
      <w:pPr>
        <w:spacing w:after="0" w:line="360" w:lineRule="auto"/>
        <w:jc w:val="both"/>
        <w:rPr>
          <w:rFonts w:ascii="Times New Roman" w:hAnsi="Times New Roman" w:cs="Times New Roman"/>
          <w:sz w:val="24"/>
          <w:szCs w:val="26"/>
        </w:rPr>
      </w:pPr>
    </w:p>
    <w:p w14:paraId="405779C6" w14:textId="565EFB2C" w:rsidR="009E46B7" w:rsidRPr="004C1987" w:rsidRDefault="004743C3" w:rsidP="00A65A20">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was not statistically significant, yet practical implications were evident. The combination of Binadhan-10 with the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xml:space="preserve"> treatment (V</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produced the highest HI (48.81%), while BRRI dhan59 under the control condition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yielded the lowest (45.96%). This suggests that specific genotype-management combinations can enhance physiological efficiency even if the interaction term is not statistically significant. Comparable interactive trends were noted by </w:t>
      </w:r>
      <w:proofErr w:type="spellStart"/>
      <w:r w:rsidRPr="004C1987">
        <w:rPr>
          <w:rFonts w:ascii="Times New Roman" w:hAnsi="Times New Roman" w:cs="Times New Roman"/>
          <w:sz w:val="24"/>
          <w:szCs w:val="26"/>
        </w:rPr>
        <w:t>Akter</w:t>
      </w:r>
      <w:proofErr w:type="spellEnd"/>
      <w:r w:rsidRPr="004C1987">
        <w:rPr>
          <w:rFonts w:ascii="Times New Roman" w:hAnsi="Times New Roman" w:cs="Times New Roman"/>
          <w:sz w:val="24"/>
          <w:szCs w:val="26"/>
        </w:rPr>
        <w:t xml:space="preserve"> et al. (2018) and </w:t>
      </w:r>
      <w:proofErr w:type="spellStart"/>
      <w:r w:rsidRPr="004C1987">
        <w:rPr>
          <w:rFonts w:ascii="Times New Roman" w:hAnsi="Times New Roman" w:cs="Times New Roman"/>
          <w:sz w:val="24"/>
          <w:szCs w:val="26"/>
        </w:rPr>
        <w:t>Razib</w:t>
      </w:r>
      <w:proofErr w:type="spellEnd"/>
      <w:r w:rsidRPr="004C1987">
        <w:rPr>
          <w:rFonts w:ascii="Times New Roman" w:hAnsi="Times New Roman" w:cs="Times New Roman"/>
          <w:sz w:val="24"/>
          <w:szCs w:val="26"/>
        </w:rPr>
        <w:t xml:space="preserve"> et al. (2023), where nitrogen application methods differentially</w:t>
      </w:r>
      <w:r w:rsidR="00B9281D" w:rsidRPr="004C1987">
        <w:rPr>
          <w:rFonts w:ascii="Times New Roman" w:hAnsi="Times New Roman" w:cs="Times New Roman"/>
          <w:sz w:val="24"/>
          <w:szCs w:val="26"/>
        </w:rPr>
        <w:t xml:space="preserve"> influenced HI across varieties.</w:t>
      </w:r>
    </w:p>
    <w:p w14:paraId="432FE30B" w14:textId="77777777" w:rsidR="009F2181" w:rsidRPr="004C1987" w:rsidRDefault="009F2181" w:rsidP="00A65A20">
      <w:pPr>
        <w:spacing w:after="0" w:line="360" w:lineRule="auto"/>
        <w:rPr>
          <w:rFonts w:ascii="Times New Roman" w:hAnsi="Times New Roman" w:cs="Times New Roman"/>
          <w:sz w:val="24"/>
          <w:szCs w:val="26"/>
        </w:rPr>
      </w:pPr>
    </w:p>
    <w:p w14:paraId="3696F50E" w14:textId="77777777" w:rsidR="009F2181" w:rsidRPr="004C1987" w:rsidRDefault="009F2181" w:rsidP="009F2181">
      <w:pPr>
        <w:spacing w:after="0" w:line="360" w:lineRule="auto"/>
        <w:jc w:val="center"/>
        <w:rPr>
          <w:rFonts w:ascii="Book Antiqua" w:hAnsi="Book Antiqua"/>
          <w:sz w:val="24"/>
          <w:szCs w:val="24"/>
        </w:rPr>
      </w:pPr>
      <w:r w:rsidRPr="004C1987">
        <w:rPr>
          <w:noProof/>
        </w:rPr>
        <w:drawing>
          <wp:inline distT="0" distB="0" distL="0" distR="0" wp14:anchorId="0DAED151" wp14:editId="38B9D049">
            <wp:extent cx="4667250" cy="29527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843E4CA" w14:textId="77777777" w:rsidR="009F2181" w:rsidRPr="004C1987" w:rsidRDefault="009F2181" w:rsidP="009F2181">
      <w:pPr>
        <w:spacing w:after="0" w:line="360" w:lineRule="auto"/>
        <w:rPr>
          <w:rFonts w:ascii="Book Antiqua" w:hAnsi="Book Antiqua"/>
          <w:b/>
          <w:sz w:val="24"/>
          <w:szCs w:val="24"/>
        </w:rPr>
      </w:pPr>
      <w:r w:rsidRPr="004C1987">
        <w:rPr>
          <w:rFonts w:ascii="Book Antiqua" w:hAnsi="Book Antiqua"/>
          <w:sz w:val="24"/>
          <w:szCs w:val="24"/>
        </w:rPr>
        <w:t xml:space="preserve">                     </w:t>
      </w:r>
      <w:r w:rsidRPr="004C1987">
        <w:rPr>
          <w:rFonts w:ascii="Book Antiqua" w:hAnsi="Book Antiqua"/>
          <w:b/>
          <w:sz w:val="24"/>
          <w:szCs w:val="24"/>
        </w:rPr>
        <w:t xml:space="preserve">Figure 1: Effect of variety on plant height at different DAT </w:t>
      </w:r>
    </w:p>
    <w:p w14:paraId="69887D0A" w14:textId="71B89FC9" w:rsidR="009F2181" w:rsidRPr="004C1987" w:rsidRDefault="009F2181" w:rsidP="009F2181">
      <w:pPr>
        <w:spacing w:after="0" w:line="360" w:lineRule="auto"/>
        <w:jc w:val="both"/>
        <w:rPr>
          <w:rFonts w:ascii="Book Antiqua" w:hAnsi="Book Antiqua"/>
          <w:sz w:val="20"/>
        </w:rPr>
      </w:pPr>
      <w:r w:rsidRPr="004C1987">
        <w:rPr>
          <w:rFonts w:ascii="Book Antiqua" w:hAnsi="Book Antiqua"/>
          <w:sz w:val="20"/>
        </w:rPr>
        <w:t xml:space="preserve">               V</w:t>
      </w:r>
      <w:r w:rsidRPr="004C1987">
        <w:rPr>
          <w:rFonts w:ascii="Book Antiqua" w:hAnsi="Book Antiqua"/>
          <w:sz w:val="20"/>
          <w:vertAlign w:val="subscript"/>
        </w:rPr>
        <w:t>1</w:t>
      </w:r>
      <w:r w:rsidRPr="004C1987">
        <w:rPr>
          <w:rFonts w:ascii="Book Antiqua" w:hAnsi="Book Antiqua"/>
          <w:sz w:val="20"/>
        </w:rPr>
        <w:t xml:space="preserve"> = BRRI dhan29, V</w:t>
      </w:r>
      <w:r w:rsidRPr="004C1987">
        <w:rPr>
          <w:rFonts w:ascii="Book Antiqua" w:hAnsi="Book Antiqua"/>
          <w:sz w:val="20"/>
          <w:vertAlign w:val="subscript"/>
        </w:rPr>
        <w:t>2</w:t>
      </w:r>
      <w:r w:rsidRPr="004C1987">
        <w:rPr>
          <w:rFonts w:ascii="Book Antiqua" w:hAnsi="Book Antiqua"/>
          <w:sz w:val="20"/>
        </w:rPr>
        <w:t xml:space="preserve"> = BRRI dhan59, V</w:t>
      </w:r>
      <w:r w:rsidRPr="004C1987">
        <w:rPr>
          <w:rFonts w:ascii="Book Antiqua" w:hAnsi="Book Antiqua"/>
          <w:sz w:val="20"/>
          <w:vertAlign w:val="subscript"/>
        </w:rPr>
        <w:t>3</w:t>
      </w:r>
      <w:r w:rsidRPr="004C1987">
        <w:rPr>
          <w:rFonts w:ascii="Book Antiqua" w:hAnsi="Book Antiqua"/>
          <w:sz w:val="20"/>
        </w:rPr>
        <w:t xml:space="preserve"> = BRRI dhan28, V</w:t>
      </w:r>
      <w:r w:rsidRPr="004C1987">
        <w:rPr>
          <w:rFonts w:ascii="Book Antiqua" w:hAnsi="Book Antiqua"/>
          <w:sz w:val="20"/>
          <w:vertAlign w:val="subscript"/>
        </w:rPr>
        <w:t>4</w:t>
      </w:r>
      <w:r w:rsidRPr="004C1987">
        <w:rPr>
          <w:rFonts w:ascii="Book Antiqua" w:hAnsi="Book Antiqua"/>
          <w:sz w:val="20"/>
        </w:rPr>
        <w:t xml:space="preserve"> = Binadhan-10</w:t>
      </w:r>
    </w:p>
    <w:p w14:paraId="4B78593C" w14:textId="77777777" w:rsidR="00297147" w:rsidRPr="004C1987" w:rsidRDefault="00297147" w:rsidP="009F2181">
      <w:pPr>
        <w:spacing w:after="0" w:line="360" w:lineRule="auto"/>
        <w:jc w:val="both"/>
        <w:rPr>
          <w:rFonts w:ascii="Book Antiqua" w:hAnsi="Book Antiqua"/>
          <w:sz w:val="20"/>
        </w:rPr>
      </w:pPr>
    </w:p>
    <w:p w14:paraId="3431DE45" w14:textId="77777777" w:rsidR="009F2181" w:rsidRPr="004C1987" w:rsidRDefault="009F2181" w:rsidP="009F2181">
      <w:pPr>
        <w:spacing w:after="0" w:line="360" w:lineRule="auto"/>
        <w:jc w:val="both"/>
        <w:rPr>
          <w:rFonts w:ascii="Book Antiqua" w:hAnsi="Book Antiqua"/>
          <w:sz w:val="24"/>
          <w:szCs w:val="24"/>
        </w:rPr>
      </w:pPr>
    </w:p>
    <w:p w14:paraId="7828DDA5" w14:textId="77777777" w:rsidR="009F2181" w:rsidRPr="004C1987" w:rsidRDefault="009F2181" w:rsidP="009F2181">
      <w:pPr>
        <w:spacing w:after="0" w:line="360" w:lineRule="auto"/>
        <w:jc w:val="center"/>
        <w:rPr>
          <w:rFonts w:ascii="Book Antiqua" w:hAnsi="Book Antiqua"/>
          <w:sz w:val="24"/>
          <w:szCs w:val="24"/>
        </w:rPr>
      </w:pPr>
      <w:r w:rsidRPr="004C1987">
        <w:rPr>
          <w:noProof/>
        </w:rPr>
        <w:lastRenderedPageBreak/>
        <w:drawing>
          <wp:inline distT="0" distB="0" distL="0" distR="0" wp14:anchorId="624012CD" wp14:editId="328D36C0">
            <wp:extent cx="4514850" cy="286702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CC0850" w14:textId="77777777" w:rsidR="009F2181" w:rsidRPr="004C1987" w:rsidRDefault="009F2181" w:rsidP="009F2181">
      <w:pPr>
        <w:spacing w:after="0" w:line="360" w:lineRule="auto"/>
        <w:jc w:val="center"/>
        <w:rPr>
          <w:rFonts w:ascii="Book Antiqua" w:hAnsi="Book Antiqua"/>
          <w:b/>
          <w:sz w:val="24"/>
        </w:rPr>
      </w:pPr>
      <w:r w:rsidRPr="004C1987">
        <w:rPr>
          <w:rFonts w:ascii="Book Antiqua" w:hAnsi="Book Antiqua"/>
          <w:b/>
          <w:sz w:val="24"/>
        </w:rPr>
        <w:t xml:space="preserve">Figure 2: Effect of nitrogen source on plant height at different DAT </w:t>
      </w:r>
    </w:p>
    <w:p w14:paraId="7867CB30" w14:textId="77777777" w:rsidR="009F2181" w:rsidRPr="004C1987" w:rsidRDefault="009F2181" w:rsidP="009F2181">
      <w:pPr>
        <w:spacing w:after="0" w:line="240" w:lineRule="auto"/>
        <w:jc w:val="both"/>
        <w:rPr>
          <w:rFonts w:ascii="Book Antiqua" w:eastAsia="Calibri" w:hAnsi="Book Antiqua" w:cs="Times New Roman"/>
          <w:sz w:val="16"/>
        </w:rPr>
      </w:pPr>
      <w:r w:rsidRPr="004C1987">
        <w:rPr>
          <w:rFonts w:ascii="Book Antiqua" w:eastAsia="Calibri" w:hAnsi="Book Antiqua" w:cs="Times New Roman"/>
          <w:sz w:val="16"/>
        </w:rPr>
        <w:t>N</w:t>
      </w:r>
      <w:r w:rsidRPr="004C1987">
        <w:rPr>
          <w:rFonts w:ascii="Book Antiqua" w:eastAsia="Calibri" w:hAnsi="Book Antiqua" w:cs="Times New Roman"/>
          <w:sz w:val="16"/>
          <w:vertAlign w:val="subscript"/>
        </w:rPr>
        <w:t>1</w:t>
      </w:r>
      <w:r w:rsidRPr="004C1987">
        <w:rPr>
          <w:rFonts w:ascii="Book Antiqua" w:eastAsia="Calibri" w:hAnsi="Book Antiqua" w:cs="Times New Roman"/>
          <w:sz w:val="16"/>
        </w:rPr>
        <w:t xml:space="preserve"> = Control, N</w:t>
      </w:r>
      <w:r w:rsidRPr="004C1987">
        <w:rPr>
          <w:rFonts w:ascii="Book Antiqua" w:eastAsia="Calibri" w:hAnsi="Book Antiqua" w:cs="Times New Roman"/>
          <w:sz w:val="16"/>
          <w:vertAlign w:val="subscript"/>
        </w:rPr>
        <w:t>2</w:t>
      </w:r>
      <w:r w:rsidRPr="004C1987">
        <w:rPr>
          <w:rFonts w:ascii="Book Antiqua" w:eastAsia="Calibri" w:hAnsi="Book Antiqua" w:cs="Times New Roman"/>
          <w:sz w:val="16"/>
        </w:rPr>
        <w:t xml:space="preserve"> = 140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prilled urea (PU), N</w:t>
      </w:r>
      <w:r w:rsidRPr="004C1987">
        <w:rPr>
          <w:rFonts w:ascii="Book Antiqua" w:eastAsia="Calibri" w:hAnsi="Book Antiqua" w:cs="Times New Roman"/>
          <w:sz w:val="16"/>
          <w:vertAlign w:val="subscript"/>
        </w:rPr>
        <w:t>3</w:t>
      </w:r>
      <w:r w:rsidRPr="004C1987">
        <w:rPr>
          <w:rFonts w:ascii="Book Antiqua" w:eastAsia="Calibri" w:hAnsi="Book Antiqua" w:cs="Times New Roman"/>
          <w:sz w:val="16"/>
        </w:rPr>
        <w:t xml:space="preserve"> = 83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urea super granule (USG), N</w:t>
      </w:r>
      <w:r w:rsidRPr="004C1987">
        <w:rPr>
          <w:rFonts w:ascii="Book Antiqua" w:eastAsia="Calibri" w:hAnsi="Book Antiqua" w:cs="Times New Roman"/>
          <w:sz w:val="16"/>
          <w:vertAlign w:val="subscript"/>
        </w:rPr>
        <w:t>4</w:t>
      </w:r>
      <w:r w:rsidRPr="004C1987">
        <w:rPr>
          <w:rFonts w:ascii="Book Antiqua" w:eastAsia="Calibri" w:hAnsi="Book Antiqua" w:cs="Times New Roman"/>
          <w:sz w:val="16"/>
        </w:rPr>
        <w:t xml:space="preserve"> = 105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PU + 3 t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PM, N</w:t>
      </w:r>
      <w:r w:rsidRPr="004C1987">
        <w:rPr>
          <w:rFonts w:ascii="Book Antiqua" w:eastAsia="Calibri" w:hAnsi="Book Antiqua" w:cs="Times New Roman"/>
          <w:sz w:val="16"/>
          <w:vertAlign w:val="subscript"/>
        </w:rPr>
        <w:t>5</w:t>
      </w:r>
      <w:r w:rsidRPr="004C1987">
        <w:rPr>
          <w:rFonts w:ascii="Book Antiqua" w:eastAsia="Calibri" w:hAnsi="Book Antiqua" w:cs="Times New Roman"/>
          <w:sz w:val="16"/>
        </w:rPr>
        <w:t xml:space="preserve"> = 112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PU + 5 t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cowdung,   N</w:t>
      </w:r>
      <w:r w:rsidRPr="004C1987">
        <w:rPr>
          <w:rFonts w:ascii="Book Antiqua" w:eastAsia="Calibri" w:hAnsi="Book Antiqua" w:cs="Times New Roman"/>
          <w:sz w:val="16"/>
          <w:vertAlign w:val="subscript"/>
        </w:rPr>
        <w:t>6</w:t>
      </w:r>
      <w:r w:rsidRPr="004C1987">
        <w:rPr>
          <w:rFonts w:ascii="Book Antiqua" w:eastAsia="Calibri" w:hAnsi="Book Antiqua" w:cs="Times New Roman"/>
          <w:sz w:val="16"/>
        </w:rPr>
        <w:t xml:space="preserve"> = 77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PU + 4 t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vermicompost</w:t>
      </w:r>
    </w:p>
    <w:p w14:paraId="67D6A34C" w14:textId="77777777" w:rsidR="00B84CE6" w:rsidRPr="004C1987" w:rsidRDefault="00B84CE6" w:rsidP="00B84CE6">
      <w:pPr>
        <w:jc w:val="center"/>
        <w:rPr>
          <w:rFonts w:ascii="Book Antiqua" w:eastAsia="Calibri" w:hAnsi="Book Antiqua" w:cs="Times New Roman"/>
          <w:sz w:val="24"/>
          <w:szCs w:val="24"/>
        </w:rPr>
      </w:pPr>
      <w:r w:rsidRPr="004C1987">
        <w:rPr>
          <w:rFonts w:ascii="Calibri" w:eastAsia="Calibri" w:hAnsi="Calibri" w:cs="Times New Roman"/>
          <w:noProof/>
        </w:rPr>
        <w:drawing>
          <wp:inline distT="0" distB="0" distL="0" distR="0" wp14:anchorId="41A4B7D8" wp14:editId="672DBEB2">
            <wp:extent cx="4836795" cy="2847975"/>
            <wp:effectExtent l="0" t="0" r="190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0438409" w14:textId="77777777" w:rsidR="00B84CE6" w:rsidRPr="004C1987" w:rsidRDefault="00B84CE6" w:rsidP="00B84CE6">
      <w:pPr>
        <w:jc w:val="center"/>
        <w:rPr>
          <w:rFonts w:ascii="Book Antiqua" w:eastAsia="Calibri" w:hAnsi="Book Antiqua" w:cs="Times New Roman"/>
          <w:sz w:val="24"/>
          <w:szCs w:val="24"/>
        </w:rPr>
      </w:pPr>
      <w:r w:rsidRPr="004C1987">
        <w:rPr>
          <w:rFonts w:ascii="Book Antiqua" w:eastAsia="Calibri" w:hAnsi="Book Antiqua" w:cs="Times New Roman"/>
          <w:b/>
          <w:sz w:val="24"/>
          <w:szCs w:val="24"/>
        </w:rPr>
        <w:t>Figure 3: Effect of variety on total tillers hill</w:t>
      </w:r>
      <w:r w:rsidRPr="004C1987">
        <w:rPr>
          <w:rFonts w:ascii="Book Antiqua" w:eastAsia="Calibri" w:hAnsi="Book Antiqua" w:cs="Times New Roman"/>
          <w:b/>
          <w:sz w:val="24"/>
          <w:szCs w:val="24"/>
          <w:vertAlign w:val="superscript"/>
        </w:rPr>
        <w:t>-1</w:t>
      </w:r>
      <w:r w:rsidRPr="004C1987">
        <w:rPr>
          <w:rFonts w:ascii="Book Antiqua" w:eastAsia="Calibri" w:hAnsi="Book Antiqua" w:cs="Times New Roman"/>
          <w:b/>
          <w:sz w:val="24"/>
          <w:szCs w:val="24"/>
        </w:rPr>
        <w:t xml:space="preserve"> at different DAT </w:t>
      </w:r>
    </w:p>
    <w:p w14:paraId="292D168D" w14:textId="77777777" w:rsidR="00B84CE6" w:rsidRPr="004C1987" w:rsidRDefault="00B84CE6" w:rsidP="00B84CE6">
      <w:pPr>
        <w:spacing w:after="0" w:line="360" w:lineRule="auto"/>
        <w:jc w:val="both"/>
        <w:rPr>
          <w:rFonts w:ascii="Book Antiqua" w:eastAsia="Calibri" w:hAnsi="Book Antiqua" w:cs="Times New Roman"/>
        </w:rPr>
      </w:pPr>
      <w:r w:rsidRPr="004C1987">
        <w:rPr>
          <w:rFonts w:ascii="Book Antiqua" w:eastAsia="Calibri" w:hAnsi="Book Antiqua" w:cs="Times New Roman"/>
        </w:rPr>
        <w:t xml:space="preserve">                 V</w:t>
      </w:r>
      <w:r w:rsidRPr="004C1987">
        <w:rPr>
          <w:rFonts w:ascii="Book Antiqua" w:eastAsia="Calibri" w:hAnsi="Book Antiqua" w:cs="Times New Roman"/>
          <w:vertAlign w:val="subscript"/>
        </w:rPr>
        <w:t>1</w:t>
      </w:r>
      <w:r w:rsidRPr="004C1987">
        <w:rPr>
          <w:rFonts w:ascii="Book Antiqua" w:eastAsia="Calibri" w:hAnsi="Book Antiqua" w:cs="Times New Roman"/>
        </w:rPr>
        <w:t xml:space="preserve"> = BRRI dhan29, V</w:t>
      </w:r>
      <w:r w:rsidRPr="004C1987">
        <w:rPr>
          <w:rFonts w:ascii="Book Antiqua" w:eastAsia="Calibri" w:hAnsi="Book Antiqua" w:cs="Times New Roman"/>
          <w:vertAlign w:val="subscript"/>
        </w:rPr>
        <w:t>2</w:t>
      </w:r>
      <w:r w:rsidRPr="004C1987">
        <w:rPr>
          <w:rFonts w:ascii="Book Antiqua" w:eastAsia="Calibri" w:hAnsi="Book Antiqua" w:cs="Times New Roman"/>
        </w:rPr>
        <w:t xml:space="preserve"> = BRRI dhan59, V</w:t>
      </w:r>
      <w:r w:rsidRPr="004C1987">
        <w:rPr>
          <w:rFonts w:ascii="Book Antiqua" w:eastAsia="Calibri" w:hAnsi="Book Antiqua" w:cs="Times New Roman"/>
          <w:vertAlign w:val="subscript"/>
        </w:rPr>
        <w:t>3</w:t>
      </w:r>
      <w:r w:rsidRPr="004C1987">
        <w:rPr>
          <w:rFonts w:ascii="Book Antiqua" w:eastAsia="Calibri" w:hAnsi="Book Antiqua" w:cs="Times New Roman"/>
        </w:rPr>
        <w:t xml:space="preserve"> = BRRI dhan28, V</w:t>
      </w:r>
      <w:r w:rsidRPr="004C1987">
        <w:rPr>
          <w:rFonts w:ascii="Book Antiqua" w:eastAsia="Calibri" w:hAnsi="Book Antiqua" w:cs="Times New Roman"/>
          <w:vertAlign w:val="subscript"/>
        </w:rPr>
        <w:t>4</w:t>
      </w:r>
      <w:r w:rsidRPr="004C1987">
        <w:rPr>
          <w:rFonts w:ascii="Book Antiqua" w:eastAsia="Calibri" w:hAnsi="Book Antiqua" w:cs="Times New Roman"/>
        </w:rPr>
        <w:t xml:space="preserve"> = Binadhan-10</w:t>
      </w:r>
    </w:p>
    <w:p w14:paraId="41C6EB6D" w14:textId="77777777" w:rsidR="00B84CE6" w:rsidRPr="004C1987" w:rsidRDefault="00B84CE6" w:rsidP="00B84CE6">
      <w:pPr>
        <w:rPr>
          <w:rFonts w:ascii="Calibri" w:eastAsia="Calibri" w:hAnsi="Calibri" w:cs="Times New Roman"/>
          <w:noProof/>
        </w:rPr>
      </w:pPr>
      <w:r w:rsidRPr="004C1987">
        <w:rPr>
          <w:rFonts w:ascii="Calibri" w:eastAsia="Calibri" w:hAnsi="Calibri" w:cs="Times New Roman"/>
          <w:noProof/>
        </w:rPr>
        <w:t xml:space="preserve">    </w:t>
      </w:r>
    </w:p>
    <w:p w14:paraId="07428407" w14:textId="77777777" w:rsidR="00B84CE6" w:rsidRPr="004C1987" w:rsidRDefault="00B84CE6" w:rsidP="00B84CE6">
      <w:pPr>
        <w:jc w:val="center"/>
        <w:rPr>
          <w:rFonts w:ascii="Book Antiqua" w:eastAsia="Calibri" w:hAnsi="Book Antiqua" w:cs="Times New Roman"/>
          <w:b/>
          <w:sz w:val="24"/>
          <w:szCs w:val="24"/>
        </w:rPr>
      </w:pPr>
      <w:r w:rsidRPr="004C1987">
        <w:rPr>
          <w:rFonts w:ascii="Calibri" w:eastAsia="Calibri" w:hAnsi="Calibri" w:cs="Times New Roman"/>
          <w:noProof/>
        </w:rPr>
        <w:lastRenderedPageBreak/>
        <w:drawing>
          <wp:inline distT="0" distB="0" distL="0" distR="0" wp14:anchorId="60F99BB6" wp14:editId="62D78848">
            <wp:extent cx="4905375" cy="30670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CFA257" w14:textId="77777777" w:rsidR="00B84CE6" w:rsidRPr="004C1987" w:rsidRDefault="00B84CE6" w:rsidP="00B84CE6">
      <w:pPr>
        <w:spacing w:after="0" w:line="240" w:lineRule="auto"/>
        <w:jc w:val="center"/>
        <w:rPr>
          <w:rFonts w:ascii="Book Antiqua" w:eastAsia="Calibri" w:hAnsi="Book Antiqua" w:cs="Times New Roman"/>
          <w:b/>
        </w:rPr>
      </w:pPr>
    </w:p>
    <w:p w14:paraId="41939402" w14:textId="77777777" w:rsidR="00B84CE6" w:rsidRPr="004C1987" w:rsidRDefault="00B84CE6" w:rsidP="00B84CE6">
      <w:pPr>
        <w:spacing w:after="0" w:line="360" w:lineRule="auto"/>
        <w:jc w:val="both"/>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        Figure 4: Effect of nitrogen source on total tillers hill</w:t>
      </w:r>
      <w:r w:rsidRPr="004C1987">
        <w:rPr>
          <w:rFonts w:ascii="Book Antiqua" w:eastAsia="Calibri" w:hAnsi="Book Antiqua" w:cs="Times New Roman"/>
          <w:b/>
          <w:sz w:val="24"/>
          <w:szCs w:val="24"/>
          <w:vertAlign w:val="superscript"/>
        </w:rPr>
        <w:t>-1</w:t>
      </w:r>
      <w:r w:rsidRPr="004C1987">
        <w:rPr>
          <w:rFonts w:ascii="Book Antiqua" w:eastAsia="Calibri" w:hAnsi="Book Antiqua" w:cs="Times New Roman"/>
          <w:b/>
          <w:sz w:val="24"/>
          <w:szCs w:val="24"/>
        </w:rPr>
        <w:t xml:space="preserve"> at different DAT </w:t>
      </w:r>
    </w:p>
    <w:p w14:paraId="55A1F79A" w14:textId="77777777" w:rsidR="00B84CE6" w:rsidRPr="004C1987" w:rsidRDefault="00B84CE6" w:rsidP="00B84CE6">
      <w:pPr>
        <w:spacing w:after="0" w:line="240" w:lineRule="auto"/>
        <w:jc w:val="both"/>
        <w:rPr>
          <w:rFonts w:ascii="Book Antiqua" w:eastAsia="Calibri" w:hAnsi="Book Antiqua" w:cs="Times New Roman"/>
          <w:b/>
        </w:rPr>
      </w:pPr>
      <w:r w:rsidRPr="004C1987">
        <w:rPr>
          <w:rFonts w:ascii="Book Antiqua" w:eastAsia="Calibri" w:hAnsi="Book Antiqua" w:cs="Times New Roman"/>
        </w:rPr>
        <w:t>N</w:t>
      </w:r>
      <w:r w:rsidRPr="004C1987">
        <w:rPr>
          <w:rFonts w:ascii="Book Antiqua" w:eastAsia="Calibri" w:hAnsi="Book Antiqua" w:cs="Times New Roman"/>
          <w:vertAlign w:val="subscript"/>
        </w:rPr>
        <w:t>1</w:t>
      </w:r>
      <w:r w:rsidRPr="004C1987">
        <w:rPr>
          <w:rFonts w:ascii="Book Antiqua" w:eastAsia="Calibri" w:hAnsi="Book Antiqua" w:cs="Times New Roman"/>
        </w:rPr>
        <w:t xml:space="preserve"> = Control, N</w:t>
      </w:r>
      <w:r w:rsidRPr="004C1987">
        <w:rPr>
          <w:rFonts w:ascii="Book Antiqua" w:eastAsia="Calibri" w:hAnsi="Book Antiqua" w:cs="Times New Roman"/>
          <w:vertAlign w:val="subscript"/>
        </w:rPr>
        <w:t>2</w:t>
      </w:r>
      <w:r w:rsidRPr="004C1987">
        <w:rPr>
          <w:rFonts w:ascii="Book Antiqua" w:eastAsia="Calibri" w:hAnsi="Book Antiqua" w:cs="Times New Roman"/>
        </w:rPr>
        <w:t xml:space="preserve"> = 140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prilled urea (PU), N</w:t>
      </w:r>
      <w:r w:rsidRPr="004C1987">
        <w:rPr>
          <w:rFonts w:ascii="Book Antiqua" w:eastAsia="Calibri" w:hAnsi="Book Antiqua" w:cs="Times New Roman"/>
          <w:vertAlign w:val="subscript"/>
        </w:rPr>
        <w:t>3</w:t>
      </w:r>
      <w:r w:rsidRPr="004C1987">
        <w:rPr>
          <w:rFonts w:ascii="Book Antiqua" w:eastAsia="Calibri" w:hAnsi="Book Antiqua" w:cs="Times New Roman"/>
        </w:rPr>
        <w:t xml:space="preserve"> = 83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urea super granule, N</w:t>
      </w:r>
      <w:r w:rsidRPr="004C1987">
        <w:rPr>
          <w:rFonts w:ascii="Book Antiqua" w:eastAsia="Calibri" w:hAnsi="Book Antiqua" w:cs="Times New Roman"/>
          <w:vertAlign w:val="subscript"/>
        </w:rPr>
        <w:t>4</w:t>
      </w:r>
      <w:r w:rsidRPr="004C1987">
        <w:rPr>
          <w:rFonts w:ascii="Book Antiqua" w:eastAsia="Calibri" w:hAnsi="Book Antiqua" w:cs="Times New Roman"/>
        </w:rPr>
        <w:t xml:space="preserve"> = 105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PU + 3 t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PM, N</w:t>
      </w:r>
      <w:r w:rsidRPr="004C1987">
        <w:rPr>
          <w:rFonts w:ascii="Book Antiqua" w:eastAsia="Calibri" w:hAnsi="Book Antiqua" w:cs="Times New Roman"/>
          <w:vertAlign w:val="subscript"/>
        </w:rPr>
        <w:t>5</w:t>
      </w:r>
      <w:r w:rsidRPr="004C1987">
        <w:rPr>
          <w:rFonts w:ascii="Book Antiqua" w:eastAsia="Calibri" w:hAnsi="Book Antiqua" w:cs="Times New Roman"/>
        </w:rPr>
        <w:t xml:space="preserve"> = 112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PU + 5 t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cowdung,   N</w:t>
      </w:r>
      <w:r w:rsidRPr="004C1987">
        <w:rPr>
          <w:rFonts w:ascii="Book Antiqua" w:eastAsia="Calibri" w:hAnsi="Book Antiqua" w:cs="Times New Roman"/>
          <w:vertAlign w:val="subscript"/>
        </w:rPr>
        <w:t>6</w:t>
      </w:r>
      <w:r w:rsidRPr="004C1987">
        <w:rPr>
          <w:rFonts w:ascii="Book Antiqua" w:eastAsia="Calibri" w:hAnsi="Book Antiqua" w:cs="Times New Roman"/>
        </w:rPr>
        <w:t xml:space="preserve"> = 77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PU + 4 t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vermicompost</w:t>
      </w:r>
    </w:p>
    <w:p w14:paraId="1F25E335" w14:textId="77777777" w:rsidR="009F2181" w:rsidRPr="004C1987" w:rsidRDefault="009F2181" w:rsidP="003E4D0D">
      <w:pPr>
        <w:spacing w:after="0"/>
        <w:rPr>
          <w:rFonts w:ascii="Times New Roman" w:hAnsi="Times New Roman" w:cs="Times New Roman"/>
          <w:sz w:val="24"/>
          <w:szCs w:val="26"/>
        </w:rPr>
      </w:pPr>
    </w:p>
    <w:p w14:paraId="5386F2A4" w14:textId="77777777" w:rsidR="00184DEA" w:rsidRPr="004C1987" w:rsidRDefault="00184DEA" w:rsidP="003E4D0D">
      <w:pPr>
        <w:spacing w:after="0"/>
        <w:rPr>
          <w:rFonts w:ascii="Times New Roman" w:hAnsi="Times New Roman" w:cs="Times New Roman"/>
          <w:sz w:val="24"/>
          <w:szCs w:val="26"/>
        </w:rPr>
      </w:pPr>
    </w:p>
    <w:p w14:paraId="045AAFA0" w14:textId="77777777" w:rsidR="00184DEA" w:rsidRPr="004C1987" w:rsidRDefault="00184DEA" w:rsidP="00184DEA">
      <w:pPr>
        <w:spacing w:after="0" w:line="360" w:lineRule="auto"/>
        <w:jc w:val="center"/>
        <w:rPr>
          <w:rFonts w:ascii="Book Antiqua" w:eastAsia="Calibri" w:hAnsi="Book Antiqua" w:cs="Times New Roman"/>
          <w:sz w:val="24"/>
          <w:szCs w:val="24"/>
        </w:rPr>
      </w:pPr>
      <w:r w:rsidRPr="004C1987">
        <w:rPr>
          <w:rFonts w:ascii="Calibri" w:eastAsia="Calibri" w:hAnsi="Calibri" w:cs="Times New Roman"/>
          <w:noProof/>
        </w:rPr>
        <w:drawing>
          <wp:inline distT="0" distB="0" distL="0" distR="0" wp14:anchorId="2073B3BC" wp14:editId="11C2EC78">
            <wp:extent cx="4019550" cy="24574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1040E7" w14:textId="77777777" w:rsidR="00184DEA" w:rsidRPr="004C1987" w:rsidRDefault="00184DEA" w:rsidP="00184DEA">
      <w:pPr>
        <w:spacing w:after="0" w:line="360" w:lineRule="auto"/>
        <w:jc w:val="center"/>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     Figure 5: Effect of variety on total dry weight at different DAT </w:t>
      </w:r>
    </w:p>
    <w:p w14:paraId="5896A519" w14:textId="77777777" w:rsidR="00184DEA" w:rsidRPr="004C1987" w:rsidRDefault="00184DEA" w:rsidP="00184DEA">
      <w:pPr>
        <w:spacing w:after="0" w:line="360" w:lineRule="auto"/>
        <w:jc w:val="center"/>
        <w:rPr>
          <w:rFonts w:ascii="Book Antiqua" w:eastAsia="Calibri" w:hAnsi="Book Antiqua" w:cs="Times New Roman"/>
          <w:b/>
          <w:sz w:val="24"/>
          <w:szCs w:val="24"/>
        </w:rPr>
      </w:pPr>
      <w:r w:rsidRPr="004C1987">
        <w:rPr>
          <w:rFonts w:ascii="Book Antiqua" w:eastAsia="Calibri" w:hAnsi="Book Antiqua" w:cs="Times New Roman"/>
        </w:rPr>
        <w:t>V</w:t>
      </w:r>
      <w:r w:rsidRPr="004C1987">
        <w:rPr>
          <w:rFonts w:ascii="Book Antiqua" w:eastAsia="Calibri" w:hAnsi="Book Antiqua" w:cs="Times New Roman"/>
          <w:vertAlign w:val="subscript"/>
        </w:rPr>
        <w:t>1</w:t>
      </w:r>
      <w:r w:rsidRPr="004C1987">
        <w:rPr>
          <w:rFonts w:ascii="Book Antiqua" w:eastAsia="Calibri" w:hAnsi="Book Antiqua" w:cs="Times New Roman"/>
        </w:rPr>
        <w:t xml:space="preserve"> = BRRI dhan29, V</w:t>
      </w:r>
      <w:r w:rsidRPr="004C1987">
        <w:rPr>
          <w:rFonts w:ascii="Book Antiqua" w:eastAsia="Calibri" w:hAnsi="Book Antiqua" w:cs="Times New Roman"/>
          <w:vertAlign w:val="subscript"/>
        </w:rPr>
        <w:t>2</w:t>
      </w:r>
      <w:r w:rsidRPr="004C1987">
        <w:rPr>
          <w:rFonts w:ascii="Book Antiqua" w:eastAsia="Calibri" w:hAnsi="Book Antiqua" w:cs="Times New Roman"/>
        </w:rPr>
        <w:t xml:space="preserve"> = BRRI dhan59, V</w:t>
      </w:r>
      <w:r w:rsidRPr="004C1987">
        <w:rPr>
          <w:rFonts w:ascii="Book Antiqua" w:eastAsia="Calibri" w:hAnsi="Book Antiqua" w:cs="Times New Roman"/>
          <w:vertAlign w:val="subscript"/>
        </w:rPr>
        <w:t>3</w:t>
      </w:r>
      <w:r w:rsidRPr="004C1987">
        <w:rPr>
          <w:rFonts w:ascii="Book Antiqua" w:eastAsia="Calibri" w:hAnsi="Book Antiqua" w:cs="Times New Roman"/>
        </w:rPr>
        <w:t xml:space="preserve"> = BRRI dhan28, V</w:t>
      </w:r>
      <w:r w:rsidRPr="004C1987">
        <w:rPr>
          <w:rFonts w:ascii="Book Antiqua" w:eastAsia="Calibri" w:hAnsi="Book Antiqua" w:cs="Times New Roman"/>
          <w:vertAlign w:val="subscript"/>
        </w:rPr>
        <w:t>4</w:t>
      </w:r>
      <w:r w:rsidRPr="004C1987">
        <w:rPr>
          <w:rFonts w:ascii="Book Antiqua" w:eastAsia="Calibri" w:hAnsi="Book Antiqua" w:cs="Times New Roman"/>
        </w:rPr>
        <w:t xml:space="preserve"> = Binadhan-10</w:t>
      </w:r>
    </w:p>
    <w:p w14:paraId="26489F5A" w14:textId="77777777" w:rsidR="00184DEA" w:rsidRPr="004C1987" w:rsidRDefault="00184DEA" w:rsidP="00184DEA">
      <w:pPr>
        <w:spacing w:after="0" w:line="360" w:lineRule="auto"/>
        <w:jc w:val="center"/>
        <w:rPr>
          <w:rFonts w:ascii="Book Antiqua" w:eastAsia="Calibri" w:hAnsi="Book Antiqua" w:cs="Times New Roman"/>
          <w:b/>
          <w:sz w:val="14"/>
          <w:szCs w:val="24"/>
        </w:rPr>
      </w:pPr>
    </w:p>
    <w:p w14:paraId="4B160F6B" w14:textId="77777777" w:rsidR="00184DEA" w:rsidRPr="004C1987" w:rsidRDefault="00184DEA" w:rsidP="00184DEA">
      <w:pPr>
        <w:spacing w:after="0" w:line="360" w:lineRule="auto"/>
        <w:jc w:val="center"/>
        <w:rPr>
          <w:rFonts w:ascii="Book Antiqua" w:eastAsia="Calibri" w:hAnsi="Book Antiqua" w:cs="Times New Roman"/>
          <w:b/>
          <w:sz w:val="24"/>
          <w:szCs w:val="24"/>
        </w:rPr>
      </w:pPr>
      <w:r w:rsidRPr="004C1987">
        <w:rPr>
          <w:rFonts w:ascii="Calibri" w:eastAsia="Calibri" w:hAnsi="Calibri" w:cs="Times New Roman"/>
          <w:noProof/>
        </w:rPr>
        <w:lastRenderedPageBreak/>
        <w:drawing>
          <wp:inline distT="0" distB="0" distL="0" distR="0" wp14:anchorId="7DF681C5" wp14:editId="74DD5C06">
            <wp:extent cx="4324350" cy="24860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5A5FE7" w14:textId="77777777" w:rsidR="00184DEA" w:rsidRPr="004C1987" w:rsidRDefault="00184DEA" w:rsidP="00184DEA">
      <w:pPr>
        <w:spacing w:after="0" w:line="360" w:lineRule="auto"/>
        <w:jc w:val="both"/>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          Figure 6: Effect of nitrogen sources on total dry weight at different DAT </w:t>
      </w:r>
    </w:p>
    <w:p w14:paraId="2E1DE734" w14:textId="77777777" w:rsidR="00184DEA" w:rsidRPr="004C1987" w:rsidRDefault="00184DEA" w:rsidP="00184DEA">
      <w:pPr>
        <w:spacing w:after="0" w:line="240" w:lineRule="auto"/>
        <w:jc w:val="both"/>
        <w:rPr>
          <w:rFonts w:ascii="Book Antiqua" w:eastAsia="Calibri" w:hAnsi="Book Antiqua" w:cs="Times New Roman"/>
          <w:sz w:val="18"/>
        </w:rPr>
      </w:pPr>
      <w:r w:rsidRPr="004C1987">
        <w:rPr>
          <w:rFonts w:ascii="Book Antiqua" w:eastAsia="Calibri" w:hAnsi="Book Antiqua" w:cs="Times New Roman"/>
          <w:sz w:val="18"/>
        </w:rPr>
        <w:t>N</w:t>
      </w:r>
      <w:r w:rsidRPr="004C1987">
        <w:rPr>
          <w:rFonts w:ascii="Book Antiqua" w:eastAsia="Calibri" w:hAnsi="Book Antiqua" w:cs="Times New Roman"/>
          <w:sz w:val="18"/>
          <w:vertAlign w:val="subscript"/>
        </w:rPr>
        <w:t>1</w:t>
      </w:r>
      <w:r w:rsidRPr="004C1987">
        <w:rPr>
          <w:rFonts w:ascii="Book Antiqua" w:eastAsia="Calibri" w:hAnsi="Book Antiqua" w:cs="Times New Roman"/>
          <w:sz w:val="18"/>
        </w:rPr>
        <w:t xml:space="preserve"> = Control, N</w:t>
      </w:r>
      <w:r w:rsidRPr="004C1987">
        <w:rPr>
          <w:rFonts w:ascii="Book Antiqua" w:eastAsia="Calibri" w:hAnsi="Book Antiqua" w:cs="Times New Roman"/>
          <w:sz w:val="18"/>
          <w:vertAlign w:val="subscript"/>
        </w:rPr>
        <w:t>2</w:t>
      </w:r>
      <w:r w:rsidRPr="004C1987">
        <w:rPr>
          <w:rFonts w:ascii="Book Antiqua" w:eastAsia="Calibri" w:hAnsi="Book Antiqua" w:cs="Times New Roman"/>
          <w:sz w:val="18"/>
        </w:rPr>
        <w:t xml:space="preserve"> = 140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N</w:t>
      </w:r>
      <w:r w:rsidRPr="004C1987">
        <w:rPr>
          <w:rFonts w:ascii="Book Antiqua" w:eastAsia="Calibri" w:hAnsi="Book Antiqua" w:cs="Times New Roman"/>
          <w:sz w:val="18"/>
          <w:vertAlign w:val="subscript"/>
        </w:rPr>
        <w:t>3</w:t>
      </w:r>
      <w:r w:rsidRPr="004C1987">
        <w:rPr>
          <w:rFonts w:ascii="Book Antiqua" w:eastAsia="Calibri" w:hAnsi="Book Antiqua" w:cs="Times New Roman"/>
          <w:sz w:val="18"/>
        </w:rPr>
        <w:t xml:space="preserve"> = 83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USG, N</w:t>
      </w:r>
      <w:r w:rsidRPr="004C1987">
        <w:rPr>
          <w:rFonts w:ascii="Book Antiqua" w:eastAsia="Calibri" w:hAnsi="Book Antiqua" w:cs="Times New Roman"/>
          <w:sz w:val="18"/>
          <w:vertAlign w:val="subscript"/>
        </w:rPr>
        <w:t>4</w:t>
      </w:r>
      <w:r w:rsidRPr="004C1987">
        <w:rPr>
          <w:rFonts w:ascii="Book Antiqua" w:eastAsia="Calibri" w:hAnsi="Book Antiqua" w:cs="Times New Roman"/>
          <w:sz w:val="18"/>
        </w:rPr>
        <w:t xml:space="preserve"> = 105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+ 3 t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PM, N</w:t>
      </w:r>
      <w:r w:rsidRPr="004C1987">
        <w:rPr>
          <w:rFonts w:ascii="Book Antiqua" w:eastAsia="Calibri" w:hAnsi="Book Antiqua" w:cs="Times New Roman"/>
          <w:sz w:val="18"/>
          <w:vertAlign w:val="subscript"/>
        </w:rPr>
        <w:t>5</w:t>
      </w:r>
      <w:r w:rsidRPr="004C1987">
        <w:rPr>
          <w:rFonts w:ascii="Book Antiqua" w:eastAsia="Calibri" w:hAnsi="Book Antiqua" w:cs="Times New Roman"/>
          <w:sz w:val="18"/>
        </w:rPr>
        <w:t xml:space="preserve"> = 112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+ 5 t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cowdung,   N</w:t>
      </w:r>
      <w:r w:rsidRPr="004C1987">
        <w:rPr>
          <w:rFonts w:ascii="Book Antiqua" w:eastAsia="Calibri" w:hAnsi="Book Antiqua" w:cs="Times New Roman"/>
          <w:sz w:val="18"/>
          <w:vertAlign w:val="subscript"/>
        </w:rPr>
        <w:t>6</w:t>
      </w:r>
      <w:r w:rsidRPr="004C1987">
        <w:rPr>
          <w:rFonts w:ascii="Book Antiqua" w:eastAsia="Calibri" w:hAnsi="Book Antiqua" w:cs="Times New Roman"/>
          <w:sz w:val="18"/>
        </w:rPr>
        <w:t xml:space="preserve"> = 77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+ 4 t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vermicompost</w:t>
      </w:r>
    </w:p>
    <w:p w14:paraId="4C3B77E7" w14:textId="22DAC57A" w:rsidR="00184DEA" w:rsidRPr="004C1987" w:rsidRDefault="00184DEA" w:rsidP="00184DEA">
      <w:pPr>
        <w:spacing w:after="0" w:line="240" w:lineRule="auto"/>
        <w:jc w:val="both"/>
        <w:rPr>
          <w:rFonts w:ascii="Book Antiqua" w:eastAsia="Calibri" w:hAnsi="Book Antiqua" w:cs="Times New Roman"/>
          <w:b/>
        </w:rPr>
      </w:pPr>
    </w:p>
    <w:p w14:paraId="7B1765CD" w14:textId="00A526DB" w:rsidR="00184DEA" w:rsidRPr="004C1987" w:rsidRDefault="00184DEA" w:rsidP="003E4D0D">
      <w:pPr>
        <w:spacing w:after="0"/>
        <w:rPr>
          <w:rFonts w:ascii="Times New Roman" w:hAnsi="Times New Roman" w:cs="Times New Roman"/>
          <w:sz w:val="24"/>
          <w:szCs w:val="26"/>
        </w:rPr>
      </w:pPr>
    </w:p>
    <w:p w14:paraId="34D3D659" w14:textId="2B6B4891" w:rsidR="00362E8E" w:rsidRPr="004C1987" w:rsidRDefault="00362E8E" w:rsidP="00362E8E">
      <w:pPr>
        <w:spacing w:after="0" w:line="360" w:lineRule="auto"/>
        <w:jc w:val="both"/>
        <w:rPr>
          <w:rFonts w:ascii="Book Antiqua" w:eastAsia="Calibri" w:hAnsi="Book Antiqua" w:cs="Times New Roman"/>
          <w:b/>
          <w:sz w:val="24"/>
          <w:szCs w:val="24"/>
        </w:rPr>
      </w:pPr>
      <w:r w:rsidRPr="004C1987">
        <w:rPr>
          <w:rFonts w:ascii="Times New Roman" w:eastAsia="Times New Roman" w:hAnsi="Times New Roman" w:cs="Times New Roman"/>
          <w:noProof/>
          <w:sz w:val="24"/>
          <w:szCs w:val="24"/>
        </w:rPr>
        <w:drawing>
          <wp:anchor distT="0" distB="0" distL="114300" distR="114300" simplePos="0" relativeHeight="251683840" behindDoc="1" locked="0" layoutInCell="1" allowOverlap="1" wp14:anchorId="7940DD58" wp14:editId="7DA66876">
            <wp:simplePos x="0" y="0"/>
            <wp:positionH relativeFrom="column">
              <wp:posOffset>177165</wp:posOffset>
            </wp:positionH>
            <wp:positionV relativeFrom="paragraph">
              <wp:posOffset>-276225</wp:posOffset>
            </wp:positionV>
            <wp:extent cx="5486400" cy="3642360"/>
            <wp:effectExtent l="0" t="0" r="0" b="0"/>
            <wp:wrapTight wrapText="bothSides">
              <wp:wrapPolygon edited="0">
                <wp:start x="0" y="0"/>
                <wp:lineTo x="0" y="21464"/>
                <wp:lineTo x="21525" y="21464"/>
                <wp:lineTo x="21525" y="0"/>
                <wp:lineTo x="0" y="0"/>
              </wp:wrapPolygon>
            </wp:wrapTight>
            <wp:docPr id="6" name="Picture 6" descr="C:\Users\BOSS\Downloads\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ownloads\outpu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64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987">
        <w:rPr>
          <w:rFonts w:ascii="Book Antiqua" w:eastAsia="Calibri" w:hAnsi="Book Antiqua" w:cs="Times New Roman"/>
          <w:b/>
          <w:sz w:val="24"/>
          <w:szCs w:val="24"/>
        </w:rPr>
        <w:t xml:space="preserve">Figure 7: Effects of interaction of variety and nitrogen source on plant height at different DAT of </w:t>
      </w:r>
      <w:proofErr w:type="spellStart"/>
      <w:r w:rsidRPr="004C1987">
        <w:rPr>
          <w:rFonts w:ascii="Book Antiqua" w:eastAsia="Calibri" w:hAnsi="Book Antiqua" w:cs="Times New Roman"/>
          <w:b/>
          <w:bCs/>
          <w:i/>
          <w:sz w:val="24"/>
          <w:szCs w:val="24"/>
        </w:rPr>
        <w:t>boro</w:t>
      </w:r>
      <w:proofErr w:type="spellEnd"/>
      <w:r w:rsidRPr="004C1987">
        <w:rPr>
          <w:rFonts w:ascii="Book Antiqua" w:eastAsia="Calibri" w:hAnsi="Book Antiqua" w:cs="Times New Roman"/>
          <w:b/>
          <w:sz w:val="24"/>
          <w:szCs w:val="24"/>
        </w:rPr>
        <w:t xml:space="preserve"> rice</w:t>
      </w:r>
    </w:p>
    <w:p w14:paraId="7034401E" w14:textId="0477591A" w:rsidR="00362E8E" w:rsidRPr="004C1987" w:rsidRDefault="00362E8E" w:rsidP="00362E8E">
      <w:pPr>
        <w:spacing w:before="100" w:beforeAutospacing="1" w:after="100" w:afterAutospacing="1" w:line="240" w:lineRule="auto"/>
        <w:rPr>
          <w:rFonts w:ascii="Times New Roman" w:eastAsia="Times New Roman" w:hAnsi="Times New Roman" w:cs="Times New Roman"/>
          <w:sz w:val="24"/>
          <w:szCs w:val="24"/>
        </w:rPr>
      </w:pPr>
    </w:p>
    <w:p w14:paraId="4C39EDDD" w14:textId="15D1EF89" w:rsidR="00362E8E" w:rsidRPr="004C1987" w:rsidRDefault="00B9281D" w:rsidP="000329A3">
      <w:pPr>
        <w:spacing w:after="0" w:line="360" w:lineRule="auto"/>
        <w:jc w:val="both"/>
        <w:rPr>
          <w:rFonts w:ascii="Book Antiqua" w:eastAsia="Calibri" w:hAnsi="Book Antiqua" w:cs="Times New Roman"/>
          <w:b/>
          <w:sz w:val="24"/>
          <w:szCs w:val="24"/>
        </w:rPr>
      </w:pPr>
      <w:r w:rsidRPr="004C1987">
        <w:rPr>
          <w:rFonts w:ascii="Times New Roman" w:eastAsia="Times New Roman" w:hAnsi="Times New Roman" w:cs="Times New Roman"/>
          <w:noProof/>
          <w:sz w:val="24"/>
          <w:szCs w:val="24"/>
        </w:rPr>
        <w:lastRenderedPageBreak/>
        <w:drawing>
          <wp:anchor distT="0" distB="0" distL="114300" distR="114300" simplePos="0" relativeHeight="251689984" behindDoc="1" locked="0" layoutInCell="1" allowOverlap="1" wp14:anchorId="7E88D638" wp14:editId="45BA4410">
            <wp:simplePos x="0" y="0"/>
            <wp:positionH relativeFrom="column">
              <wp:posOffset>76200</wp:posOffset>
            </wp:positionH>
            <wp:positionV relativeFrom="paragraph">
              <wp:posOffset>-142875</wp:posOffset>
            </wp:positionV>
            <wp:extent cx="6000750" cy="3562350"/>
            <wp:effectExtent l="0" t="0" r="0" b="0"/>
            <wp:wrapTight wrapText="bothSides">
              <wp:wrapPolygon edited="0">
                <wp:start x="0" y="0"/>
                <wp:lineTo x="0" y="21484"/>
                <wp:lineTo x="21531" y="21484"/>
                <wp:lineTo x="21531" y="0"/>
                <wp:lineTo x="0" y="0"/>
              </wp:wrapPolygon>
            </wp:wrapTight>
            <wp:docPr id="5" name="Picture 5" descr="C:\Users\BOSS\Downloads\outp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ownloads\output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E8E" w:rsidRPr="004C1987">
        <w:rPr>
          <w:rFonts w:ascii="Book Antiqua" w:eastAsia="Calibri" w:hAnsi="Book Antiqua" w:cs="Times New Roman"/>
          <w:b/>
          <w:szCs w:val="24"/>
        </w:rPr>
        <w:t xml:space="preserve">Figure </w:t>
      </w:r>
      <w:r w:rsidR="0069383D" w:rsidRPr="004C1987">
        <w:rPr>
          <w:rFonts w:ascii="Book Antiqua" w:eastAsia="Calibri" w:hAnsi="Book Antiqua" w:cs="Times New Roman"/>
          <w:b/>
          <w:szCs w:val="24"/>
        </w:rPr>
        <w:t>8</w:t>
      </w:r>
      <w:r w:rsidR="00362E8E" w:rsidRPr="004C1987">
        <w:rPr>
          <w:rFonts w:ascii="Book Antiqua" w:eastAsia="Calibri" w:hAnsi="Book Antiqua" w:cs="Times New Roman"/>
          <w:b/>
          <w:szCs w:val="24"/>
        </w:rPr>
        <w:t>: Effects of interaction of variety and nitrogen source</w:t>
      </w:r>
      <w:r w:rsidR="00362E8E" w:rsidRPr="004C1987">
        <w:t xml:space="preserve"> </w:t>
      </w:r>
      <w:r w:rsidR="00362E8E" w:rsidRPr="004C1987">
        <w:rPr>
          <w:rFonts w:ascii="Book Antiqua" w:eastAsia="Calibri" w:hAnsi="Book Antiqua" w:cs="Times New Roman"/>
          <w:b/>
          <w:szCs w:val="24"/>
        </w:rPr>
        <w:t xml:space="preserve">on number of total tillers hill-1 at different DAT of </w:t>
      </w:r>
      <w:proofErr w:type="spellStart"/>
      <w:r w:rsidR="00362E8E" w:rsidRPr="004C1987">
        <w:rPr>
          <w:rFonts w:ascii="Book Antiqua" w:eastAsia="Calibri" w:hAnsi="Book Antiqua" w:cs="Times New Roman"/>
          <w:b/>
          <w:i/>
          <w:szCs w:val="24"/>
        </w:rPr>
        <w:t>boro</w:t>
      </w:r>
      <w:proofErr w:type="spellEnd"/>
      <w:r w:rsidR="00362E8E" w:rsidRPr="004C1987">
        <w:rPr>
          <w:rFonts w:ascii="Book Antiqua" w:eastAsia="Calibri" w:hAnsi="Book Antiqua" w:cs="Times New Roman"/>
          <w:b/>
          <w:i/>
          <w:szCs w:val="24"/>
        </w:rPr>
        <w:t xml:space="preserve"> </w:t>
      </w:r>
      <w:r w:rsidR="00362E8E" w:rsidRPr="004C1987">
        <w:rPr>
          <w:rFonts w:ascii="Book Antiqua" w:eastAsia="Calibri" w:hAnsi="Book Antiqua" w:cs="Times New Roman"/>
          <w:b/>
          <w:szCs w:val="24"/>
        </w:rPr>
        <w:t>rice</w:t>
      </w:r>
    </w:p>
    <w:p w14:paraId="61B57434" w14:textId="71A1DE09" w:rsidR="00EE75FC" w:rsidRPr="004C1987" w:rsidRDefault="00B9281D" w:rsidP="00EE75FC">
      <w:pPr>
        <w:spacing w:before="100" w:beforeAutospacing="1" w:after="100" w:afterAutospacing="1" w:line="240" w:lineRule="auto"/>
        <w:rPr>
          <w:rFonts w:ascii="Times New Roman" w:eastAsia="Times New Roman" w:hAnsi="Times New Roman" w:cs="Times New Roman"/>
          <w:sz w:val="24"/>
          <w:szCs w:val="24"/>
        </w:rPr>
      </w:pPr>
      <w:r w:rsidRPr="004C1987">
        <w:rPr>
          <w:rFonts w:ascii="Times New Roman" w:eastAsia="Times New Roman" w:hAnsi="Times New Roman" w:cs="Times New Roman"/>
          <w:noProof/>
          <w:sz w:val="24"/>
          <w:szCs w:val="24"/>
        </w:rPr>
        <w:drawing>
          <wp:anchor distT="0" distB="0" distL="114300" distR="114300" simplePos="0" relativeHeight="251685888" behindDoc="1" locked="0" layoutInCell="1" allowOverlap="1" wp14:anchorId="76216533" wp14:editId="6D09F376">
            <wp:simplePos x="0" y="0"/>
            <wp:positionH relativeFrom="column">
              <wp:posOffset>245110</wp:posOffset>
            </wp:positionH>
            <wp:positionV relativeFrom="paragraph">
              <wp:posOffset>123825</wp:posOffset>
            </wp:positionV>
            <wp:extent cx="5524500" cy="3457575"/>
            <wp:effectExtent l="0" t="0" r="0" b="9525"/>
            <wp:wrapTight wrapText="bothSides">
              <wp:wrapPolygon edited="0">
                <wp:start x="0" y="0"/>
                <wp:lineTo x="0" y="21540"/>
                <wp:lineTo x="21526" y="21540"/>
                <wp:lineTo x="21526" y="0"/>
                <wp:lineTo x="0" y="0"/>
              </wp:wrapPolygon>
            </wp:wrapTight>
            <wp:docPr id="8" name="Picture 8" descr="C:\Users\BOSS\Downloads\outp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ownloads\output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724E7" w14:textId="77777777" w:rsidR="00362E8E" w:rsidRPr="004C1987" w:rsidRDefault="00362E8E" w:rsidP="000329A3">
      <w:pPr>
        <w:spacing w:after="0" w:line="360" w:lineRule="auto"/>
        <w:jc w:val="both"/>
        <w:rPr>
          <w:rFonts w:ascii="Book Antiqua" w:eastAsia="Calibri" w:hAnsi="Book Antiqua" w:cs="Times New Roman"/>
          <w:b/>
          <w:szCs w:val="24"/>
        </w:rPr>
      </w:pPr>
    </w:p>
    <w:p w14:paraId="40FFA828" w14:textId="77777777" w:rsidR="00362E8E" w:rsidRPr="004C1987" w:rsidRDefault="00362E8E" w:rsidP="000329A3">
      <w:pPr>
        <w:spacing w:after="0" w:line="360" w:lineRule="auto"/>
        <w:jc w:val="both"/>
        <w:rPr>
          <w:rFonts w:ascii="Book Antiqua" w:eastAsia="Calibri" w:hAnsi="Book Antiqua" w:cs="Times New Roman"/>
          <w:b/>
          <w:szCs w:val="24"/>
        </w:rPr>
      </w:pPr>
    </w:p>
    <w:p w14:paraId="2AE2D223" w14:textId="77777777" w:rsidR="00362E8E" w:rsidRPr="004C1987" w:rsidRDefault="00362E8E" w:rsidP="000329A3">
      <w:pPr>
        <w:spacing w:after="0" w:line="360" w:lineRule="auto"/>
        <w:jc w:val="both"/>
        <w:rPr>
          <w:rFonts w:ascii="Book Antiqua" w:eastAsia="Calibri" w:hAnsi="Book Antiqua" w:cs="Times New Roman"/>
          <w:b/>
          <w:szCs w:val="24"/>
        </w:rPr>
      </w:pPr>
    </w:p>
    <w:p w14:paraId="5AA446C1" w14:textId="77777777" w:rsidR="00362E8E" w:rsidRPr="004C1987" w:rsidRDefault="00362E8E" w:rsidP="000329A3">
      <w:pPr>
        <w:spacing w:after="0" w:line="360" w:lineRule="auto"/>
        <w:jc w:val="both"/>
        <w:rPr>
          <w:rFonts w:ascii="Book Antiqua" w:eastAsia="Calibri" w:hAnsi="Book Antiqua" w:cs="Times New Roman"/>
          <w:b/>
          <w:szCs w:val="24"/>
        </w:rPr>
      </w:pPr>
    </w:p>
    <w:p w14:paraId="6B3B433C" w14:textId="77777777" w:rsidR="00362E8E" w:rsidRPr="004C1987" w:rsidRDefault="00362E8E" w:rsidP="000329A3">
      <w:pPr>
        <w:spacing w:after="0" w:line="360" w:lineRule="auto"/>
        <w:jc w:val="both"/>
        <w:rPr>
          <w:rFonts w:ascii="Book Antiqua" w:eastAsia="Calibri" w:hAnsi="Book Antiqua" w:cs="Times New Roman"/>
          <w:b/>
          <w:szCs w:val="24"/>
        </w:rPr>
      </w:pPr>
    </w:p>
    <w:p w14:paraId="703BEA7B" w14:textId="77777777" w:rsidR="00825D6E" w:rsidRPr="004C1987" w:rsidRDefault="00825D6E" w:rsidP="0036333E">
      <w:pPr>
        <w:jc w:val="both"/>
        <w:rPr>
          <w:rFonts w:ascii="Book Antiqua" w:hAnsi="Book Antiqua" w:cs="Times New Roman"/>
          <w:b/>
          <w:sz w:val="24"/>
          <w:szCs w:val="26"/>
        </w:rPr>
      </w:pPr>
    </w:p>
    <w:p w14:paraId="459F5F81" w14:textId="77777777" w:rsidR="00825D6E" w:rsidRPr="004C1987" w:rsidRDefault="00825D6E" w:rsidP="0036333E">
      <w:pPr>
        <w:jc w:val="both"/>
        <w:rPr>
          <w:rFonts w:ascii="Book Antiqua" w:hAnsi="Book Antiqua" w:cs="Times New Roman"/>
          <w:b/>
          <w:sz w:val="24"/>
          <w:szCs w:val="26"/>
        </w:rPr>
      </w:pPr>
    </w:p>
    <w:p w14:paraId="0E1FA438" w14:textId="77777777" w:rsidR="00825D6E" w:rsidRPr="004C1987" w:rsidRDefault="00825D6E" w:rsidP="0036333E">
      <w:pPr>
        <w:jc w:val="both"/>
        <w:rPr>
          <w:rFonts w:ascii="Book Antiqua" w:hAnsi="Book Antiqua" w:cs="Times New Roman"/>
          <w:b/>
          <w:sz w:val="24"/>
          <w:szCs w:val="26"/>
        </w:rPr>
      </w:pPr>
    </w:p>
    <w:p w14:paraId="6EEBAF57" w14:textId="77777777" w:rsidR="00825D6E" w:rsidRPr="004C1987" w:rsidRDefault="00825D6E" w:rsidP="0036333E">
      <w:pPr>
        <w:jc w:val="both"/>
        <w:rPr>
          <w:rFonts w:ascii="Book Antiqua" w:hAnsi="Book Antiqua" w:cs="Times New Roman"/>
          <w:b/>
          <w:sz w:val="24"/>
          <w:szCs w:val="26"/>
        </w:rPr>
      </w:pPr>
    </w:p>
    <w:p w14:paraId="55F8D35A" w14:textId="77777777" w:rsidR="00825D6E" w:rsidRPr="004C1987" w:rsidRDefault="00825D6E" w:rsidP="0036333E">
      <w:pPr>
        <w:jc w:val="both"/>
        <w:rPr>
          <w:rFonts w:ascii="Book Antiqua" w:hAnsi="Book Antiqua" w:cs="Times New Roman"/>
          <w:b/>
          <w:sz w:val="24"/>
          <w:szCs w:val="26"/>
        </w:rPr>
      </w:pPr>
    </w:p>
    <w:p w14:paraId="45D0F465" w14:textId="54886ED1" w:rsidR="00825D6E" w:rsidRPr="004C1987" w:rsidRDefault="0069383D" w:rsidP="0069383D">
      <w:pPr>
        <w:spacing w:after="0" w:line="360" w:lineRule="auto"/>
        <w:jc w:val="both"/>
        <w:rPr>
          <w:rFonts w:ascii="Book Antiqua" w:hAnsi="Book Antiqua" w:cs="Times New Roman"/>
          <w:b/>
          <w:sz w:val="24"/>
          <w:szCs w:val="26"/>
        </w:rPr>
      </w:pPr>
      <w:r w:rsidRPr="004C1987">
        <w:rPr>
          <w:rFonts w:ascii="Book Antiqua" w:eastAsia="Calibri" w:hAnsi="Book Antiqua" w:cs="Times New Roman"/>
          <w:b/>
          <w:szCs w:val="24"/>
        </w:rPr>
        <w:t>Figure</w:t>
      </w:r>
      <w:r w:rsidR="00282ABF" w:rsidRPr="004C1987">
        <w:rPr>
          <w:rFonts w:ascii="Book Antiqua" w:eastAsia="Calibri" w:hAnsi="Book Antiqua" w:cs="Times New Roman"/>
          <w:b/>
          <w:szCs w:val="24"/>
        </w:rPr>
        <w:t xml:space="preserve"> </w:t>
      </w:r>
      <w:r w:rsidRPr="004C1987">
        <w:rPr>
          <w:rFonts w:ascii="Book Antiqua" w:eastAsia="Calibri" w:hAnsi="Book Antiqua" w:cs="Times New Roman"/>
          <w:b/>
          <w:szCs w:val="24"/>
        </w:rPr>
        <w:t>9: Effects of interaction of variety and nitrogen source</w:t>
      </w:r>
      <w:r w:rsidRPr="004C1987">
        <w:t xml:space="preserve"> </w:t>
      </w:r>
      <w:r w:rsidRPr="004C1987">
        <w:rPr>
          <w:rFonts w:ascii="Book Antiqua" w:eastAsia="Calibri" w:hAnsi="Book Antiqua" w:cs="Times New Roman"/>
          <w:b/>
          <w:szCs w:val="24"/>
        </w:rPr>
        <w:t xml:space="preserve">on total dry weight at different DAT of </w:t>
      </w:r>
      <w:proofErr w:type="spellStart"/>
      <w:r w:rsidRPr="004C1987">
        <w:rPr>
          <w:rFonts w:ascii="Book Antiqua" w:eastAsia="Calibri" w:hAnsi="Book Antiqua" w:cs="Times New Roman"/>
          <w:b/>
          <w:i/>
          <w:szCs w:val="24"/>
        </w:rPr>
        <w:t>boro</w:t>
      </w:r>
      <w:proofErr w:type="spellEnd"/>
      <w:r w:rsidRPr="004C1987">
        <w:rPr>
          <w:rFonts w:ascii="Book Antiqua" w:eastAsia="Calibri" w:hAnsi="Book Antiqua" w:cs="Times New Roman"/>
          <w:b/>
          <w:i/>
          <w:szCs w:val="24"/>
        </w:rPr>
        <w:t xml:space="preserve"> </w:t>
      </w:r>
      <w:r w:rsidRPr="004C1987">
        <w:rPr>
          <w:rFonts w:ascii="Book Antiqua" w:eastAsia="Calibri" w:hAnsi="Book Antiqua" w:cs="Times New Roman"/>
          <w:b/>
          <w:szCs w:val="24"/>
        </w:rPr>
        <w:t>rice</w:t>
      </w:r>
    </w:p>
    <w:p w14:paraId="704E8D1F" w14:textId="77777777" w:rsidR="00212F26" w:rsidRPr="004C1987" w:rsidRDefault="00212F26" w:rsidP="0036333E">
      <w:pPr>
        <w:jc w:val="both"/>
        <w:rPr>
          <w:rFonts w:ascii="Book Antiqua" w:hAnsi="Book Antiqua" w:cs="Times New Roman"/>
          <w:b/>
          <w:sz w:val="24"/>
          <w:szCs w:val="26"/>
        </w:rPr>
      </w:pPr>
    </w:p>
    <w:p w14:paraId="380E5AAC" w14:textId="1C63A7C1" w:rsidR="0036333E" w:rsidRPr="004C1987" w:rsidRDefault="0036333E" w:rsidP="0036333E">
      <w:pPr>
        <w:jc w:val="both"/>
        <w:rPr>
          <w:rFonts w:ascii="Book Antiqua" w:hAnsi="Book Antiqua" w:cs="Times New Roman"/>
          <w:b/>
          <w:sz w:val="24"/>
          <w:szCs w:val="26"/>
        </w:rPr>
      </w:pPr>
      <w:r w:rsidRPr="004C1987">
        <w:rPr>
          <w:rFonts w:ascii="Book Antiqua" w:hAnsi="Book Antiqua" w:cs="Times New Roman"/>
          <w:b/>
          <w:sz w:val="24"/>
          <w:szCs w:val="26"/>
        </w:rPr>
        <w:t xml:space="preserve">Table </w:t>
      </w:r>
      <w:r w:rsidR="00847C83" w:rsidRPr="004C1987">
        <w:rPr>
          <w:rFonts w:ascii="Book Antiqua" w:hAnsi="Book Antiqua" w:cs="Times New Roman"/>
          <w:b/>
          <w:sz w:val="24"/>
          <w:szCs w:val="26"/>
        </w:rPr>
        <w:t>1</w:t>
      </w:r>
      <w:r w:rsidRPr="004C1987">
        <w:rPr>
          <w:rFonts w:ascii="Book Antiqua" w:hAnsi="Book Antiqua" w:cs="Times New Roman"/>
          <w:b/>
          <w:sz w:val="24"/>
          <w:szCs w:val="26"/>
        </w:rPr>
        <w:t xml:space="preserve">. Effect of cultivars on yield and yield contributing characters of </w:t>
      </w:r>
      <w:proofErr w:type="spellStart"/>
      <w:r w:rsidR="005A3266" w:rsidRPr="004C1987">
        <w:rPr>
          <w:rFonts w:ascii="Book Antiqua" w:hAnsi="Book Antiqua" w:cs="Times New Roman"/>
          <w:b/>
          <w:i/>
          <w:sz w:val="24"/>
          <w:szCs w:val="26"/>
        </w:rPr>
        <w:t>boro</w:t>
      </w:r>
      <w:proofErr w:type="spellEnd"/>
      <w:r w:rsidR="005A3266" w:rsidRPr="004C1987">
        <w:rPr>
          <w:rFonts w:ascii="Book Antiqua" w:hAnsi="Book Antiqua" w:cs="Times New Roman"/>
          <w:b/>
          <w:sz w:val="24"/>
          <w:szCs w:val="26"/>
        </w:rPr>
        <w:t xml:space="preserve"> </w:t>
      </w:r>
      <w:r w:rsidRPr="004C1987">
        <w:rPr>
          <w:rFonts w:ascii="Book Antiqua" w:hAnsi="Book Antiqua" w:cs="Times New Roman"/>
          <w:b/>
          <w:sz w:val="24"/>
          <w:szCs w:val="26"/>
        </w:rPr>
        <w:t>rice</w:t>
      </w:r>
    </w:p>
    <w:tbl>
      <w:tblPr>
        <w:tblStyle w:val="TableGrid1"/>
        <w:tblW w:w="9770" w:type="dxa"/>
        <w:tblInd w:w="-5" w:type="dxa"/>
        <w:tblLayout w:type="fixed"/>
        <w:tblLook w:val="01E0" w:firstRow="1" w:lastRow="1" w:firstColumn="1" w:lastColumn="1" w:noHBand="0" w:noVBand="0"/>
      </w:tblPr>
      <w:tblGrid>
        <w:gridCol w:w="1776"/>
        <w:gridCol w:w="1600"/>
        <w:gridCol w:w="1598"/>
        <w:gridCol w:w="1598"/>
        <w:gridCol w:w="1598"/>
        <w:gridCol w:w="1600"/>
      </w:tblGrid>
      <w:tr w:rsidR="004C1987" w:rsidRPr="004C1987" w14:paraId="6356DD5F" w14:textId="77777777" w:rsidTr="0036333E">
        <w:trPr>
          <w:trHeight w:val="531"/>
        </w:trPr>
        <w:tc>
          <w:tcPr>
            <w:tcW w:w="1776" w:type="dxa"/>
            <w:tcBorders>
              <w:top w:val="single" w:sz="4" w:space="0" w:color="000000"/>
              <w:left w:val="single" w:sz="4" w:space="0" w:color="000000"/>
              <w:bottom w:val="single" w:sz="4" w:space="0" w:color="000000"/>
              <w:right w:val="single" w:sz="4" w:space="0" w:color="000000"/>
            </w:tcBorders>
            <w:hideMark/>
          </w:tcPr>
          <w:p w14:paraId="19B946DD" w14:textId="77777777" w:rsidR="0036333E" w:rsidRPr="004C1987" w:rsidRDefault="0036333E" w:rsidP="00362E8E">
            <w:pPr>
              <w:rPr>
                <w:rFonts w:ascii="Book Antiqua" w:hAnsi="Book Antiqua"/>
                <w:sz w:val="18"/>
              </w:rPr>
            </w:pPr>
            <w:r w:rsidRPr="004C1987">
              <w:rPr>
                <w:rFonts w:ascii="Book Antiqua" w:hAnsi="Book Antiqua"/>
                <w:sz w:val="18"/>
              </w:rPr>
              <w:t>Rice cultivars</w:t>
            </w:r>
          </w:p>
        </w:tc>
        <w:tc>
          <w:tcPr>
            <w:tcW w:w="1600" w:type="dxa"/>
            <w:tcBorders>
              <w:top w:val="single" w:sz="4" w:space="0" w:color="000000"/>
              <w:left w:val="single" w:sz="4" w:space="0" w:color="auto"/>
              <w:bottom w:val="single" w:sz="4" w:space="0" w:color="000000"/>
              <w:right w:val="single" w:sz="4" w:space="0" w:color="auto"/>
            </w:tcBorders>
            <w:hideMark/>
          </w:tcPr>
          <w:p w14:paraId="73E03F9C"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Plant height at maturity (cm)</w:t>
            </w:r>
          </w:p>
        </w:tc>
        <w:tc>
          <w:tcPr>
            <w:tcW w:w="1598" w:type="dxa"/>
            <w:tcBorders>
              <w:top w:val="single" w:sz="4" w:space="0" w:color="000000"/>
              <w:left w:val="single" w:sz="4" w:space="0" w:color="000000"/>
              <w:bottom w:val="single" w:sz="4" w:space="0" w:color="000000"/>
              <w:right w:val="single" w:sz="4" w:space="0" w:color="000000"/>
            </w:tcBorders>
            <w:hideMark/>
          </w:tcPr>
          <w:p w14:paraId="7CF52DC4"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Grain yield</w:t>
            </w:r>
          </w:p>
          <w:p w14:paraId="64E9C032"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(t ha</w:t>
            </w:r>
            <w:r w:rsidRPr="004C1987">
              <w:rPr>
                <w:rFonts w:ascii="Book Antiqua" w:hAnsi="Book Antiqua" w:cs="Arial"/>
                <w:bCs/>
                <w:sz w:val="18"/>
                <w:vertAlign w:val="superscript"/>
              </w:rPr>
              <w:t>-1</w:t>
            </w:r>
            <w:r w:rsidRPr="004C1987">
              <w:rPr>
                <w:rFonts w:ascii="Book Antiqua" w:hAnsi="Book Antiqua" w:cs="Arial"/>
                <w:bCs/>
                <w:sz w:val="18"/>
              </w:rPr>
              <w:t>)</w:t>
            </w:r>
          </w:p>
        </w:tc>
        <w:tc>
          <w:tcPr>
            <w:tcW w:w="1598" w:type="dxa"/>
            <w:tcBorders>
              <w:top w:val="single" w:sz="4" w:space="0" w:color="000000"/>
              <w:left w:val="single" w:sz="4" w:space="0" w:color="000000"/>
              <w:bottom w:val="single" w:sz="4" w:space="0" w:color="000000"/>
              <w:right w:val="single" w:sz="4" w:space="0" w:color="000000"/>
            </w:tcBorders>
            <w:hideMark/>
          </w:tcPr>
          <w:p w14:paraId="767F3213"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Straw yield</w:t>
            </w:r>
          </w:p>
          <w:p w14:paraId="08B10309"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(t ha</w:t>
            </w:r>
            <w:r w:rsidRPr="004C1987">
              <w:rPr>
                <w:rFonts w:ascii="Book Antiqua" w:hAnsi="Book Antiqua" w:cs="Arial"/>
                <w:bCs/>
                <w:sz w:val="18"/>
                <w:vertAlign w:val="superscript"/>
              </w:rPr>
              <w:t>-1</w:t>
            </w:r>
            <w:r w:rsidRPr="004C1987">
              <w:rPr>
                <w:rFonts w:ascii="Book Antiqua" w:hAnsi="Book Antiqua" w:cs="Arial"/>
                <w:bCs/>
                <w:sz w:val="18"/>
              </w:rPr>
              <w:t>)</w:t>
            </w:r>
          </w:p>
        </w:tc>
        <w:tc>
          <w:tcPr>
            <w:tcW w:w="1598" w:type="dxa"/>
            <w:tcBorders>
              <w:top w:val="single" w:sz="4" w:space="0" w:color="000000"/>
              <w:left w:val="single" w:sz="4" w:space="0" w:color="000000"/>
              <w:bottom w:val="single" w:sz="4" w:space="0" w:color="000000"/>
              <w:right w:val="single" w:sz="4" w:space="0" w:color="000000"/>
            </w:tcBorders>
            <w:hideMark/>
          </w:tcPr>
          <w:p w14:paraId="09CE149D"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Biological yield</w:t>
            </w:r>
          </w:p>
          <w:p w14:paraId="41F9822F"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(t ha</w:t>
            </w:r>
            <w:r w:rsidRPr="004C1987">
              <w:rPr>
                <w:rFonts w:ascii="Book Antiqua" w:hAnsi="Book Antiqua" w:cs="Arial"/>
                <w:bCs/>
                <w:sz w:val="18"/>
                <w:vertAlign w:val="superscript"/>
              </w:rPr>
              <w:t>-1</w:t>
            </w:r>
            <w:r w:rsidRPr="004C1987">
              <w:rPr>
                <w:rFonts w:ascii="Book Antiqua" w:hAnsi="Book Antiqua" w:cs="Arial"/>
                <w:bCs/>
                <w:sz w:val="18"/>
              </w:rPr>
              <w:t>)</w:t>
            </w:r>
          </w:p>
        </w:tc>
        <w:tc>
          <w:tcPr>
            <w:tcW w:w="1600" w:type="dxa"/>
            <w:tcBorders>
              <w:top w:val="single" w:sz="4" w:space="0" w:color="000000"/>
              <w:left w:val="single" w:sz="4" w:space="0" w:color="000000"/>
              <w:bottom w:val="single" w:sz="4" w:space="0" w:color="000000"/>
              <w:right w:val="single" w:sz="4" w:space="0" w:color="auto"/>
            </w:tcBorders>
            <w:hideMark/>
          </w:tcPr>
          <w:p w14:paraId="1C0412ED"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Harvest index (%)</w:t>
            </w:r>
          </w:p>
        </w:tc>
      </w:tr>
      <w:tr w:rsidR="004C1987" w:rsidRPr="004C1987" w14:paraId="654E619A" w14:textId="77777777" w:rsidTr="0036333E">
        <w:trPr>
          <w:trHeight w:val="314"/>
        </w:trPr>
        <w:tc>
          <w:tcPr>
            <w:tcW w:w="1776" w:type="dxa"/>
            <w:tcBorders>
              <w:top w:val="single" w:sz="4" w:space="0" w:color="000000"/>
              <w:left w:val="single" w:sz="4" w:space="0" w:color="000000"/>
              <w:bottom w:val="single" w:sz="4" w:space="0" w:color="000000"/>
              <w:right w:val="single" w:sz="4" w:space="0" w:color="000000"/>
            </w:tcBorders>
            <w:hideMark/>
          </w:tcPr>
          <w:p w14:paraId="16776619" w14:textId="77777777" w:rsidR="0036333E" w:rsidRPr="004C1987" w:rsidRDefault="0036333E" w:rsidP="00362E8E">
            <w:pPr>
              <w:rPr>
                <w:rFonts w:ascii="Book Antiqua" w:hAnsi="Book Antiqua"/>
              </w:rPr>
            </w:pPr>
            <w:r w:rsidRPr="004C1987">
              <w:rPr>
                <w:rFonts w:ascii="Book Antiqua" w:hAnsi="Book Antiqua"/>
              </w:rPr>
              <w:t>V</w:t>
            </w:r>
            <w:r w:rsidRPr="004C1987">
              <w:rPr>
                <w:rFonts w:ascii="Book Antiqua" w:hAnsi="Book Antiqua"/>
                <w:vertAlign w:val="subscript"/>
              </w:rPr>
              <w:t>1</w:t>
            </w:r>
          </w:p>
        </w:tc>
        <w:tc>
          <w:tcPr>
            <w:tcW w:w="1600" w:type="dxa"/>
            <w:tcBorders>
              <w:top w:val="single" w:sz="4" w:space="0" w:color="000000"/>
              <w:left w:val="single" w:sz="4" w:space="0" w:color="auto"/>
              <w:bottom w:val="single" w:sz="4" w:space="0" w:color="000000"/>
              <w:right w:val="single" w:sz="4" w:space="0" w:color="auto"/>
            </w:tcBorders>
            <w:hideMark/>
          </w:tcPr>
          <w:p w14:paraId="7D9485B9" w14:textId="77777777" w:rsidR="0036333E" w:rsidRPr="004C1987" w:rsidRDefault="0036333E" w:rsidP="00362E8E">
            <w:pPr>
              <w:jc w:val="center"/>
              <w:rPr>
                <w:rFonts w:ascii="Book Antiqua" w:hAnsi="Book Antiqua"/>
              </w:rPr>
            </w:pPr>
            <w:r w:rsidRPr="004C1987">
              <w:rPr>
                <w:rFonts w:ascii="Book Antiqua" w:hAnsi="Book Antiqua" w:cs="Courier New"/>
              </w:rPr>
              <w:t>89.34  a</w:t>
            </w:r>
          </w:p>
        </w:tc>
        <w:tc>
          <w:tcPr>
            <w:tcW w:w="1598" w:type="dxa"/>
            <w:tcBorders>
              <w:top w:val="single" w:sz="4" w:space="0" w:color="000000"/>
              <w:left w:val="single" w:sz="4" w:space="0" w:color="000000"/>
              <w:bottom w:val="single" w:sz="4" w:space="0" w:color="000000"/>
              <w:right w:val="single" w:sz="4" w:space="0" w:color="000000"/>
            </w:tcBorders>
            <w:hideMark/>
          </w:tcPr>
          <w:p w14:paraId="45DB16B3" w14:textId="77777777" w:rsidR="0036333E" w:rsidRPr="004C1987" w:rsidRDefault="0036333E" w:rsidP="00362E8E">
            <w:pPr>
              <w:jc w:val="center"/>
              <w:rPr>
                <w:rFonts w:ascii="Book Antiqua" w:hAnsi="Book Antiqua"/>
              </w:rPr>
            </w:pPr>
            <w:r w:rsidRPr="004C1987">
              <w:rPr>
                <w:rFonts w:ascii="Book Antiqua" w:hAnsi="Book Antiqua" w:cs="Courier New"/>
              </w:rPr>
              <w:t>4.839   b</w:t>
            </w:r>
          </w:p>
        </w:tc>
        <w:tc>
          <w:tcPr>
            <w:tcW w:w="1598" w:type="dxa"/>
            <w:tcBorders>
              <w:top w:val="single" w:sz="4" w:space="0" w:color="000000"/>
              <w:left w:val="single" w:sz="4" w:space="0" w:color="000000"/>
              <w:bottom w:val="single" w:sz="4" w:space="0" w:color="000000"/>
              <w:right w:val="single" w:sz="4" w:space="0" w:color="000000"/>
            </w:tcBorders>
            <w:hideMark/>
          </w:tcPr>
          <w:p w14:paraId="01029AB0" w14:textId="77777777" w:rsidR="0036333E" w:rsidRPr="004C1987" w:rsidRDefault="0036333E" w:rsidP="00362E8E">
            <w:pPr>
              <w:jc w:val="center"/>
              <w:rPr>
                <w:rFonts w:ascii="Book Antiqua" w:hAnsi="Book Antiqua"/>
              </w:rPr>
            </w:pPr>
            <w:r w:rsidRPr="004C1987">
              <w:rPr>
                <w:rFonts w:ascii="Book Antiqua" w:hAnsi="Book Antiqua" w:cs="Courier New"/>
              </w:rPr>
              <w:t>5.309   b</w:t>
            </w:r>
          </w:p>
        </w:tc>
        <w:tc>
          <w:tcPr>
            <w:tcW w:w="1598" w:type="dxa"/>
            <w:tcBorders>
              <w:top w:val="single" w:sz="4" w:space="0" w:color="000000"/>
              <w:left w:val="single" w:sz="4" w:space="0" w:color="000000"/>
              <w:bottom w:val="single" w:sz="4" w:space="0" w:color="000000"/>
              <w:right w:val="single" w:sz="4" w:space="0" w:color="000000"/>
            </w:tcBorders>
            <w:hideMark/>
          </w:tcPr>
          <w:p w14:paraId="5BF4F441" w14:textId="77777777" w:rsidR="0036333E" w:rsidRPr="004C1987" w:rsidRDefault="0036333E" w:rsidP="00362E8E">
            <w:pPr>
              <w:jc w:val="center"/>
              <w:rPr>
                <w:rFonts w:ascii="Book Antiqua" w:hAnsi="Book Antiqua"/>
              </w:rPr>
            </w:pPr>
            <w:r w:rsidRPr="004C1987">
              <w:rPr>
                <w:rFonts w:ascii="Book Antiqua" w:hAnsi="Book Antiqua" w:cs="Courier New"/>
              </w:rPr>
              <w:t>10.15   b</w:t>
            </w:r>
          </w:p>
        </w:tc>
        <w:tc>
          <w:tcPr>
            <w:tcW w:w="1600" w:type="dxa"/>
            <w:tcBorders>
              <w:top w:val="single" w:sz="4" w:space="0" w:color="000000"/>
              <w:left w:val="single" w:sz="4" w:space="0" w:color="000000"/>
              <w:bottom w:val="single" w:sz="4" w:space="0" w:color="000000"/>
              <w:right w:val="single" w:sz="4" w:space="0" w:color="auto"/>
            </w:tcBorders>
            <w:hideMark/>
          </w:tcPr>
          <w:p w14:paraId="5F4B42CB" w14:textId="77777777" w:rsidR="0036333E" w:rsidRPr="004C1987" w:rsidRDefault="0036333E" w:rsidP="00362E8E">
            <w:pPr>
              <w:jc w:val="center"/>
              <w:rPr>
                <w:rFonts w:ascii="Book Antiqua" w:hAnsi="Book Antiqua"/>
              </w:rPr>
            </w:pPr>
            <w:r w:rsidRPr="004C1987">
              <w:rPr>
                <w:rFonts w:ascii="Book Antiqua" w:hAnsi="Book Antiqua" w:cs="Courier New"/>
              </w:rPr>
              <w:t>47.56</w:t>
            </w:r>
          </w:p>
        </w:tc>
      </w:tr>
      <w:tr w:rsidR="004C1987" w:rsidRPr="004C1987" w14:paraId="3DC759CD" w14:textId="77777777" w:rsidTr="0036333E">
        <w:trPr>
          <w:trHeight w:val="261"/>
        </w:trPr>
        <w:tc>
          <w:tcPr>
            <w:tcW w:w="1776" w:type="dxa"/>
            <w:tcBorders>
              <w:top w:val="single" w:sz="4" w:space="0" w:color="000000"/>
              <w:left w:val="single" w:sz="4" w:space="0" w:color="000000"/>
              <w:bottom w:val="single" w:sz="4" w:space="0" w:color="000000"/>
              <w:right w:val="single" w:sz="4" w:space="0" w:color="000000"/>
            </w:tcBorders>
            <w:hideMark/>
          </w:tcPr>
          <w:p w14:paraId="0B033474" w14:textId="77777777" w:rsidR="0036333E" w:rsidRPr="004C1987" w:rsidRDefault="0036333E" w:rsidP="00362E8E">
            <w:pPr>
              <w:rPr>
                <w:rFonts w:ascii="Book Antiqua" w:hAnsi="Book Antiqua"/>
              </w:rPr>
            </w:pPr>
            <w:r w:rsidRPr="004C1987">
              <w:rPr>
                <w:rFonts w:ascii="Book Antiqua" w:hAnsi="Book Antiqua"/>
              </w:rPr>
              <w:t>V</w:t>
            </w:r>
            <w:r w:rsidRPr="004C1987">
              <w:rPr>
                <w:rFonts w:ascii="Book Antiqua" w:hAnsi="Book Antiqua"/>
                <w:vertAlign w:val="subscript"/>
              </w:rPr>
              <w:t>2</w:t>
            </w:r>
          </w:p>
        </w:tc>
        <w:tc>
          <w:tcPr>
            <w:tcW w:w="1600" w:type="dxa"/>
            <w:tcBorders>
              <w:top w:val="single" w:sz="4" w:space="0" w:color="000000"/>
              <w:left w:val="single" w:sz="4" w:space="0" w:color="auto"/>
              <w:bottom w:val="single" w:sz="4" w:space="0" w:color="000000"/>
              <w:right w:val="single" w:sz="4" w:space="0" w:color="auto"/>
            </w:tcBorders>
            <w:hideMark/>
          </w:tcPr>
          <w:p w14:paraId="15000203" w14:textId="77777777" w:rsidR="0036333E" w:rsidRPr="004C1987" w:rsidRDefault="0036333E" w:rsidP="00362E8E">
            <w:pPr>
              <w:jc w:val="center"/>
              <w:rPr>
                <w:rFonts w:ascii="Book Antiqua" w:hAnsi="Book Antiqua"/>
              </w:rPr>
            </w:pPr>
            <w:r w:rsidRPr="004C1987">
              <w:rPr>
                <w:rFonts w:ascii="Book Antiqua" w:hAnsi="Book Antiqua" w:cs="Courier New"/>
              </w:rPr>
              <w:t>77.48    c</w:t>
            </w:r>
          </w:p>
        </w:tc>
        <w:tc>
          <w:tcPr>
            <w:tcW w:w="1598" w:type="dxa"/>
            <w:tcBorders>
              <w:top w:val="single" w:sz="4" w:space="0" w:color="000000"/>
              <w:left w:val="single" w:sz="4" w:space="0" w:color="000000"/>
              <w:bottom w:val="single" w:sz="4" w:space="0" w:color="000000"/>
              <w:right w:val="single" w:sz="4" w:space="0" w:color="000000"/>
            </w:tcBorders>
            <w:hideMark/>
          </w:tcPr>
          <w:p w14:paraId="3C59E596" w14:textId="77777777" w:rsidR="0036333E" w:rsidRPr="004C1987" w:rsidRDefault="0036333E" w:rsidP="00362E8E">
            <w:pPr>
              <w:jc w:val="center"/>
              <w:rPr>
                <w:rFonts w:ascii="Book Antiqua" w:hAnsi="Book Antiqua"/>
              </w:rPr>
            </w:pPr>
            <w:r w:rsidRPr="004C1987">
              <w:rPr>
                <w:rFonts w:ascii="Book Antiqua" w:hAnsi="Book Antiqua" w:cs="Courier New"/>
              </w:rPr>
              <w:t>4.530     d</w:t>
            </w:r>
          </w:p>
        </w:tc>
        <w:tc>
          <w:tcPr>
            <w:tcW w:w="1598" w:type="dxa"/>
            <w:tcBorders>
              <w:top w:val="single" w:sz="4" w:space="0" w:color="000000"/>
              <w:left w:val="single" w:sz="4" w:space="0" w:color="000000"/>
              <w:bottom w:val="single" w:sz="4" w:space="0" w:color="000000"/>
              <w:right w:val="single" w:sz="4" w:space="0" w:color="000000"/>
            </w:tcBorders>
            <w:hideMark/>
          </w:tcPr>
          <w:p w14:paraId="5FC983AE" w14:textId="77777777" w:rsidR="0036333E" w:rsidRPr="004C1987" w:rsidRDefault="0036333E" w:rsidP="00362E8E">
            <w:pPr>
              <w:jc w:val="center"/>
              <w:rPr>
                <w:rFonts w:ascii="Book Antiqua" w:hAnsi="Book Antiqua"/>
              </w:rPr>
            </w:pPr>
            <w:r w:rsidRPr="004C1987">
              <w:rPr>
                <w:rFonts w:ascii="Book Antiqua" w:hAnsi="Book Antiqua" w:cs="Courier New"/>
              </w:rPr>
              <w:t>5.054     d</w:t>
            </w:r>
          </w:p>
        </w:tc>
        <w:tc>
          <w:tcPr>
            <w:tcW w:w="1598" w:type="dxa"/>
            <w:tcBorders>
              <w:top w:val="single" w:sz="4" w:space="0" w:color="000000"/>
              <w:left w:val="single" w:sz="4" w:space="0" w:color="000000"/>
              <w:bottom w:val="single" w:sz="4" w:space="0" w:color="000000"/>
              <w:right w:val="single" w:sz="4" w:space="0" w:color="000000"/>
            </w:tcBorders>
            <w:hideMark/>
          </w:tcPr>
          <w:p w14:paraId="50CDA265" w14:textId="77777777" w:rsidR="0036333E" w:rsidRPr="004C1987" w:rsidRDefault="0036333E" w:rsidP="00362E8E">
            <w:pPr>
              <w:jc w:val="center"/>
              <w:rPr>
                <w:rFonts w:ascii="Book Antiqua" w:hAnsi="Book Antiqua"/>
              </w:rPr>
            </w:pPr>
            <w:r w:rsidRPr="004C1987">
              <w:rPr>
                <w:rFonts w:ascii="Book Antiqua" w:hAnsi="Book Antiqua" w:cs="Courier New"/>
              </w:rPr>
              <w:t>9.584     d</w:t>
            </w:r>
          </w:p>
        </w:tc>
        <w:tc>
          <w:tcPr>
            <w:tcW w:w="1600" w:type="dxa"/>
            <w:tcBorders>
              <w:top w:val="single" w:sz="4" w:space="0" w:color="000000"/>
              <w:left w:val="single" w:sz="4" w:space="0" w:color="000000"/>
              <w:bottom w:val="single" w:sz="4" w:space="0" w:color="000000"/>
              <w:right w:val="single" w:sz="4" w:space="0" w:color="auto"/>
            </w:tcBorders>
            <w:hideMark/>
          </w:tcPr>
          <w:p w14:paraId="7BDBE404" w14:textId="77777777" w:rsidR="0036333E" w:rsidRPr="004C1987" w:rsidRDefault="0036333E" w:rsidP="00362E8E">
            <w:pPr>
              <w:jc w:val="center"/>
              <w:rPr>
                <w:rFonts w:ascii="Book Antiqua" w:hAnsi="Book Antiqua"/>
              </w:rPr>
            </w:pPr>
            <w:r w:rsidRPr="004C1987">
              <w:rPr>
                <w:rFonts w:ascii="Book Antiqua" w:hAnsi="Book Antiqua" w:cs="Courier New"/>
              </w:rPr>
              <w:t>47.13</w:t>
            </w:r>
          </w:p>
        </w:tc>
      </w:tr>
      <w:tr w:rsidR="004C1987" w:rsidRPr="004C1987" w14:paraId="7EE90390" w14:textId="77777777" w:rsidTr="0036333E">
        <w:trPr>
          <w:trHeight w:val="322"/>
        </w:trPr>
        <w:tc>
          <w:tcPr>
            <w:tcW w:w="1776" w:type="dxa"/>
            <w:tcBorders>
              <w:top w:val="single" w:sz="4" w:space="0" w:color="000000"/>
              <w:left w:val="single" w:sz="4" w:space="0" w:color="000000"/>
              <w:bottom w:val="single" w:sz="4" w:space="0" w:color="000000"/>
              <w:right w:val="single" w:sz="4" w:space="0" w:color="000000"/>
            </w:tcBorders>
            <w:hideMark/>
          </w:tcPr>
          <w:p w14:paraId="23CCD9FA" w14:textId="77777777" w:rsidR="0036333E" w:rsidRPr="004C1987" w:rsidRDefault="0036333E" w:rsidP="00362E8E">
            <w:pPr>
              <w:rPr>
                <w:rFonts w:ascii="Book Antiqua" w:hAnsi="Book Antiqua"/>
              </w:rPr>
            </w:pPr>
            <w:r w:rsidRPr="004C1987">
              <w:rPr>
                <w:rFonts w:ascii="Book Antiqua" w:hAnsi="Book Antiqua"/>
              </w:rPr>
              <w:t>V</w:t>
            </w:r>
            <w:r w:rsidRPr="004C1987">
              <w:rPr>
                <w:rFonts w:ascii="Book Antiqua" w:hAnsi="Book Antiqua"/>
                <w:vertAlign w:val="subscript"/>
              </w:rPr>
              <w:t>3</w:t>
            </w:r>
          </w:p>
        </w:tc>
        <w:tc>
          <w:tcPr>
            <w:tcW w:w="1600" w:type="dxa"/>
            <w:tcBorders>
              <w:top w:val="single" w:sz="4" w:space="0" w:color="000000"/>
              <w:left w:val="single" w:sz="4" w:space="0" w:color="auto"/>
              <w:bottom w:val="single" w:sz="4" w:space="0" w:color="000000"/>
              <w:right w:val="single" w:sz="4" w:space="0" w:color="auto"/>
            </w:tcBorders>
            <w:hideMark/>
          </w:tcPr>
          <w:p w14:paraId="04D310C2" w14:textId="77777777" w:rsidR="0036333E" w:rsidRPr="004C1987" w:rsidRDefault="0036333E" w:rsidP="00362E8E">
            <w:pPr>
              <w:jc w:val="center"/>
              <w:rPr>
                <w:rFonts w:ascii="Book Antiqua" w:hAnsi="Book Antiqua"/>
              </w:rPr>
            </w:pPr>
            <w:r w:rsidRPr="004C1987">
              <w:rPr>
                <w:rFonts w:ascii="Book Antiqua" w:hAnsi="Book Antiqua" w:cs="Courier New"/>
              </w:rPr>
              <w:t>86.51   b</w:t>
            </w:r>
          </w:p>
        </w:tc>
        <w:tc>
          <w:tcPr>
            <w:tcW w:w="1598" w:type="dxa"/>
            <w:tcBorders>
              <w:top w:val="single" w:sz="4" w:space="0" w:color="000000"/>
              <w:left w:val="single" w:sz="4" w:space="0" w:color="000000"/>
              <w:bottom w:val="single" w:sz="4" w:space="0" w:color="000000"/>
              <w:right w:val="single" w:sz="4" w:space="0" w:color="000000"/>
            </w:tcBorders>
            <w:hideMark/>
          </w:tcPr>
          <w:p w14:paraId="30369A26" w14:textId="77777777" w:rsidR="0036333E" w:rsidRPr="004C1987" w:rsidRDefault="0036333E" w:rsidP="00362E8E">
            <w:pPr>
              <w:jc w:val="center"/>
              <w:rPr>
                <w:rFonts w:ascii="Book Antiqua" w:hAnsi="Book Antiqua"/>
              </w:rPr>
            </w:pPr>
            <w:r w:rsidRPr="004C1987">
              <w:rPr>
                <w:rFonts w:ascii="Book Antiqua" w:hAnsi="Book Antiqua" w:cs="Courier New"/>
              </w:rPr>
              <w:t>4.702    c</w:t>
            </w:r>
          </w:p>
        </w:tc>
        <w:tc>
          <w:tcPr>
            <w:tcW w:w="1598" w:type="dxa"/>
            <w:tcBorders>
              <w:top w:val="single" w:sz="4" w:space="0" w:color="000000"/>
              <w:left w:val="single" w:sz="4" w:space="0" w:color="000000"/>
              <w:bottom w:val="single" w:sz="4" w:space="0" w:color="000000"/>
              <w:right w:val="single" w:sz="4" w:space="0" w:color="000000"/>
            </w:tcBorders>
            <w:hideMark/>
          </w:tcPr>
          <w:p w14:paraId="39C47C12" w14:textId="77777777" w:rsidR="0036333E" w:rsidRPr="004C1987" w:rsidRDefault="0036333E" w:rsidP="00362E8E">
            <w:pPr>
              <w:jc w:val="center"/>
              <w:rPr>
                <w:rFonts w:ascii="Book Antiqua" w:hAnsi="Book Antiqua"/>
              </w:rPr>
            </w:pPr>
            <w:r w:rsidRPr="004C1987">
              <w:rPr>
                <w:rFonts w:ascii="Book Antiqua" w:hAnsi="Book Antiqua" w:cs="Courier New"/>
              </w:rPr>
              <w:t>5.187    c</w:t>
            </w:r>
          </w:p>
        </w:tc>
        <w:tc>
          <w:tcPr>
            <w:tcW w:w="1598" w:type="dxa"/>
            <w:tcBorders>
              <w:top w:val="single" w:sz="4" w:space="0" w:color="000000"/>
              <w:left w:val="single" w:sz="4" w:space="0" w:color="000000"/>
              <w:bottom w:val="single" w:sz="4" w:space="0" w:color="000000"/>
              <w:right w:val="single" w:sz="4" w:space="0" w:color="000000"/>
            </w:tcBorders>
            <w:hideMark/>
          </w:tcPr>
          <w:p w14:paraId="41D89754" w14:textId="77777777" w:rsidR="0036333E" w:rsidRPr="004C1987" w:rsidRDefault="0036333E" w:rsidP="00362E8E">
            <w:pPr>
              <w:jc w:val="center"/>
              <w:rPr>
                <w:rFonts w:ascii="Book Antiqua" w:hAnsi="Book Antiqua"/>
              </w:rPr>
            </w:pPr>
            <w:r w:rsidRPr="004C1987">
              <w:rPr>
                <w:rFonts w:ascii="Book Antiqua" w:hAnsi="Book Antiqua" w:cs="Courier New"/>
              </w:rPr>
              <w:t>9.889    c</w:t>
            </w:r>
          </w:p>
        </w:tc>
        <w:tc>
          <w:tcPr>
            <w:tcW w:w="1600" w:type="dxa"/>
            <w:tcBorders>
              <w:top w:val="single" w:sz="4" w:space="0" w:color="000000"/>
              <w:left w:val="single" w:sz="4" w:space="0" w:color="000000"/>
              <w:bottom w:val="single" w:sz="4" w:space="0" w:color="000000"/>
              <w:right w:val="single" w:sz="4" w:space="0" w:color="auto"/>
            </w:tcBorders>
            <w:hideMark/>
          </w:tcPr>
          <w:p w14:paraId="2D3254B9" w14:textId="77777777" w:rsidR="0036333E" w:rsidRPr="004C1987" w:rsidRDefault="0036333E" w:rsidP="00362E8E">
            <w:pPr>
              <w:jc w:val="center"/>
              <w:rPr>
                <w:rFonts w:ascii="Book Antiqua" w:hAnsi="Book Antiqua"/>
              </w:rPr>
            </w:pPr>
            <w:r w:rsidRPr="004C1987">
              <w:rPr>
                <w:rFonts w:ascii="Book Antiqua" w:hAnsi="Book Antiqua" w:cs="Courier New"/>
              </w:rPr>
              <w:t>47.40</w:t>
            </w:r>
          </w:p>
        </w:tc>
      </w:tr>
      <w:tr w:rsidR="004C1987" w:rsidRPr="004C1987" w14:paraId="67402562" w14:textId="77777777" w:rsidTr="0036333E">
        <w:trPr>
          <w:trHeight w:val="269"/>
        </w:trPr>
        <w:tc>
          <w:tcPr>
            <w:tcW w:w="1776" w:type="dxa"/>
            <w:tcBorders>
              <w:top w:val="single" w:sz="4" w:space="0" w:color="000000"/>
              <w:left w:val="single" w:sz="4" w:space="0" w:color="000000"/>
              <w:bottom w:val="single" w:sz="4" w:space="0" w:color="000000"/>
              <w:right w:val="single" w:sz="4" w:space="0" w:color="000000"/>
            </w:tcBorders>
            <w:hideMark/>
          </w:tcPr>
          <w:p w14:paraId="4C3A9AA8" w14:textId="77777777" w:rsidR="0036333E" w:rsidRPr="004C1987" w:rsidRDefault="0036333E" w:rsidP="00362E8E">
            <w:pPr>
              <w:rPr>
                <w:rFonts w:ascii="Book Antiqua" w:hAnsi="Book Antiqua"/>
                <w:noProof/>
              </w:rPr>
            </w:pPr>
            <w:r w:rsidRPr="004C1987">
              <w:rPr>
                <w:rFonts w:ascii="Book Antiqua" w:hAnsi="Book Antiqua"/>
              </w:rPr>
              <w:t>V</w:t>
            </w:r>
            <w:r w:rsidRPr="004C1987">
              <w:rPr>
                <w:rFonts w:ascii="Book Antiqua" w:hAnsi="Book Antiqua"/>
                <w:vertAlign w:val="subscript"/>
              </w:rPr>
              <w:t>4</w:t>
            </w:r>
          </w:p>
        </w:tc>
        <w:tc>
          <w:tcPr>
            <w:tcW w:w="1600" w:type="dxa"/>
            <w:tcBorders>
              <w:top w:val="single" w:sz="4" w:space="0" w:color="000000"/>
              <w:left w:val="single" w:sz="4" w:space="0" w:color="000000"/>
              <w:bottom w:val="single" w:sz="4" w:space="0" w:color="000000"/>
              <w:right w:val="single" w:sz="4" w:space="0" w:color="auto"/>
            </w:tcBorders>
            <w:hideMark/>
          </w:tcPr>
          <w:p w14:paraId="7F4BF5B8" w14:textId="77777777" w:rsidR="0036333E" w:rsidRPr="004C1987" w:rsidRDefault="0036333E" w:rsidP="00362E8E">
            <w:pPr>
              <w:jc w:val="center"/>
              <w:rPr>
                <w:rFonts w:ascii="Book Antiqua" w:hAnsi="Book Antiqua"/>
              </w:rPr>
            </w:pPr>
            <w:r w:rsidRPr="004C1987">
              <w:rPr>
                <w:rFonts w:ascii="Book Antiqua" w:hAnsi="Book Antiqua" w:cs="Courier New"/>
              </w:rPr>
              <w:t>90.62  a</w:t>
            </w:r>
          </w:p>
        </w:tc>
        <w:tc>
          <w:tcPr>
            <w:tcW w:w="1598" w:type="dxa"/>
            <w:tcBorders>
              <w:top w:val="single" w:sz="4" w:space="0" w:color="000000"/>
              <w:left w:val="single" w:sz="4" w:space="0" w:color="auto"/>
              <w:bottom w:val="single" w:sz="4" w:space="0" w:color="000000"/>
              <w:right w:val="single" w:sz="4" w:space="0" w:color="auto"/>
            </w:tcBorders>
            <w:hideMark/>
          </w:tcPr>
          <w:p w14:paraId="201E9A1E" w14:textId="77777777" w:rsidR="0036333E" w:rsidRPr="004C1987" w:rsidRDefault="0036333E" w:rsidP="00362E8E">
            <w:pPr>
              <w:jc w:val="center"/>
              <w:rPr>
                <w:rFonts w:ascii="Book Antiqua" w:hAnsi="Book Antiqua"/>
              </w:rPr>
            </w:pPr>
            <w:r w:rsidRPr="004C1987">
              <w:rPr>
                <w:rFonts w:ascii="Book Antiqua" w:hAnsi="Book Antiqua" w:cs="Courier New"/>
              </w:rPr>
              <w:t>4.999  a</w:t>
            </w:r>
          </w:p>
        </w:tc>
        <w:tc>
          <w:tcPr>
            <w:tcW w:w="1598" w:type="dxa"/>
            <w:tcBorders>
              <w:top w:val="single" w:sz="4" w:space="0" w:color="000000"/>
              <w:left w:val="single" w:sz="4" w:space="0" w:color="auto"/>
              <w:bottom w:val="single" w:sz="4" w:space="0" w:color="000000"/>
              <w:right w:val="single" w:sz="4" w:space="0" w:color="auto"/>
            </w:tcBorders>
            <w:hideMark/>
          </w:tcPr>
          <w:p w14:paraId="510B378E" w14:textId="77777777" w:rsidR="0036333E" w:rsidRPr="004C1987" w:rsidRDefault="0036333E" w:rsidP="00362E8E">
            <w:pPr>
              <w:jc w:val="center"/>
              <w:rPr>
                <w:rFonts w:ascii="Book Antiqua" w:hAnsi="Book Antiqua"/>
              </w:rPr>
            </w:pPr>
            <w:r w:rsidRPr="004C1987">
              <w:rPr>
                <w:rFonts w:ascii="Book Antiqua" w:hAnsi="Book Antiqua" w:cs="Courier New"/>
              </w:rPr>
              <w:t>5.503  a</w:t>
            </w:r>
          </w:p>
        </w:tc>
        <w:tc>
          <w:tcPr>
            <w:tcW w:w="1598" w:type="dxa"/>
            <w:tcBorders>
              <w:top w:val="single" w:sz="4" w:space="0" w:color="000000"/>
              <w:left w:val="single" w:sz="4" w:space="0" w:color="auto"/>
              <w:bottom w:val="single" w:sz="4" w:space="0" w:color="000000"/>
              <w:right w:val="single" w:sz="4" w:space="0" w:color="auto"/>
            </w:tcBorders>
            <w:hideMark/>
          </w:tcPr>
          <w:p w14:paraId="365F2771" w14:textId="77777777" w:rsidR="0036333E" w:rsidRPr="004C1987" w:rsidRDefault="0036333E" w:rsidP="00362E8E">
            <w:pPr>
              <w:jc w:val="center"/>
              <w:rPr>
                <w:rFonts w:ascii="Book Antiqua" w:hAnsi="Book Antiqua"/>
              </w:rPr>
            </w:pPr>
            <w:r w:rsidRPr="004C1987">
              <w:rPr>
                <w:rFonts w:ascii="Book Antiqua" w:hAnsi="Book Antiqua" w:cs="Courier New"/>
              </w:rPr>
              <w:t>10.50  a</w:t>
            </w:r>
          </w:p>
        </w:tc>
        <w:tc>
          <w:tcPr>
            <w:tcW w:w="1600" w:type="dxa"/>
            <w:tcBorders>
              <w:top w:val="single" w:sz="4" w:space="0" w:color="000000"/>
              <w:left w:val="single" w:sz="4" w:space="0" w:color="auto"/>
              <w:bottom w:val="single" w:sz="4" w:space="0" w:color="000000"/>
              <w:right w:val="single" w:sz="4" w:space="0" w:color="auto"/>
            </w:tcBorders>
            <w:hideMark/>
          </w:tcPr>
          <w:p w14:paraId="7B78E041" w14:textId="77777777" w:rsidR="0036333E" w:rsidRPr="004C1987" w:rsidRDefault="0036333E" w:rsidP="00362E8E">
            <w:pPr>
              <w:jc w:val="center"/>
              <w:rPr>
                <w:rFonts w:ascii="Book Antiqua" w:hAnsi="Book Antiqua"/>
              </w:rPr>
            </w:pPr>
            <w:r w:rsidRPr="004C1987">
              <w:rPr>
                <w:rFonts w:ascii="Book Antiqua" w:hAnsi="Book Antiqua" w:cs="Courier New"/>
              </w:rPr>
              <w:t>47.51</w:t>
            </w:r>
          </w:p>
        </w:tc>
      </w:tr>
      <w:tr w:rsidR="004C1987" w:rsidRPr="004C1987" w14:paraId="1A1557C9" w14:textId="77777777" w:rsidTr="0036333E">
        <w:trPr>
          <w:trHeight w:val="299"/>
        </w:trPr>
        <w:tc>
          <w:tcPr>
            <w:tcW w:w="1776" w:type="dxa"/>
            <w:tcBorders>
              <w:top w:val="single" w:sz="4" w:space="0" w:color="000000"/>
              <w:left w:val="single" w:sz="4" w:space="0" w:color="000000"/>
              <w:bottom w:val="single" w:sz="4" w:space="0" w:color="000000"/>
              <w:right w:val="single" w:sz="4" w:space="0" w:color="000000"/>
            </w:tcBorders>
            <w:hideMark/>
          </w:tcPr>
          <w:p w14:paraId="22E6FF8A" w14:textId="77777777" w:rsidR="0036333E" w:rsidRPr="004C1987" w:rsidRDefault="0036333E" w:rsidP="00362E8E">
            <w:pPr>
              <w:rPr>
                <w:rFonts w:ascii="Book Antiqua" w:hAnsi="Book Antiqua"/>
              </w:rPr>
            </w:pPr>
            <w:r w:rsidRPr="004C1987">
              <w:rPr>
                <w:noProof/>
              </w:rPr>
              <mc:AlternateContent>
                <mc:Choice Requires="wps">
                  <w:drawing>
                    <wp:anchor distT="0" distB="0" distL="114300" distR="114300" simplePos="0" relativeHeight="251670528" behindDoc="0" locked="0" layoutInCell="1" allowOverlap="1" wp14:anchorId="57C57DF4" wp14:editId="4E7DE47D">
                      <wp:simplePos x="0" y="0"/>
                      <wp:positionH relativeFrom="column">
                        <wp:posOffset>69850</wp:posOffset>
                      </wp:positionH>
                      <wp:positionV relativeFrom="paragraph">
                        <wp:posOffset>31115</wp:posOffset>
                      </wp:positionV>
                      <wp:extent cx="64135" cy="0"/>
                      <wp:effectExtent l="0" t="0" r="0" b="0"/>
                      <wp:wrapNone/>
                      <wp:docPr id="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B21B0" id="Straight Connector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5pt" to="1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w/HAIAADU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"/>
                  </w:pict>
                </mc:Fallback>
              </mc:AlternateContent>
            </w:r>
            <w:proofErr w:type="spellStart"/>
            <w:r w:rsidRPr="004C1987">
              <w:rPr>
                <w:rFonts w:ascii="Book Antiqua" w:hAnsi="Book Antiqua"/>
              </w:rPr>
              <w:t>Sx</w:t>
            </w:r>
            <w:proofErr w:type="spellEnd"/>
          </w:p>
        </w:tc>
        <w:tc>
          <w:tcPr>
            <w:tcW w:w="1600" w:type="dxa"/>
            <w:tcBorders>
              <w:top w:val="single" w:sz="4" w:space="0" w:color="000000"/>
              <w:left w:val="single" w:sz="4" w:space="0" w:color="000000"/>
              <w:bottom w:val="single" w:sz="4" w:space="0" w:color="000000"/>
              <w:right w:val="single" w:sz="4" w:space="0" w:color="auto"/>
            </w:tcBorders>
            <w:hideMark/>
          </w:tcPr>
          <w:p w14:paraId="12E609EE"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0.941</w:t>
            </w:r>
          </w:p>
        </w:tc>
        <w:tc>
          <w:tcPr>
            <w:tcW w:w="1598" w:type="dxa"/>
            <w:tcBorders>
              <w:top w:val="single" w:sz="4" w:space="0" w:color="000000"/>
              <w:left w:val="single" w:sz="4" w:space="0" w:color="auto"/>
              <w:bottom w:val="single" w:sz="4" w:space="0" w:color="000000"/>
              <w:right w:val="single" w:sz="4" w:space="0" w:color="auto"/>
            </w:tcBorders>
            <w:hideMark/>
          </w:tcPr>
          <w:p w14:paraId="1E17BD2A"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0.032</w:t>
            </w:r>
          </w:p>
        </w:tc>
        <w:tc>
          <w:tcPr>
            <w:tcW w:w="1598" w:type="dxa"/>
            <w:tcBorders>
              <w:top w:val="single" w:sz="4" w:space="0" w:color="000000"/>
              <w:left w:val="single" w:sz="4" w:space="0" w:color="auto"/>
              <w:bottom w:val="single" w:sz="4" w:space="0" w:color="000000"/>
              <w:right w:val="single" w:sz="4" w:space="0" w:color="auto"/>
            </w:tcBorders>
            <w:hideMark/>
          </w:tcPr>
          <w:p w14:paraId="0FC0B599"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0.038</w:t>
            </w:r>
          </w:p>
        </w:tc>
        <w:tc>
          <w:tcPr>
            <w:tcW w:w="1598" w:type="dxa"/>
            <w:tcBorders>
              <w:top w:val="single" w:sz="4" w:space="0" w:color="000000"/>
              <w:left w:val="single" w:sz="4" w:space="0" w:color="auto"/>
              <w:bottom w:val="single" w:sz="4" w:space="0" w:color="000000"/>
              <w:right w:val="single" w:sz="4" w:space="0" w:color="auto"/>
            </w:tcBorders>
            <w:hideMark/>
          </w:tcPr>
          <w:p w14:paraId="6F03710A"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0.061</w:t>
            </w:r>
          </w:p>
        </w:tc>
        <w:tc>
          <w:tcPr>
            <w:tcW w:w="1600" w:type="dxa"/>
            <w:tcBorders>
              <w:top w:val="single" w:sz="4" w:space="0" w:color="000000"/>
              <w:left w:val="single" w:sz="4" w:space="0" w:color="auto"/>
              <w:bottom w:val="single" w:sz="4" w:space="0" w:color="000000"/>
              <w:right w:val="single" w:sz="4" w:space="0" w:color="auto"/>
            </w:tcBorders>
            <w:hideMark/>
          </w:tcPr>
          <w:p w14:paraId="72149141"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0.259</w:t>
            </w:r>
          </w:p>
        </w:tc>
      </w:tr>
      <w:tr w:rsidR="004C1987" w:rsidRPr="004C1987" w14:paraId="7FFBED70" w14:textId="77777777" w:rsidTr="0036333E">
        <w:trPr>
          <w:trHeight w:val="198"/>
        </w:trPr>
        <w:tc>
          <w:tcPr>
            <w:tcW w:w="1776" w:type="dxa"/>
            <w:tcBorders>
              <w:top w:val="single" w:sz="4" w:space="0" w:color="000000"/>
              <w:left w:val="single" w:sz="4" w:space="0" w:color="000000"/>
              <w:bottom w:val="single" w:sz="4" w:space="0" w:color="000000"/>
              <w:right w:val="single" w:sz="4" w:space="0" w:color="000000"/>
            </w:tcBorders>
            <w:hideMark/>
          </w:tcPr>
          <w:p w14:paraId="3FD58686" w14:textId="77777777" w:rsidR="0036333E" w:rsidRPr="004C1987" w:rsidRDefault="0036333E" w:rsidP="00362E8E">
            <w:pPr>
              <w:rPr>
                <w:rFonts w:ascii="Book Antiqua" w:hAnsi="Book Antiqua"/>
              </w:rPr>
            </w:pPr>
            <w:r w:rsidRPr="004C1987">
              <w:rPr>
                <w:rFonts w:ascii="Book Antiqua" w:hAnsi="Book Antiqua"/>
                <w:sz w:val="16"/>
              </w:rPr>
              <w:t>Level of significance</w:t>
            </w:r>
          </w:p>
        </w:tc>
        <w:tc>
          <w:tcPr>
            <w:tcW w:w="1600" w:type="dxa"/>
            <w:tcBorders>
              <w:top w:val="single" w:sz="4" w:space="0" w:color="000000"/>
              <w:left w:val="single" w:sz="4" w:space="0" w:color="000000"/>
              <w:bottom w:val="single" w:sz="4" w:space="0" w:color="000000"/>
              <w:right w:val="single" w:sz="4" w:space="0" w:color="auto"/>
            </w:tcBorders>
            <w:hideMark/>
          </w:tcPr>
          <w:p w14:paraId="7D96879C" w14:textId="77777777" w:rsidR="0036333E" w:rsidRPr="004C1987" w:rsidRDefault="0036333E" w:rsidP="00362E8E">
            <w:pPr>
              <w:jc w:val="center"/>
              <w:rPr>
                <w:rFonts w:ascii="Book Antiqua" w:hAnsi="Book Antiqua"/>
              </w:rPr>
            </w:pPr>
            <w:r w:rsidRPr="004C1987">
              <w:rPr>
                <w:rFonts w:ascii="Book Antiqua" w:hAnsi="Book Antiqua"/>
              </w:rPr>
              <w:t>**</w:t>
            </w:r>
          </w:p>
        </w:tc>
        <w:tc>
          <w:tcPr>
            <w:tcW w:w="1598" w:type="dxa"/>
            <w:tcBorders>
              <w:top w:val="single" w:sz="4" w:space="0" w:color="000000"/>
              <w:left w:val="single" w:sz="4" w:space="0" w:color="auto"/>
              <w:bottom w:val="single" w:sz="4" w:space="0" w:color="000000"/>
              <w:right w:val="single" w:sz="4" w:space="0" w:color="auto"/>
            </w:tcBorders>
            <w:hideMark/>
          </w:tcPr>
          <w:p w14:paraId="12DD7013" w14:textId="77777777" w:rsidR="0036333E" w:rsidRPr="004C1987" w:rsidRDefault="0036333E" w:rsidP="00362E8E">
            <w:pPr>
              <w:jc w:val="center"/>
              <w:rPr>
                <w:rFonts w:ascii="Book Antiqua" w:hAnsi="Book Antiqua"/>
              </w:rPr>
            </w:pPr>
            <w:r w:rsidRPr="004C1987">
              <w:rPr>
                <w:rFonts w:ascii="Book Antiqua" w:hAnsi="Book Antiqua"/>
              </w:rPr>
              <w:t>**</w:t>
            </w:r>
          </w:p>
        </w:tc>
        <w:tc>
          <w:tcPr>
            <w:tcW w:w="1598" w:type="dxa"/>
            <w:tcBorders>
              <w:top w:val="single" w:sz="4" w:space="0" w:color="000000"/>
              <w:left w:val="single" w:sz="4" w:space="0" w:color="auto"/>
              <w:bottom w:val="single" w:sz="4" w:space="0" w:color="000000"/>
              <w:right w:val="single" w:sz="4" w:space="0" w:color="auto"/>
            </w:tcBorders>
            <w:hideMark/>
          </w:tcPr>
          <w:p w14:paraId="54213AE1" w14:textId="77777777" w:rsidR="0036333E" w:rsidRPr="004C1987" w:rsidRDefault="0036333E" w:rsidP="00362E8E">
            <w:pPr>
              <w:jc w:val="center"/>
              <w:rPr>
                <w:rFonts w:ascii="Book Antiqua" w:hAnsi="Book Antiqua"/>
              </w:rPr>
            </w:pPr>
            <w:r w:rsidRPr="004C1987">
              <w:rPr>
                <w:rFonts w:ascii="Book Antiqua" w:hAnsi="Book Antiqua"/>
              </w:rPr>
              <w:t>**</w:t>
            </w:r>
          </w:p>
        </w:tc>
        <w:tc>
          <w:tcPr>
            <w:tcW w:w="1598" w:type="dxa"/>
            <w:tcBorders>
              <w:top w:val="single" w:sz="4" w:space="0" w:color="000000"/>
              <w:left w:val="single" w:sz="4" w:space="0" w:color="auto"/>
              <w:bottom w:val="single" w:sz="4" w:space="0" w:color="000000"/>
              <w:right w:val="single" w:sz="4" w:space="0" w:color="auto"/>
            </w:tcBorders>
            <w:hideMark/>
          </w:tcPr>
          <w:p w14:paraId="19DCA980" w14:textId="77777777" w:rsidR="0036333E" w:rsidRPr="004C1987" w:rsidRDefault="0036333E" w:rsidP="00362E8E">
            <w:pPr>
              <w:jc w:val="center"/>
              <w:rPr>
                <w:rFonts w:ascii="Book Antiqua" w:hAnsi="Book Antiqua"/>
              </w:rPr>
            </w:pPr>
            <w:r w:rsidRPr="004C1987">
              <w:rPr>
                <w:rFonts w:ascii="Book Antiqua" w:hAnsi="Book Antiqua"/>
              </w:rPr>
              <w:t>**</w:t>
            </w:r>
          </w:p>
        </w:tc>
        <w:tc>
          <w:tcPr>
            <w:tcW w:w="1600" w:type="dxa"/>
            <w:tcBorders>
              <w:top w:val="single" w:sz="4" w:space="0" w:color="000000"/>
              <w:left w:val="single" w:sz="4" w:space="0" w:color="auto"/>
              <w:bottom w:val="single" w:sz="4" w:space="0" w:color="000000"/>
              <w:right w:val="single" w:sz="4" w:space="0" w:color="auto"/>
            </w:tcBorders>
            <w:hideMark/>
          </w:tcPr>
          <w:p w14:paraId="415F4C39" w14:textId="77777777" w:rsidR="0036333E" w:rsidRPr="004C1987" w:rsidRDefault="0036333E" w:rsidP="00362E8E">
            <w:pPr>
              <w:jc w:val="center"/>
              <w:rPr>
                <w:rFonts w:ascii="Book Antiqua" w:hAnsi="Book Antiqua"/>
              </w:rPr>
            </w:pPr>
            <w:r w:rsidRPr="004C1987">
              <w:rPr>
                <w:rFonts w:ascii="Book Antiqua" w:hAnsi="Book Antiqua"/>
              </w:rPr>
              <w:t>NS</w:t>
            </w:r>
          </w:p>
        </w:tc>
      </w:tr>
      <w:tr w:rsidR="004C1987" w:rsidRPr="004C1987" w14:paraId="5A3147C6" w14:textId="77777777" w:rsidTr="0036333E">
        <w:trPr>
          <w:trHeight w:val="299"/>
        </w:trPr>
        <w:tc>
          <w:tcPr>
            <w:tcW w:w="1776" w:type="dxa"/>
            <w:tcBorders>
              <w:top w:val="single" w:sz="4" w:space="0" w:color="000000"/>
              <w:left w:val="single" w:sz="4" w:space="0" w:color="000000"/>
              <w:bottom w:val="single" w:sz="4" w:space="0" w:color="000000"/>
              <w:right w:val="single" w:sz="4" w:space="0" w:color="000000"/>
            </w:tcBorders>
            <w:hideMark/>
          </w:tcPr>
          <w:p w14:paraId="7ED0CD81" w14:textId="77777777" w:rsidR="0036333E" w:rsidRPr="004C1987" w:rsidRDefault="0036333E" w:rsidP="00362E8E">
            <w:pPr>
              <w:rPr>
                <w:rFonts w:ascii="Book Antiqua" w:hAnsi="Book Antiqua"/>
              </w:rPr>
            </w:pPr>
            <w:r w:rsidRPr="004C1987">
              <w:rPr>
                <w:rFonts w:ascii="Book Antiqua" w:hAnsi="Book Antiqua"/>
              </w:rPr>
              <w:t>CV (%)</w:t>
            </w:r>
          </w:p>
        </w:tc>
        <w:tc>
          <w:tcPr>
            <w:tcW w:w="1600" w:type="dxa"/>
            <w:tcBorders>
              <w:top w:val="single" w:sz="4" w:space="0" w:color="000000"/>
              <w:left w:val="single" w:sz="4" w:space="0" w:color="000000"/>
              <w:bottom w:val="single" w:sz="4" w:space="0" w:color="000000"/>
              <w:right w:val="single" w:sz="4" w:space="0" w:color="auto"/>
            </w:tcBorders>
            <w:hideMark/>
          </w:tcPr>
          <w:p w14:paraId="2B68DCC1" w14:textId="77777777" w:rsidR="0036333E" w:rsidRPr="004C1987" w:rsidRDefault="0036333E" w:rsidP="00362E8E">
            <w:pPr>
              <w:jc w:val="center"/>
              <w:rPr>
                <w:rFonts w:ascii="Book Antiqua" w:hAnsi="Book Antiqua" w:cs="Arial"/>
                <w:bCs/>
              </w:rPr>
            </w:pPr>
            <w:r w:rsidRPr="004C1987">
              <w:rPr>
                <w:rFonts w:ascii="Book Antiqua" w:hAnsi="Book Antiqua" w:cs="Arial"/>
                <w:bCs/>
              </w:rPr>
              <w:t>4.64</w:t>
            </w:r>
          </w:p>
        </w:tc>
        <w:tc>
          <w:tcPr>
            <w:tcW w:w="1598" w:type="dxa"/>
            <w:tcBorders>
              <w:top w:val="single" w:sz="4" w:space="0" w:color="000000"/>
              <w:left w:val="single" w:sz="4" w:space="0" w:color="auto"/>
              <w:bottom w:val="single" w:sz="4" w:space="0" w:color="000000"/>
              <w:right w:val="single" w:sz="4" w:space="0" w:color="auto"/>
            </w:tcBorders>
            <w:hideMark/>
          </w:tcPr>
          <w:p w14:paraId="70E99A92" w14:textId="77777777" w:rsidR="0036333E" w:rsidRPr="004C1987" w:rsidRDefault="0036333E" w:rsidP="00362E8E">
            <w:pPr>
              <w:jc w:val="center"/>
              <w:rPr>
                <w:rFonts w:ascii="Book Antiqua" w:hAnsi="Book Antiqua" w:cs="Arial"/>
                <w:bCs/>
              </w:rPr>
            </w:pPr>
            <w:r w:rsidRPr="004C1987">
              <w:rPr>
                <w:rFonts w:ascii="Book Antiqua" w:hAnsi="Book Antiqua" w:cs="Arial"/>
                <w:bCs/>
              </w:rPr>
              <w:t>2.80</w:t>
            </w:r>
          </w:p>
        </w:tc>
        <w:tc>
          <w:tcPr>
            <w:tcW w:w="1598" w:type="dxa"/>
            <w:tcBorders>
              <w:top w:val="single" w:sz="4" w:space="0" w:color="000000"/>
              <w:left w:val="single" w:sz="4" w:space="0" w:color="auto"/>
              <w:bottom w:val="single" w:sz="4" w:space="0" w:color="000000"/>
              <w:right w:val="single" w:sz="4" w:space="0" w:color="auto"/>
            </w:tcBorders>
            <w:hideMark/>
          </w:tcPr>
          <w:p w14:paraId="4CDBD7A9" w14:textId="77777777" w:rsidR="0036333E" w:rsidRPr="004C1987" w:rsidRDefault="0036333E" w:rsidP="00362E8E">
            <w:pPr>
              <w:jc w:val="center"/>
              <w:rPr>
                <w:rFonts w:ascii="Book Antiqua" w:hAnsi="Book Antiqua" w:cs="Arial"/>
                <w:bCs/>
              </w:rPr>
            </w:pPr>
            <w:r w:rsidRPr="004C1987">
              <w:rPr>
                <w:rFonts w:ascii="Book Antiqua" w:hAnsi="Book Antiqua" w:cs="Arial"/>
                <w:bCs/>
              </w:rPr>
              <w:t>3.14</w:t>
            </w:r>
          </w:p>
        </w:tc>
        <w:tc>
          <w:tcPr>
            <w:tcW w:w="1598" w:type="dxa"/>
            <w:tcBorders>
              <w:top w:val="single" w:sz="4" w:space="0" w:color="000000"/>
              <w:left w:val="single" w:sz="4" w:space="0" w:color="auto"/>
              <w:bottom w:val="single" w:sz="4" w:space="0" w:color="000000"/>
              <w:right w:val="single" w:sz="4" w:space="0" w:color="auto"/>
            </w:tcBorders>
            <w:hideMark/>
          </w:tcPr>
          <w:p w14:paraId="28ED5B91" w14:textId="77777777" w:rsidR="0036333E" w:rsidRPr="004C1987" w:rsidRDefault="0036333E" w:rsidP="00362E8E">
            <w:pPr>
              <w:jc w:val="center"/>
              <w:rPr>
                <w:rFonts w:ascii="Book Antiqua" w:hAnsi="Book Antiqua" w:cs="Arial"/>
                <w:bCs/>
              </w:rPr>
            </w:pPr>
            <w:r w:rsidRPr="004C1987">
              <w:rPr>
                <w:rFonts w:ascii="Book Antiqua" w:hAnsi="Book Antiqua" w:cs="Arial"/>
                <w:bCs/>
              </w:rPr>
              <w:t>2.60</w:t>
            </w:r>
          </w:p>
        </w:tc>
        <w:tc>
          <w:tcPr>
            <w:tcW w:w="1600" w:type="dxa"/>
            <w:tcBorders>
              <w:top w:val="single" w:sz="4" w:space="0" w:color="000000"/>
              <w:left w:val="single" w:sz="4" w:space="0" w:color="auto"/>
              <w:bottom w:val="single" w:sz="4" w:space="0" w:color="000000"/>
              <w:right w:val="single" w:sz="4" w:space="0" w:color="auto"/>
            </w:tcBorders>
            <w:hideMark/>
          </w:tcPr>
          <w:p w14:paraId="34DE961B" w14:textId="77777777" w:rsidR="0036333E" w:rsidRPr="004C1987" w:rsidRDefault="0036333E" w:rsidP="00362E8E">
            <w:pPr>
              <w:jc w:val="center"/>
              <w:rPr>
                <w:rFonts w:ascii="Book Antiqua" w:hAnsi="Book Antiqua" w:cs="Arial"/>
                <w:bCs/>
              </w:rPr>
            </w:pPr>
            <w:r w:rsidRPr="004C1987">
              <w:rPr>
                <w:rFonts w:ascii="Book Antiqua" w:hAnsi="Book Antiqua" w:cs="Arial"/>
                <w:bCs/>
              </w:rPr>
              <w:t>2.33</w:t>
            </w:r>
          </w:p>
        </w:tc>
      </w:tr>
    </w:tbl>
    <w:p w14:paraId="2F9B5916" w14:textId="77777777" w:rsidR="0036333E" w:rsidRPr="004C1987" w:rsidRDefault="0036333E" w:rsidP="0036333E">
      <w:pPr>
        <w:spacing w:after="0" w:line="240" w:lineRule="auto"/>
        <w:jc w:val="both"/>
        <w:rPr>
          <w:rFonts w:ascii="Book Antiqua" w:eastAsia="Calibri" w:hAnsi="Book Antiqua" w:cs="Times New Roman"/>
          <w:sz w:val="18"/>
          <w:szCs w:val="24"/>
        </w:rPr>
      </w:pPr>
      <w:r w:rsidRPr="004C1987">
        <w:rPr>
          <w:rFonts w:ascii="Book Antiqua" w:eastAsia="Calibri" w:hAnsi="Book Antiqua" w:cs="Times New Roman"/>
          <w:sz w:val="18"/>
          <w:szCs w:val="24"/>
        </w:rPr>
        <w:t>In a column, figures with same letter (s) or without letter do not differ significantly whereas figures with dissimilar letter differ significantly (as per DMRT).</w:t>
      </w:r>
    </w:p>
    <w:p w14:paraId="75B578E1" w14:textId="77777777" w:rsidR="0036333E" w:rsidRPr="004C1987" w:rsidRDefault="0036333E" w:rsidP="0036333E">
      <w:pPr>
        <w:spacing w:after="0" w:line="240" w:lineRule="auto"/>
        <w:jc w:val="both"/>
        <w:rPr>
          <w:rFonts w:ascii="Book Antiqua" w:eastAsia="Calibri" w:hAnsi="Book Antiqua" w:cs="Times New Roman"/>
          <w:sz w:val="18"/>
          <w:szCs w:val="24"/>
        </w:rPr>
      </w:pPr>
      <w:r w:rsidRPr="004C1987">
        <w:rPr>
          <w:rFonts w:ascii="Book Antiqua" w:eastAsia="Calibri" w:hAnsi="Book Antiqua" w:cs="Times New Roman"/>
          <w:sz w:val="18"/>
          <w:szCs w:val="24"/>
        </w:rPr>
        <w:t>** =Significant at 1% level of probability, * =Significant at 5% level of probability, NS = Not significant</w:t>
      </w:r>
    </w:p>
    <w:p w14:paraId="4DEB526A" w14:textId="77777777" w:rsidR="0036333E" w:rsidRPr="004C1987" w:rsidRDefault="0036333E" w:rsidP="0036333E">
      <w:pPr>
        <w:spacing w:after="0" w:line="240" w:lineRule="auto"/>
        <w:jc w:val="both"/>
        <w:rPr>
          <w:rFonts w:ascii="Book Antiqua" w:eastAsia="Calibri" w:hAnsi="Book Antiqua" w:cs="Times New Roman"/>
          <w:sz w:val="18"/>
          <w:szCs w:val="24"/>
        </w:rPr>
      </w:pPr>
      <w:r w:rsidRPr="004C1987">
        <w:rPr>
          <w:rFonts w:ascii="Book Antiqua" w:eastAsia="Calibri" w:hAnsi="Book Antiqua" w:cs="Times New Roman"/>
          <w:sz w:val="18"/>
          <w:szCs w:val="24"/>
        </w:rPr>
        <w:t>V</w:t>
      </w:r>
      <w:r w:rsidRPr="004C1987">
        <w:rPr>
          <w:rFonts w:ascii="Book Antiqua" w:eastAsia="Calibri" w:hAnsi="Book Antiqua" w:cs="Times New Roman"/>
          <w:sz w:val="18"/>
          <w:szCs w:val="24"/>
          <w:vertAlign w:val="subscript"/>
        </w:rPr>
        <w:t>1</w:t>
      </w:r>
      <w:r w:rsidRPr="004C1987">
        <w:rPr>
          <w:rFonts w:ascii="Book Antiqua" w:eastAsia="Calibri" w:hAnsi="Book Antiqua" w:cs="Times New Roman"/>
          <w:sz w:val="18"/>
          <w:szCs w:val="24"/>
        </w:rPr>
        <w:t xml:space="preserve"> = BRRI dhan29, V</w:t>
      </w:r>
      <w:r w:rsidRPr="004C1987">
        <w:rPr>
          <w:rFonts w:ascii="Book Antiqua" w:eastAsia="Calibri" w:hAnsi="Book Antiqua" w:cs="Times New Roman"/>
          <w:sz w:val="18"/>
          <w:szCs w:val="24"/>
          <w:vertAlign w:val="subscript"/>
        </w:rPr>
        <w:t>2</w:t>
      </w:r>
      <w:r w:rsidRPr="004C1987">
        <w:rPr>
          <w:rFonts w:ascii="Book Antiqua" w:eastAsia="Calibri" w:hAnsi="Book Antiqua" w:cs="Times New Roman"/>
          <w:sz w:val="18"/>
          <w:szCs w:val="24"/>
        </w:rPr>
        <w:t xml:space="preserve"> = BRRI dhan59, V</w:t>
      </w:r>
      <w:r w:rsidRPr="004C1987">
        <w:rPr>
          <w:rFonts w:ascii="Book Antiqua" w:eastAsia="Calibri" w:hAnsi="Book Antiqua" w:cs="Times New Roman"/>
          <w:sz w:val="18"/>
          <w:szCs w:val="24"/>
          <w:vertAlign w:val="subscript"/>
        </w:rPr>
        <w:t>3</w:t>
      </w:r>
      <w:r w:rsidRPr="004C1987">
        <w:rPr>
          <w:rFonts w:ascii="Book Antiqua" w:eastAsia="Calibri" w:hAnsi="Book Antiqua" w:cs="Times New Roman"/>
          <w:sz w:val="18"/>
          <w:szCs w:val="24"/>
        </w:rPr>
        <w:t xml:space="preserve"> = Binadhan-8, V</w:t>
      </w:r>
      <w:r w:rsidRPr="004C1987">
        <w:rPr>
          <w:rFonts w:ascii="Book Antiqua" w:eastAsia="Calibri" w:hAnsi="Book Antiqua" w:cs="Times New Roman"/>
          <w:sz w:val="18"/>
          <w:szCs w:val="24"/>
          <w:vertAlign w:val="subscript"/>
        </w:rPr>
        <w:t>4</w:t>
      </w:r>
      <w:r w:rsidRPr="004C1987">
        <w:rPr>
          <w:rFonts w:ascii="Book Antiqua" w:eastAsia="Calibri" w:hAnsi="Book Antiqua" w:cs="Times New Roman"/>
          <w:sz w:val="18"/>
          <w:szCs w:val="24"/>
        </w:rPr>
        <w:t xml:space="preserve"> = Binadhan-10</w:t>
      </w:r>
    </w:p>
    <w:p w14:paraId="68CFBDD0" w14:textId="77777777" w:rsidR="0016379B" w:rsidRPr="004C1987" w:rsidRDefault="0016379B" w:rsidP="003E4D0D">
      <w:pPr>
        <w:spacing w:after="0"/>
        <w:rPr>
          <w:rFonts w:ascii="Times New Roman" w:hAnsi="Times New Roman" w:cs="Times New Roman"/>
          <w:sz w:val="24"/>
          <w:szCs w:val="26"/>
        </w:rPr>
      </w:pPr>
    </w:p>
    <w:p w14:paraId="41199D7C" w14:textId="77777777" w:rsidR="005A3266" w:rsidRPr="004C1987" w:rsidRDefault="005A3266" w:rsidP="003E4D0D">
      <w:pPr>
        <w:spacing w:after="0"/>
        <w:rPr>
          <w:rFonts w:ascii="Times New Roman" w:hAnsi="Times New Roman" w:cs="Times New Roman"/>
          <w:sz w:val="24"/>
          <w:szCs w:val="26"/>
        </w:rPr>
      </w:pPr>
    </w:p>
    <w:p w14:paraId="7FEE9EDA" w14:textId="77777777" w:rsidR="0069383D" w:rsidRPr="004C1987" w:rsidRDefault="0069383D" w:rsidP="003E4D0D">
      <w:pPr>
        <w:spacing w:after="0"/>
        <w:rPr>
          <w:rFonts w:ascii="Times New Roman" w:hAnsi="Times New Roman" w:cs="Times New Roman"/>
          <w:sz w:val="24"/>
          <w:szCs w:val="26"/>
        </w:rPr>
      </w:pPr>
    </w:p>
    <w:p w14:paraId="0051136D" w14:textId="77777777" w:rsidR="0069383D" w:rsidRPr="004C1987" w:rsidRDefault="0069383D" w:rsidP="003E4D0D">
      <w:pPr>
        <w:spacing w:after="0"/>
        <w:rPr>
          <w:rFonts w:ascii="Times New Roman" w:hAnsi="Times New Roman" w:cs="Times New Roman"/>
          <w:sz w:val="24"/>
          <w:szCs w:val="26"/>
        </w:rPr>
      </w:pPr>
    </w:p>
    <w:p w14:paraId="4162E43C" w14:textId="77777777" w:rsidR="0069383D" w:rsidRPr="004C1987" w:rsidRDefault="0069383D" w:rsidP="003E4D0D">
      <w:pPr>
        <w:spacing w:after="0"/>
        <w:rPr>
          <w:rFonts w:ascii="Times New Roman" w:hAnsi="Times New Roman" w:cs="Times New Roman"/>
          <w:sz w:val="24"/>
          <w:szCs w:val="26"/>
        </w:rPr>
      </w:pPr>
    </w:p>
    <w:p w14:paraId="64083931" w14:textId="77777777" w:rsidR="002A4EC0" w:rsidRPr="004C1987" w:rsidRDefault="002A4EC0" w:rsidP="006E5098">
      <w:pPr>
        <w:spacing w:after="0" w:line="240" w:lineRule="auto"/>
        <w:ind w:left="801" w:hanging="801"/>
        <w:jc w:val="both"/>
        <w:rPr>
          <w:rFonts w:ascii="Book Antiqua" w:eastAsia="Calibri" w:hAnsi="Book Antiqua" w:cs="Times New Roman"/>
          <w:b/>
          <w:sz w:val="24"/>
          <w:szCs w:val="24"/>
        </w:rPr>
      </w:pPr>
    </w:p>
    <w:p w14:paraId="2A86ED76" w14:textId="77777777" w:rsidR="002A4EC0" w:rsidRPr="004C1987" w:rsidRDefault="002A4EC0" w:rsidP="006E5098">
      <w:pPr>
        <w:spacing w:after="0" w:line="240" w:lineRule="auto"/>
        <w:ind w:left="801" w:hanging="801"/>
        <w:jc w:val="both"/>
        <w:rPr>
          <w:rFonts w:ascii="Book Antiqua" w:eastAsia="Calibri" w:hAnsi="Book Antiqua" w:cs="Times New Roman"/>
          <w:b/>
          <w:sz w:val="24"/>
          <w:szCs w:val="24"/>
        </w:rPr>
      </w:pPr>
    </w:p>
    <w:p w14:paraId="551FA2F8" w14:textId="1E9B9B0D" w:rsidR="005A3266" w:rsidRPr="004C1987" w:rsidRDefault="005A3266" w:rsidP="006E5098">
      <w:pPr>
        <w:spacing w:after="0" w:line="240" w:lineRule="auto"/>
        <w:ind w:left="801" w:hanging="801"/>
        <w:jc w:val="both"/>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Table </w:t>
      </w:r>
      <w:r w:rsidR="00847C83" w:rsidRPr="004C1987">
        <w:rPr>
          <w:rFonts w:ascii="Book Antiqua" w:eastAsia="Calibri" w:hAnsi="Book Antiqua" w:cs="Times New Roman"/>
          <w:b/>
          <w:sz w:val="24"/>
          <w:szCs w:val="24"/>
        </w:rPr>
        <w:t>2</w:t>
      </w:r>
      <w:r w:rsidRPr="004C1987">
        <w:rPr>
          <w:rFonts w:ascii="Book Antiqua" w:eastAsia="Calibri" w:hAnsi="Book Antiqua" w:cs="Times New Roman"/>
          <w:b/>
          <w:sz w:val="24"/>
          <w:szCs w:val="24"/>
        </w:rPr>
        <w:t xml:space="preserve">. Effect of nitrogen sources on yield and yield contributing characters of </w:t>
      </w:r>
      <w:proofErr w:type="spellStart"/>
      <w:r w:rsidRPr="004C1987">
        <w:rPr>
          <w:rFonts w:ascii="Book Antiqua" w:eastAsia="Calibri" w:hAnsi="Book Antiqua" w:cs="Times New Roman"/>
          <w:b/>
          <w:i/>
          <w:sz w:val="24"/>
          <w:szCs w:val="24"/>
        </w:rPr>
        <w:t>boro</w:t>
      </w:r>
      <w:proofErr w:type="spellEnd"/>
      <w:r w:rsidRPr="004C1987">
        <w:rPr>
          <w:rFonts w:ascii="Book Antiqua" w:eastAsia="Calibri" w:hAnsi="Book Antiqua" w:cs="Times New Roman"/>
          <w:b/>
          <w:i/>
          <w:sz w:val="24"/>
          <w:szCs w:val="24"/>
        </w:rPr>
        <w:t xml:space="preserve"> </w:t>
      </w:r>
      <w:r w:rsidRPr="004C1987">
        <w:rPr>
          <w:rFonts w:ascii="Book Antiqua" w:eastAsia="Calibri" w:hAnsi="Book Antiqua" w:cs="Times New Roman"/>
          <w:b/>
          <w:sz w:val="24"/>
          <w:szCs w:val="24"/>
        </w:rPr>
        <w:t>rice</w:t>
      </w:r>
    </w:p>
    <w:tbl>
      <w:tblPr>
        <w:tblStyle w:val="TableGrid2"/>
        <w:tblW w:w="9681" w:type="dxa"/>
        <w:tblInd w:w="-5" w:type="dxa"/>
        <w:tblLayout w:type="fixed"/>
        <w:tblLook w:val="01E0" w:firstRow="1" w:lastRow="1" w:firstColumn="1" w:lastColumn="1" w:noHBand="0" w:noVBand="0"/>
      </w:tblPr>
      <w:tblGrid>
        <w:gridCol w:w="1956"/>
        <w:gridCol w:w="1559"/>
        <w:gridCol w:w="1276"/>
        <w:gridCol w:w="1576"/>
        <w:gridCol w:w="1657"/>
        <w:gridCol w:w="1657"/>
      </w:tblGrid>
      <w:tr w:rsidR="004C1987" w:rsidRPr="004C1987" w14:paraId="15C01795" w14:textId="77777777" w:rsidTr="006E5098">
        <w:trPr>
          <w:trHeight w:val="396"/>
        </w:trPr>
        <w:tc>
          <w:tcPr>
            <w:tcW w:w="1956" w:type="dxa"/>
            <w:tcBorders>
              <w:top w:val="single" w:sz="4" w:space="0" w:color="000000"/>
              <w:left w:val="single" w:sz="4" w:space="0" w:color="000000"/>
              <w:bottom w:val="single" w:sz="4" w:space="0" w:color="000000"/>
              <w:right w:val="single" w:sz="4" w:space="0" w:color="000000"/>
            </w:tcBorders>
            <w:hideMark/>
          </w:tcPr>
          <w:p w14:paraId="39BBF935" w14:textId="77777777" w:rsidR="005A3266" w:rsidRPr="004C1987" w:rsidRDefault="005A3266" w:rsidP="00362E8E">
            <w:pPr>
              <w:rPr>
                <w:rFonts w:ascii="Book Antiqua" w:hAnsi="Book Antiqua"/>
              </w:rPr>
            </w:pPr>
            <w:r w:rsidRPr="004C1987">
              <w:rPr>
                <w:rFonts w:ascii="Book Antiqua" w:hAnsi="Book Antiqua"/>
              </w:rPr>
              <w:t>Nitrogen sources</w:t>
            </w:r>
          </w:p>
        </w:tc>
        <w:tc>
          <w:tcPr>
            <w:tcW w:w="1559" w:type="dxa"/>
            <w:tcBorders>
              <w:top w:val="single" w:sz="4" w:space="0" w:color="000000"/>
              <w:left w:val="single" w:sz="4" w:space="0" w:color="auto"/>
              <w:bottom w:val="single" w:sz="4" w:space="0" w:color="000000"/>
              <w:right w:val="single" w:sz="4" w:space="0" w:color="auto"/>
            </w:tcBorders>
            <w:hideMark/>
          </w:tcPr>
          <w:p w14:paraId="7B543C6B" w14:textId="77777777" w:rsidR="005A3266" w:rsidRPr="004C1987" w:rsidRDefault="005A3266" w:rsidP="00362E8E">
            <w:pPr>
              <w:jc w:val="center"/>
              <w:rPr>
                <w:rFonts w:ascii="Book Antiqua" w:hAnsi="Book Antiqua" w:cs="Arial"/>
                <w:bCs/>
              </w:rPr>
            </w:pPr>
            <w:r w:rsidRPr="004C1987">
              <w:rPr>
                <w:rFonts w:ascii="Book Antiqua" w:hAnsi="Book Antiqua" w:cs="Arial"/>
                <w:bCs/>
                <w:sz w:val="18"/>
              </w:rPr>
              <w:t>Plant height at maturity (cm)</w:t>
            </w:r>
          </w:p>
        </w:tc>
        <w:tc>
          <w:tcPr>
            <w:tcW w:w="1276" w:type="dxa"/>
            <w:tcBorders>
              <w:top w:val="single" w:sz="4" w:space="0" w:color="000000"/>
              <w:left w:val="single" w:sz="4" w:space="0" w:color="000000"/>
              <w:bottom w:val="single" w:sz="4" w:space="0" w:color="000000"/>
              <w:right w:val="single" w:sz="4" w:space="0" w:color="000000"/>
            </w:tcBorders>
            <w:hideMark/>
          </w:tcPr>
          <w:p w14:paraId="699ED0BA" w14:textId="77777777" w:rsidR="005A3266" w:rsidRPr="004C1987" w:rsidRDefault="005A3266" w:rsidP="00362E8E">
            <w:pPr>
              <w:jc w:val="center"/>
              <w:rPr>
                <w:rFonts w:ascii="Book Antiqua" w:hAnsi="Book Antiqua" w:cs="Arial"/>
                <w:bCs/>
              </w:rPr>
            </w:pPr>
            <w:r w:rsidRPr="004C1987">
              <w:rPr>
                <w:rFonts w:ascii="Book Antiqua" w:hAnsi="Book Antiqua" w:cs="Arial"/>
                <w:bCs/>
              </w:rPr>
              <w:t xml:space="preserve">Grain yield </w:t>
            </w:r>
          </w:p>
          <w:p w14:paraId="0CBA5327" w14:textId="77777777" w:rsidR="005A3266" w:rsidRPr="004C1987" w:rsidRDefault="005A3266" w:rsidP="00362E8E">
            <w:pPr>
              <w:jc w:val="center"/>
              <w:rPr>
                <w:rFonts w:ascii="Book Antiqua" w:hAnsi="Book Antiqua" w:cs="Arial"/>
                <w:bCs/>
              </w:rPr>
            </w:pPr>
            <w:r w:rsidRPr="004C1987">
              <w:rPr>
                <w:rFonts w:ascii="Book Antiqua" w:hAnsi="Book Antiqua" w:cs="Arial"/>
                <w:bCs/>
              </w:rPr>
              <w:t>(t ha</w:t>
            </w:r>
            <w:r w:rsidRPr="004C1987">
              <w:rPr>
                <w:rFonts w:ascii="Book Antiqua" w:hAnsi="Book Antiqua" w:cs="Arial"/>
                <w:bCs/>
                <w:vertAlign w:val="superscript"/>
              </w:rPr>
              <w:t>-1</w:t>
            </w:r>
            <w:r w:rsidRPr="004C1987">
              <w:rPr>
                <w:rFonts w:ascii="Book Antiqua" w:hAnsi="Book Antiqua" w:cs="Arial"/>
                <w:bCs/>
              </w:rPr>
              <w:t>)</w:t>
            </w:r>
          </w:p>
        </w:tc>
        <w:tc>
          <w:tcPr>
            <w:tcW w:w="1576" w:type="dxa"/>
            <w:tcBorders>
              <w:top w:val="single" w:sz="4" w:space="0" w:color="000000"/>
              <w:left w:val="single" w:sz="4" w:space="0" w:color="000000"/>
              <w:bottom w:val="single" w:sz="4" w:space="0" w:color="000000"/>
              <w:right w:val="single" w:sz="4" w:space="0" w:color="000000"/>
            </w:tcBorders>
            <w:hideMark/>
          </w:tcPr>
          <w:p w14:paraId="6314C201" w14:textId="77777777" w:rsidR="005A3266" w:rsidRPr="004C1987" w:rsidRDefault="005A3266" w:rsidP="00362E8E">
            <w:pPr>
              <w:jc w:val="center"/>
              <w:rPr>
                <w:rFonts w:ascii="Book Antiqua" w:hAnsi="Book Antiqua" w:cs="Arial"/>
                <w:bCs/>
              </w:rPr>
            </w:pPr>
            <w:r w:rsidRPr="004C1987">
              <w:rPr>
                <w:rFonts w:ascii="Book Antiqua" w:hAnsi="Book Antiqua" w:cs="Arial"/>
                <w:bCs/>
              </w:rPr>
              <w:t xml:space="preserve">Straw yield </w:t>
            </w:r>
          </w:p>
          <w:p w14:paraId="2E637B1A" w14:textId="77777777" w:rsidR="005A3266" w:rsidRPr="004C1987" w:rsidRDefault="005A3266" w:rsidP="00362E8E">
            <w:pPr>
              <w:jc w:val="center"/>
              <w:rPr>
                <w:rFonts w:ascii="Book Antiqua" w:hAnsi="Book Antiqua" w:cs="Arial"/>
                <w:bCs/>
              </w:rPr>
            </w:pPr>
            <w:r w:rsidRPr="004C1987">
              <w:rPr>
                <w:rFonts w:ascii="Book Antiqua" w:hAnsi="Book Antiqua" w:cs="Arial"/>
                <w:bCs/>
              </w:rPr>
              <w:t>(t ha</w:t>
            </w:r>
            <w:r w:rsidRPr="004C1987">
              <w:rPr>
                <w:rFonts w:ascii="Book Antiqua" w:hAnsi="Book Antiqua" w:cs="Arial"/>
                <w:bCs/>
                <w:vertAlign w:val="superscript"/>
              </w:rPr>
              <w:t>-1</w:t>
            </w:r>
            <w:r w:rsidRPr="004C1987">
              <w:rPr>
                <w:rFonts w:ascii="Book Antiqua" w:hAnsi="Book Antiqua" w:cs="Arial"/>
                <w:bCs/>
              </w:rPr>
              <w:t>)</w:t>
            </w:r>
          </w:p>
        </w:tc>
        <w:tc>
          <w:tcPr>
            <w:tcW w:w="1657" w:type="dxa"/>
            <w:tcBorders>
              <w:top w:val="single" w:sz="4" w:space="0" w:color="000000"/>
              <w:left w:val="single" w:sz="4" w:space="0" w:color="000000"/>
              <w:bottom w:val="single" w:sz="4" w:space="0" w:color="000000"/>
              <w:right w:val="single" w:sz="4" w:space="0" w:color="000000"/>
            </w:tcBorders>
            <w:hideMark/>
          </w:tcPr>
          <w:p w14:paraId="39766D03" w14:textId="77777777" w:rsidR="005A3266" w:rsidRPr="004C1987" w:rsidRDefault="005A3266" w:rsidP="00362E8E">
            <w:pPr>
              <w:jc w:val="center"/>
              <w:rPr>
                <w:rFonts w:ascii="Book Antiqua" w:hAnsi="Book Antiqua" w:cs="Arial"/>
                <w:bCs/>
              </w:rPr>
            </w:pPr>
            <w:r w:rsidRPr="004C1987">
              <w:rPr>
                <w:rFonts w:ascii="Book Antiqua" w:hAnsi="Book Antiqua" w:cs="Arial"/>
                <w:bCs/>
              </w:rPr>
              <w:t xml:space="preserve">Biological yield </w:t>
            </w:r>
          </w:p>
          <w:p w14:paraId="0F40DA65" w14:textId="77777777" w:rsidR="005A3266" w:rsidRPr="004C1987" w:rsidRDefault="005A3266" w:rsidP="00362E8E">
            <w:pPr>
              <w:jc w:val="center"/>
              <w:rPr>
                <w:rFonts w:ascii="Book Antiqua" w:hAnsi="Book Antiqua" w:cs="Arial"/>
                <w:bCs/>
              </w:rPr>
            </w:pPr>
            <w:r w:rsidRPr="004C1987">
              <w:rPr>
                <w:rFonts w:ascii="Book Antiqua" w:hAnsi="Book Antiqua" w:cs="Arial"/>
                <w:bCs/>
              </w:rPr>
              <w:t>(t ha</w:t>
            </w:r>
            <w:r w:rsidRPr="004C1987">
              <w:rPr>
                <w:rFonts w:ascii="Book Antiqua" w:hAnsi="Book Antiqua" w:cs="Arial"/>
                <w:bCs/>
                <w:vertAlign w:val="superscript"/>
              </w:rPr>
              <w:t>-1</w:t>
            </w:r>
            <w:r w:rsidRPr="004C1987">
              <w:rPr>
                <w:rFonts w:ascii="Book Antiqua" w:hAnsi="Book Antiqua" w:cs="Arial"/>
                <w:bCs/>
              </w:rPr>
              <w:t>)</w:t>
            </w:r>
          </w:p>
        </w:tc>
        <w:tc>
          <w:tcPr>
            <w:tcW w:w="1657" w:type="dxa"/>
            <w:tcBorders>
              <w:top w:val="single" w:sz="4" w:space="0" w:color="000000"/>
              <w:left w:val="single" w:sz="4" w:space="0" w:color="000000"/>
              <w:bottom w:val="single" w:sz="4" w:space="0" w:color="000000"/>
              <w:right w:val="single" w:sz="4" w:space="0" w:color="auto"/>
            </w:tcBorders>
            <w:hideMark/>
          </w:tcPr>
          <w:p w14:paraId="4607010D" w14:textId="77777777" w:rsidR="005A3266" w:rsidRPr="004C1987" w:rsidRDefault="005A3266" w:rsidP="00362E8E">
            <w:pPr>
              <w:jc w:val="center"/>
              <w:rPr>
                <w:rFonts w:ascii="Book Antiqua" w:hAnsi="Book Antiqua" w:cs="Arial"/>
                <w:bCs/>
              </w:rPr>
            </w:pPr>
            <w:r w:rsidRPr="004C1987">
              <w:rPr>
                <w:rFonts w:ascii="Book Antiqua" w:hAnsi="Book Antiqua" w:cs="Arial"/>
                <w:bCs/>
              </w:rPr>
              <w:t>Harvest index (%)</w:t>
            </w:r>
          </w:p>
        </w:tc>
      </w:tr>
      <w:tr w:rsidR="004C1987" w:rsidRPr="004C1987" w14:paraId="68D4E8AC" w14:textId="77777777" w:rsidTr="006E5098">
        <w:trPr>
          <w:trHeight w:val="190"/>
        </w:trPr>
        <w:tc>
          <w:tcPr>
            <w:tcW w:w="1956" w:type="dxa"/>
            <w:tcBorders>
              <w:top w:val="single" w:sz="4" w:space="0" w:color="000000"/>
              <w:left w:val="single" w:sz="4" w:space="0" w:color="000000"/>
              <w:bottom w:val="single" w:sz="4" w:space="0" w:color="000000"/>
              <w:right w:val="single" w:sz="4" w:space="0" w:color="000000"/>
            </w:tcBorders>
            <w:hideMark/>
          </w:tcPr>
          <w:p w14:paraId="05556A07" w14:textId="77777777" w:rsidR="005A3266" w:rsidRPr="004C1987" w:rsidRDefault="005A3266" w:rsidP="00362E8E">
            <w:pPr>
              <w:rPr>
                <w:rFonts w:ascii="Book Antiqua" w:hAnsi="Book Antiqua"/>
              </w:rPr>
            </w:pPr>
            <w:r w:rsidRPr="004C1987">
              <w:rPr>
                <w:rFonts w:ascii="Book Antiqua" w:hAnsi="Book Antiqua"/>
              </w:rPr>
              <w:t>N</w:t>
            </w:r>
            <w:r w:rsidRPr="004C1987">
              <w:rPr>
                <w:rFonts w:ascii="Book Antiqua" w:hAnsi="Book Antiqua"/>
                <w:vertAlign w:val="subscript"/>
              </w:rPr>
              <w:t>1</w:t>
            </w:r>
          </w:p>
        </w:tc>
        <w:tc>
          <w:tcPr>
            <w:tcW w:w="1559" w:type="dxa"/>
            <w:tcBorders>
              <w:top w:val="single" w:sz="4" w:space="0" w:color="000000"/>
              <w:left w:val="single" w:sz="4" w:space="0" w:color="auto"/>
              <w:bottom w:val="single" w:sz="4" w:space="0" w:color="000000"/>
              <w:right w:val="single" w:sz="4" w:space="0" w:color="auto"/>
            </w:tcBorders>
            <w:vAlign w:val="center"/>
            <w:hideMark/>
          </w:tcPr>
          <w:p w14:paraId="38D1392E" w14:textId="77777777" w:rsidR="005A3266" w:rsidRPr="004C1987" w:rsidRDefault="005A3266" w:rsidP="00362E8E">
            <w:pPr>
              <w:jc w:val="center"/>
              <w:rPr>
                <w:rFonts w:ascii="Book Antiqua" w:hAnsi="Book Antiqua"/>
              </w:rPr>
            </w:pPr>
            <w:r w:rsidRPr="004C1987">
              <w:rPr>
                <w:rFonts w:ascii="Book Antiqua" w:hAnsi="Book Antiqua" w:cs="Courier New"/>
              </w:rPr>
              <w:t>84.34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D8B5AC0" w14:textId="77777777" w:rsidR="005A3266" w:rsidRPr="004C1987" w:rsidRDefault="005A3266" w:rsidP="00362E8E">
            <w:pPr>
              <w:jc w:val="center"/>
              <w:rPr>
                <w:rFonts w:ascii="Book Antiqua" w:hAnsi="Book Antiqua"/>
              </w:rPr>
            </w:pPr>
            <w:r w:rsidRPr="004C1987">
              <w:rPr>
                <w:rFonts w:ascii="Book Antiqua" w:hAnsi="Book Antiqua" w:cs="Courier New"/>
              </w:rPr>
              <w:t>3.29f</w:t>
            </w:r>
          </w:p>
        </w:tc>
        <w:tc>
          <w:tcPr>
            <w:tcW w:w="1576" w:type="dxa"/>
            <w:tcBorders>
              <w:top w:val="single" w:sz="4" w:space="0" w:color="000000"/>
              <w:left w:val="single" w:sz="4" w:space="0" w:color="000000"/>
              <w:bottom w:val="single" w:sz="4" w:space="0" w:color="000000"/>
              <w:right w:val="single" w:sz="4" w:space="0" w:color="000000"/>
            </w:tcBorders>
            <w:vAlign w:val="center"/>
            <w:hideMark/>
          </w:tcPr>
          <w:p w14:paraId="762544B3" w14:textId="77777777" w:rsidR="005A3266" w:rsidRPr="004C1987" w:rsidRDefault="005A3266" w:rsidP="00362E8E">
            <w:pPr>
              <w:jc w:val="center"/>
              <w:rPr>
                <w:rFonts w:ascii="Book Antiqua" w:hAnsi="Book Antiqua"/>
              </w:rPr>
            </w:pPr>
            <w:r w:rsidRPr="004C1987">
              <w:rPr>
                <w:rFonts w:ascii="Book Antiqua" w:hAnsi="Book Antiqua" w:cs="Courier New"/>
              </w:rPr>
              <w:t>3.81 f</w:t>
            </w:r>
          </w:p>
        </w:tc>
        <w:tc>
          <w:tcPr>
            <w:tcW w:w="1657" w:type="dxa"/>
            <w:tcBorders>
              <w:top w:val="single" w:sz="4" w:space="0" w:color="000000"/>
              <w:left w:val="single" w:sz="4" w:space="0" w:color="000000"/>
              <w:bottom w:val="single" w:sz="4" w:space="0" w:color="000000"/>
              <w:right w:val="single" w:sz="4" w:space="0" w:color="000000"/>
            </w:tcBorders>
            <w:vAlign w:val="center"/>
            <w:hideMark/>
          </w:tcPr>
          <w:p w14:paraId="0EC975C6" w14:textId="77777777" w:rsidR="005A3266" w:rsidRPr="004C1987" w:rsidRDefault="005A3266" w:rsidP="00362E8E">
            <w:pPr>
              <w:jc w:val="center"/>
              <w:rPr>
                <w:rFonts w:ascii="Book Antiqua" w:hAnsi="Book Antiqua"/>
              </w:rPr>
            </w:pPr>
            <w:r w:rsidRPr="004C1987">
              <w:rPr>
                <w:rFonts w:ascii="Book Antiqua" w:hAnsi="Book Antiqua" w:cs="Courier New"/>
              </w:rPr>
              <w:t>7.10 f</w:t>
            </w:r>
          </w:p>
        </w:tc>
        <w:tc>
          <w:tcPr>
            <w:tcW w:w="1657" w:type="dxa"/>
            <w:tcBorders>
              <w:top w:val="single" w:sz="4" w:space="0" w:color="000000"/>
              <w:left w:val="single" w:sz="4" w:space="0" w:color="000000"/>
              <w:bottom w:val="single" w:sz="4" w:space="0" w:color="000000"/>
              <w:right w:val="single" w:sz="4" w:space="0" w:color="auto"/>
            </w:tcBorders>
            <w:vAlign w:val="center"/>
            <w:hideMark/>
          </w:tcPr>
          <w:p w14:paraId="61B7F23D" w14:textId="77777777" w:rsidR="005A3266" w:rsidRPr="004C1987" w:rsidRDefault="005A3266" w:rsidP="00362E8E">
            <w:pPr>
              <w:jc w:val="center"/>
              <w:rPr>
                <w:rFonts w:ascii="Book Antiqua" w:hAnsi="Book Antiqua"/>
              </w:rPr>
            </w:pPr>
            <w:r w:rsidRPr="004C1987">
              <w:rPr>
                <w:rFonts w:ascii="Book Antiqua" w:hAnsi="Book Antiqua" w:cs="Courier New"/>
              </w:rPr>
              <w:t>46.30</w:t>
            </w:r>
          </w:p>
        </w:tc>
      </w:tr>
      <w:tr w:rsidR="004C1987" w:rsidRPr="004C1987" w14:paraId="4A8C49B7" w14:textId="77777777" w:rsidTr="006E5098">
        <w:trPr>
          <w:trHeight w:val="194"/>
        </w:trPr>
        <w:tc>
          <w:tcPr>
            <w:tcW w:w="1956" w:type="dxa"/>
            <w:tcBorders>
              <w:top w:val="single" w:sz="4" w:space="0" w:color="000000"/>
              <w:left w:val="single" w:sz="4" w:space="0" w:color="000000"/>
              <w:bottom w:val="single" w:sz="4" w:space="0" w:color="000000"/>
              <w:right w:val="single" w:sz="4" w:space="0" w:color="000000"/>
            </w:tcBorders>
            <w:hideMark/>
          </w:tcPr>
          <w:p w14:paraId="4AEEF882" w14:textId="77777777" w:rsidR="005A3266" w:rsidRPr="004C1987" w:rsidRDefault="005A3266" w:rsidP="00362E8E">
            <w:pPr>
              <w:rPr>
                <w:rFonts w:ascii="Book Antiqua" w:hAnsi="Book Antiqua"/>
              </w:rPr>
            </w:pPr>
            <w:r w:rsidRPr="004C1987">
              <w:rPr>
                <w:rFonts w:ascii="Book Antiqua" w:hAnsi="Book Antiqua"/>
              </w:rPr>
              <w:t>N</w:t>
            </w:r>
            <w:r w:rsidRPr="004C1987">
              <w:rPr>
                <w:rFonts w:ascii="Book Antiqua" w:hAnsi="Book Antiqua"/>
                <w:vertAlign w:val="subscript"/>
              </w:rPr>
              <w:t>2</w:t>
            </w:r>
          </w:p>
        </w:tc>
        <w:tc>
          <w:tcPr>
            <w:tcW w:w="1559" w:type="dxa"/>
            <w:tcBorders>
              <w:top w:val="single" w:sz="4" w:space="0" w:color="000000"/>
              <w:left w:val="single" w:sz="4" w:space="0" w:color="auto"/>
              <w:bottom w:val="single" w:sz="4" w:space="0" w:color="000000"/>
              <w:right w:val="single" w:sz="4" w:space="0" w:color="auto"/>
            </w:tcBorders>
            <w:vAlign w:val="center"/>
            <w:hideMark/>
          </w:tcPr>
          <w:p w14:paraId="4CC06DE4" w14:textId="77777777" w:rsidR="005A3266" w:rsidRPr="004C1987" w:rsidRDefault="005A3266" w:rsidP="00362E8E">
            <w:pPr>
              <w:jc w:val="center"/>
              <w:rPr>
                <w:rFonts w:ascii="Book Antiqua" w:hAnsi="Book Antiqua"/>
              </w:rPr>
            </w:pPr>
            <w:r w:rsidRPr="004C1987">
              <w:rPr>
                <w:rFonts w:ascii="Book Antiqua" w:hAnsi="Book Antiqua" w:cs="Courier New"/>
              </w:rPr>
              <w:t>85.81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D44956E" w14:textId="77777777" w:rsidR="005A3266" w:rsidRPr="004C1987" w:rsidRDefault="005A3266" w:rsidP="00362E8E">
            <w:pPr>
              <w:jc w:val="center"/>
              <w:rPr>
                <w:rFonts w:ascii="Book Antiqua" w:hAnsi="Book Antiqua"/>
              </w:rPr>
            </w:pPr>
            <w:r w:rsidRPr="004C1987">
              <w:rPr>
                <w:rFonts w:ascii="Book Antiqua" w:hAnsi="Book Antiqua" w:cs="Courier New"/>
              </w:rPr>
              <w:t>4.68d</w:t>
            </w:r>
          </w:p>
        </w:tc>
        <w:tc>
          <w:tcPr>
            <w:tcW w:w="1576" w:type="dxa"/>
            <w:tcBorders>
              <w:top w:val="single" w:sz="4" w:space="0" w:color="000000"/>
              <w:left w:val="single" w:sz="4" w:space="0" w:color="000000"/>
              <w:bottom w:val="single" w:sz="4" w:space="0" w:color="000000"/>
              <w:right w:val="single" w:sz="4" w:space="0" w:color="000000"/>
            </w:tcBorders>
            <w:vAlign w:val="center"/>
            <w:hideMark/>
          </w:tcPr>
          <w:p w14:paraId="1B254905" w14:textId="77777777" w:rsidR="005A3266" w:rsidRPr="004C1987" w:rsidRDefault="005A3266" w:rsidP="00362E8E">
            <w:pPr>
              <w:jc w:val="center"/>
              <w:rPr>
                <w:rFonts w:ascii="Book Antiqua" w:hAnsi="Book Antiqua"/>
              </w:rPr>
            </w:pPr>
            <w:r w:rsidRPr="004C1987">
              <w:rPr>
                <w:rFonts w:ascii="Book Antiqua" w:hAnsi="Book Antiqua" w:cs="Courier New"/>
              </w:rPr>
              <w:t>5.31d</w:t>
            </w:r>
          </w:p>
        </w:tc>
        <w:tc>
          <w:tcPr>
            <w:tcW w:w="1657" w:type="dxa"/>
            <w:tcBorders>
              <w:top w:val="single" w:sz="4" w:space="0" w:color="000000"/>
              <w:left w:val="single" w:sz="4" w:space="0" w:color="000000"/>
              <w:bottom w:val="single" w:sz="4" w:space="0" w:color="000000"/>
              <w:right w:val="single" w:sz="4" w:space="0" w:color="000000"/>
            </w:tcBorders>
            <w:vAlign w:val="center"/>
            <w:hideMark/>
          </w:tcPr>
          <w:p w14:paraId="006F172B" w14:textId="77777777" w:rsidR="005A3266" w:rsidRPr="004C1987" w:rsidRDefault="005A3266" w:rsidP="00362E8E">
            <w:pPr>
              <w:jc w:val="center"/>
              <w:rPr>
                <w:rFonts w:ascii="Book Antiqua" w:hAnsi="Book Antiqua"/>
              </w:rPr>
            </w:pPr>
            <w:r w:rsidRPr="004C1987">
              <w:rPr>
                <w:rFonts w:ascii="Book Antiqua" w:hAnsi="Book Antiqua" w:cs="Courier New"/>
              </w:rPr>
              <w:t>10.00 d</w:t>
            </w:r>
          </w:p>
        </w:tc>
        <w:tc>
          <w:tcPr>
            <w:tcW w:w="1657" w:type="dxa"/>
            <w:tcBorders>
              <w:top w:val="single" w:sz="4" w:space="0" w:color="000000"/>
              <w:left w:val="single" w:sz="4" w:space="0" w:color="000000"/>
              <w:bottom w:val="single" w:sz="4" w:space="0" w:color="000000"/>
              <w:right w:val="single" w:sz="4" w:space="0" w:color="auto"/>
            </w:tcBorders>
            <w:vAlign w:val="center"/>
            <w:hideMark/>
          </w:tcPr>
          <w:p w14:paraId="40D871A3" w14:textId="77777777" w:rsidR="005A3266" w:rsidRPr="004C1987" w:rsidRDefault="005A3266" w:rsidP="00362E8E">
            <w:pPr>
              <w:jc w:val="center"/>
              <w:rPr>
                <w:rFonts w:ascii="Book Antiqua" w:hAnsi="Book Antiqua"/>
              </w:rPr>
            </w:pPr>
            <w:r w:rsidRPr="004C1987">
              <w:rPr>
                <w:rFonts w:ascii="Book Antiqua" w:hAnsi="Book Antiqua" w:cs="Courier New"/>
              </w:rPr>
              <w:t>46.80</w:t>
            </w:r>
          </w:p>
        </w:tc>
      </w:tr>
      <w:tr w:rsidR="004C1987" w:rsidRPr="004C1987" w14:paraId="093FA413" w14:textId="77777777" w:rsidTr="006E5098">
        <w:trPr>
          <w:trHeight w:val="315"/>
        </w:trPr>
        <w:tc>
          <w:tcPr>
            <w:tcW w:w="1956" w:type="dxa"/>
            <w:tcBorders>
              <w:top w:val="single" w:sz="4" w:space="0" w:color="000000"/>
              <w:left w:val="single" w:sz="4" w:space="0" w:color="000000"/>
              <w:bottom w:val="single" w:sz="4" w:space="0" w:color="000000"/>
              <w:right w:val="single" w:sz="4" w:space="0" w:color="000000"/>
            </w:tcBorders>
            <w:hideMark/>
          </w:tcPr>
          <w:p w14:paraId="02F4CC13" w14:textId="77777777" w:rsidR="005A3266" w:rsidRPr="004C1987" w:rsidRDefault="005A3266" w:rsidP="00362E8E">
            <w:pPr>
              <w:rPr>
                <w:rFonts w:ascii="Book Antiqua" w:hAnsi="Book Antiqua"/>
                <w:vertAlign w:val="subscript"/>
              </w:rPr>
            </w:pPr>
            <w:r w:rsidRPr="004C1987">
              <w:rPr>
                <w:rFonts w:ascii="Book Antiqua" w:hAnsi="Book Antiqua"/>
              </w:rPr>
              <w:t>N</w:t>
            </w:r>
            <w:r w:rsidRPr="004C1987">
              <w:rPr>
                <w:rFonts w:ascii="Book Antiqua" w:hAnsi="Book Antiqua"/>
                <w:vertAlign w:val="subscript"/>
              </w:rPr>
              <w:t>3</w:t>
            </w:r>
          </w:p>
        </w:tc>
        <w:tc>
          <w:tcPr>
            <w:tcW w:w="1559" w:type="dxa"/>
            <w:tcBorders>
              <w:top w:val="single" w:sz="4" w:space="0" w:color="000000"/>
              <w:left w:val="single" w:sz="4" w:space="0" w:color="auto"/>
              <w:bottom w:val="single" w:sz="4" w:space="0" w:color="000000"/>
              <w:right w:val="single" w:sz="4" w:space="0" w:color="auto"/>
            </w:tcBorders>
            <w:vAlign w:val="center"/>
            <w:hideMark/>
          </w:tcPr>
          <w:p w14:paraId="0445992C" w14:textId="77777777" w:rsidR="005A3266" w:rsidRPr="004C1987" w:rsidRDefault="005A3266" w:rsidP="00362E8E">
            <w:pPr>
              <w:jc w:val="center"/>
              <w:rPr>
                <w:rFonts w:ascii="Book Antiqua" w:hAnsi="Book Antiqua"/>
              </w:rPr>
            </w:pPr>
            <w:r w:rsidRPr="004C1987">
              <w:rPr>
                <w:rFonts w:ascii="Book Antiqua" w:hAnsi="Book Antiqua" w:cs="Courier New"/>
              </w:rPr>
              <w:t>86.28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D11DD2A" w14:textId="77777777" w:rsidR="005A3266" w:rsidRPr="004C1987" w:rsidRDefault="005A3266" w:rsidP="00362E8E">
            <w:pPr>
              <w:jc w:val="center"/>
              <w:rPr>
                <w:rFonts w:ascii="Book Antiqua" w:hAnsi="Book Antiqua"/>
              </w:rPr>
            </w:pPr>
            <w:r w:rsidRPr="004C1987">
              <w:rPr>
                <w:rFonts w:ascii="Book Antiqua" w:hAnsi="Book Antiqua" w:cs="Courier New"/>
              </w:rPr>
              <w:t>4.28 e</w:t>
            </w:r>
          </w:p>
        </w:tc>
        <w:tc>
          <w:tcPr>
            <w:tcW w:w="1576" w:type="dxa"/>
            <w:tcBorders>
              <w:top w:val="single" w:sz="4" w:space="0" w:color="000000"/>
              <w:left w:val="single" w:sz="4" w:space="0" w:color="000000"/>
              <w:bottom w:val="single" w:sz="4" w:space="0" w:color="000000"/>
              <w:right w:val="single" w:sz="4" w:space="0" w:color="000000"/>
            </w:tcBorders>
            <w:vAlign w:val="center"/>
            <w:hideMark/>
          </w:tcPr>
          <w:p w14:paraId="315E7D3B" w14:textId="77777777" w:rsidR="005A3266" w:rsidRPr="004C1987" w:rsidRDefault="005A3266" w:rsidP="00362E8E">
            <w:pPr>
              <w:jc w:val="center"/>
              <w:rPr>
                <w:rFonts w:ascii="Book Antiqua" w:hAnsi="Book Antiqua"/>
              </w:rPr>
            </w:pPr>
            <w:r w:rsidRPr="004C1987">
              <w:rPr>
                <w:rFonts w:ascii="Book Antiqua" w:hAnsi="Book Antiqua" w:cs="Courier New"/>
              </w:rPr>
              <w:t>4.86 e</w:t>
            </w:r>
          </w:p>
        </w:tc>
        <w:tc>
          <w:tcPr>
            <w:tcW w:w="1657" w:type="dxa"/>
            <w:tcBorders>
              <w:top w:val="single" w:sz="4" w:space="0" w:color="000000"/>
              <w:left w:val="single" w:sz="4" w:space="0" w:color="000000"/>
              <w:bottom w:val="single" w:sz="4" w:space="0" w:color="000000"/>
              <w:right w:val="single" w:sz="4" w:space="0" w:color="000000"/>
            </w:tcBorders>
            <w:vAlign w:val="center"/>
            <w:hideMark/>
          </w:tcPr>
          <w:p w14:paraId="10F6FEB4" w14:textId="77777777" w:rsidR="005A3266" w:rsidRPr="004C1987" w:rsidRDefault="005A3266" w:rsidP="00362E8E">
            <w:pPr>
              <w:jc w:val="center"/>
              <w:rPr>
                <w:rFonts w:ascii="Book Antiqua" w:hAnsi="Book Antiqua"/>
              </w:rPr>
            </w:pPr>
            <w:r w:rsidRPr="004C1987">
              <w:rPr>
                <w:rFonts w:ascii="Book Antiqua" w:hAnsi="Book Antiqua" w:cs="Courier New"/>
              </w:rPr>
              <w:t>9.14 e</w:t>
            </w:r>
          </w:p>
        </w:tc>
        <w:tc>
          <w:tcPr>
            <w:tcW w:w="1657" w:type="dxa"/>
            <w:tcBorders>
              <w:top w:val="single" w:sz="4" w:space="0" w:color="000000"/>
              <w:left w:val="single" w:sz="4" w:space="0" w:color="000000"/>
              <w:bottom w:val="single" w:sz="4" w:space="0" w:color="000000"/>
              <w:right w:val="single" w:sz="4" w:space="0" w:color="auto"/>
            </w:tcBorders>
            <w:vAlign w:val="center"/>
            <w:hideMark/>
          </w:tcPr>
          <w:p w14:paraId="6E95F0B1" w14:textId="77777777" w:rsidR="005A3266" w:rsidRPr="004C1987" w:rsidRDefault="005A3266" w:rsidP="00362E8E">
            <w:pPr>
              <w:jc w:val="center"/>
              <w:rPr>
                <w:rFonts w:ascii="Book Antiqua" w:hAnsi="Book Antiqua"/>
              </w:rPr>
            </w:pPr>
            <w:r w:rsidRPr="004C1987">
              <w:rPr>
                <w:rFonts w:ascii="Book Antiqua" w:hAnsi="Book Antiqua" w:cs="Courier New"/>
              </w:rPr>
              <w:t>46.78</w:t>
            </w:r>
          </w:p>
        </w:tc>
      </w:tr>
      <w:tr w:rsidR="004C1987" w:rsidRPr="004C1987" w14:paraId="09008A10" w14:textId="77777777" w:rsidTr="006E5098">
        <w:trPr>
          <w:trHeight w:val="187"/>
        </w:trPr>
        <w:tc>
          <w:tcPr>
            <w:tcW w:w="1956" w:type="dxa"/>
            <w:tcBorders>
              <w:top w:val="single" w:sz="4" w:space="0" w:color="000000"/>
              <w:left w:val="single" w:sz="4" w:space="0" w:color="000000"/>
              <w:bottom w:val="single" w:sz="4" w:space="0" w:color="000000"/>
              <w:right w:val="single" w:sz="4" w:space="0" w:color="000000"/>
            </w:tcBorders>
            <w:hideMark/>
          </w:tcPr>
          <w:p w14:paraId="6986246C" w14:textId="77777777" w:rsidR="005A3266" w:rsidRPr="004C1987" w:rsidRDefault="005A3266" w:rsidP="00362E8E">
            <w:pPr>
              <w:rPr>
                <w:rFonts w:ascii="Book Antiqua" w:hAnsi="Book Antiqua"/>
              </w:rPr>
            </w:pPr>
            <w:r w:rsidRPr="004C1987">
              <w:rPr>
                <w:rFonts w:ascii="Book Antiqua" w:hAnsi="Book Antiqua"/>
              </w:rPr>
              <w:t>N</w:t>
            </w:r>
            <w:r w:rsidRPr="004C1987">
              <w:rPr>
                <w:rFonts w:ascii="Book Antiqua" w:hAnsi="Book Antiqua"/>
                <w:vertAlign w:val="subscript"/>
              </w:rPr>
              <w:t>4</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5A3033ED" w14:textId="77777777" w:rsidR="005A3266" w:rsidRPr="004C1987" w:rsidRDefault="005A3266" w:rsidP="00362E8E">
            <w:pPr>
              <w:jc w:val="center"/>
              <w:rPr>
                <w:rFonts w:ascii="Book Antiqua" w:hAnsi="Book Antiqua"/>
              </w:rPr>
            </w:pPr>
            <w:r w:rsidRPr="004C1987">
              <w:rPr>
                <w:rFonts w:ascii="Book Antiqua" w:hAnsi="Book Antiqua" w:cs="Courier New"/>
              </w:rPr>
              <w:t>86.88</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0644EC22" w14:textId="77777777" w:rsidR="005A3266" w:rsidRPr="004C1987" w:rsidRDefault="005A3266" w:rsidP="00362E8E">
            <w:pPr>
              <w:jc w:val="center"/>
              <w:rPr>
                <w:rFonts w:ascii="Book Antiqua" w:hAnsi="Book Antiqua"/>
              </w:rPr>
            </w:pPr>
            <w:r w:rsidRPr="004C1987">
              <w:rPr>
                <w:rFonts w:ascii="Book Antiqua" w:hAnsi="Book Antiqua" w:cs="Courier New"/>
              </w:rPr>
              <w:t>5.85a</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1D239072" w14:textId="77777777" w:rsidR="005A3266" w:rsidRPr="004C1987" w:rsidRDefault="005A3266" w:rsidP="00362E8E">
            <w:pPr>
              <w:jc w:val="center"/>
              <w:rPr>
                <w:rFonts w:ascii="Book Antiqua" w:hAnsi="Book Antiqua"/>
              </w:rPr>
            </w:pPr>
            <w:r w:rsidRPr="004C1987">
              <w:rPr>
                <w:rFonts w:ascii="Book Antiqua" w:hAnsi="Book Antiqua" w:cs="Courier New"/>
              </w:rPr>
              <w:t>6.21a</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786932D0" w14:textId="77777777" w:rsidR="005A3266" w:rsidRPr="004C1987" w:rsidRDefault="005A3266" w:rsidP="00362E8E">
            <w:pPr>
              <w:jc w:val="center"/>
              <w:rPr>
                <w:rFonts w:ascii="Book Antiqua" w:hAnsi="Book Antiqua"/>
              </w:rPr>
            </w:pPr>
            <w:r w:rsidRPr="004C1987">
              <w:rPr>
                <w:rFonts w:ascii="Book Antiqua" w:hAnsi="Book Antiqua" w:cs="Courier New"/>
              </w:rPr>
              <w:t>12.07 a</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76CF47C0" w14:textId="77777777" w:rsidR="005A3266" w:rsidRPr="004C1987" w:rsidRDefault="005A3266" w:rsidP="00362E8E">
            <w:pPr>
              <w:jc w:val="center"/>
              <w:rPr>
                <w:rFonts w:ascii="Book Antiqua" w:hAnsi="Book Antiqua"/>
              </w:rPr>
            </w:pPr>
            <w:r w:rsidRPr="004C1987">
              <w:rPr>
                <w:rFonts w:ascii="Book Antiqua" w:hAnsi="Book Antiqua" w:cs="Courier New"/>
              </w:rPr>
              <w:t>48.50</w:t>
            </w:r>
          </w:p>
        </w:tc>
      </w:tr>
      <w:tr w:rsidR="004C1987" w:rsidRPr="004C1987" w14:paraId="5329F8A6" w14:textId="77777777" w:rsidTr="006E5098">
        <w:trPr>
          <w:trHeight w:val="205"/>
        </w:trPr>
        <w:tc>
          <w:tcPr>
            <w:tcW w:w="1956" w:type="dxa"/>
            <w:tcBorders>
              <w:top w:val="single" w:sz="4" w:space="0" w:color="000000"/>
              <w:left w:val="single" w:sz="4" w:space="0" w:color="000000"/>
              <w:bottom w:val="single" w:sz="4" w:space="0" w:color="000000"/>
              <w:right w:val="single" w:sz="4" w:space="0" w:color="000000"/>
            </w:tcBorders>
            <w:hideMark/>
          </w:tcPr>
          <w:p w14:paraId="74BD3E48" w14:textId="77777777" w:rsidR="005A3266" w:rsidRPr="004C1987" w:rsidRDefault="005A3266" w:rsidP="00362E8E">
            <w:pPr>
              <w:rPr>
                <w:rFonts w:ascii="Book Antiqua" w:hAnsi="Book Antiqua"/>
                <w:noProof/>
              </w:rPr>
            </w:pPr>
            <w:r w:rsidRPr="004C1987">
              <w:rPr>
                <w:rFonts w:ascii="Book Antiqua" w:hAnsi="Book Antiqua"/>
              </w:rPr>
              <w:t>N</w:t>
            </w:r>
            <w:r w:rsidRPr="004C1987">
              <w:rPr>
                <w:rFonts w:ascii="Book Antiqua" w:hAnsi="Book Antiqua"/>
                <w:vertAlign w:val="subscript"/>
              </w:rPr>
              <w:t>5</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1B0B5262" w14:textId="77777777" w:rsidR="005A3266" w:rsidRPr="004C1987" w:rsidRDefault="005A3266" w:rsidP="00362E8E">
            <w:pPr>
              <w:jc w:val="center"/>
              <w:rPr>
                <w:rFonts w:ascii="Book Antiqua" w:hAnsi="Book Antiqua"/>
              </w:rPr>
            </w:pPr>
            <w:r w:rsidRPr="004C1987">
              <w:rPr>
                <w:rFonts w:ascii="Book Antiqua" w:hAnsi="Book Antiqua" w:cs="Courier New"/>
              </w:rPr>
              <w:t>85.19</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1C64479B" w14:textId="77777777" w:rsidR="005A3266" w:rsidRPr="004C1987" w:rsidRDefault="005A3266" w:rsidP="00362E8E">
            <w:pPr>
              <w:jc w:val="center"/>
              <w:rPr>
                <w:rFonts w:ascii="Book Antiqua" w:hAnsi="Book Antiqua"/>
              </w:rPr>
            </w:pPr>
            <w:r w:rsidRPr="004C1987">
              <w:rPr>
                <w:rFonts w:ascii="Book Antiqua" w:hAnsi="Book Antiqua" w:cs="Courier New"/>
              </w:rPr>
              <w:t>5.32 b</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4E1BBC28" w14:textId="77777777" w:rsidR="005A3266" w:rsidRPr="004C1987" w:rsidRDefault="005A3266" w:rsidP="00362E8E">
            <w:pPr>
              <w:jc w:val="center"/>
              <w:rPr>
                <w:rFonts w:ascii="Book Antiqua" w:hAnsi="Book Antiqua"/>
              </w:rPr>
            </w:pPr>
            <w:r w:rsidRPr="004C1987">
              <w:rPr>
                <w:rFonts w:ascii="Book Antiqua" w:hAnsi="Book Antiqua" w:cs="Courier New"/>
              </w:rPr>
              <w:t>5.76b</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190E22E0" w14:textId="77777777" w:rsidR="005A3266" w:rsidRPr="004C1987" w:rsidRDefault="005A3266" w:rsidP="00362E8E">
            <w:pPr>
              <w:jc w:val="center"/>
              <w:rPr>
                <w:rFonts w:ascii="Book Antiqua" w:hAnsi="Book Antiqua"/>
              </w:rPr>
            </w:pPr>
            <w:r w:rsidRPr="004C1987">
              <w:rPr>
                <w:rFonts w:ascii="Book Antiqua" w:hAnsi="Book Antiqua" w:cs="Courier New"/>
              </w:rPr>
              <w:t>11.09 b</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4E5CA4C5" w14:textId="77777777" w:rsidR="005A3266" w:rsidRPr="004C1987" w:rsidRDefault="005A3266" w:rsidP="00362E8E">
            <w:pPr>
              <w:jc w:val="center"/>
              <w:rPr>
                <w:rFonts w:ascii="Book Antiqua" w:hAnsi="Book Antiqua"/>
              </w:rPr>
            </w:pPr>
            <w:r w:rsidRPr="004C1987">
              <w:rPr>
                <w:rFonts w:ascii="Book Antiqua" w:hAnsi="Book Antiqua" w:cs="Courier New"/>
              </w:rPr>
              <w:t>48.02</w:t>
            </w:r>
          </w:p>
        </w:tc>
      </w:tr>
      <w:tr w:rsidR="004C1987" w:rsidRPr="004C1987" w14:paraId="00C7858F" w14:textId="77777777" w:rsidTr="006E5098">
        <w:trPr>
          <w:trHeight w:val="237"/>
        </w:trPr>
        <w:tc>
          <w:tcPr>
            <w:tcW w:w="1956" w:type="dxa"/>
            <w:tcBorders>
              <w:top w:val="single" w:sz="4" w:space="0" w:color="000000"/>
              <w:left w:val="single" w:sz="4" w:space="0" w:color="000000"/>
              <w:bottom w:val="single" w:sz="4" w:space="0" w:color="000000"/>
              <w:right w:val="single" w:sz="4" w:space="0" w:color="000000"/>
            </w:tcBorders>
            <w:hideMark/>
          </w:tcPr>
          <w:p w14:paraId="0C34E567" w14:textId="77777777" w:rsidR="005A3266" w:rsidRPr="004C1987" w:rsidRDefault="005A3266" w:rsidP="00362E8E">
            <w:pPr>
              <w:rPr>
                <w:rFonts w:ascii="Book Antiqua" w:hAnsi="Book Antiqua"/>
                <w:noProof/>
              </w:rPr>
            </w:pPr>
            <w:r w:rsidRPr="004C1987">
              <w:rPr>
                <w:rFonts w:ascii="Book Antiqua" w:hAnsi="Book Antiqua"/>
              </w:rPr>
              <w:t>N</w:t>
            </w:r>
            <w:r w:rsidRPr="004C1987">
              <w:rPr>
                <w:rFonts w:ascii="Book Antiqua" w:hAnsi="Book Antiqua"/>
                <w:vertAlign w:val="subscript"/>
              </w:rPr>
              <w:t>6</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645165E0" w14:textId="77777777" w:rsidR="005A3266" w:rsidRPr="004C1987" w:rsidRDefault="005A3266" w:rsidP="00362E8E">
            <w:pPr>
              <w:jc w:val="center"/>
              <w:rPr>
                <w:rFonts w:ascii="Book Antiqua" w:hAnsi="Book Antiqua"/>
              </w:rPr>
            </w:pPr>
            <w:r w:rsidRPr="004C1987">
              <w:rPr>
                <w:rFonts w:ascii="Book Antiqua" w:hAnsi="Book Antiqua" w:cs="Courier New"/>
              </w:rPr>
              <w:t>87.43</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21BE2AD4" w14:textId="77777777" w:rsidR="005A3266" w:rsidRPr="004C1987" w:rsidRDefault="005A3266" w:rsidP="00362E8E">
            <w:pPr>
              <w:jc w:val="center"/>
              <w:rPr>
                <w:rFonts w:ascii="Book Antiqua" w:hAnsi="Book Antiqua"/>
              </w:rPr>
            </w:pPr>
            <w:r w:rsidRPr="004C1987">
              <w:rPr>
                <w:rFonts w:ascii="Book Antiqua" w:hAnsi="Book Antiqua" w:cs="Courier New"/>
              </w:rPr>
              <w:t>5.17 c</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177DC270" w14:textId="77777777" w:rsidR="005A3266" w:rsidRPr="004C1987" w:rsidRDefault="005A3266" w:rsidP="00362E8E">
            <w:pPr>
              <w:jc w:val="center"/>
              <w:rPr>
                <w:rFonts w:ascii="Book Antiqua" w:hAnsi="Book Antiqua"/>
              </w:rPr>
            </w:pPr>
            <w:r w:rsidRPr="004C1987">
              <w:rPr>
                <w:rFonts w:ascii="Book Antiqua" w:hAnsi="Book Antiqua" w:cs="Courier New"/>
              </w:rPr>
              <w:t>5.60c</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4E98F7BC" w14:textId="77777777" w:rsidR="005A3266" w:rsidRPr="004C1987" w:rsidRDefault="005A3266" w:rsidP="00362E8E">
            <w:pPr>
              <w:jc w:val="center"/>
              <w:rPr>
                <w:rFonts w:ascii="Book Antiqua" w:hAnsi="Book Antiqua"/>
              </w:rPr>
            </w:pPr>
            <w:r w:rsidRPr="004C1987">
              <w:rPr>
                <w:rFonts w:ascii="Book Antiqua" w:hAnsi="Book Antiqua" w:cs="Courier New"/>
              </w:rPr>
              <w:t>10.78 c</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5D64D836" w14:textId="77777777" w:rsidR="005A3266" w:rsidRPr="004C1987" w:rsidRDefault="005A3266" w:rsidP="00362E8E">
            <w:pPr>
              <w:jc w:val="center"/>
              <w:rPr>
                <w:rFonts w:ascii="Book Antiqua" w:hAnsi="Book Antiqua"/>
              </w:rPr>
            </w:pPr>
            <w:r w:rsidRPr="004C1987">
              <w:rPr>
                <w:rFonts w:ascii="Book Antiqua" w:hAnsi="Book Antiqua" w:cs="Courier New"/>
              </w:rPr>
              <w:t>47.99</w:t>
            </w:r>
          </w:p>
        </w:tc>
      </w:tr>
      <w:tr w:rsidR="004C1987" w:rsidRPr="004C1987" w14:paraId="1B5D6702" w14:textId="77777777" w:rsidTr="006E5098">
        <w:trPr>
          <w:trHeight w:val="269"/>
        </w:trPr>
        <w:tc>
          <w:tcPr>
            <w:tcW w:w="1956" w:type="dxa"/>
            <w:tcBorders>
              <w:top w:val="single" w:sz="4" w:space="0" w:color="000000"/>
              <w:left w:val="single" w:sz="4" w:space="0" w:color="000000"/>
              <w:bottom w:val="single" w:sz="4" w:space="0" w:color="000000"/>
              <w:right w:val="single" w:sz="4" w:space="0" w:color="000000"/>
            </w:tcBorders>
            <w:hideMark/>
          </w:tcPr>
          <w:p w14:paraId="015B6EAF" w14:textId="77777777" w:rsidR="005A3266" w:rsidRPr="004C1987" w:rsidRDefault="005A3266" w:rsidP="00362E8E">
            <w:pPr>
              <w:rPr>
                <w:rFonts w:ascii="Book Antiqua" w:hAnsi="Book Antiqua"/>
              </w:rPr>
            </w:pPr>
            <w:r w:rsidRPr="004C1987">
              <w:rPr>
                <w:noProof/>
              </w:rPr>
              <mc:AlternateContent>
                <mc:Choice Requires="wps">
                  <w:drawing>
                    <wp:anchor distT="0" distB="0" distL="114300" distR="114300" simplePos="0" relativeHeight="251674624" behindDoc="0" locked="0" layoutInCell="1" allowOverlap="1" wp14:anchorId="5E4D4913" wp14:editId="55F94FF1">
                      <wp:simplePos x="0" y="0"/>
                      <wp:positionH relativeFrom="column">
                        <wp:posOffset>69850</wp:posOffset>
                      </wp:positionH>
                      <wp:positionV relativeFrom="paragraph">
                        <wp:posOffset>31115</wp:posOffset>
                      </wp:positionV>
                      <wp:extent cx="64135" cy="0"/>
                      <wp:effectExtent l="0" t="0" r="0" b="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0801C" id="Straight Connector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5pt" to="1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boGw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"/>
                  </w:pict>
                </mc:Fallback>
              </mc:AlternateContent>
            </w:r>
            <w:proofErr w:type="spellStart"/>
            <w:r w:rsidRPr="004C1987">
              <w:rPr>
                <w:rFonts w:ascii="Book Antiqua" w:hAnsi="Book Antiqua"/>
              </w:rPr>
              <w:t>Sx</w:t>
            </w:r>
            <w:proofErr w:type="spellEnd"/>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2BB1D7BD" w14:textId="77777777" w:rsidR="005A3266" w:rsidRPr="004C1987" w:rsidRDefault="005A3266" w:rsidP="00362E8E">
            <w:pPr>
              <w:jc w:val="center"/>
              <w:rPr>
                <w:rFonts w:ascii="Book Antiqua" w:hAnsi="Book Antiqua" w:cs="Arial"/>
                <w:bCs/>
              </w:rPr>
            </w:pPr>
            <w:r w:rsidRPr="004C1987">
              <w:rPr>
                <w:rFonts w:ascii="Book Antiqua" w:hAnsi="Book Antiqua" w:cs="Arial"/>
                <w:bCs/>
              </w:rPr>
              <w:t>1.15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60AE3A6C" w14:textId="77777777" w:rsidR="005A3266" w:rsidRPr="004C1987" w:rsidRDefault="005A3266" w:rsidP="00362E8E">
            <w:pPr>
              <w:jc w:val="center"/>
              <w:rPr>
                <w:rFonts w:ascii="Book Antiqua" w:hAnsi="Book Antiqua" w:cs="Arial"/>
                <w:bCs/>
              </w:rPr>
            </w:pPr>
            <w:r w:rsidRPr="004C1987">
              <w:rPr>
                <w:rFonts w:ascii="Book Antiqua" w:hAnsi="Book Antiqua" w:cs="Arial"/>
                <w:bCs/>
              </w:rPr>
              <w:t>0.039</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17041ABD" w14:textId="77777777" w:rsidR="005A3266" w:rsidRPr="004C1987" w:rsidRDefault="005A3266" w:rsidP="00362E8E">
            <w:pPr>
              <w:jc w:val="center"/>
              <w:rPr>
                <w:rFonts w:ascii="Book Antiqua" w:hAnsi="Book Antiqua" w:cs="Arial"/>
                <w:bCs/>
              </w:rPr>
            </w:pPr>
            <w:r w:rsidRPr="004C1987">
              <w:rPr>
                <w:rFonts w:ascii="Book Antiqua" w:hAnsi="Book Antiqua" w:cs="Arial"/>
                <w:bCs/>
              </w:rPr>
              <w:t>0.047</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13828A32" w14:textId="77777777" w:rsidR="005A3266" w:rsidRPr="004C1987" w:rsidRDefault="005A3266" w:rsidP="00362E8E">
            <w:pPr>
              <w:jc w:val="center"/>
              <w:rPr>
                <w:rFonts w:ascii="Book Antiqua" w:hAnsi="Book Antiqua" w:cs="Arial"/>
                <w:bCs/>
              </w:rPr>
            </w:pPr>
            <w:r w:rsidRPr="004C1987">
              <w:rPr>
                <w:rFonts w:ascii="Book Antiqua" w:hAnsi="Book Antiqua" w:cs="Arial"/>
                <w:bCs/>
              </w:rPr>
              <w:t>0.075</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11FC6939" w14:textId="77777777" w:rsidR="005A3266" w:rsidRPr="004C1987" w:rsidRDefault="005A3266" w:rsidP="00362E8E">
            <w:pPr>
              <w:jc w:val="center"/>
              <w:rPr>
                <w:rFonts w:ascii="Book Antiqua" w:hAnsi="Book Antiqua" w:cs="Arial"/>
                <w:bCs/>
              </w:rPr>
            </w:pPr>
            <w:r w:rsidRPr="004C1987">
              <w:rPr>
                <w:rFonts w:ascii="Book Antiqua" w:hAnsi="Book Antiqua" w:cs="Arial"/>
                <w:bCs/>
              </w:rPr>
              <w:t>0.317</w:t>
            </w:r>
          </w:p>
        </w:tc>
      </w:tr>
      <w:tr w:rsidR="004C1987" w:rsidRPr="004C1987" w14:paraId="7CD44456" w14:textId="77777777" w:rsidTr="006E5098">
        <w:trPr>
          <w:trHeight w:val="259"/>
        </w:trPr>
        <w:tc>
          <w:tcPr>
            <w:tcW w:w="1956" w:type="dxa"/>
            <w:tcBorders>
              <w:top w:val="single" w:sz="4" w:space="0" w:color="000000"/>
              <w:left w:val="single" w:sz="4" w:space="0" w:color="000000"/>
              <w:bottom w:val="single" w:sz="4" w:space="0" w:color="000000"/>
              <w:right w:val="single" w:sz="4" w:space="0" w:color="000000"/>
            </w:tcBorders>
            <w:hideMark/>
          </w:tcPr>
          <w:p w14:paraId="69456D26" w14:textId="77777777" w:rsidR="005A3266" w:rsidRPr="004C1987" w:rsidRDefault="005A3266" w:rsidP="00362E8E">
            <w:pPr>
              <w:jc w:val="center"/>
              <w:rPr>
                <w:rFonts w:ascii="Book Antiqua" w:hAnsi="Book Antiqua"/>
              </w:rPr>
            </w:pPr>
            <w:r w:rsidRPr="004C1987">
              <w:rPr>
                <w:rFonts w:ascii="Book Antiqua" w:hAnsi="Book Antiqua"/>
                <w:sz w:val="16"/>
              </w:rPr>
              <w:t>Level of significance</w:t>
            </w:r>
          </w:p>
        </w:tc>
        <w:tc>
          <w:tcPr>
            <w:tcW w:w="1559" w:type="dxa"/>
            <w:tcBorders>
              <w:top w:val="single" w:sz="4" w:space="0" w:color="000000"/>
              <w:left w:val="single" w:sz="4" w:space="0" w:color="000000"/>
              <w:bottom w:val="single" w:sz="4" w:space="0" w:color="000000"/>
              <w:right w:val="single" w:sz="4" w:space="0" w:color="auto"/>
            </w:tcBorders>
            <w:hideMark/>
          </w:tcPr>
          <w:p w14:paraId="27793834" w14:textId="77777777" w:rsidR="005A3266" w:rsidRPr="004C1987" w:rsidRDefault="005A3266" w:rsidP="00362E8E">
            <w:pPr>
              <w:jc w:val="center"/>
              <w:rPr>
                <w:rFonts w:ascii="Book Antiqua" w:hAnsi="Book Antiqua"/>
              </w:rPr>
            </w:pPr>
            <w:r w:rsidRPr="004C1987">
              <w:rPr>
                <w:rFonts w:ascii="Book Antiqua" w:hAnsi="Book Antiqua"/>
              </w:rPr>
              <w:t>NS</w:t>
            </w:r>
          </w:p>
        </w:tc>
        <w:tc>
          <w:tcPr>
            <w:tcW w:w="1276" w:type="dxa"/>
            <w:tcBorders>
              <w:top w:val="single" w:sz="4" w:space="0" w:color="000000"/>
              <w:left w:val="single" w:sz="4" w:space="0" w:color="auto"/>
              <w:bottom w:val="single" w:sz="4" w:space="0" w:color="000000"/>
              <w:right w:val="single" w:sz="4" w:space="0" w:color="auto"/>
            </w:tcBorders>
            <w:hideMark/>
          </w:tcPr>
          <w:p w14:paraId="706DDDDB" w14:textId="77777777" w:rsidR="005A3266" w:rsidRPr="004C1987" w:rsidRDefault="005A3266" w:rsidP="00362E8E">
            <w:pPr>
              <w:jc w:val="center"/>
              <w:rPr>
                <w:rFonts w:ascii="Book Antiqua" w:hAnsi="Book Antiqua"/>
              </w:rPr>
            </w:pPr>
            <w:r w:rsidRPr="004C1987">
              <w:rPr>
                <w:rFonts w:ascii="Book Antiqua" w:hAnsi="Book Antiqua"/>
              </w:rPr>
              <w:t>**</w:t>
            </w:r>
          </w:p>
        </w:tc>
        <w:tc>
          <w:tcPr>
            <w:tcW w:w="1576" w:type="dxa"/>
            <w:tcBorders>
              <w:top w:val="single" w:sz="4" w:space="0" w:color="000000"/>
              <w:left w:val="single" w:sz="4" w:space="0" w:color="auto"/>
              <w:bottom w:val="single" w:sz="4" w:space="0" w:color="000000"/>
              <w:right w:val="single" w:sz="4" w:space="0" w:color="auto"/>
            </w:tcBorders>
            <w:hideMark/>
          </w:tcPr>
          <w:p w14:paraId="41E518E3" w14:textId="77777777" w:rsidR="005A3266" w:rsidRPr="004C1987" w:rsidRDefault="005A3266" w:rsidP="00362E8E">
            <w:pPr>
              <w:jc w:val="center"/>
              <w:rPr>
                <w:rFonts w:ascii="Book Antiqua" w:hAnsi="Book Antiqua"/>
              </w:rPr>
            </w:pPr>
            <w:r w:rsidRPr="004C1987">
              <w:rPr>
                <w:rFonts w:ascii="Book Antiqua" w:hAnsi="Book Antiqua"/>
              </w:rPr>
              <w:t>**</w:t>
            </w:r>
          </w:p>
        </w:tc>
        <w:tc>
          <w:tcPr>
            <w:tcW w:w="1657" w:type="dxa"/>
            <w:tcBorders>
              <w:top w:val="single" w:sz="4" w:space="0" w:color="000000"/>
              <w:left w:val="single" w:sz="4" w:space="0" w:color="auto"/>
              <w:bottom w:val="single" w:sz="4" w:space="0" w:color="000000"/>
              <w:right w:val="single" w:sz="4" w:space="0" w:color="auto"/>
            </w:tcBorders>
            <w:hideMark/>
          </w:tcPr>
          <w:p w14:paraId="0CF89FC0" w14:textId="77777777" w:rsidR="005A3266" w:rsidRPr="004C1987" w:rsidRDefault="005A3266" w:rsidP="00362E8E">
            <w:pPr>
              <w:jc w:val="center"/>
              <w:rPr>
                <w:rFonts w:ascii="Book Antiqua" w:hAnsi="Book Antiqua"/>
              </w:rPr>
            </w:pPr>
            <w:r w:rsidRPr="004C1987">
              <w:rPr>
                <w:rFonts w:ascii="Book Antiqua" w:hAnsi="Book Antiqua"/>
              </w:rPr>
              <w:t>**</w:t>
            </w:r>
          </w:p>
        </w:tc>
        <w:tc>
          <w:tcPr>
            <w:tcW w:w="1657" w:type="dxa"/>
            <w:tcBorders>
              <w:top w:val="single" w:sz="4" w:space="0" w:color="000000"/>
              <w:left w:val="single" w:sz="4" w:space="0" w:color="auto"/>
              <w:bottom w:val="single" w:sz="4" w:space="0" w:color="000000"/>
              <w:right w:val="single" w:sz="4" w:space="0" w:color="auto"/>
            </w:tcBorders>
            <w:hideMark/>
          </w:tcPr>
          <w:p w14:paraId="39152FB7" w14:textId="77777777" w:rsidR="005A3266" w:rsidRPr="004C1987" w:rsidRDefault="005A3266" w:rsidP="00362E8E">
            <w:pPr>
              <w:jc w:val="center"/>
              <w:rPr>
                <w:rFonts w:ascii="Book Antiqua" w:hAnsi="Book Antiqua"/>
              </w:rPr>
            </w:pPr>
            <w:r w:rsidRPr="004C1987">
              <w:rPr>
                <w:rFonts w:ascii="Book Antiqua" w:hAnsi="Book Antiqua"/>
              </w:rPr>
              <w:t>**</w:t>
            </w:r>
          </w:p>
        </w:tc>
      </w:tr>
      <w:tr w:rsidR="004C1987" w:rsidRPr="004C1987" w14:paraId="57678408" w14:textId="77777777" w:rsidTr="006E5098">
        <w:trPr>
          <w:trHeight w:val="137"/>
        </w:trPr>
        <w:tc>
          <w:tcPr>
            <w:tcW w:w="1956" w:type="dxa"/>
            <w:tcBorders>
              <w:top w:val="single" w:sz="4" w:space="0" w:color="000000"/>
              <w:left w:val="single" w:sz="4" w:space="0" w:color="000000"/>
              <w:bottom w:val="single" w:sz="4" w:space="0" w:color="000000"/>
              <w:right w:val="single" w:sz="4" w:space="0" w:color="000000"/>
            </w:tcBorders>
            <w:hideMark/>
          </w:tcPr>
          <w:p w14:paraId="764E94AB" w14:textId="77777777" w:rsidR="005A3266" w:rsidRPr="004C1987" w:rsidRDefault="005A3266" w:rsidP="00362E8E">
            <w:pPr>
              <w:rPr>
                <w:rFonts w:ascii="Book Antiqua" w:hAnsi="Book Antiqua"/>
              </w:rPr>
            </w:pPr>
            <w:r w:rsidRPr="004C1987">
              <w:rPr>
                <w:rFonts w:ascii="Book Antiqua" w:hAnsi="Book Antiqua"/>
              </w:rPr>
              <w:t>CV (%)</w:t>
            </w:r>
          </w:p>
        </w:tc>
        <w:tc>
          <w:tcPr>
            <w:tcW w:w="1559" w:type="dxa"/>
            <w:tcBorders>
              <w:top w:val="single" w:sz="4" w:space="0" w:color="000000"/>
              <w:left w:val="single" w:sz="4" w:space="0" w:color="000000"/>
              <w:bottom w:val="single" w:sz="4" w:space="0" w:color="000000"/>
              <w:right w:val="single" w:sz="4" w:space="0" w:color="auto"/>
            </w:tcBorders>
            <w:vAlign w:val="bottom"/>
            <w:hideMark/>
          </w:tcPr>
          <w:p w14:paraId="3FAA66DF" w14:textId="77777777" w:rsidR="005A3266" w:rsidRPr="004C1987" w:rsidRDefault="005A3266" w:rsidP="00362E8E">
            <w:pPr>
              <w:jc w:val="center"/>
              <w:rPr>
                <w:rFonts w:ascii="Book Antiqua" w:hAnsi="Book Antiqua" w:cs="Arial"/>
                <w:bCs/>
              </w:rPr>
            </w:pPr>
            <w:r w:rsidRPr="004C1987">
              <w:rPr>
                <w:rFonts w:ascii="Book Antiqua" w:hAnsi="Book Antiqua" w:cs="Arial"/>
                <w:bCs/>
              </w:rPr>
              <w:t>4.64</w:t>
            </w:r>
          </w:p>
        </w:tc>
        <w:tc>
          <w:tcPr>
            <w:tcW w:w="1276" w:type="dxa"/>
            <w:tcBorders>
              <w:top w:val="single" w:sz="4" w:space="0" w:color="000000"/>
              <w:left w:val="single" w:sz="4" w:space="0" w:color="auto"/>
              <w:bottom w:val="single" w:sz="4" w:space="0" w:color="000000"/>
              <w:right w:val="single" w:sz="4" w:space="0" w:color="auto"/>
            </w:tcBorders>
            <w:hideMark/>
          </w:tcPr>
          <w:p w14:paraId="07395181" w14:textId="77777777" w:rsidR="005A3266" w:rsidRPr="004C1987" w:rsidRDefault="005A3266" w:rsidP="00362E8E">
            <w:pPr>
              <w:jc w:val="center"/>
              <w:rPr>
                <w:rFonts w:ascii="Book Antiqua" w:hAnsi="Book Antiqua" w:cs="Arial"/>
                <w:bCs/>
              </w:rPr>
            </w:pPr>
            <w:r w:rsidRPr="004C1987">
              <w:rPr>
                <w:rFonts w:ascii="Book Antiqua" w:hAnsi="Book Antiqua" w:cs="Arial"/>
                <w:bCs/>
              </w:rPr>
              <w:t>2.80</w:t>
            </w:r>
          </w:p>
        </w:tc>
        <w:tc>
          <w:tcPr>
            <w:tcW w:w="1576" w:type="dxa"/>
            <w:tcBorders>
              <w:top w:val="single" w:sz="4" w:space="0" w:color="000000"/>
              <w:left w:val="single" w:sz="4" w:space="0" w:color="auto"/>
              <w:bottom w:val="single" w:sz="4" w:space="0" w:color="000000"/>
              <w:right w:val="single" w:sz="4" w:space="0" w:color="auto"/>
            </w:tcBorders>
            <w:hideMark/>
          </w:tcPr>
          <w:p w14:paraId="3CF88932" w14:textId="77777777" w:rsidR="005A3266" w:rsidRPr="004C1987" w:rsidRDefault="005A3266" w:rsidP="00362E8E">
            <w:pPr>
              <w:jc w:val="center"/>
              <w:rPr>
                <w:rFonts w:ascii="Book Antiqua" w:hAnsi="Book Antiqua" w:cs="Arial"/>
                <w:bCs/>
              </w:rPr>
            </w:pPr>
            <w:r w:rsidRPr="004C1987">
              <w:rPr>
                <w:rFonts w:ascii="Book Antiqua" w:hAnsi="Book Antiqua" w:cs="Arial"/>
                <w:bCs/>
              </w:rPr>
              <w:t>3.14</w:t>
            </w:r>
          </w:p>
        </w:tc>
        <w:tc>
          <w:tcPr>
            <w:tcW w:w="1657" w:type="dxa"/>
            <w:tcBorders>
              <w:top w:val="single" w:sz="4" w:space="0" w:color="000000"/>
              <w:left w:val="single" w:sz="4" w:space="0" w:color="auto"/>
              <w:bottom w:val="single" w:sz="4" w:space="0" w:color="000000"/>
              <w:right w:val="single" w:sz="4" w:space="0" w:color="auto"/>
            </w:tcBorders>
            <w:hideMark/>
          </w:tcPr>
          <w:p w14:paraId="25B41A02" w14:textId="77777777" w:rsidR="005A3266" w:rsidRPr="004C1987" w:rsidRDefault="005A3266" w:rsidP="00362E8E">
            <w:pPr>
              <w:jc w:val="center"/>
              <w:rPr>
                <w:rFonts w:ascii="Book Antiqua" w:hAnsi="Book Antiqua" w:cs="Arial"/>
                <w:bCs/>
              </w:rPr>
            </w:pPr>
            <w:r w:rsidRPr="004C1987">
              <w:rPr>
                <w:rFonts w:ascii="Book Antiqua" w:hAnsi="Book Antiqua" w:cs="Arial"/>
                <w:bCs/>
              </w:rPr>
              <w:t>2.60</w:t>
            </w:r>
          </w:p>
        </w:tc>
        <w:tc>
          <w:tcPr>
            <w:tcW w:w="1657" w:type="dxa"/>
            <w:tcBorders>
              <w:top w:val="single" w:sz="4" w:space="0" w:color="000000"/>
              <w:left w:val="single" w:sz="4" w:space="0" w:color="auto"/>
              <w:bottom w:val="single" w:sz="4" w:space="0" w:color="000000"/>
              <w:right w:val="single" w:sz="4" w:space="0" w:color="auto"/>
            </w:tcBorders>
            <w:vAlign w:val="bottom"/>
            <w:hideMark/>
          </w:tcPr>
          <w:p w14:paraId="09568636" w14:textId="77777777" w:rsidR="005A3266" w:rsidRPr="004C1987" w:rsidRDefault="005A3266" w:rsidP="00362E8E">
            <w:pPr>
              <w:jc w:val="center"/>
              <w:rPr>
                <w:rFonts w:ascii="Book Antiqua" w:hAnsi="Book Antiqua" w:cs="Arial"/>
                <w:bCs/>
              </w:rPr>
            </w:pPr>
            <w:r w:rsidRPr="004C1987">
              <w:rPr>
                <w:rFonts w:ascii="Book Antiqua" w:hAnsi="Book Antiqua" w:cs="Arial"/>
                <w:bCs/>
              </w:rPr>
              <w:t>2.33</w:t>
            </w:r>
          </w:p>
        </w:tc>
      </w:tr>
    </w:tbl>
    <w:p w14:paraId="0F89BCC2" w14:textId="77777777" w:rsidR="005A3266" w:rsidRPr="004C1987" w:rsidRDefault="005A3266" w:rsidP="005A3266">
      <w:pPr>
        <w:spacing w:after="0" w:line="240" w:lineRule="auto"/>
        <w:jc w:val="both"/>
        <w:rPr>
          <w:rFonts w:ascii="Book Antiqua" w:eastAsia="Calibri" w:hAnsi="Book Antiqua" w:cs="Times New Roman"/>
          <w:sz w:val="16"/>
          <w:szCs w:val="24"/>
        </w:rPr>
      </w:pPr>
      <w:r w:rsidRPr="004C1987">
        <w:rPr>
          <w:rFonts w:ascii="Book Antiqua" w:eastAsia="Calibri" w:hAnsi="Book Antiqua" w:cs="Times New Roman"/>
          <w:sz w:val="16"/>
          <w:szCs w:val="24"/>
        </w:rPr>
        <w:t>In a column, figures with same letter (s) or without letter do not differ significantly whereas figures with dissimilar letter differ significantly (as per DMRT)</w:t>
      </w:r>
    </w:p>
    <w:p w14:paraId="321B16AD" w14:textId="77777777" w:rsidR="005A3266" w:rsidRPr="004C1987" w:rsidRDefault="005A3266" w:rsidP="005A3266">
      <w:pPr>
        <w:spacing w:after="0" w:line="240" w:lineRule="auto"/>
        <w:rPr>
          <w:rFonts w:ascii="Book Antiqua" w:eastAsia="Calibri" w:hAnsi="Book Antiqua" w:cs="Times New Roman"/>
          <w:sz w:val="16"/>
          <w:szCs w:val="24"/>
        </w:rPr>
      </w:pPr>
      <w:r w:rsidRPr="004C1987">
        <w:rPr>
          <w:rFonts w:ascii="Book Antiqua" w:eastAsia="Calibri" w:hAnsi="Book Antiqua" w:cs="Times New Roman"/>
          <w:sz w:val="16"/>
          <w:szCs w:val="24"/>
        </w:rPr>
        <w:t>** =Significant at 1% level of probability, * =Significant at 5% level of probability, NS = Not significant</w:t>
      </w:r>
    </w:p>
    <w:p w14:paraId="27CDF1B2" w14:textId="77777777" w:rsidR="00446793" w:rsidRPr="004C1987" w:rsidRDefault="00446793" w:rsidP="005A3266">
      <w:pPr>
        <w:spacing w:after="0" w:line="240" w:lineRule="auto"/>
        <w:rPr>
          <w:rFonts w:ascii="Book Antiqua" w:eastAsia="Calibri" w:hAnsi="Book Antiqua" w:cs="Times New Roman"/>
          <w:sz w:val="16"/>
          <w:szCs w:val="24"/>
        </w:rPr>
      </w:pPr>
    </w:p>
    <w:p w14:paraId="22BE148E" w14:textId="77777777" w:rsidR="00446793" w:rsidRPr="004C1987" w:rsidRDefault="00446793" w:rsidP="005A3266">
      <w:pPr>
        <w:spacing w:after="0" w:line="240" w:lineRule="auto"/>
        <w:rPr>
          <w:rFonts w:ascii="Book Antiqua" w:eastAsia="Calibri" w:hAnsi="Book Antiqua" w:cs="Times New Roman"/>
          <w:sz w:val="16"/>
          <w:szCs w:val="24"/>
        </w:rPr>
      </w:pPr>
    </w:p>
    <w:p w14:paraId="31CDD746" w14:textId="77777777" w:rsidR="00B9281D" w:rsidRPr="004C1987" w:rsidRDefault="00B9281D" w:rsidP="0069383D">
      <w:pPr>
        <w:spacing w:after="0"/>
        <w:ind w:left="756" w:hanging="756"/>
        <w:jc w:val="both"/>
        <w:rPr>
          <w:rFonts w:ascii="Book Antiqua" w:eastAsia="Calibri" w:hAnsi="Book Antiqua" w:cs="Times New Roman"/>
          <w:b/>
          <w:szCs w:val="24"/>
        </w:rPr>
      </w:pPr>
    </w:p>
    <w:p w14:paraId="40C8775D" w14:textId="77777777" w:rsidR="00B9281D" w:rsidRPr="004C1987" w:rsidRDefault="00B9281D" w:rsidP="0069383D">
      <w:pPr>
        <w:spacing w:after="0"/>
        <w:ind w:left="756" w:hanging="756"/>
        <w:jc w:val="both"/>
        <w:rPr>
          <w:rFonts w:ascii="Book Antiqua" w:eastAsia="Calibri" w:hAnsi="Book Antiqua" w:cs="Times New Roman"/>
          <w:b/>
          <w:szCs w:val="24"/>
        </w:rPr>
      </w:pPr>
    </w:p>
    <w:p w14:paraId="659809F1" w14:textId="77777777" w:rsidR="00B9281D" w:rsidRPr="004C1987" w:rsidRDefault="00B9281D" w:rsidP="0069383D">
      <w:pPr>
        <w:spacing w:after="0"/>
        <w:ind w:left="756" w:hanging="756"/>
        <w:jc w:val="both"/>
        <w:rPr>
          <w:rFonts w:ascii="Book Antiqua" w:eastAsia="Calibri" w:hAnsi="Book Antiqua" w:cs="Times New Roman"/>
          <w:b/>
          <w:szCs w:val="24"/>
        </w:rPr>
      </w:pPr>
    </w:p>
    <w:p w14:paraId="14C2569E" w14:textId="77777777" w:rsidR="00B9281D" w:rsidRPr="004C1987" w:rsidRDefault="00B9281D" w:rsidP="0069383D">
      <w:pPr>
        <w:spacing w:after="0"/>
        <w:ind w:left="756" w:hanging="756"/>
        <w:jc w:val="both"/>
        <w:rPr>
          <w:rFonts w:ascii="Book Antiqua" w:eastAsia="Calibri" w:hAnsi="Book Antiqua" w:cs="Times New Roman"/>
          <w:b/>
          <w:szCs w:val="24"/>
        </w:rPr>
      </w:pPr>
    </w:p>
    <w:p w14:paraId="7E81ACBB" w14:textId="77777777" w:rsidR="00B9281D" w:rsidRPr="004C1987" w:rsidRDefault="00B9281D" w:rsidP="0069383D">
      <w:pPr>
        <w:spacing w:after="0"/>
        <w:ind w:left="756" w:hanging="756"/>
        <w:jc w:val="both"/>
        <w:rPr>
          <w:rFonts w:ascii="Book Antiqua" w:eastAsia="Calibri" w:hAnsi="Book Antiqua" w:cs="Times New Roman"/>
          <w:b/>
          <w:szCs w:val="24"/>
        </w:rPr>
      </w:pPr>
    </w:p>
    <w:p w14:paraId="58E99B73" w14:textId="4EE08F02" w:rsidR="0069383D" w:rsidRPr="004C1987" w:rsidRDefault="0069383D" w:rsidP="0069383D">
      <w:pPr>
        <w:spacing w:after="0"/>
        <w:ind w:left="756" w:hanging="756"/>
        <w:jc w:val="both"/>
        <w:rPr>
          <w:rFonts w:ascii="Book Antiqua" w:eastAsia="Calibri" w:hAnsi="Book Antiqua" w:cs="Times New Roman"/>
          <w:b/>
          <w:szCs w:val="24"/>
        </w:rPr>
      </w:pPr>
      <w:r w:rsidRPr="004C1987">
        <w:rPr>
          <w:rFonts w:ascii="Book Antiqua" w:eastAsia="Calibri" w:hAnsi="Book Antiqua" w:cs="Times New Roman"/>
          <w:b/>
          <w:szCs w:val="24"/>
        </w:rPr>
        <w:lastRenderedPageBreak/>
        <w:t xml:space="preserve">Table </w:t>
      </w:r>
      <w:r w:rsidR="00847C83" w:rsidRPr="004C1987">
        <w:rPr>
          <w:rFonts w:ascii="Book Antiqua" w:eastAsia="Calibri" w:hAnsi="Book Antiqua" w:cs="Times New Roman"/>
          <w:b/>
          <w:szCs w:val="24"/>
        </w:rPr>
        <w:t>3</w:t>
      </w:r>
      <w:r w:rsidRPr="004C1987">
        <w:rPr>
          <w:rFonts w:ascii="Book Antiqua" w:eastAsia="Calibri" w:hAnsi="Book Antiqua" w:cs="Times New Roman"/>
          <w:b/>
          <w:szCs w:val="24"/>
        </w:rPr>
        <w:t xml:space="preserve">. Interaction effects of cultivars and nitrogen sources on yield and yield contributing characters of </w:t>
      </w:r>
      <w:proofErr w:type="spellStart"/>
      <w:r w:rsidR="007A5B82" w:rsidRPr="004C1987">
        <w:rPr>
          <w:rFonts w:ascii="Book Antiqua" w:eastAsia="Calibri" w:hAnsi="Book Antiqua" w:cs="Times New Roman"/>
          <w:b/>
          <w:i/>
          <w:szCs w:val="24"/>
        </w:rPr>
        <w:t>boro</w:t>
      </w:r>
      <w:proofErr w:type="spellEnd"/>
      <w:r w:rsidR="007A5B82" w:rsidRPr="004C1987">
        <w:rPr>
          <w:rFonts w:ascii="Book Antiqua" w:eastAsia="Calibri" w:hAnsi="Book Antiqua" w:cs="Times New Roman"/>
          <w:b/>
          <w:szCs w:val="24"/>
        </w:rPr>
        <w:t xml:space="preserve"> </w:t>
      </w:r>
      <w:r w:rsidRPr="004C1987">
        <w:rPr>
          <w:rFonts w:ascii="Book Antiqua" w:eastAsia="Calibri" w:hAnsi="Book Antiqua" w:cs="Times New Roman"/>
          <w:b/>
          <w:szCs w:val="24"/>
        </w:rPr>
        <w:t>rice</w:t>
      </w:r>
    </w:p>
    <w:p w14:paraId="71274BB9" w14:textId="77777777" w:rsidR="00446793" w:rsidRPr="004C1987" w:rsidRDefault="00446793" w:rsidP="005A3266">
      <w:pPr>
        <w:spacing w:after="0" w:line="240" w:lineRule="auto"/>
        <w:rPr>
          <w:rFonts w:ascii="Book Antiqua" w:eastAsia="Calibri" w:hAnsi="Book Antiqua" w:cs="Times New Roman"/>
          <w:sz w:val="16"/>
          <w:szCs w:val="24"/>
        </w:rPr>
      </w:pPr>
    </w:p>
    <w:tbl>
      <w:tblPr>
        <w:tblStyle w:val="TableGrid3"/>
        <w:tblpPr w:leftFromText="180" w:rightFromText="180" w:vertAnchor="text" w:horzAnchor="margin" w:tblpY="3"/>
        <w:tblW w:w="9468" w:type="dxa"/>
        <w:tblLayout w:type="fixed"/>
        <w:tblLook w:val="01E0" w:firstRow="1" w:lastRow="1" w:firstColumn="1" w:lastColumn="1" w:noHBand="0" w:noVBand="0"/>
      </w:tblPr>
      <w:tblGrid>
        <w:gridCol w:w="1425"/>
        <w:gridCol w:w="1707"/>
        <w:gridCol w:w="1660"/>
        <w:gridCol w:w="1508"/>
        <w:gridCol w:w="1659"/>
        <w:gridCol w:w="1509"/>
      </w:tblGrid>
      <w:tr w:rsidR="004C1987" w:rsidRPr="004C1987" w14:paraId="1D9A24D5" w14:textId="77777777" w:rsidTr="0069383D">
        <w:trPr>
          <w:trHeight w:val="612"/>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009079B0"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Interaction (Cultivars x N sources)</w:t>
            </w:r>
          </w:p>
        </w:tc>
        <w:tc>
          <w:tcPr>
            <w:tcW w:w="1707" w:type="dxa"/>
            <w:tcBorders>
              <w:top w:val="single" w:sz="4" w:space="0" w:color="000000"/>
              <w:left w:val="single" w:sz="4" w:space="0" w:color="auto"/>
              <w:bottom w:val="single" w:sz="4" w:space="0" w:color="000000"/>
              <w:right w:val="single" w:sz="4" w:space="0" w:color="auto"/>
            </w:tcBorders>
            <w:hideMark/>
          </w:tcPr>
          <w:p w14:paraId="41991500" w14:textId="07A94FCE" w:rsidR="0069383D" w:rsidRPr="004C1987" w:rsidRDefault="00282ABF" w:rsidP="0069383D">
            <w:pPr>
              <w:jc w:val="center"/>
              <w:rPr>
                <w:rFonts w:ascii="Book Antiqua" w:hAnsi="Book Antiqua" w:cs="Arial"/>
                <w:bCs/>
                <w:sz w:val="16"/>
                <w:szCs w:val="18"/>
              </w:rPr>
            </w:pPr>
            <w:r w:rsidRPr="004C1987">
              <w:rPr>
                <w:rFonts w:ascii="Book Antiqua" w:hAnsi="Book Antiqua" w:cs="Arial"/>
                <w:bCs/>
                <w:sz w:val="18"/>
              </w:rPr>
              <w:t>Plant height at maturity (cm)</w:t>
            </w:r>
          </w:p>
        </w:tc>
        <w:tc>
          <w:tcPr>
            <w:tcW w:w="1660" w:type="dxa"/>
            <w:tcBorders>
              <w:top w:val="single" w:sz="4" w:space="0" w:color="000000"/>
              <w:left w:val="single" w:sz="4" w:space="0" w:color="000000"/>
              <w:bottom w:val="single" w:sz="4" w:space="0" w:color="000000"/>
              <w:right w:val="single" w:sz="4" w:space="0" w:color="000000"/>
            </w:tcBorders>
            <w:hideMark/>
          </w:tcPr>
          <w:p w14:paraId="28C78675"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 xml:space="preserve">Grain yield </w:t>
            </w:r>
          </w:p>
          <w:p w14:paraId="097DF333"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(t ha</w:t>
            </w:r>
            <w:r w:rsidRPr="004C1987">
              <w:rPr>
                <w:rFonts w:ascii="Book Antiqua" w:hAnsi="Book Antiqua" w:cs="Arial"/>
                <w:bCs/>
                <w:sz w:val="16"/>
                <w:szCs w:val="18"/>
                <w:vertAlign w:val="superscript"/>
              </w:rPr>
              <w:t>-1</w:t>
            </w:r>
            <w:r w:rsidRPr="004C1987">
              <w:rPr>
                <w:rFonts w:ascii="Book Antiqua" w:hAnsi="Book Antiqua" w:cs="Arial"/>
                <w:bCs/>
                <w:sz w:val="16"/>
                <w:szCs w:val="18"/>
              </w:rPr>
              <w:t>)</w:t>
            </w:r>
          </w:p>
        </w:tc>
        <w:tc>
          <w:tcPr>
            <w:tcW w:w="1508" w:type="dxa"/>
            <w:tcBorders>
              <w:top w:val="single" w:sz="4" w:space="0" w:color="000000"/>
              <w:left w:val="single" w:sz="4" w:space="0" w:color="000000"/>
              <w:bottom w:val="single" w:sz="4" w:space="0" w:color="000000"/>
              <w:right w:val="single" w:sz="4" w:space="0" w:color="000000"/>
            </w:tcBorders>
            <w:hideMark/>
          </w:tcPr>
          <w:p w14:paraId="3FE7A3F3"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 xml:space="preserve">Straw yield </w:t>
            </w:r>
          </w:p>
          <w:p w14:paraId="34897280"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(t ha</w:t>
            </w:r>
            <w:r w:rsidRPr="004C1987">
              <w:rPr>
                <w:rFonts w:ascii="Book Antiqua" w:hAnsi="Book Antiqua" w:cs="Arial"/>
                <w:bCs/>
                <w:sz w:val="16"/>
                <w:szCs w:val="18"/>
                <w:vertAlign w:val="superscript"/>
              </w:rPr>
              <w:t>-1</w:t>
            </w:r>
            <w:r w:rsidRPr="004C1987">
              <w:rPr>
                <w:rFonts w:ascii="Book Antiqua" w:hAnsi="Book Antiqua" w:cs="Arial"/>
                <w:bCs/>
                <w:sz w:val="16"/>
                <w:szCs w:val="18"/>
              </w:rPr>
              <w:t>)</w:t>
            </w:r>
          </w:p>
        </w:tc>
        <w:tc>
          <w:tcPr>
            <w:tcW w:w="1659" w:type="dxa"/>
            <w:tcBorders>
              <w:top w:val="single" w:sz="4" w:space="0" w:color="000000"/>
              <w:left w:val="single" w:sz="4" w:space="0" w:color="000000"/>
              <w:bottom w:val="single" w:sz="4" w:space="0" w:color="000000"/>
              <w:right w:val="single" w:sz="4" w:space="0" w:color="000000"/>
            </w:tcBorders>
            <w:hideMark/>
          </w:tcPr>
          <w:p w14:paraId="17FA6E72"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 xml:space="preserve">Biological yield </w:t>
            </w:r>
          </w:p>
          <w:p w14:paraId="7D6BCC00"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(t ha</w:t>
            </w:r>
            <w:r w:rsidRPr="004C1987">
              <w:rPr>
                <w:rFonts w:ascii="Book Antiqua" w:hAnsi="Book Antiqua" w:cs="Arial"/>
                <w:bCs/>
                <w:sz w:val="16"/>
                <w:szCs w:val="18"/>
                <w:vertAlign w:val="superscript"/>
              </w:rPr>
              <w:t>-1</w:t>
            </w:r>
            <w:r w:rsidRPr="004C1987">
              <w:rPr>
                <w:rFonts w:ascii="Book Antiqua" w:hAnsi="Book Antiqua" w:cs="Arial"/>
                <w:bCs/>
                <w:sz w:val="16"/>
                <w:szCs w:val="18"/>
              </w:rPr>
              <w:t>)</w:t>
            </w:r>
          </w:p>
        </w:tc>
        <w:tc>
          <w:tcPr>
            <w:tcW w:w="1509" w:type="dxa"/>
            <w:tcBorders>
              <w:top w:val="single" w:sz="4" w:space="0" w:color="000000"/>
              <w:left w:val="single" w:sz="4" w:space="0" w:color="000000"/>
              <w:bottom w:val="single" w:sz="4" w:space="0" w:color="000000"/>
              <w:right w:val="single" w:sz="4" w:space="0" w:color="auto"/>
            </w:tcBorders>
            <w:hideMark/>
          </w:tcPr>
          <w:p w14:paraId="2B7E0BDF"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Harvest index (%)</w:t>
            </w:r>
          </w:p>
        </w:tc>
      </w:tr>
      <w:tr w:rsidR="004C1987" w:rsidRPr="004C1987" w14:paraId="562E5E33"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3D83C969"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auto"/>
              <w:bottom w:val="single" w:sz="4" w:space="0" w:color="000000"/>
              <w:right w:val="single" w:sz="4" w:space="0" w:color="auto"/>
            </w:tcBorders>
            <w:vAlign w:val="center"/>
            <w:hideMark/>
          </w:tcPr>
          <w:p w14:paraId="03D2864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82.23defgh</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3E772AE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3.30i</w:t>
            </w:r>
          </w:p>
        </w:tc>
        <w:tc>
          <w:tcPr>
            <w:tcW w:w="1508" w:type="dxa"/>
            <w:tcBorders>
              <w:top w:val="single" w:sz="4" w:space="0" w:color="000000"/>
              <w:left w:val="single" w:sz="4" w:space="0" w:color="000000"/>
              <w:bottom w:val="single" w:sz="4" w:space="0" w:color="000000"/>
              <w:right w:val="single" w:sz="4" w:space="0" w:color="000000"/>
            </w:tcBorders>
            <w:vAlign w:val="center"/>
            <w:hideMark/>
          </w:tcPr>
          <w:p w14:paraId="7CB61EE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3.78j</w:t>
            </w:r>
          </w:p>
        </w:tc>
        <w:tc>
          <w:tcPr>
            <w:tcW w:w="1659" w:type="dxa"/>
            <w:tcBorders>
              <w:top w:val="single" w:sz="4" w:space="0" w:color="000000"/>
              <w:left w:val="single" w:sz="4" w:space="0" w:color="000000"/>
              <w:bottom w:val="single" w:sz="4" w:space="0" w:color="000000"/>
              <w:right w:val="single" w:sz="4" w:space="0" w:color="000000"/>
            </w:tcBorders>
            <w:vAlign w:val="center"/>
            <w:hideMark/>
          </w:tcPr>
          <w:p w14:paraId="71CCAA8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7.09k</w:t>
            </w:r>
          </w:p>
        </w:tc>
        <w:tc>
          <w:tcPr>
            <w:tcW w:w="1509" w:type="dxa"/>
            <w:tcBorders>
              <w:top w:val="single" w:sz="4" w:space="0" w:color="000000"/>
              <w:left w:val="single" w:sz="4" w:space="0" w:color="000000"/>
              <w:bottom w:val="single" w:sz="4" w:space="0" w:color="000000"/>
              <w:right w:val="single" w:sz="4" w:space="0" w:color="auto"/>
            </w:tcBorders>
            <w:vAlign w:val="center"/>
            <w:hideMark/>
          </w:tcPr>
          <w:p w14:paraId="53B8089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46.62</w:t>
            </w:r>
          </w:p>
        </w:tc>
      </w:tr>
      <w:tr w:rsidR="004C1987" w:rsidRPr="004C1987" w14:paraId="7F86AC9E" w14:textId="77777777" w:rsidTr="0069383D">
        <w:trPr>
          <w:trHeight w:val="262"/>
        </w:trPr>
        <w:tc>
          <w:tcPr>
            <w:tcW w:w="1425" w:type="dxa"/>
            <w:tcBorders>
              <w:top w:val="single" w:sz="4" w:space="0" w:color="000000"/>
              <w:left w:val="single" w:sz="4" w:space="0" w:color="000000"/>
              <w:bottom w:val="single" w:sz="4" w:space="0" w:color="000000"/>
              <w:right w:val="single" w:sz="4" w:space="0" w:color="000000"/>
            </w:tcBorders>
            <w:hideMark/>
          </w:tcPr>
          <w:p w14:paraId="4BE0A018"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auto"/>
              <w:bottom w:val="single" w:sz="4" w:space="0" w:color="000000"/>
              <w:right w:val="single" w:sz="4" w:space="0" w:color="auto"/>
            </w:tcBorders>
            <w:vAlign w:val="center"/>
            <w:hideMark/>
          </w:tcPr>
          <w:p w14:paraId="036AA33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91.35ab</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2D036CE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4.89e</w:t>
            </w:r>
          </w:p>
        </w:tc>
        <w:tc>
          <w:tcPr>
            <w:tcW w:w="1508" w:type="dxa"/>
            <w:tcBorders>
              <w:top w:val="single" w:sz="4" w:space="0" w:color="000000"/>
              <w:left w:val="single" w:sz="4" w:space="0" w:color="000000"/>
              <w:bottom w:val="single" w:sz="4" w:space="0" w:color="000000"/>
              <w:right w:val="single" w:sz="4" w:space="0" w:color="000000"/>
            </w:tcBorders>
            <w:vAlign w:val="center"/>
            <w:hideMark/>
          </w:tcPr>
          <w:p w14:paraId="777605E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5.48fg</w:t>
            </w:r>
          </w:p>
        </w:tc>
        <w:tc>
          <w:tcPr>
            <w:tcW w:w="1659" w:type="dxa"/>
            <w:tcBorders>
              <w:top w:val="single" w:sz="4" w:space="0" w:color="000000"/>
              <w:left w:val="single" w:sz="4" w:space="0" w:color="000000"/>
              <w:bottom w:val="single" w:sz="4" w:space="0" w:color="000000"/>
              <w:right w:val="single" w:sz="4" w:space="0" w:color="000000"/>
            </w:tcBorders>
            <w:vAlign w:val="center"/>
            <w:hideMark/>
          </w:tcPr>
          <w:p w14:paraId="05CC5D6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10.3</w:t>
            </w:r>
            <w:r w:rsidRPr="004C1987">
              <w:rPr>
                <w:rFonts w:ascii="Book Antiqua" w:hAnsi="Book Antiqua"/>
                <w:sz w:val="16"/>
                <w:szCs w:val="18"/>
              </w:rPr>
              <w:t>8</w:t>
            </w:r>
            <w:r w:rsidRPr="004C1987">
              <w:rPr>
                <w:rFonts w:ascii="Book Antiqua" w:hAnsi="Book Antiqua" w:cs="Courier New"/>
                <w:sz w:val="16"/>
                <w:szCs w:val="18"/>
              </w:rPr>
              <w:t>g</w:t>
            </w:r>
          </w:p>
        </w:tc>
        <w:tc>
          <w:tcPr>
            <w:tcW w:w="1509" w:type="dxa"/>
            <w:tcBorders>
              <w:top w:val="single" w:sz="4" w:space="0" w:color="000000"/>
              <w:left w:val="single" w:sz="4" w:space="0" w:color="000000"/>
              <w:bottom w:val="single" w:sz="4" w:space="0" w:color="000000"/>
              <w:right w:val="single" w:sz="4" w:space="0" w:color="auto"/>
            </w:tcBorders>
            <w:vAlign w:val="center"/>
            <w:hideMark/>
          </w:tcPr>
          <w:p w14:paraId="0C28425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47.11</w:t>
            </w:r>
          </w:p>
        </w:tc>
      </w:tr>
      <w:tr w:rsidR="004C1987" w:rsidRPr="004C1987" w14:paraId="2197546A"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6C992A7F"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auto"/>
              <w:bottom w:val="single" w:sz="4" w:space="0" w:color="000000"/>
              <w:right w:val="single" w:sz="4" w:space="0" w:color="auto"/>
            </w:tcBorders>
            <w:vAlign w:val="center"/>
            <w:hideMark/>
          </w:tcPr>
          <w:p w14:paraId="4B00492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90.25abc</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6502BF6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4.35fg</w:t>
            </w:r>
          </w:p>
        </w:tc>
        <w:tc>
          <w:tcPr>
            <w:tcW w:w="1508" w:type="dxa"/>
            <w:tcBorders>
              <w:top w:val="single" w:sz="4" w:space="0" w:color="000000"/>
              <w:left w:val="single" w:sz="4" w:space="0" w:color="000000"/>
              <w:bottom w:val="single" w:sz="4" w:space="0" w:color="000000"/>
              <w:right w:val="single" w:sz="4" w:space="0" w:color="000000"/>
            </w:tcBorders>
            <w:vAlign w:val="center"/>
            <w:hideMark/>
          </w:tcPr>
          <w:p w14:paraId="357667C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4.90h</w:t>
            </w:r>
          </w:p>
        </w:tc>
        <w:tc>
          <w:tcPr>
            <w:tcW w:w="1659" w:type="dxa"/>
            <w:tcBorders>
              <w:top w:val="single" w:sz="4" w:space="0" w:color="000000"/>
              <w:left w:val="single" w:sz="4" w:space="0" w:color="000000"/>
              <w:bottom w:val="single" w:sz="4" w:space="0" w:color="000000"/>
              <w:right w:val="single" w:sz="4" w:space="0" w:color="000000"/>
            </w:tcBorders>
            <w:vAlign w:val="center"/>
            <w:hideMark/>
          </w:tcPr>
          <w:p w14:paraId="1A790DF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9.25hi</w:t>
            </w:r>
          </w:p>
        </w:tc>
        <w:tc>
          <w:tcPr>
            <w:tcW w:w="1509" w:type="dxa"/>
            <w:tcBorders>
              <w:top w:val="single" w:sz="4" w:space="0" w:color="000000"/>
              <w:left w:val="single" w:sz="4" w:space="0" w:color="000000"/>
              <w:bottom w:val="single" w:sz="4" w:space="0" w:color="000000"/>
              <w:right w:val="single" w:sz="4" w:space="0" w:color="auto"/>
            </w:tcBorders>
            <w:vAlign w:val="center"/>
            <w:hideMark/>
          </w:tcPr>
          <w:p w14:paraId="3118DB0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46.99</w:t>
            </w:r>
          </w:p>
        </w:tc>
      </w:tr>
      <w:tr w:rsidR="004C1987" w:rsidRPr="004C1987" w14:paraId="26EB402C"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458E3B2D"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C8110E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90.77ab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E733D4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5.87ab</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603675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6.22a</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6BA099F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12.09ab</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B3FBAB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48.55</w:t>
            </w:r>
          </w:p>
        </w:tc>
      </w:tr>
      <w:tr w:rsidR="004C1987" w:rsidRPr="004C1987" w14:paraId="31D3718E"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2A09A038"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E543BB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91.32ab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083BE3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5.41c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925ED1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5.83cde</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F04AD3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11.25de</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1771E5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48.08</w:t>
            </w:r>
          </w:p>
        </w:tc>
      </w:tr>
      <w:tr w:rsidR="004C1987" w:rsidRPr="004C1987" w14:paraId="57A68AF5"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17B823CA"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0E41AFA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90.13abc</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08FBBCF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5.19cd</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C8DCEF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5.63defg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7489A4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10.82efg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2753DF3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47.98</w:t>
            </w:r>
          </w:p>
        </w:tc>
      </w:tr>
      <w:tr w:rsidR="004C1987" w:rsidRPr="004C1987" w14:paraId="315B4246"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2B2DB445"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136977B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74.95h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50214C6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2.99j</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87C6DA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3.52j</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888350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6.51l</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2C681E3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45.96</w:t>
            </w:r>
          </w:p>
        </w:tc>
      </w:tr>
      <w:tr w:rsidR="004C1987" w:rsidRPr="004C1987" w14:paraId="6E8EF2F9"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150A56AB"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8AB8C6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77.16gh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837152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4.32fg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7434488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4.94h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14CFFD9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9.26hi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A40AF3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46.69</w:t>
            </w:r>
          </w:p>
        </w:tc>
      </w:tr>
      <w:tr w:rsidR="004C1987" w:rsidRPr="004C1987" w14:paraId="285995DC"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7D0C2F6B"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7840A8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75.64gh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F9534E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4.15g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1A1BB44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4.79h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33DEBA6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8.94i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2A2531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46.44</w:t>
            </w:r>
          </w:p>
        </w:tc>
      </w:tr>
      <w:tr w:rsidR="004C1987" w:rsidRPr="004C1987" w14:paraId="5DA8EBF0"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0FD6D4DF"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3FB11F1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74.89h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09038CE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5.67b</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68414CF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6.10abc</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C3176E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11.77bc</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0ABE62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48.19</w:t>
            </w:r>
          </w:p>
        </w:tc>
      </w:tr>
      <w:tr w:rsidR="004C1987" w:rsidRPr="004C1987" w14:paraId="60FD2488"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34702F81"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EDB3A9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82.77cdefg</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4B63545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5.07de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CA7BB9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5.54efg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09D460D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10.61g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3394729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47.77</w:t>
            </w:r>
          </w:p>
        </w:tc>
      </w:tr>
      <w:tr w:rsidR="004C1987" w:rsidRPr="004C1987" w14:paraId="046D6092"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6A6F6426"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E61F17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79.47fgh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E79AFD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4.96de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D5B686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5.43g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76C1121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10.39g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7DF813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47.71</w:t>
            </w:r>
          </w:p>
        </w:tc>
      </w:tr>
      <w:tr w:rsidR="004C1987" w:rsidRPr="004C1987" w14:paraId="0D67A6A2"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731E73FD"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2549E8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87.77abcde</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352975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3.16ij</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028550B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3.70j</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F75F0A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6.86kl</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7A9DA8F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46.01</w:t>
            </w:r>
          </w:p>
        </w:tc>
      </w:tr>
      <w:tr w:rsidR="004C1987" w:rsidRPr="004C1987" w14:paraId="5DF36921"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C70506B"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BCA023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86.75bcdef</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6FC4070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4.49f</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4E4E1B2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5.05h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574032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9.54h</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EA8D4A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47.06</w:t>
            </w:r>
          </w:p>
        </w:tc>
      </w:tr>
      <w:tr w:rsidR="004C1987" w:rsidRPr="004C1987" w14:paraId="0BD7641F"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5E14FC11"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6616F34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87.67abcde</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98032E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4.23g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662E8E2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310692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9.07i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479DCD3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46.63</w:t>
            </w:r>
          </w:p>
        </w:tc>
      </w:tr>
      <w:tr w:rsidR="004C1987" w:rsidRPr="004C1987" w14:paraId="6CE7B7C8"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6128AD43"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08BBF6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86.88bcdef</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C3B9B8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5.83ab</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55C974B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6.20ab</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C8F439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12.04ab</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F20805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48.47</w:t>
            </w:r>
          </w:p>
        </w:tc>
      </w:tr>
      <w:tr w:rsidR="004C1987" w:rsidRPr="004C1987" w14:paraId="05CE3FEA"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10826660"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59E27F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80.25efgh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4F6F5C2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5.38c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7E2F644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5.75def</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7B274B1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11.14def</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2D7893E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48.40</w:t>
            </w:r>
          </w:p>
        </w:tc>
      </w:tr>
      <w:tr w:rsidR="004C1987" w:rsidRPr="004C1987" w14:paraId="721CB63B"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4769C51"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6557C4F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89.77abcd</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32CF78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5.10de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1F20B2D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5.56efg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478950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10.67fg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0FA019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47.82</w:t>
            </w:r>
          </w:p>
        </w:tc>
      </w:tr>
      <w:tr w:rsidR="004C1987" w:rsidRPr="004C1987" w14:paraId="7CA4FA9F"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287D93D"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0A5D0E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92.43ab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44BFC4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3.70h</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621AA2E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4.24i</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32E994E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7.95j</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4603035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46.60</w:t>
            </w:r>
          </w:p>
        </w:tc>
      </w:tr>
      <w:tr w:rsidR="004C1987" w:rsidRPr="004C1987" w14:paraId="6B6DA1C0"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602F9EEB"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1DF092A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87.95abcd</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13634F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5.00de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079A684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5.80de</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99E69D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10.81efg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5D5044D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46.33</w:t>
            </w:r>
          </w:p>
        </w:tc>
      </w:tr>
      <w:tr w:rsidR="004C1987" w:rsidRPr="004C1987" w14:paraId="5D208332"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67E3450C"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14DCD8C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91.57ab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774B74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4.38fg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53A759E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4.93h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5632028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9.32hi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5797298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47.08</w:t>
            </w:r>
          </w:p>
        </w:tc>
      </w:tr>
      <w:tr w:rsidR="004C1987" w:rsidRPr="004C1987" w14:paraId="5CC374BF"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4355F1A0"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323668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94.97a</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0206BD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6.03a</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46D5A5B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6.33a</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0D43476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12.36a</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9181AA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48.81</w:t>
            </w:r>
          </w:p>
        </w:tc>
      </w:tr>
      <w:tr w:rsidR="004C1987" w:rsidRPr="004C1987" w14:paraId="4E67C1ED"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162BBCC"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3CB56F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86.45bcdef</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AD494C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5.42c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085D707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5.92bcd</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03B03F9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11.35cd</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1B84BD8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47.82</w:t>
            </w:r>
          </w:p>
        </w:tc>
      </w:tr>
      <w:tr w:rsidR="004C1987" w:rsidRPr="004C1987" w14:paraId="4AFAD029"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7D8791C9"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4F0D36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90.33abc</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5EB6C0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5.43c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39C900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5.78def</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84D3E1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11.22de</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56530BD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48.43</w:t>
            </w:r>
          </w:p>
        </w:tc>
      </w:tr>
      <w:tr w:rsidR="004C1987" w:rsidRPr="004C1987" w14:paraId="2AF21305" w14:textId="77777777" w:rsidTr="0069383D">
        <w:trPr>
          <w:trHeight w:val="209"/>
        </w:trPr>
        <w:tc>
          <w:tcPr>
            <w:tcW w:w="1425" w:type="dxa"/>
            <w:tcBorders>
              <w:top w:val="single" w:sz="4" w:space="0" w:color="000000"/>
              <w:left w:val="single" w:sz="4" w:space="0" w:color="000000"/>
              <w:bottom w:val="single" w:sz="4" w:space="0" w:color="000000"/>
              <w:right w:val="single" w:sz="4" w:space="0" w:color="000000"/>
            </w:tcBorders>
            <w:hideMark/>
          </w:tcPr>
          <w:p w14:paraId="13109B8D" w14:textId="77777777" w:rsidR="0069383D" w:rsidRPr="004C1987" w:rsidRDefault="0069383D" w:rsidP="0069383D">
            <w:pPr>
              <w:rPr>
                <w:rFonts w:ascii="Book Antiqua" w:hAnsi="Book Antiqua"/>
                <w:sz w:val="16"/>
                <w:szCs w:val="18"/>
              </w:rPr>
            </w:pPr>
            <w:r w:rsidRPr="004C1987">
              <w:rPr>
                <w:noProof/>
                <w:sz w:val="16"/>
                <w:szCs w:val="18"/>
              </w:rPr>
              <mc:AlternateContent>
                <mc:Choice Requires="wps">
                  <w:drawing>
                    <wp:anchor distT="0" distB="0" distL="114300" distR="114300" simplePos="0" relativeHeight="251687936" behindDoc="0" locked="0" layoutInCell="1" allowOverlap="1" wp14:anchorId="3DB96FC5" wp14:editId="0E01BF26">
                      <wp:simplePos x="0" y="0"/>
                      <wp:positionH relativeFrom="column">
                        <wp:posOffset>69850</wp:posOffset>
                      </wp:positionH>
                      <wp:positionV relativeFrom="paragraph">
                        <wp:posOffset>31115</wp:posOffset>
                      </wp:positionV>
                      <wp:extent cx="64135" cy="0"/>
                      <wp:effectExtent l="0" t="0" r="0" b="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52015" id="Straight Connector 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5pt" to="1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lLHAIAADUEAAAOAAAAZHJzL2Uyb0RvYy54bWysU8uu2jAU3FfqP1jeQxJuo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"/>
                  </w:pict>
                </mc:Fallback>
              </mc:AlternateContent>
            </w:r>
            <w:proofErr w:type="spellStart"/>
            <w:r w:rsidRPr="004C1987">
              <w:rPr>
                <w:rFonts w:ascii="Book Antiqua" w:hAnsi="Book Antiqua"/>
                <w:sz w:val="16"/>
                <w:szCs w:val="18"/>
              </w:rPr>
              <w:t>Sx</w:t>
            </w:r>
            <w:proofErr w:type="spellEnd"/>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F2C1DDA"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2.30</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5A8225C9"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0.077</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4DF077F2"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0.095</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1D365648"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0.150</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4898DA0D"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0.635</w:t>
            </w:r>
          </w:p>
        </w:tc>
      </w:tr>
      <w:tr w:rsidR="004C1987" w:rsidRPr="004C1987" w14:paraId="710FE739" w14:textId="77777777" w:rsidTr="0069383D">
        <w:trPr>
          <w:trHeight w:val="209"/>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23D068AE" w14:textId="77777777" w:rsidR="0069383D" w:rsidRPr="004C1987" w:rsidRDefault="0069383D" w:rsidP="0069383D">
            <w:pPr>
              <w:spacing w:line="216" w:lineRule="auto"/>
              <w:rPr>
                <w:rFonts w:ascii="Book Antiqua" w:hAnsi="Book Antiqua"/>
                <w:sz w:val="16"/>
                <w:szCs w:val="18"/>
              </w:rPr>
            </w:pPr>
            <w:r w:rsidRPr="004C1987">
              <w:rPr>
                <w:rFonts w:ascii="Book Antiqua" w:hAnsi="Book Antiqua"/>
                <w:sz w:val="16"/>
                <w:szCs w:val="18"/>
              </w:rPr>
              <w:t>Level of sig.</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0D4CA817"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50D93BC4"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8D6BDFF"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143B9C7"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3E3ACE7A"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NS</w:t>
            </w:r>
          </w:p>
        </w:tc>
      </w:tr>
      <w:tr w:rsidR="004C1987" w:rsidRPr="004C1987" w14:paraId="6F7D8738" w14:textId="77777777" w:rsidTr="0069383D">
        <w:trPr>
          <w:trHeight w:val="195"/>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0A266BCC" w14:textId="77777777" w:rsidR="0069383D" w:rsidRPr="004C1987" w:rsidRDefault="0069383D" w:rsidP="0069383D">
            <w:pPr>
              <w:spacing w:line="216" w:lineRule="auto"/>
              <w:rPr>
                <w:rFonts w:ascii="Book Antiqua" w:hAnsi="Book Antiqua"/>
                <w:sz w:val="16"/>
                <w:szCs w:val="18"/>
              </w:rPr>
            </w:pPr>
            <w:r w:rsidRPr="004C1987">
              <w:rPr>
                <w:rFonts w:ascii="Book Antiqua" w:hAnsi="Book Antiqua"/>
                <w:sz w:val="16"/>
                <w:szCs w:val="18"/>
              </w:rPr>
              <w:t>CV (%)</w:t>
            </w:r>
          </w:p>
        </w:tc>
        <w:tc>
          <w:tcPr>
            <w:tcW w:w="1707" w:type="dxa"/>
            <w:tcBorders>
              <w:top w:val="single" w:sz="4" w:space="0" w:color="000000"/>
              <w:left w:val="single" w:sz="4" w:space="0" w:color="000000"/>
              <w:bottom w:val="single" w:sz="4" w:space="0" w:color="000000"/>
              <w:right w:val="single" w:sz="4" w:space="0" w:color="auto"/>
            </w:tcBorders>
            <w:vAlign w:val="bottom"/>
            <w:hideMark/>
          </w:tcPr>
          <w:p w14:paraId="7F022EC6"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4.64</w:t>
            </w:r>
          </w:p>
        </w:tc>
        <w:tc>
          <w:tcPr>
            <w:tcW w:w="1660" w:type="dxa"/>
            <w:tcBorders>
              <w:top w:val="single" w:sz="4" w:space="0" w:color="000000"/>
              <w:left w:val="single" w:sz="4" w:space="0" w:color="auto"/>
              <w:bottom w:val="single" w:sz="4" w:space="0" w:color="000000"/>
              <w:right w:val="single" w:sz="4" w:space="0" w:color="auto"/>
            </w:tcBorders>
            <w:hideMark/>
          </w:tcPr>
          <w:p w14:paraId="11C94E94"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2.80</w:t>
            </w:r>
          </w:p>
        </w:tc>
        <w:tc>
          <w:tcPr>
            <w:tcW w:w="1508" w:type="dxa"/>
            <w:tcBorders>
              <w:top w:val="single" w:sz="4" w:space="0" w:color="000000"/>
              <w:left w:val="single" w:sz="4" w:space="0" w:color="auto"/>
              <w:bottom w:val="single" w:sz="4" w:space="0" w:color="000000"/>
              <w:right w:val="single" w:sz="4" w:space="0" w:color="auto"/>
            </w:tcBorders>
            <w:hideMark/>
          </w:tcPr>
          <w:p w14:paraId="72D845C6"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3.14</w:t>
            </w:r>
          </w:p>
        </w:tc>
        <w:tc>
          <w:tcPr>
            <w:tcW w:w="1659" w:type="dxa"/>
            <w:tcBorders>
              <w:top w:val="single" w:sz="4" w:space="0" w:color="000000"/>
              <w:left w:val="single" w:sz="4" w:space="0" w:color="auto"/>
              <w:bottom w:val="single" w:sz="4" w:space="0" w:color="000000"/>
              <w:right w:val="single" w:sz="4" w:space="0" w:color="auto"/>
            </w:tcBorders>
            <w:hideMark/>
          </w:tcPr>
          <w:p w14:paraId="6DF9BE1B"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2.60</w:t>
            </w:r>
          </w:p>
        </w:tc>
        <w:tc>
          <w:tcPr>
            <w:tcW w:w="1509" w:type="dxa"/>
            <w:tcBorders>
              <w:top w:val="single" w:sz="4" w:space="0" w:color="000000"/>
              <w:left w:val="single" w:sz="4" w:space="0" w:color="auto"/>
              <w:bottom w:val="single" w:sz="4" w:space="0" w:color="000000"/>
              <w:right w:val="single" w:sz="4" w:space="0" w:color="auto"/>
            </w:tcBorders>
            <w:vAlign w:val="bottom"/>
            <w:hideMark/>
          </w:tcPr>
          <w:p w14:paraId="20FEF158"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2.33</w:t>
            </w:r>
          </w:p>
        </w:tc>
      </w:tr>
    </w:tbl>
    <w:p w14:paraId="0B90E4A2" w14:textId="77777777" w:rsidR="00446793" w:rsidRPr="004C1987" w:rsidRDefault="00446793" w:rsidP="005A3266">
      <w:pPr>
        <w:spacing w:after="0" w:line="240" w:lineRule="auto"/>
        <w:rPr>
          <w:rFonts w:ascii="Book Antiqua" w:eastAsia="Calibri" w:hAnsi="Book Antiqua" w:cs="Times New Roman"/>
          <w:sz w:val="16"/>
          <w:szCs w:val="24"/>
        </w:rPr>
      </w:pPr>
    </w:p>
    <w:p w14:paraId="17213943" w14:textId="77777777" w:rsidR="005A3266" w:rsidRPr="004C1987" w:rsidRDefault="005A3266" w:rsidP="003E4D0D">
      <w:pPr>
        <w:spacing w:after="0"/>
        <w:rPr>
          <w:rFonts w:ascii="Times New Roman" w:hAnsi="Times New Roman" w:cs="Times New Roman"/>
          <w:sz w:val="24"/>
          <w:szCs w:val="26"/>
        </w:rPr>
      </w:pPr>
    </w:p>
    <w:p w14:paraId="404979CD" w14:textId="77777777" w:rsidR="00B9281D" w:rsidRPr="004C1987" w:rsidRDefault="00B9281D" w:rsidP="003E4D0D">
      <w:pPr>
        <w:spacing w:after="0"/>
        <w:rPr>
          <w:rFonts w:ascii="Times New Roman" w:hAnsi="Times New Roman" w:cs="Times New Roman"/>
          <w:sz w:val="24"/>
          <w:szCs w:val="26"/>
        </w:rPr>
      </w:pPr>
    </w:p>
    <w:p w14:paraId="34AA7D5D" w14:textId="77777777" w:rsidR="00B9281D" w:rsidRPr="004C1987" w:rsidRDefault="00B9281D" w:rsidP="00B9281D">
      <w:pPr>
        <w:ind w:left="720" w:hanging="720"/>
        <w:jc w:val="both"/>
        <w:rPr>
          <w:rFonts w:ascii="Book Antiqua" w:hAnsi="Book Antiqua" w:cs="Times New Roman"/>
          <w:b/>
          <w:bCs/>
          <w:sz w:val="24"/>
          <w:szCs w:val="32"/>
        </w:rPr>
      </w:pPr>
      <w:r w:rsidRPr="004C1987">
        <w:rPr>
          <w:rFonts w:ascii="Book Antiqua" w:hAnsi="Book Antiqua" w:cs="Times New Roman"/>
          <w:b/>
          <w:bCs/>
          <w:sz w:val="24"/>
          <w:szCs w:val="32"/>
        </w:rPr>
        <w:t>4. Conclusion</w:t>
      </w:r>
    </w:p>
    <w:p w14:paraId="738BAB60" w14:textId="74B366B5" w:rsidR="00726F70" w:rsidRPr="004C1987" w:rsidRDefault="00CC128E" w:rsidP="00CC128E">
      <w:pPr>
        <w:spacing w:line="360" w:lineRule="auto"/>
        <w:jc w:val="both"/>
        <w:rPr>
          <w:sz w:val="18"/>
        </w:rPr>
      </w:pPr>
      <w:r w:rsidRPr="004C1987">
        <w:rPr>
          <w:rFonts w:ascii="Times New Roman" w:eastAsia="Times New Roman" w:hAnsi="Times New Roman" w:cs="Times New Roman"/>
          <w:sz w:val="24"/>
          <w:szCs w:val="24"/>
        </w:rPr>
        <w:t xml:space="preserve">This study's findings highlight the substantial advantages of integrated nitrogen nutrition in improving the development, yield, and nitrogen usage efficiency of </w:t>
      </w:r>
      <w:proofErr w:type="spellStart"/>
      <w:r w:rsidRPr="004C1987">
        <w:rPr>
          <w:rFonts w:ascii="Times New Roman" w:eastAsia="Times New Roman" w:hAnsi="Times New Roman" w:cs="Times New Roman"/>
          <w:i/>
          <w:sz w:val="24"/>
          <w:szCs w:val="24"/>
        </w:rPr>
        <w:t>boro</w:t>
      </w:r>
      <w:proofErr w:type="spellEnd"/>
      <w:r w:rsidRPr="004C1987">
        <w:rPr>
          <w:rFonts w:ascii="Times New Roman" w:eastAsia="Times New Roman" w:hAnsi="Times New Roman" w:cs="Times New Roman"/>
          <w:i/>
          <w:sz w:val="24"/>
          <w:szCs w:val="24"/>
        </w:rPr>
        <w:t xml:space="preserve"> </w:t>
      </w:r>
      <w:r w:rsidRPr="004C1987">
        <w:rPr>
          <w:rFonts w:ascii="Times New Roman" w:eastAsia="Times New Roman" w:hAnsi="Times New Roman" w:cs="Times New Roman"/>
          <w:sz w:val="24"/>
          <w:szCs w:val="24"/>
        </w:rPr>
        <w:t>rice (</w:t>
      </w:r>
      <w:r w:rsidRPr="004C1987">
        <w:rPr>
          <w:rFonts w:ascii="Times New Roman" w:eastAsia="Times New Roman" w:hAnsi="Times New Roman" w:cs="Times New Roman"/>
          <w:i/>
          <w:sz w:val="24"/>
          <w:szCs w:val="24"/>
        </w:rPr>
        <w:t>Oryza sativa</w:t>
      </w:r>
      <w:r w:rsidRPr="004C1987">
        <w:rPr>
          <w:rFonts w:ascii="Times New Roman" w:eastAsia="Times New Roman" w:hAnsi="Times New Roman" w:cs="Times New Roman"/>
          <w:sz w:val="24"/>
          <w:szCs w:val="24"/>
        </w:rPr>
        <w:t xml:space="preserve">).  The amalgamation of prilled urea with organic amendments, especially poultry manure, shown enhanced outcomes regarding plant growth, grain yield, and nitrogen usage efficiency.  Among the evaluated cultivars, Binadhan-10 demonstrated superior performance in all growth and yield metrics.  Integrated nutrient management enhanced rice productivity while simultaneously decreasing nitrogen loss by volatilization, leaching, and denitrification, therefore fostering more efficient and sustainable agricultural methods.  The research indicates that the integration of organic and inorganic fertilizers maximizes nitrogen utilization, improves soil quality, and is a </w:t>
      </w:r>
      <w:r w:rsidRPr="004C1987">
        <w:rPr>
          <w:rFonts w:ascii="Times New Roman" w:eastAsia="Times New Roman" w:hAnsi="Times New Roman" w:cs="Times New Roman"/>
          <w:sz w:val="24"/>
          <w:szCs w:val="24"/>
        </w:rPr>
        <w:lastRenderedPageBreak/>
        <w:t>feasible approach for sustainable rice cultivation in Bangladesh.  Future research should concentrate on enhancing nitrogen management strategies to optimize environmental sustainability while preserving high agricultural output.</w:t>
      </w:r>
    </w:p>
    <w:p w14:paraId="2B947406" w14:textId="26343569" w:rsidR="00CA1CB5" w:rsidRPr="004C1987" w:rsidRDefault="00CA1CB5" w:rsidP="00CA1CB5">
      <w:pPr>
        <w:jc w:val="both"/>
        <w:rPr>
          <w:rFonts w:ascii="Book Antiqua" w:hAnsi="Book Antiqua" w:cs="Times New Roman"/>
          <w:b/>
          <w:bCs/>
          <w:sz w:val="24"/>
          <w:szCs w:val="32"/>
        </w:rPr>
      </w:pPr>
      <w:r w:rsidRPr="004C1987">
        <w:rPr>
          <w:rFonts w:ascii="Book Antiqua" w:hAnsi="Book Antiqua" w:cs="Times New Roman"/>
          <w:b/>
          <w:bCs/>
          <w:sz w:val="24"/>
          <w:szCs w:val="32"/>
        </w:rPr>
        <w:t xml:space="preserve">REFERENCES   </w:t>
      </w:r>
    </w:p>
    <w:p w14:paraId="25303822"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Akter</w:t>
      </w:r>
      <w:proofErr w:type="spellEnd"/>
      <w:r w:rsidRPr="004C1987">
        <w:rPr>
          <w:rFonts w:ascii="Book Antiqua" w:hAnsi="Book Antiqua" w:cs="Times New Roman"/>
          <w:sz w:val="24"/>
          <w:szCs w:val="24"/>
        </w:rPr>
        <w:t xml:space="preserve">, M. S., </w:t>
      </w:r>
      <w:proofErr w:type="spellStart"/>
      <w:r w:rsidRPr="004C1987">
        <w:rPr>
          <w:rFonts w:ascii="Book Antiqua" w:hAnsi="Book Antiqua" w:cs="Times New Roman"/>
          <w:sz w:val="24"/>
          <w:szCs w:val="24"/>
        </w:rPr>
        <w:t>Yeasmin</w:t>
      </w:r>
      <w:proofErr w:type="spellEnd"/>
      <w:r w:rsidRPr="004C1987">
        <w:rPr>
          <w:rFonts w:ascii="Book Antiqua" w:hAnsi="Book Antiqua" w:cs="Times New Roman"/>
          <w:sz w:val="24"/>
          <w:szCs w:val="24"/>
        </w:rPr>
        <w:t xml:space="preserve">, S., &amp; Hasan, A. K. (2018). Effect of integrated nitrogen application on the yield of two </w:t>
      </w:r>
      <w:proofErr w:type="spellStart"/>
      <w:r w:rsidRPr="004C1987">
        <w:rPr>
          <w:rFonts w:ascii="Book Antiqua" w:hAnsi="Book Antiqua" w:cs="Times New Roman"/>
          <w:sz w:val="24"/>
          <w:szCs w:val="24"/>
        </w:rPr>
        <w:t>Boro</w:t>
      </w:r>
      <w:proofErr w:type="spellEnd"/>
      <w:r w:rsidRPr="004C1987">
        <w:rPr>
          <w:rFonts w:ascii="Book Antiqua" w:hAnsi="Book Antiqua" w:cs="Times New Roman"/>
          <w:sz w:val="24"/>
          <w:szCs w:val="24"/>
        </w:rPr>
        <w:t xml:space="preserve"> rice varieties: BRRI dhan29 and BRRI dhan74. </w:t>
      </w:r>
      <w:r w:rsidRPr="004C1987">
        <w:rPr>
          <w:rFonts w:ascii="Book Antiqua" w:hAnsi="Book Antiqua" w:cs="Times New Roman"/>
          <w:i/>
          <w:iCs/>
          <w:sz w:val="24"/>
          <w:szCs w:val="24"/>
        </w:rPr>
        <w:t>Archives of Agriculture and Environmental Science</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3</w:t>
      </w:r>
      <w:r w:rsidRPr="004C1987">
        <w:rPr>
          <w:rFonts w:ascii="Book Antiqua" w:hAnsi="Book Antiqua" w:cs="Times New Roman"/>
          <w:sz w:val="24"/>
          <w:szCs w:val="24"/>
        </w:rPr>
        <w:t>(4), 410-415.</w:t>
      </w:r>
    </w:p>
    <w:p w14:paraId="360505C8" w14:textId="55EF6881"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Bangladesh Bureau of Statistics. (20</w:t>
      </w:r>
      <w:r w:rsidR="0080390F" w:rsidRPr="004C1987">
        <w:rPr>
          <w:rFonts w:ascii="Book Antiqua" w:hAnsi="Book Antiqua" w:cs="Times New Roman"/>
          <w:sz w:val="24"/>
          <w:szCs w:val="24"/>
        </w:rPr>
        <w:t>24</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Statistical year book of Bangladesh</w:t>
      </w:r>
      <w:r w:rsidRPr="004C1987">
        <w:rPr>
          <w:rFonts w:ascii="Book Antiqua" w:hAnsi="Book Antiqua" w:cs="Times New Roman"/>
          <w:sz w:val="24"/>
          <w:szCs w:val="24"/>
        </w:rPr>
        <w:t>. Bangladesh Bureau of Statistics, Ministry of Planning, Government of People’s Republic of Bangladesh. Dhaka, p. 3.</w:t>
      </w:r>
    </w:p>
    <w:p w14:paraId="6D549964"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Bithy</w:t>
      </w:r>
      <w:proofErr w:type="spellEnd"/>
      <w:r w:rsidRPr="004C1987">
        <w:rPr>
          <w:rFonts w:ascii="Book Antiqua" w:hAnsi="Book Antiqua" w:cs="Times New Roman"/>
          <w:sz w:val="24"/>
          <w:szCs w:val="24"/>
        </w:rPr>
        <w:t xml:space="preserve">, P. A. (2023). Morpho-physiological and yield attributes of </w:t>
      </w:r>
      <w:proofErr w:type="spellStart"/>
      <w:r w:rsidRPr="004C1987">
        <w:rPr>
          <w:rFonts w:ascii="Book Antiqua" w:hAnsi="Book Antiqua" w:cs="Times New Roman"/>
          <w:sz w:val="24"/>
          <w:szCs w:val="24"/>
        </w:rPr>
        <w:t>boro</w:t>
      </w:r>
      <w:proofErr w:type="spellEnd"/>
      <w:r w:rsidRPr="004C1987">
        <w:rPr>
          <w:rFonts w:ascii="Book Antiqua" w:hAnsi="Book Antiqua" w:cs="Times New Roman"/>
          <w:sz w:val="24"/>
          <w:szCs w:val="24"/>
        </w:rPr>
        <w:t xml:space="preserve"> rice varieties as influenced by different nitrogen sources. </w:t>
      </w:r>
      <w:r w:rsidRPr="004C1987">
        <w:rPr>
          <w:rFonts w:ascii="Book Antiqua" w:hAnsi="Book Antiqua" w:cs="Times New Roman"/>
          <w:i/>
          <w:iCs/>
          <w:sz w:val="24"/>
          <w:szCs w:val="24"/>
        </w:rPr>
        <w:t>Research in Agriculture Livestock and Fisheries</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10</w:t>
      </w:r>
      <w:r w:rsidRPr="004C1987">
        <w:rPr>
          <w:rFonts w:ascii="Book Antiqua" w:hAnsi="Book Antiqua" w:cs="Times New Roman"/>
          <w:sz w:val="24"/>
          <w:szCs w:val="24"/>
        </w:rPr>
        <w:t>(2), 175-182.</w:t>
      </w:r>
    </w:p>
    <w:p w14:paraId="4A42DAA3" w14:textId="331C5147" w:rsidR="007402BF" w:rsidRPr="004C1987" w:rsidRDefault="007402BF" w:rsidP="007402BF">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Bhowal</w:t>
      </w:r>
      <w:proofErr w:type="spellEnd"/>
      <w:r w:rsidRPr="004C1987">
        <w:rPr>
          <w:rFonts w:ascii="Book Antiqua" w:hAnsi="Book Antiqua" w:cs="Times New Roman"/>
          <w:sz w:val="24"/>
          <w:szCs w:val="24"/>
        </w:rPr>
        <w:t xml:space="preserve">, S. K., Hossain, M. H., Bashir. M. M. (2020). Integrated nutrient management on the yield and profitability of cauliflower. </w:t>
      </w:r>
      <w:r w:rsidRPr="004C1987">
        <w:rPr>
          <w:rFonts w:ascii="Book Antiqua" w:hAnsi="Book Antiqua" w:cs="Times New Roman"/>
          <w:i/>
          <w:sz w:val="24"/>
          <w:szCs w:val="24"/>
        </w:rPr>
        <w:t xml:space="preserve">Bangladesh </w:t>
      </w:r>
      <w:proofErr w:type="spellStart"/>
      <w:r w:rsidRPr="004C1987">
        <w:rPr>
          <w:rFonts w:ascii="Book Antiqua" w:hAnsi="Book Antiqua" w:cs="Times New Roman"/>
          <w:i/>
          <w:sz w:val="24"/>
          <w:szCs w:val="24"/>
        </w:rPr>
        <w:t>Agron</w:t>
      </w:r>
      <w:proofErr w:type="spellEnd"/>
      <w:r w:rsidRPr="004C1987">
        <w:rPr>
          <w:rFonts w:ascii="Book Antiqua" w:hAnsi="Book Antiqua" w:cs="Times New Roman"/>
          <w:i/>
          <w:sz w:val="24"/>
          <w:szCs w:val="24"/>
        </w:rPr>
        <w:t>. J.</w:t>
      </w:r>
      <w:r w:rsidRPr="004C1987">
        <w:rPr>
          <w:rFonts w:ascii="Book Antiqua" w:hAnsi="Book Antiqua" w:cs="Times New Roman"/>
          <w:sz w:val="24"/>
          <w:szCs w:val="24"/>
        </w:rPr>
        <w:t xml:space="preserve"> 23(2): 45-49</w:t>
      </w:r>
    </w:p>
    <w:p w14:paraId="2CDE2EE6" w14:textId="618D85D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Chakraborty, H. (2016). </w:t>
      </w:r>
      <w:r w:rsidRPr="004C1987">
        <w:rPr>
          <w:rFonts w:ascii="Book Antiqua" w:hAnsi="Book Antiqua" w:cs="Times New Roman"/>
          <w:i/>
          <w:iCs/>
          <w:sz w:val="24"/>
          <w:szCs w:val="24"/>
        </w:rPr>
        <w:t xml:space="preserve">Growth and yield of </w:t>
      </w:r>
      <w:proofErr w:type="spellStart"/>
      <w:r w:rsidRPr="004C1987">
        <w:rPr>
          <w:rFonts w:ascii="Book Antiqua" w:hAnsi="Book Antiqua" w:cs="Times New Roman"/>
          <w:i/>
          <w:iCs/>
          <w:sz w:val="24"/>
          <w:szCs w:val="24"/>
        </w:rPr>
        <w:t>boro</w:t>
      </w:r>
      <w:proofErr w:type="spellEnd"/>
      <w:r w:rsidRPr="004C1987">
        <w:rPr>
          <w:rFonts w:ascii="Book Antiqua" w:hAnsi="Book Antiqua" w:cs="Times New Roman"/>
          <w:i/>
          <w:iCs/>
          <w:sz w:val="24"/>
          <w:szCs w:val="24"/>
        </w:rPr>
        <w:t xml:space="preserve"> rice as affected by weed management</w:t>
      </w:r>
      <w:r w:rsidRPr="004C1987">
        <w:rPr>
          <w:rFonts w:ascii="Book Antiqua" w:hAnsi="Book Antiqua" w:cs="Times New Roman"/>
          <w:sz w:val="24"/>
          <w:szCs w:val="24"/>
        </w:rPr>
        <w:t xml:space="preserve"> (MS Thesis). Department of Agronomy, Sher-e-Bangla Agricultural University, Dhaka–1207, pp. 1–84.</w:t>
      </w:r>
    </w:p>
    <w:p w14:paraId="45161629" w14:textId="77777777" w:rsidR="00CA1CB5" w:rsidRPr="004C1987" w:rsidRDefault="00CA1CB5" w:rsidP="00CA1CB5">
      <w:pPr>
        <w:numPr>
          <w:ilvl w:val="0"/>
          <w:numId w:val="8"/>
        </w:numPr>
        <w:autoSpaceDE w:val="0"/>
        <w:autoSpaceDN w:val="0"/>
        <w:adjustRightInd w:val="0"/>
        <w:spacing w:after="0" w:line="360" w:lineRule="auto"/>
        <w:jc w:val="both"/>
        <w:rPr>
          <w:rStyle w:val="Hyperlink"/>
          <w:rFonts w:ascii="Book Antiqua" w:hAnsi="Book Antiqua" w:cs="Times New Roman"/>
          <w:color w:val="auto"/>
          <w:sz w:val="24"/>
          <w:szCs w:val="24"/>
          <w:u w:val="none"/>
        </w:rPr>
      </w:pPr>
      <w:r w:rsidRPr="004C1987">
        <w:rPr>
          <w:rFonts w:ascii="Book Antiqua" w:hAnsi="Book Antiqua" w:cs="Times New Roman"/>
          <w:sz w:val="24"/>
          <w:szCs w:val="24"/>
        </w:rPr>
        <w:t xml:space="preserve">Chauhan, B. S., &amp; Johnson, D. E. (2011). Growth response of direct seeded rice to oxadiazon and </w:t>
      </w:r>
      <w:proofErr w:type="spellStart"/>
      <w:r w:rsidRPr="004C1987">
        <w:rPr>
          <w:rFonts w:ascii="Book Antiqua" w:hAnsi="Book Antiqua" w:cs="Times New Roman"/>
          <w:sz w:val="24"/>
          <w:szCs w:val="24"/>
        </w:rPr>
        <w:t>bispyribac</w:t>
      </w:r>
      <w:proofErr w:type="spellEnd"/>
      <w:r w:rsidRPr="004C1987">
        <w:rPr>
          <w:rFonts w:ascii="Book Antiqua" w:hAnsi="Book Antiqua" w:cs="Times New Roman"/>
          <w:sz w:val="24"/>
          <w:szCs w:val="24"/>
        </w:rPr>
        <w:t xml:space="preserve">-sodium in aerobic and saturated soils. </w:t>
      </w:r>
      <w:r w:rsidRPr="004C1987">
        <w:rPr>
          <w:rFonts w:ascii="Book Antiqua" w:hAnsi="Book Antiqua" w:cs="Times New Roman"/>
          <w:i/>
          <w:iCs/>
          <w:sz w:val="24"/>
          <w:szCs w:val="24"/>
        </w:rPr>
        <w:t>Weed Science</w:t>
      </w:r>
      <w:r w:rsidRPr="004C1987">
        <w:rPr>
          <w:rFonts w:ascii="Book Antiqua" w:hAnsi="Book Antiqua" w:cs="Times New Roman"/>
          <w:sz w:val="24"/>
          <w:szCs w:val="24"/>
        </w:rPr>
        <w:t xml:space="preserve">, 59, 119-122. </w:t>
      </w:r>
      <w:hyperlink r:id="rId17" w:history="1">
        <w:r w:rsidRPr="004C1987">
          <w:rPr>
            <w:rStyle w:val="Hyperlink"/>
            <w:rFonts w:ascii="Book Antiqua" w:hAnsi="Book Antiqua" w:cs="Times New Roman"/>
            <w:color w:val="auto"/>
            <w:sz w:val="24"/>
            <w:szCs w:val="24"/>
          </w:rPr>
          <w:t>https://doi.org/10.1614/WS-D-11-00018.1</w:t>
        </w:r>
      </w:hyperlink>
    </w:p>
    <w:p w14:paraId="7A23A87B" w14:textId="6B610C72" w:rsidR="00C25A37" w:rsidRPr="004C1987" w:rsidRDefault="00C25A37"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Chowdhury, S. A., Paul, S. K., &amp; Sarkar, M. A. R. (2016). Yield performance of fine aromatic rice in response to variety and level of nitrogen. </w:t>
      </w:r>
      <w:r w:rsidRPr="004C1987">
        <w:rPr>
          <w:rFonts w:ascii="Book Antiqua" w:hAnsi="Book Antiqua" w:cs="Times New Roman"/>
          <w:i/>
          <w:iCs/>
          <w:sz w:val="24"/>
          <w:szCs w:val="24"/>
        </w:rPr>
        <w:t>Journal of Environmental Science and Natural Resources</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9</w:t>
      </w:r>
      <w:r w:rsidRPr="004C1987">
        <w:rPr>
          <w:rFonts w:ascii="Book Antiqua" w:hAnsi="Book Antiqua" w:cs="Times New Roman"/>
          <w:sz w:val="24"/>
          <w:szCs w:val="24"/>
        </w:rPr>
        <w:t>(1), 41-45.</w:t>
      </w:r>
    </w:p>
    <w:p w14:paraId="2A5B75AB"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Das, B., Haque, M., Mannan, M., &amp; </w:t>
      </w:r>
      <w:proofErr w:type="spellStart"/>
      <w:r w:rsidRPr="004C1987">
        <w:rPr>
          <w:rFonts w:ascii="Book Antiqua" w:hAnsi="Book Antiqua" w:cs="Times New Roman"/>
          <w:sz w:val="24"/>
          <w:szCs w:val="24"/>
        </w:rPr>
        <w:t>Mazumder</w:t>
      </w:r>
      <w:proofErr w:type="spellEnd"/>
      <w:r w:rsidRPr="004C1987">
        <w:rPr>
          <w:rFonts w:ascii="Book Antiqua" w:hAnsi="Book Antiqua" w:cs="Times New Roman"/>
          <w:sz w:val="24"/>
          <w:szCs w:val="24"/>
        </w:rPr>
        <w:t xml:space="preserve">, S. (2015). Performance study of </w:t>
      </w:r>
      <w:proofErr w:type="spellStart"/>
      <w:r w:rsidRPr="004C1987">
        <w:rPr>
          <w:rFonts w:ascii="Book Antiqua" w:hAnsi="Book Antiqua" w:cs="Times New Roman"/>
          <w:sz w:val="24"/>
          <w:szCs w:val="24"/>
        </w:rPr>
        <w:t>Koshihikari</w:t>
      </w:r>
      <w:proofErr w:type="spellEnd"/>
      <w:r w:rsidRPr="004C1987">
        <w:rPr>
          <w:rFonts w:ascii="Book Antiqua" w:hAnsi="Book Antiqua" w:cs="Times New Roman"/>
          <w:sz w:val="24"/>
          <w:szCs w:val="24"/>
        </w:rPr>
        <w:t xml:space="preserve"> rice variety and its economic prospect in comparison with three popular rice varieties of Bangladesh. </w:t>
      </w:r>
      <w:r w:rsidRPr="004C1987">
        <w:rPr>
          <w:rFonts w:ascii="Book Antiqua" w:hAnsi="Book Antiqua" w:cs="Times New Roman"/>
          <w:i/>
          <w:iCs/>
          <w:sz w:val="24"/>
          <w:szCs w:val="24"/>
        </w:rPr>
        <w:t xml:space="preserve">Asian Journal of Agricultural Extension, </w:t>
      </w:r>
      <w:r w:rsidRPr="004C1987">
        <w:rPr>
          <w:rFonts w:ascii="Book Antiqua" w:hAnsi="Book Antiqua" w:cs="Times New Roman"/>
          <w:i/>
          <w:iCs/>
          <w:sz w:val="24"/>
          <w:szCs w:val="24"/>
        </w:rPr>
        <w:lastRenderedPageBreak/>
        <w:t>Economics and Sociology, 5</w:t>
      </w:r>
      <w:r w:rsidRPr="004C1987">
        <w:rPr>
          <w:rFonts w:ascii="Book Antiqua" w:hAnsi="Book Antiqua" w:cs="Times New Roman"/>
          <w:sz w:val="24"/>
          <w:szCs w:val="24"/>
        </w:rPr>
        <w:t xml:space="preserve">(2), 147-157. </w:t>
      </w:r>
      <w:hyperlink r:id="rId18" w:history="1">
        <w:r w:rsidRPr="004C1987">
          <w:rPr>
            <w:rStyle w:val="Hyperlink"/>
            <w:rFonts w:ascii="Book Antiqua" w:hAnsi="Book Antiqua" w:cs="Times New Roman"/>
            <w:color w:val="auto"/>
            <w:sz w:val="24"/>
            <w:szCs w:val="24"/>
          </w:rPr>
          <w:t>https://doi.org/10.9734/AJAEES/2015/15990</w:t>
        </w:r>
      </w:hyperlink>
    </w:p>
    <w:p w14:paraId="11BDFB1D"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Faruk, M., Hussain, A., Yusuf, M. A., &amp; Mehedi, M. N. H. (2021). Performance of transplant </w:t>
      </w:r>
      <w:proofErr w:type="spellStart"/>
      <w:r w:rsidRPr="004C1987">
        <w:rPr>
          <w:rFonts w:ascii="Book Antiqua" w:hAnsi="Book Antiqua" w:cs="Times New Roman"/>
          <w:sz w:val="24"/>
          <w:szCs w:val="24"/>
        </w:rPr>
        <w:t>Aus</w:t>
      </w:r>
      <w:proofErr w:type="spellEnd"/>
      <w:r w:rsidRPr="004C1987">
        <w:rPr>
          <w:rFonts w:ascii="Book Antiqua" w:hAnsi="Book Antiqua" w:cs="Times New Roman"/>
          <w:sz w:val="24"/>
          <w:szCs w:val="24"/>
        </w:rPr>
        <w:t xml:space="preserve"> rice varieties under different nitrogen management practices. </w:t>
      </w:r>
      <w:r w:rsidRPr="004C1987">
        <w:rPr>
          <w:rFonts w:ascii="Book Antiqua" w:hAnsi="Book Antiqua" w:cs="Times New Roman"/>
          <w:i/>
          <w:iCs/>
          <w:sz w:val="24"/>
          <w:szCs w:val="24"/>
        </w:rPr>
        <w:t>Asian Plant Research Journal</w:t>
      </w:r>
      <w:r w:rsidRPr="004C1987">
        <w:rPr>
          <w:rFonts w:ascii="Book Antiqua" w:hAnsi="Book Antiqua" w:cs="Times New Roman"/>
          <w:sz w:val="24"/>
          <w:szCs w:val="24"/>
        </w:rPr>
        <w:t>.</w:t>
      </w:r>
    </w:p>
    <w:p w14:paraId="4F3C2469" w14:textId="1FC3823F" w:rsidR="00347713" w:rsidRPr="004C1987" w:rsidRDefault="00347713" w:rsidP="00347713">
      <w:pPr>
        <w:pStyle w:val="ListParagraph"/>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Gomez, K. A., &amp; Gomez, A. A. (1984). </w:t>
      </w:r>
      <w:r w:rsidRPr="004C1987">
        <w:rPr>
          <w:rFonts w:ascii="Times New Roman" w:eastAsia="Times New Roman" w:hAnsi="Times New Roman" w:cs="Times New Roman"/>
          <w:i/>
          <w:iCs/>
          <w:sz w:val="24"/>
          <w:szCs w:val="24"/>
        </w:rPr>
        <w:t>Statistical procedures for agricultural research</w:t>
      </w:r>
      <w:r w:rsidRPr="004C1987">
        <w:rPr>
          <w:rFonts w:ascii="Times New Roman" w:eastAsia="Times New Roman" w:hAnsi="Times New Roman" w:cs="Times New Roman"/>
          <w:sz w:val="24"/>
          <w:szCs w:val="24"/>
        </w:rPr>
        <w:t xml:space="preserve"> (2nd ed.). John Wiley &amp; Sons.</w:t>
      </w:r>
    </w:p>
    <w:p w14:paraId="405740C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Geetha, P., &amp; Balasubramanian, P. (2016). Effect of varieties and nitrogen application on growth and yield of aerobic rice. </w:t>
      </w:r>
      <w:r w:rsidRPr="004C1987">
        <w:rPr>
          <w:rFonts w:ascii="Book Antiqua" w:hAnsi="Book Antiqua" w:cs="Times New Roman"/>
          <w:i/>
          <w:iCs/>
          <w:sz w:val="24"/>
          <w:szCs w:val="24"/>
        </w:rPr>
        <w:t>ORYZA-An International Journal on Rice, 53</w:t>
      </w:r>
      <w:r w:rsidRPr="004C1987">
        <w:rPr>
          <w:rFonts w:ascii="Book Antiqua" w:hAnsi="Book Antiqua" w:cs="Times New Roman"/>
          <w:sz w:val="24"/>
          <w:szCs w:val="24"/>
        </w:rPr>
        <w:t>, 458-463.</w:t>
      </w:r>
    </w:p>
    <w:p w14:paraId="3FC6E1E4" w14:textId="144E31E0" w:rsidR="00A64B66" w:rsidRPr="004C1987" w:rsidRDefault="00A64B66"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Islam, S., Khatun, A., Rahman, F., Hossain, A., </w:t>
      </w:r>
      <w:proofErr w:type="spellStart"/>
      <w:r w:rsidRPr="004C1987">
        <w:rPr>
          <w:rFonts w:ascii="Book Antiqua" w:hAnsi="Book Antiqua" w:cs="Times New Roman"/>
          <w:sz w:val="24"/>
          <w:szCs w:val="24"/>
        </w:rPr>
        <w:t>Naher</w:t>
      </w:r>
      <w:proofErr w:type="spellEnd"/>
      <w:r w:rsidRPr="004C1987">
        <w:rPr>
          <w:rFonts w:ascii="Book Antiqua" w:hAnsi="Book Antiqua" w:cs="Times New Roman"/>
          <w:sz w:val="24"/>
          <w:szCs w:val="24"/>
        </w:rPr>
        <w:t xml:space="preserve">, U. A., &amp; </w:t>
      </w:r>
      <w:proofErr w:type="spellStart"/>
      <w:r w:rsidRPr="004C1987">
        <w:rPr>
          <w:rFonts w:ascii="Book Antiqua" w:hAnsi="Book Antiqua" w:cs="Times New Roman"/>
          <w:sz w:val="24"/>
          <w:szCs w:val="24"/>
        </w:rPr>
        <w:t>Saleque</w:t>
      </w:r>
      <w:proofErr w:type="spellEnd"/>
      <w:r w:rsidRPr="004C1987">
        <w:rPr>
          <w:rFonts w:ascii="Book Antiqua" w:hAnsi="Book Antiqua" w:cs="Times New Roman"/>
          <w:sz w:val="24"/>
          <w:szCs w:val="24"/>
        </w:rPr>
        <w:t xml:space="preserve">, M. A. (2016). Rice response to nitrogen in tidal flooded non-saline soil. </w:t>
      </w:r>
      <w:r w:rsidRPr="004C1987">
        <w:rPr>
          <w:rFonts w:ascii="Book Antiqua" w:hAnsi="Book Antiqua" w:cs="Times New Roman"/>
          <w:i/>
          <w:iCs/>
          <w:sz w:val="24"/>
          <w:szCs w:val="24"/>
        </w:rPr>
        <w:t>Bangladesh Rice Journal</w:t>
      </w:r>
      <w:r w:rsidRPr="004C1987">
        <w:rPr>
          <w:rFonts w:ascii="Book Antiqua" w:hAnsi="Book Antiqua" w:cs="Times New Roman"/>
          <w:sz w:val="24"/>
          <w:szCs w:val="24"/>
        </w:rPr>
        <w:t>, 19(2), 65-70.</w:t>
      </w:r>
    </w:p>
    <w:p w14:paraId="6E5D09CD"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Jahan, A., Islam, A., Sarkar, M. I. U., Iqbal, M., Ahmed, M. N., &amp; Islam, M. R. (2022). Nitrogen response of two high yielding rice varieties as influenced by nitrogen levels and growing seasons. </w:t>
      </w:r>
      <w:r w:rsidRPr="004C1987">
        <w:rPr>
          <w:rFonts w:ascii="Book Antiqua" w:hAnsi="Book Antiqua" w:cs="Times New Roman"/>
          <w:i/>
          <w:iCs/>
          <w:sz w:val="24"/>
          <w:szCs w:val="24"/>
        </w:rPr>
        <w:t>Geology, Ecology, and Landscapes, 6</w:t>
      </w:r>
      <w:r w:rsidRPr="004C1987">
        <w:rPr>
          <w:rFonts w:ascii="Book Antiqua" w:hAnsi="Book Antiqua" w:cs="Times New Roman"/>
          <w:sz w:val="24"/>
          <w:szCs w:val="24"/>
        </w:rPr>
        <w:t>(1), 24-31.</w:t>
      </w:r>
    </w:p>
    <w:p w14:paraId="024DF2D0"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Jayhoon</w:t>
      </w:r>
      <w:proofErr w:type="spellEnd"/>
      <w:r w:rsidRPr="004C1987">
        <w:rPr>
          <w:rFonts w:ascii="Book Antiqua" w:hAnsi="Book Antiqua" w:cs="Times New Roman"/>
          <w:sz w:val="24"/>
          <w:szCs w:val="24"/>
        </w:rPr>
        <w:t xml:space="preserve">, A. S., Kumar, P., Yadav, M. K., Kumar, M., &amp; Singh, S. K. (2024). Expression analysis of </w:t>
      </w:r>
      <w:proofErr w:type="spellStart"/>
      <w:r w:rsidRPr="004C1987">
        <w:rPr>
          <w:rFonts w:ascii="Book Antiqua" w:hAnsi="Book Antiqua" w:cs="Times New Roman"/>
          <w:sz w:val="24"/>
          <w:szCs w:val="24"/>
        </w:rPr>
        <w:t>OsGBSSI</w:t>
      </w:r>
      <w:proofErr w:type="spellEnd"/>
      <w:r w:rsidRPr="004C1987">
        <w:rPr>
          <w:rFonts w:ascii="Book Antiqua" w:hAnsi="Book Antiqua" w:cs="Times New Roman"/>
          <w:sz w:val="24"/>
          <w:szCs w:val="24"/>
        </w:rPr>
        <w:t xml:space="preserve"> and OsGS3 genes, and investigation of morphological and biochemical characteristics across diverse rice (Oryza sativa L.) genotypes. </w:t>
      </w:r>
      <w:r w:rsidRPr="004C1987">
        <w:rPr>
          <w:rFonts w:ascii="Book Antiqua" w:hAnsi="Book Antiqua" w:cs="Times New Roman"/>
          <w:i/>
          <w:iCs/>
          <w:sz w:val="24"/>
          <w:szCs w:val="24"/>
        </w:rPr>
        <w:t>Biology Bulletin Reviews, 14</w:t>
      </w:r>
      <w:r w:rsidRPr="004C1987">
        <w:rPr>
          <w:rFonts w:ascii="Book Antiqua" w:hAnsi="Book Antiqua" w:cs="Times New Roman"/>
          <w:sz w:val="24"/>
          <w:szCs w:val="24"/>
        </w:rPr>
        <w:t>(Suppl 3), S405-S416.</w:t>
      </w:r>
    </w:p>
    <w:p w14:paraId="0368DA47"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Li, M., Zhang, H., Yang, X., Ge, M. J., Wei, H., Dai, Q., </w:t>
      </w:r>
      <w:proofErr w:type="spellStart"/>
      <w:r w:rsidRPr="004C1987">
        <w:rPr>
          <w:rFonts w:ascii="Book Antiqua" w:hAnsi="Book Antiqua" w:cs="Times New Roman"/>
          <w:sz w:val="24"/>
          <w:szCs w:val="24"/>
        </w:rPr>
        <w:t>Huo</w:t>
      </w:r>
      <w:proofErr w:type="spellEnd"/>
      <w:r w:rsidRPr="004C1987">
        <w:rPr>
          <w:rFonts w:ascii="Book Antiqua" w:hAnsi="Book Antiqua" w:cs="Times New Roman"/>
          <w:sz w:val="24"/>
          <w:szCs w:val="24"/>
        </w:rPr>
        <w:t xml:space="preserve">, Z., &amp; Xu, K. (2013). Characteristics of dry matter accumulation and translocation in rice cultivars with high yield and high nitrogen use efficiency. </w:t>
      </w:r>
      <w:r w:rsidRPr="004C1987">
        <w:rPr>
          <w:rFonts w:ascii="Book Antiqua" w:hAnsi="Book Antiqua" w:cs="Times New Roman"/>
          <w:i/>
          <w:iCs/>
          <w:sz w:val="24"/>
          <w:szCs w:val="24"/>
        </w:rPr>
        <w:t xml:space="preserve">Acta </w:t>
      </w:r>
      <w:proofErr w:type="spellStart"/>
      <w:r w:rsidRPr="004C1987">
        <w:rPr>
          <w:rFonts w:ascii="Book Antiqua" w:hAnsi="Book Antiqua" w:cs="Times New Roman"/>
          <w:i/>
          <w:iCs/>
          <w:sz w:val="24"/>
          <w:szCs w:val="24"/>
        </w:rPr>
        <w:t>Agronomica</w:t>
      </w:r>
      <w:proofErr w:type="spellEnd"/>
      <w:r w:rsidRPr="004C1987">
        <w:rPr>
          <w:rFonts w:ascii="Book Antiqua" w:hAnsi="Book Antiqua" w:cs="Times New Roman"/>
          <w:i/>
          <w:iCs/>
          <w:sz w:val="24"/>
          <w:szCs w:val="24"/>
        </w:rPr>
        <w:t xml:space="preserve"> </w:t>
      </w:r>
      <w:proofErr w:type="spellStart"/>
      <w:r w:rsidRPr="004C1987">
        <w:rPr>
          <w:rFonts w:ascii="Book Antiqua" w:hAnsi="Book Antiqua" w:cs="Times New Roman"/>
          <w:i/>
          <w:iCs/>
          <w:sz w:val="24"/>
          <w:szCs w:val="24"/>
        </w:rPr>
        <w:t>Sinica</w:t>
      </w:r>
      <w:proofErr w:type="spellEnd"/>
      <w:r w:rsidRPr="004C1987">
        <w:rPr>
          <w:rFonts w:ascii="Book Antiqua" w:hAnsi="Book Antiqua" w:cs="Times New Roman"/>
          <w:i/>
          <w:iCs/>
          <w:sz w:val="24"/>
          <w:szCs w:val="24"/>
        </w:rPr>
        <w:t>, 39</w:t>
      </w:r>
      <w:r w:rsidRPr="004C1987">
        <w:rPr>
          <w:rFonts w:ascii="Book Antiqua" w:hAnsi="Book Antiqua" w:cs="Times New Roman"/>
          <w:sz w:val="24"/>
          <w:szCs w:val="24"/>
        </w:rPr>
        <w:t>, 101.</w:t>
      </w:r>
    </w:p>
    <w:p w14:paraId="688A788F"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Liu, Z., Tao, L., Liu, T., Zhang, X., Wang, W., Song, J., Yu, C., &amp; Peng, X. (2019). Nitrogen application after low-temperature exposure alleviates tiller decrease in rice. </w:t>
      </w:r>
      <w:r w:rsidRPr="004C1987">
        <w:rPr>
          <w:rFonts w:ascii="Book Antiqua" w:hAnsi="Book Antiqua" w:cs="Times New Roman"/>
          <w:i/>
          <w:iCs/>
          <w:sz w:val="24"/>
          <w:szCs w:val="24"/>
        </w:rPr>
        <w:t>Environmental and Experimental Botany, 162</w:t>
      </w:r>
      <w:r w:rsidRPr="004C1987">
        <w:rPr>
          <w:rFonts w:ascii="Book Antiqua" w:hAnsi="Book Antiqua" w:cs="Times New Roman"/>
          <w:sz w:val="24"/>
          <w:szCs w:val="24"/>
        </w:rPr>
        <w:t>, 97-106.</w:t>
      </w:r>
    </w:p>
    <w:p w14:paraId="23400194"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Ma, P., Zhang, K.-Y., Liao, X.-H., Aer, L., Yang, E.-L., Deng, J., Zhou, L., &amp; Zhang, R.-P. (2023). Effects of nitrogen application rate on dry matter weight and yield of direct-seeded rice under straw return. </w:t>
      </w:r>
      <w:r w:rsidRPr="004C1987">
        <w:rPr>
          <w:rFonts w:ascii="Book Antiqua" w:hAnsi="Book Antiqua" w:cs="Times New Roman"/>
          <w:i/>
          <w:iCs/>
          <w:sz w:val="24"/>
          <w:szCs w:val="24"/>
        </w:rPr>
        <w:t>Agronomy, 13</w:t>
      </w:r>
      <w:r w:rsidRPr="004C1987">
        <w:rPr>
          <w:rFonts w:ascii="Book Antiqua" w:hAnsi="Book Antiqua" w:cs="Times New Roman"/>
          <w:sz w:val="24"/>
          <w:szCs w:val="24"/>
        </w:rPr>
        <w:t>(12), 3058.</w:t>
      </w:r>
    </w:p>
    <w:p w14:paraId="698951B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lastRenderedPageBreak/>
        <w:t>Namai</w:t>
      </w:r>
      <w:proofErr w:type="spellEnd"/>
      <w:r w:rsidRPr="004C1987">
        <w:rPr>
          <w:rFonts w:ascii="Book Antiqua" w:hAnsi="Book Antiqua" w:cs="Times New Roman"/>
          <w:sz w:val="24"/>
          <w:szCs w:val="24"/>
        </w:rPr>
        <w:t xml:space="preserve">, S., </w:t>
      </w:r>
      <w:proofErr w:type="spellStart"/>
      <w:r w:rsidRPr="004C1987">
        <w:rPr>
          <w:rFonts w:ascii="Book Antiqua" w:hAnsi="Book Antiqua" w:cs="Times New Roman"/>
          <w:sz w:val="24"/>
          <w:szCs w:val="24"/>
        </w:rPr>
        <w:t>Toriyama</w:t>
      </w:r>
      <w:proofErr w:type="spellEnd"/>
      <w:r w:rsidRPr="004C1987">
        <w:rPr>
          <w:rFonts w:ascii="Book Antiqua" w:hAnsi="Book Antiqua" w:cs="Times New Roman"/>
          <w:sz w:val="24"/>
          <w:szCs w:val="24"/>
        </w:rPr>
        <w:t xml:space="preserve">, K., &amp; </w:t>
      </w:r>
      <w:proofErr w:type="spellStart"/>
      <w:r w:rsidRPr="004C1987">
        <w:rPr>
          <w:rFonts w:ascii="Book Antiqua" w:hAnsi="Book Antiqua" w:cs="Times New Roman"/>
          <w:sz w:val="24"/>
          <w:szCs w:val="24"/>
        </w:rPr>
        <w:t>Fukuta</w:t>
      </w:r>
      <w:proofErr w:type="spellEnd"/>
      <w:r w:rsidRPr="004C1987">
        <w:rPr>
          <w:rFonts w:ascii="Book Antiqua" w:hAnsi="Book Antiqua" w:cs="Times New Roman"/>
          <w:sz w:val="24"/>
          <w:szCs w:val="24"/>
        </w:rPr>
        <w:t xml:space="preserve">, Y. (2009). Genetic variations in dry matter production and physiological nitrogen use efficiency in rice (Oryza sativa L.) varieties. </w:t>
      </w:r>
      <w:r w:rsidRPr="004C1987">
        <w:rPr>
          <w:rFonts w:ascii="Book Antiqua" w:hAnsi="Book Antiqua" w:cs="Times New Roman"/>
          <w:i/>
          <w:iCs/>
          <w:sz w:val="24"/>
          <w:szCs w:val="24"/>
        </w:rPr>
        <w:t>Breeding Science, 59</w:t>
      </w:r>
      <w:r w:rsidRPr="004C1987">
        <w:rPr>
          <w:rFonts w:ascii="Book Antiqua" w:hAnsi="Book Antiqua" w:cs="Times New Roman"/>
          <w:sz w:val="24"/>
          <w:szCs w:val="24"/>
        </w:rPr>
        <w:t>, 269-276.</w:t>
      </w:r>
    </w:p>
    <w:p w14:paraId="54110092"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Norman, R., Roberts, T., </w:t>
      </w:r>
      <w:proofErr w:type="spellStart"/>
      <w:r w:rsidRPr="004C1987">
        <w:rPr>
          <w:rFonts w:ascii="Book Antiqua" w:hAnsi="Book Antiqua" w:cs="Times New Roman"/>
          <w:sz w:val="24"/>
          <w:szCs w:val="24"/>
        </w:rPr>
        <w:t>Hardke</w:t>
      </w:r>
      <w:proofErr w:type="spellEnd"/>
      <w:r w:rsidRPr="004C1987">
        <w:rPr>
          <w:rFonts w:ascii="Book Antiqua" w:hAnsi="Book Antiqua" w:cs="Times New Roman"/>
          <w:sz w:val="24"/>
          <w:szCs w:val="24"/>
        </w:rPr>
        <w:t xml:space="preserve">, J., Slaton, N., Moldenhauer, K., Frizzell, D., Duren, M., </w:t>
      </w:r>
      <w:proofErr w:type="spellStart"/>
      <w:r w:rsidRPr="004C1987">
        <w:rPr>
          <w:rFonts w:ascii="Book Antiqua" w:hAnsi="Book Antiqua" w:cs="Times New Roman"/>
          <w:sz w:val="24"/>
          <w:szCs w:val="24"/>
        </w:rPr>
        <w:t>Castañeda</w:t>
      </w:r>
      <w:proofErr w:type="spellEnd"/>
      <w:r w:rsidRPr="004C1987">
        <w:rPr>
          <w:rFonts w:ascii="Book Antiqua" w:hAnsi="Book Antiqua" w:cs="Times New Roman"/>
          <w:sz w:val="24"/>
          <w:szCs w:val="24"/>
        </w:rPr>
        <w:t xml:space="preserve">-González, E., &amp; Fulford, A. (2015). Grain yield response of five new rice varieties to nitrogen fertilization. </w:t>
      </w:r>
      <w:r w:rsidRPr="004C1987">
        <w:rPr>
          <w:rFonts w:ascii="Book Antiqua" w:hAnsi="Book Antiqua" w:cs="Times New Roman"/>
          <w:i/>
          <w:iCs/>
          <w:sz w:val="24"/>
          <w:szCs w:val="24"/>
        </w:rPr>
        <w:t>Agronomy Journal, 626</w:t>
      </w:r>
      <w:r w:rsidRPr="004C1987">
        <w:rPr>
          <w:rFonts w:ascii="Book Antiqua" w:hAnsi="Book Antiqua" w:cs="Times New Roman"/>
          <w:sz w:val="24"/>
          <w:szCs w:val="24"/>
        </w:rPr>
        <w:t>, 256-271.</w:t>
      </w:r>
    </w:p>
    <w:p w14:paraId="2B4FBD21"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Puteh</w:t>
      </w:r>
      <w:proofErr w:type="spellEnd"/>
      <w:r w:rsidRPr="004C1987">
        <w:rPr>
          <w:rFonts w:ascii="Book Antiqua" w:hAnsi="Book Antiqua" w:cs="Times New Roman"/>
          <w:sz w:val="24"/>
          <w:szCs w:val="24"/>
        </w:rPr>
        <w:t xml:space="preserve">, A., &amp; Mondal, M. M. A. (2014). Growth and yield performance of rice as affected by nitrogen rate. </w:t>
      </w:r>
      <w:r w:rsidRPr="004C1987">
        <w:rPr>
          <w:rFonts w:ascii="Book Antiqua" w:hAnsi="Book Antiqua" w:cs="Times New Roman"/>
          <w:i/>
          <w:iCs/>
          <w:sz w:val="24"/>
          <w:szCs w:val="24"/>
        </w:rPr>
        <w:t>Life Sciences Journal, 11</w:t>
      </w:r>
      <w:r w:rsidRPr="004C1987">
        <w:rPr>
          <w:rFonts w:ascii="Book Antiqua" w:hAnsi="Book Antiqua" w:cs="Times New Roman"/>
          <w:sz w:val="24"/>
          <w:szCs w:val="24"/>
        </w:rPr>
        <w:t>(8), 653-655.</w:t>
      </w:r>
    </w:p>
    <w:p w14:paraId="2D17578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Prayoga</w:t>
      </w:r>
      <w:proofErr w:type="spellEnd"/>
      <w:r w:rsidRPr="004C1987">
        <w:rPr>
          <w:rFonts w:ascii="Book Antiqua" w:hAnsi="Book Antiqua" w:cs="Times New Roman"/>
          <w:sz w:val="24"/>
          <w:szCs w:val="24"/>
        </w:rPr>
        <w:t xml:space="preserve">, M. K., </w:t>
      </w:r>
      <w:proofErr w:type="spellStart"/>
      <w:r w:rsidRPr="004C1987">
        <w:rPr>
          <w:rFonts w:ascii="Book Antiqua" w:hAnsi="Book Antiqua" w:cs="Times New Roman"/>
          <w:sz w:val="24"/>
          <w:szCs w:val="24"/>
        </w:rPr>
        <w:t>Rostini</w:t>
      </w:r>
      <w:proofErr w:type="spellEnd"/>
      <w:r w:rsidRPr="004C1987">
        <w:rPr>
          <w:rFonts w:ascii="Book Antiqua" w:hAnsi="Book Antiqua" w:cs="Times New Roman"/>
          <w:sz w:val="24"/>
          <w:szCs w:val="24"/>
        </w:rPr>
        <w:t xml:space="preserve">, N., </w:t>
      </w:r>
      <w:proofErr w:type="spellStart"/>
      <w:r w:rsidRPr="004C1987">
        <w:rPr>
          <w:rFonts w:ascii="Book Antiqua" w:hAnsi="Book Antiqua" w:cs="Times New Roman"/>
          <w:sz w:val="24"/>
          <w:szCs w:val="24"/>
        </w:rPr>
        <w:t>Simarmata</w:t>
      </w:r>
      <w:proofErr w:type="spellEnd"/>
      <w:r w:rsidRPr="004C1987">
        <w:rPr>
          <w:rFonts w:ascii="Book Antiqua" w:hAnsi="Book Antiqua" w:cs="Times New Roman"/>
          <w:sz w:val="24"/>
          <w:szCs w:val="24"/>
        </w:rPr>
        <w:t xml:space="preserve">, T., </w:t>
      </w:r>
      <w:proofErr w:type="spellStart"/>
      <w:r w:rsidRPr="004C1987">
        <w:rPr>
          <w:rFonts w:ascii="Book Antiqua" w:hAnsi="Book Antiqua" w:cs="Times New Roman"/>
          <w:sz w:val="24"/>
          <w:szCs w:val="24"/>
        </w:rPr>
        <w:t>Setiawati</w:t>
      </w:r>
      <w:proofErr w:type="spellEnd"/>
      <w:r w:rsidRPr="004C1987">
        <w:rPr>
          <w:rFonts w:ascii="Book Antiqua" w:hAnsi="Book Antiqua" w:cs="Times New Roman"/>
          <w:sz w:val="24"/>
          <w:szCs w:val="24"/>
        </w:rPr>
        <w:t xml:space="preserve">, M., </w:t>
      </w:r>
      <w:proofErr w:type="spellStart"/>
      <w:r w:rsidRPr="004C1987">
        <w:rPr>
          <w:rFonts w:ascii="Book Antiqua" w:hAnsi="Book Antiqua" w:cs="Times New Roman"/>
          <w:sz w:val="24"/>
          <w:szCs w:val="24"/>
        </w:rPr>
        <w:t>Stoeber</w:t>
      </w:r>
      <w:proofErr w:type="spellEnd"/>
      <w:r w:rsidRPr="004C1987">
        <w:rPr>
          <w:rFonts w:ascii="Book Antiqua" w:hAnsi="Book Antiqua" w:cs="Times New Roman"/>
          <w:sz w:val="24"/>
          <w:szCs w:val="24"/>
        </w:rPr>
        <w:t xml:space="preserve">, S., &amp; </w:t>
      </w:r>
      <w:proofErr w:type="spellStart"/>
      <w:r w:rsidRPr="004C1987">
        <w:rPr>
          <w:rFonts w:ascii="Book Antiqua" w:hAnsi="Book Antiqua" w:cs="Times New Roman"/>
          <w:sz w:val="24"/>
          <w:szCs w:val="24"/>
        </w:rPr>
        <w:t>Adinata</w:t>
      </w:r>
      <w:proofErr w:type="spellEnd"/>
      <w:r w:rsidRPr="004C1987">
        <w:rPr>
          <w:rFonts w:ascii="Book Antiqua" w:hAnsi="Book Antiqua" w:cs="Times New Roman"/>
          <w:sz w:val="24"/>
          <w:szCs w:val="24"/>
        </w:rPr>
        <w:t xml:space="preserve">, K. (2018). Growth of rice (Oryza sativa) varieties: </w:t>
      </w:r>
      <w:proofErr w:type="spellStart"/>
      <w:r w:rsidRPr="004C1987">
        <w:rPr>
          <w:rFonts w:ascii="Book Antiqua" w:hAnsi="Book Antiqua" w:cs="Times New Roman"/>
          <w:sz w:val="24"/>
          <w:szCs w:val="24"/>
        </w:rPr>
        <w:t>Mendawak</w:t>
      </w:r>
      <w:proofErr w:type="spellEnd"/>
      <w:r w:rsidRPr="004C1987">
        <w:rPr>
          <w:rFonts w:ascii="Book Antiqua" w:hAnsi="Book Antiqua" w:cs="Times New Roman"/>
          <w:sz w:val="24"/>
          <w:szCs w:val="24"/>
        </w:rPr>
        <w:t xml:space="preserve">, </w:t>
      </w:r>
      <w:proofErr w:type="spellStart"/>
      <w:r w:rsidRPr="004C1987">
        <w:rPr>
          <w:rFonts w:ascii="Book Antiqua" w:hAnsi="Book Antiqua" w:cs="Times New Roman"/>
          <w:sz w:val="24"/>
          <w:szCs w:val="24"/>
        </w:rPr>
        <w:t>Inpari</w:t>
      </w:r>
      <w:proofErr w:type="spellEnd"/>
      <w:r w:rsidRPr="004C1987">
        <w:rPr>
          <w:rFonts w:ascii="Book Antiqua" w:hAnsi="Book Antiqua" w:cs="Times New Roman"/>
          <w:sz w:val="24"/>
          <w:szCs w:val="24"/>
        </w:rPr>
        <w:t xml:space="preserve"> 34, </w:t>
      </w:r>
      <w:proofErr w:type="spellStart"/>
      <w:r w:rsidRPr="004C1987">
        <w:rPr>
          <w:rFonts w:ascii="Book Antiqua" w:hAnsi="Book Antiqua" w:cs="Times New Roman"/>
          <w:sz w:val="24"/>
          <w:szCs w:val="24"/>
        </w:rPr>
        <w:t>Ciherang</w:t>
      </w:r>
      <w:proofErr w:type="spellEnd"/>
      <w:r w:rsidRPr="004C1987">
        <w:rPr>
          <w:rFonts w:ascii="Book Antiqua" w:hAnsi="Book Antiqua" w:cs="Times New Roman"/>
          <w:sz w:val="24"/>
          <w:szCs w:val="24"/>
        </w:rPr>
        <w:t xml:space="preserve">, and </w:t>
      </w:r>
      <w:proofErr w:type="spellStart"/>
      <w:r w:rsidRPr="004C1987">
        <w:rPr>
          <w:rFonts w:ascii="Book Antiqua" w:hAnsi="Book Antiqua" w:cs="Times New Roman"/>
          <w:sz w:val="24"/>
          <w:szCs w:val="24"/>
        </w:rPr>
        <w:t>Bangir</w:t>
      </w:r>
      <w:proofErr w:type="spellEnd"/>
      <w:r w:rsidRPr="004C1987">
        <w:rPr>
          <w:rFonts w:ascii="Book Antiqua" w:hAnsi="Book Antiqua" w:cs="Times New Roman"/>
          <w:sz w:val="24"/>
          <w:szCs w:val="24"/>
        </w:rPr>
        <w:t xml:space="preserve"> in </w:t>
      </w:r>
      <w:proofErr w:type="spellStart"/>
      <w:r w:rsidRPr="004C1987">
        <w:rPr>
          <w:rFonts w:ascii="Book Antiqua" w:hAnsi="Book Antiqua" w:cs="Times New Roman"/>
          <w:sz w:val="24"/>
          <w:szCs w:val="24"/>
        </w:rPr>
        <w:t>Ciganjeng</w:t>
      </w:r>
      <w:proofErr w:type="spellEnd"/>
      <w:r w:rsidRPr="004C1987">
        <w:rPr>
          <w:rFonts w:ascii="Book Antiqua" w:hAnsi="Book Antiqua" w:cs="Times New Roman"/>
          <w:sz w:val="24"/>
          <w:szCs w:val="24"/>
        </w:rPr>
        <w:t xml:space="preserve"> Village, </w:t>
      </w:r>
      <w:proofErr w:type="spellStart"/>
      <w:r w:rsidRPr="004C1987">
        <w:rPr>
          <w:rFonts w:ascii="Book Antiqua" w:hAnsi="Book Antiqua" w:cs="Times New Roman"/>
          <w:sz w:val="24"/>
          <w:szCs w:val="24"/>
        </w:rPr>
        <w:t>Pangandaran</w:t>
      </w:r>
      <w:proofErr w:type="spellEnd"/>
      <w:r w:rsidRPr="004C1987">
        <w:rPr>
          <w:rFonts w:ascii="Book Antiqua" w:hAnsi="Book Antiqua" w:cs="Times New Roman"/>
          <w:sz w:val="24"/>
          <w:szCs w:val="24"/>
        </w:rPr>
        <w:t xml:space="preserve"> District. </w:t>
      </w:r>
      <w:proofErr w:type="spellStart"/>
      <w:r w:rsidRPr="004C1987">
        <w:rPr>
          <w:rFonts w:ascii="Book Antiqua" w:hAnsi="Book Antiqua" w:cs="Times New Roman"/>
          <w:i/>
          <w:iCs/>
          <w:sz w:val="24"/>
          <w:szCs w:val="24"/>
        </w:rPr>
        <w:t>Jurnal</w:t>
      </w:r>
      <w:proofErr w:type="spellEnd"/>
      <w:r w:rsidRPr="004C1987">
        <w:rPr>
          <w:rFonts w:ascii="Book Antiqua" w:hAnsi="Book Antiqua" w:cs="Times New Roman"/>
          <w:i/>
          <w:iCs/>
          <w:sz w:val="24"/>
          <w:szCs w:val="24"/>
        </w:rPr>
        <w:t xml:space="preserve"> </w:t>
      </w:r>
      <w:proofErr w:type="spellStart"/>
      <w:r w:rsidRPr="004C1987">
        <w:rPr>
          <w:rFonts w:ascii="Book Antiqua" w:hAnsi="Book Antiqua" w:cs="Times New Roman"/>
          <w:i/>
          <w:iCs/>
          <w:sz w:val="24"/>
          <w:szCs w:val="24"/>
        </w:rPr>
        <w:t>Biodjati</w:t>
      </w:r>
      <w:proofErr w:type="spellEnd"/>
      <w:r w:rsidRPr="004C1987">
        <w:rPr>
          <w:rFonts w:ascii="Book Antiqua" w:hAnsi="Book Antiqua" w:cs="Times New Roman"/>
          <w:i/>
          <w:iCs/>
          <w:sz w:val="24"/>
          <w:szCs w:val="24"/>
        </w:rPr>
        <w:t>, 3</w:t>
      </w:r>
      <w:r w:rsidRPr="004C1987">
        <w:rPr>
          <w:rFonts w:ascii="Book Antiqua" w:hAnsi="Book Antiqua" w:cs="Times New Roman"/>
          <w:sz w:val="24"/>
          <w:szCs w:val="24"/>
        </w:rPr>
        <w:t xml:space="preserve">(2), 3232. </w:t>
      </w:r>
      <w:hyperlink r:id="rId19" w:history="1">
        <w:r w:rsidRPr="004C1987">
          <w:rPr>
            <w:rStyle w:val="Hyperlink"/>
            <w:rFonts w:ascii="Book Antiqua" w:hAnsi="Book Antiqua" w:cs="Times New Roman"/>
            <w:color w:val="auto"/>
            <w:sz w:val="24"/>
            <w:szCs w:val="24"/>
          </w:rPr>
          <w:t>https://doi.org/10.15575/BIODJATI.V3I2.3232</w:t>
        </w:r>
      </w:hyperlink>
    </w:p>
    <w:p w14:paraId="554C5252" w14:textId="6F0560B6" w:rsidR="00A64B66" w:rsidRPr="004C1987" w:rsidRDefault="00A64B66"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Times New Roman" w:eastAsia="Times New Roman" w:hAnsi="Times New Roman" w:cs="Times New Roman"/>
          <w:sz w:val="24"/>
          <w:szCs w:val="24"/>
        </w:rPr>
        <w:t xml:space="preserve">Khatun, A., (2015). Nitrogen use efficiency of lowland rice as affected by organic and chemical sources. </w:t>
      </w:r>
      <w:r w:rsidRPr="004C1987">
        <w:rPr>
          <w:rFonts w:ascii="Times New Roman" w:eastAsia="Times New Roman" w:hAnsi="Times New Roman" w:cs="Times New Roman"/>
          <w:i/>
          <w:iCs/>
          <w:sz w:val="24"/>
          <w:szCs w:val="24"/>
        </w:rPr>
        <w:t>Open Access Library Journal</w:t>
      </w:r>
      <w:r w:rsidRPr="004C1987">
        <w:rPr>
          <w:rFonts w:ascii="Times New Roman" w:eastAsia="Times New Roman" w:hAnsi="Times New Roman" w:cs="Times New Roman"/>
          <w:sz w:val="24"/>
          <w:szCs w:val="24"/>
        </w:rPr>
        <w:t>, 2(1), 1-16.</w:t>
      </w:r>
    </w:p>
    <w:p w14:paraId="2726CC0D" w14:textId="77777777" w:rsidR="00C341E3" w:rsidRPr="004C1987" w:rsidRDefault="00C341E3"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Razib</w:t>
      </w:r>
      <w:proofErr w:type="spellEnd"/>
      <w:r w:rsidRPr="004C1987">
        <w:rPr>
          <w:rFonts w:ascii="Book Antiqua" w:hAnsi="Book Antiqua" w:cs="Times New Roman"/>
          <w:sz w:val="24"/>
          <w:szCs w:val="24"/>
        </w:rPr>
        <w:t xml:space="preserve">, M. A. H., </w:t>
      </w:r>
      <w:proofErr w:type="spellStart"/>
      <w:r w:rsidRPr="004C1987">
        <w:rPr>
          <w:rFonts w:ascii="Book Antiqua" w:hAnsi="Book Antiqua" w:cs="Times New Roman"/>
          <w:sz w:val="24"/>
          <w:szCs w:val="24"/>
        </w:rPr>
        <w:t>Sarker</w:t>
      </w:r>
      <w:proofErr w:type="spellEnd"/>
      <w:r w:rsidRPr="004C1987">
        <w:rPr>
          <w:rFonts w:ascii="Book Antiqua" w:hAnsi="Book Antiqua" w:cs="Times New Roman"/>
          <w:sz w:val="24"/>
          <w:szCs w:val="24"/>
        </w:rPr>
        <w:t xml:space="preserve">, A. U., Sultana, N., Islam, M. N., &amp; </w:t>
      </w:r>
      <w:proofErr w:type="spellStart"/>
      <w:r w:rsidRPr="004C1987">
        <w:rPr>
          <w:rFonts w:ascii="Book Antiqua" w:hAnsi="Book Antiqua" w:cs="Times New Roman"/>
          <w:sz w:val="24"/>
          <w:szCs w:val="24"/>
        </w:rPr>
        <w:t>Podder</w:t>
      </w:r>
      <w:proofErr w:type="spellEnd"/>
      <w:r w:rsidRPr="004C1987">
        <w:rPr>
          <w:rFonts w:ascii="Book Antiqua" w:hAnsi="Book Antiqua" w:cs="Times New Roman"/>
          <w:sz w:val="24"/>
          <w:szCs w:val="24"/>
        </w:rPr>
        <w:t xml:space="preserve">, R. (2022). Performance of three </w:t>
      </w:r>
      <w:proofErr w:type="spellStart"/>
      <w:r w:rsidRPr="004C1987">
        <w:rPr>
          <w:rFonts w:ascii="Book Antiqua" w:hAnsi="Book Antiqua" w:cs="Times New Roman"/>
          <w:sz w:val="24"/>
          <w:szCs w:val="24"/>
        </w:rPr>
        <w:t>boro</w:t>
      </w:r>
      <w:proofErr w:type="spellEnd"/>
      <w:r w:rsidRPr="004C1987">
        <w:rPr>
          <w:rFonts w:ascii="Book Antiqua" w:hAnsi="Book Antiqua" w:cs="Times New Roman"/>
          <w:sz w:val="24"/>
          <w:szCs w:val="24"/>
        </w:rPr>
        <w:t xml:space="preserve"> rice varieties under different levels of nitrogen application. </w:t>
      </w:r>
      <w:r w:rsidRPr="004C1987">
        <w:rPr>
          <w:rFonts w:ascii="Book Antiqua" w:hAnsi="Book Antiqua" w:cs="Times New Roman"/>
          <w:i/>
          <w:iCs/>
          <w:sz w:val="24"/>
          <w:szCs w:val="24"/>
        </w:rPr>
        <w:t>Research in Agriculture Livestock and Fisheries</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9</w:t>
      </w:r>
      <w:r w:rsidRPr="004C1987">
        <w:rPr>
          <w:rFonts w:ascii="Book Antiqua" w:hAnsi="Book Antiqua" w:cs="Times New Roman"/>
          <w:sz w:val="24"/>
          <w:szCs w:val="24"/>
        </w:rPr>
        <w:t>(3), 267-278.</w:t>
      </w:r>
    </w:p>
    <w:p w14:paraId="677E19B6" w14:textId="4B08E190" w:rsidR="00DE35D2" w:rsidRPr="004C1987" w:rsidRDefault="00DE35D2"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Times New Roman" w:eastAsia="Times New Roman" w:hAnsi="Times New Roman" w:cs="Times New Roman"/>
          <w:sz w:val="24"/>
          <w:szCs w:val="24"/>
        </w:rPr>
        <w:t xml:space="preserve">Rahman, S., &amp; </w:t>
      </w:r>
      <w:proofErr w:type="spellStart"/>
      <w:r w:rsidRPr="004C1987">
        <w:rPr>
          <w:rFonts w:ascii="Times New Roman" w:eastAsia="Times New Roman" w:hAnsi="Times New Roman" w:cs="Times New Roman"/>
          <w:sz w:val="24"/>
          <w:szCs w:val="24"/>
        </w:rPr>
        <w:t>Barmon</w:t>
      </w:r>
      <w:proofErr w:type="spellEnd"/>
      <w:r w:rsidRPr="004C1987">
        <w:rPr>
          <w:rFonts w:ascii="Times New Roman" w:eastAsia="Times New Roman" w:hAnsi="Times New Roman" w:cs="Times New Roman"/>
          <w:sz w:val="24"/>
          <w:szCs w:val="24"/>
        </w:rPr>
        <w:t xml:space="preserve">, B. K. (2015). Exploring the potential to improve energy saving and energy efficiency using fertilizer deep placement strategy in modern rice production in Bangladesh. </w:t>
      </w:r>
      <w:r w:rsidRPr="004C1987">
        <w:rPr>
          <w:rFonts w:ascii="Times New Roman" w:eastAsia="Times New Roman" w:hAnsi="Times New Roman" w:cs="Times New Roman"/>
          <w:i/>
          <w:iCs/>
          <w:sz w:val="24"/>
          <w:szCs w:val="24"/>
        </w:rPr>
        <w:t>Energy Efficiency</w:t>
      </w:r>
      <w:r w:rsidRPr="004C1987">
        <w:rPr>
          <w:rFonts w:ascii="Times New Roman" w:eastAsia="Times New Roman" w:hAnsi="Times New Roman" w:cs="Times New Roman"/>
          <w:sz w:val="24"/>
          <w:szCs w:val="24"/>
        </w:rPr>
        <w:t>, 8(6), 1241-1250</w:t>
      </w:r>
    </w:p>
    <w:p w14:paraId="5EAABB6E" w14:textId="2C2A0A9C" w:rsidR="00935749" w:rsidRPr="004C1987" w:rsidRDefault="00935749" w:rsidP="00935749">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Salam, M. A., Chakraborty, S., &amp; Rahman, A. (2020). Effect of integrated nutrient management on the growth and yield of </w:t>
      </w:r>
      <w:proofErr w:type="spellStart"/>
      <w:r w:rsidRPr="004C1987">
        <w:rPr>
          <w:rFonts w:ascii="Book Antiqua" w:hAnsi="Book Antiqua" w:cs="Times New Roman"/>
          <w:sz w:val="24"/>
          <w:szCs w:val="24"/>
        </w:rPr>
        <w:t>boro</w:t>
      </w:r>
      <w:proofErr w:type="spellEnd"/>
      <w:r w:rsidRPr="004C1987">
        <w:rPr>
          <w:rFonts w:ascii="Book Antiqua" w:hAnsi="Book Antiqua" w:cs="Times New Roman"/>
          <w:sz w:val="24"/>
          <w:szCs w:val="24"/>
        </w:rPr>
        <w:t xml:space="preserve"> rice (Oryza sativa L.) cultivars. </w:t>
      </w:r>
      <w:r w:rsidRPr="004C1987">
        <w:rPr>
          <w:rFonts w:ascii="Book Antiqua" w:hAnsi="Book Antiqua" w:cs="Times New Roman"/>
          <w:i/>
          <w:iCs/>
          <w:sz w:val="24"/>
          <w:szCs w:val="24"/>
        </w:rPr>
        <w:t>Archives of Agriculture and Environmental Science</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5</w:t>
      </w:r>
      <w:r w:rsidRPr="004C1987">
        <w:rPr>
          <w:rFonts w:ascii="Book Antiqua" w:hAnsi="Book Antiqua" w:cs="Times New Roman"/>
          <w:sz w:val="24"/>
          <w:szCs w:val="24"/>
        </w:rPr>
        <w:t>(4).</w:t>
      </w:r>
    </w:p>
    <w:p w14:paraId="7DC97CB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t>Shanker</w:t>
      </w:r>
      <w:proofErr w:type="spellEnd"/>
      <w:r w:rsidRPr="004C1987">
        <w:rPr>
          <w:rFonts w:ascii="Book Antiqua" w:hAnsi="Book Antiqua" w:cs="Times New Roman"/>
          <w:sz w:val="24"/>
          <w:szCs w:val="24"/>
        </w:rPr>
        <w:t xml:space="preserve">, U., &amp; Rani, M. (Eds.). (2024). </w:t>
      </w:r>
      <w:r w:rsidRPr="004C1987">
        <w:rPr>
          <w:rFonts w:ascii="Book Antiqua" w:hAnsi="Book Antiqua" w:cs="Times New Roman"/>
          <w:i/>
          <w:iCs/>
          <w:sz w:val="24"/>
          <w:szCs w:val="24"/>
        </w:rPr>
        <w:t>Occurrence, distribution and toxic effects of emerging contaminants</w:t>
      </w:r>
      <w:r w:rsidRPr="004C1987">
        <w:rPr>
          <w:rFonts w:ascii="Book Antiqua" w:hAnsi="Book Antiqua" w:cs="Times New Roman"/>
          <w:sz w:val="24"/>
          <w:szCs w:val="24"/>
        </w:rPr>
        <w:t>. CRC Press, Taylor &amp; Francis Group.</w:t>
      </w:r>
    </w:p>
    <w:p w14:paraId="73681F23" w14:textId="4CBB4CD9" w:rsidR="00DE35D2" w:rsidRPr="004C1987" w:rsidRDefault="00DE35D2"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Times New Roman" w:eastAsia="Times New Roman" w:hAnsi="Times New Roman" w:cs="Times New Roman"/>
          <w:sz w:val="24"/>
          <w:szCs w:val="24"/>
        </w:rPr>
        <w:t>Sarker</w:t>
      </w:r>
      <w:proofErr w:type="spellEnd"/>
      <w:r w:rsidRPr="004C1987">
        <w:rPr>
          <w:rFonts w:ascii="Times New Roman" w:eastAsia="Times New Roman" w:hAnsi="Times New Roman" w:cs="Times New Roman"/>
          <w:sz w:val="24"/>
          <w:szCs w:val="24"/>
        </w:rPr>
        <w:t xml:space="preserve">, A., </w:t>
      </w:r>
      <w:proofErr w:type="spellStart"/>
      <w:r w:rsidRPr="004C1987">
        <w:rPr>
          <w:rFonts w:ascii="Times New Roman" w:eastAsia="Times New Roman" w:hAnsi="Times New Roman" w:cs="Times New Roman"/>
          <w:sz w:val="24"/>
          <w:szCs w:val="24"/>
        </w:rPr>
        <w:t>Samanta</w:t>
      </w:r>
      <w:proofErr w:type="spellEnd"/>
      <w:r w:rsidRPr="004C1987">
        <w:rPr>
          <w:rFonts w:ascii="Times New Roman" w:eastAsia="Times New Roman" w:hAnsi="Times New Roman" w:cs="Times New Roman"/>
          <w:sz w:val="24"/>
          <w:szCs w:val="24"/>
        </w:rPr>
        <w:t xml:space="preserve">, S., &amp; </w:t>
      </w:r>
      <w:proofErr w:type="spellStart"/>
      <w:r w:rsidRPr="004C1987">
        <w:rPr>
          <w:rFonts w:ascii="Times New Roman" w:eastAsia="Times New Roman" w:hAnsi="Times New Roman" w:cs="Times New Roman"/>
          <w:sz w:val="24"/>
          <w:szCs w:val="24"/>
        </w:rPr>
        <w:t>Saha</w:t>
      </w:r>
      <w:proofErr w:type="spellEnd"/>
      <w:r w:rsidRPr="004C1987">
        <w:rPr>
          <w:rFonts w:ascii="Times New Roman" w:eastAsia="Times New Roman" w:hAnsi="Times New Roman" w:cs="Times New Roman"/>
          <w:sz w:val="24"/>
          <w:szCs w:val="24"/>
        </w:rPr>
        <w:t xml:space="preserve">, G. (2020). Effect of nitrogen management and seedling raising methods on the productivity of </w:t>
      </w:r>
      <w:proofErr w:type="spellStart"/>
      <w:r w:rsidRPr="004C1987">
        <w:rPr>
          <w:rFonts w:ascii="Times New Roman" w:eastAsia="Times New Roman" w:hAnsi="Times New Roman" w:cs="Times New Roman"/>
          <w:sz w:val="24"/>
          <w:szCs w:val="24"/>
        </w:rPr>
        <w:t>Aus</w:t>
      </w:r>
      <w:proofErr w:type="spellEnd"/>
      <w:r w:rsidRPr="004C1987">
        <w:rPr>
          <w:rFonts w:ascii="Times New Roman" w:eastAsia="Times New Roman" w:hAnsi="Times New Roman" w:cs="Times New Roman"/>
          <w:sz w:val="24"/>
          <w:szCs w:val="24"/>
        </w:rPr>
        <w:t xml:space="preserve"> rice under tidal ecosystem of Bangladesh. </w:t>
      </w:r>
      <w:r w:rsidRPr="004C1987">
        <w:rPr>
          <w:rFonts w:ascii="Times New Roman" w:eastAsia="Times New Roman" w:hAnsi="Times New Roman" w:cs="Times New Roman"/>
          <w:i/>
          <w:iCs/>
          <w:sz w:val="24"/>
          <w:szCs w:val="24"/>
        </w:rPr>
        <w:t>Journal of Applied Biology</w:t>
      </w:r>
      <w:r w:rsidRPr="004C1987">
        <w:rPr>
          <w:rFonts w:ascii="Times New Roman" w:eastAsia="Times New Roman" w:hAnsi="Times New Roman" w:cs="Times New Roman"/>
          <w:sz w:val="24"/>
          <w:szCs w:val="24"/>
        </w:rPr>
        <w:t>, 4(1), 68-84.</w:t>
      </w:r>
    </w:p>
    <w:p w14:paraId="35C29E73"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proofErr w:type="spellStart"/>
      <w:r w:rsidRPr="004C1987">
        <w:rPr>
          <w:rFonts w:ascii="Book Antiqua" w:hAnsi="Book Antiqua" w:cs="Times New Roman"/>
          <w:sz w:val="24"/>
          <w:szCs w:val="24"/>
        </w:rPr>
        <w:lastRenderedPageBreak/>
        <w:t>Vlek</w:t>
      </w:r>
      <w:proofErr w:type="spellEnd"/>
      <w:r w:rsidRPr="004C1987">
        <w:rPr>
          <w:rFonts w:ascii="Book Antiqua" w:hAnsi="Book Antiqua" w:cs="Times New Roman"/>
          <w:sz w:val="24"/>
          <w:szCs w:val="24"/>
        </w:rPr>
        <w:t xml:space="preserve">, P. L. G., &amp; </w:t>
      </w:r>
      <w:proofErr w:type="spellStart"/>
      <w:r w:rsidRPr="004C1987">
        <w:rPr>
          <w:rFonts w:ascii="Book Antiqua" w:hAnsi="Book Antiqua" w:cs="Times New Roman"/>
          <w:sz w:val="24"/>
          <w:szCs w:val="24"/>
        </w:rPr>
        <w:t>Craswell</w:t>
      </w:r>
      <w:proofErr w:type="spellEnd"/>
      <w:r w:rsidRPr="004C1987">
        <w:rPr>
          <w:rFonts w:ascii="Book Antiqua" w:hAnsi="Book Antiqua" w:cs="Times New Roman"/>
          <w:sz w:val="24"/>
          <w:szCs w:val="24"/>
        </w:rPr>
        <w:t xml:space="preserve">, E. T. (1981). Ammonia volatilization from flooded soils. </w:t>
      </w:r>
      <w:r w:rsidRPr="004C1987">
        <w:rPr>
          <w:rFonts w:ascii="Book Antiqua" w:hAnsi="Book Antiqua" w:cs="Times New Roman"/>
          <w:i/>
          <w:iCs/>
          <w:sz w:val="24"/>
          <w:szCs w:val="24"/>
        </w:rPr>
        <w:t>Fertilizer Research</w:t>
      </w:r>
      <w:r w:rsidRPr="004C1987">
        <w:rPr>
          <w:rFonts w:ascii="Book Antiqua" w:hAnsi="Book Antiqua" w:cs="Times New Roman"/>
          <w:sz w:val="24"/>
          <w:szCs w:val="24"/>
        </w:rPr>
        <w:t>, 2, 227–245.</w:t>
      </w:r>
    </w:p>
    <w:p w14:paraId="06456225"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Wang, Y., Lu, J., Ren, T., Hussain, S., Guo, C., Wang, S., ... &amp; Li, X. (2017). Effects of nitrogen and tiller type on grain yield and physiological responses in rice. </w:t>
      </w:r>
      <w:proofErr w:type="spellStart"/>
      <w:r w:rsidRPr="004C1987">
        <w:rPr>
          <w:rFonts w:ascii="Book Antiqua" w:hAnsi="Book Antiqua" w:cs="Times New Roman"/>
          <w:i/>
          <w:iCs/>
          <w:sz w:val="24"/>
          <w:szCs w:val="24"/>
        </w:rPr>
        <w:t>AoB</w:t>
      </w:r>
      <w:proofErr w:type="spellEnd"/>
      <w:r w:rsidRPr="004C1987">
        <w:rPr>
          <w:rFonts w:ascii="Book Antiqua" w:hAnsi="Book Antiqua" w:cs="Times New Roman"/>
          <w:i/>
          <w:iCs/>
          <w:sz w:val="24"/>
          <w:szCs w:val="24"/>
        </w:rPr>
        <w:t xml:space="preserve"> Plants, 9</w:t>
      </w:r>
      <w:r w:rsidRPr="004C1987">
        <w:rPr>
          <w:rFonts w:ascii="Book Antiqua" w:hAnsi="Book Antiqua" w:cs="Times New Roman"/>
          <w:sz w:val="24"/>
          <w:szCs w:val="24"/>
        </w:rPr>
        <w:t>(2), plx012.</w:t>
      </w:r>
    </w:p>
    <w:p w14:paraId="2ED2DA0B"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Yi, B., Li, S., &amp; Zhang, H. (2023). Effects of dynamic nitrogen application on rice yield and quality under straw returning conditions. </w:t>
      </w:r>
      <w:r w:rsidRPr="004C1987">
        <w:rPr>
          <w:rFonts w:ascii="Book Antiqua" w:hAnsi="Book Antiqua" w:cs="Times New Roman"/>
          <w:i/>
          <w:iCs/>
          <w:sz w:val="24"/>
          <w:szCs w:val="24"/>
        </w:rPr>
        <w:t>Environmental Research, 243</w:t>
      </w:r>
      <w:r w:rsidRPr="004C1987">
        <w:rPr>
          <w:rFonts w:ascii="Book Antiqua" w:hAnsi="Book Antiqua" w:cs="Times New Roman"/>
          <w:sz w:val="24"/>
          <w:szCs w:val="24"/>
        </w:rPr>
        <w:t>, 117857.</w:t>
      </w:r>
    </w:p>
    <w:p w14:paraId="6A039F1A"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Zhang, H., Liu, M., &amp; Xu, J. (2022). Effects of dynamic nitrogen application on rice yield and straw biomass. </w:t>
      </w:r>
      <w:r w:rsidRPr="004C1987">
        <w:rPr>
          <w:rFonts w:ascii="Book Antiqua" w:hAnsi="Book Antiqua" w:cs="Times New Roman"/>
          <w:i/>
          <w:iCs/>
          <w:sz w:val="24"/>
          <w:szCs w:val="24"/>
        </w:rPr>
        <w:t>Journal of Plant Nutrition, 45</w:t>
      </w:r>
      <w:r w:rsidRPr="004C1987">
        <w:rPr>
          <w:rFonts w:ascii="Book Antiqua" w:hAnsi="Book Antiqua" w:cs="Times New Roman"/>
          <w:sz w:val="24"/>
          <w:szCs w:val="24"/>
        </w:rPr>
        <w:t>(3), 758-773.</w:t>
      </w:r>
    </w:p>
    <w:p w14:paraId="3BF5BD28" w14:textId="1CDB7E99" w:rsidR="00A65A20" w:rsidRPr="004C1987" w:rsidRDefault="00A65A20" w:rsidP="00CA1CB5">
      <w:pPr>
        <w:autoSpaceDE w:val="0"/>
        <w:autoSpaceDN w:val="0"/>
        <w:adjustRightInd w:val="0"/>
        <w:spacing w:after="0" w:line="360" w:lineRule="auto"/>
        <w:ind w:left="720" w:hanging="720"/>
        <w:jc w:val="both"/>
        <w:rPr>
          <w:rFonts w:ascii="Book Antiqua" w:hAnsi="Book Antiqua" w:cs="Times New Roman"/>
          <w:sz w:val="24"/>
          <w:szCs w:val="24"/>
        </w:rPr>
      </w:pPr>
    </w:p>
    <w:sectPr w:rsidR="00A65A20" w:rsidRPr="004C1987" w:rsidSect="008A5B1F">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195D5" w14:textId="77777777" w:rsidR="00FB6C27" w:rsidRDefault="00FB6C27" w:rsidP="00866EFB">
      <w:pPr>
        <w:spacing w:after="0" w:line="240" w:lineRule="auto"/>
      </w:pPr>
      <w:r>
        <w:separator/>
      </w:r>
    </w:p>
  </w:endnote>
  <w:endnote w:type="continuationSeparator" w:id="0">
    <w:p w14:paraId="45C945A0" w14:textId="77777777" w:rsidR="00FB6C27" w:rsidRDefault="00FB6C27" w:rsidP="00866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6901" w14:textId="77777777" w:rsidR="00866EFB" w:rsidRDefault="00866E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58E26" w14:textId="77777777" w:rsidR="00866EFB" w:rsidRDefault="00866E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F908E" w14:textId="77777777" w:rsidR="00866EFB" w:rsidRDefault="00866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D272C" w14:textId="77777777" w:rsidR="00FB6C27" w:rsidRDefault="00FB6C27" w:rsidP="00866EFB">
      <w:pPr>
        <w:spacing w:after="0" w:line="240" w:lineRule="auto"/>
      </w:pPr>
      <w:r>
        <w:separator/>
      </w:r>
    </w:p>
  </w:footnote>
  <w:footnote w:type="continuationSeparator" w:id="0">
    <w:p w14:paraId="626699ED" w14:textId="77777777" w:rsidR="00FB6C27" w:rsidRDefault="00FB6C27" w:rsidP="00866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F3A09" w14:textId="7DA90A9C" w:rsidR="00866EFB" w:rsidRDefault="00866EFB">
    <w:pPr>
      <w:pStyle w:val="Header"/>
    </w:pPr>
    <w:r>
      <w:rPr>
        <w:noProof/>
      </w:rPr>
      <w:pict w14:anchorId="575F4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14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B264" w14:textId="6CBEF94E" w:rsidR="00866EFB" w:rsidRDefault="00866EFB">
    <w:pPr>
      <w:pStyle w:val="Header"/>
    </w:pPr>
    <w:r>
      <w:rPr>
        <w:noProof/>
      </w:rPr>
      <w:pict w14:anchorId="45D3E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14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E4EC0" w14:textId="4A46F343" w:rsidR="00866EFB" w:rsidRDefault="00866EFB">
    <w:pPr>
      <w:pStyle w:val="Header"/>
    </w:pPr>
    <w:r>
      <w:rPr>
        <w:noProof/>
      </w:rPr>
      <w:pict w14:anchorId="52380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14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16F61"/>
    <w:multiLevelType w:val="hybridMultilevel"/>
    <w:tmpl w:val="A9209CD6"/>
    <w:lvl w:ilvl="0" w:tplc="3978244C">
      <w:start w:val="1"/>
      <w:numFmt w:val="lowerRoman"/>
      <w:lvlText w:val="%1."/>
      <w:lvlJc w:val="right"/>
      <w:pPr>
        <w:ind w:left="720" w:hanging="360"/>
      </w:pPr>
      <w:rPr>
        <w:b w:val="0"/>
        <w:i w:val="0"/>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5991753"/>
    <w:multiLevelType w:val="hybridMultilevel"/>
    <w:tmpl w:val="F0AA4A00"/>
    <w:lvl w:ilvl="0" w:tplc="70C847F2">
      <w:start w:val="1"/>
      <w:numFmt w:val="lowerRoman"/>
      <w:lvlText w:val="%1."/>
      <w:lvlJc w:val="right"/>
      <w:pPr>
        <w:ind w:left="720" w:hanging="360"/>
      </w:pPr>
      <w:rPr>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D300F23"/>
    <w:multiLevelType w:val="multilevel"/>
    <w:tmpl w:val="AE069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2AF7794"/>
    <w:multiLevelType w:val="hybridMultilevel"/>
    <w:tmpl w:val="1FCC417A"/>
    <w:lvl w:ilvl="0" w:tplc="0409001B">
      <w:start w:val="1"/>
      <w:numFmt w:val="lowerRoman"/>
      <w:lvlText w:val="%1."/>
      <w:lvlJc w:val="right"/>
      <w:pPr>
        <w:ind w:left="720" w:hanging="360"/>
      </w:pPr>
    </w:lvl>
    <w:lvl w:ilvl="1" w:tplc="3E5A6D9E">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CD8322F"/>
    <w:multiLevelType w:val="hybridMultilevel"/>
    <w:tmpl w:val="76BEF42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1058"/>
    <w:rsid w:val="00030591"/>
    <w:rsid w:val="000329A3"/>
    <w:rsid w:val="0003625F"/>
    <w:rsid w:val="00047D67"/>
    <w:rsid w:val="00055715"/>
    <w:rsid w:val="00063B4D"/>
    <w:rsid w:val="000648E8"/>
    <w:rsid w:val="000764BF"/>
    <w:rsid w:val="00083931"/>
    <w:rsid w:val="000870E8"/>
    <w:rsid w:val="0008788B"/>
    <w:rsid w:val="000A4807"/>
    <w:rsid w:val="000B0077"/>
    <w:rsid w:val="000C4EE8"/>
    <w:rsid w:val="001043D9"/>
    <w:rsid w:val="001109A8"/>
    <w:rsid w:val="00111236"/>
    <w:rsid w:val="00113099"/>
    <w:rsid w:val="0016379B"/>
    <w:rsid w:val="001744B3"/>
    <w:rsid w:val="00174746"/>
    <w:rsid w:val="00176A3F"/>
    <w:rsid w:val="00184DEA"/>
    <w:rsid w:val="00190B28"/>
    <w:rsid w:val="00191F45"/>
    <w:rsid w:val="00197A5F"/>
    <w:rsid w:val="001A6C96"/>
    <w:rsid w:val="001F31D0"/>
    <w:rsid w:val="00202E55"/>
    <w:rsid w:val="00211058"/>
    <w:rsid w:val="002119C0"/>
    <w:rsid w:val="00212D33"/>
    <w:rsid w:val="00212F26"/>
    <w:rsid w:val="00226048"/>
    <w:rsid w:val="00242430"/>
    <w:rsid w:val="00243CC1"/>
    <w:rsid w:val="0025186E"/>
    <w:rsid w:val="00255B9A"/>
    <w:rsid w:val="00262BB1"/>
    <w:rsid w:val="00271434"/>
    <w:rsid w:val="00282ABF"/>
    <w:rsid w:val="00286780"/>
    <w:rsid w:val="00297147"/>
    <w:rsid w:val="002A4EC0"/>
    <w:rsid w:val="002A62A3"/>
    <w:rsid w:val="002A73DA"/>
    <w:rsid w:val="002D27F3"/>
    <w:rsid w:val="00304B01"/>
    <w:rsid w:val="00324FF5"/>
    <w:rsid w:val="003311D3"/>
    <w:rsid w:val="00331D17"/>
    <w:rsid w:val="00336A16"/>
    <w:rsid w:val="00347713"/>
    <w:rsid w:val="00362E8E"/>
    <w:rsid w:val="0036333E"/>
    <w:rsid w:val="003B47C0"/>
    <w:rsid w:val="003C62D3"/>
    <w:rsid w:val="003E0863"/>
    <w:rsid w:val="003E460A"/>
    <w:rsid w:val="003E4D0D"/>
    <w:rsid w:val="00403EBE"/>
    <w:rsid w:val="00405D1E"/>
    <w:rsid w:val="00407082"/>
    <w:rsid w:val="00424E87"/>
    <w:rsid w:val="00446793"/>
    <w:rsid w:val="004743C3"/>
    <w:rsid w:val="0048134F"/>
    <w:rsid w:val="004C0DCE"/>
    <w:rsid w:val="004C1987"/>
    <w:rsid w:val="004D2334"/>
    <w:rsid w:val="004E0F74"/>
    <w:rsid w:val="0050170A"/>
    <w:rsid w:val="00543941"/>
    <w:rsid w:val="00591C6A"/>
    <w:rsid w:val="00594932"/>
    <w:rsid w:val="00595393"/>
    <w:rsid w:val="005A3266"/>
    <w:rsid w:val="005A3488"/>
    <w:rsid w:val="005C4F9B"/>
    <w:rsid w:val="005F4962"/>
    <w:rsid w:val="006014B7"/>
    <w:rsid w:val="0062774A"/>
    <w:rsid w:val="0066402B"/>
    <w:rsid w:val="00667D68"/>
    <w:rsid w:val="006753DF"/>
    <w:rsid w:val="00681748"/>
    <w:rsid w:val="00690BE5"/>
    <w:rsid w:val="0069329C"/>
    <w:rsid w:val="0069383D"/>
    <w:rsid w:val="0069670A"/>
    <w:rsid w:val="006D3B49"/>
    <w:rsid w:val="006D5BEB"/>
    <w:rsid w:val="006E1A2F"/>
    <w:rsid w:val="006E2E22"/>
    <w:rsid w:val="006E5098"/>
    <w:rsid w:val="006F1003"/>
    <w:rsid w:val="0071114F"/>
    <w:rsid w:val="00716E7B"/>
    <w:rsid w:val="00726F70"/>
    <w:rsid w:val="007402BF"/>
    <w:rsid w:val="0075470B"/>
    <w:rsid w:val="00785865"/>
    <w:rsid w:val="007A5B82"/>
    <w:rsid w:val="0080390F"/>
    <w:rsid w:val="0080658F"/>
    <w:rsid w:val="00825D6E"/>
    <w:rsid w:val="00834423"/>
    <w:rsid w:val="00847C83"/>
    <w:rsid w:val="00847D70"/>
    <w:rsid w:val="00862E1E"/>
    <w:rsid w:val="00866EFB"/>
    <w:rsid w:val="008A5B1F"/>
    <w:rsid w:val="00903B41"/>
    <w:rsid w:val="00911217"/>
    <w:rsid w:val="00931D7E"/>
    <w:rsid w:val="00935749"/>
    <w:rsid w:val="00935C8B"/>
    <w:rsid w:val="0093601C"/>
    <w:rsid w:val="00937C73"/>
    <w:rsid w:val="009544D8"/>
    <w:rsid w:val="00957C19"/>
    <w:rsid w:val="0096120C"/>
    <w:rsid w:val="009A3811"/>
    <w:rsid w:val="009B366D"/>
    <w:rsid w:val="009C7B2D"/>
    <w:rsid w:val="009E46B7"/>
    <w:rsid w:val="009F2181"/>
    <w:rsid w:val="00A04636"/>
    <w:rsid w:val="00A05B0D"/>
    <w:rsid w:val="00A15EA5"/>
    <w:rsid w:val="00A269EB"/>
    <w:rsid w:val="00A40DC4"/>
    <w:rsid w:val="00A64B66"/>
    <w:rsid w:val="00A65A20"/>
    <w:rsid w:val="00A66B09"/>
    <w:rsid w:val="00A8713A"/>
    <w:rsid w:val="00A9194A"/>
    <w:rsid w:val="00AB264C"/>
    <w:rsid w:val="00AC44AC"/>
    <w:rsid w:val="00AD00C1"/>
    <w:rsid w:val="00AD651F"/>
    <w:rsid w:val="00AF5A6B"/>
    <w:rsid w:val="00B23529"/>
    <w:rsid w:val="00B60DE9"/>
    <w:rsid w:val="00B77276"/>
    <w:rsid w:val="00B84CE6"/>
    <w:rsid w:val="00B9281D"/>
    <w:rsid w:val="00B94464"/>
    <w:rsid w:val="00BC11E6"/>
    <w:rsid w:val="00BD6396"/>
    <w:rsid w:val="00BF6C12"/>
    <w:rsid w:val="00C25A37"/>
    <w:rsid w:val="00C341E3"/>
    <w:rsid w:val="00C35185"/>
    <w:rsid w:val="00C46792"/>
    <w:rsid w:val="00C8691F"/>
    <w:rsid w:val="00CA1CB5"/>
    <w:rsid w:val="00CB4A0E"/>
    <w:rsid w:val="00CC128E"/>
    <w:rsid w:val="00CD2EA1"/>
    <w:rsid w:val="00CF0AFF"/>
    <w:rsid w:val="00D32853"/>
    <w:rsid w:val="00D94DAF"/>
    <w:rsid w:val="00DD1B61"/>
    <w:rsid w:val="00DD6E5B"/>
    <w:rsid w:val="00DE35D2"/>
    <w:rsid w:val="00DF2CA4"/>
    <w:rsid w:val="00DF2F00"/>
    <w:rsid w:val="00E05578"/>
    <w:rsid w:val="00E1002E"/>
    <w:rsid w:val="00E21594"/>
    <w:rsid w:val="00E4372C"/>
    <w:rsid w:val="00E5485A"/>
    <w:rsid w:val="00E57A1C"/>
    <w:rsid w:val="00E67234"/>
    <w:rsid w:val="00E82CB0"/>
    <w:rsid w:val="00EB40EB"/>
    <w:rsid w:val="00ED3C63"/>
    <w:rsid w:val="00ED3C81"/>
    <w:rsid w:val="00EE4A86"/>
    <w:rsid w:val="00EE75FC"/>
    <w:rsid w:val="00EF4855"/>
    <w:rsid w:val="00F03846"/>
    <w:rsid w:val="00F4636C"/>
    <w:rsid w:val="00F864D2"/>
    <w:rsid w:val="00F96465"/>
    <w:rsid w:val="00FA20B7"/>
    <w:rsid w:val="00FB6C27"/>
    <w:rsid w:val="00FC417B"/>
    <w:rsid w:val="00FD68BC"/>
    <w:rsid w:val="00FE1ECD"/>
    <w:rsid w:val="00FF6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AFD78B"/>
  <w15:docId w15:val="{E1615677-1663-4170-A41F-5AF7D031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2E8E"/>
  </w:style>
  <w:style w:type="paragraph" w:styleId="Heading1">
    <w:name w:val="heading 1"/>
    <w:basedOn w:val="Normal"/>
    <w:link w:val="Heading1Char"/>
    <w:uiPriority w:val="99"/>
    <w:qFormat/>
    <w:rsid w:val="002110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E46B7"/>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9E46B7"/>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11058"/>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211058"/>
  </w:style>
  <w:style w:type="paragraph" w:styleId="ListParagraph">
    <w:name w:val="List Paragraph"/>
    <w:basedOn w:val="Normal"/>
    <w:uiPriority w:val="99"/>
    <w:qFormat/>
    <w:rsid w:val="004C0DCE"/>
    <w:pPr>
      <w:spacing w:after="200" w:line="276" w:lineRule="auto"/>
      <w:ind w:left="720"/>
      <w:contextualSpacing/>
    </w:pPr>
    <w:rPr>
      <w:rFonts w:eastAsiaTheme="minorEastAsia"/>
    </w:rPr>
  </w:style>
  <w:style w:type="paragraph" w:customStyle="1" w:styleId="msonormal0">
    <w:name w:val="msonormal"/>
    <w:basedOn w:val="Normal"/>
    <w:rsid w:val="003E4D0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E4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D0D"/>
  </w:style>
  <w:style w:type="paragraph" w:styleId="Footer">
    <w:name w:val="footer"/>
    <w:basedOn w:val="Normal"/>
    <w:link w:val="FooterChar"/>
    <w:uiPriority w:val="99"/>
    <w:unhideWhenUsed/>
    <w:rsid w:val="003E4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D0D"/>
  </w:style>
  <w:style w:type="table" w:styleId="TableGrid">
    <w:name w:val="Table Grid"/>
    <w:basedOn w:val="TableNormal"/>
    <w:rsid w:val="003E4D0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rsid w:val="003E4D0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3E4D0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rsid w:val="003E4D0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667D68"/>
    <w:rPr>
      <w:color w:val="0563C1" w:themeColor="hyperlink"/>
      <w:u w:val="single"/>
    </w:rPr>
  </w:style>
  <w:style w:type="character" w:customStyle="1" w:styleId="Heading3Char">
    <w:name w:val="Heading 3 Char"/>
    <w:basedOn w:val="DefaultParagraphFont"/>
    <w:link w:val="Heading3"/>
    <w:uiPriority w:val="9"/>
    <w:semiHidden/>
    <w:rsid w:val="009E46B7"/>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9E46B7"/>
    <w:rPr>
      <w:rFonts w:asciiTheme="majorHAnsi" w:eastAsiaTheme="majorEastAsia" w:hAnsiTheme="majorHAnsi" w:cstheme="majorBidi"/>
      <w:b/>
      <w:bCs/>
      <w:i/>
      <w:iCs/>
      <w:color w:val="4472C4" w:themeColor="accent1"/>
    </w:rPr>
  </w:style>
  <w:style w:type="paragraph" w:styleId="NormalWeb">
    <w:name w:val="Normal (Web)"/>
    <w:basedOn w:val="Normal"/>
    <w:uiPriority w:val="99"/>
    <w:unhideWhenUsed/>
    <w:rsid w:val="0008393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21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181"/>
    <w:rPr>
      <w:rFonts w:ascii="Tahoma" w:hAnsi="Tahoma" w:cs="Tahoma"/>
      <w:sz w:val="16"/>
      <w:szCs w:val="16"/>
    </w:rPr>
  </w:style>
  <w:style w:type="character" w:styleId="Emphasis">
    <w:name w:val="Emphasis"/>
    <w:basedOn w:val="DefaultParagraphFont"/>
    <w:uiPriority w:val="20"/>
    <w:qFormat/>
    <w:rsid w:val="003477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67759">
      <w:bodyDiv w:val="1"/>
      <w:marLeft w:val="0"/>
      <w:marRight w:val="0"/>
      <w:marTop w:val="0"/>
      <w:marBottom w:val="0"/>
      <w:divBdr>
        <w:top w:val="none" w:sz="0" w:space="0" w:color="auto"/>
        <w:left w:val="none" w:sz="0" w:space="0" w:color="auto"/>
        <w:bottom w:val="none" w:sz="0" w:space="0" w:color="auto"/>
        <w:right w:val="none" w:sz="0" w:space="0" w:color="auto"/>
      </w:divBdr>
    </w:div>
    <w:div w:id="164437490">
      <w:bodyDiv w:val="1"/>
      <w:marLeft w:val="0"/>
      <w:marRight w:val="0"/>
      <w:marTop w:val="0"/>
      <w:marBottom w:val="0"/>
      <w:divBdr>
        <w:top w:val="none" w:sz="0" w:space="0" w:color="auto"/>
        <w:left w:val="none" w:sz="0" w:space="0" w:color="auto"/>
        <w:bottom w:val="none" w:sz="0" w:space="0" w:color="auto"/>
        <w:right w:val="none" w:sz="0" w:space="0" w:color="auto"/>
      </w:divBdr>
    </w:div>
    <w:div w:id="249780749">
      <w:bodyDiv w:val="1"/>
      <w:marLeft w:val="0"/>
      <w:marRight w:val="0"/>
      <w:marTop w:val="0"/>
      <w:marBottom w:val="0"/>
      <w:divBdr>
        <w:top w:val="none" w:sz="0" w:space="0" w:color="auto"/>
        <w:left w:val="none" w:sz="0" w:space="0" w:color="auto"/>
        <w:bottom w:val="none" w:sz="0" w:space="0" w:color="auto"/>
        <w:right w:val="none" w:sz="0" w:space="0" w:color="auto"/>
      </w:divBdr>
    </w:div>
    <w:div w:id="279801943">
      <w:bodyDiv w:val="1"/>
      <w:marLeft w:val="0"/>
      <w:marRight w:val="0"/>
      <w:marTop w:val="0"/>
      <w:marBottom w:val="0"/>
      <w:divBdr>
        <w:top w:val="none" w:sz="0" w:space="0" w:color="auto"/>
        <w:left w:val="none" w:sz="0" w:space="0" w:color="auto"/>
        <w:bottom w:val="none" w:sz="0" w:space="0" w:color="auto"/>
        <w:right w:val="none" w:sz="0" w:space="0" w:color="auto"/>
      </w:divBdr>
    </w:div>
    <w:div w:id="280721071">
      <w:bodyDiv w:val="1"/>
      <w:marLeft w:val="0"/>
      <w:marRight w:val="0"/>
      <w:marTop w:val="0"/>
      <w:marBottom w:val="0"/>
      <w:divBdr>
        <w:top w:val="none" w:sz="0" w:space="0" w:color="auto"/>
        <w:left w:val="none" w:sz="0" w:space="0" w:color="auto"/>
        <w:bottom w:val="none" w:sz="0" w:space="0" w:color="auto"/>
        <w:right w:val="none" w:sz="0" w:space="0" w:color="auto"/>
      </w:divBdr>
    </w:div>
    <w:div w:id="299310653">
      <w:bodyDiv w:val="1"/>
      <w:marLeft w:val="0"/>
      <w:marRight w:val="0"/>
      <w:marTop w:val="0"/>
      <w:marBottom w:val="0"/>
      <w:divBdr>
        <w:top w:val="none" w:sz="0" w:space="0" w:color="auto"/>
        <w:left w:val="none" w:sz="0" w:space="0" w:color="auto"/>
        <w:bottom w:val="none" w:sz="0" w:space="0" w:color="auto"/>
        <w:right w:val="none" w:sz="0" w:space="0" w:color="auto"/>
      </w:divBdr>
    </w:div>
    <w:div w:id="309948869">
      <w:bodyDiv w:val="1"/>
      <w:marLeft w:val="0"/>
      <w:marRight w:val="0"/>
      <w:marTop w:val="0"/>
      <w:marBottom w:val="0"/>
      <w:divBdr>
        <w:top w:val="none" w:sz="0" w:space="0" w:color="auto"/>
        <w:left w:val="none" w:sz="0" w:space="0" w:color="auto"/>
        <w:bottom w:val="none" w:sz="0" w:space="0" w:color="auto"/>
        <w:right w:val="none" w:sz="0" w:space="0" w:color="auto"/>
      </w:divBdr>
    </w:div>
    <w:div w:id="313335146">
      <w:bodyDiv w:val="1"/>
      <w:marLeft w:val="0"/>
      <w:marRight w:val="0"/>
      <w:marTop w:val="0"/>
      <w:marBottom w:val="0"/>
      <w:divBdr>
        <w:top w:val="none" w:sz="0" w:space="0" w:color="auto"/>
        <w:left w:val="none" w:sz="0" w:space="0" w:color="auto"/>
        <w:bottom w:val="none" w:sz="0" w:space="0" w:color="auto"/>
        <w:right w:val="none" w:sz="0" w:space="0" w:color="auto"/>
      </w:divBdr>
    </w:div>
    <w:div w:id="470487391">
      <w:bodyDiv w:val="1"/>
      <w:marLeft w:val="0"/>
      <w:marRight w:val="0"/>
      <w:marTop w:val="0"/>
      <w:marBottom w:val="0"/>
      <w:divBdr>
        <w:top w:val="none" w:sz="0" w:space="0" w:color="auto"/>
        <w:left w:val="none" w:sz="0" w:space="0" w:color="auto"/>
        <w:bottom w:val="none" w:sz="0" w:space="0" w:color="auto"/>
        <w:right w:val="none" w:sz="0" w:space="0" w:color="auto"/>
      </w:divBdr>
    </w:div>
    <w:div w:id="539391801">
      <w:bodyDiv w:val="1"/>
      <w:marLeft w:val="0"/>
      <w:marRight w:val="0"/>
      <w:marTop w:val="0"/>
      <w:marBottom w:val="0"/>
      <w:divBdr>
        <w:top w:val="none" w:sz="0" w:space="0" w:color="auto"/>
        <w:left w:val="none" w:sz="0" w:space="0" w:color="auto"/>
        <w:bottom w:val="none" w:sz="0" w:space="0" w:color="auto"/>
        <w:right w:val="none" w:sz="0" w:space="0" w:color="auto"/>
      </w:divBdr>
    </w:div>
    <w:div w:id="548538249">
      <w:bodyDiv w:val="1"/>
      <w:marLeft w:val="0"/>
      <w:marRight w:val="0"/>
      <w:marTop w:val="0"/>
      <w:marBottom w:val="0"/>
      <w:divBdr>
        <w:top w:val="none" w:sz="0" w:space="0" w:color="auto"/>
        <w:left w:val="none" w:sz="0" w:space="0" w:color="auto"/>
        <w:bottom w:val="none" w:sz="0" w:space="0" w:color="auto"/>
        <w:right w:val="none" w:sz="0" w:space="0" w:color="auto"/>
      </w:divBdr>
    </w:div>
    <w:div w:id="583147050">
      <w:bodyDiv w:val="1"/>
      <w:marLeft w:val="0"/>
      <w:marRight w:val="0"/>
      <w:marTop w:val="0"/>
      <w:marBottom w:val="0"/>
      <w:divBdr>
        <w:top w:val="none" w:sz="0" w:space="0" w:color="auto"/>
        <w:left w:val="none" w:sz="0" w:space="0" w:color="auto"/>
        <w:bottom w:val="none" w:sz="0" w:space="0" w:color="auto"/>
        <w:right w:val="none" w:sz="0" w:space="0" w:color="auto"/>
      </w:divBdr>
    </w:div>
    <w:div w:id="641346648">
      <w:bodyDiv w:val="1"/>
      <w:marLeft w:val="0"/>
      <w:marRight w:val="0"/>
      <w:marTop w:val="0"/>
      <w:marBottom w:val="0"/>
      <w:divBdr>
        <w:top w:val="none" w:sz="0" w:space="0" w:color="auto"/>
        <w:left w:val="none" w:sz="0" w:space="0" w:color="auto"/>
        <w:bottom w:val="none" w:sz="0" w:space="0" w:color="auto"/>
        <w:right w:val="none" w:sz="0" w:space="0" w:color="auto"/>
      </w:divBdr>
    </w:div>
    <w:div w:id="705716050">
      <w:bodyDiv w:val="1"/>
      <w:marLeft w:val="0"/>
      <w:marRight w:val="0"/>
      <w:marTop w:val="0"/>
      <w:marBottom w:val="0"/>
      <w:divBdr>
        <w:top w:val="none" w:sz="0" w:space="0" w:color="auto"/>
        <w:left w:val="none" w:sz="0" w:space="0" w:color="auto"/>
        <w:bottom w:val="none" w:sz="0" w:space="0" w:color="auto"/>
        <w:right w:val="none" w:sz="0" w:space="0" w:color="auto"/>
      </w:divBdr>
    </w:div>
    <w:div w:id="910623646">
      <w:bodyDiv w:val="1"/>
      <w:marLeft w:val="0"/>
      <w:marRight w:val="0"/>
      <w:marTop w:val="0"/>
      <w:marBottom w:val="0"/>
      <w:divBdr>
        <w:top w:val="none" w:sz="0" w:space="0" w:color="auto"/>
        <w:left w:val="none" w:sz="0" w:space="0" w:color="auto"/>
        <w:bottom w:val="none" w:sz="0" w:space="0" w:color="auto"/>
        <w:right w:val="none" w:sz="0" w:space="0" w:color="auto"/>
      </w:divBdr>
    </w:div>
    <w:div w:id="969213746">
      <w:bodyDiv w:val="1"/>
      <w:marLeft w:val="0"/>
      <w:marRight w:val="0"/>
      <w:marTop w:val="0"/>
      <w:marBottom w:val="0"/>
      <w:divBdr>
        <w:top w:val="none" w:sz="0" w:space="0" w:color="auto"/>
        <w:left w:val="none" w:sz="0" w:space="0" w:color="auto"/>
        <w:bottom w:val="none" w:sz="0" w:space="0" w:color="auto"/>
        <w:right w:val="none" w:sz="0" w:space="0" w:color="auto"/>
      </w:divBdr>
    </w:div>
    <w:div w:id="1081829061">
      <w:bodyDiv w:val="1"/>
      <w:marLeft w:val="0"/>
      <w:marRight w:val="0"/>
      <w:marTop w:val="0"/>
      <w:marBottom w:val="0"/>
      <w:divBdr>
        <w:top w:val="none" w:sz="0" w:space="0" w:color="auto"/>
        <w:left w:val="none" w:sz="0" w:space="0" w:color="auto"/>
        <w:bottom w:val="none" w:sz="0" w:space="0" w:color="auto"/>
        <w:right w:val="none" w:sz="0" w:space="0" w:color="auto"/>
      </w:divBdr>
    </w:div>
    <w:div w:id="1087771491">
      <w:bodyDiv w:val="1"/>
      <w:marLeft w:val="0"/>
      <w:marRight w:val="0"/>
      <w:marTop w:val="0"/>
      <w:marBottom w:val="0"/>
      <w:divBdr>
        <w:top w:val="none" w:sz="0" w:space="0" w:color="auto"/>
        <w:left w:val="none" w:sz="0" w:space="0" w:color="auto"/>
        <w:bottom w:val="none" w:sz="0" w:space="0" w:color="auto"/>
        <w:right w:val="none" w:sz="0" w:space="0" w:color="auto"/>
      </w:divBdr>
    </w:div>
    <w:div w:id="1142624416">
      <w:bodyDiv w:val="1"/>
      <w:marLeft w:val="0"/>
      <w:marRight w:val="0"/>
      <w:marTop w:val="0"/>
      <w:marBottom w:val="0"/>
      <w:divBdr>
        <w:top w:val="none" w:sz="0" w:space="0" w:color="auto"/>
        <w:left w:val="none" w:sz="0" w:space="0" w:color="auto"/>
        <w:bottom w:val="none" w:sz="0" w:space="0" w:color="auto"/>
        <w:right w:val="none" w:sz="0" w:space="0" w:color="auto"/>
      </w:divBdr>
    </w:div>
    <w:div w:id="1143690805">
      <w:bodyDiv w:val="1"/>
      <w:marLeft w:val="0"/>
      <w:marRight w:val="0"/>
      <w:marTop w:val="0"/>
      <w:marBottom w:val="0"/>
      <w:divBdr>
        <w:top w:val="none" w:sz="0" w:space="0" w:color="auto"/>
        <w:left w:val="none" w:sz="0" w:space="0" w:color="auto"/>
        <w:bottom w:val="none" w:sz="0" w:space="0" w:color="auto"/>
        <w:right w:val="none" w:sz="0" w:space="0" w:color="auto"/>
      </w:divBdr>
    </w:div>
    <w:div w:id="1228759095">
      <w:bodyDiv w:val="1"/>
      <w:marLeft w:val="0"/>
      <w:marRight w:val="0"/>
      <w:marTop w:val="0"/>
      <w:marBottom w:val="0"/>
      <w:divBdr>
        <w:top w:val="none" w:sz="0" w:space="0" w:color="auto"/>
        <w:left w:val="none" w:sz="0" w:space="0" w:color="auto"/>
        <w:bottom w:val="none" w:sz="0" w:space="0" w:color="auto"/>
        <w:right w:val="none" w:sz="0" w:space="0" w:color="auto"/>
      </w:divBdr>
    </w:div>
    <w:div w:id="1433744456">
      <w:bodyDiv w:val="1"/>
      <w:marLeft w:val="0"/>
      <w:marRight w:val="0"/>
      <w:marTop w:val="0"/>
      <w:marBottom w:val="0"/>
      <w:divBdr>
        <w:top w:val="none" w:sz="0" w:space="0" w:color="auto"/>
        <w:left w:val="none" w:sz="0" w:space="0" w:color="auto"/>
        <w:bottom w:val="none" w:sz="0" w:space="0" w:color="auto"/>
        <w:right w:val="none" w:sz="0" w:space="0" w:color="auto"/>
      </w:divBdr>
    </w:div>
    <w:div w:id="1519155848">
      <w:bodyDiv w:val="1"/>
      <w:marLeft w:val="0"/>
      <w:marRight w:val="0"/>
      <w:marTop w:val="0"/>
      <w:marBottom w:val="0"/>
      <w:divBdr>
        <w:top w:val="none" w:sz="0" w:space="0" w:color="auto"/>
        <w:left w:val="none" w:sz="0" w:space="0" w:color="auto"/>
        <w:bottom w:val="none" w:sz="0" w:space="0" w:color="auto"/>
        <w:right w:val="none" w:sz="0" w:space="0" w:color="auto"/>
      </w:divBdr>
    </w:div>
    <w:div w:id="1528106747">
      <w:bodyDiv w:val="1"/>
      <w:marLeft w:val="0"/>
      <w:marRight w:val="0"/>
      <w:marTop w:val="0"/>
      <w:marBottom w:val="0"/>
      <w:divBdr>
        <w:top w:val="none" w:sz="0" w:space="0" w:color="auto"/>
        <w:left w:val="none" w:sz="0" w:space="0" w:color="auto"/>
        <w:bottom w:val="none" w:sz="0" w:space="0" w:color="auto"/>
        <w:right w:val="none" w:sz="0" w:space="0" w:color="auto"/>
      </w:divBdr>
      <w:divsChild>
        <w:div w:id="995258195">
          <w:marLeft w:val="0"/>
          <w:marRight w:val="0"/>
          <w:marTop w:val="0"/>
          <w:marBottom w:val="0"/>
          <w:divBdr>
            <w:top w:val="none" w:sz="0" w:space="0" w:color="auto"/>
            <w:left w:val="none" w:sz="0" w:space="0" w:color="auto"/>
            <w:bottom w:val="none" w:sz="0" w:space="0" w:color="auto"/>
            <w:right w:val="none" w:sz="0" w:space="0" w:color="auto"/>
          </w:divBdr>
          <w:divsChild>
            <w:div w:id="1493763264">
              <w:marLeft w:val="0"/>
              <w:marRight w:val="0"/>
              <w:marTop w:val="0"/>
              <w:marBottom w:val="0"/>
              <w:divBdr>
                <w:top w:val="none" w:sz="0" w:space="0" w:color="auto"/>
                <w:left w:val="none" w:sz="0" w:space="0" w:color="auto"/>
                <w:bottom w:val="none" w:sz="0" w:space="0" w:color="auto"/>
                <w:right w:val="none" w:sz="0" w:space="0" w:color="auto"/>
              </w:divBdr>
              <w:divsChild>
                <w:div w:id="1299148867">
                  <w:marLeft w:val="0"/>
                  <w:marRight w:val="0"/>
                  <w:marTop w:val="0"/>
                  <w:marBottom w:val="0"/>
                  <w:divBdr>
                    <w:top w:val="none" w:sz="0" w:space="0" w:color="auto"/>
                    <w:left w:val="none" w:sz="0" w:space="0" w:color="auto"/>
                    <w:bottom w:val="none" w:sz="0" w:space="0" w:color="auto"/>
                    <w:right w:val="none" w:sz="0" w:space="0" w:color="auto"/>
                  </w:divBdr>
                  <w:divsChild>
                    <w:div w:id="246966678">
                      <w:marLeft w:val="0"/>
                      <w:marRight w:val="0"/>
                      <w:marTop w:val="0"/>
                      <w:marBottom w:val="0"/>
                      <w:divBdr>
                        <w:top w:val="none" w:sz="0" w:space="0" w:color="auto"/>
                        <w:left w:val="none" w:sz="0" w:space="0" w:color="auto"/>
                        <w:bottom w:val="none" w:sz="0" w:space="0" w:color="auto"/>
                        <w:right w:val="none" w:sz="0" w:space="0" w:color="auto"/>
                      </w:divBdr>
                      <w:divsChild>
                        <w:div w:id="1381903273">
                          <w:marLeft w:val="0"/>
                          <w:marRight w:val="0"/>
                          <w:marTop w:val="0"/>
                          <w:marBottom w:val="0"/>
                          <w:divBdr>
                            <w:top w:val="none" w:sz="0" w:space="0" w:color="auto"/>
                            <w:left w:val="none" w:sz="0" w:space="0" w:color="auto"/>
                            <w:bottom w:val="none" w:sz="0" w:space="0" w:color="auto"/>
                            <w:right w:val="none" w:sz="0" w:space="0" w:color="auto"/>
                          </w:divBdr>
                          <w:divsChild>
                            <w:div w:id="290939049">
                              <w:marLeft w:val="0"/>
                              <w:marRight w:val="0"/>
                              <w:marTop w:val="0"/>
                              <w:marBottom w:val="0"/>
                              <w:divBdr>
                                <w:top w:val="none" w:sz="0" w:space="0" w:color="auto"/>
                                <w:left w:val="none" w:sz="0" w:space="0" w:color="auto"/>
                                <w:bottom w:val="none" w:sz="0" w:space="0" w:color="auto"/>
                                <w:right w:val="none" w:sz="0" w:space="0" w:color="auto"/>
                              </w:divBdr>
                              <w:divsChild>
                                <w:div w:id="1107116884">
                                  <w:marLeft w:val="0"/>
                                  <w:marRight w:val="0"/>
                                  <w:marTop w:val="0"/>
                                  <w:marBottom w:val="0"/>
                                  <w:divBdr>
                                    <w:top w:val="none" w:sz="0" w:space="0" w:color="auto"/>
                                    <w:left w:val="none" w:sz="0" w:space="0" w:color="auto"/>
                                    <w:bottom w:val="none" w:sz="0" w:space="0" w:color="auto"/>
                                    <w:right w:val="none" w:sz="0" w:space="0" w:color="auto"/>
                                  </w:divBdr>
                                  <w:divsChild>
                                    <w:div w:id="17594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963797">
      <w:bodyDiv w:val="1"/>
      <w:marLeft w:val="0"/>
      <w:marRight w:val="0"/>
      <w:marTop w:val="0"/>
      <w:marBottom w:val="0"/>
      <w:divBdr>
        <w:top w:val="none" w:sz="0" w:space="0" w:color="auto"/>
        <w:left w:val="none" w:sz="0" w:space="0" w:color="auto"/>
        <w:bottom w:val="none" w:sz="0" w:space="0" w:color="auto"/>
        <w:right w:val="none" w:sz="0" w:space="0" w:color="auto"/>
      </w:divBdr>
    </w:div>
    <w:div w:id="1563833151">
      <w:bodyDiv w:val="1"/>
      <w:marLeft w:val="0"/>
      <w:marRight w:val="0"/>
      <w:marTop w:val="0"/>
      <w:marBottom w:val="0"/>
      <w:divBdr>
        <w:top w:val="none" w:sz="0" w:space="0" w:color="auto"/>
        <w:left w:val="none" w:sz="0" w:space="0" w:color="auto"/>
        <w:bottom w:val="none" w:sz="0" w:space="0" w:color="auto"/>
        <w:right w:val="none" w:sz="0" w:space="0" w:color="auto"/>
      </w:divBdr>
    </w:div>
    <w:div w:id="1581017590">
      <w:bodyDiv w:val="1"/>
      <w:marLeft w:val="0"/>
      <w:marRight w:val="0"/>
      <w:marTop w:val="0"/>
      <w:marBottom w:val="0"/>
      <w:divBdr>
        <w:top w:val="none" w:sz="0" w:space="0" w:color="auto"/>
        <w:left w:val="none" w:sz="0" w:space="0" w:color="auto"/>
        <w:bottom w:val="none" w:sz="0" w:space="0" w:color="auto"/>
        <w:right w:val="none" w:sz="0" w:space="0" w:color="auto"/>
      </w:divBdr>
    </w:div>
    <w:div w:id="1622420204">
      <w:bodyDiv w:val="1"/>
      <w:marLeft w:val="0"/>
      <w:marRight w:val="0"/>
      <w:marTop w:val="0"/>
      <w:marBottom w:val="0"/>
      <w:divBdr>
        <w:top w:val="none" w:sz="0" w:space="0" w:color="auto"/>
        <w:left w:val="none" w:sz="0" w:space="0" w:color="auto"/>
        <w:bottom w:val="none" w:sz="0" w:space="0" w:color="auto"/>
        <w:right w:val="none" w:sz="0" w:space="0" w:color="auto"/>
      </w:divBdr>
    </w:div>
    <w:div w:id="1626817003">
      <w:bodyDiv w:val="1"/>
      <w:marLeft w:val="0"/>
      <w:marRight w:val="0"/>
      <w:marTop w:val="0"/>
      <w:marBottom w:val="0"/>
      <w:divBdr>
        <w:top w:val="none" w:sz="0" w:space="0" w:color="auto"/>
        <w:left w:val="none" w:sz="0" w:space="0" w:color="auto"/>
        <w:bottom w:val="none" w:sz="0" w:space="0" w:color="auto"/>
        <w:right w:val="none" w:sz="0" w:space="0" w:color="auto"/>
      </w:divBdr>
    </w:div>
    <w:div w:id="1822456436">
      <w:bodyDiv w:val="1"/>
      <w:marLeft w:val="0"/>
      <w:marRight w:val="0"/>
      <w:marTop w:val="0"/>
      <w:marBottom w:val="0"/>
      <w:divBdr>
        <w:top w:val="none" w:sz="0" w:space="0" w:color="auto"/>
        <w:left w:val="none" w:sz="0" w:space="0" w:color="auto"/>
        <w:bottom w:val="none" w:sz="0" w:space="0" w:color="auto"/>
        <w:right w:val="none" w:sz="0" w:space="0" w:color="auto"/>
      </w:divBdr>
    </w:div>
    <w:div w:id="1853958415">
      <w:bodyDiv w:val="1"/>
      <w:marLeft w:val="0"/>
      <w:marRight w:val="0"/>
      <w:marTop w:val="0"/>
      <w:marBottom w:val="0"/>
      <w:divBdr>
        <w:top w:val="none" w:sz="0" w:space="0" w:color="auto"/>
        <w:left w:val="none" w:sz="0" w:space="0" w:color="auto"/>
        <w:bottom w:val="none" w:sz="0" w:space="0" w:color="auto"/>
        <w:right w:val="none" w:sz="0" w:space="0" w:color="auto"/>
      </w:divBdr>
    </w:div>
    <w:div w:id="1856532894">
      <w:bodyDiv w:val="1"/>
      <w:marLeft w:val="0"/>
      <w:marRight w:val="0"/>
      <w:marTop w:val="0"/>
      <w:marBottom w:val="0"/>
      <w:divBdr>
        <w:top w:val="none" w:sz="0" w:space="0" w:color="auto"/>
        <w:left w:val="none" w:sz="0" w:space="0" w:color="auto"/>
        <w:bottom w:val="none" w:sz="0" w:space="0" w:color="auto"/>
        <w:right w:val="none" w:sz="0" w:space="0" w:color="auto"/>
      </w:divBdr>
    </w:div>
    <w:div w:id="1894852420">
      <w:bodyDiv w:val="1"/>
      <w:marLeft w:val="0"/>
      <w:marRight w:val="0"/>
      <w:marTop w:val="0"/>
      <w:marBottom w:val="0"/>
      <w:divBdr>
        <w:top w:val="none" w:sz="0" w:space="0" w:color="auto"/>
        <w:left w:val="none" w:sz="0" w:space="0" w:color="auto"/>
        <w:bottom w:val="none" w:sz="0" w:space="0" w:color="auto"/>
        <w:right w:val="none" w:sz="0" w:space="0" w:color="auto"/>
      </w:divBdr>
    </w:div>
    <w:div w:id="1930458596">
      <w:bodyDiv w:val="1"/>
      <w:marLeft w:val="0"/>
      <w:marRight w:val="0"/>
      <w:marTop w:val="0"/>
      <w:marBottom w:val="0"/>
      <w:divBdr>
        <w:top w:val="none" w:sz="0" w:space="0" w:color="auto"/>
        <w:left w:val="none" w:sz="0" w:space="0" w:color="auto"/>
        <w:bottom w:val="none" w:sz="0" w:space="0" w:color="auto"/>
        <w:right w:val="none" w:sz="0" w:space="0" w:color="auto"/>
      </w:divBdr>
    </w:div>
    <w:div w:id="1998219039">
      <w:bodyDiv w:val="1"/>
      <w:marLeft w:val="0"/>
      <w:marRight w:val="0"/>
      <w:marTop w:val="0"/>
      <w:marBottom w:val="0"/>
      <w:divBdr>
        <w:top w:val="none" w:sz="0" w:space="0" w:color="auto"/>
        <w:left w:val="none" w:sz="0" w:space="0" w:color="auto"/>
        <w:bottom w:val="none" w:sz="0" w:space="0" w:color="auto"/>
        <w:right w:val="none" w:sz="0" w:space="0" w:color="auto"/>
      </w:divBdr>
    </w:div>
    <w:div w:id="2028210031">
      <w:bodyDiv w:val="1"/>
      <w:marLeft w:val="0"/>
      <w:marRight w:val="0"/>
      <w:marTop w:val="0"/>
      <w:marBottom w:val="0"/>
      <w:divBdr>
        <w:top w:val="none" w:sz="0" w:space="0" w:color="auto"/>
        <w:left w:val="none" w:sz="0" w:space="0" w:color="auto"/>
        <w:bottom w:val="none" w:sz="0" w:space="0" w:color="auto"/>
        <w:right w:val="none" w:sz="0" w:space="0" w:color="auto"/>
      </w:divBdr>
    </w:div>
    <w:div w:id="206899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s://doi.org/10.9734/AJAEES/2015/1599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s://doi.org/10.1614/WS-D-11-00018.1"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hyperlink" Target="https://doi.org/10.15575/BIODJATI.V3I2.3232"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AppData\Roaming\Microsoft\Windows\Network%20Shortcuts\final%20graphs.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11876264032961"/>
          <c:y val="4.5676998368678633E-2"/>
          <c:w val="0.85488123735967037"/>
          <c:h val="0.7469248776335391"/>
        </c:manualLayout>
      </c:layout>
      <c:lineChart>
        <c:grouping val="standard"/>
        <c:varyColors val="0"/>
        <c:ser>
          <c:idx val="0"/>
          <c:order val="0"/>
          <c:tx>
            <c:strRef>
              <c:f>Data!$C$7</c:f>
              <c:strCache>
                <c:ptCount val="1"/>
                <c:pt idx="0">
                  <c:v>V1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Data!$D$6:$F$6</c:f>
              <c:numCache>
                <c:formatCode>General</c:formatCode>
                <c:ptCount val="3"/>
                <c:pt idx="0">
                  <c:v>25</c:v>
                </c:pt>
                <c:pt idx="1">
                  <c:v>50</c:v>
                </c:pt>
                <c:pt idx="2">
                  <c:v>75</c:v>
                </c:pt>
              </c:numCache>
            </c:numRef>
          </c:cat>
          <c:val>
            <c:numRef>
              <c:f>Data!$D$7:$F$7</c:f>
              <c:numCache>
                <c:formatCode>General</c:formatCode>
                <c:ptCount val="3"/>
                <c:pt idx="0">
                  <c:v>29.46</c:v>
                </c:pt>
                <c:pt idx="1">
                  <c:v>46.81</c:v>
                </c:pt>
                <c:pt idx="2">
                  <c:v>63.56</c:v>
                </c:pt>
              </c:numCache>
            </c:numRef>
          </c:val>
          <c:smooth val="0"/>
          <c:extLst>
            <c:ext xmlns:c16="http://schemas.microsoft.com/office/drawing/2014/chart" uri="{C3380CC4-5D6E-409C-BE32-E72D297353CC}">
              <c16:uniqueId val="{00000000-7793-4D91-9C76-886037B783AC}"/>
            </c:ext>
          </c:extLst>
        </c:ser>
        <c:ser>
          <c:idx val="1"/>
          <c:order val="1"/>
          <c:tx>
            <c:strRef>
              <c:f>Data!$C$8</c:f>
              <c:strCache>
                <c:ptCount val="1"/>
                <c:pt idx="0">
                  <c:v>V2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Data!$D$6:$F$6</c:f>
              <c:numCache>
                <c:formatCode>General</c:formatCode>
                <c:ptCount val="3"/>
                <c:pt idx="0">
                  <c:v>25</c:v>
                </c:pt>
                <c:pt idx="1">
                  <c:v>50</c:v>
                </c:pt>
                <c:pt idx="2">
                  <c:v>75</c:v>
                </c:pt>
              </c:numCache>
            </c:numRef>
          </c:cat>
          <c:val>
            <c:numRef>
              <c:f>Data!$D$8:$F$8</c:f>
              <c:numCache>
                <c:formatCode>General</c:formatCode>
                <c:ptCount val="3"/>
                <c:pt idx="0">
                  <c:v>31.7</c:v>
                </c:pt>
                <c:pt idx="1">
                  <c:v>48.46</c:v>
                </c:pt>
                <c:pt idx="2">
                  <c:v>68.13</c:v>
                </c:pt>
              </c:numCache>
            </c:numRef>
          </c:val>
          <c:smooth val="0"/>
          <c:extLst>
            <c:ext xmlns:c16="http://schemas.microsoft.com/office/drawing/2014/chart" uri="{C3380CC4-5D6E-409C-BE32-E72D297353CC}">
              <c16:uniqueId val="{00000001-7793-4D91-9C76-886037B783AC}"/>
            </c:ext>
          </c:extLst>
        </c:ser>
        <c:ser>
          <c:idx val="2"/>
          <c:order val="2"/>
          <c:tx>
            <c:strRef>
              <c:f>Data!$C$9</c:f>
              <c:strCache>
                <c:ptCount val="1"/>
                <c:pt idx="0">
                  <c:v>V3</c:v>
                </c:pt>
              </c:strCache>
            </c:strRef>
          </c:tx>
          <c:spPr>
            <a:ln w="25400">
              <a:solidFill>
                <a:srgbClr val="FF6600"/>
              </a:solidFill>
              <a:prstDash val="solid"/>
            </a:ln>
          </c:spPr>
          <c:marker>
            <c:symbol val="triangle"/>
            <c:size val="7"/>
            <c:spPr>
              <a:solidFill>
                <a:srgbClr val="33CCCC"/>
              </a:solidFill>
              <a:ln>
                <a:solidFill>
                  <a:srgbClr val="808000"/>
                </a:solidFill>
                <a:prstDash val="solid"/>
              </a:ln>
            </c:spPr>
          </c:marker>
          <c:cat>
            <c:numRef>
              <c:f>Data!$D$6:$F$6</c:f>
              <c:numCache>
                <c:formatCode>General</c:formatCode>
                <c:ptCount val="3"/>
                <c:pt idx="0">
                  <c:v>25</c:v>
                </c:pt>
                <c:pt idx="1">
                  <c:v>50</c:v>
                </c:pt>
                <c:pt idx="2">
                  <c:v>75</c:v>
                </c:pt>
              </c:numCache>
            </c:numRef>
          </c:cat>
          <c:val>
            <c:numRef>
              <c:f>Data!$D$9:$F$9</c:f>
              <c:numCache>
                <c:formatCode>General</c:formatCode>
                <c:ptCount val="3"/>
                <c:pt idx="0">
                  <c:v>31.15</c:v>
                </c:pt>
                <c:pt idx="1">
                  <c:v>47.28</c:v>
                </c:pt>
                <c:pt idx="2">
                  <c:v>71.31</c:v>
                </c:pt>
              </c:numCache>
            </c:numRef>
          </c:val>
          <c:smooth val="0"/>
          <c:extLst>
            <c:ext xmlns:c16="http://schemas.microsoft.com/office/drawing/2014/chart" uri="{C3380CC4-5D6E-409C-BE32-E72D297353CC}">
              <c16:uniqueId val="{00000002-7793-4D91-9C76-886037B783AC}"/>
            </c:ext>
          </c:extLst>
        </c:ser>
        <c:ser>
          <c:idx val="3"/>
          <c:order val="3"/>
          <c:tx>
            <c:strRef>
              <c:f>Data!$C$10</c:f>
              <c:strCache>
                <c:ptCount val="1"/>
                <c:pt idx="0">
                  <c:v>V4</c:v>
                </c:pt>
              </c:strCache>
            </c:strRef>
          </c:tx>
          <c:spPr>
            <a:ln w="25400">
              <a:solidFill>
                <a:srgbClr val="00FFFF"/>
              </a:solidFill>
              <a:prstDash val="solid"/>
            </a:ln>
          </c:spPr>
          <c:marker>
            <c:symbol val="x"/>
            <c:size val="7"/>
            <c:spPr>
              <a:solidFill>
                <a:srgbClr val="00B050"/>
              </a:solidFill>
              <a:ln>
                <a:solidFill>
                  <a:srgbClr val="00FFFF"/>
                </a:solidFill>
                <a:prstDash val="solid"/>
              </a:ln>
            </c:spPr>
          </c:marker>
          <c:cat>
            <c:numRef>
              <c:f>Data!$D$6:$F$6</c:f>
              <c:numCache>
                <c:formatCode>General</c:formatCode>
                <c:ptCount val="3"/>
                <c:pt idx="0">
                  <c:v>25</c:v>
                </c:pt>
                <c:pt idx="1">
                  <c:v>50</c:v>
                </c:pt>
                <c:pt idx="2">
                  <c:v>75</c:v>
                </c:pt>
              </c:numCache>
            </c:numRef>
          </c:cat>
          <c:val>
            <c:numRef>
              <c:f>Data!$D$10:$F$10</c:f>
              <c:numCache>
                <c:formatCode>General</c:formatCode>
                <c:ptCount val="3"/>
                <c:pt idx="0">
                  <c:v>34.67</c:v>
                </c:pt>
                <c:pt idx="1">
                  <c:v>55.04</c:v>
                </c:pt>
                <c:pt idx="2">
                  <c:v>71.31</c:v>
                </c:pt>
              </c:numCache>
            </c:numRef>
          </c:val>
          <c:smooth val="0"/>
          <c:extLst>
            <c:ext xmlns:c16="http://schemas.microsoft.com/office/drawing/2014/chart" uri="{C3380CC4-5D6E-409C-BE32-E72D297353CC}">
              <c16:uniqueId val="{00000003-7793-4D91-9C76-886037B783AC}"/>
            </c:ext>
          </c:extLst>
        </c:ser>
        <c:dLbls>
          <c:showLegendKey val="0"/>
          <c:showVal val="0"/>
          <c:showCatName val="0"/>
          <c:showSerName val="0"/>
          <c:showPercent val="0"/>
          <c:showBubbleSize val="0"/>
        </c:dLbls>
        <c:marker val="1"/>
        <c:smooth val="0"/>
        <c:axId val="140277248"/>
        <c:axId val="140279168"/>
      </c:lineChart>
      <c:lineChart>
        <c:grouping val="standard"/>
        <c:varyColors val="0"/>
        <c:ser>
          <c:idx val="4"/>
          <c:order val="4"/>
          <c:tx>
            <c:strRef>
              <c:f>Data!$C$11</c:f>
              <c:strCache>
                <c:ptCount val="1"/>
              </c:strCache>
            </c:strRef>
          </c:tx>
          <c:spPr>
            <a:ln w="19050">
              <a:noFill/>
            </a:ln>
          </c:spPr>
          <c:marker>
            <c:symbol val="none"/>
          </c:marker>
          <c:cat>
            <c:numRef>
              <c:f>Data!$D$6:$F$6</c:f>
              <c:numCache>
                <c:formatCode>General</c:formatCode>
                <c:ptCount val="3"/>
                <c:pt idx="0">
                  <c:v>25</c:v>
                </c:pt>
                <c:pt idx="1">
                  <c:v>50</c:v>
                </c:pt>
                <c:pt idx="2">
                  <c:v>75</c:v>
                </c:pt>
              </c:numCache>
            </c:numRef>
          </c:cat>
          <c:val>
            <c:numRef>
              <c:f>Data!$D$11:$F$11</c:f>
              <c:numCache>
                <c:formatCode>0.00</c:formatCode>
                <c:ptCount val="3"/>
                <c:pt idx="0">
                  <c:v>1.6675</c:v>
                </c:pt>
                <c:pt idx="1">
                  <c:v>1.6993999999999998</c:v>
                </c:pt>
                <c:pt idx="2">
                  <c:v>3.161</c:v>
                </c:pt>
              </c:numCache>
            </c:numRef>
          </c:val>
          <c:smooth val="0"/>
          <c:extLst>
            <c:ext xmlns:c16="http://schemas.microsoft.com/office/drawing/2014/chart" uri="{C3380CC4-5D6E-409C-BE32-E72D297353CC}">
              <c16:uniqueId val="{00000004-7793-4D91-9C76-886037B783AC}"/>
            </c:ext>
          </c:extLst>
        </c:ser>
        <c:dLbls>
          <c:showLegendKey val="0"/>
          <c:showVal val="0"/>
          <c:showCatName val="0"/>
          <c:showSerName val="0"/>
          <c:showPercent val="0"/>
          <c:showBubbleSize val="0"/>
        </c:dLbls>
        <c:marker val="1"/>
        <c:smooth val="0"/>
        <c:axId val="140281344"/>
        <c:axId val="140282880"/>
      </c:lineChart>
      <c:catAx>
        <c:axId val="140277248"/>
        <c:scaling>
          <c:orientation val="minMax"/>
        </c:scaling>
        <c:delete val="0"/>
        <c:axPos val="b"/>
        <c:title>
          <c:tx>
            <c:rich>
              <a:bodyPr/>
              <a:lstStyle/>
              <a:p>
                <a:pPr>
                  <a:defRPr sz="1200" b="1" i="0" u="none" strike="noStrike" baseline="0">
                    <a:solidFill>
                      <a:srgbClr val="000000"/>
                    </a:solidFill>
                    <a:latin typeface="Book Antiqua"/>
                    <a:ea typeface="Book Antiqua"/>
                    <a:cs typeface="Book Antiqua"/>
                  </a:defRPr>
                </a:pPr>
                <a:r>
                  <a:rPr lang="en-US" sz="1200"/>
                  <a:t>Days after transplanting (DAT)</a:t>
                </a:r>
              </a:p>
            </c:rich>
          </c:tx>
          <c:layout>
            <c:manualLayout>
              <c:xMode val="edge"/>
              <c:yMode val="edge"/>
              <c:x val="0.35834831353537788"/>
              <c:y val="0.9078151379726182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40279168"/>
        <c:crosses val="autoZero"/>
        <c:auto val="1"/>
        <c:lblAlgn val="ctr"/>
        <c:lblOffset val="100"/>
        <c:tickLblSkip val="1"/>
        <c:tickMarkSkip val="1"/>
        <c:noMultiLvlLbl val="0"/>
      </c:catAx>
      <c:valAx>
        <c:axId val="140279168"/>
        <c:scaling>
          <c:orientation val="minMax"/>
        </c:scaling>
        <c:delete val="0"/>
        <c:axPos val="l"/>
        <c:title>
          <c:tx>
            <c:rich>
              <a:bodyPr/>
              <a:lstStyle/>
              <a:p>
                <a:pPr>
                  <a:defRPr sz="1200" b="1" i="0" u="none" strike="noStrike" baseline="0">
                    <a:solidFill>
                      <a:srgbClr val="000000"/>
                    </a:solidFill>
                    <a:latin typeface="Book Antiqua"/>
                    <a:ea typeface="Book Antiqua"/>
                    <a:cs typeface="Book Antiqua"/>
                  </a:defRPr>
                </a:pPr>
                <a:r>
                  <a:rPr lang="en-US" sz="1200"/>
                  <a:t>Plant height (cm)</a:t>
                </a:r>
              </a:p>
            </c:rich>
          </c:tx>
          <c:layout>
            <c:manualLayout>
              <c:xMode val="edge"/>
              <c:yMode val="edge"/>
              <c:x val="2.5164330558106626E-2"/>
              <c:y val="0.252244803858977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40277248"/>
        <c:crosses val="autoZero"/>
        <c:crossBetween val="between"/>
      </c:valAx>
      <c:catAx>
        <c:axId val="140281344"/>
        <c:scaling>
          <c:orientation val="minMax"/>
        </c:scaling>
        <c:delete val="1"/>
        <c:axPos val="b"/>
        <c:numFmt formatCode="General" sourceLinked="1"/>
        <c:majorTickMark val="out"/>
        <c:minorTickMark val="none"/>
        <c:tickLblPos val="nextTo"/>
        <c:crossAx val="140282880"/>
        <c:crosses val="autoZero"/>
        <c:auto val="1"/>
        <c:lblAlgn val="ctr"/>
        <c:lblOffset val="100"/>
        <c:noMultiLvlLbl val="0"/>
      </c:catAx>
      <c:valAx>
        <c:axId val="140282880"/>
        <c:scaling>
          <c:orientation val="minMax"/>
          <c:max val="3.4"/>
          <c:min val="-4"/>
        </c:scaling>
        <c:delete val="0"/>
        <c:axPos val="r"/>
        <c:numFmt formatCode="0.00" sourceLinked="1"/>
        <c:majorTickMark val="none"/>
        <c:minorTickMark val="none"/>
        <c:tickLblPos val="none"/>
        <c:spPr>
          <a:ln w="6350">
            <a:noFill/>
          </a:ln>
        </c:spPr>
        <c:crossAx val="140281344"/>
        <c:crosses val="max"/>
        <c:crossBetween val="between"/>
      </c:valAx>
      <c:spPr>
        <a:noFill/>
        <a:ln w="25400">
          <a:noFill/>
        </a:ln>
      </c:spPr>
    </c:plotArea>
    <c:legend>
      <c:legendPos val="r"/>
      <c:layout>
        <c:manualLayout>
          <c:xMode val="edge"/>
          <c:yMode val="edge"/>
          <c:x val="0.17874888965839117"/>
          <c:y val="7.5538767113570257E-2"/>
          <c:w val="0.42208836062792532"/>
          <c:h val="8.8091353996737357E-2"/>
        </c:manualLayout>
      </c:layout>
      <c:overlay val="0"/>
      <c:spPr>
        <a:noFill/>
        <a:ln w="25400">
          <a:noFill/>
        </a:ln>
      </c:spPr>
      <c:txPr>
        <a:bodyPr/>
        <a:lstStyle/>
        <a:p>
          <a:pPr>
            <a:defRPr sz="9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43499747566121"/>
          <c:y val="3.1054412287454002E-2"/>
          <c:w val="0.84633746727165404"/>
          <c:h val="0.79456455793493086"/>
        </c:manualLayout>
      </c:layout>
      <c:lineChart>
        <c:grouping val="standard"/>
        <c:varyColors val="0"/>
        <c:ser>
          <c:idx val="0"/>
          <c:order val="0"/>
          <c:tx>
            <c:strRef>
              <c:f>Data!$C$17</c:f>
              <c:strCache>
                <c:ptCount val="1"/>
                <c:pt idx="0">
                  <c:v>N1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Data!$D$16:$F$16</c:f>
              <c:numCache>
                <c:formatCode>General</c:formatCode>
                <c:ptCount val="3"/>
                <c:pt idx="0">
                  <c:v>25</c:v>
                </c:pt>
                <c:pt idx="1">
                  <c:v>50</c:v>
                </c:pt>
                <c:pt idx="2">
                  <c:v>75</c:v>
                </c:pt>
              </c:numCache>
            </c:numRef>
          </c:cat>
          <c:val>
            <c:numRef>
              <c:f>Data!$D$17:$F$17</c:f>
              <c:numCache>
                <c:formatCode>General</c:formatCode>
                <c:ptCount val="3"/>
                <c:pt idx="0">
                  <c:v>29.56</c:v>
                </c:pt>
                <c:pt idx="1">
                  <c:v>45.31</c:v>
                </c:pt>
                <c:pt idx="2">
                  <c:v>61.28</c:v>
                </c:pt>
              </c:numCache>
            </c:numRef>
          </c:val>
          <c:smooth val="0"/>
          <c:extLst>
            <c:ext xmlns:c16="http://schemas.microsoft.com/office/drawing/2014/chart" uri="{C3380CC4-5D6E-409C-BE32-E72D297353CC}">
              <c16:uniqueId val="{00000000-DB87-4188-83B8-C7607B013E9A}"/>
            </c:ext>
          </c:extLst>
        </c:ser>
        <c:ser>
          <c:idx val="1"/>
          <c:order val="1"/>
          <c:tx>
            <c:strRef>
              <c:f>Data!$C$18</c:f>
              <c:strCache>
                <c:ptCount val="1"/>
                <c:pt idx="0">
                  <c:v>N2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Data!$D$16:$F$16</c:f>
              <c:numCache>
                <c:formatCode>General</c:formatCode>
                <c:ptCount val="3"/>
                <c:pt idx="0">
                  <c:v>25</c:v>
                </c:pt>
                <c:pt idx="1">
                  <c:v>50</c:v>
                </c:pt>
                <c:pt idx="2">
                  <c:v>75</c:v>
                </c:pt>
              </c:numCache>
            </c:numRef>
          </c:cat>
          <c:val>
            <c:numRef>
              <c:f>Data!$D$18:$F$18</c:f>
              <c:numCache>
                <c:formatCode>General</c:formatCode>
                <c:ptCount val="3"/>
                <c:pt idx="0">
                  <c:v>33.61</c:v>
                </c:pt>
                <c:pt idx="1">
                  <c:v>50.58</c:v>
                </c:pt>
                <c:pt idx="2">
                  <c:v>70.75</c:v>
                </c:pt>
              </c:numCache>
            </c:numRef>
          </c:val>
          <c:smooth val="0"/>
          <c:extLst>
            <c:ext xmlns:c16="http://schemas.microsoft.com/office/drawing/2014/chart" uri="{C3380CC4-5D6E-409C-BE32-E72D297353CC}">
              <c16:uniqueId val="{00000001-DB87-4188-83B8-C7607B013E9A}"/>
            </c:ext>
          </c:extLst>
        </c:ser>
        <c:ser>
          <c:idx val="2"/>
          <c:order val="2"/>
          <c:tx>
            <c:strRef>
              <c:f>Data!$C$19</c:f>
              <c:strCache>
                <c:ptCount val="1"/>
                <c:pt idx="0">
                  <c:v>N3</c:v>
                </c:pt>
              </c:strCache>
            </c:strRef>
          </c:tx>
          <c:spPr>
            <a:ln w="25400">
              <a:solidFill>
                <a:srgbClr val="008000"/>
              </a:solidFill>
              <a:prstDash val="solid"/>
            </a:ln>
          </c:spPr>
          <c:marker>
            <c:symbol val="triangle"/>
            <c:size val="7"/>
            <c:spPr>
              <a:solidFill>
                <a:srgbClr val="993366"/>
              </a:solidFill>
              <a:ln>
                <a:solidFill>
                  <a:srgbClr val="0000FF"/>
                </a:solidFill>
                <a:prstDash val="solid"/>
              </a:ln>
            </c:spPr>
          </c:marker>
          <c:cat>
            <c:numRef>
              <c:f>Data!$D$16:$F$16</c:f>
              <c:numCache>
                <c:formatCode>General</c:formatCode>
                <c:ptCount val="3"/>
                <c:pt idx="0">
                  <c:v>25</c:v>
                </c:pt>
                <c:pt idx="1">
                  <c:v>50</c:v>
                </c:pt>
                <c:pt idx="2">
                  <c:v>75</c:v>
                </c:pt>
              </c:numCache>
            </c:numRef>
          </c:cat>
          <c:val>
            <c:numRef>
              <c:f>Data!$D$19:$F$19</c:f>
              <c:numCache>
                <c:formatCode>General</c:formatCode>
                <c:ptCount val="3"/>
                <c:pt idx="0">
                  <c:v>31.03</c:v>
                </c:pt>
                <c:pt idx="1">
                  <c:v>51.75</c:v>
                </c:pt>
                <c:pt idx="2">
                  <c:v>70.69</c:v>
                </c:pt>
              </c:numCache>
            </c:numRef>
          </c:val>
          <c:smooth val="0"/>
          <c:extLst>
            <c:ext xmlns:c16="http://schemas.microsoft.com/office/drawing/2014/chart" uri="{C3380CC4-5D6E-409C-BE32-E72D297353CC}">
              <c16:uniqueId val="{00000002-DB87-4188-83B8-C7607B013E9A}"/>
            </c:ext>
          </c:extLst>
        </c:ser>
        <c:ser>
          <c:idx val="3"/>
          <c:order val="3"/>
          <c:tx>
            <c:strRef>
              <c:f>Data!$C$20</c:f>
              <c:strCache>
                <c:ptCount val="1"/>
                <c:pt idx="0">
                  <c:v>N4</c:v>
                </c:pt>
              </c:strCache>
            </c:strRef>
          </c:tx>
          <c:spPr>
            <a:ln w="25400">
              <a:solidFill>
                <a:srgbClr val="00FFFF"/>
              </a:solidFill>
              <a:prstDash val="solid"/>
            </a:ln>
          </c:spPr>
          <c:marker>
            <c:symbol val="x"/>
            <c:size val="7"/>
            <c:spPr>
              <a:noFill/>
              <a:ln>
                <a:solidFill>
                  <a:srgbClr val="00FFFF"/>
                </a:solidFill>
                <a:prstDash val="solid"/>
              </a:ln>
            </c:spPr>
          </c:marker>
          <c:cat>
            <c:numRef>
              <c:f>Data!$D$16:$F$16</c:f>
              <c:numCache>
                <c:formatCode>General</c:formatCode>
                <c:ptCount val="3"/>
                <c:pt idx="0">
                  <c:v>25</c:v>
                </c:pt>
                <c:pt idx="1">
                  <c:v>50</c:v>
                </c:pt>
                <c:pt idx="2">
                  <c:v>75</c:v>
                </c:pt>
              </c:numCache>
            </c:numRef>
          </c:cat>
          <c:val>
            <c:numRef>
              <c:f>Data!$D$20:$F$20</c:f>
              <c:numCache>
                <c:formatCode>General</c:formatCode>
                <c:ptCount val="3"/>
                <c:pt idx="0">
                  <c:v>31.72</c:v>
                </c:pt>
                <c:pt idx="1">
                  <c:v>48.11</c:v>
                </c:pt>
                <c:pt idx="2">
                  <c:v>67.58</c:v>
                </c:pt>
              </c:numCache>
            </c:numRef>
          </c:val>
          <c:smooth val="0"/>
          <c:extLst>
            <c:ext xmlns:c16="http://schemas.microsoft.com/office/drawing/2014/chart" uri="{C3380CC4-5D6E-409C-BE32-E72D297353CC}">
              <c16:uniqueId val="{00000003-DB87-4188-83B8-C7607B013E9A}"/>
            </c:ext>
          </c:extLst>
        </c:ser>
        <c:ser>
          <c:idx val="4"/>
          <c:order val="4"/>
          <c:tx>
            <c:strRef>
              <c:f>Data!$C$21</c:f>
              <c:strCache>
                <c:ptCount val="1"/>
                <c:pt idx="0">
                  <c:v>N5</c:v>
                </c:pt>
              </c:strCache>
            </c:strRef>
          </c:tx>
          <c:spPr>
            <a:ln w="25400">
              <a:solidFill>
                <a:srgbClr val="FF6600"/>
              </a:solidFill>
              <a:prstDash val="solid"/>
            </a:ln>
          </c:spPr>
          <c:marker>
            <c:symbol val="star"/>
            <c:size val="7"/>
            <c:spPr>
              <a:noFill/>
              <a:ln>
                <a:solidFill>
                  <a:srgbClr val="800080"/>
                </a:solidFill>
                <a:prstDash val="solid"/>
              </a:ln>
            </c:spPr>
          </c:marker>
          <c:cat>
            <c:numRef>
              <c:f>Data!$D$16:$F$16</c:f>
              <c:numCache>
                <c:formatCode>General</c:formatCode>
                <c:ptCount val="3"/>
                <c:pt idx="0">
                  <c:v>25</c:v>
                </c:pt>
                <c:pt idx="1">
                  <c:v>50</c:v>
                </c:pt>
                <c:pt idx="2">
                  <c:v>75</c:v>
                </c:pt>
              </c:numCache>
            </c:numRef>
          </c:cat>
          <c:val>
            <c:numRef>
              <c:f>Data!$D$21:$F$21</c:f>
              <c:numCache>
                <c:formatCode>General</c:formatCode>
                <c:ptCount val="3"/>
                <c:pt idx="0">
                  <c:v>32.11</c:v>
                </c:pt>
                <c:pt idx="1">
                  <c:v>50.81</c:v>
                </c:pt>
                <c:pt idx="2">
                  <c:v>70.89</c:v>
                </c:pt>
              </c:numCache>
            </c:numRef>
          </c:val>
          <c:smooth val="0"/>
          <c:extLst>
            <c:ext xmlns:c16="http://schemas.microsoft.com/office/drawing/2014/chart" uri="{C3380CC4-5D6E-409C-BE32-E72D297353CC}">
              <c16:uniqueId val="{00000004-DB87-4188-83B8-C7607B013E9A}"/>
            </c:ext>
          </c:extLst>
        </c:ser>
        <c:ser>
          <c:idx val="5"/>
          <c:order val="5"/>
          <c:tx>
            <c:strRef>
              <c:f>Data!$C$22</c:f>
              <c:strCache>
                <c:ptCount val="1"/>
                <c:pt idx="0">
                  <c:v>N6</c:v>
                </c:pt>
              </c:strCache>
            </c:strRef>
          </c:tx>
          <c:spPr>
            <a:ln w="25400">
              <a:solidFill>
                <a:srgbClr val="800000"/>
              </a:solidFill>
              <a:prstDash val="solid"/>
            </a:ln>
          </c:spPr>
          <c:marker>
            <c:symbol val="circle"/>
            <c:size val="7"/>
            <c:spPr>
              <a:solidFill>
                <a:srgbClr val="800000"/>
              </a:solidFill>
              <a:ln>
                <a:solidFill>
                  <a:srgbClr val="800000"/>
                </a:solidFill>
                <a:prstDash val="solid"/>
              </a:ln>
            </c:spPr>
          </c:marker>
          <c:cat>
            <c:numRef>
              <c:f>Data!$D$16:$F$16</c:f>
              <c:numCache>
                <c:formatCode>General</c:formatCode>
                <c:ptCount val="3"/>
                <c:pt idx="0">
                  <c:v>25</c:v>
                </c:pt>
                <c:pt idx="1">
                  <c:v>50</c:v>
                </c:pt>
                <c:pt idx="2">
                  <c:v>75</c:v>
                </c:pt>
              </c:numCache>
            </c:numRef>
          </c:cat>
          <c:val>
            <c:numRef>
              <c:f>Data!$D$22:$F$22</c:f>
              <c:numCache>
                <c:formatCode>General</c:formatCode>
                <c:ptCount val="3"/>
                <c:pt idx="0">
                  <c:v>32.44</c:v>
                </c:pt>
                <c:pt idx="1">
                  <c:v>49.83</c:v>
                </c:pt>
                <c:pt idx="2">
                  <c:v>70.28</c:v>
                </c:pt>
              </c:numCache>
            </c:numRef>
          </c:val>
          <c:smooth val="0"/>
          <c:extLst>
            <c:ext xmlns:c16="http://schemas.microsoft.com/office/drawing/2014/chart" uri="{C3380CC4-5D6E-409C-BE32-E72D297353CC}">
              <c16:uniqueId val="{00000005-DB87-4188-83B8-C7607B013E9A}"/>
            </c:ext>
          </c:extLst>
        </c:ser>
        <c:dLbls>
          <c:showLegendKey val="0"/>
          <c:showVal val="0"/>
          <c:showCatName val="0"/>
          <c:showSerName val="0"/>
          <c:showPercent val="0"/>
          <c:showBubbleSize val="0"/>
        </c:dLbls>
        <c:marker val="1"/>
        <c:smooth val="0"/>
        <c:axId val="51544832"/>
        <c:axId val="51546752"/>
      </c:lineChart>
      <c:lineChart>
        <c:grouping val="standard"/>
        <c:varyColors val="0"/>
        <c:ser>
          <c:idx val="6"/>
          <c:order val="6"/>
          <c:tx>
            <c:strRef>
              <c:f>Data!$C$23</c:f>
              <c:strCache>
                <c:ptCount val="1"/>
              </c:strCache>
            </c:strRef>
          </c:tx>
          <c:spPr>
            <a:ln w="19050">
              <a:noFill/>
            </a:ln>
          </c:spPr>
          <c:marker>
            <c:symbol val="none"/>
          </c:marker>
          <c:cat>
            <c:numRef>
              <c:f>Data!$D$16:$F$16</c:f>
              <c:numCache>
                <c:formatCode>General</c:formatCode>
                <c:ptCount val="3"/>
                <c:pt idx="0">
                  <c:v>25</c:v>
                </c:pt>
                <c:pt idx="1">
                  <c:v>50</c:v>
                </c:pt>
                <c:pt idx="2">
                  <c:v>75</c:v>
                </c:pt>
              </c:numCache>
            </c:numRef>
          </c:cat>
          <c:val>
            <c:numRef>
              <c:f>Data!$D$23:$F$23</c:f>
              <c:numCache>
                <c:formatCode>0.00</c:formatCode>
                <c:ptCount val="3"/>
                <c:pt idx="0">
                  <c:v>2.0444999999999998</c:v>
                </c:pt>
                <c:pt idx="1">
                  <c:v>2.0792999999999999</c:v>
                </c:pt>
                <c:pt idx="2">
                  <c:v>3.8570000000000002</c:v>
                </c:pt>
              </c:numCache>
            </c:numRef>
          </c:val>
          <c:smooth val="0"/>
          <c:extLst>
            <c:ext xmlns:c16="http://schemas.microsoft.com/office/drawing/2014/chart" uri="{C3380CC4-5D6E-409C-BE32-E72D297353CC}">
              <c16:uniqueId val="{00000006-DB87-4188-83B8-C7607B013E9A}"/>
            </c:ext>
          </c:extLst>
        </c:ser>
        <c:dLbls>
          <c:showLegendKey val="0"/>
          <c:showVal val="0"/>
          <c:showCatName val="0"/>
          <c:showSerName val="0"/>
          <c:showPercent val="0"/>
          <c:showBubbleSize val="0"/>
        </c:dLbls>
        <c:marker val="1"/>
        <c:smooth val="0"/>
        <c:axId val="140301056"/>
        <c:axId val="140302592"/>
      </c:lineChart>
      <c:catAx>
        <c:axId val="51544832"/>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4189388384199026"/>
              <c:y val="0.9324610591900311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51546752"/>
        <c:crosses val="autoZero"/>
        <c:auto val="1"/>
        <c:lblAlgn val="ctr"/>
        <c:lblOffset val="100"/>
        <c:tickLblSkip val="1"/>
        <c:tickMarkSkip val="1"/>
        <c:noMultiLvlLbl val="0"/>
      </c:catAx>
      <c:valAx>
        <c:axId val="51546752"/>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a:t>Plant height (cm)</a:t>
                </a:r>
              </a:p>
            </c:rich>
          </c:tx>
          <c:layout>
            <c:manualLayout>
              <c:xMode val="edge"/>
              <c:yMode val="edge"/>
              <c:x val="0"/>
              <c:y val="0.296900489396411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51544832"/>
        <c:crosses val="autoZero"/>
        <c:crossBetween val="between"/>
      </c:valAx>
      <c:catAx>
        <c:axId val="140301056"/>
        <c:scaling>
          <c:orientation val="minMax"/>
        </c:scaling>
        <c:delete val="1"/>
        <c:axPos val="b"/>
        <c:numFmt formatCode="General" sourceLinked="1"/>
        <c:majorTickMark val="out"/>
        <c:minorTickMark val="none"/>
        <c:tickLblPos val="nextTo"/>
        <c:crossAx val="140302592"/>
        <c:crosses val="autoZero"/>
        <c:auto val="1"/>
        <c:lblAlgn val="ctr"/>
        <c:lblOffset val="100"/>
        <c:noMultiLvlLbl val="0"/>
      </c:catAx>
      <c:valAx>
        <c:axId val="140302592"/>
        <c:scaling>
          <c:orientation val="minMax"/>
          <c:max val="4"/>
          <c:min val="-5"/>
        </c:scaling>
        <c:delete val="0"/>
        <c:axPos val="r"/>
        <c:numFmt formatCode="0.00" sourceLinked="1"/>
        <c:majorTickMark val="none"/>
        <c:minorTickMark val="none"/>
        <c:tickLblPos val="none"/>
        <c:spPr>
          <a:ln w="6350">
            <a:noFill/>
          </a:ln>
        </c:spPr>
        <c:crossAx val="140301056"/>
        <c:crosses val="max"/>
        <c:crossBetween val="between"/>
      </c:valAx>
      <c:spPr>
        <a:noFill/>
        <a:ln w="25400">
          <a:noFill/>
        </a:ln>
      </c:spPr>
    </c:plotArea>
    <c:legend>
      <c:legendPos val="r"/>
      <c:layout>
        <c:manualLayout>
          <c:xMode val="edge"/>
          <c:yMode val="edge"/>
          <c:x val="0.17092119866814651"/>
          <c:y val="0"/>
          <c:w val="0.76258599029330376"/>
          <c:h val="9.7879282218597069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21864594894561"/>
          <c:y val="4.5676998368678633E-2"/>
          <c:w val="0.89678135405105441"/>
          <c:h val="0.80097879282218598"/>
        </c:manualLayout>
      </c:layout>
      <c:lineChart>
        <c:grouping val="standard"/>
        <c:varyColors val="0"/>
        <c:ser>
          <c:idx val="0"/>
          <c:order val="0"/>
          <c:tx>
            <c:strRef>
              <c:f>Data!$H$7</c:f>
              <c:strCache>
                <c:ptCount val="1"/>
                <c:pt idx="0">
                  <c:v>V1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Data!$I$6:$K$6</c:f>
              <c:numCache>
                <c:formatCode>General</c:formatCode>
                <c:ptCount val="3"/>
                <c:pt idx="0">
                  <c:v>25</c:v>
                </c:pt>
                <c:pt idx="1">
                  <c:v>50</c:v>
                </c:pt>
                <c:pt idx="2">
                  <c:v>75</c:v>
                </c:pt>
              </c:numCache>
            </c:numRef>
          </c:cat>
          <c:val>
            <c:numRef>
              <c:f>Data!$I$7:$K$7</c:f>
              <c:numCache>
                <c:formatCode>General</c:formatCode>
                <c:ptCount val="3"/>
                <c:pt idx="0">
                  <c:v>4.3710000000000004</c:v>
                </c:pt>
                <c:pt idx="1">
                  <c:v>10.65</c:v>
                </c:pt>
                <c:pt idx="2">
                  <c:v>15.3</c:v>
                </c:pt>
              </c:numCache>
            </c:numRef>
          </c:val>
          <c:smooth val="0"/>
          <c:extLst>
            <c:ext xmlns:c16="http://schemas.microsoft.com/office/drawing/2014/chart" uri="{C3380CC4-5D6E-409C-BE32-E72D297353CC}">
              <c16:uniqueId val="{00000000-C3EE-484D-84EF-DB471835AED3}"/>
            </c:ext>
          </c:extLst>
        </c:ser>
        <c:ser>
          <c:idx val="1"/>
          <c:order val="1"/>
          <c:tx>
            <c:strRef>
              <c:f>Data!$H$8</c:f>
              <c:strCache>
                <c:ptCount val="1"/>
                <c:pt idx="0">
                  <c:v>V2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Data!$I$6:$K$6</c:f>
              <c:numCache>
                <c:formatCode>General</c:formatCode>
                <c:ptCount val="3"/>
                <c:pt idx="0">
                  <c:v>25</c:v>
                </c:pt>
                <c:pt idx="1">
                  <c:v>50</c:v>
                </c:pt>
                <c:pt idx="2">
                  <c:v>75</c:v>
                </c:pt>
              </c:numCache>
            </c:numRef>
          </c:cat>
          <c:val>
            <c:numRef>
              <c:f>Data!$I$8:$K$8</c:f>
              <c:numCache>
                <c:formatCode>General</c:formatCode>
                <c:ptCount val="3"/>
                <c:pt idx="0">
                  <c:v>3.593</c:v>
                </c:pt>
                <c:pt idx="1">
                  <c:v>7.7779999999999996</c:v>
                </c:pt>
                <c:pt idx="2">
                  <c:v>13.65</c:v>
                </c:pt>
              </c:numCache>
            </c:numRef>
          </c:val>
          <c:smooth val="0"/>
          <c:extLst>
            <c:ext xmlns:c16="http://schemas.microsoft.com/office/drawing/2014/chart" uri="{C3380CC4-5D6E-409C-BE32-E72D297353CC}">
              <c16:uniqueId val="{00000001-C3EE-484D-84EF-DB471835AED3}"/>
            </c:ext>
          </c:extLst>
        </c:ser>
        <c:ser>
          <c:idx val="2"/>
          <c:order val="2"/>
          <c:tx>
            <c:strRef>
              <c:f>Data!$H$9</c:f>
              <c:strCache>
                <c:ptCount val="1"/>
                <c:pt idx="0">
                  <c:v>V3</c:v>
                </c:pt>
              </c:strCache>
            </c:strRef>
          </c:tx>
          <c:spPr>
            <a:ln w="25400">
              <a:solidFill>
                <a:srgbClr val="FF6600"/>
              </a:solidFill>
              <a:prstDash val="solid"/>
            </a:ln>
          </c:spPr>
          <c:marker>
            <c:symbol val="triangle"/>
            <c:size val="7"/>
            <c:spPr>
              <a:solidFill>
                <a:srgbClr val="33CCCC"/>
              </a:solidFill>
              <a:ln>
                <a:solidFill>
                  <a:srgbClr val="808000"/>
                </a:solidFill>
                <a:prstDash val="solid"/>
              </a:ln>
            </c:spPr>
          </c:marker>
          <c:cat>
            <c:numRef>
              <c:f>Data!$I$6:$K$6</c:f>
              <c:numCache>
                <c:formatCode>General</c:formatCode>
                <c:ptCount val="3"/>
                <c:pt idx="0">
                  <c:v>25</c:v>
                </c:pt>
                <c:pt idx="1">
                  <c:v>50</c:v>
                </c:pt>
                <c:pt idx="2">
                  <c:v>75</c:v>
                </c:pt>
              </c:numCache>
            </c:numRef>
          </c:cat>
          <c:val>
            <c:numRef>
              <c:f>Data!$I$9:$K$9</c:f>
              <c:numCache>
                <c:formatCode>General</c:formatCode>
                <c:ptCount val="3"/>
                <c:pt idx="0">
                  <c:v>3.839</c:v>
                </c:pt>
                <c:pt idx="1">
                  <c:v>9.24</c:v>
                </c:pt>
                <c:pt idx="2">
                  <c:v>14.31</c:v>
                </c:pt>
              </c:numCache>
            </c:numRef>
          </c:val>
          <c:smooth val="0"/>
          <c:extLst>
            <c:ext xmlns:c16="http://schemas.microsoft.com/office/drawing/2014/chart" uri="{C3380CC4-5D6E-409C-BE32-E72D297353CC}">
              <c16:uniqueId val="{00000002-C3EE-484D-84EF-DB471835AED3}"/>
            </c:ext>
          </c:extLst>
        </c:ser>
        <c:ser>
          <c:idx val="3"/>
          <c:order val="3"/>
          <c:tx>
            <c:strRef>
              <c:f>Data!$H$10</c:f>
              <c:strCache>
                <c:ptCount val="1"/>
                <c:pt idx="0">
                  <c:v>V4</c:v>
                </c:pt>
              </c:strCache>
            </c:strRef>
          </c:tx>
          <c:spPr>
            <a:ln w="25400">
              <a:solidFill>
                <a:srgbClr val="00FFFF"/>
              </a:solidFill>
              <a:prstDash val="solid"/>
            </a:ln>
          </c:spPr>
          <c:marker>
            <c:symbol val="x"/>
            <c:size val="7"/>
            <c:spPr>
              <a:noFill/>
              <a:ln>
                <a:solidFill>
                  <a:srgbClr val="00FFFF"/>
                </a:solidFill>
                <a:prstDash val="solid"/>
              </a:ln>
            </c:spPr>
          </c:marker>
          <c:cat>
            <c:numRef>
              <c:f>Data!$I$6:$K$6</c:f>
              <c:numCache>
                <c:formatCode>General</c:formatCode>
                <c:ptCount val="3"/>
                <c:pt idx="0">
                  <c:v>25</c:v>
                </c:pt>
                <c:pt idx="1">
                  <c:v>50</c:v>
                </c:pt>
                <c:pt idx="2">
                  <c:v>75</c:v>
                </c:pt>
              </c:numCache>
            </c:numRef>
          </c:cat>
          <c:val>
            <c:numRef>
              <c:f>Data!$I$10:$K$10</c:f>
              <c:numCache>
                <c:formatCode>General</c:formatCode>
                <c:ptCount val="3"/>
                <c:pt idx="0">
                  <c:v>4.7389999999999999</c:v>
                </c:pt>
                <c:pt idx="1">
                  <c:v>11.46</c:v>
                </c:pt>
                <c:pt idx="2">
                  <c:v>17.739999999999998</c:v>
                </c:pt>
              </c:numCache>
            </c:numRef>
          </c:val>
          <c:smooth val="0"/>
          <c:extLst>
            <c:ext xmlns:c16="http://schemas.microsoft.com/office/drawing/2014/chart" uri="{C3380CC4-5D6E-409C-BE32-E72D297353CC}">
              <c16:uniqueId val="{00000003-C3EE-484D-84EF-DB471835AED3}"/>
            </c:ext>
          </c:extLst>
        </c:ser>
        <c:dLbls>
          <c:showLegendKey val="0"/>
          <c:showVal val="0"/>
          <c:showCatName val="0"/>
          <c:showSerName val="0"/>
          <c:showPercent val="0"/>
          <c:showBubbleSize val="0"/>
        </c:dLbls>
        <c:marker val="1"/>
        <c:smooth val="0"/>
        <c:axId val="52594944"/>
        <c:axId val="52605312"/>
      </c:lineChart>
      <c:lineChart>
        <c:grouping val="standard"/>
        <c:varyColors val="0"/>
        <c:ser>
          <c:idx val="4"/>
          <c:order val="4"/>
          <c:tx>
            <c:strRef>
              <c:f>Data!$H$11</c:f>
              <c:strCache>
                <c:ptCount val="1"/>
              </c:strCache>
            </c:strRef>
          </c:tx>
          <c:spPr>
            <a:ln w="19050">
              <a:noFill/>
            </a:ln>
          </c:spPr>
          <c:marker>
            <c:symbol val="none"/>
          </c:marker>
          <c:cat>
            <c:numRef>
              <c:f>Data!$I$6:$K$6</c:f>
              <c:numCache>
                <c:formatCode>General</c:formatCode>
                <c:ptCount val="3"/>
                <c:pt idx="0">
                  <c:v>25</c:v>
                </c:pt>
                <c:pt idx="1">
                  <c:v>50</c:v>
                </c:pt>
                <c:pt idx="2">
                  <c:v>75</c:v>
                </c:pt>
              </c:numCache>
            </c:numRef>
          </c:cat>
          <c:val>
            <c:numRef>
              <c:f>Data!$I$11:$K$11</c:f>
              <c:numCache>
                <c:formatCode>0.00</c:formatCode>
                <c:ptCount val="3"/>
                <c:pt idx="0">
                  <c:v>0.31319999999999998</c:v>
                </c:pt>
                <c:pt idx="1">
                  <c:v>0.62639999999999996</c:v>
                </c:pt>
                <c:pt idx="2">
                  <c:v>0.79170000000000007</c:v>
                </c:pt>
              </c:numCache>
            </c:numRef>
          </c:val>
          <c:smooth val="0"/>
          <c:extLst>
            <c:ext xmlns:c16="http://schemas.microsoft.com/office/drawing/2014/chart" uri="{C3380CC4-5D6E-409C-BE32-E72D297353CC}">
              <c16:uniqueId val="{00000004-C3EE-484D-84EF-DB471835AED3}"/>
            </c:ext>
          </c:extLst>
        </c:ser>
        <c:dLbls>
          <c:showLegendKey val="0"/>
          <c:showVal val="0"/>
          <c:showCatName val="0"/>
          <c:showSerName val="0"/>
          <c:showPercent val="0"/>
          <c:showBubbleSize val="0"/>
        </c:dLbls>
        <c:marker val="1"/>
        <c:smooth val="0"/>
        <c:axId val="52607232"/>
        <c:axId val="52613120"/>
      </c:lineChart>
      <c:catAx>
        <c:axId val="52594944"/>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4678252024052547"/>
              <c:y val="0.944492655597953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52605312"/>
        <c:crosses val="autoZero"/>
        <c:auto val="1"/>
        <c:lblAlgn val="ctr"/>
        <c:lblOffset val="100"/>
        <c:tickLblSkip val="1"/>
        <c:tickMarkSkip val="1"/>
        <c:noMultiLvlLbl val="0"/>
      </c:catAx>
      <c:valAx>
        <c:axId val="52605312"/>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b="1" i="0" u="none" strike="noStrike" baseline="0">
                    <a:solidFill>
                      <a:srgbClr val="000000"/>
                    </a:solidFill>
                    <a:latin typeface="Book Antiqua"/>
                  </a:rPr>
                  <a:t>Number of total tiller hill</a:t>
                </a:r>
                <a:r>
                  <a:rPr lang="en-US" sz="1100" b="1" i="0" u="none" strike="noStrike" baseline="30000">
                    <a:solidFill>
                      <a:srgbClr val="000000"/>
                    </a:solidFill>
                    <a:latin typeface="Book Antiqua"/>
                  </a:rPr>
                  <a:t>-1</a:t>
                </a:r>
              </a:p>
            </c:rich>
          </c:tx>
          <c:layout>
            <c:manualLayout>
              <c:xMode val="edge"/>
              <c:yMode val="edge"/>
              <c:x val="0"/>
              <c:y val="0.22675367047308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Book Antiqua"/>
                <a:ea typeface="Book Antiqua"/>
                <a:cs typeface="Book Antiqua"/>
              </a:defRPr>
            </a:pPr>
            <a:endParaRPr lang="en-US"/>
          </a:p>
        </c:txPr>
        <c:crossAx val="52594944"/>
        <c:crosses val="autoZero"/>
        <c:crossBetween val="between"/>
        <c:majorUnit val="5"/>
      </c:valAx>
      <c:catAx>
        <c:axId val="52607232"/>
        <c:scaling>
          <c:orientation val="minMax"/>
        </c:scaling>
        <c:delete val="1"/>
        <c:axPos val="b"/>
        <c:numFmt formatCode="General" sourceLinked="1"/>
        <c:majorTickMark val="out"/>
        <c:minorTickMark val="none"/>
        <c:tickLblPos val="nextTo"/>
        <c:crossAx val="52613120"/>
        <c:crosses val="autoZero"/>
        <c:auto val="1"/>
        <c:lblAlgn val="ctr"/>
        <c:lblOffset val="100"/>
        <c:noMultiLvlLbl val="0"/>
      </c:catAx>
      <c:valAx>
        <c:axId val="52613120"/>
        <c:scaling>
          <c:orientation val="minMax"/>
          <c:max val="0.85"/>
          <c:min val="-2"/>
        </c:scaling>
        <c:delete val="0"/>
        <c:axPos val="r"/>
        <c:numFmt formatCode="0.00" sourceLinked="1"/>
        <c:majorTickMark val="none"/>
        <c:minorTickMark val="none"/>
        <c:tickLblPos val="none"/>
        <c:spPr>
          <a:ln w="6350">
            <a:noFill/>
          </a:ln>
        </c:spPr>
        <c:crossAx val="52607232"/>
        <c:crosses val="max"/>
        <c:crossBetween val="between"/>
      </c:valAx>
      <c:spPr>
        <a:noFill/>
        <a:ln w="25400">
          <a:noFill/>
        </a:ln>
      </c:spPr>
    </c:plotArea>
    <c:legend>
      <c:legendPos val="r"/>
      <c:layout>
        <c:manualLayout>
          <c:xMode val="edge"/>
          <c:yMode val="edge"/>
          <c:x val="0.14977929425488481"/>
          <c:y val="0.14976285416856422"/>
          <c:w val="0.459623366299378"/>
          <c:h val="8.8091353996737357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99889012208657"/>
          <c:y val="4.4045676998368678E-2"/>
          <c:w val="0.89900110987791348"/>
          <c:h val="0.80424143556280592"/>
        </c:manualLayout>
      </c:layout>
      <c:lineChart>
        <c:grouping val="standard"/>
        <c:varyColors val="0"/>
        <c:ser>
          <c:idx val="0"/>
          <c:order val="0"/>
          <c:tx>
            <c:strRef>
              <c:f>Data!$H$17</c:f>
              <c:strCache>
                <c:ptCount val="1"/>
                <c:pt idx="0">
                  <c:v>N1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Data!$I$16:$K$16</c:f>
              <c:numCache>
                <c:formatCode>General</c:formatCode>
                <c:ptCount val="3"/>
                <c:pt idx="0">
                  <c:v>25</c:v>
                </c:pt>
                <c:pt idx="1">
                  <c:v>50</c:v>
                </c:pt>
                <c:pt idx="2">
                  <c:v>75</c:v>
                </c:pt>
              </c:numCache>
            </c:numRef>
          </c:cat>
          <c:val>
            <c:numRef>
              <c:f>Data!$I$17:$K$17</c:f>
              <c:numCache>
                <c:formatCode>General</c:formatCode>
                <c:ptCount val="3"/>
                <c:pt idx="0">
                  <c:v>3.5</c:v>
                </c:pt>
                <c:pt idx="1">
                  <c:v>7.2770000000000001</c:v>
                </c:pt>
                <c:pt idx="2">
                  <c:v>11.22</c:v>
                </c:pt>
              </c:numCache>
            </c:numRef>
          </c:val>
          <c:smooth val="0"/>
          <c:extLst>
            <c:ext xmlns:c16="http://schemas.microsoft.com/office/drawing/2014/chart" uri="{C3380CC4-5D6E-409C-BE32-E72D297353CC}">
              <c16:uniqueId val="{00000000-8B18-4B81-856A-16E14D8BB5AF}"/>
            </c:ext>
          </c:extLst>
        </c:ser>
        <c:ser>
          <c:idx val="1"/>
          <c:order val="1"/>
          <c:tx>
            <c:strRef>
              <c:f>Data!$H$18</c:f>
              <c:strCache>
                <c:ptCount val="1"/>
                <c:pt idx="0">
                  <c:v>N2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Data!$I$16:$K$16</c:f>
              <c:numCache>
                <c:formatCode>General</c:formatCode>
                <c:ptCount val="3"/>
                <c:pt idx="0">
                  <c:v>25</c:v>
                </c:pt>
                <c:pt idx="1">
                  <c:v>50</c:v>
                </c:pt>
                <c:pt idx="2">
                  <c:v>75</c:v>
                </c:pt>
              </c:numCache>
            </c:numRef>
          </c:cat>
          <c:val>
            <c:numRef>
              <c:f>Data!$I$18:$K$18</c:f>
              <c:numCache>
                <c:formatCode>General</c:formatCode>
                <c:ptCount val="3"/>
                <c:pt idx="0">
                  <c:v>4.0279999999999996</c:v>
                </c:pt>
                <c:pt idx="1">
                  <c:v>9.36</c:v>
                </c:pt>
                <c:pt idx="2">
                  <c:v>15.22</c:v>
                </c:pt>
              </c:numCache>
            </c:numRef>
          </c:val>
          <c:smooth val="0"/>
          <c:extLst>
            <c:ext xmlns:c16="http://schemas.microsoft.com/office/drawing/2014/chart" uri="{C3380CC4-5D6E-409C-BE32-E72D297353CC}">
              <c16:uniqueId val="{00000001-8B18-4B81-856A-16E14D8BB5AF}"/>
            </c:ext>
          </c:extLst>
        </c:ser>
        <c:ser>
          <c:idx val="2"/>
          <c:order val="2"/>
          <c:tx>
            <c:strRef>
              <c:f>Data!$H$19</c:f>
              <c:strCache>
                <c:ptCount val="1"/>
                <c:pt idx="0">
                  <c:v>N3</c:v>
                </c:pt>
              </c:strCache>
            </c:strRef>
          </c:tx>
          <c:spPr>
            <a:ln w="25400">
              <a:solidFill>
                <a:srgbClr val="008000"/>
              </a:solidFill>
              <a:prstDash val="solid"/>
            </a:ln>
          </c:spPr>
          <c:marker>
            <c:symbol val="triangle"/>
            <c:size val="7"/>
            <c:spPr>
              <a:solidFill>
                <a:srgbClr val="993366"/>
              </a:solidFill>
              <a:ln>
                <a:solidFill>
                  <a:srgbClr val="0000FF"/>
                </a:solidFill>
                <a:prstDash val="solid"/>
              </a:ln>
            </c:spPr>
          </c:marker>
          <c:cat>
            <c:numRef>
              <c:f>Data!$I$16:$K$16</c:f>
              <c:numCache>
                <c:formatCode>General</c:formatCode>
                <c:ptCount val="3"/>
                <c:pt idx="0">
                  <c:v>25</c:v>
                </c:pt>
                <c:pt idx="1">
                  <c:v>50</c:v>
                </c:pt>
                <c:pt idx="2">
                  <c:v>75</c:v>
                </c:pt>
              </c:numCache>
            </c:numRef>
          </c:cat>
          <c:val>
            <c:numRef>
              <c:f>Data!$I$19:$K$19</c:f>
              <c:numCache>
                <c:formatCode>General</c:formatCode>
                <c:ptCount val="3"/>
                <c:pt idx="0">
                  <c:v>3.806</c:v>
                </c:pt>
                <c:pt idx="1">
                  <c:v>9.0559999999999992</c:v>
                </c:pt>
                <c:pt idx="2">
                  <c:v>14.14</c:v>
                </c:pt>
              </c:numCache>
            </c:numRef>
          </c:val>
          <c:smooth val="0"/>
          <c:extLst>
            <c:ext xmlns:c16="http://schemas.microsoft.com/office/drawing/2014/chart" uri="{C3380CC4-5D6E-409C-BE32-E72D297353CC}">
              <c16:uniqueId val="{00000002-8B18-4B81-856A-16E14D8BB5AF}"/>
            </c:ext>
          </c:extLst>
        </c:ser>
        <c:ser>
          <c:idx val="3"/>
          <c:order val="3"/>
          <c:tx>
            <c:strRef>
              <c:f>Data!$H$20</c:f>
              <c:strCache>
                <c:ptCount val="1"/>
                <c:pt idx="0">
                  <c:v>N4</c:v>
                </c:pt>
              </c:strCache>
            </c:strRef>
          </c:tx>
          <c:spPr>
            <a:ln w="25400">
              <a:solidFill>
                <a:srgbClr val="00FFFF"/>
              </a:solidFill>
              <a:prstDash val="solid"/>
            </a:ln>
          </c:spPr>
          <c:marker>
            <c:symbol val="x"/>
            <c:size val="7"/>
            <c:spPr>
              <a:noFill/>
              <a:ln>
                <a:solidFill>
                  <a:srgbClr val="00FFFF"/>
                </a:solidFill>
                <a:prstDash val="solid"/>
              </a:ln>
            </c:spPr>
          </c:marker>
          <c:cat>
            <c:numRef>
              <c:f>Data!$I$16:$K$16</c:f>
              <c:numCache>
                <c:formatCode>General</c:formatCode>
                <c:ptCount val="3"/>
                <c:pt idx="0">
                  <c:v>25</c:v>
                </c:pt>
                <c:pt idx="1">
                  <c:v>50</c:v>
                </c:pt>
                <c:pt idx="2">
                  <c:v>75</c:v>
                </c:pt>
              </c:numCache>
            </c:numRef>
          </c:cat>
          <c:val>
            <c:numRef>
              <c:f>Data!$I$20:$K$20</c:f>
              <c:numCache>
                <c:formatCode>General</c:formatCode>
                <c:ptCount val="3"/>
                <c:pt idx="0">
                  <c:v>4.8609999999999998</c:v>
                </c:pt>
                <c:pt idx="1">
                  <c:v>12.31</c:v>
                </c:pt>
                <c:pt idx="2">
                  <c:v>17.95</c:v>
                </c:pt>
              </c:numCache>
            </c:numRef>
          </c:val>
          <c:smooth val="0"/>
          <c:extLst>
            <c:ext xmlns:c16="http://schemas.microsoft.com/office/drawing/2014/chart" uri="{C3380CC4-5D6E-409C-BE32-E72D297353CC}">
              <c16:uniqueId val="{00000003-8B18-4B81-856A-16E14D8BB5AF}"/>
            </c:ext>
          </c:extLst>
        </c:ser>
        <c:ser>
          <c:idx val="4"/>
          <c:order val="4"/>
          <c:tx>
            <c:strRef>
              <c:f>Data!$H$21</c:f>
              <c:strCache>
                <c:ptCount val="1"/>
                <c:pt idx="0">
                  <c:v>N5</c:v>
                </c:pt>
              </c:strCache>
            </c:strRef>
          </c:tx>
          <c:spPr>
            <a:ln w="25400">
              <a:solidFill>
                <a:srgbClr val="FF6600"/>
              </a:solidFill>
              <a:prstDash val="solid"/>
            </a:ln>
          </c:spPr>
          <c:marker>
            <c:symbol val="star"/>
            <c:size val="7"/>
            <c:spPr>
              <a:noFill/>
              <a:ln>
                <a:solidFill>
                  <a:srgbClr val="800080"/>
                </a:solidFill>
                <a:prstDash val="solid"/>
              </a:ln>
            </c:spPr>
          </c:marker>
          <c:cat>
            <c:numRef>
              <c:f>Data!$I$16:$K$16</c:f>
              <c:numCache>
                <c:formatCode>General</c:formatCode>
                <c:ptCount val="3"/>
                <c:pt idx="0">
                  <c:v>25</c:v>
                </c:pt>
                <c:pt idx="1">
                  <c:v>50</c:v>
                </c:pt>
                <c:pt idx="2">
                  <c:v>75</c:v>
                </c:pt>
              </c:numCache>
            </c:numRef>
          </c:cat>
          <c:val>
            <c:numRef>
              <c:f>Data!$I$21:$K$21</c:f>
              <c:numCache>
                <c:formatCode>General</c:formatCode>
                <c:ptCount val="3"/>
                <c:pt idx="0">
                  <c:v>4.4269999999999996</c:v>
                </c:pt>
                <c:pt idx="1">
                  <c:v>10.78</c:v>
                </c:pt>
                <c:pt idx="2">
                  <c:v>16.61</c:v>
                </c:pt>
              </c:numCache>
            </c:numRef>
          </c:val>
          <c:smooth val="0"/>
          <c:extLst>
            <c:ext xmlns:c16="http://schemas.microsoft.com/office/drawing/2014/chart" uri="{C3380CC4-5D6E-409C-BE32-E72D297353CC}">
              <c16:uniqueId val="{00000004-8B18-4B81-856A-16E14D8BB5AF}"/>
            </c:ext>
          </c:extLst>
        </c:ser>
        <c:ser>
          <c:idx val="5"/>
          <c:order val="5"/>
          <c:tx>
            <c:strRef>
              <c:f>Data!$H$22</c:f>
              <c:strCache>
                <c:ptCount val="1"/>
                <c:pt idx="0">
                  <c:v>N6</c:v>
                </c:pt>
              </c:strCache>
            </c:strRef>
          </c:tx>
          <c:spPr>
            <a:ln w="25400">
              <a:solidFill>
                <a:srgbClr val="800000"/>
              </a:solidFill>
              <a:prstDash val="solid"/>
            </a:ln>
          </c:spPr>
          <c:marker>
            <c:symbol val="circle"/>
            <c:size val="7"/>
            <c:spPr>
              <a:solidFill>
                <a:srgbClr val="800000"/>
              </a:solidFill>
              <a:ln>
                <a:solidFill>
                  <a:srgbClr val="800000"/>
                </a:solidFill>
                <a:prstDash val="solid"/>
              </a:ln>
            </c:spPr>
          </c:marker>
          <c:cat>
            <c:numRef>
              <c:f>Data!$I$16:$K$16</c:f>
              <c:numCache>
                <c:formatCode>General</c:formatCode>
                <c:ptCount val="3"/>
                <c:pt idx="0">
                  <c:v>25</c:v>
                </c:pt>
                <c:pt idx="1">
                  <c:v>50</c:v>
                </c:pt>
                <c:pt idx="2">
                  <c:v>75</c:v>
                </c:pt>
              </c:numCache>
            </c:numRef>
          </c:cat>
          <c:val>
            <c:numRef>
              <c:f>Data!$I$22:$K$22</c:f>
              <c:numCache>
                <c:formatCode>General</c:formatCode>
                <c:ptCount val="3"/>
                <c:pt idx="0">
                  <c:v>4.1929999999999996</c:v>
                </c:pt>
                <c:pt idx="1">
                  <c:v>9.9160000000000004</c:v>
                </c:pt>
                <c:pt idx="2">
                  <c:v>16.36</c:v>
                </c:pt>
              </c:numCache>
            </c:numRef>
          </c:val>
          <c:smooth val="0"/>
          <c:extLst>
            <c:ext xmlns:c16="http://schemas.microsoft.com/office/drawing/2014/chart" uri="{C3380CC4-5D6E-409C-BE32-E72D297353CC}">
              <c16:uniqueId val="{00000005-8B18-4B81-856A-16E14D8BB5AF}"/>
            </c:ext>
          </c:extLst>
        </c:ser>
        <c:dLbls>
          <c:showLegendKey val="0"/>
          <c:showVal val="0"/>
          <c:showCatName val="0"/>
          <c:showSerName val="0"/>
          <c:showPercent val="0"/>
          <c:showBubbleSize val="0"/>
        </c:dLbls>
        <c:marker val="1"/>
        <c:smooth val="0"/>
        <c:axId val="157050368"/>
        <c:axId val="157052288"/>
      </c:lineChart>
      <c:lineChart>
        <c:grouping val="standard"/>
        <c:varyColors val="0"/>
        <c:ser>
          <c:idx val="6"/>
          <c:order val="6"/>
          <c:tx>
            <c:strRef>
              <c:f>Data!$H$23</c:f>
              <c:strCache>
                <c:ptCount val="1"/>
              </c:strCache>
            </c:strRef>
          </c:tx>
          <c:spPr>
            <a:ln w="19050">
              <a:noFill/>
            </a:ln>
          </c:spPr>
          <c:marker>
            <c:symbol val="none"/>
          </c:marker>
          <c:cat>
            <c:numRef>
              <c:f>Data!$I$16:$K$16</c:f>
              <c:numCache>
                <c:formatCode>General</c:formatCode>
                <c:ptCount val="3"/>
                <c:pt idx="0">
                  <c:v>25</c:v>
                </c:pt>
                <c:pt idx="1">
                  <c:v>50</c:v>
                </c:pt>
                <c:pt idx="2">
                  <c:v>75</c:v>
                </c:pt>
              </c:numCache>
            </c:numRef>
          </c:cat>
          <c:val>
            <c:numRef>
              <c:f>Data!$I$23:$K$23</c:f>
              <c:numCache>
                <c:formatCode>0.00</c:formatCode>
                <c:ptCount val="3"/>
                <c:pt idx="0">
                  <c:v>0.38569999999999999</c:v>
                </c:pt>
                <c:pt idx="1">
                  <c:v>0.76849999999999996</c:v>
                </c:pt>
                <c:pt idx="2">
                  <c:v>0.96860000000000002</c:v>
                </c:pt>
              </c:numCache>
            </c:numRef>
          </c:val>
          <c:smooth val="0"/>
          <c:extLst>
            <c:ext xmlns:c16="http://schemas.microsoft.com/office/drawing/2014/chart" uri="{C3380CC4-5D6E-409C-BE32-E72D297353CC}">
              <c16:uniqueId val="{00000006-8B18-4B81-856A-16E14D8BB5AF}"/>
            </c:ext>
          </c:extLst>
        </c:ser>
        <c:dLbls>
          <c:showLegendKey val="0"/>
          <c:showVal val="0"/>
          <c:showCatName val="0"/>
          <c:showSerName val="0"/>
          <c:showPercent val="0"/>
          <c:showBubbleSize val="0"/>
        </c:dLbls>
        <c:marker val="1"/>
        <c:smooth val="0"/>
        <c:axId val="157062656"/>
        <c:axId val="157064192"/>
      </c:lineChart>
      <c:catAx>
        <c:axId val="157050368"/>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1264439517875803"/>
              <c:y val="0.932670807453416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57052288"/>
        <c:crosses val="autoZero"/>
        <c:auto val="1"/>
        <c:lblAlgn val="ctr"/>
        <c:lblOffset val="100"/>
        <c:tickLblSkip val="1"/>
        <c:tickMarkSkip val="1"/>
        <c:noMultiLvlLbl val="0"/>
      </c:catAx>
      <c:valAx>
        <c:axId val="157052288"/>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b="1" i="0" u="none" strike="noStrike" baseline="0">
                    <a:solidFill>
                      <a:srgbClr val="000000"/>
                    </a:solidFill>
                    <a:latin typeface="Book Antiqua"/>
                  </a:rPr>
                  <a:t>Number of total tiller hill</a:t>
                </a:r>
                <a:r>
                  <a:rPr lang="en-US" sz="1100" b="1" i="0" u="none" strike="noStrike" baseline="30000">
                    <a:solidFill>
                      <a:srgbClr val="000000"/>
                    </a:solidFill>
                    <a:latin typeface="Book Antiqua"/>
                  </a:rPr>
                  <a:t>-1</a:t>
                </a:r>
              </a:p>
            </c:rich>
          </c:tx>
          <c:layout>
            <c:manualLayout>
              <c:xMode val="edge"/>
              <c:yMode val="edge"/>
              <c:x val="0"/>
              <c:y val="0.134903245789928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57050368"/>
        <c:crosses val="autoZero"/>
        <c:crossBetween val="between"/>
        <c:majorUnit val="5"/>
      </c:valAx>
      <c:catAx>
        <c:axId val="157062656"/>
        <c:scaling>
          <c:orientation val="minMax"/>
        </c:scaling>
        <c:delete val="1"/>
        <c:axPos val="b"/>
        <c:numFmt formatCode="General" sourceLinked="1"/>
        <c:majorTickMark val="out"/>
        <c:minorTickMark val="none"/>
        <c:tickLblPos val="nextTo"/>
        <c:crossAx val="157064192"/>
        <c:crosses val="autoZero"/>
        <c:auto val="1"/>
        <c:lblAlgn val="ctr"/>
        <c:lblOffset val="100"/>
        <c:noMultiLvlLbl val="0"/>
      </c:catAx>
      <c:valAx>
        <c:axId val="157064192"/>
        <c:scaling>
          <c:orientation val="minMax"/>
          <c:max val="1.1000000000000001"/>
          <c:min val="-2"/>
        </c:scaling>
        <c:delete val="0"/>
        <c:axPos val="r"/>
        <c:numFmt formatCode="0.00" sourceLinked="1"/>
        <c:majorTickMark val="none"/>
        <c:minorTickMark val="none"/>
        <c:tickLblPos val="none"/>
        <c:spPr>
          <a:ln w="6350">
            <a:noFill/>
          </a:ln>
        </c:spPr>
        <c:crossAx val="157062656"/>
        <c:crosses val="max"/>
        <c:crossBetween val="between"/>
      </c:valAx>
      <c:spPr>
        <a:noFill/>
        <a:ln w="25400">
          <a:noFill/>
        </a:ln>
      </c:spPr>
    </c:plotArea>
    <c:legend>
      <c:legendPos val="r"/>
      <c:layout>
        <c:manualLayout>
          <c:xMode val="edge"/>
          <c:yMode val="edge"/>
          <c:x val="0.11875693673695893"/>
          <c:y val="0"/>
          <c:w val="0.55382907880133181"/>
          <c:h val="9.7879282218597069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36699101465564"/>
          <c:y val="6.5141674808897057E-2"/>
          <c:w val="0.85883686330652509"/>
          <c:h val="0.74921853746383893"/>
        </c:manualLayout>
      </c:layout>
      <c:lineChart>
        <c:grouping val="standard"/>
        <c:varyColors val="0"/>
        <c:ser>
          <c:idx val="0"/>
          <c:order val="0"/>
          <c:tx>
            <c:strRef>
              <c:f>Data!$M$7</c:f>
              <c:strCache>
                <c:ptCount val="1"/>
                <c:pt idx="0">
                  <c:v>V1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Data!$N$6:$P$6</c:f>
              <c:numCache>
                <c:formatCode>General</c:formatCode>
                <c:ptCount val="3"/>
                <c:pt idx="0">
                  <c:v>25</c:v>
                </c:pt>
                <c:pt idx="1">
                  <c:v>50</c:v>
                </c:pt>
                <c:pt idx="2">
                  <c:v>75</c:v>
                </c:pt>
              </c:numCache>
            </c:numRef>
          </c:cat>
          <c:val>
            <c:numRef>
              <c:f>Data!$N$7:$P$7</c:f>
              <c:numCache>
                <c:formatCode>General</c:formatCode>
                <c:ptCount val="3"/>
                <c:pt idx="0">
                  <c:v>1.1080000000000001</c:v>
                </c:pt>
                <c:pt idx="1">
                  <c:v>3.5329999999999999</c:v>
                </c:pt>
                <c:pt idx="2">
                  <c:v>21.83</c:v>
                </c:pt>
              </c:numCache>
            </c:numRef>
          </c:val>
          <c:smooth val="0"/>
          <c:extLst>
            <c:ext xmlns:c16="http://schemas.microsoft.com/office/drawing/2014/chart" uri="{C3380CC4-5D6E-409C-BE32-E72D297353CC}">
              <c16:uniqueId val="{00000000-1851-433E-9F98-55A5F1150AA4}"/>
            </c:ext>
          </c:extLst>
        </c:ser>
        <c:ser>
          <c:idx val="1"/>
          <c:order val="1"/>
          <c:tx>
            <c:strRef>
              <c:f>Data!$M$8</c:f>
              <c:strCache>
                <c:ptCount val="1"/>
                <c:pt idx="0">
                  <c:v>V2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Data!$N$6:$P$6</c:f>
              <c:numCache>
                <c:formatCode>General</c:formatCode>
                <c:ptCount val="3"/>
                <c:pt idx="0">
                  <c:v>25</c:v>
                </c:pt>
                <c:pt idx="1">
                  <c:v>50</c:v>
                </c:pt>
                <c:pt idx="2">
                  <c:v>75</c:v>
                </c:pt>
              </c:numCache>
            </c:numRef>
          </c:cat>
          <c:val>
            <c:numRef>
              <c:f>Data!$N$8:$P$8</c:f>
              <c:numCache>
                <c:formatCode>General</c:formatCode>
                <c:ptCount val="3"/>
                <c:pt idx="0">
                  <c:v>0.9556</c:v>
                </c:pt>
                <c:pt idx="1">
                  <c:v>3.0840000000000001</c:v>
                </c:pt>
                <c:pt idx="2">
                  <c:v>19.34</c:v>
                </c:pt>
              </c:numCache>
            </c:numRef>
          </c:val>
          <c:smooth val="0"/>
          <c:extLst>
            <c:ext xmlns:c16="http://schemas.microsoft.com/office/drawing/2014/chart" uri="{C3380CC4-5D6E-409C-BE32-E72D297353CC}">
              <c16:uniqueId val="{00000001-1851-433E-9F98-55A5F1150AA4}"/>
            </c:ext>
          </c:extLst>
        </c:ser>
        <c:ser>
          <c:idx val="2"/>
          <c:order val="2"/>
          <c:tx>
            <c:strRef>
              <c:f>Data!$M$9</c:f>
              <c:strCache>
                <c:ptCount val="1"/>
                <c:pt idx="0">
                  <c:v>V3</c:v>
                </c:pt>
              </c:strCache>
            </c:strRef>
          </c:tx>
          <c:spPr>
            <a:ln w="25400">
              <a:solidFill>
                <a:srgbClr val="FF6600"/>
              </a:solidFill>
              <a:prstDash val="solid"/>
            </a:ln>
          </c:spPr>
          <c:marker>
            <c:symbol val="triangle"/>
            <c:size val="7"/>
            <c:spPr>
              <a:solidFill>
                <a:srgbClr val="33CCCC"/>
              </a:solidFill>
              <a:ln>
                <a:solidFill>
                  <a:srgbClr val="808000"/>
                </a:solidFill>
                <a:prstDash val="solid"/>
              </a:ln>
            </c:spPr>
          </c:marker>
          <c:cat>
            <c:numRef>
              <c:f>Data!$N$6:$P$6</c:f>
              <c:numCache>
                <c:formatCode>General</c:formatCode>
                <c:ptCount val="3"/>
                <c:pt idx="0">
                  <c:v>25</c:v>
                </c:pt>
                <c:pt idx="1">
                  <c:v>50</c:v>
                </c:pt>
                <c:pt idx="2">
                  <c:v>75</c:v>
                </c:pt>
              </c:numCache>
            </c:numRef>
          </c:cat>
          <c:val>
            <c:numRef>
              <c:f>Data!$N$9:$P$9</c:f>
              <c:numCache>
                <c:formatCode>General</c:formatCode>
                <c:ptCount val="3"/>
                <c:pt idx="0">
                  <c:v>1.0129999999999999</c:v>
                </c:pt>
                <c:pt idx="1">
                  <c:v>3.2909999999999999</c:v>
                </c:pt>
                <c:pt idx="2">
                  <c:v>20.92</c:v>
                </c:pt>
              </c:numCache>
            </c:numRef>
          </c:val>
          <c:smooth val="0"/>
          <c:extLst>
            <c:ext xmlns:c16="http://schemas.microsoft.com/office/drawing/2014/chart" uri="{C3380CC4-5D6E-409C-BE32-E72D297353CC}">
              <c16:uniqueId val="{00000002-1851-433E-9F98-55A5F1150AA4}"/>
            </c:ext>
          </c:extLst>
        </c:ser>
        <c:ser>
          <c:idx val="3"/>
          <c:order val="3"/>
          <c:tx>
            <c:strRef>
              <c:f>Data!$M$10</c:f>
              <c:strCache>
                <c:ptCount val="1"/>
                <c:pt idx="0">
                  <c:v>V4</c:v>
                </c:pt>
              </c:strCache>
            </c:strRef>
          </c:tx>
          <c:spPr>
            <a:ln w="25400">
              <a:solidFill>
                <a:srgbClr val="00FFFF"/>
              </a:solidFill>
              <a:prstDash val="solid"/>
            </a:ln>
          </c:spPr>
          <c:marker>
            <c:symbol val="x"/>
            <c:size val="7"/>
            <c:spPr>
              <a:noFill/>
              <a:ln>
                <a:solidFill>
                  <a:srgbClr val="00FFFF"/>
                </a:solidFill>
                <a:prstDash val="solid"/>
              </a:ln>
            </c:spPr>
          </c:marker>
          <c:cat>
            <c:numRef>
              <c:f>Data!$N$6:$P$6</c:f>
              <c:numCache>
                <c:formatCode>General</c:formatCode>
                <c:ptCount val="3"/>
                <c:pt idx="0">
                  <c:v>25</c:v>
                </c:pt>
                <c:pt idx="1">
                  <c:v>50</c:v>
                </c:pt>
                <c:pt idx="2">
                  <c:v>75</c:v>
                </c:pt>
              </c:numCache>
            </c:numRef>
          </c:cat>
          <c:val>
            <c:numRef>
              <c:f>Data!$N$10:$P$10</c:f>
              <c:numCache>
                <c:formatCode>General</c:formatCode>
                <c:ptCount val="3"/>
                <c:pt idx="0">
                  <c:v>1.1759999999999999</c:v>
                </c:pt>
                <c:pt idx="1">
                  <c:v>4.0209999999999999</c:v>
                </c:pt>
                <c:pt idx="2">
                  <c:v>24.09</c:v>
                </c:pt>
              </c:numCache>
            </c:numRef>
          </c:val>
          <c:smooth val="0"/>
          <c:extLst>
            <c:ext xmlns:c16="http://schemas.microsoft.com/office/drawing/2014/chart" uri="{C3380CC4-5D6E-409C-BE32-E72D297353CC}">
              <c16:uniqueId val="{00000003-1851-433E-9F98-55A5F1150AA4}"/>
            </c:ext>
          </c:extLst>
        </c:ser>
        <c:dLbls>
          <c:showLegendKey val="0"/>
          <c:showVal val="0"/>
          <c:showCatName val="0"/>
          <c:showSerName val="0"/>
          <c:showPercent val="0"/>
          <c:showBubbleSize val="0"/>
        </c:dLbls>
        <c:marker val="1"/>
        <c:smooth val="0"/>
        <c:axId val="157367296"/>
        <c:axId val="157389952"/>
      </c:lineChart>
      <c:lineChart>
        <c:grouping val="standard"/>
        <c:varyColors val="0"/>
        <c:ser>
          <c:idx val="4"/>
          <c:order val="4"/>
          <c:tx>
            <c:strRef>
              <c:f>Data!$M$11</c:f>
              <c:strCache>
                <c:ptCount val="1"/>
              </c:strCache>
            </c:strRef>
          </c:tx>
          <c:spPr>
            <a:ln w="19050">
              <a:noFill/>
            </a:ln>
          </c:spPr>
          <c:marker>
            <c:symbol val="none"/>
          </c:marker>
          <c:cat>
            <c:numRef>
              <c:f>Data!$N$6:$P$6</c:f>
              <c:numCache>
                <c:formatCode>General</c:formatCode>
                <c:ptCount val="3"/>
                <c:pt idx="0">
                  <c:v>25</c:v>
                </c:pt>
                <c:pt idx="1">
                  <c:v>50</c:v>
                </c:pt>
                <c:pt idx="2">
                  <c:v>75</c:v>
                </c:pt>
              </c:numCache>
            </c:numRef>
          </c:cat>
          <c:val>
            <c:numRef>
              <c:f>Data!$N$11:$P$11</c:f>
              <c:numCache>
                <c:formatCode>0.00</c:formatCode>
                <c:ptCount val="3"/>
                <c:pt idx="0">
                  <c:v>6.3799999999999996E-2</c:v>
                </c:pt>
                <c:pt idx="1">
                  <c:v>0.20589999999999997</c:v>
                </c:pt>
                <c:pt idx="2">
                  <c:v>1.3833</c:v>
                </c:pt>
              </c:numCache>
            </c:numRef>
          </c:val>
          <c:smooth val="0"/>
          <c:extLst>
            <c:ext xmlns:c16="http://schemas.microsoft.com/office/drawing/2014/chart" uri="{C3380CC4-5D6E-409C-BE32-E72D297353CC}">
              <c16:uniqueId val="{00000004-1851-433E-9F98-55A5F1150AA4}"/>
            </c:ext>
          </c:extLst>
        </c:ser>
        <c:dLbls>
          <c:showLegendKey val="0"/>
          <c:showVal val="0"/>
          <c:showCatName val="0"/>
          <c:showSerName val="0"/>
          <c:showPercent val="0"/>
          <c:showBubbleSize val="0"/>
        </c:dLbls>
        <c:marker val="1"/>
        <c:smooth val="0"/>
        <c:axId val="157391872"/>
        <c:axId val="157393664"/>
      </c:lineChart>
      <c:catAx>
        <c:axId val="157367296"/>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3399528948215873"/>
              <c:y val="0.9249826989619377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57389952"/>
        <c:crosses val="autoZero"/>
        <c:auto val="1"/>
        <c:lblAlgn val="ctr"/>
        <c:lblOffset val="100"/>
        <c:tickLblSkip val="1"/>
        <c:tickMarkSkip val="1"/>
        <c:noMultiLvlLbl val="0"/>
      </c:catAx>
      <c:valAx>
        <c:axId val="157389952"/>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a:t>Total dry weight (g)</a:t>
                </a:r>
              </a:p>
            </c:rich>
          </c:tx>
          <c:layout>
            <c:manualLayout>
              <c:xMode val="edge"/>
              <c:yMode val="edge"/>
              <c:x val="7.5658746345560052E-3"/>
              <c:y val="0.206769655523163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57367296"/>
        <c:crosses val="autoZero"/>
        <c:crossBetween val="between"/>
        <c:majorUnit val="5"/>
      </c:valAx>
      <c:catAx>
        <c:axId val="157391872"/>
        <c:scaling>
          <c:orientation val="minMax"/>
        </c:scaling>
        <c:delete val="1"/>
        <c:axPos val="b"/>
        <c:numFmt formatCode="General" sourceLinked="1"/>
        <c:majorTickMark val="out"/>
        <c:minorTickMark val="none"/>
        <c:tickLblPos val="nextTo"/>
        <c:crossAx val="157393664"/>
        <c:crosses val="autoZero"/>
        <c:auto val="1"/>
        <c:lblAlgn val="ctr"/>
        <c:lblOffset val="100"/>
        <c:noMultiLvlLbl val="0"/>
      </c:catAx>
      <c:valAx>
        <c:axId val="157393664"/>
        <c:scaling>
          <c:orientation val="minMax"/>
          <c:max val="1.5"/>
          <c:min val="-2"/>
        </c:scaling>
        <c:delete val="0"/>
        <c:axPos val="r"/>
        <c:numFmt formatCode="0.00" sourceLinked="1"/>
        <c:majorTickMark val="none"/>
        <c:minorTickMark val="none"/>
        <c:tickLblPos val="none"/>
        <c:spPr>
          <a:ln w="6350">
            <a:noFill/>
          </a:ln>
        </c:spPr>
        <c:crossAx val="157391872"/>
        <c:crosses val="max"/>
        <c:crossBetween val="between"/>
      </c:valAx>
      <c:spPr>
        <a:noFill/>
        <a:ln w="25400">
          <a:noFill/>
        </a:ln>
      </c:spPr>
    </c:plotArea>
    <c:legend>
      <c:legendPos val="r"/>
      <c:layout>
        <c:manualLayout>
          <c:xMode val="edge"/>
          <c:yMode val="edge"/>
          <c:x val="0.15968171380341692"/>
          <c:y val="0.12619894831485165"/>
          <c:w val="0.59126765128697323"/>
          <c:h val="8.8091353996737357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57161604799401"/>
          <c:y val="4.4045676998368678E-2"/>
          <c:w val="0.86042838395200605"/>
          <c:h val="0.78800229136671329"/>
        </c:manualLayout>
      </c:layout>
      <c:lineChart>
        <c:grouping val="standard"/>
        <c:varyColors val="0"/>
        <c:ser>
          <c:idx val="0"/>
          <c:order val="0"/>
          <c:tx>
            <c:strRef>
              <c:f>Data!$M$17</c:f>
              <c:strCache>
                <c:ptCount val="1"/>
                <c:pt idx="0">
                  <c:v>N1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Data!$N$16:$P$16</c:f>
              <c:numCache>
                <c:formatCode>General</c:formatCode>
                <c:ptCount val="3"/>
                <c:pt idx="0">
                  <c:v>25</c:v>
                </c:pt>
                <c:pt idx="1">
                  <c:v>50</c:v>
                </c:pt>
                <c:pt idx="2">
                  <c:v>75</c:v>
                </c:pt>
              </c:numCache>
            </c:numRef>
          </c:cat>
          <c:val>
            <c:numRef>
              <c:f>Data!$N$17:$P$17</c:f>
              <c:numCache>
                <c:formatCode>General</c:formatCode>
                <c:ptCount val="3"/>
                <c:pt idx="0">
                  <c:v>0.88</c:v>
                </c:pt>
                <c:pt idx="1">
                  <c:v>2.68</c:v>
                </c:pt>
                <c:pt idx="2">
                  <c:v>11.87</c:v>
                </c:pt>
              </c:numCache>
            </c:numRef>
          </c:val>
          <c:smooth val="0"/>
          <c:extLst>
            <c:ext xmlns:c16="http://schemas.microsoft.com/office/drawing/2014/chart" uri="{C3380CC4-5D6E-409C-BE32-E72D297353CC}">
              <c16:uniqueId val="{00000000-E11E-4C5D-A901-F92BD40CD77E}"/>
            </c:ext>
          </c:extLst>
        </c:ser>
        <c:ser>
          <c:idx val="1"/>
          <c:order val="1"/>
          <c:tx>
            <c:strRef>
              <c:f>Data!$M$18</c:f>
              <c:strCache>
                <c:ptCount val="1"/>
                <c:pt idx="0">
                  <c:v>N2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Data!$N$16:$P$16</c:f>
              <c:numCache>
                <c:formatCode>General</c:formatCode>
                <c:ptCount val="3"/>
                <c:pt idx="0">
                  <c:v>25</c:v>
                </c:pt>
                <c:pt idx="1">
                  <c:v>50</c:v>
                </c:pt>
                <c:pt idx="2">
                  <c:v>75</c:v>
                </c:pt>
              </c:numCache>
            </c:numRef>
          </c:cat>
          <c:val>
            <c:numRef>
              <c:f>Data!$N$18:$P$18</c:f>
              <c:numCache>
                <c:formatCode>General</c:formatCode>
                <c:ptCount val="3"/>
                <c:pt idx="0">
                  <c:v>1.01</c:v>
                </c:pt>
                <c:pt idx="1">
                  <c:v>3.29</c:v>
                </c:pt>
                <c:pt idx="2">
                  <c:v>22.01</c:v>
                </c:pt>
              </c:numCache>
            </c:numRef>
          </c:val>
          <c:smooth val="0"/>
          <c:extLst>
            <c:ext xmlns:c16="http://schemas.microsoft.com/office/drawing/2014/chart" uri="{C3380CC4-5D6E-409C-BE32-E72D297353CC}">
              <c16:uniqueId val="{00000001-E11E-4C5D-A901-F92BD40CD77E}"/>
            </c:ext>
          </c:extLst>
        </c:ser>
        <c:ser>
          <c:idx val="2"/>
          <c:order val="2"/>
          <c:tx>
            <c:strRef>
              <c:f>Data!$M$19</c:f>
              <c:strCache>
                <c:ptCount val="1"/>
                <c:pt idx="0">
                  <c:v>N3</c:v>
                </c:pt>
              </c:strCache>
            </c:strRef>
          </c:tx>
          <c:spPr>
            <a:ln w="25400">
              <a:solidFill>
                <a:srgbClr val="008000"/>
              </a:solidFill>
              <a:prstDash val="solid"/>
            </a:ln>
          </c:spPr>
          <c:marker>
            <c:symbol val="triangle"/>
            <c:size val="7"/>
            <c:spPr>
              <a:solidFill>
                <a:srgbClr val="993366"/>
              </a:solidFill>
              <a:ln>
                <a:solidFill>
                  <a:srgbClr val="0000FF"/>
                </a:solidFill>
                <a:prstDash val="solid"/>
              </a:ln>
            </c:spPr>
          </c:marker>
          <c:cat>
            <c:numRef>
              <c:f>Data!$N$16:$P$16</c:f>
              <c:numCache>
                <c:formatCode>General</c:formatCode>
                <c:ptCount val="3"/>
                <c:pt idx="0">
                  <c:v>25</c:v>
                </c:pt>
                <c:pt idx="1">
                  <c:v>50</c:v>
                </c:pt>
                <c:pt idx="2">
                  <c:v>75</c:v>
                </c:pt>
              </c:numCache>
            </c:numRef>
          </c:cat>
          <c:val>
            <c:numRef>
              <c:f>Data!$N$19:$P$19</c:f>
              <c:numCache>
                <c:formatCode>General</c:formatCode>
                <c:ptCount val="3"/>
                <c:pt idx="0">
                  <c:v>0.95</c:v>
                </c:pt>
                <c:pt idx="1">
                  <c:v>3.14</c:v>
                </c:pt>
                <c:pt idx="2">
                  <c:v>20.68</c:v>
                </c:pt>
              </c:numCache>
            </c:numRef>
          </c:val>
          <c:smooth val="0"/>
          <c:extLst>
            <c:ext xmlns:c16="http://schemas.microsoft.com/office/drawing/2014/chart" uri="{C3380CC4-5D6E-409C-BE32-E72D297353CC}">
              <c16:uniqueId val="{00000002-E11E-4C5D-A901-F92BD40CD77E}"/>
            </c:ext>
          </c:extLst>
        </c:ser>
        <c:ser>
          <c:idx val="3"/>
          <c:order val="3"/>
          <c:tx>
            <c:strRef>
              <c:f>Data!$M$20</c:f>
              <c:strCache>
                <c:ptCount val="1"/>
                <c:pt idx="0">
                  <c:v>N4</c:v>
                </c:pt>
              </c:strCache>
            </c:strRef>
          </c:tx>
          <c:spPr>
            <a:ln w="25400">
              <a:solidFill>
                <a:srgbClr val="00FFFF"/>
              </a:solidFill>
              <a:prstDash val="solid"/>
            </a:ln>
          </c:spPr>
          <c:marker>
            <c:symbol val="x"/>
            <c:size val="7"/>
            <c:spPr>
              <a:noFill/>
              <a:ln>
                <a:solidFill>
                  <a:srgbClr val="00FFFF"/>
                </a:solidFill>
                <a:prstDash val="solid"/>
              </a:ln>
            </c:spPr>
          </c:marker>
          <c:cat>
            <c:numRef>
              <c:f>Data!$N$16:$P$16</c:f>
              <c:numCache>
                <c:formatCode>General</c:formatCode>
                <c:ptCount val="3"/>
                <c:pt idx="0">
                  <c:v>25</c:v>
                </c:pt>
                <c:pt idx="1">
                  <c:v>50</c:v>
                </c:pt>
                <c:pt idx="2">
                  <c:v>75</c:v>
                </c:pt>
              </c:numCache>
            </c:numRef>
          </c:cat>
          <c:val>
            <c:numRef>
              <c:f>Data!$N$20:$P$20</c:f>
              <c:numCache>
                <c:formatCode>General</c:formatCode>
                <c:ptCount val="3"/>
                <c:pt idx="0">
                  <c:v>1.26</c:v>
                </c:pt>
                <c:pt idx="1">
                  <c:v>4.22</c:v>
                </c:pt>
                <c:pt idx="2">
                  <c:v>26.96</c:v>
                </c:pt>
              </c:numCache>
            </c:numRef>
          </c:val>
          <c:smooth val="0"/>
          <c:extLst>
            <c:ext xmlns:c16="http://schemas.microsoft.com/office/drawing/2014/chart" uri="{C3380CC4-5D6E-409C-BE32-E72D297353CC}">
              <c16:uniqueId val="{00000003-E11E-4C5D-A901-F92BD40CD77E}"/>
            </c:ext>
          </c:extLst>
        </c:ser>
        <c:ser>
          <c:idx val="4"/>
          <c:order val="4"/>
          <c:tx>
            <c:strRef>
              <c:f>Data!$M$21</c:f>
              <c:strCache>
                <c:ptCount val="1"/>
                <c:pt idx="0">
                  <c:v>N5</c:v>
                </c:pt>
              </c:strCache>
            </c:strRef>
          </c:tx>
          <c:spPr>
            <a:ln w="25400">
              <a:solidFill>
                <a:srgbClr val="FF6600"/>
              </a:solidFill>
              <a:prstDash val="solid"/>
            </a:ln>
          </c:spPr>
          <c:marker>
            <c:symbol val="star"/>
            <c:size val="7"/>
            <c:spPr>
              <a:noFill/>
              <a:ln>
                <a:solidFill>
                  <a:srgbClr val="800080"/>
                </a:solidFill>
                <a:prstDash val="solid"/>
              </a:ln>
            </c:spPr>
          </c:marker>
          <c:cat>
            <c:numRef>
              <c:f>Data!$N$16:$P$16</c:f>
              <c:numCache>
                <c:formatCode>General</c:formatCode>
                <c:ptCount val="3"/>
                <c:pt idx="0">
                  <c:v>25</c:v>
                </c:pt>
                <c:pt idx="1">
                  <c:v>50</c:v>
                </c:pt>
                <c:pt idx="2">
                  <c:v>75</c:v>
                </c:pt>
              </c:numCache>
            </c:numRef>
          </c:cat>
          <c:val>
            <c:numRef>
              <c:f>Data!$N$21:$P$21</c:f>
              <c:numCache>
                <c:formatCode>General</c:formatCode>
                <c:ptCount val="3"/>
                <c:pt idx="0">
                  <c:v>1.17</c:v>
                </c:pt>
                <c:pt idx="1">
                  <c:v>3.82</c:v>
                </c:pt>
                <c:pt idx="2">
                  <c:v>24.38</c:v>
                </c:pt>
              </c:numCache>
            </c:numRef>
          </c:val>
          <c:smooth val="0"/>
          <c:extLst>
            <c:ext xmlns:c16="http://schemas.microsoft.com/office/drawing/2014/chart" uri="{C3380CC4-5D6E-409C-BE32-E72D297353CC}">
              <c16:uniqueId val="{00000004-E11E-4C5D-A901-F92BD40CD77E}"/>
            </c:ext>
          </c:extLst>
        </c:ser>
        <c:ser>
          <c:idx val="5"/>
          <c:order val="5"/>
          <c:tx>
            <c:strRef>
              <c:f>Data!$M$22</c:f>
              <c:strCache>
                <c:ptCount val="1"/>
                <c:pt idx="0">
                  <c:v>N6</c:v>
                </c:pt>
              </c:strCache>
            </c:strRef>
          </c:tx>
          <c:spPr>
            <a:ln w="25400">
              <a:solidFill>
                <a:srgbClr val="800000"/>
              </a:solidFill>
              <a:prstDash val="solid"/>
            </a:ln>
          </c:spPr>
          <c:marker>
            <c:symbol val="circle"/>
            <c:size val="7"/>
            <c:spPr>
              <a:solidFill>
                <a:srgbClr val="800000"/>
              </a:solidFill>
              <a:ln>
                <a:solidFill>
                  <a:srgbClr val="800000"/>
                </a:solidFill>
                <a:prstDash val="solid"/>
              </a:ln>
            </c:spPr>
          </c:marker>
          <c:cat>
            <c:numRef>
              <c:f>Data!$N$16:$P$16</c:f>
              <c:numCache>
                <c:formatCode>General</c:formatCode>
                <c:ptCount val="3"/>
                <c:pt idx="0">
                  <c:v>25</c:v>
                </c:pt>
                <c:pt idx="1">
                  <c:v>50</c:v>
                </c:pt>
                <c:pt idx="2">
                  <c:v>75</c:v>
                </c:pt>
              </c:numCache>
            </c:numRef>
          </c:cat>
          <c:val>
            <c:numRef>
              <c:f>Data!$N$22:$P$22</c:f>
              <c:numCache>
                <c:formatCode>General</c:formatCode>
                <c:ptCount val="3"/>
                <c:pt idx="0">
                  <c:v>1.0900000000000001</c:v>
                </c:pt>
                <c:pt idx="1">
                  <c:v>3.7</c:v>
                </c:pt>
                <c:pt idx="2">
                  <c:v>23.37</c:v>
                </c:pt>
              </c:numCache>
            </c:numRef>
          </c:val>
          <c:smooth val="0"/>
          <c:extLst>
            <c:ext xmlns:c16="http://schemas.microsoft.com/office/drawing/2014/chart" uri="{C3380CC4-5D6E-409C-BE32-E72D297353CC}">
              <c16:uniqueId val="{00000005-E11E-4C5D-A901-F92BD40CD77E}"/>
            </c:ext>
          </c:extLst>
        </c:ser>
        <c:dLbls>
          <c:showLegendKey val="0"/>
          <c:showVal val="0"/>
          <c:showCatName val="0"/>
          <c:showSerName val="0"/>
          <c:showPercent val="0"/>
          <c:showBubbleSize val="0"/>
        </c:dLbls>
        <c:marker val="1"/>
        <c:smooth val="0"/>
        <c:axId val="162748672"/>
        <c:axId val="162759040"/>
      </c:lineChart>
      <c:lineChart>
        <c:grouping val="standard"/>
        <c:varyColors val="0"/>
        <c:ser>
          <c:idx val="6"/>
          <c:order val="6"/>
          <c:tx>
            <c:strRef>
              <c:f>Data!$M$23</c:f>
              <c:strCache>
                <c:ptCount val="1"/>
              </c:strCache>
            </c:strRef>
          </c:tx>
          <c:spPr>
            <a:ln w="19050">
              <a:noFill/>
            </a:ln>
          </c:spPr>
          <c:marker>
            <c:symbol val="none"/>
          </c:marker>
          <c:cat>
            <c:numRef>
              <c:f>Data!$N$16:$P$16</c:f>
              <c:numCache>
                <c:formatCode>General</c:formatCode>
                <c:ptCount val="3"/>
                <c:pt idx="0">
                  <c:v>25</c:v>
                </c:pt>
                <c:pt idx="1">
                  <c:v>50</c:v>
                </c:pt>
                <c:pt idx="2">
                  <c:v>75</c:v>
                </c:pt>
              </c:numCache>
            </c:numRef>
          </c:cat>
          <c:val>
            <c:numRef>
              <c:f>Data!$N$23:$P$23</c:f>
              <c:numCache>
                <c:formatCode>0.00</c:formatCode>
                <c:ptCount val="3"/>
                <c:pt idx="0">
                  <c:v>7.8299999999999995E-2</c:v>
                </c:pt>
                <c:pt idx="1">
                  <c:v>0.25229999999999997</c:v>
                </c:pt>
                <c:pt idx="2">
                  <c:v>1.6935999999999998</c:v>
                </c:pt>
              </c:numCache>
            </c:numRef>
          </c:val>
          <c:smooth val="0"/>
          <c:extLst>
            <c:ext xmlns:c16="http://schemas.microsoft.com/office/drawing/2014/chart" uri="{C3380CC4-5D6E-409C-BE32-E72D297353CC}">
              <c16:uniqueId val="{00000006-E11E-4C5D-A901-F92BD40CD77E}"/>
            </c:ext>
          </c:extLst>
        </c:ser>
        <c:dLbls>
          <c:showLegendKey val="0"/>
          <c:showVal val="0"/>
          <c:showCatName val="0"/>
          <c:showSerName val="0"/>
          <c:showPercent val="0"/>
          <c:showBubbleSize val="0"/>
        </c:dLbls>
        <c:marker val="1"/>
        <c:smooth val="0"/>
        <c:axId val="162760960"/>
        <c:axId val="162770944"/>
      </c:lineChart>
      <c:catAx>
        <c:axId val="162748672"/>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5557048424502491"/>
              <c:y val="0.939641155605792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62759040"/>
        <c:crosses val="autoZero"/>
        <c:auto val="1"/>
        <c:lblAlgn val="ctr"/>
        <c:lblOffset val="100"/>
        <c:tickLblSkip val="1"/>
        <c:tickMarkSkip val="1"/>
        <c:noMultiLvlLbl val="0"/>
      </c:catAx>
      <c:valAx>
        <c:axId val="162759040"/>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a:t>Total dry weight (g)</a:t>
                </a:r>
              </a:p>
            </c:rich>
          </c:tx>
          <c:layout>
            <c:manualLayout>
              <c:xMode val="edge"/>
              <c:yMode val="edge"/>
              <c:x val="0"/>
              <c:y val="0.2756933115823817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62748672"/>
        <c:crosses val="autoZero"/>
        <c:crossBetween val="between"/>
        <c:majorUnit val="5"/>
      </c:valAx>
      <c:catAx>
        <c:axId val="162760960"/>
        <c:scaling>
          <c:orientation val="minMax"/>
        </c:scaling>
        <c:delete val="1"/>
        <c:axPos val="b"/>
        <c:numFmt formatCode="General" sourceLinked="1"/>
        <c:majorTickMark val="out"/>
        <c:minorTickMark val="none"/>
        <c:tickLblPos val="nextTo"/>
        <c:crossAx val="162770944"/>
        <c:crosses val="autoZero"/>
        <c:auto val="1"/>
        <c:lblAlgn val="ctr"/>
        <c:lblOffset val="100"/>
        <c:noMultiLvlLbl val="0"/>
      </c:catAx>
      <c:valAx>
        <c:axId val="162770944"/>
        <c:scaling>
          <c:orientation val="minMax"/>
          <c:max val="1.8"/>
          <c:min val="-2"/>
        </c:scaling>
        <c:delete val="0"/>
        <c:axPos val="r"/>
        <c:numFmt formatCode="0.00" sourceLinked="1"/>
        <c:majorTickMark val="none"/>
        <c:minorTickMark val="none"/>
        <c:tickLblPos val="none"/>
        <c:spPr>
          <a:ln w="6350">
            <a:noFill/>
          </a:ln>
        </c:spPr>
        <c:crossAx val="162760960"/>
        <c:crosses val="max"/>
        <c:crossBetween val="between"/>
      </c:valAx>
      <c:spPr>
        <a:noFill/>
        <a:ln w="25400">
          <a:noFill/>
        </a:ln>
      </c:spPr>
    </c:plotArea>
    <c:legend>
      <c:legendPos val="r"/>
      <c:layout>
        <c:manualLayout>
          <c:xMode val="edge"/>
          <c:yMode val="edge"/>
          <c:x val="0.1683525670402311"/>
          <c:y val="0.11042546281260149"/>
          <c:w val="0.58469323279034568"/>
          <c:h val="8.1640168476829325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6BE10-0D08-49E6-96F2-FC4E2C274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22</Pages>
  <Words>5803</Words>
  <Characters>33083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Shialora School</dc:creator>
  <cp:lastModifiedBy>SDI 1084</cp:lastModifiedBy>
  <cp:revision>118</cp:revision>
  <dcterms:created xsi:type="dcterms:W3CDTF">2025-03-19T05:30:00Z</dcterms:created>
  <dcterms:modified xsi:type="dcterms:W3CDTF">2025-04-15T11:45:00Z</dcterms:modified>
</cp:coreProperties>
</file>