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0F3A95" w14:textId="77777777" w:rsidR="007C0019" w:rsidRPr="00DC2801" w:rsidRDefault="007C0019">
      <w:pPr>
        <w:rPr>
          <w:sz w:val="24"/>
          <w:szCs w:val="24"/>
        </w:rPr>
      </w:pPr>
      <w:bookmarkStart w:id="0" w:name="_GoBack"/>
      <w:bookmarkEnd w:id="0"/>
    </w:p>
    <w:p w14:paraId="3C4741C4" w14:textId="77777777" w:rsidR="007C0019" w:rsidRPr="00814614" w:rsidRDefault="00814614">
      <w:pPr>
        <w:jc w:val="center"/>
        <w:rPr>
          <w:b/>
          <w:sz w:val="36"/>
          <w:szCs w:val="24"/>
        </w:rPr>
      </w:pPr>
      <w:r w:rsidRPr="00814614">
        <w:rPr>
          <w:b/>
          <w:sz w:val="36"/>
          <w:szCs w:val="24"/>
        </w:rPr>
        <w:t xml:space="preserve">Predictive Data Analysis </w:t>
      </w:r>
      <w:r>
        <w:rPr>
          <w:b/>
          <w:sz w:val="36"/>
          <w:szCs w:val="24"/>
        </w:rPr>
        <w:t>i</w:t>
      </w:r>
      <w:r w:rsidRPr="00814614">
        <w:rPr>
          <w:b/>
          <w:sz w:val="36"/>
          <w:szCs w:val="24"/>
        </w:rPr>
        <w:t>n Forecasting Patient Health Outcomes Using Machine Learning Algorithms</w:t>
      </w:r>
    </w:p>
    <w:p w14:paraId="4C77A59A" w14:textId="77777777" w:rsidR="00340908" w:rsidRDefault="00340908">
      <w:pPr>
        <w:rPr>
          <w:b/>
          <w:sz w:val="24"/>
          <w:szCs w:val="24"/>
        </w:rPr>
      </w:pPr>
    </w:p>
    <w:p w14:paraId="4631A647" w14:textId="77777777" w:rsidR="00340908" w:rsidRDefault="00340908">
      <w:pPr>
        <w:rPr>
          <w:b/>
          <w:sz w:val="24"/>
          <w:szCs w:val="24"/>
        </w:rPr>
      </w:pPr>
    </w:p>
    <w:p w14:paraId="0C0FEB2F" w14:textId="77777777" w:rsidR="00340908" w:rsidRDefault="00340908">
      <w:pPr>
        <w:rPr>
          <w:b/>
          <w:sz w:val="24"/>
          <w:szCs w:val="24"/>
        </w:rPr>
      </w:pPr>
    </w:p>
    <w:p w14:paraId="2BA40A62" w14:textId="03E822A7" w:rsidR="00427F1A" w:rsidRDefault="00427F1A">
      <w:pPr>
        <w:rPr>
          <w:b/>
          <w:sz w:val="24"/>
          <w:szCs w:val="24"/>
        </w:rPr>
      </w:pPr>
      <w:r>
        <w:rPr>
          <w:b/>
          <w:sz w:val="24"/>
          <w:szCs w:val="24"/>
        </w:rPr>
        <w:t xml:space="preserve"> </w:t>
      </w:r>
    </w:p>
    <w:p w14:paraId="4E669B4B" w14:textId="77777777" w:rsidR="006D4B2B" w:rsidRDefault="006D4B2B">
      <w:pPr>
        <w:rPr>
          <w:b/>
          <w:sz w:val="24"/>
          <w:szCs w:val="24"/>
        </w:rPr>
      </w:pPr>
    </w:p>
    <w:p w14:paraId="7D47087C" w14:textId="77777777" w:rsidR="006D4B2B" w:rsidRDefault="006D4B2B">
      <w:pPr>
        <w:rPr>
          <w:b/>
          <w:sz w:val="24"/>
          <w:szCs w:val="24"/>
        </w:rPr>
      </w:pPr>
    </w:p>
    <w:p w14:paraId="14B2DBAA" w14:textId="0CA1F24E" w:rsidR="007C0019" w:rsidRPr="00DC2801" w:rsidRDefault="002431C8">
      <w:pPr>
        <w:rPr>
          <w:b/>
          <w:sz w:val="24"/>
          <w:szCs w:val="24"/>
        </w:rPr>
      </w:pPr>
      <w:r w:rsidRPr="00DC2801">
        <w:rPr>
          <w:b/>
          <w:sz w:val="24"/>
          <w:szCs w:val="24"/>
        </w:rPr>
        <w:t>Abstract</w:t>
      </w:r>
    </w:p>
    <w:p w14:paraId="2CA1CBF8" w14:textId="77777777" w:rsidR="007C0019" w:rsidRPr="00DC2801" w:rsidRDefault="002431C8" w:rsidP="00EF1727">
      <w:pPr>
        <w:spacing w:before="160" w:after="160"/>
        <w:jc w:val="both"/>
        <w:rPr>
          <w:i/>
          <w:sz w:val="24"/>
          <w:szCs w:val="24"/>
        </w:rPr>
      </w:pPr>
      <w:r w:rsidRPr="00DC2801">
        <w:rPr>
          <w:i/>
          <w:sz w:val="24"/>
          <w:szCs w:val="24"/>
        </w:rPr>
        <w:t xml:space="preserve">This study investigates the effectiveness of machine learning algorithms, particularly an optimized </w:t>
      </w:r>
      <w:proofErr w:type="spellStart"/>
      <w:r w:rsidRPr="00DC2801">
        <w:rPr>
          <w:i/>
          <w:sz w:val="24"/>
          <w:szCs w:val="24"/>
        </w:rPr>
        <w:t>eXtreme</w:t>
      </w:r>
      <w:proofErr w:type="spellEnd"/>
      <w:r w:rsidRPr="00DC2801">
        <w:rPr>
          <w:i/>
          <w:sz w:val="24"/>
          <w:szCs w:val="24"/>
        </w:rPr>
        <w:t xml:space="preserve"> Gradient Boosting (</w:t>
      </w:r>
      <w:proofErr w:type="spellStart"/>
      <w:r w:rsidRPr="00DC2801">
        <w:rPr>
          <w:i/>
          <w:sz w:val="24"/>
          <w:szCs w:val="24"/>
        </w:rPr>
        <w:t>XGBoost</w:t>
      </w:r>
      <w:proofErr w:type="spellEnd"/>
      <w:r w:rsidRPr="00DC2801">
        <w:rPr>
          <w:i/>
          <w:sz w:val="24"/>
          <w:szCs w:val="24"/>
        </w:rPr>
        <w:t xml:space="preserve">) model, in predicting 30-day ICU readmissions using the MIMIC-III dataset comprising over 40,000 critical care records. Through a quantitative approach, supervised learning models were developed, evaluated, and compared, incorporating hyperparameter tuning via grid search with five-fold cross-validation. </w:t>
      </w:r>
      <w:proofErr w:type="spellStart"/>
      <w:r w:rsidRPr="00DC2801">
        <w:rPr>
          <w:i/>
          <w:sz w:val="24"/>
          <w:szCs w:val="24"/>
        </w:rPr>
        <w:t>SHapley</w:t>
      </w:r>
      <w:proofErr w:type="spellEnd"/>
      <w:r w:rsidRPr="00DC2801">
        <w:rPr>
          <w:i/>
          <w:sz w:val="24"/>
          <w:szCs w:val="24"/>
        </w:rPr>
        <w:t xml:space="preserve"> Additive </w:t>
      </w:r>
      <w:proofErr w:type="spellStart"/>
      <w:r w:rsidRPr="00DC2801">
        <w:rPr>
          <w:i/>
          <w:sz w:val="24"/>
          <w:szCs w:val="24"/>
        </w:rPr>
        <w:t>exPlanations</w:t>
      </w:r>
      <w:proofErr w:type="spellEnd"/>
      <w:r w:rsidRPr="00DC2801">
        <w:rPr>
          <w:i/>
          <w:sz w:val="24"/>
          <w:szCs w:val="24"/>
        </w:rPr>
        <w:t xml:space="preserve"> (SHAP) were employed for interpretability and to identify key predictors. Results showed that the optimized </w:t>
      </w:r>
      <w:proofErr w:type="spellStart"/>
      <w:r w:rsidRPr="00DC2801">
        <w:rPr>
          <w:i/>
          <w:sz w:val="24"/>
          <w:szCs w:val="24"/>
        </w:rPr>
        <w:t>XGBoost</w:t>
      </w:r>
      <w:proofErr w:type="spellEnd"/>
      <w:r w:rsidRPr="00DC2801">
        <w:rPr>
          <w:i/>
          <w:sz w:val="24"/>
          <w:szCs w:val="24"/>
        </w:rPr>
        <w:t xml:space="preserve"> achieved an AUC-ROC of 0.892 and F1-score of 0.826, outperforming Logistic Regression and Random Forest. Integration simulations revealed a 3.2-second latency, 89% success rate, and 0.18 workflow disruption index, validating real-time deployment potential. Recommendations include enforcing interpretability standards, enhancing EHR interoperability, promoting clinician algorithm literacy, and ensuring dataset representativeness for predictive equity. These findings highlight the pivotal role of interpretable AI in supporting proactive, equitable, and data-driven clinical decision-making.</w:t>
      </w:r>
    </w:p>
    <w:p w14:paraId="561AC04F" w14:textId="77777777" w:rsidR="007C0019" w:rsidRPr="00DC2801" w:rsidRDefault="002431C8">
      <w:pPr>
        <w:spacing w:before="160" w:after="160"/>
        <w:rPr>
          <w:b/>
          <w:sz w:val="24"/>
          <w:szCs w:val="24"/>
        </w:rPr>
      </w:pPr>
      <w:r w:rsidRPr="00DC2801">
        <w:rPr>
          <w:b/>
          <w:sz w:val="24"/>
          <w:szCs w:val="24"/>
        </w:rPr>
        <w:t xml:space="preserve">Keywords: Predictive analytics, ICU readmission, </w:t>
      </w:r>
      <w:proofErr w:type="spellStart"/>
      <w:r w:rsidRPr="00DC2801">
        <w:rPr>
          <w:b/>
          <w:sz w:val="24"/>
          <w:szCs w:val="24"/>
        </w:rPr>
        <w:t>XGBoost</w:t>
      </w:r>
      <w:proofErr w:type="spellEnd"/>
      <w:r w:rsidRPr="00DC2801">
        <w:rPr>
          <w:b/>
          <w:sz w:val="24"/>
          <w:szCs w:val="24"/>
        </w:rPr>
        <w:t>, SHAP, MIMIC-III</w:t>
      </w:r>
    </w:p>
    <w:p w14:paraId="5B508105" w14:textId="77777777" w:rsidR="007C0019" w:rsidRPr="00DC2801" w:rsidRDefault="007C0019">
      <w:pPr>
        <w:rPr>
          <w:sz w:val="24"/>
          <w:szCs w:val="24"/>
        </w:rPr>
      </w:pPr>
    </w:p>
    <w:p w14:paraId="3A72935B" w14:textId="77777777" w:rsidR="007C0019" w:rsidRPr="00DC2801" w:rsidRDefault="007C0019">
      <w:pPr>
        <w:rPr>
          <w:sz w:val="24"/>
          <w:szCs w:val="24"/>
        </w:rPr>
      </w:pPr>
    </w:p>
    <w:p w14:paraId="588BCB2C" w14:textId="77777777" w:rsidR="007C0019" w:rsidRPr="00DC2801" w:rsidRDefault="00DC2801">
      <w:pPr>
        <w:rPr>
          <w:sz w:val="24"/>
          <w:szCs w:val="24"/>
        </w:rPr>
      </w:pPr>
      <w:r w:rsidRPr="00DC2801">
        <w:rPr>
          <w:b/>
          <w:sz w:val="24"/>
          <w:szCs w:val="24"/>
        </w:rPr>
        <w:t>1.</w:t>
      </w:r>
      <w:r w:rsidRPr="00DC2801">
        <w:rPr>
          <w:b/>
          <w:sz w:val="24"/>
          <w:szCs w:val="24"/>
        </w:rPr>
        <w:tab/>
      </w:r>
      <w:r w:rsidR="002431C8" w:rsidRPr="00DC2801">
        <w:rPr>
          <w:b/>
          <w:sz w:val="24"/>
          <w:szCs w:val="24"/>
        </w:rPr>
        <w:t>Introduction</w:t>
      </w:r>
    </w:p>
    <w:p w14:paraId="05FE2AE8" w14:textId="77777777" w:rsidR="007C0019" w:rsidRPr="00DC2801" w:rsidRDefault="002431C8">
      <w:pPr>
        <w:spacing w:before="240" w:after="240"/>
        <w:rPr>
          <w:sz w:val="24"/>
          <w:szCs w:val="24"/>
        </w:rPr>
      </w:pPr>
      <w:r w:rsidRPr="00DC2801">
        <w:rPr>
          <w:sz w:val="24"/>
          <w:szCs w:val="24"/>
        </w:rPr>
        <w:t xml:space="preserve">In contemporary healthcare, the strategic use of predictive data analysis has become fundamental to the progression of personalized medicine, refinement of clinical decision-making, and reduction of inefficiencies in resource allocation. The increasing availability of data from electronic health records (EHRs), diagnostic imaging systems, wearable physiological monitors, and genomic sequencing platforms has significantly broadened the landscape for deploying machine learning (ML) algorithms in predictive healthcare applications (Bhambri &amp; </w:t>
      </w:r>
      <w:proofErr w:type="spellStart"/>
      <w:r w:rsidRPr="00DC2801">
        <w:rPr>
          <w:sz w:val="24"/>
          <w:szCs w:val="24"/>
        </w:rPr>
        <w:t>Khang</w:t>
      </w:r>
      <w:proofErr w:type="spellEnd"/>
      <w:r w:rsidRPr="00DC2801">
        <w:rPr>
          <w:sz w:val="24"/>
          <w:szCs w:val="24"/>
        </w:rPr>
        <w:t xml:space="preserve">, 2024). As healthcare systems continue to prioritize value-based care and population health management, the role of ML in </w:t>
      </w:r>
      <w:r w:rsidRPr="00DC2801">
        <w:rPr>
          <w:sz w:val="24"/>
          <w:szCs w:val="24"/>
        </w:rPr>
        <w:lastRenderedPageBreak/>
        <w:t xml:space="preserve">predictive </w:t>
      </w:r>
      <w:proofErr w:type="spellStart"/>
      <w:r w:rsidRPr="00DC2801">
        <w:rPr>
          <w:sz w:val="24"/>
          <w:szCs w:val="24"/>
        </w:rPr>
        <w:t>modeling</w:t>
      </w:r>
      <w:proofErr w:type="spellEnd"/>
      <w:r w:rsidRPr="00DC2801">
        <w:rPr>
          <w:sz w:val="24"/>
          <w:szCs w:val="24"/>
        </w:rPr>
        <w:t xml:space="preserve"> is increasingly recognized not as peripheral, but as central to system-wide innovation.</w:t>
      </w:r>
    </w:p>
    <w:p w14:paraId="02C0CA8C" w14:textId="77777777" w:rsidR="007C0019" w:rsidRPr="00DC2801" w:rsidRDefault="002431C8">
      <w:pPr>
        <w:spacing w:before="240" w:after="240"/>
        <w:rPr>
          <w:sz w:val="24"/>
          <w:szCs w:val="24"/>
        </w:rPr>
      </w:pPr>
      <w:r w:rsidRPr="00DC2801">
        <w:rPr>
          <w:sz w:val="24"/>
          <w:szCs w:val="24"/>
        </w:rPr>
        <w:t xml:space="preserve">Market projections underscore the field’s exponential growth. </w:t>
      </w:r>
      <w:proofErr w:type="spellStart"/>
      <w:r w:rsidRPr="00DC2801">
        <w:rPr>
          <w:sz w:val="24"/>
          <w:szCs w:val="24"/>
        </w:rPr>
        <w:t>Lixte</w:t>
      </w:r>
      <w:proofErr w:type="spellEnd"/>
      <w:r w:rsidRPr="00DC2801">
        <w:rPr>
          <w:sz w:val="24"/>
          <w:szCs w:val="24"/>
        </w:rPr>
        <w:t xml:space="preserve"> Biotechnology (2023) projects the global healthcare predictive analytics market will reach $126.15 billion by 2032, with an annual growth rate of 27.67%. Similarly, </w:t>
      </w:r>
      <w:proofErr w:type="spellStart"/>
      <w:r w:rsidRPr="00DC2801">
        <w:rPr>
          <w:sz w:val="24"/>
          <w:szCs w:val="24"/>
        </w:rPr>
        <w:t>Vention</w:t>
      </w:r>
      <w:proofErr w:type="spellEnd"/>
      <w:r w:rsidRPr="00DC2801">
        <w:rPr>
          <w:sz w:val="24"/>
          <w:szCs w:val="24"/>
        </w:rPr>
        <w:t xml:space="preserve"> (2024) estimates the AI in healthcare market will increase from $0.9 billion to $4.9 billion by 2028, representing a 40.2% CAGR. These figures reflect a growing demand for AI-enabled tools capable of forecasting clinical events such as hospital readmissions, treatment response, and patient mortality with precision and reliability.</w:t>
      </w:r>
    </w:p>
    <w:p w14:paraId="3926FC2E" w14:textId="77777777" w:rsidR="007C0019" w:rsidRPr="00DC2801" w:rsidRDefault="002431C8">
      <w:pPr>
        <w:spacing w:before="240" w:after="240"/>
        <w:rPr>
          <w:sz w:val="24"/>
          <w:szCs w:val="24"/>
        </w:rPr>
      </w:pPr>
      <w:r w:rsidRPr="00DC2801">
        <w:rPr>
          <w:sz w:val="24"/>
          <w:szCs w:val="24"/>
        </w:rPr>
        <w:t>Real-world implementations further validate the effectiveness of predictive analytics; for example, a surgical risk assessment model developed by C2-Ai, trained on 500 million patient records, has demonstrated clinical efficacy. Its deployment across Cheshire and Merseyside resulted in a six-fold reduction in surgical complications and a 50% drop in hospital readmissions, and its adoption by Karolinska University Hospital in Sweden illustrates the model’s scalability and cross-context adaptability (Neville, 2025). Parallel innovations have yielded success in condition-specific contexts. According to Gregory (2024)</w:t>
      </w:r>
      <w:r w:rsidRPr="00DC2801">
        <w:rPr>
          <w:i/>
          <w:sz w:val="24"/>
          <w:szCs w:val="24"/>
        </w:rPr>
        <w:t>,</w:t>
      </w:r>
      <w:r w:rsidRPr="00DC2801">
        <w:rPr>
          <w:sz w:val="24"/>
          <w:szCs w:val="24"/>
        </w:rPr>
        <w:t xml:space="preserve"> an algorithm trained on 10 million records by Leeds Teaching Hospitals NHS Trust and the University of Leeds identified previously undiagnosed atrial fibrillation (AF), a significant stroke risk factor, with ongoing real-world trials in West Yorkshire. The </w:t>
      </w:r>
      <w:proofErr w:type="spellStart"/>
      <w:r w:rsidRPr="00DC2801">
        <w:rPr>
          <w:sz w:val="24"/>
          <w:szCs w:val="24"/>
        </w:rPr>
        <w:t>PatWay</w:t>
      </w:r>
      <w:proofErr w:type="spellEnd"/>
      <w:r w:rsidRPr="00DC2801">
        <w:rPr>
          <w:sz w:val="24"/>
          <w:szCs w:val="24"/>
        </w:rPr>
        <w:t xml:space="preserve">-Net model, combined recurrent neural networks and multilayer </w:t>
      </w:r>
      <w:proofErr w:type="spellStart"/>
      <w:r w:rsidRPr="00DC2801">
        <w:rPr>
          <w:sz w:val="24"/>
          <w:szCs w:val="24"/>
        </w:rPr>
        <w:t>perceptrons</w:t>
      </w:r>
      <w:proofErr w:type="spellEnd"/>
      <w:r w:rsidRPr="00DC2801">
        <w:rPr>
          <w:sz w:val="24"/>
          <w:szCs w:val="24"/>
        </w:rPr>
        <w:t xml:space="preserve"> to enhance sepsis-related ICU admission predictions, outperforming decision trees and random forests in both accuracy and interpretability (</w:t>
      </w:r>
      <w:proofErr w:type="spellStart"/>
      <w:r w:rsidRPr="00DC2801">
        <w:rPr>
          <w:sz w:val="24"/>
          <w:szCs w:val="24"/>
        </w:rPr>
        <w:t>Zilker</w:t>
      </w:r>
      <w:proofErr w:type="spellEnd"/>
      <w:r w:rsidRPr="00DC2801">
        <w:rPr>
          <w:sz w:val="24"/>
          <w:szCs w:val="24"/>
        </w:rPr>
        <w:t xml:space="preserve"> et al., 2024) </w:t>
      </w:r>
    </w:p>
    <w:p w14:paraId="27A547B5" w14:textId="77777777" w:rsidR="007C0019" w:rsidRPr="00DC2801" w:rsidRDefault="002431C8">
      <w:pPr>
        <w:spacing w:before="240" w:after="240"/>
        <w:rPr>
          <w:sz w:val="24"/>
          <w:szCs w:val="24"/>
        </w:rPr>
      </w:pPr>
      <w:r w:rsidRPr="00DC2801">
        <w:rPr>
          <w:sz w:val="24"/>
          <w:szCs w:val="24"/>
        </w:rPr>
        <w:t xml:space="preserve">Predictive analytics has also proven viable in low-resource settings; in Karnataka, India, applied ML techniques to data from the national tuberculosis program, achieving a 98% recall rate and an AUC-ROC score of 0.95, demonstrating the global applicability of such models (Nath et al., 2024). Predictive </w:t>
      </w:r>
      <w:proofErr w:type="spellStart"/>
      <w:r w:rsidRPr="00DC2801">
        <w:rPr>
          <w:sz w:val="24"/>
          <w:szCs w:val="24"/>
        </w:rPr>
        <w:t>modeling</w:t>
      </w:r>
      <w:proofErr w:type="spellEnd"/>
      <w:r w:rsidRPr="00DC2801">
        <w:rPr>
          <w:sz w:val="24"/>
          <w:szCs w:val="24"/>
        </w:rPr>
        <w:t xml:space="preserve"> enhances operational outcomes across numerous healthcare dimensions. Hospitals using analytics-based care management report a 28% reduction in readmissions among high-risk patients, a 45% increase in successful early interventions, and a 31% decline in chronic disease complications (Pugh et al., 2021). Notably, ML models trained on over five million records predicted Alzheimer’s disease up to seven years prior to symptom onset with 72% accuracy, offering clinicians a significant window for early care planning (</w:t>
      </w:r>
      <w:proofErr w:type="spellStart"/>
      <w:r w:rsidRPr="00DC2801">
        <w:rPr>
          <w:sz w:val="24"/>
          <w:szCs w:val="24"/>
        </w:rPr>
        <w:t>Cabanillas-Carbonell</w:t>
      </w:r>
      <w:proofErr w:type="spellEnd"/>
      <w:r w:rsidRPr="00DC2801">
        <w:rPr>
          <w:sz w:val="24"/>
          <w:szCs w:val="24"/>
        </w:rPr>
        <w:t xml:space="preserve"> &amp; Zapata-</w:t>
      </w:r>
      <w:proofErr w:type="spellStart"/>
      <w:r w:rsidRPr="00DC2801">
        <w:rPr>
          <w:sz w:val="24"/>
          <w:szCs w:val="24"/>
        </w:rPr>
        <w:t>Paulini</w:t>
      </w:r>
      <w:proofErr w:type="spellEnd"/>
      <w:r w:rsidRPr="00DC2801">
        <w:rPr>
          <w:sz w:val="24"/>
          <w:szCs w:val="24"/>
        </w:rPr>
        <w:t xml:space="preserve">, 2025) </w:t>
      </w:r>
    </w:p>
    <w:p w14:paraId="0ABCB0D1" w14:textId="77777777" w:rsidR="007C0019" w:rsidRPr="00DC2801" w:rsidRDefault="002431C8">
      <w:pPr>
        <w:spacing w:before="240" w:after="240"/>
        <w:rPr>
          <w:sz w:val="24"/>
          <w:szCs w:val="24"/>
        </w:rPr>
      </w:pPr>
      <w:r w:rsidRPr="00DC2801">
        <w:rPr>
          <w:sz w:val="24"/>
          <w:szCs w:val="24"/>
        </w:rPr>
        <w:t xml:space="preserve">Despite these advances, systemic limitations persist. </w:t>
      </w:r>
      <w:proofErr w:type="spellStart"/>
      <w:r w:rsidRPr="00DC2801">
        <w:rPr>
          <w:sz w:val="24"/>
          <w:szCs w:val="24"/>
        </w:rPr>
        <w:t>Maleki</w:t>
      </w:r>
      <w:proofErr w:type="spellEnd"/>
      <w:r w:rsidRPr="00DC2801">
        <w:rPr>
          <w:sz w:val="24"/>
          <w:szCs w:val="24"/>
        </w:rPr>
        <w:t xml:space="preserve"> et al. (2022) argues that the generalizability of many high-performing algorithms is constrained by their reliance on datasets such as MIMIC-III, which predominantly represent Western populations. Consequently, these models may underperform in regions with different epidemiological </w:t>
      </w:r>
      <w:r w:rsidRPr="00DC2801">
        <w:rPr>
          <w:sz w:val="24"/>
          <w:szCs w:val="24"/>
        </w:rPr>
        <w:lastRenderedPageBreak/>
        <w:t>and demographic characteristics, such as Southeast Asia or Sub-Saharan Africa. The opacity of deep learning systems</w:t>
      </w:r>
      <w:r w:rsidR="00DC2801" w:rsidRPr="00DC2801">
        <w:rPr>
          <w:sz w:val="24"/>
          <w:szCs w:val="24"/>
        </w:rPr>
        <w:t xml:space="preserve"> </w:t>
      </w:r>
      <w:r w:rsidRPr="00DC2801">
        <w:rPr>
          <w:sz w:val="24"/>
          <w:szCs w:val="24"/>
        </w:rPr>
        <w:t>often referred to as “black boxes”</w:t>
      </w:r>
      <w:r w:rsidR="00DC2801" w:rsidRPr="00DC2801">
        <w:rPr>
          <w:sz w:val="24"/>
          <w:szCs w:val="24"/>
        </w:rPr>
        <w:t xml:space="preserve"> </w:t>
      </w:r>
      <w:r w:rsidRPr="00DC2801">
        <w:rPr>
          <w:sz w:val="24"/>
          <w:szCs w:val="24"/>
        </w:rPr>
        <w:t>further complicates clinical integration. To mitigate this, frameworks such as SHAP and LIME have emerged to enhance transparency and interpretability (</w:t>
      </w:r>
      <w:proofErr w:type="spellStart"/>
      <w:r w:rsidRPr="00DC2801">
        <w:rPr>
          <w:sz w:val="24"/>
          <w:szCs w:val="24"/>
        </w:rPr>
        <w:t>Kalusivalingam</w:t>
      </w:r>
      <w:proofErr w:type="spellEnd"/>
      <w:r w:rsidRPr="00DC2801">
        <w:rPr>
          <w:sz w:val="24"/>
          <w:szCs w:val="24"/>
        </w:rPr>
        <w:t xml:space="preserve"> et al., 2021).</w:t>
      </w:r>
    </w:p>
    <w:p w14:paraId="03D7EF09" w14:textId="77777777" w:rsidR="007C0019" w:rsidRPr="00DC2801" w:rsidRDefault="002431C8">
      <w:pPr>
        <w:spacing w:before="240" w:after="240"/>
        <w:rPr>
          <w:sz w:val="24"/>
          <w:szCs w:val="24"/>
        </w:rPr>
      </w:pPr>
      <w:r w:rsidRPr="00DC2801">
        <w:rPr>
          <w:sz w:val="24"/>
          <w:szCs w:val="24"/>
        </w:rPr>
        <w:t>Ethical and regulatory challenges further impede adoption. Predictive systems depend on highly sensitive health data, necessitating rigorous compliance with privacy laws such as HIPAA in the U.S. and GDPR in the EU. Federated learning is being explored as a privacy-preserving alternative, allowing decentralized model training without</w:t>
      </w:r>
      <w:r w:rsidR="00814614">
        <w:rPr>
          <w:sz w:val="24"/>
          <w:szCs w:val="24"/>
        </w:rPr>
        <w:t xml:space="preserve"> transferring raw patient data </w:t>
      </w:r>
      <w:r w:rsidRPr="00DC2801">
        <w:rPr>
          <w:sz w:val="24"/>
          <w:szCs w:val="24"/>
        </w:rPr>
        <w:t xml:space="preserve">(Ali et al., 2022). Concurrently, efforts are underway to detect and rectify bias in training data to ensure equitable care delivery across diverse populations. </w:t>
      </w:r>
    </w:p>
    <w:p w14:paraId="0DF9ED16" w14:textId="77777777" w:rsidR="007C0019" w:rsidRPr="00DC2801" w:rsidRDefault="002431C8">
      <w:pPr>
        <w:spacing w:before="240" w:after="240"/>
        <w:rPr>
          <w:sz w:val="24"/>
          <w:szCs w:val="24"/>
        </w:rPr>
      </w:pPr>
      <w:r w:rsidRPr="00DC2801">
        <w:rPr>
          <w:sz w:val="24"/>
          <w:szCs w:val="24"/>
        </w:rPr>
        <w:t xml:space="preserve">Operational integration poses another challenge; issues of EHR interoperability, inadequate clinician training, and infrastructural gaps often limit implementation. Nevertheless, successful precedents exist. According to </w:t>
      </w:r>
      <w:proofErr w:type="spellStart"/>
      <w:r w:rsidRPr="00DC2801">
        <w:rPr>
          <w:sz w:val="24"/>
          <w:szCs w:val="24"/>
        </w:rPr>
        <w:t>Robeznieks</w:t>
      </w:r>
      <w:proofErr w:type="spellEnd"/>
      <w:r w:rsidRPr="00DC2801">
        <w:rPr>
          <w:sz w:val="24"/>
          <w:szCs w:val="24"/>
        </w:rPr>
        <w:t xml:space="preserve"> (2024), Geisinger Health System in the U.S. has embedded AI-driven models into its value-based care delivery, enhancing patient outcomes and reducing costs. The increasing deployment of wearable technologies has also enriched predictive </w:t>
      </w:r>
      <w:proofErr w:type="spellStart"/>
      <w:r w:rsidRPr="00DC2801">
        <w:rPr>
          <w:sz w:val="24"/>
          <w:szCs w:val="24"/>
        </w:rPr>
        <w:t>modeling</w:t>
      </w:r>
      <w:proofErr w:type="spellEnd"/>
      <w:r w:rsidRPr="00DC2801">
        <w:rPr>
          <w:sz w:val="24"/>
          <w:szCs w:val="24"/>
        </w:rPr>
        <w:t>. These devices collect real-time physiological metrics</w:t>
      </w:r>
      <w:r w:rsidR="00DC2801" w:rsidRPr="00DC2801">
        <w:rPr>
          <w:sz w:val="24"/>
          <w:szCs w:val="24"/>
        </w:rPr>
        <w:t xml:space="preserve"> </w:t>
      </w:r>
      <w:r w:rsidRPr="00DC2801">
        <w:rPr>
          <w:sz w:val="24"/>
          <w:szCs w:val="24"/>
        </w:rPr>
        <w:t>such as glucose levels, sleep patterns, and heart rate</w:t>
      </w:r>
      <w:r w:rsidR="00DC2801" w:rsidRPr="00DC2801">
        <w:rPr>
          <w:sz w:val="24"/>
          <w:szCs w:val="24"/>
        </w:rPr>
        <w:t xml:space="preserve"> </w:t>
      </w:r>
      <w:r w:rsidRPr="00DC2801">
        <w:rPr>
          <w:sz w:val="24"/>
          <w:szCs w:val="24"/>
        </w:rPr>
        <w:t>which ML algorithms use to detect early signs of deterioration, allocate resources, and forecast emergency admissions (</w:t>
      </w:r>
      <w:proofErr w:type="spellStart"/>
      <w:r w:rsidRPr="00DC2801">
        <w:rPr>
          <w:sz w:val="24"/>
          <w:szCs w:val="24"/>
        </w:rPr>
        <w:t>Daskalaki</w:t>
      </w:r>
      <w:proofErr w:type="spellEnd"/>
      <w:r w:rsidRPr="00DC2801">
        <w:rPr>
          <w:sz w:val="24"/>
          <w:szCs w:val="24"/>
        </w:rPr>
        <w:t xml:space="preserve"> et al., 2022). Their utility is especially pronounced during periods of systemic stress, such as pandemics.</w:t>
      </w:r>
    </w:p>
    <w:p w14:paraId="48091D0A" w14:textId="77777777" w:rsidR="007C0019" w:rsidRPr="00DC2801" w:rsidRDefault="002431C8">
      <w:pPr>
        <w:spacing w:before="240" w:after="240"/>
        <w:rPr>
          <w:b/>
          <w:color w:val="000000"/>
          <w:sz w:val="24"/>
          <w:szCs w:val="24"/>
        </w:rPr>
      </w:pPr>
      <w:r w:rsidRPr="00DC2801">
        <w:rPr>
          <w:sz w:val="24"/>
          <w:szCs w:val="24"/>
        </w:rPr>
        <w:t>Finally, Roberts et al. (2024) contends that predictive analytics is expanding into public health forecasting and genomics-based personalization of treatment. AI models are now used to predict infectious disease outbreaks and tailor vaccine deployment strategies. In oncology, ML systems are being developed to align pharmacological interventions with patients’ genetic profiles, aiming to reduce treatment costs while increasing therapeutic efficacy (Roberts et al., 2024). Such strategies may lower healthcare expenditures by 50% and improve outcomes by 40% within systems such as the UK's NHS (Owolabi et al., 2024). Through critical evaluation of these emerging trends, this research aims to evaluate the effectiveness of machine learning algorithms in forecasting patient health outcomes through predictive data analysis, and to identify the key factors for enhancing clinical decision-making and healthcare delivery, by achieving the following objectives:</w:t>
      </w:r>
    </w:p>
    <w:p w14:paraId="20ABDD61" w14:textId="77777777" w:rsidR="00814614" w:rsidRDefault="002431C8" w:rsidP="00814614">
      <w:pPr>
        <w:numPr>
          <w:ilvl w:val="0"/>
          <w:numId w:val="2"/>
        </w:numPr>
        <w:spacing w:before="240"/>
        <w:rPr>
          <w:sz w:val="24"/>
          <w:szCs w:val="24"/>
        </w:rPr>
      </w:pPr>
      <w:r w:rsidRPr="00814614">
        <w:rPr>
          <w:sz w:val="24"/>
          <w:szCs w:val="24"/>
        </w:rPr>
        <w:t>Assesses the predictive performance of selected machine learning algorithms in forecasting specific patient health outcomes such as hospital readmission, dis</w:t>
      </w:r>
      <w:r w:rsidR="00814614">
        <w:rPr>
          <w:sz w:val="24"/>
          <w:szCs w:val="24"/>
        </w:rPr>
        <w:t>ease progression, or mortality.</w:t>
      </w:r>
    </w:p>
    <w:p w14:paraId="7C58966B" w14:textId="77777777" w:rsidR="00814614" w:rsidRDefault="002431C8" w:rsidP="00814614">
      <w:pPr>
        <w:numPr>
          <w:ilvl w:val="0"/>
          <w:numId w:val="2"/>
        </w:numPr>
        <w:spacing w:before="240"/>
        <w:rPr>
          <w:sz w:val="24"/>
          <w:szCs w:val="24"/>
        </w:rPr>
      </w:pPr>
      <w:r w:rsidRPr="00814614">
        <w:rPr>
          <w:sz w:val="24"/>
          <w:szCs w:val="24"/>
        </w:rPr>
        <w:t xml:space="preserve">Identifies and analyses the most influential clinical, demographic, and </w:t>
      </w:r>
      <w:proofErr w:type="spellStart"/>
      <w:r w:rsidRPr="00814614">
        <w:rPr>
          <w:sz w:val="24"/>
          <w:szCs w:val="24"/>
        </w:rPr>
        <w:t>behavioral</w:t>
      </w:r>
      <w:proofErr w:type="spellEnd"/>
      <w:r w:rsidRPr="00814614">
        <w:rPr>
          <w:sz w:val="24"/>
          <w:szCs w:val="24"/>
        </w:rPr>
        <w:t xml:space="preserve"> variables that contribute to accu</w:t>
      </w:r>
      <w:r w:rsidR="00814614" w:rsidRPr="00814614">
        <w:rPr>
          <w:sz w:val="24"/>
          <w:szCs w:val="24"/>
        </w:rPr>
        <w:t>rate health outcome prediction.</w:t>
      </w:r>
    </w:p>
    <w:p w14:paraId="6D8F924F" w14:textId="77777777" w:rsidR="00814614" w:rsidRDefault="002431C8" w:rsidP="00814614">
      <w:pPr>
        <w:numPr>
          <w:ilvl w:val="0"/>
          <w:numId w:val="2"/>
        </w:numPr>
        <w:spacing w:before="240" w:after="240"/>
        <w:rPr>
          <w:sz w:val="24"/>
          <w:szCs w:val="24"/>
        </w:rPr>
      </w:pPr>
      <w:r w:rsidRPr="00814614">
        <w:rPr>
          <w:sz w:val="24"/>
          <w:szCs w:val="24"/>
        </w:rPr>
        <w:lastRenderedPageBreak/>
        <w:t>Develops and assesses the predictive performance of an optimized machine learning model for the chosen patient health outcome and compares its performance against baseline models.</w:t>
      </w:r>
    </w:p>
    <w:p w14:paraId="37ECE240" w14:textId="77777777" w:rsidR="007C0019" w:rsidRPr="00814614" w:rsidRDefault="002431C8" w:rsidP="00814614">
      <w:pPr>
        <w:numPr>
          <w:ilvl w:val="0"/>
          <w:numId w:val="2"/>
        </w:numPr>
        <w:spacing w:before="240" w:after="240"/>
        <w:rPr>
          <w:sz w:val="24"/>
          <w:szCs w:val="24"/>
        </w:rPr>
      </w:pPr>
      <w:r w:rsidRPr="00814614">
        <w:rPr>
          <w:sz w:val="24"/>
          <w:szCs w:val="24"/>
        </w:rPr>
        <w:t>Explores the challenges and enabling factors associated with the integration of machine learning-based predictive tools into real-time clinical workflows and electronic health record (EHR) systems.</w:t>
      </w:r>
    </w:p>
    <w:p w14:paraId="15B08D57" w14:textId="77777777" w:rsidR="007C0019" w:rsidRPr="00DC2801" w:rsidRDefault="00DC2801">
      <w:pPr>
        <w:pStyle w:val="Heading2"/>
        <w:keepNext w:val="0"/>
        <w:keepLines w:val="0"/>
        <w:pBdr>
          <w:top w:val="none" w:sz="0" w:space="0" w:color="E3E3E3"/>
          <w:left w:val="none" w:sz="0" w:space="0" w:color="E3E3E3"/>
          <w:bottom w:val="none" w:sz="0" w:space="0" w:color="E3E3E3"/>
          <w:right w:val="none" w:sz="0" w:space="0" w:color="E3E3E3"/>
          <w:between w:val="none" w:sz="0" w:space="0" w:color="E3E3E3"/>
        </w:pBdr>
        <w:shd w:val="clear" w:color="auto" w:fill="FFFFFF"/>
        <w:spacing w:after="80"/>
        <w:jc w:val="both"/>
        <w:rPr>
          <w:rFonts w:eastAsia="Times New Roman"/>
          <w:b/>
          <w:color w:val="0D0D0D"/>
          <w:sz w:val="24"/>
          <w:szCs w:val="24"/>
          <w:highlight w:val="white"/>
        </w:rPr>
      </w:pPr>
      <w:bookmarkStart w:id="1" w:name="_f3zsp671dqq6" w:colFirst="0" w:colLast="0"/>
      <w:bookmarkEnd w:id="1"/>
      <w:r w:rsidRPr="00DC2801">
        <w:rPr>
          <w:rFonts w:eastAsia="Times New Roman"/>
          <w:b/>
          <w:color w:val="0D0D0D"/>
          <w:sz w:val="24"/>
          <w:szCs w:val="24"/>
          <w:highlight w:val="white"/>
        </w:rPr>
        <w:t>2.</w:t>
      </w:r>
      <w:r w:rsidRPr="00DC2801">
        <w:rPr>
          <w:rFonts w:eastAsia="Times New Roman"/>
          <w:b/>
          <w:color w:val="0D0D0D"/>
          <w:sz w:val="24"/>
          <w:szCs w:val="24"/>
          <w:highlight w:val="white"/>
        </w:rPr>
        <w:tab/>
      </w:r>
      <w:r w:rsidR="002431C8" w:rsidRPr="00DC2801">
        <w:rPr>
          <w:rFonts w:eastAsia="Times New Roman"/>
          <w:b/>
          <w:color w:val="0D0D0D"/>
          <w:sz w:val="24"/>
          <w:szCs w:val="24"/>
          <w:highlight w:val="white"/>
        </w:rPr>
        <w:t>Literature Review</w:t>
      </w:r>
    </w:p>
    <w:p w14:paraId="312AFF26" w14:textId="77777777" w:rsidR="007C0019" w:rsidRPr="00DC2801" w:rsidRDefault="002431C8">
      <w:pPr>
        <w:spacing w:before="240" w:after="240"/>
        <w:rPr>
          <w:rFonts w:eastAsia="Times New Roman"/>
          <w:sz w:val="24"/>
          <w:szCs w:val="24"/>
        </w:rPr>
      </w:pPr>
      <w:bookmarkStart w:id="2" w:name="_9m4unsava4u" w:colFirst="0" w:colLast="0"/>
      <w:bookmarkEnd w:id="2"/>
      <w:r w:rsidRPr="00DC2801">
        <w:rPr>
          <w:rFonts w:eastAsia="Times New Roman"/>
          <w:sz w:val="24"/>
          <w:szCs w:val="24"/>
        </w:rPr>
        <w:t xml:space="preserve">Theoretical foundations of predictive </w:t>
      </w:r>
      <w:proofErr w:type="spellStart"/>
      <w:r w:rsidRPr="00DC2801">
        <w:rPr>
          <w:rFonts w:eastAsia="Times New Roman"/>
          <w:sz w:val="24"/>
          <w:szCs w:val="24"/>
        </w:rPr>
        <w:t>modeling</w:t>
      </w:r>
      <w:proofErr w:type="spellEnd"/>
      <w:r w:rsidRPr="00DC2801">
        <w:rPr>
          <w:rFonts w:eastAsia="Times New Roman"/>
          <w:sz w:val="24"/>
          <w:szCs w:val="24"/>
        </w:rPr>
        <w:t xml:space="preserve"> in healthcare have evolved from deterministic rule-based systems to sophisticated data-driven machine learning frameworks (Chai et al., 2024). Traditionally, clinical decision support systems (CDSS) operated on rule-based logic, drawing from expert-crafted if-then statements and established medical guidelines to generate consistent outputs (</w:t>
      </w:r>
      <w:proofErr w:type="spellStart"/>
      <w:r w:rsidRPr="00DC2801">
        <w:rPr>
          <w:rFonts w:eastAsia="Times New Roman"/>
          <w:sz w:val="24"/>
          <w:szCs w:val="24"/>
        </w:rPr>
        <w:t>Zhichao</w:t>
      </w:r>
      <w:proofErr w:type="spellEnd"/>
      <w:r w:rsidRPr="00DC2801">
        <w:rPr>
          <w:rFonts w:eastAsia="Times New Roman"/>
          <w:sz w:val="24"/>
          <w:szCs w:val="24"/>
        </w:rPr>
        <w:t>, 2025; Ajayi et al., 2025). According to Papadopoulos et al. (2022), while these systems provided transparency and standardization, they were inherently limited in their capacity to manage the heterogeneity, high dimensionality, and dynamic progression inherent in modern health data sources such as electronic health records (EHRs), genomic profiles, and continuous monitoring streams. These limitations impede their ability to uncover latent, nonlinear relationships and adapt to evolving clinical patterns.</w:t>
      </w:r>
    </w:p>
    <w:p w14:paraId="598B25A7" w14:textId="77777777" w:rsidR="007C0019" w:rsidRPr="00DC2801" w:rsidRDefault="002431C8">
      <w:pPr>
        <w:spacing w:before="240" w:after="240"/>
        <w:rPr>
          <w:rFonts w:eastAsia="Times New Roman"/>
          <w:sz w:val="24"/>
          <w:szCs w:val="24"/>
        </w:rPr>
      </w:pPr>
      <w:r w:rsidRPr="00DC2801">
        <w:rPr>
          <w:rFonts w:eastAsia="Times New Roman"/>
          <w:sz w:val="24"/>
          <w:szCs w:val="24"/>
        </w:rPr>
        <w:t>Machine learning, particularly supervised learning methodologies, has gained significant traction due to its capacity to learn complex patterns from historical datasets (Rane et al., 2024; Balogun, 2025). These models map clinical input variables</w:t>
      </w:r>
      <w:r w:rsidR="00DC2801" w:rsidRPr="00DC2801">
        <w:rPr>
          <w:rFonts w:eastAsia="Times New Roman"/>
          <w:sz w:val="24"/>
          <w:szCs w:val="24"/>
        </w:rPr>
        <w:t xml:space="preserve"> </w:t>
      </w:r>
      <w:r w:rsidRPr="00DC2801">
        <w:rPr>
          <w:rFonts w:eastAsia="Times New Roman"/>
          <w:sz w:val="24"/>
          <w:szCs w:val="24"/>
        </w:rPr>
        <w:t>ranging from demographic details and laboratory results to comorbid conditions</w:t>
      </w:r>
      <w:r w:rsidR="00DC2801" w:rsidRPr="00DC2801">
        <w:rPr>
          <w:rFonts w:eastAsia="Times New Roman"/>
          <w:sz w:val="24"/>
          <w:szCs w:val="24"/>
        </w:rPr>
        <w:t xml:space="preserve"> </w:t>
      </w:r>
      <w:r w:rsidRPr="00DC2801">
        <w:rPr>
          <w:rFonts w:eastAsia="Times New Roman"/>
          <w:sz w:val="24"/>
          <w:szCs w:val="24"/>
        </w:rPr>
        <w:t xml:space="preserve">onto predictive outputs such as disease progression, hospital readmission, or mortality risk (Duo &amp; </w:t>
      </w:r>
      <w:proofErr w:type="spellStart"/>
      <w:r w:rsidRPr="00DC2801">
        <w:rPr>
          <w:rFonts w:eastAsia="Times New Roman"/>
          <w:sz w:val="24"/>
          <w:szCs w:val="24"/>
        </w:rPr>
        <w:t>Zeshui</w:t>
      </w:r>
      <w:proofErr w:type="spellEnd"/>
      <w:r w:rsidRPr="00DC2801">
        <w:rPr>
          <w:rFonts w:eastAsia="Times New Roman"/>
          <w:sz w:val="24"/>
          <w:szCs w:val="24"/>
        </w:rPr>
        <w:t xml:space="preserve">, 2024; </w:t>
      </w:r>
      <w:proofErr w:type="spellStart"/>
      <w:r w:rsidRPr="00DC2801">
        <w:rPr>
          <w:rFonts w:eastAsia="Times New Roman"/>
          <w:sz w:val="24"/>
          <w:szCs w:val="24"/>
        </w:rPr>
        <w:t>Tiwo</w:t>
      </w:r>
      <w:proofErr w:type="spellEnd"/>
      <w:r w:rsidRPr="00DC2801">
        <w:rPr>
          <w:rFonts w:eastAsia="Times New Roman"/>
          <w:sz w:val="24"/>
          <w:szCs w:val="24"/>
        </w:rPr>
        <w:t xml:space="preserve"> et al., 2025). Algorithms including logistic regression, random forests, support vector machines, and neural networks have demonstrated robust performance across a broad array of clinical contexts (</w:t>
      </w:r>
      <w:proofErr w:type="spellStart"/>
      <w:r w:rsidRPr="00DC2801">
        <w:rPr>
          <w:rFonts w:eastAsia="Times New Roman"/>
          <w:sz w:val="24"/>
          <w:szCs w:val="24"/>
        </w:rPr>
        <w:t>Chaparala</w:t>
      </w:r>
      <w:proofErr w:type="spellEnd"/>
      <w:r w:rsidRPr="00DC2801">
        <w:rPr>
          <w:rFonts w:eastAsia="Times New Roman"/>
          <w:sz w:val="24"/>
          <w:szCs w:val="24"/>
        </w:rPr>
        <w:t xml:space="preserve"> et al., 2025; </w:t>
      </w:r>
      <w:proofErr w:type="spellStart"/>
      <w:r w:rsidRPr="00DC2801">
        <w:rPr>
          <w:rFonts w:eastAsia="Times New Roman"/>
          <w:sz w:val="24"/>
          <w:szCs w:val="24"/>
        </w:rPr>
        <w:t>Salako</w:t>
      </w:r>
      <w:proofErr w:type="spellEnd"/>
      <w:r w:rsidRPr="00DC2801">
        <w:rPr>
          <w:rFonts w:eastAsia="Times New Roman"/>
          <w:sz w:val="24"/>
          <w:szCs w:val="24"/>
        </w:rPr>
        <w:t xml:space="preserve"> et al., 2025). Deep learning architectures, capable of capturing temporal dependencies in longitudinal EHR data, have shown particular promise in early detection of acute pathologies such as sepsis (</w:t>
      </w:r>
      <w:proofErr w:type="spellStart"/>
      <w:r w:rsidRPr="00DC2801">
        <w:rPr>
          <w:rFonts w:eastAsia="Times New Roman"/>
          <w:sz w:val="24"/>
          <w:szCs w:val="24"/>
        </w:rPr>
        <w:t>Xie</w:t>
      </w:r>
      <w:proofErr w:type="spellEnd"/>
      <w:r w:rsidRPr="00DC2801">
        <w:rPr>
          <w:rFonts w:eastAsia="Times New Roman"/>
          <w:sz w:val="24"/>
          <w:szCs w:val="24"/>
        </w:rPr>
        <w:t xml:space="preserve"> et al., 2022; </w:t>
      </w:r>
      <w:proofErr w:type="spellStart"/>
      <w:r w:rsidRPr="00DC2801">
        <w:rPr>
          <w:rFonts w:eastAsia="Times New Roman"/>
          <w:sz w:val="24"/>
          <w:szCs w:val="24"/>
        </w:rPr>
        <w:t>Metibemu</w:t>
      </w:r>
      <w:proofErr w:type="spellEnd"/>
      <w:r w:rsidRPr="00DC2801">
        <w:rPr>
          <w:rFonts w:eastAsia="Times New Roman"/>
          <w:sz w:val="24"/>
          <w:szCs w:val="24"/>
        </w:rPr>
        <w:t xml:space="preserve"> et al., 2025). Nevertheless, their intricate structure often compromises interpretability, a concern that has </w:t>
      </w:r>
      <w:proofErr w:type="spellStart"/>
      <w:r w:rsidRPr="00DC2801">
        <w:rPr>
          <w:rFonts w:eastAsia="Times New Roman"/>
          <w:sz w:val="24"/>
          <w:szCs w:val="24"/>
        </w:rPr>
        <w:t>catalyzed</w:t>
      </w:r>
      <w:proofErr w:type="spellEnd"/>
      <w:r w:rsidRPr="00DC2801">
        <w:rPr>
          <w:rFonts w:eastAsia="Times New Roman"/>
          <w:sz w:val="24"/>
          <w:szCs w:val="24"/>
        </w:rPr>
        <w:t xml:space="preserve"> interest in explainable AI (XAI) techniques designed to enhance transparency while preserving predictive validity (</w:t>
      </w:r>
      <w:proofErr w:type="spellStart"/>
      <w:r w:rsidRPr="00DC2801">
        <w:rPr>
          <w:rFonts w:eastAsia="Times New Roman"/>
          <w:sz w:val="24"/>
          <w:szCs w:val="24"/>
        </w:rPr>
        <w:t>Chamola</w:t>
      </w:r>
      <w:proofErr w:type="spellEnd"/>
      <w:r w:rsidRPr="00DC2801">
        <w:rPr>
          <w:rFonts w:eastAsia="Times New Roman"/>
          <w:sz w:val="24"/>
          <w:szCs w:val="24"/>
        </w:rPr>
        <w:t xml:space="preserve"> et al., 2023; Balogun et al., 2025).</w:t>
      </w:r>
    </w:p>
    <w:p w14:paraId="4A305122" w14:textId="77777777" w:rsidR="007C0019" w:rsidRPr="00DC2801" w:rsidRDefault="002431C8">
      <w:pPr>
        <w:spacing w:before="240" w:after="240"/>
        <w:rPr>
          <w:rFonts w:eastAsia="Roboto"/>
          <w:color w:val="0D0D0D"/>
          <w:sz w:val="24"/>
          <w:szCs w:val="24"/>
          <w:highlight w:val="white"/>
        </w:rPr>
      </w:pPr>
      <w:r w:rsidRPr="00DC2801">
        <w:rPr>
          <w:rFonts w:eastAsia="Times New Roman"/>
          <w:sz w:val="24"/>
          <w:szCs w:val="24"/>
        </w:rPr>
        <w:t>Supervised learning theory emphasizes challenges such as the bias-variance trade-off and the propensity for overfitting, both of which impair model generalization to novel data (</w:t>
      </w:r>
      <w:proofErr w:type="spellStart"/>
      <w:r w:rsidRPr="00DC2801">
        <w:rPr>
          <w:rFonts w:eastAsia="Times New Roman"/>
          <w:sz w:val="24"/>
          <w:szCs w:val="24"/>
        </w:rPr>
        <w:t>Cè</w:t>
      </w:r>
      <w:proofErr w:type="spellEnd"/>
      <w:r w:rsidRPr="00DC2801">
        <w:rPr>
          <w:rFonts w:eastAsia="Times New Roman"/>
          <w:sz w:val="24"/>
          <w:szCs w:val="24"/>
        </w:rPr>
        <w:t xml:space="preserve"> et al., 2024; </w:t>
      </w:r>
      <w:proofErr w:type="spellStart"/>
      <w:r w:rsidRPr="00DC2801">
        <w:rPr>
          <w:rFonts w:eastAsia="Times New Roman"/>
          <w:sz w:val="24"/>
          <w:szCs w:val="24"/>
        </w:rPr>
        <w:t>Alao</w:t>
      </w:r>
      <w:proofErr w:type="spellEnd"/>
      <w:r w:rsidRPr="00DC2801">
        <w:rPr>
          <w:rFonts w:eastAsia="Times New Roman"/>
          <w:sz w:val="24"/>
          <w:szCs w:val="24"/>
        </w:rPr>
        <w:t xml:space="preserve"> et al., 2024). The reliability of these models is also contingent upon the demographic and clinical representativeness of the training data; </w:t>
      </w:r>
      <w:r w:rsidRPr="00DC2801">
        <w:rPr>
          <w:rFonts w:eastAsia="Times New Roman"/>
          <w:sz w:val="24"/>
          <w:szCs w:val="24"/>
        </w:rPr>
        <w:lastRenderedPageBreak/>
        <w:t xml:space="preserve">unrepresentative datasets can inadvertently perpetuate existing inequities. </w:t>
      </w:r>
      <w:proofErr w:type="spellStart"/>
      <w:r w:rsidRPr="00DC2801">
        <w:rPr>
          <w:rFonts w:eastAsia="Times New Roman"/>
          <w:sz w:val="24"/>
          <w:szCs w:val="24"/>
        </w:rPr>
        <w:t>Traversi</w:t>
      </w:r>
      <w:proofErr w:type="spellEnd"/>
      <w:r w:rsidRPr="00DC2801">
        <w:rPr>
          <w:rFonts w:eastAsia="Times New Roman"/>
          <w:sz w:val="24"/>
          <w:szCs w:val="24"/>
        </w:rPr>
        <w:t xml:space="preserve"> et al. (2021) demonstrated how biased input data led to racially skewed outputs in a widely deployed healthcare algorithm. The transition toward precision medicine, value-based care, and population health strategies has amplified the utility of predictive analytics (</w:t>
      </w:r>
      <w:proofErr w:type="spellStart"/>
      <w:r w:rsidRPr="00DC2801">
        <w:rPr>
          <w:rFonts w:eastAsia="Times New Roman"/>
          <w:sz w:val="24"/>
          <w:szCs w:val="24"/>
        </w:rPr>
        <w:t>Traversi</w:t>
      </w:r>
      <w:proofErr w:type="spellEnd"/>
      <w:r w:rsidRPr="00DC2801">
        <w:rPr>
          <w:rFonts w:eastAsia="Times New Roman"/>
          <w:sz w:val="24"/>
          <w:szCs w:val="24"/>
        </w:rPr>
        <w:t xml:space="preserve"> et al., 2021; </w:t>
      </w:r>
      <w:proofErr w:type="spellStart"/>
      <w:r w:rsidRPr="00DC2801">
        <w:rPr>
          <w:rFonts w:eastAsia="Times New Roman"/>
          <w:sz w:val="24"/>
          <w:szCs w:val="24"/>
        </w:rPr>
        <w:t>Kolade</w:t>
      </w:r>
      <w:proofErr w:type="spellEnd"/>
      <w:r w:rsidRPr="00DC2801">
        <w:rPr>
          <w:rFonts w:eastAsia="Times New Roman"/>
          <w:sz w:val="24"/>
          <w:szCs w:val="24"/>
        </w:rPr>
        <w:t xml:space="preserve"> et al., 2025). Precision medicine necessitates integrative models that incorporate genetic, </w:t>
      </w:r>
      <w:proofErr w:type="spellStart"/>
      <w:r w:rsidRPr="00DC2801">
        <w:rPr>
          <w:rFonts w:eastAsia="Times New Roman"/>
          <w:sz w:val="24"/>
          <w:szCs w:val="24"/>
        </w:rPr>
        <w:t>behavioral</w:t>
      </w:r>
      <w:proofErr w:type="spellEnd"/>
      <w:r w:rsidRPr="00DC2801">
        <w:rPr>
          <w:rFonts w:eastAsia="Times New Roman"/>
          <w:sz w:val="24"/>
          <w:szCs w:val="24"/>
        </w:rPr>
        <w:t>, and clinical variables to individualize treatment. Value-based care frameworks depend on predictive systems to prevent adverse events and optimize outcomes, while population health efforts utilize risk stratification to direct interventions efficiently. These paradigms collectively require predictive models that are not only accurate and scalable but also interpretable and ethically aligned.</w:t>
      </w:r>
    </w:p>
    <w:p w14:paraId="3AA55A8C" w14:textId="77777777" w:rsidR="007C0019" w:rsidRPr="00DC2801" w:rsidRDefault="002431C8">
      <w:pPr>
        <w:pStyle w:val="Heading3"/>
        <w:keepNext w:val="0"/>
        <w:keepLines w:val="0"/>
        <w:pBdr>
          <w:top w:val="none" w:sz="0" w:space="0" w:color="E3E3E3"/>
          <w:left w:val="none" w:sz="0" w:space="0" w:color="E3E3E3"/>
          <w:bottom w:val="none" w:sz="0" w:space="0" w:color="E3E3E3"/>
          <w:right w:val="none" w:sz="0" w:space="0" w:color="E3E3E3"/>
          <w:between w:val="none" w:sz="0" w:space="0" w:color="E3E3E3"/>
        </w:pBdr>
        <w:shd w:val="clear" w:color="auto" w:fill="FFFFFF"/>
        <w:spacing w:before="280"/>
        <w:jc w:val="both"/>
        <w:rPr>
          <w:rFonts w:eastAsia="Times New Roman"/>
          <w:color w:val="0D0D0D"/>
          <w:sz w:val="24"/>
          <w:szCs w:val="24"/>
          <w:highlight w:val="white"/>
        </w:rPr>
      </w:pPr>
      <w:bookmarkStart w:id="3" w:name="_t05svstw60x" w:colFirst="0" w:colLast="0"/>
      <w:bookmarkEnd w:id="3"/>
      <w:r w:rsidRPr="00DC2801">
        <w:rPr>
          <w:rFonts w:eastAsia="Times New Roman"/>
          <w:b/>
          <w:color w:val="0D0D0D"/>
          <w:sz w:val="24"/>
          <w:szCs w:val="24"/>
          <w:highlight w:val="white"/>
        </w:rPr>
        <w:t>Machine Learning Algorithms in Health Outcome Prediction</w:t>
      </w:r>
    </w:p>
    <w:p w14:paraId="748F747D" w14:textId="77777777" w:rsidR="007C0019" w:rsidRPr="00DC2801" w:rsidRDefault="002431C8">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jc w:val="both"/>
        <w:rPr>
          <w:rFonts w:eastAsia="Times New Roman"/>
          <w:color w:val="0D0D0D"/>
          <w:sz w:val="24"/>
          <w:szCs w:val="24"/>
          <w:highlight w:val="white"/>
        </w:rPr>
      </w:pPr>
      <w:r w:rsidRPr="00DC2801">
        <w:rPr>
          <w:rFonts w:eastAsia="Times New Roman"/>
          <w:color w:val="0D0D0D"/>
          <w:sz w:val="24"/>
          <w:szCs w:val="24"/>
          <w:highlight w:val="white"/>
        </w:rPr>
        <w:t xml:space="preserve">Machine learning algorithms have become foundational in predicting patient health outcomes, offering diverse trade-offs between interpretability, scalability, and predictive performance (Assis et al., 2024; Balogun et al., 2025). Commonly employed methods include decision trees, random forests, support vector machines (SVMs), gradient boosting techniques such as </w:t>
      </w:r>
      <w:proofErr w:type="spellStart"/>
      <w:r w:rsidRPr="00DC2801">
        <w:rPr>
          <w:rFonts w:eastAsia="Times New Roman"/>
          <w:color w:val="0D0D0D"/>
          <w:sz w:val="24"/>
          <w:szCs w:val="24"/>
          <w:highlight w:val="white"/>
        </w:rPr>
        <w:t>XGBoost</w:t>
      </w:r>
      <w:proofErr w:type="spellEnd"/>
      <w:r w:rsidRPr="00DC2801">
        <w:rPr>
          <w:rFonts w:eastAsia="Times New Roman"/>
          <w:color w:val="0D0D0D"/>
          <w:sz w:val="24"/>
          <w:szCs w:val="24"/>
          <w:highlight w:val="white"/>
        </w:rPr>
        <w:t xml:space="preserve">, and logistic regression (Demir &amp; </w:t>
      </w:r>
      <w:proofErr w:type="spellStart"/>
      <w:r w:rsidRPr="00DC2801">
        <w:rPr>
          <w:rFonts w:eastAsia="Times New Roman"/>
          <w:color w:val="0D0D0D"/>
          <w:sz w:val="24"/>
          <w:szCs w:val="24"/>
          <w:highlight w:val="white"/>
        </w:rPr>
        <w:t>Sahin</w:t>
      </w:r>
      <w:proofErr w:type="spellEnd"/>
      <w:r w:rsidRPr="00DC2801">
        <w:rPr>
          <w:rFonts w:eastAsia="Times New Roman"/>
          <w:color w:val="0D0D0D"/>
          <w:sz w:val="24"/>
          <w:szCs w:val="24"/>
          <w:highlight w:val="white"/>
        </w:rPr>
        <w:t xml:space="preserve">, 2022; </w:t>
      </w:r>
      <w:proofErr w:type="spellStart"/>
      <w:r w:rsidRPr="00DC2801">
        <w:rPr>
          <w:rFonts w:eastAsia="Times New Roman"/>
          <w:color w:val="0D0D0D"/>
          <w:sz w:val="24"/>
          <w:szCs w:val="24"/>
          <w:highlight w:val="white"/>
        </w:rPr>
        <w:t>Tiwo</w:t>
      </w:r>
      <w:proofErr w:type="spellEnd"/>
      <w:r w:rsidRPr="00DC2801">
        <w:rPr>
          <w:rFonts w:eastAsia="Times New Roman"/>
          <w:color w:val="0D0D0D"/>
          <w:sz w:val="24"/>
          <w:szCs w:val="24"/>
          <w:highlight w:val="white"/>
        </w:rPr>
        <w:t xml:space="preserve"> et al., 2025). Decision trees are frequently </w:t>
      </w:r>
      <w:proofErr w:type="spellStart"/>
      <w:r w:rsidRPr="00DC2801">
        <w:rPr>
          <w:rFonts w:eastAsia="Times New Roman"/>
          <w:color w:val="0D0D0D"/>
          <w:sz w:val="24"/>
          <w:szCs w:val="24"/>
          <w:highlight w:val="white"/>
        </w:rPr>
        <w:t>favored</w:t>
      </w:r>
      <w:proofErr w:type="spellEnd"/>
      <w:r w:rsidRPr="00DC2801">
        <w:rPr>
          <w:rFonts w:eastAsia="Times New Roman"/>
          <w:color w:val="0D0D0D"/>
          <w:sz w:val="24"/>
          <w:szCs w:val="24"/>
          <w:highlight w:val="white"/>
        </w:rPr>
        <w:t xml:space="preserve"> for their transparency and ease of use, though they tend to overfit in high-dimensional datasets (</w:t>
      </w:r>
      <w:proofErr w:type="spellStart"/>
      <w:r w:rsidRPr="00DC2801">
        <w:rPr>
          <w:rFonts w:eastAsia="Times New Roman"/>
          <w:color w:val="0D0D0D"/>
          <w:sz w:val="24"/>
          <w:szCs w:val="24"/>
          <w:highlight w:val="white"/>
        </w:rPr>
        <w:t>Kyriazos</w:t>
      </w:r>
      <w:proofErr w:type="spellEnd"/>
      <w:r w:rsidRPr="00DC2801">
        <w:rPr>
          <w:rFonts w:eastAsia="Times New Roman"/>
          <w:color w:val="0D0D0D"/>
          <w:sz w:val="24"/>
          <w:szCs w:val="24"/>
          <w:highlight w:val="white"/>
        </w:rPr>
        <w:t xml:space="preserve"> &amp; </w:t>
      </w:r>
      <w:proofErr w:type="spellStart"/>
      <w:r w:rsidRPr="00DC2801">
        <w:rPr>
          <w:rFonts w:eastAsia="Times New Roman"/>
          <w:color w:val="0D0D0D"/>
          <w:sz w:val="24"/>
          <w:szCs w:val="24"/>
          <w:highlight w:val="white"/>
        </w:rPr>
        <w:t>Poga</w:t>
      </w:r>
      <w:proofErr w:type="spellEnd"/>
      <w:r w:rsidRPr="00DC2801">
        <w:rPr>
          <w:rFonts w:eastAsia="Times New Roman"/>
          <w:color w:val="0D0D0D"/>
          <w:sz w:val="24"/>
          <w:szCs w:val="24"/>
          <w:highlight w:val="white"/>
        </w:rPr>
        <w:t xml:space="preserve">, 2024; </w:t>
      </w:r>
      <w:proofErr w:type="spellStart"/>
      <w:r w:rsidRPr="00DC2801">
        <w:rPr>
          <w:rFonts w:eastAsia="Times New Roman"/>
          <w:color w:val="0D0D0D"/>
          <w:sz w:val="24"/>
          <w:szCs w:val="24"/>
          <w:highlight w:val="white"/>
        </w:rPr>
        <w:t>Oyekunle</w:t>
      </w:r>
      <w:proofErr w:type="spellEnd"/>
      <w:r w:rsidRPr="00DC2801">
        <w:rPr>
          <w:rFonts w:eastAsia="Times New Roman"/>
          <w:color w:val="0D0D0D"/>
          <w:sz w:val="24"/>
          <w:szCs w:val="24"/>
          <w:highlight w:val="white"/>
        </w:rPr>
        <w:t xml:space="preserve"> et al., 2025). Ensemble methods, including random forests and gradient boosting, address this limitation by synthesizing outputs from multiple base learners, thereby enhancing generalization and reducing variance (</w:t>
      </w:r>
      <w:proofErr w:type="spellStart"/>
      <w:r w:rsidRPr="00DC2801">
        <w:rPr>
          <w:rFonts w:eastAsia="Times New Roman"/>
          <w:color w:val="0D0D0D"/>
          <w:sz w:val="24"/>
          <w:szCs w:val="24"/>
          <w:highlight w:val="white"/>
        </w:rPr>
        <w:t>Ganaie</w:t>
      </w:r>
      <w:proofErr w:type="spellEnd"/>
      <w:r w:rsidRPr="00DC2801">
        <w:rPr>
          <w:rFonts w:eastAsia="Times New Roman"/>
          <w:color w:val="0D0D0D"/>
          <w:sz w:val="24"/>
          <w:szCs w:val="24"/>
          <w:highlight w:val="white"/>
        </w:rPr>
        <w:t xml:space="preserve"> et al., 2022; Obioha-Val, 2025). In particular, </w:t>
      </w:r>
      <w:proofErr w:type="spellStart"/>
      <w:r w:rsidRPr="00DC2801">
        <w:rPr>
          <w:rFonts w:eastAsia="Times New Roman"/>
          <w:color w:val="0D0D0D"/>
          <w:sz w:val="24"/>
          <w:szCs w:val="24"/>
          <w:highlight w:val="white"/>
        </w:rPr>
        <w:t>XGBoost</w:t>
      </w:r>
      <w:proofErr w:type="spellEnd"/>
      <w:r w:rsidRPr="00DC2801">
        <w:rPr>
          <w:rFonts w:eastAsia="Times New Roman"/>
          <w:color w:val="0D0D0D"/>
          <w:sz w:val="24"/>
          <w:szCs w:val="24"/>
          <w:highlight w:val="white"/>
        </w:rPr>
        <w:t xml:space="preserve"> has shown strong empirical results, attributed to its scalability, speed, and built-in regularization mechanisms (Dong et al., 2022; </w:t>
      </w:r>
      <w:proofErr w:type="spellStart"/>
      <w:r w:rsidRPr="00DC2801">
        <w:rPr>
          <w:rFonts w:eastAsia="Times New Roman"/>
          <w:color w:val="0D0D0D"/>
          <w:sz w:val="24"/>
          <w:szCs w:val="24"/>
          <w:highlight w:val="white"/>
        </w:rPr>
        <w:t>Olutimehin</w:t>
      </w:r>
      <w:proofErr w:type="spellEnd"/>
      <w:r w:rsidRPr="00DC2801">
        <w:rPr>
          <w:rFonts w:eastAsia="Times New Roman"/>
          <w:color w:val="0D0D0D"/>
          <w:sz w:val="24"/>
          <w:szCs w:val="24"/>
          <w:highlight w:val="white"/>
        </w:rPr>
        <w:t>, 2025). Logistic regression, although constrained by its assumption of linearity, remains a widely adopted model for binary classification due to its simplicity and interpretability.</w:t>
      </w:r>
    </w:p>
    <w:p w14:paraId="3E74D220" w14:textId="77777777" w:rsidR="007C0019" w:rsidRPr="00DC2801" w:rsidRDefault="002431C8">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jc w:val="both"/>
        <w:rPr>
          <w:rFonts w:eastAsia="Times New Roman"/>
          <w:color w:val="0D0D0D"/>
          <w:sz w:val="24"/>
          <w:szCs w:val="24"/>
          <w:highlight w:val="white"/>
        </w:rPr>
      </w:pPr>
      <w:r w:rsidRPr="00DC2801">
        <w:rPr>
          <w:rFonts w:eastAsia="Times New Roman"/>
          <w:color w:val="0D0D0D"/>
          <w:sz w:val="24"/>
          <w:szCs w:val="24"/>
          <w:highlight w:val="white"/>
        </w:rPr>
        <w:t>SVMs have demonstrated robust performance in high-dimensional clinical applications, including binary classification problems such as mortality prediction and sepsis detection, but while these models offer precise decision boundaries, their scalability is often hindered by computational intensity in large-scale datasets (Rao et al., 2024; Obioha-Val et al., 2025). For sequential and multivariate time-series tasks, deep learning architectures</w:t>
      </w:r>
      <w:r w:rsidR="00DC2801" w:rsidRPr="00DC2801">
        <w:rPr>
          <w:rFonts w:eastAsia="Times New Roman"/>
          <w:color w:val="0D0D0D"/>
          <w:sz w:val="24"/>
          <w:szCs w:val="24"/>
          <w:highlight w:val="white"/>
        </w:rPr>
        <w:t xml:space="preserve"> </w:t>
      </w:r>
      <w:r w:rsidRPr="00DC2801">
        <w:rPr>
          <w:rFonts w:eastAsia="Times New Roman"/>
          <w:color w:val="0D0D0D"/>
          <w:sz w:val="24"/>
          <w:szCs w:val="24"/>
          <w:highlight w:val="white"/>
        </w:rPr>
        <w:t>including convolutional neural networks (CNNs), recurrent neural networks (RNNs), and long short-term memory (LSTM) networks</w:t>
      </w:r>
      <w:r w:rsidR="00DC2801" w:rsidRPr="00DC2801">
        <w:rPr>
          <w:rFonts w:eastAsia="Times New Roman"/>
          <w:color w:val="0D0D0D"/>
          <w:sz w:val="24"/>
          <w:szCs w:val="24"/>
          <w:highlight w:val="white"/>
        </w:rPr>
        <w:t xml:space="preserve"> </w:t>
      </w:r>
      <w:r w:rsidRPr="00DC2801">
        <w:rPr>
          <w:rFonts w:eastAsia="Times New Roman"/>
          <w:color w:val="0D0D0D"/>
          <w:sz w:val="24"/>
          <w:szCs w:val="24"/>
          <w:highlight w:val="white"/>
        </w:rPr>
        <w:t>have gained prominence (</w:t>
      </w:r>
      <w:proofErr w:type="spellStart"/>
      <w:r w:rsidRPr="00DC2801">
        <w:rPr>
          <w:rFonts w:eastAsia="Times New Roman"/>
          <w:color w:val="0D0D0D"/>
          <w:sz w:val="24"/>
          <w:szCs w:val="24"/>
          <w:highlight w:val="white"/>
        </w:rPr>
        <w:t>Mienye</w:t>
      </w:r>
      <w:proofErr w:type="spellEnd"/>
      <w:r w:rsidRPr="00DC2801">
        <w:rPr>
          <w:rFonts w:eastAsia="Times New Roman"/>
          <w:color w:val="0D0D0D"/>
          <w:sz w:val="24"/>
          <w:szCs w:val="24"/>
          <w:highlight w:val="white"/>
        </w:rPr>
        <w:t xml:space="preserve"> et al., 2024; Balogun et al., 2025). CNNs are particularly effective in </w:t>
      </w:r>
      <w:proofErr w:type="spellStart"/>
      <w:r w:rsidRPr="00DC2801">
        <w:rPr>
          <w:rFonts w:eastAsia="Times New Roman"/>
          <w:color w:val="0D0D0D"/>
          <w:sz w:val="24"/>
          <w:szCs w:val="24"/>
          <w:highlight w:val="white"/>
        </w:rPr>
        <w:t>analyzing</w:t>
      </w:r>
      <w:proofErr w:type="spellEnd"/>
      <w:r w:rsidRPr="00DC2801">
        <w:rPr>
          <w:rFonts w:eastAsia="Times New Roman"/>
          <w:color w:val="0D0D0D"/>
          <w:sz w:val="24"/>
          <w:szCs w:val="24"/>
          <w:highlight w:val="white"/>
        </w:rPr>
        <w:t xml:space="preserve"> radiological and histopathological images, whereas RNNs and LSTMs are adept at </w:t>
      </w:r>
      <w:proofErr w:type="spellStart"/>
      <w:r w:rsidRPr="00DC2801">
        <w:rPr>
          <w:rFonts w:eastAsia="Times New Roman"/>
          <w:color w:val="0D0D0D"/>
          <w:sz w:val="24"/>
          <w:szCs w:val="24"/>
          <w:highlight w:val="white"/>
        </w:rPr>
        <w:t>modeling</w:t>
      </w:r>
      <w:proofErr w:type="spellEnd"/>
      <w:r w:rsidRPr="00DC2801">
        <w:rPr>
          <w:rFonts w:eastAsia="Times New Roman"/>
          <w:color w:val="0D0D0D"/>
          <w:sz w:val="24"/>
          <w:szCs w:val="24"/>
          <w:highlight w:val="white"/>
        </w:rPr>
        <w:t xml:space="preserve"> temporal dependencies in electronic health records (EHRs), thereby enhancing predictive accuracy in longitudinal health outcomes (Nazir et al., 2024; Salami et al., 2025).</w:t>
      </w:r>
    </w:p>
    <w:p w14:paraId="22ADF310" w14:textId="77777777" w:rsidR="007C0019" w:rsidRPr="00DC2801" w:rsidRDefault="002431C8">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jc w:val="both"/>
        <w:rPr>
          <w:rFonts w:eastAsia="Times New Roman"/>
          <w:color w:val="0D0D0D"/>
          <w:sz w:val="24"/>
          <w:szCs w:val="24"/>
          <w:highlight w:val="white"/>
        </w:rPr>
      </w:pPr>
      <w:r w:rsidRPr="00DC2801">
        <w:rPr>
          <w:rFonts w:eastAsia="Times New Roman"/>
          <w:color w:val="0D0D0D"/>
          <w:sz w:val="24"/>
          <w:szCs w:val="24"/>
          <w:highlight w:val="white"/>
        </w:rPr>
        <w:lastRenderedPageBreak/>
        <w:t xml:space="preserve">Comparative studies utilizing critical care datasets such as MIMIC-III and </w:t>
      </w:r>
      <w:proofErr w:type="spellStart"/>
      <w:r w:rsidRPr="00DC2801">
        <w:rPr>
          <w:rFonts w:eastAsia="Times New Roman"/>
          <w:color w:val="0D0D0D"/>
          <w:sz w:val="24"/>
          <w:szCs w:val="24"/>
          <w:highlight w:val="white"/>
        </w:rPr>
        <w:t>eICU</w:t>
      </w:r>
      <w:proofErr w:type="spellEnd"/>
      <w:r w:rsidRPr="00DC2801">
        <w:rPr>
          <w:rFonts w:eastAsia="Times New Roman"/>
          <w:color w:val="0D0D0D"/>
          <w:sz w:val="24"/>
          <w:szCs w:val="24"/>
          <w:highlight w:val="white"/>
        </w:rPr>
        <w:t xml:space="preserve"> have reinforced the efficacy of these approaches. </w:t>
      </w:r>
      <w:proofErr w:type="spellStart"/>
      <w:r w:rsidRPr="00DC2801">
        <w:rPr>
          <w:rFonts w:eastAsia="Times New Roman"/>
          <w:color w:val="0D0D0D"/>
          <w:sz w:val="24"/>
          <w:szCs w:val="24"/>
          <w:highlight w:val="white"/>
        </w:rPr>
        <w:t>Rahmatinejad</w:t>
      </w:r>
      <w:proofErr w:type="spellEnd"/>
      <w:r w:rsidRPr="00DC2801">
        <w:rPr>
          <w:rFonts w:eastAsia="Times New Roman"/>
          <w:color w:val="0D0D0D"/>
          <w:sz w:val="24"/>
          <w:szCs w:val="24"/>
          <w:highlight w:val="white"/>
        </w:rPr>
        <w:t xml:space="preserve"> et al. (2024) demonstrated that LSTM models surpassed logistic regression and random forests in forecasting in-hospital mortality. Similarly, Liu et al. (2024) found that gradient boosting and deep neural networks achieved superior F1 scores and specificity in predicting 30-day readmissions when unstructured clinical notes were incorporated into the feature space.</w:t>
      </w:r>
    </w:p>
    <w:p w14:paraId="065273B3" w14:textId="77777777" w:rsidR="007C0019" w:rsidRPr="00DC2801" w:rsidRDefault="002431C8">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jc w:val="both"/>
        <w:rPr>
          <w:rFonts w:eastAsia="Times New Roman"/>
          <w:color w:val="0D0D0D"/>
          <w:sz w:val="24"/>
          <w:szCs w:val="24"/>
          <w:highlight w:val="white"/>
        </w:rPr>
      </w:pPr>
      <w:r w:rsidRPr="00DC2801">
        <w:rPr>
          <w:rFonts w:eastAsia="Times New Roman"/>
          <w:color w:val="0D0D0D"/>
          <w:sz w:val="24"/>
          <w:szCs w:val="24"/>
          <w:highlight w:val="white"/>
        </w:rPr>
        <w:t>Despite these advancements, complex models frequently sacrifice interpretability, a characteristic critical for clinical trust and regulatory compliance. The opacity of deep learning systems</w:t>
      </w:r>
      <w:r w:rsidR="00DC2801" w:rsidRPr="00DC2801">
        <w:rPr>
          <w:rFonts w:eastAsia="Times New Roman"/>
          <w:color w:val="0D0D0D"/>
          <w:sz w:val="24"/>
          <w:szCs w:val="24"/>
          <w:highlight w:val="white"/>
        </w:rPr>
        <w:t xml:space="preserve"> </w:t>
      </w:r>
      <w:r w:rsidRPr="00DC2801">
        <w:rPr>
          <w:rFonts w:eastAsia="Times New Roman"/>
          <w:color w:val="0D0D0D"/>
          <w:sz w:val="24"/>
          <w:szCs w:val="24"/>
          <w:highlight w:val="white"/>
        </w:rPr>
        <w:t>the so-called “black box” problem</w:t>
      </w:r>
      <w:r w:rsidR="00DC2801" w:rsidRPr="00DC2801">
        <w:rPr>
          <w:rFonts w:eastAsia="Times New Roman"/>
          <w:color w:val="0D0D0D"/>
          <w:sz w:val="24"/>
          <w:szCs w:val="24"/>
          <w:highlight w:val="white"/>
        </w:rPr>
        <w:t xml:space="preserve"> </w:t>
      </w:r>
      <w:r w:rsidRPr="00DC2801">
        <w:rPr>
          <w:rFonts w:eastAsia="Times New Roman"/>
          <w:color w:val="0D0D0D"/>
          <w:sz w:val="24"/>
          <w:szCs w:val="24"/>
          <w:highlight w:val="white"/>
        </w:rPr>
        <w:t>remains a central obstacle (</w:t>
      </w:r>
      <w:proofErr w:type="spellStart"/>
      <w:r w:rsidRPr="00DC2801">
        <w:rPr>
          <w:rFonts w:eastAsia="Times New Roman"/>
          <w:color w:val="0D0D0D"/>
          <w:sz w:val="24"/>
          <w:szCs w:val="24"/>
          <w:highlight w:val="white"/>
        </w:rPr>
        <w:t>Orobinskaya</w:t>
      </w:r>
      <w:proofErr w:type="spellEnd"/>
      <w:r w:rsidRPr="00DC2801">
        <w:rPr>
          <w:rFonts w:eastAsia="Times New Roman"/>
          <w:color w:val="0D0D0D"/>
          <w:sz w:val="24"/>
          <w:szCs w:val="24"/>
          <w:highlight w:val="white"/>
        </w:rPr>
        <w:t xml:space="preserve"> et al., 2024; </w:t>
      </w:r>
      <w:proofErr w:type="spellStart"/>
      <w:r w:rsidRPr="00DC2801">
        <w:rPr>
          <w:rFonts w:eastAsia="Times New Roman"/>
          <w:color w:val="0D0D0D"/>
          <w:sz w:val="24"/>
          <w:szCs w:val="24"/>
          <w:highlight w:val="white"/>
        </w:rPr>
        <w:t>Olutimehin</w:t>
      </w:r>
      <w:proofErr w:type="spellEnd"/>
      <w:r w:rsidRPr="00DC2801">
        <w:rPr>
          <w:rFonts w:eastAsia="Times New Roman"/>
          <w:color w:val="0D0D0D"/>
          <w:sz w:val="24"/>
          <w:szCs w:val="24"/>
          <w:highlight w:val="white"/>
        </w:rPr>
        <w:t>, 2025). Moreover, the risk of overfitting persists, particularly in scenarios involving imbalanced or limited data. Additionally, high computational costs and prolonged training durations constrain their deployment in low-resource or time-sensitive settings (Xu et al., 2025; Balogun et al., 2025). In response, researchers are increasingly pursuing hybrid frameworks that merge the clarity of interpretable models with the predictive strength of deep architectures to balance usability, transparency, and diagnostic precision (</w:t>
      </w:r>
      <w:proofErr w:type="spellStart"/>
      <w:r w:rsidRPr="00DC2801">
        <w:rPr>
          <w:rFonts w:eastAsia="Times New Roman"/>
          <w:color w:val="0D0D0D"/>
          <w:sz w:val="24"/>
          <w:szCs w:val="24"/>
          <w:highlight w:val="white"/>
        </w:rPr>
        <w:t>Nasarian</w:t>
      </w:r>
      <w:proofErr w:type="spellEnd"/>
      <w:r w:rsidRPr="00DC2801">
        <w:rPr>
          <w:rFonts w:eastAsia="Times New Roman"/>
          <w:color w:val="0D0D0D"/>
          <w:sz w:val="24"/>
          <w:szCs w:val="24"/>
          <w:highlight w:val="white"/>
        </w:rPr>
        <w:t xml:space="preserve"> et al., 2024; </w:t>
      </w:r>
      <w:proofErr w:type="spellStart"/>
      <w:r w:rsidRPr="00DC2801">
        <w:rPr>
          <w:rFonts w:eastAsia="Times New Roman"/>
          <w:color w:val="0D0D0D"/>
          <w:sz w:val="24"/>
          <w:szCs w:val="24"/>
          <w:highlight w:val="white"/>
        </w:rPr>
        <w:t>Ennab</w:t>
      </w:r>
      <w:proofErr w:type="spellEnd"/>
      <w:r w:rsidRPr="00DC2801">
        <w:rPr>
          <w:rFonts w:eastAsia="Times New Roman"/>
          <w:color w:val="0D0D0D"/>
          <w:sz w:val="24"/>
          <w:szCs w:val="24"/>
          <w:highlight w:val="white"/>
        </w:rPr>
        <w:t xml:space="preserve"> &amp; </w:t>
      </w:r>
      <w:proofErr w:type="spellStart"/>
      <w:r w:rsidRPr="00DC2801">
        <w:rPr>
          <w:rFonts w:eastAsia="Times New Roman"/>
          <w:color w:val="0D0D0D"/>
          <w:sz w:val="24"/>
          <w:szCs w:val="24"/>
          <w:highlight w:val="white"/>
        </w:rPr>
        <w:t>Mcheick</w:t>
      </w:r>
      <w:proofErr w:type="spellEnd"/>
      <w:r w:rsidRPr="00DC2801">
        <w:rPr>
          <w:rFonts w:eastAsia="Times New Roman"/>
          <w:color w:val="0D0D0D"/>
          <w:sz w:val="24"/>
          <w:szCs w:val="24"/>
          <w:highlight w:val="white"/>
        </w:rPr>
        <w:t xml:space="preserve">, 2024; </w:t>
      </w:r>
      <w:proofErr w:type="spellStart"/>
      <w:r w:rsidRPr="00DC2801">
        <w:rPr>
          <w:rFonts w:eastAsia="Times New Roman"/>
          <w:color w:val="0D0D0D"/>
          <w:sz w:val="24"/>
          <w:szCs w:val="24"/>
          <w:highlight w:val="white"/>
        </w:rPr>
        <w:t>Olutimehin</w:t>
      </w:r>
      <w:proofErr w:type="spellEnd"/>
      <w:r w:rsidRPr="00DC2801">
        <w:rPr>
          <w:rFonts w:eastAsia="Times New Roman"/>
          <w:color w:val="0D0D0D"/>
          <w:sz w:val="24"/>
          <w:szCs w:val="24"/>
          <w:highlight w:val="white"/>
        </w:rPr>
        <w:t>, 2025).</w:t>
      </w:r>
    </w:p>
    <w:p w14:paraId="242D4710" w14:textId="77777777" w:rsidR="007C0019" w:rsidRPr="00DC2801" w:rsidRDefault="002431C8">
      <w:pPr>
        <w:pStyle w:val="Heading3"/>
        <w:keepNext w:val="0"/>
        <w:keepLines w:val="0"/>
        <w:pBdr>
          <w:top w:val="none" w:sz="0" w:space="0" w:color="E3E3E3"/>
          <w:left w:val="none" w:sz="0" w:space="0" w:color="E3E3E3"/>
          <w:bottom w:val="none" w:sz="0" w:space="0" w:color="E3E3E3"/>
          <w:right w:val="none" w:sz="0" w:space="0" w:color="E3E3E3"/>
          <w:between w:val="none" w:sz="0" w:space="0" w:color="E3E3E3"/>
        </w:pBdr>
        <w:shd w:val="clear" w:color="auto" w:fill="FFFFFF"/>
        <w:spacing w:before="280"/>
        <w:jc w:val="both"/>
        <w:rPr>
          <w:rFonts w:eastAsia="Times New Roman"/>
          <w:color w:val="0D0D0D"/>
          <w:sz w:val="24"/>
          <w:szCs w:val="24"/>
          <w:highlight w:val="white"/>
        </w:rPr>
      </w:pPr>
      <w:bookmarkStart w:id="4" w:name="_gmugui7lq9ce" w:colFirst="0" w:colLast="0"/>
      <w:bookmarkEnd w:id="4"/>
      <w:r w:rsidRPr="00DC2801">
        <w:rPr>
          <w:rFonts w:eastAsia="Times New Roman"/>
          <w:b/>
          <w:color w:val="0D0D0D"/>
          <w:sz w:val="24"/>
          <w:szCs w:val="24"/>
          <w:highlight w:val="white"/>
        </w:rPr>
        <w:t xml:space="preserve">Data Sources and Variable Importance in Predictive Healthcare </w:t>
      </w:r>
      <w:proofErr w:type="spellStart"/>
      <w:r w:rsidRPr="00DC2801">
        <w:rPr>
          <w:rFonts w:eastAsia="Times New Roman"/>
          <w:b/>
          <w:color w:val="0D0D0D"/>
          <w:sz w:val="24"/>
          <w:szCs w:val="24"/>
          <w:highlight w:val="white"/>
        </w:rPr>
        <w:t>Modeling</w:t>
      </w:r>
      <w:proofErr w:type="spellEnd"/>
    </w:p>
    <w:p w14:paraId="780BEAA7" w14:textId="77777777" w:rsidR="007C0019" w:rsidRPr="00DC2801" w:rsidRDefault="002431C8">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jc w:val="both"/>
        <w:rPr>
          <w:rFonts w:eastAsia="Times New Roman"/>
          <w:color w:val="0D0D0D"/>
          <w:sz w:val="24"/>
          <w:szCs w:val="24"/>
          <w:highlight w:val="white"/>
        </w:rPr>
      </w:pPr>
      <w:r w:rsidRPr="00DC2801">
        <w:rPr>
          <w:rFonts w:eastAsia="Times New Roman"/>
          <w:color w:val="0D0D0D"/>
          <w:sz w:val="24"/>
          <w:szCs w:val="24"/>
          <w:highlight w:val="white"/>
        </w:rPr>
        <w:t xml:space="preserve">The predictive efficacy of healthcare </w:t>
      </w:r>
      <w:proofErr w:type="spellStart"/>
      <w:r w:rsidRPr="00DC2801">
        <w:rPr>
          <w:rFonts w:eastAsia="Times New Roman"/>
          <w:color w:val="0D0D0D"/>
          <w:sz w:val="24"/>
          <w:szCs w:val="24"/>
          <w:highlight w:val="white"/>
        </w:rPr>
        <w:t>modeling</w:t>
      </w:r>
      <w:proofErr w:type="spellEnd"/>
      <w:r w:rsidRPr="00DC2801">
        <w:rPr>
          <w:rFonts w:eastAsia="Times New Roman"/>
          <w:color w:val="0D0D0D"/>
          <w:sz w:val="24"/>
          <w:szCs w:val="24"/>
          <w:highlight w:val="white"/>
        </w:rPr>
        <w:t xml:space="preserve"> is intrinsically dependent on the diversity, dimensionality, and quality of input data, which collectively shape the scope, granularity, and reliability of health outcome forecasts. Structured datasets</w:t>
      </w:r>
      <w:r w:rsidR="00DC2801" w:rsidRPr="00DC2801">
        <w:rPr>
          <w:rFonts w:eastAsia="Times New Roman"/>
          <w:color w:val="0D0D0D"/>
          <w:sz w:val="24"/>
          <w:szCs w:val="24"/>
          <w:highlight w:val="white"/>
        </w:rPr>
        <w:t xml:space="preserve"> </w:t>
      </w:r>
      <w:r w:rsidRPr="00DC2801">
        <w:rPr>
          <w:rFonts w:eastAsia="Times New Roman"/>
          <w:color w:val="0D0D0D"/>
          <w:sz w:val="24"/>
          <w:szCs w:val="24"/>
          <w:highlight w:val="white"/>
        </w:rPr>
        <w:t>such as electronic health records (EHRs), laboratory values, diagnostic codes, medication prescriptions, and vital signs</w:t>
      </w:r>
      <w:r w:rsidR="00DC2801" w:rsidRPr="00DC2801">
        <w:rPr>
          <w:rFonts w:eastAsia="Times New Roman"/>
          <w:color w:val="0D0D0D"/>
          <w:sz w:val="24"/>
          <w:szCs w:val="24"/>
          <w:highlight w:val="white"/>
        </w:rPr>
        <w:t xml:space="preserve"> </w:t>
      </w:r>
      <w:r w:rsidRPr="00DC2801">
        <w:rPr>
          <w:rFonts w:eastAsia="Times New Roman"/>
          <w:color w:val="0D0D0D"/>
          <w:sz w:val="24"/>
          <w:szCs w:val="24"/>
          <w:highlight w:val="white"/>
        </w:rPr>
        <w:t xml:space="preserve">form the foundational data sources for model development (Dhingra et al., 2023; Obioha-Val et al., 2025). These data types, due to their standardized format and accessibility, are extensively utilized in predictive models for tasks such as hospital readmission, mortality, and disease progression. </w:t>
      </w:r>
      <w:proofErr w:type="spellStart"/>
      <w:r w:rsidRPr="00DC2801">
        <w:rPr>
          <w:rFonts w:eastAsia="Times New Roman"/>
          <w:color w:val="0D0D0D"/>
          <w:sz w:val="24"/>
          <w:szCs w:val="24"/>
          <w:highlight w:val="white"/>
        </w:rPr>
        <w:t>Hamidou</w:t>
      </w:r>
      <w:proofErr w:type="spellEnd"/>
      <w:r w:rsidRPr="00DC2801">
        <w:rPr>
          <w:rFonts w:eastAsia="Times New Roman"/>
          <w:color w:val="0D0D0D"/>
          <w:sz w:val="24"/>
          <w:szCs w:val="24"/>
          <w:highlight w:val="white"/>
        </w:rPr>
        <w:t xml:space="preserve"> (2024) posits that longitudinal, time-stamped EHRs provide enhanced predictive power by capturing temporal fluctuations in clinical parameters, allowing for more nuanced assessments of patient trajectories over time.</w:t>
      </w:r>
    </w:p>
    <w:p w14:paraId="7C36118F" w14:textId="77777777" w:rsidR="007C0019" w:rsidRPr="00DC2801" w:rsidRDefault="002431C8">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jc w:val="both"/>
        <w:rPr>
          <w:rFonts w:eastAsia="Times New Roman"/>
          <w:color w:val="0D0D0D"/>
          <w:sz w:val="24"/>
          <w:szCs w:val="24"/>
          <w:highlight w:val="white"/>
        </w:rPr>
      </w:pPr>
      <w:r w:rsidRPr="00DC2801">
        <w:rPr>
          <w:rFonts w:eastAsia="Times New Roman"/>
          <w:color w:val="0D0D0D"/>
          <w:sz w:val="24"/>
          <w:szCs w:val="24"/>
          <w:highlight w:val="white"/>
        </w:rPr>
        <w:t>Nonetheless, structured data alone is often insufficient for complex clinical inference, as it lacks contextual information central to decision-making (</w:t>
      </w:r>
      <w:proofErr w:type="spellStart"/>
      <w:r w:rsidRPr="00DC2801">
        <w:rPr>
          <w:rFonts w:eastAsia="Times New Roman"/>
          <w:color w:val="0D0D0D"/>
          <w:sz w:val="24"/>
          <w:szCs w:val="24"/>
          <w:highlight w:val="white"/>
        </w:rPr>
        <w:t>Musen</w:t>
      </w:r>
      <w:proofErr w:type="spellEnd"/>
      <w:r w:rsidRPr="00DC2801">
        <w:rPr>
          <w:rFonts w:eastAsia="Times New Roman"/>
          <w:color w:val="0D0D0D"/>
          <w:sz w:val="24"/>
          <w:szCs w:val="24"/>
          <w:highlight w:val="white"/>
        </w:rPr>
        <w:t xml:space="preserve"> et al., 2021; Obioha-Val et al., 2025). Unstructured data</w:t>
      </w:r>
      <w:r w:rsidR="00DC2801" w:rsidRPr="00DC2801">
        <w:rPr>
          <w:rFonts w:eastAsia="Times New Roman"/>
          <w:color w:val="0D0D0D"/>
          <w:sz w:val="24"/>
          <w:szCs w:val="24"/>
          <w:highlight w:val="white"/>
        </w:rPr>
        <w:t xml:space="preserve"> </w:t>
      </w:r>
      <w:r w:rsidRPr="00DC2801">
        <w:rPr>
          <w:rFonts w:eastAsia="Times New Roman"/>
          <w:color w:val="0D0D0D"/>
          <w:sz w:val="24"/>
          <w:szCs w:val="24"/>
          <w:highlight w:val="white"/>
        </w:rPr>
        <w:t>comprising physician notes, radiological images, and continuous physiological signals from wearable devices</w:t>
      </w:r>
      <w:r w:rsidR="00DC2801" w:rsidRPr="00DC2801">
        <w:rPr>
          <w:rFonts w:eastAsia="Times New Roman"/>
          <w:color w:val="0D0D0D"/>
          <w:sz w:val="24"/>
          <w:szCs w:val="24"/>
          <w:highlight w:val="white"/>
        </w:rPr>
        <w:t xml:space="preserve"> </w:t>
      </w:r>
      <w:r w:rsidRPr="00DC2801">
        <w:rPr>
          <w:rFonts w:eastAsia="Times New Roman"/>
          <w:color w:val="0D0D0D"/>
          <w:sz w:val="24"/>
          <w:szCs w:val="24"/>
          <w:highlight w:val="white"/>
        </w:rPr>
        <w:t xml:space="preserve">has thus emerged as a critical complement (Dhingra et al., 2023; </w:t>
      </w:r>
      <w:proofErr w:type="spellStart"/>
      <w:r w:rsidRPr="00DC2801">
        <w:rPr>
          <w:rFonts w:eastAsia="Times New Roman"/>
          <w:color w:val="0D0D0D"/>
          <w:sz w:val="24"/>
          <w:szCs w:val="24"/>
          <w:highlight w:val="white"/>
        </w:rPr>
        <w:t>Olutimehin</w:t>
      </w:r>
      <w:proofErr w:type="spellEnd"/>
      <w:r w:rsidRPr="00DC2801">
        <w:rPr>
          <w:rFonts w:eastAsia="Times New Roman"/>
          <w:color w:val="0D0D0D"/>
          <w:sz w:val="24"/>
          <w:szCs w:val="24"/>
          <w:highlight w:val="white"/>
        </w:rPr>
        <w:t xml:space="preserve"> et al., 2025). Natural language processing (NLP) techniques enable the extraction of clinically relevant features from textual narratives, revealing latent variables such as symptom descriptions, clinical impressions, and decision rationales (Cai et al., 2023; </w:t>
      </w:r>
      <w:proofErr w:type="spellStart"/>
      <w:r w:rsidRPr="00DC2801">
        <w:rPr>
          <w:rFonts w:eastAsia="Times New Roman"/>
          <w:color w:val="0D0D0D"/>
          <w:sz w:val="24"/>
          <w:szCs w:val="24"/>
          <w:highlight w:val="white"/>
        </w:rPr>
        <w:t>Olutimehin</w:t>
      </w:r>
      <w:proofErr w:type="spellEnd"/>
      <w:r w:rsidRPr="00DC2801">
        <w:rPr>
          <w:rFonts w:eastAsia="Times New Roman"/>
          <w:color w:val="0D0D0D"/>
          <w:sz w:val="24"/>
          <w:szCs w:val="24"/>
          <w:highlight w:val="white"/>
        </w:rPr>
        <w:t xml:space="preserve"> et al., 2025). Convolutional neural </w:t>
      </w:r>
      <w:r w:rsidRPr="00DC2801">
        <w:rPr>
          <w:rFonts w:eastAsia="Times New Roman"/>
          <w:color w:val="0D0D0D"/>
          <w:sz w:val="24"/>
          <w:szCs w:val="24"/>
          <w:highlight w:val="white"/>
        </w:rPr>
        <w:lastRenderedPageBreak/>
        <w:t>networks (CNNs) facilitate the interpretation of imaging data for diagnostic classification in domains including oncology, cardiology, and neurology (</w:t>
      </w:r>
      <w:proofErr w:type="spellStart"/>
      <w:r w:rsidRPr="00DC2801">
        <w:rPr>
          <w:rFonts w:eastAsia="Times New Roman"/>
          <w:color w:val="0D0D0D"/>
          <w:sz w:val="24"/>
          <w:szCs w:val="24"/>
          <w:highlight w:val="white"/>
        </w:rPr>
        <w:t>Durgaraju</w:t>
      </w:r>
      <w:proofErr w:type="spellEnd"/>
      <w:r w:rsidRPr="00DC2801">
        <w:rPr>
          <w:rFonts w:eastAsia="Times New Roman"/>
          <w:color w:val="0D0D0D"/>
          <w:sz w:val="24"/>
          <w:szCs w:val="24"/>
          <w:highlight w:val="white"/>
        </w:rPr>
        <w:t xml:space="preserve"> et al., 2025). Furthermore, wearable sensors continuously record physiological metrics such as heart rate, oxygen saturation, and physical activity, supporting early identification of acute health events and deterioration (Vijayan et al., 2021).</w:t>
      </w:r>
    </w:p>
    <w:p w14:paraId="414C95C2" w14:textId="77777777" w:rsidR="007C0019" w:rsidRPr="00DC2801" w:rsidRDefault="002431C8">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jc w:val="both"/>
        <w:rPr>
          <w:rFonts w:eastAsia="Times New Roman"/>
          <w:color w:val="0D0D0D"/>
          <w:sz w:val="24"/>
          <w:szCs w:val="24"/>
          <w:highlight w:val="white"/>
        </w:rPr>
      </w:pPr>
      <w:r w:rsidRPr="00DC2801">
        <w:rPr>
          <w:rFonts w:eastAsia="Times New Roman"/>
          <w:color w:val="0D0D0D"/>
          <w:sz w:val="24"/>
          <w:szCs w:val="24"/>
          <w:highlight w:val="white"/>
        </w:rPr>
        <w:t>Rajagopalan et al. (2024) emphasizes that expanding beyond biomedical data, the integration of genomic information and social determinants of health (SDOH)</w:t>
      </w:r>
      <w:r w:rsidR="00DC2801" w:rsidRPr="00DC2801">
        <w:rPr>
          <w:rFonts w:eastAsia="Times New Roman"/>
          <w:color w:val="0D0D0D"/>
          <w:sz w:val="24"/>
          <w:szCs w:val="24"/>
          <w:highlight w:val="white"/>
        </w:rPr>
        <w:t xml:space="preserve"> </w:t>
      </w:r>
      <w:r w:rsidRPr="00DC2801">
        <w:rPr>
          <w:rFonts w:eastAsia="Times New Roman"/>
          <w:color w:val="0D0D0D"/>
          <w:sz w:val="24"/>
          <w:szCs w:val="24"/>
          <w:highlight w:val="white"/>
        </w:rPr>
        <w:t>including factors like housing security, education level, and income</w:t>
      </w:r>
      <w:r w:rsidR="00DC2801" w:rsidRPr="00DC2801">
        <w:rPr>
          <w:rFonts w:eastAsia="Times New Roman"/>
          <w:color w:val="0D0D0D"/>
          <w:sz w:val="24"/>
          <w:szCs w:val="24"/>
          <w:highlight w:val="white"/>
        </w:rPr>
        <w:t xml:space="preserve"> </w:t>
      </w:r>
      <w:r w:rsidRPr="00DC2801">
        <w:rPr>
          <w:rFonts w:eastAsia="Times New Roman"/>
          <w:color w:val="0D0D0D"/>
          <w:sz w:val="24"/>
          <w:szCs w:val="24"/>
          <w:highlight w:val="white"/>
        </w:rPr>
        <w:t>enriches risk stratification and supports health equity. Neglecting SDOH in predictive models can reinforce existing disparities, yet their incorporation remains sporadic in practice.</w:t>
      </w:r>
    </w:p>
    <w:p w14:paraId="321A023A" w14:textId="77777777" w:rsidR="007C0019" w:rsidRPr="00DC2801" w:rsidRDefault="002431C8">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jc w:val="both"/>
        <w:rPr>
          <w:rFonts w:eastAsia="Times New Roman"/>
          <w:color w:val="0D0D0D"/>
          <w:sz w:val="24"/>
          <w:szCs w:val="24"/>
          <w:highlight w:val="white"/>
        </w:rPr>
      </w:pPr>
      <w:r w:rsidRPr="00DC2801">
        <w:rPr>
          <w:rFonts w:eastAsia="Times New Roman"/>
          <w:color w:val="0D0D0D"/>
          <w:sz w:val="24"/>
          <w:szCs w:val="24"/>
          <w:highlight w:val="white"/>
        </w:rPr>
        <w:t>Identifying and interpreting influential variables is another critical aspect. Features such as age, previous admissions, comorbidities, and heart rate consistently emerge as significant predictors across clinical conditions. Dimensionality reduction techniques, including principal component analysis (PCA), facilitate the condensation of high-dimensional datasets (</w:t>
      </w:r>
      <w:proofErr w:type="spellStart"/>
      <w:r w:rsidRPr="00DC2801">
        <w:rPr>
          <w:rFonts w:eastAsia="Times New Roman"/>
          <w:color w:val="0D0D0D"/>
          <w:sz w:val="24"/>
          <w:szCs w:val="24"/>
          <w:highlight w:val="white"/>
        </w:rPr>
        <w:t>Khoei</w:t>
      </w:r>
      <w:proofErr w:type="spellEnd"/>
      <w:r w:rsidRPr="00DC2801">
        <w:rPr>
          <w:rFonts w:eastAsia="Times New Roman"/>
          <w:color w:val="0D0D0D"/>
          <w:sz w:val="24"/>
          <w:szCs w:val="24"/>
          <w:highlight w:val="white"/>
        </w:rPr>
        <w:t xml:space="preserve"> &amp; Singh, 2024). Additionally, explainable AI tools like SHAP (</w:t>
      </w:r>
      <w:proofErr w:type="spellStart"/>
      <w:r w:rsidRPr="00DC2801">
        <w:rPr>
          <w:rFonts w:eastAsia="Times New Roman"/>
          <w:color w:val="0D0D0D"/>
          <w:sz w:val="24"/>
          <w:szCs w:val="24"/>
          <w:highlight w:val="white"/>
        </w:rPr>
        <w:t>SHapley</w:t>
      </w:r>
      <w:proofErr w:type="spellEnd"/>
      <w:r w:rsidRPr="00DC2801">
        <w:rPr>
          <w:rFonts w:eastAsia="Times New Roman"/>
          <w:color w:val="0D0D0D"/>
          <w:sz w:val="24"/>
          <w:szCs w:val="24"/>
          <w:highlight w:val="white"/>
        </w:rPr>
        <w:t xml:space="preserve"> Additive </w:t>
      </w:r>
      <w:proofErr w:type="spellStart"/>
      <w:r w:rsidRPr="00DC2801">
        <w:rPr>
          <w:rFonts w:eastAsia="Times New Roman"/>
          <w:color w:val="0D0D0D"/>
          <w:sz w:val="24"/>
          <w:szCs w:val="24"/>
          <w:highlight w:val="white"/>
        </w:rPr>
        <w:t>exPlanations</w:t>
      </w:r>
      <w:proofErr w:type="spellEnd"/>
      <w:r w:rsidRPr="00DC2801">
        <w:rPr>
          <w:rFonts w:eastAsia="Times New Roman"/>
          <w:color w:val="0D0D0D"/>
          <w:sz w:val="24"/>
          <w:szCs w:val="24"/>
          <w:highlight w:val="white"/>
        </w:rPr>
        <w:t xml:space="preserve">) and LIME (Local Interpretable Model-agnostic Explanations) quantify the relative importance of each variable, enhancing model transparency and clinical trust </w:t>
      </w:r>
      <w:r w:rsidRPr="00DC2801">
        <w:rPr>
          <w:sz w:val="24"/>
          <w:szCs w:val="24"/>
        </w:rPr>
        <w:t>(</w:t>
      </w:r>
      <w:proofErr w:type="spellStart"/>
      <w:r w:rsidRPr="00DC2801">
        <w:rPr>
          <w:sz w:val="24"/>
          <w:szCs w:val="24"/>
        </w:rPr>
        <w:t>Kalusivalingam</w:t>
      </w:r>
      <w:proofErr w:type="spellEnd"/>
      <w:r w:rsidRPr="00DC2801">
        <w:rPr>
          <w:sz w:val="24"/>
          <w:szCs w:val="24"/>
        </w:rPr>
        <w:t xml:space="preserve"> et al., 2021)</w:t>
      </w:r>
      <w:r w:rsidRPr="00DC2801">
        <w:rPr>
          <w:rFonts w:eastAsia="Times New Roman"/>
          <w:color w:val="0D0D0D"/>
          <w:sz w:val="24"/>
          <w:szCs w:val="24"/>
          <w:highlight w:val="white"/>
        </w:rPr>
        <w:t xml:space="preserve">. Models such as </w:t>
      </w:r>
      <w:proofErr w:type="spellStart"/>
      <w:r w:rsidRPr="00DC2801">
        <w:rPr>
          <w:rFonts w:eastAsia="Times New Roman"/>
          <w:color w:val="0D0D0D"/>
          <w:sz w:val="24"/>
          <w:szCs w:val="24"/>
          <w:highlight w:val="white"/>
        </w:rPr>
        <w:t>FaceAge</w:t>
      </w:r>
      <w:proofErr w:type="spellEnd"/>
      <w:r w:rsidRPr="00DC2801">
        <w:rPr>
          <w:rFonts w:eastAsia="Times New Roman"/>
          <w:color w:val="0D0D0D"/>
          <w:sz w:val="24"/>
          <w:szCs w:val="24"/>
          <w:highlight w:val="white"/>
        </w:rPr>
        <w:t xml:space="preserve">, </w:t>
      </w:r>
      <w:proofErr w:type="spellStart"/>
      <w:r w:rsidRPr="00DC2801">
        <w:rPr>
          <w:rFonts w:eastAsia="Times New Roman"/>
          <w:color w:val="0D0D0D"/>
          <w:sz w:val="24"/>
          <w:szCs w:val="24"/>
          <w:highlight w:val="white"/>
        </w:rPr>
        <w:t>PatWay</w:t>
      </w:r>
      <w:proofErr w:type="spellEnd"/>
      <w:r w:rsidRPr="00DC2801">
        <w:rPr>
          <w:rFonts w:eastAsia="Times New Roman"/>
          <w:color w:val="0D0D0D"/>
          <w:sz w:val="24"/>
          <w:szCs w:val="24"/>
          <w:highlight w:val="white"/>
        </w:rPr>
        <w:t xml:space="preserve">-Net, and the Leeds AF detection system have employed these techniques to elucidate the contribution of individual features to prediction outputs. As data modalities continue to diversify, the integration of structured, unstructured, and </w:t>
      </w:r>
      <w:proofErr w:type="spellStart"/>
      <w:r w:rsidRPr="00DC2801">
        <w:rPr>
          <w:rFonts w:eastAsia="Times New Roman"/>
          <w:color w:val="0D0D0D"/>
          <w:sz w:val="24"/>
          <w:szCs w:val="24"/>
          <w:highlight w:val="white"/>
        </w:rPr>
        <w:t>behavioral</w:t>
      </w:r>
      <w:proofErr w:type="spellEnd"/>
      <w:r w:rsidRPr="00DC2801">
        <w:rPr>
          <w:rFonts w:eastAsia="Times New Roman"/>
          <w:color w:val="0D0D0D"/>
          <w:sz w:val="24"/>
          <w:szCs w:val="24"/>
          <w:highlight w:val="white"/>
        </w:rPr>
        <w:t xml:space="preserve"> data sources will be vital to improve both accuracy and interpretability in future predictive frameworks.</w:t>
      </w:r>
    </w:p>
    <w:p w14:paraId="2AD4413D" w14:textId="77777777" w:rsidR="007C0019" w:rsidRPr="00DC2801" w:rsidRDefault="002431C8">
      <w:pPr>
        <w:pStyle w:val="Heading3"/>
        <w:keepNext w:val="0"/>
        <w:keepLines w:val="0"/>
        <w:pBdr>
          <w:top w:val="none" w:sz="0" w:space="0" w:color="E3E3E3"/>
          <w:left w:val="none" w:sz="0" w:space="0" w:color="E3E3E3"/>
          <w:bottom w:val="none" w:sz="0" w:space="0" w:color="E3E3E3"/>
          <w:right w:val="none" w:sz="0" w:space="0" w:color="E3E3E3"/>
          <w:between w:val="none" w:sz="0" w:space="0" w:color="E3E3E3"/>
        </w:pBdr>
        <w:shd w:val="clear" w:color="auto" w:fill="FFFFFF"/>
        <w:spacing w:before="280"/>
        <w:jc w:val="both"/>
        <w:rPr>
          <w:rFonts w:eastAsia="Times New Roman"/>
          <w:color w:val="0D0D0D"/>
          <w:sz w:val="24"/>
          <w:szCs w:val="24"/>
          <w:highlight w:val="white"/>
        </w:rPr>
      </w:pPr>
      <w:bookmarkStart w:id="5" w:name="_1b204c8is3c" w:colFirst="0" w:colLast="0"/>
      <w:bookmarkEnd w:id="5"/>
      <w:r w:rsidRPr="00DC2801">
        <w:rPr>
          <w:rFonts w:eastAsia="Times New Roman"/>
          <w:b/>
          <w:color w:val="0D0D0D"/>
          <w:sz w:val="24"/>
          <w:szCs w:val="24"/>
          <w:highlight w:val="white"/>
        </w:rPr>
        <w:t>Model Interpretability and Explainable AI (XAI) in Healthcare</w:t>
      </w:r>
    </w:p>
    <w:p w14:paraId="2BD796A8" w14:textId="77777777" w:rsidR="007C0019" w:rsidRPr="00DC2801" w:rsidRDefault="002431C8">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jc w:val="both"/>
        <w:rPr>
          <w:rFonts w:eastAsia="Times New Roman"/>
          <w:color w:val="0D0D0D"/>
          <w:sz w:val="24"/>
          <w:szCs w:val="24"/>
          <w:highlight w:val="white"/>
        </w:rPr>
      </w:pPr>
      <w:r w:rsidRPr="00DC2801">
        <w:rPr>
          <w:rFonts w:eastAsia="Times New Roman"/>
          <w:color w:val="0D0D0D"/>
          <w:sz w:val="24"/>
          <w:szCs w:val="24"/>
          <w:highlight w:val="white"/>
        </w:rPr>
        <w:t xml:space="preserve">Model interpretability constitutes a fundamental prerequisite for the successful integration of predictive analytics into clinical settings, where decisions carry profound implications for patient safety, ethical responsibility, and institutional accountability. Unlike domains in which predictive accuracy alone may suffice, medical applications demand transparent and intelligible outputs that clinicians can scrutinize and validate. According to </w:t>
      </w:r>
      <w:proofErr w:type="spellStart"/>
      <w:r w:rsidRPr="00DC2801">
        <w:rPr>
          <w:rFonts w:eastAsia="Times New Roman"/>
          <w:color w:val="0D0D0D"/>
          <w:sz w:val="24"/>
          <w:szCs w:val="24"/>
          <w:highlight w:val="white"/>
        </w:rPr>
        <w:t>Nasarian</w:t>
      </w:r>
      <w:proofErr w:type="spellEnd"/>
      <w:r w:rsidRPr="00DC2801">
        <w:rPr>
          <w:rFonts w:eastAsia="Times New Roman"/>
          <w:color w:val="0D0D0D"/>
          <w:sz w:val="24"/>
          <w:szCs w:val="24"/>
          <w:highlight w:val="white"/>
        </w:rPr>
        <w:t xml:space="preserve"> et al. (2024), interpretability serves not only as a validation tool but also as a critical communication interface between data scientists and healthcare practitioners. Clinicians are unlikely to adopt algorithmic recommendations without a clear and contextually grounded rationale (Vijayakumar et al., 2023). This necessity has </w:t>
      </w:r>
      <w:proofErr w:type="spellStart"/>
      <w:r w:rsidRPr="00DC2801">
        <w:rPr>
          <w:rFonts w:eastAsia="Times New Roman"/>
          <w:color w:val="0D0D0D"/>
          <w:sz w:val="24"/>
          <w:szCs w:val="24"/>
          <w:highlight w:val="white"/>
        </w:rPr>
        <w:t>catalyzed</w:t>
      </w:r>
      <w:proofErr w:type="spellEnd"/>
      <w:r w:rsidRPr="00DC2801">
        <w:rPr>
          <w:rFonts w:eastAsia="Times New Roman"/>
          <w:color w:val="0D0D0D"/>
          <w:sz w:val="24"/>
          <w:szCs w:val="24"/>
          <w:highlight w:val="white"/>
        </w:rPr>
        <w:t xml:space="preserve"> the development of explainable artificial intelligence (XAI), a subfield focused on rendering complex models comprehensible without sacrificing predictive performance.</w:t>
      </w:r>
    </w:p>
    <w:p w14:paraId="08BB682D" w14:textId="77777777" w:rsidR="007C0019" w:rsidRPr="00DC2801" w:rsidRDefault="002431C8">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jc w:val="both"/>
        <w:rPr>
          <w:rFonts w:eastAsia="Times New Roman"/>
          <w:color w:val="0D0D0D"/>
          <w:sz w:val="24"/>
          <w:szCs w:val="24"/>
          <w:highlight w:val="white"/>
        </w:rPr>
      </w:pPr>
      <w:r w:rsidRPr="00DC2801">
        <w:rPr>
          <w:rFonts w:eastAsia="Times New Roman"/>
          <w:color w:val="0D0D0D"/>
          <w:sz w:val="24"/>
          <w:szCs w:val="24"/>
          <w:highlight w:val="white"/>
        </w:rPr>
        <w:t>Two of the most prevalent XAI tools</w:t>
      </w:r>
      <w:r w:rsidR="00DC2801" w:rsidRPr="00DC2801">
        <w:rPr>
          <w:rFonts w:eastAsia="Times New Roman"/>
          <w:color w:val="0D0D0D"/>
          <w:sz w:val="24"/>
          <w:szCs w:val="24"/>
          <w:highlight w:val="white"/>
        </w:rPr>
        <w:t xml:space="preserve"> </w:t>
      </w:r>
      <w:proofErr w:type="spellStart"/>
      <w:r w:rsidRPr="00DC2801">
        <w:rPr>
          <w:rFonts w:eastAsia="Times New Roman"/>
          <w:color w:val="0D0D0D"/>
          <w:sz w:val="24"/>
          <w:szCs w:val="24"/>
          <w:highlight w:val="white"/>
        </w:rPr>
        <w:t>SHapley</w:t>
      </w:r>
      <w:proofErr w:type="spellEnd"/>
      <w:r w:rsidRPr="00DC2801">
        <w:rPr>
          <w:rFonts w:eastAsia="Times New Roman"/>
          <w:color w:val="0D0D0D"/>
          <w:sz w:val="24"/>
          <w:szCs w:val="24"/>
          <w:highlight w:val="white"/>
        </w:rPr>
        <w:t xml:space="preserve"> Additive </w:t>
      </w:r>
      <w:proofErr w:type="spellStart"/>
      <w:r w:rsidRPr="00DC2801">
        <w:rPr>
          <w:rFonts w:eastAsia="Times New Roman"/>
          <w:color w:val="0D0D0D"/>
          <w:sz w:val="24"/>
          <w:szCs w:val="24"/>
          <w:highlight w:val="white"/>
        </w:rPr>
        <w:t>exPlanations</w:t>
      </w:r>
      <w:proofErr w:type="spellEnd"/>
      <w:r w:rsidRPr="00DC2801">
        <w:rPr>
          <w:rFonts w:eastAsia="Times New Roman"/>
          <w:color w:val="0D0D0D"/>
          <w:sz w:val="24"/>
          <w:szCs w:val="24"/>
          <w:highlight w:val="white"/>
        </w:rPr>
        <w:t xml:space="preserve"> (SHAP) and Local Interpretable Model-agnostic Explanations (LIME)</w:t>
      </w:r>
      <w:r w:rsidR="00DC2801" w:rsidRPr="00DC2801">
        <w:rPr>
          <w:rFonts w:eastAsia="Times New Roman"/>
          <w:color w:val="0D0D0D"/>
          <w:sz w:val="24"/>
          <w:szCs w:val="24"/>
          <w:highlight w:val="white"/>
        </w:rPr>
        <w:t xml:space="preserve"> </w:t>
      </w:r>
      <w:r w:rsidRPr="00DC2801">
        <w:rPr>
          <w:rFonts w:eastAsia="Times New Roman"/>
          <w:color w:val="0D0D0D"/>
          <w:sz w:val="24"/>
          <w:szCs w:val="24"/>
          <w:highlight w:val="white"/>
        </w:rPr>
        <w:t xml:space="preserve">have been extensively employed to </w:t>
      </w:r>
      <w:r w:rsidRPr="00DC2801">
        <w:rPr>
          <w:rFonts w:eastAsia="Times New Roman"/>
          <w:color w:val="0D0D0D"/>
          <w:sz w:val="24"/>
          <w:szCs w:val="24"/>
          <w:highlight w:val="white"/>
        </w:rPr>
        <w:lastRenderedPageBreak/>
        <w:t xml:space="preserve">interpret model </w:t>
      </w:r>
      <w:proofErr w:type="spellStart"/>
      <w:r w:rsidRPr="00DC2801">
        <w:rPr>
          <w:rFonts w:eastAsia="Times New Roman"/>
          <w:color w:val="0D0D0D"/>
          <w:sz w:val="24"/>
          <w:szCs w:val="24"/>
          <w:highlight w:val="white"/>
        </w:rPr>
        <w:t>behavior</w:t>
      </w:r>
      <w:proofErr w:type="spellEnd"/>
      <w:r w:rsidRPr="00DC2801">
        <w:rPr>
          <w:rFonts w:eastAsia="Times New Roman"/>
          <w:color w:val="0D0D0D"/>
          <w:sz w:val="24"/>
          <w:szCs w:val="24"/>
          <w:highlight w:val="white"/>
        </w:rPr>
        <w:t xml:space="preserve">. SHAP, grounded in cooperative game theory, attributes significance scores to individual input variables and is </w:t>
      </w:r>
      <w:proofErr w:type="spellStart"/>
      <w:r w:rsidRPr="00DC2801">
        <w:rPr>
          <w:rFonts w:eastAsia="Times New Roman"/>
          <w:color w:val="0D0D0D"/>
          <w:sz w:val="24"/>
          <w:szCs w:val="24"/>
          <w:highlight w:val="white"/>
        </w:rPr>
        <w:t>favored</w:t>
      </w:r>
      <w:proofErr w:type="spellEnd"/>
      <w:r w:rsidRPr="00DC2801">
        <w:rPr>
          <w:rFonts w:eastAsia="Times New Roman"/>
          <w:color w:val="0D0D0D"/>
          <w:sz w:val="24"/>
          <w:szCs w:val="24"/>
          <w:highlight w:val="white"/>
        </w:rPr>
        <w:t xml:space="preserve"> for its consistency and theoretical soundness </w:t>
      </w:r>
      <w:r w:rsidRPr="00DC2801">
        <w:rPr>
          <w:sz w:val="24"/>
          <w:szCs w:val="24"/>
        </w:rPr>
        <w:t>(</w:t>
      </w:r>
      <w:proofErr w:type="spellStart"/>
      <w:r w:rsidRPr="00DC2801">
        <w:rPr>
          <w:sz w:val="24"/>
          <w:szCs w:val="24"/>
        </w:rPr>
        <w:t>Kalusivalingam</w:t>
      </w:r>
      <w:proofErr w:type="spellEnd"/>
      <w:r w:rsidRPr="00DC2801">
        <w:rPr>
          <w:sz w:val="24"/>
          <w:szCs w:val="24"/>
        </w:rPr>
        <w:t xml:space="preserve"> et al., 2021)</w:t>
      </w:r>
      <w:r w:rsidRPr="00DC2801">
        <w:rPr>
          <w:rFonts w:eastAsia="Times New Roman"/>
          <w:color w:val="0D0D0D"/>
          <w:sz w:val="24"/>
          <w:szCs w:val="24"/>
          <w:highlight w:val="white"/>
        </w:rPr>
        <w:t xml:space="preserve">. </w:t>
      </w:r>
      <w:proofErr w:type="spellStart"/>
      <w:r w:rsidRPr="00DC2801">
        <w:rPr>
          <w:sz w:val="24"/>
          <w:szCs w:val="24"/>
        </w:rPr>
        <w:t>Maleki</w:t>
      </w:r>
      <w:proofErr w:type="spellEnd"/>
      <w:r w:rsidRPr="00DC2801">
        <w:rPr>
          <w:sz w:val="24"/>
          <w:szCs w:val="24"/>
        </w:rPr>
        <w:t xml:space="preserve"> et al. (2022)</w:t>
      </w:r>
      <w:r w:rsidRPr="00DC2801">
        <w:rPr>
          <w:rFonts w:eastAsia="Times New Roman"/>
          <w:color w:val="0D0D0D"/>
          <w:sz w:val="24"/>
          <w:szCs w:val="24"/>
          <w:highlight w:val="white"/>
        </w:rPr>
        <w:t xml:space="preserve"> notes that in mortality prediction tasks using MIMIC-III datasets, SHAP identified lactate levels, patient age, and systolic blood pressure as the most influential predictors, thereby enhancing clinical transparency. LIME operates by approximating complex models with interpretable local surrogates, offering case-specific visual explanations that aid clinicians in understanding individual predictions. Both frameworks maintain compatibility with black-box models, thus supporting interpretability without necessitating model redesign.</w:t>
      </w:r>
    </w:p>
    <w:p w14:paraId="18984238" w14:textId="77777777" w:rsidR="007C0019" w:rsidRPr="00DC2801" w:rsidRDefault="002431C8">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jc w:val="both"/>
        <w:rPr>
          <w:rFonts w:eastAsia="Times New Roman"/>
          <w:color w:val="0D0D0D"/>
          <w:sz w:val="24"/>
          <w:szCs w:val="24"/>
          <w:highlight w:val="white"/>
        </w:rPr>
      </w:pPr>
      <w:r w:rsidRPr="00DC2801">
        <w:rPr>
          <w:rFonts w:eastAsia="Times New Roman"/>
          <w:color w:val="0D0D0D"/>
          <w:sz w:val="24"/>
          <w:szCs w:val="24"/>
          <w:highlight w:val="white"/>
        </w:rPr>
        <w:t>In deep learning applications, attention mechanisms have emerged as critical tools for elucidating which features or temporal segments of the input data contribute most substantially to predictive outputs. Zhang et al. (2024) posits that such mechanisms enable models to isolate clinically relevant events</w:t>
      </w:r>
      <w:r w:rsidR="00DC2801" w:rsidRPr="00DC2801">
        <w:rPr>
          <w:rFonts w:eastAsia="Times New Roman"/>
          <w:color w:val="0D0D0D"/>
          <w:sz w:val="24"/>
          <w:szCs w:val="24"/>
          <w:highlight w:val="white"/>
        </w:rPr>
        <w:t xml:space="preserve"> </w:t>
      </w:r>
      <w:r w:rsidRPr="00DC2801">
        <w:rPr>
          <w:rFonts w:eastAsia="Times New Roman"/>
          <w:color w:val="0D0D0D"/>
          <w:sz w:val="24"/>
          <w:szCs w:val="24"/>
          <w:highlight w:val="white"/>
        </w:rPr>
        <w:t>for example, hospitalization episodes linked to heart failure risk</w:t>
      </w:r>
      <w:r w:rsidR="00DC2801" w:rsidRPr="00DC2801">
        <w:rPr>
          <w:rFonts w:eastAsia="Times New Roman"/>
          <w:color w:val="0D0D0D"/>
          <w:sz w:val="24"/>
          <w:szCs w:val="24"/>
          <w:highlight w:val="white"/>
        </w:rPr>
        <w:t xml:space="preserve"> </w:t>
      </w:r>
      <w:r w:rsidRPr="00DC2801">
        <w:rPr>
          <w:rFonts w:eastAsia="Times New Roman"/>
          <w:color w:val="0D0D0D"/>
          <w:sz w:val="24"/>
          <w:szCs w:val="24"/>
          <w:highlight w:val="white"/>
        </w:rPr>
        <w:t xml:space="preserve">thereby providing an added layer of interpretability in sequential tasks. Additional methods such as decision rule extraction translate complex model </w:t>
      </w:r>
      <w:proofErr w:type="spellStart"/>
      <w:r w:rsidRPr="00DC2801">
        <w:rPr>
          <w:rFonts w:eastAsia="Times New Roman"/>
          <w:color w:val="0D0D0D"/>
          <w:sz w:val="24"/>
          <w:szCs w:val="24"/>
          <w:highlight w:val="white"/>
        </w:rPr>
        <w:t>behavior</w:t>
      </w:r>
      <w:proofErr w:type="spellEnd"/>
      <w:r w:rsidRPr="00DC2801">
        <w:rPr>
          <w:rFonts w:eastAsia="Times New Roman"/>
          <w:color w:val="0D0D0D"/>
          <w:sz w:val="24"/>
          <w:szCs w:val="24"/>
          <w:highlight w:val="white"/>
        </w:rPr>
        <w:t xml:space="preserve"> into simplified “if-then” logic, making them more accessible for clinical auditing.</w:t>
      </w:r>
    </w:p>
    <w:p w14:paraId="243116D7" w14:textId="77777777" w:rsidR="007C0019" w:rsidRPr="00DC2801" w:rsidRDefault="002431C8">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jc w:val="both"/>
        <w:rPr>
          <w:rFonts w:eastAsia="Times New Roman"/>
          <w:color w:val="0D0D0D"/>
          <w:sz w:val="24"/>
          <w:szCs w:val="24"/>
          <w:highlight w:val="white"/>
        </w:rPr>
      </w:pPr>
      <w:r w:rsidRPr="00DC2801">
        <w:rPr>
          <w:rFonts w:eastAsia="Times New Roman"/>
          <w:color w:val="0D0D0D"/>
          <w:sz w:val="24"/>
          <w:szCs w:val="24"/>
          <w:highlight w:val="white"/>
        </w:rPr>
        <w:t xml:space="preserve">Empirical implementations affirm the significance of interpretability in fostering clinical trust. For instance, the </w:t>
      </w:r>
      <w:proofErr w:type="spellStart"/>
      <w:r w:rsidRPr="00DC2801">
        <w:rPr>
          <w:rFonts w:eastAsia="Times New Roman"/>
          <w:color w:val="0D0D0D"/>
          <w:sz w:val="24"/>
          <w:szCs w:val="24"/>
          <w:highlight w:val="white"/>
        </w:rPr>
        <w:t>FaceAge</w:t>
      </w:r>
      <w:proofErr w:type="spellEnd"/>
      <w:r w:rsidRPr="00DC2801">
        <w:rPr>
          <w:rFonts w:eastAsia="Times New Roman"/>
          <w:color w:val="0D0D0D"/>
          <w:sz w:val="24"/>
          <w:szCs w:val="24"/>
          <w:highlight w:val="white"/>
        </w:rPr>
        <w:t xml:space="preserve"> model employed SHAP to identify specific facial characteristics correlated with biological aging, increasing radiologist confidence in prognostic outcomes (</w:t>
      </w:r>
      <w:proofErr w:type="spellStart"/>
      <w:r w:rsidRPr="00DC2801">
        <w:rPr>
          <w:rFonts w:eastAsia="Times New Roman"/>
          <w:color w:val="0D0D0D"/>
          <w:sz w:val="24"/>
          <w:szCs w:val="24"/>
          <w:highlight w:val="white"/>
        </w:rPr>
        <w:t>Bontempi</w:t>
      </w:r>
      <w:proofErr w:type="spellEnd"/>
      <w:r w:rsidRPr="00DC2801">
        <w:rPr>
          <w:rFonts w:eastAsia="Times New Roman"/>
          <w:color w:val="0D0D0D"/>
          <w:sz w:val="24"/>
          <w:szCs w:val="24"/>
          <w:highlight w:val="white"/>
        </w:rPr>
        <w:t xml:space="preserve"> et al., 2025). Similarly, the University of </w:t>
      </w:r>
      <w:proofErr w:type="spellStart"/>
      <w:r w:rsidRPr="00DC2801">
        <w:rPr>
          <w:rFonts w:eastAsia="Times New Roman"/>
          <w:color w:val="0D0D0D"/>
          <w:sz w:val="24"/>
          <w:szCs w:val="24"/>
          <w:highlight w:val="white"/>
        </w:rPr>
        <w:t>Leeds’</w:t>
      </w:r>
      <w:proofErr w:type="spellEnd"/>
      <w:r w:rsidRPr="00DC2801">
        <w:rPr>
          <w:rFonts w:eastAsia="Times New Roman"/>
          <w:color w:val="0D0D0D"/>
          <w:sz w:val="24"/>
          <w:szCs w:val="24"/>
          <w:highlight w:val="white"/>
        </w:rPr>
        <w:t xml:space="preserve"> atrial fibrillation detection model gained traction partly due to its transparent linkage of output to demographic and clinical variables (University of Leeds, 2025). These cases illustrate that model </w:t>
      </w:r>
      <w:proofErr w:type="spellStart"/>
      <w:r w:rsidRPr="00DC2801">
        <w:rPr>
          <w:rFonts w:eastAsia="Times New Roman"/>
          <w:color w:val="0D0D0D"/>
          <w:sz w:val="24"/>
          <w:szCs w:val="24"/>
          <w:highlight w:val="white"/>
        </w:rPr>
        <w:t>explainability</w:t>
      </w:r>
      <w:proofErr w:type="spellEnd"/>
      <w:r w:rsidRPr="00DC2801">
        <w:rPr>
          <w:rFonts w:eastAsia="Times New Roman"/>
          <w:color w:val="0D0D0D"/>
          <w:sz w:val="24"/>
          <w:szCs w:val="24"/>
          <w:highlight w:val="white"/>
        </w:rPr>
        <w:t xml:space="preserve"> is not a peripheral technical feature but an essential criterion for clinical adoption.</w:t>
      </w:r>
    </w:p>
    <w:p w14:paraId="0A460E4D" w14:textId="77777777" w:rsidR="007C0019" w:rsidRPr="00DC2801" w:rsidRDefault="002431C8">
      <w:pPr>
        <w:pStyle w:val="Heading3"/>
        <w:keepNext w:val="0"/>
        <w:keepLines w:val="0"/>
        <w:pBdr>
          <w:top w:val="none" w:sz="0" w:space="0" w:color="E3E3E3"/>
          <w:left w:val="none" w:sz="0" w:space="0" w:color="E3E3E3"/>
          <w:bottom w:val="none" w:sz="0" w:space="0" w:color="E3E3E3"/>
          <w:right w:val="none" w:sz="0" w:space="0" w:color="E3E3E3"/>
          <w:between w:val="none" w:sz="0" w:space="0" w:color="E3E3E3"/>
        </w:pBdr>
        <w:shd w:val="clear" w:color="auto" w:fill="FFFFFF"/>
        <w:spacing w:before="280"/>
        <w:jc w:val="both"/>
        <w:rPr>
          <w:rFonts w:eastAsia="Times New Roman"/>
          <w:b/>
          <w:color w:val="0D0D0D"/>
          <w:sz w:val="24"/>
          <w:szCs w:val="24"/>
          <w:highlight w:val="white"/>
        </w:rPr>
      </w:pPr>
      <w:bookmarkStart w:id="6" w:name="_sa82cxrevo57" w:colFirst="0" w:colLast="0"/>
      <w:bookmarkEnd w:id="6"/>
      <w:r w:rsidRPr="00DC2801">
        <w:rPr>
          <w:rFonts w:eastAsia="Times New Roman"/>
          <w:b/>
          <w:color w:val="0D0D0D"/>
          <w:sz w:val="24"/>
          <w:szCs w:val="24"/>
          <w:highlight w:val="white"/>
        </w:rPr>
        <w:t>Integration of Predictive Models into Clinical Practice</w:t>
      </w:r>
    </w:p>
    <w:p w14:paraId="3C9F4B6E" w14:textId="77777777" w:rsidR="007C0019" w:rsidRPr="00DC2801" w:rsidRDefault="002431C8">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jc w:val="both"/>
        <w:rPr>
          <w:rFonts w:eastAsia="Times New Roman"/>
          <w:color w:val="0D0D0D"/>
          <w:sz w:val="24"/>
          <w:szCs w:val="24"/>
          <w:highlight w:val="white"/>
        </w:rPr>
      </w:pPr>
      <w:r w:rsidRPr="00DC2801">
        <w:rPr>
          <w:rFonts w:eastAsia="Times New Roman"/>
          <w:color w:val="0D0D0D"/>
          <w:sz w:val="24"/>
          <w:szCs w:val="24"/>
          <w:highlight w:val="white"/>
        </w:rPr>
        <w:t xml:space="preserve">The integration of predictive models into clinical practice offers substantial potential for enhancing healthcare delivery but is accompanied by significant technical and </w:t>
      </w:r>
      <w:proofErr w:type="spellStart"/>
      <w:r w:rsidRPr="00DC2801">
        <w:rPr>
          <w:rFonts w:eastAsia="Times New Roman"/>
          <w:color w:val="0D0D0D"/>
          <w:sz w:val="24"/>
          <w:szCs w:val="24"/>
          <w:highlight w:val="white"/>
        </w:rPr>
        <w:t>behavioral</w:t>
      </w:r>
      <w:proofErr w:type="spellEnd"/>
      <w:r w:rsidRPr="00DC2801">
        <w:rPr>
          <w:rFonts w:eastAsia="Times New Roman"/>
          <w:color w:val="0D0D0D"/>
          <w:sz w:val="24"/>
          <w:szCs w:val="24"/>
          <w:highlight w:val="white"/>
        </w:rPr>
        <w:t xml:space="preserve"> challenges. A critical impediment to implementation lies in the persistent lack of interoperability among electronic health record (EHR) systems. Heterogeneous data standards and proprietary software architectures frequently obstruct seamless data exchange and hinder the deployment of predictive algorithms across institutional boundaries (</w:t>
      </w:r>
      <w:proofErr w:type="spellStart"/>
      <w:r w:rsidRPr="00DC2801">
        <w:rPr>
          <w:rFonts w:eastAsia="Times New Roman"/>
          <w:color w:val="0D0D0D"/>
          <w:sz w:val="24"/>
          <w:szCs w:val="24"/>
          <w:highlight w:val="white"/>
        </w:rPr>
        <w:t>Trakadas</w:t>
      </w:r>
      <w:proofErr w:type="spellEnd"/>
      <w:r w:rsidRPr="00DC2801">
        <w:rPr>
          <w:rFonts w:eastAsia="Times New Roman"/>
          <w:color w:val="0D0D0D"/>
          <w:sz w:val="24"/>
          <w:szCs w:val="24"/>
          <w:highlight w:val="white"/>
        </w:rPr>
        <w:t xml:space="preserve"> et al., 2022). Compounding this issue are concerns over data quality; incomplete records, inconsistent coding practices, and non-standardized data entry collectively undermine the accuracy and generalizability of predictive outputs in real-world clinical settings.</w:t>
      </w:r>
    </w:p>
    <w:p w14:paraId="461DA249" w14:textId="77777777" w:rsidR="007C0019" w:rsidRPr="00DC2801" w:rsidRDefault="002431C8">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jc w:val="both"/>
        <w:rPr>
          <w:rFonts w:eastAsia="Times New Roman"/>
          <w:color w:val="0D0D0D"/>
          <w:sz w:val="24"/>
          <w:szCs w:val="24"/>
          <w:highlight w:val="white"/>
        </w:rPr>
      </w:pPr>
      <w:proofErr w:type="spellStart"/>
      <w:r w:rsidRPr="00DC2801">
        <w:rPr>
          <w:rFonts w:eastAsia="Times New Roman"/>
          <w:color w:val="0D0D0D"/>
          <w:sz w:val="24"/>
          <w:szCs w:val="24"/>
          <w:highlight w:val="white"/>
        </w:rPr>
        <w:t>Behavioral</w:t>
      </w:r>
      <w:proofErr w:type="spellEnd"/>
      <w:r w:rsidRPr="00DC2801">
        <w:rPr>
          <w:rFonts w:eastAsia="Times New Roman"/>
          <w:color w:val="0D0D0D"/>
          <w:sz w:val="24"/>
          <w:szCs w:val="24"/>
          <w:highlight w:val="white"/>
        </w:rPr>
        <w:t xml:space="preserve"> and usability factors represent additional barriers to adoption. Lu (2024) posits that clinician resistance often stems from </w:t>
      </w:r>
      <w:proofErr w:type="spellStart"/>
      <w:r w:rsidRPr="00DC2801">
        <w:rPr>
          <w:rFonts w:eastAsia="Times New Roman"/>
          <w:color w:val="0D0D0D"/>
          <w:sz w:val="24"/>
          <w:szCs w:val="24"/>
          <w:highlight w:val="white"/>
        </w:rPr>
        <w:t>skepticism</w:t>
      </w:r>
      <w:proofErr w:type="spellEnd"/>
      <w:r w:rsidRPr="00DC2801">
        <w:rPr>
          <w:rFonts w:eastAsia="Times New Roman"/>
          <w:color w:val="0D0D0D"/>
          <w:sz w:val="24"/>
          <w:szCs w:val="24"/>
          <w:highlight w:val="white"/>
        </w:rPr>
        <w:t xml:space="preserve"> toward algorithmic opacity and </w:t>
      </w:r>
      <w:r w:rsidRPr="00DC2801">
        <w:rPr>
          <w:rFonts w:eastAsia="Times New Roman"/>
          <w:color w:val="0D0D0D"/>
          <w:sz w:val="24"/>
          <w:szCs w:val="24"/>
          <w:highlight w:val="white"/>
        </w:rPr>
        <w:lastRenderedPageBreak/>
        <w:t>concerns over diminished professional autonomy or increased cognitive burden. Furthermore, the phenomenon of alert fatigue</w:t>
      </w:r>
      <w:r w:rsidR="00DC2801" w:rsidRPr="00DC2801">
        <w:rPr>
          <w:rFonts w:eastAsia="Times New Roman"/>
          <w:color w:val="0D0D0D"/>
          <w:sz w:val="24"/>
          <w:szCs w:val="24"/>
          <w:highlight w:val="white"/>
        </w:rPr>
        <w:t xml:space="preserve"> </w:t>
      </w:r>
      <w:r w:rsidRPr="00DC2801">
        <w:rPr>
          <w:rFonts w:eastAsia="Times New Roman"/>
          <w:color w:val="0D0D0D"/>
          <w:sz w:val="24"/>
          <w:szCs w:val="24"/>
          <w:highlight w:val="white"/>
        </w:rPr>
        <w:t>precipitated by excessive, non-specific, or poorly contextualized system notifications</w:t>
      </w:r>
      <w:r w:rsidR="00DC2801" w:rsidRPr="00DC2801">
        <w:rPr>
          <w:rFonts w:eastAsia="Times New Roman"/>
          <w:color w:val="0D0D0D"/>
          <w:sz w:val="24"/>
          <w:szCs w:val="24"/>
          <w:highlight w:val="white"/>
        </w:rPr>
        <w:t xml:space="preserve"> </w:t>
      </w:r>
      <w:r w:rsidRPr="00DC2801">
        <w:rPr>
          <w:rFonts w:eastAsia="Times New Roman"/>
          <w:color w:val="0D0D0D"/>
          <w:sz w:val="24"/>
          <w:szCs w:val="24"/>
          <w:highlight w:val="white"/>
        </w:rPr>
        <w:t>erodes user engagement and reduces the perceived utility of predictive tools. Poorly designed user interfaces exacerbate these effects, highlighting the necessity for human-</w:t>
      </w:r>
      <w:proofErr w:type="spellStart"/>
      <w:r w:rsidRPr="00DC2801">
        <w:rPr>
          <w:rFonts w:eastAsia="Times New Roman"/>
          <w:color w:val="0D0D0D"/>
          <w:sz w:val="24"/>
          <w:szCs w:val="24"/>
          <w:highlight w:val="white"/>
        </w:rPr>
        <w:t>centered</w:t>
      </w:r>
      <w:proofErr w:type="spellEnd"/>
      <w:r w:rsidRPr="00DC2801">
        <w:rPr>
          <w:rFonts w:eastAsia="Times New Roman"/>
          <w:color w:val="0D0D0D"/>
          <w:sz w:val="24"/>
          <w:szCs w:val="24"/>
          <w:highlight w:val="white"/>
        </w:rPr>
        <w:t xml:space="preserve"> design principles that prioritize clarity, contextual relevance, and workflow compatibility.</w:t>
      </w:r>
    </w:p>
    <w:p w14:paraId="79E7B6DD" w14:textId="77777777" w:rsidR="007C0019" w:rsidRPr="00DC2801" w:rsidRDefault="002431C8">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jc w:val="both"/>
        <w:rPr>
          <w:rFonts w:eastAsia="Times New Roman"/>
          <w:color w:val="0D0D0D"/>
          <w:sz w:val="24"/>
          <w:szCs w:val="24"/>
          <w:highlight w:val="white"/>
        </w:rPr>
      </w:pPr>
      <w:r w:rsidRPr="00DC2801">
        <w:rPr>
          <w:rFonts w:eastAsia="Times New Roman"/>
          <w:color w:val="0D0D0D"/>
          <w:sz w:val="24"/>
          <w:szCs w:val="24"/>
          <w:highlight w:val="white"/>
        </w:rPr>
        <w:t xml:space="preserve">Despite these obstacles, several successful implementations underscore the feasibility of integrating predictive models into clinical routines. At Geisinger Health in the United States, AI-driven tools have been embedded within value-based care frameworks, contributing to improved chronic disease management and significant cost </w:t>
      </w:r>
      <w:proofErr w:type="gramStart"/>
      <w:r w:rsidRPr="00DC2801">
        <w:rPr>
          <w:rFonts w:eastAsia="Times New Roman"/>
          <w:color w:val="0D0D0D"/>
          <w:sz w:val="24"/>
          <w:szCs w:val="24"/>
          <w:highlight w:val="white"/>
        </w:rPr>
        <w:t xml:space="preserve">savings </w:t>
      </w:r>
      <w:r w:rsidRPr="00DC2801">
        <w:rPr>
          <w:sz w:val="24"/>
          <w:szCs w:val="24"/>
        </w:rPr>
        <w:t xml:space="preserve"> (</w:t>
      </w:r>
      <w:proofErr w:type="spellStart"/>
      <w:proofErr w:type="gramEnd"/>
      <w:r w:rsidRPr="00DC2801">
        <w:rPr>
          <w:sz w:val="24"/>
          <w:szCs w:val="24"/>
        </w:rPr>
        <w:t>Daskalaki</w:t>
      </w:r>
      <w:proofErr w:type="spellEnd"/>
      <w:r w:rsidRPr="00DC2801">
        <w:rPr>
          <w:sz w:val="24"/>
          <w:szCs w:val="24"/>
        </w:rPr>
        <w:t xml:space="preserve"> et al., 2022)</w:t>
      </w:r>
      <w:r w:rsidRPr="00DC2801">
        <w:rPr>
          <w:rFonts w:eastAsia="Times New Roman"/>
          <w:color w:val="0D0D0D"/>
          <w:sz w:val="24"/>
          <w:szCs w:val="24"/>
          <w:highlight w:val="white"/>
        </w:rPr>
        <w:t>. In the United Kingdom, the C2-Ai surgical risk assessment system</w:t>
      </w:r>
      <w:r w:rsidR="00DC2801" w:rsidRPr="00DC2801">
        <w:rPr>
          <w:rFonts w:eastAsia="Times New Roman"/>
          <w:color w:val="0D0D0D"/>
          <w:sz w:val="24"/>
          <w:szCs w:val="24"/>
          <w:highlight w:val="white"/>
        </w:rPr>
        <w:t xml:space="preserve"> </w:t>
      </w:r>
      <w:r w:rsidRPr="00DC2801">
        <w:rPr>
          <w:rFonts w:eastAsia="Times New Roman"/>
          <w:color w:val="0D0D0D"/>
          <w:sz w:val="24"/>
          <w:szCs w:val="24"/>
          <w:highlight w:val="white"/>
        </w:rPr>
        <w:t>deployed across Cheshire and Merseyside</w:t>
      </w:r>
      <w:r w:rsidR="00DC2801" w:rsidRPr="00DC2801">
        <w:rPr>
          <w:rFonts w:eastAsia="Times New Roman"/>
          <w:color w:val="0D0D0D"/>
          <w:sz w:val="24"/>
          <w:szCs w:val="24"/>
          <w:highlight w:val="white"/>
        </w:rPr>
        <w:t xml:space="preserve"> </w:t>
      </w:r>
      <w:r w:rsidRPr="00DC2801">
        <w:rPr>
          <w:rFonts w:eastAsia="Times New Roman"/>
          <w:color w:val="0D0D0D"/>
          <w:sz w:val="24"/>
          <w:szCs w:val="24"/>
          <w:highlight w:val="white"/>
        </w:rPr>
        <w:t xml:space="preserve">achieved a six-fold reduction in surgical complications and a 50% decline in hospital readmissions </w:t>
      </w:r>
      <w:r w:rsidRPr="00DC2801">
        <w:rPr>
          <w:sz w:val="24"/>
          <w:szCs w:val="24"/>
        </w:rPr>
        <w:t>(Neville, 2025)</w:t>
      </w:r>
      <w:r w:rsidRPr="00DC2801">
        <w:rPr>
          <w:rFonts w:eastAsia="Times New Roman"/>
          <w:color w:val="0D0D0D"/>
          <w:sz w:val="24"/>
          <w:szCs w:val="24"/>
          <w:highlight w:val="white"/>
        </w:rPr>
        <w:t>. Similarly, the atrial fibrillation detection model developed at Leeds Teaching Hospitals has demonstrated scalable utility for early intervention across broader NHS settings (</w:t>
      </w:r>
      <w:r w:rsidRPr="00DC2801">
        <w:rPr>
          <w:sz w:val="24"/>
          <w:szCs w:val="24"/>
        </w:rPr>
        <w:t>Gregory, 2024).</w:t>
      </w:r>
    </w:p>
    <w:p w14:paraId="495F2F26" w14:textId="77777777" w:rsidR="007C0019" w:rsidRPr="00DC2801" w:rsidRDefault="002431C8">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jc w:val="both"/>
        <w:rPr>
          <w:rFonts w:eastAsia="Times New Roman"/>
          <w:color w:val="0D0D0D"/>
          <w:sz w:val="24"/>
          <w:szCs w:val="24"/>
          <w:highlight w:val="white"/>
        </w:rPr>
      </w:pPr>
      <w:r w:rsidRPr="00DC2801">
        <w:rPr>
          <w:rFonts w:eastAsia="Times New Roman"/>
          <w:color w:val="0D0D0D"/>
          <w:sz w:val="24"/>
          <w:szCs w:val="24"/>
          <w:highlight w:val="white"/>
        </w:rPr>
        <w:t xml:space="preserve">Central to such initiatives is the role of Clinical Decision Support Systems (CDSS), which function as intermediaries by integrating predictive algorithms into clinicians’ existing workflows. </w:t>
      </w:r>
      <w:proofErr w:type="spellStart"/>
      <w:r w:rsidRPr="00DC2801">
        <w:rPr>
          <w:rFonts w:eastAsia="Times New Roman"/>
          <w:sz w:val="24"/>
          <w:szCs w:val="24"/>
        </w:rPr>
        <w:t>Zhichao</w:t>
      </w:r>
      <w:proofErr w:type="spellEnd"/>
      <w:r w:rsidRPr="00DC2801">
        <w:rPr>
          <w:rFonts w:eastAsia="Times New Roman"/>
          <w:sz w:val="24"/>
          <w:szCs w:val="24"/>
        </w:rPr>
        <w:t xml:space="preserve"> (2025)</w:t>
      </w:r>
      <w:r w:rsidRPr="00DC2801">
        <w:rPr>
          <w:rFonts w:eastAsia="Times New Roman"/>
          <w:color w:val="0D0D0D"/>
          <w:sz w:val="24"/>
          <w:szCs w:val="24"/>
          <w:highlight w:val="white"/>
        </w:rPr>
        <w:t xml:space="preserve"> argues that CDSS platforms are most effective when they deliver actionable insights at the point of care through interfaces designed for clarity, cognitive efficiency, and clinical alignment. Ultimately, the sustainable adoption of predictive tools hinges on their technical integration, interpretability, and alignment with clinician needs, underscoring the importance of usability, transparency, and operational fit.</w:t>
      </w:r>
    </w:p>
    <w:p w14:paraId="63A0B02D" w14:textId="77777777" w:rsidR="007C0019" w:rsidRPr="00DC2801" w:rsidRDefault="00DC2801">
      <w:pPr>
        <w:pStyle w:val="Heading3"/>
        <w:keepNext w:val="0"/>
        <w:keepLines w:val="0"/>
        <w:spacing w:before="280"/>
        <w:rPr>
          <w:b/>
          <w:color w:val="000000"/>
          <w:sz w:val="24"/>
          <w:szCs w:val="24"/>
        </w:rPr>
      </w:pPr>
      <w:bookmarkStart w:id="7" w:name="_mbuuyeecylai" w:colFirst="0" w:colLast="0"/>
      <w:bookmarkEnd w:id="7"/>
      <w:r w:rsidRPr="00DC2801">
        <w:rPr>
          <w:b/>
          <w:color w:val="000000"/>
          <w:sz w:val="24"/>
          <w:szCs w:val="24"/>
        </w:rPr>
        <w:t>3.</w:t>
      </w:r>
      <w:r w:rsidRPr="00DC2801">
        <w:rPr>
          <w:b/>
          <w:color w:val="000000"/>
          <w:sz w:val="24"/>
          <w:szCs w:val="24"/>
        </w:rPr>
        <w:tab/>
      </w:r>
      <w:r w:rsidR="002431C8" w:rsidRPr="00DC2801">
        <w:rPr>
          <w:b/>
          <w:color w:val="000000"/>
          <w:sz w:val="24"/>
          <w:szCs w:val="24"/>
        </w:rPr>
        <w:t>Methodology</w:t>
      </w:r>
    </w:p>
    <w:p w14:paraId="2693935A" w14:textId="77777777" w:rsidR="007C0019" w:rsidRPr="00DC2801" w:rsidRDefault="002431C8">
      <w:pPr>
        <w:spacing w:before="160" w:after="160"/>
        <w:rPr>
          <w:sz w:val="24"/>
          <w:szCs w:val="24"/>
        </w:rPr>
      </w:pPr>
      <w:r w:rsidRPr="00DC2801">
        <w:rPr>
          <w:sz w:val="24"/>
          <w:szCs w:val="24"/>
        </w:rPr>
        <w:t xml:space="preserve">This study adopted a quantitative research approach to develop and evaluate machine learning models for forecasting 30-day ICU readmissions using the MIMIC-III dataset. The dataset, compiled from the Beth Israel Deaconess Medical </w:t>
      </w:r>
      <w:proofErr w:type="spellStart"/>
      <w:r w:rsidRPr="00DC2801">
        <w:rPr>
          <w:sz w:val="24"/>
          <w:szCs w:val="24"/>
        </w:rPr>
        <w:t>Center</w:t>
      </w:r>
      <w:proofErr w:type="spellEnd"/>
      <w:r w:rsidRPr="00DC2801">
        <w:rPr>
          <w:sz w:val="24"/>
          <w:szCs w:val="24"/>
        </w:rPr>
        <w:t>, contains clinical and demographic data on over 40,000 critically ill patients, including vital signs, laboratory values, comorbidities, and treatment histories.</w:t>
      </w:r>
    </w:p>
    <w:p w14:paraId="0688B7D8" w14:textId="77777777" w:rsidR="007C0019" w:rsidRPr="00DC2801" w:rsidRDefault="002431C8">
      <w:pPr>
        <w:spacing w:before="160" w:after="160"/>
        <w:rPr>
          <w:sz w:val="24"/>
          <w:szCs w:val="24"/>
        </w:rPr>
      </w:pPr>
      <w:r w:rsidRPr="00DC2801">
        <w:rPr>
          <w:sz w:val="24"/>
          <w:szCs w:val="24"/>
        </w:rPr>
        <w:t xml:space="preserve">The analysis </w:t>
      </w:r>
      <w:proofErr w:type="spellStart"/>
      <w:r w:rsidRPr="00DC2801">
        <w:rPr>
          <w:sz w:val="24"/>
          <w:szCs w:val="24"/>
        </w:rPr>
        <w:t>centered</w:t>
      </w:r>
      <w:proofErr w:type="spellEnd"/>
      <w:r w:rsidRPr="00DC2801">
        <w:rPr>
          <w:sz w:val="24"/>
          <w:szCs w:val="24"/>
        </w:rPr>
        <w:t xml:space="preserve"> on supervised learning, with </w:t>
      </w:r>
      <w:proofErr w:type="spellStart"/>
      <w:r w:rsidRPr="00DC2801">
        <w:rPr>
          <w:sz w:val="24"/>
          <w:szCs w:val="24"/>
        </w:rPr>
        <w:t>eXtreme</w:t>
      </w:r>
      <w:proofErr w:type="spellEnd"/>
      <w:r w:rsidRPr="00DC2801">
        <w:rPr>
          <w:sz w:val="24"/>
          <w:szCs w:val="24"/>
        </w:rPr>
        <w:t xml:space="preserve"> Gradient Boosting (</w:t>
      </w:r>
      <w:proofErr w:type="spellStart"/>
      <w:r w:rsidRPr="00DC2801">
        <w:rPr>
          <w:sz w:val="24"/>
          <w:szCs w:val="24"/>
        </w:rPr>
        <w:t>XGBoost</w:t>
      </w:r>
      <w:proofErr w:type="spellEnd"/>
      <w:r w:rsidRPr="00DC2801">
        <w:rPr>
          <w:sz w:val="24"/>
          <w:szCs w:val="24"/>
        </w:rPr>
        <w:t>) employed as the primary predictive model. Logistic Regression and Random Forest served as baseline models for comparative assessment. Feature matrices were constructed from structured clinical data, and the binary outcome variable indicated whether a patient was readmitted within 30 days post-discharge.</w:t>
      </w:r>
    </w:p>
    <w:p w14:paraId="46018C45" w14:textId="77777777" w:rsidR="007C0019" w:rsidRPr="00DC2801" w:rsidRDefault="002431C8">
      <w:pPr>
        <w:spacing w:before="160" w:after="160"/>
        <w:rPr>
          <w:sz w:val="24"/>
          <w:szCs w:val="24"/>
        </w:rPr>
      </w:pPr>
      <w:r w:rsidRPr="00DC2801">
        <w:rPr>
          <w:sz w:val="24"/>
          <w:szCs w:val="24"/>
        </w:rPr>
        <w:t xml:space="preserve">Hyperparameter tuning of the </w:t>
      </w:r>
      <w:proofErr w:type="spellStart"/>
      <w:r w:rsidRPr="00DC2801">
        <w:rPr>
          <w:sz w:val="24"/>
          <w:szCs w:val="24"/>
        </w:rPr>
        <w:t>XGBoost</w:t>
      </w:r>
      <w:proofErr w:type="spellEnd"/>
      <w:r w:rsidRPr="00DC2801">
        <w:rPr>
          <w:sz w:val="24"/>
          <w:szCs w:val="24"/>
        </w:rPr>
        <w:t xml:space="preserve"> model was executed using grid search with five-fold cross-validation to ensure generalizability. Model evaluation incorporated </w:t>
      </w:r>
      <w:r w:rsidRPr="00DC2801">
        <w:rPr>
          <w:sz w:val="24"/>
          <w:szCs w:val="24"/>
        </w:rPr>
        <w:lastRenderedPageBreak/>
        <w:t xml:space="preserve">classification metrics including accuracy, precision, recall, F1-score, and AUC-ROC. The model's interpretability was enhanced using </w:t>
      </w:r>
      <w:proofErr w:type="spellStart"/>
      <w:r w:rsidRPr="00DC2801">
        <w:rPr>
          <w:sz w:val="24"/>
          <w:szCs w:val="24"/>
        </w:rPr>
        <w:t>SHapley</w:t>
      </w:r>
      <w:proofErr w:type="spellEnd"/>
      <w:r w:rsidRPr="00DC2801">
        <w:rPr>
          <w:sz w:val="24"/>
          <w:szCs w:val="24"/>
        </w:rPr>
        <w:t xml:space="preserve"> Additive </w:t>
      </w:r>
      <w:proofErr w:type="spellStart"/>
      <w:r w:rsidRPr="00DC2801">
        <w:rPr>
          <w:sz w:val="24"/>
          <w:szCs w:val="24"/>
        </w:rPr>
        <w:t>exPlanations</w:t>
      </w:r>
      <w:proofErr w:type="spellEnd"/>
      <w:r w:rsidRPr="00DC2801">
        <w:rPr>
          <w:sz w:val="24"/>
          <w:szCs w:val="24"/>
        </w:rPr>
        <w:t xml:space="preserve"> (SHAP) to identify key predictors. Deployment feasibility was assessed through simulations measuring integration success, latency, clinician response, and workflow disruption.</w:t>
      </w:r>
    </w:p>
    <w:p w14:paraId="446F12C0" w14:textId="77777777" w:rsidR="007C0019" w:rsidRPr="00DC2801" w:rsidRDefault="002431C8">
      <w:pPr>
        <w:spacing w:before="160" w:after="160"/>
        <w:rPr>
          <w:sz w:val="24"/>
          <w:szCs w:val="24"/>
        </w:rPr>
      </w:pPr>
      <w:r w:rsidRPr="00DC2801">
        <w:rPr>
          <w:sz w:val="24"/>
          <w:szCs w:val="24"/>
        </w:rPr>
        <w:t>Mathematical expressions central to this methodological framework are summarized in Table 1.</w:t>
      </w:r>
    </w:p>
    <w:p w14:paraId="742F27DD" w14:textId="77777777" w:rsidR="007C0019" w:rsidRPr="00DC2801" w:rsidRDefault="008E3578">
      <w:pPr>
        <w:spacing w:before="160" w:after="160"/>
        <w:rPr>
          <w:i/>
          <w:sz w:val="24"/>
          <w:szCs w:val="24"/>
        </w:rPr>
      </w:pPr>
      <w:r w:rsidRPr="00DC2801">
        <w:rPr>
          <w:b/>
          <w:sz w:val="24"/>
          <w:szCs w:val="24"/>
        </w:rPr>
        <w:t xml:space="preserve">Table 1: </w:t>
      </w:r>
      <w:r w:rsidR="002431C8" w:rsidRPr="00DC2801">
        <w:rPr>
          <w:i/>
          <w:sz w:val="24"/>
          <w:szCs w:val="24"/>
        </w:rPr>
        <w:t>Mathematical Formulations for Model Evaluation and Optimization</w:t>
      </w:r>
    </w:p>
    <w:tbl>
      <w:tblPr>
        <w:tblStyle w:val="TableGrid"/>
        <w:tblW w:w="9375" w:type="dxa"/>
        <w:tblLayout w:type="fixed"/>
        <w:tblLook w:val="0600" w:firstRow="0" w:lastRow="0" w:firstColumn="0" w:lastColumn="0" w:noHBand="1" w:noVBand="1"/>
      </w:tblPr>
      <w:tblGrid>
        <w:gridCol w:w="1115"/>
        <w:gridCol w:w="2540"/>
        <w:gridCol w:w="5720"/>
      </w:tblGrid>
      <w:tr w:rsidR="007C0019" w:rsidRPr="00DC2801" w14:paraId="70C41487" w14:textId="77777777" w:rsidTr="001B150C">
        <w:trPr>
          <w:trHeight w:val="590"/>
        </w:trPr>
        <w:tc>
          <w:tcPr>
            <w:tcW w:w="1115" w:type="dxa"/>
          </w:tcPr>
          <w:p w14:paraId="50193A80" w14:textId="77777777" w:rsidR="007C0019" w:rsidRPr="00DC2801" w:rsidRDefault="002431C8">
            <w:pPr>
              <w:jc w:val="center"/>
              <w:rPr>
                <w:sz w:val="24"/>
                <w:szCs w:val="24"/>
              </w:rPr>
            </w:pPr>
            <w:r w:rsidRPr="00DC2801">
              <w:rPr>
                <w:b/>
                <w:sz w:val="24"/>
                <w:szCs w:val="24"/>
              </w:rPr>
              <w:t>Equation No.</w:t>
            </w:r>
          </w:p>
        </w:tc>
        <w:tc>
          <w:tcPr>
            <w:tcW w:w="2540" w:type="dxa"/>
          </w:tcPr>
          <w:p w14:paraId="72E62C05" w14:textId="77777777" w:rsidR="007C0019" w:rsidRPr="00DC2801" w:rsidRDefault="002431C8">
            <w:pPr>
              <w:jc w:val="center"/>
              <w:rPr>
                <w:sz w:val="24"/>
                <w:szCs w:val="24"/>
              </w:rPr>
            </w:pPr>
            <w:r w:rsidRPr="00DC2801">
              <w:rPr>
                <w:b/>
                <w:sz w:val="24"/>
                <w:szCs w:val="24"/>
              </w:rPr>
              <w:t>Description</w:t>
            </w:r>
          </w:p>
        </w:tc>
        <w:tc>
          <w:tcPr>
            <w:tcW w:w="5720" w:type="dxa"/>
          </w:tcPr>
          <w:p w14:paraId="0333AEC3" w14:textId="77777777" w:rsidR="007C0019" w:rsidRPr="00DC2801" w:rsidRDefault="002431C8">
            <w:pPr>
              <w:jc w:val="center"/>
              <w:rPr>
                <w:sz w:val="24"/>
                <w:szCs w:val="24"/>
              </w:rPr>
            </w:pPr>
            <w:r w:rsidRPr="00DC2801">
              <w:rPr>
                <w:b/>
                <w:sz w:val="24"/>
                <w:szCs w:val="24"/>
              </w:rPr>
              <w:t>Formula</w:t>
            </w:r>
          </w:p>
        </w:tc>
      </w:tr>
      <w:tr w:rsidR="007C0019" w:rsidRPr="00DC2801" w14:paraId="0DFF8442" w14:textId="77777777" w:rsidTr="001B150C">
        <w:trPr>
          <w:trHeight w:val="680"/>
        </w:trPr>
        <w:tc>
          <w:tcPr>
            <w:tcW w:w="1115" w:type="dxa"/>
          </w:tcPr>
          <w:p w14:paraId="2D5466E6" w14:textId="77777777" w:rsidR="007C0019" w:rsidRPr="00DC2801" w:rsidRDefault="002431C8">
            <w:pPr>
              <w:rPr>
                <w:sz w:val="24"/>
                <w:szCs w:val="24"/>
              </w:rPr>
            </w:pPr>
            <w:r w:rsidRPr="00DC2801">
              <w:rPr>
                <w:sz w:val="24"/>
                <w:szCs w:val="24"/>
              </w:rPr>
              <w:t>Eq. 1</w:t>
            </w:r>
          </w:p>
        </w:tc>
        <w:tc>
          <w:tcPr>
            <w:tcW w:w="2540" w:type="dxa"/>
          </w:tcPr>
          <w:p w14:paraId="19FC46AC" w14:textId="77777777" w:rsidR="007C0019" w:rsidRPr="00DC2801" w:rsidRDefault="002431C8">
            <w:pPr>
              <w:rPr>
                <w:sz w:val="24"/>
                <w:szCs w:val="24"/>
              </w:rPr>
            </w:pPr>
            <w:r w:rsidRPr="00DC2801">
              <w:rPr>
                <w:sz w:val="24"/>
                <w:szCs w:val="24"/>
              </w:rPr>
              <w:t>Cross-validated optimization objective</w:t>
            </w:r>
          </w:p>
        </w:tc>
        <w:tc>
          <w:tcPr>
            <w:tcW w:w="5720" w:type="dxa"/>
          </w:tcPr>
          <w:p w14:paraId="7E2FE20A" w14:textId="77777777" w:rsidR="007C0019" w:rsidRPr="00DC2801" w:rsidRDefault="00131E8F">
            <w:pPr>
              <w:rPr>
                <w:b/>
                <w:sz w:val="24"/>
                <w:szCs w:val="24"/>
              </w:rPr>
            </w:pPr>
            <m:oMathPara>
              <m:oMath>
                <m:sSup>
                  <m:sSupPr>
                    <m:ctrlPr>
                      <w:rPr>
                        <w:rStyle w:val="mord"/>
                        <w:rFonts w:ascii="Cambria Math" w:hAnsi="Cambria Math"/>
                        <w:sz w:val="24"/>
                        <w:szCs w:val="24"/>
                      </w:rPr>
                    </m:ctrlPr>
                  </m:sSupPr>
                  <m:e>
                    <m:r>
                      <m:rPr>
                        <m:sty m:val="p"/>
                      </m:rPr>
                      <w:rPr>
                        <w:rStyle w:val="mord"/>
                        <w:rFonts w:ascii="Cambria Math" w:hAnsi="Cambria Math"/>
                        <w:sz w:val="24"/>
                        <w:szCs w:val="24"/>
                      </w:rPr>
                      <m:t>θ</m:t>
                    </m:r>
                    <m:ctrlPr>
                      <w:rPr>
                        <w:rStyle w:val="mrel"/>
                        <w:rFonts w:ascii="Cambria Math" w:hAnsi="Cambria Math"/>
                        <w:sz w:val="24"/>
                        <w:szCs w:val="24"/>
                      </w:rPr>
                    </m:ctrlPr>
                  </m:e>
                  <m:sup>
                    <m:r>
                      <m:rPr>
                        <m:sty m:val="p"/>
                      </m:rPr>
                      <w:rPr>
                        <w:rStyle w:val="mrel"/>
                        <w:rFonts w:ascii="Cambria Math" w:hAnsi="Cambria Math"/>
                        <w:sz w:val="24"/>
                        <w:szCs w:val="24"/>
                      </w:rPr>
                      <m:t>=</m:t>
                    </m:r>
                    <m:sSub>
                      <m:sSubPr>
                        <m:ctrlPr>
                          <w:rPr>
                            <w:rStyle w:val="mop"/>
                            <w:rFonts w:ascii="Cambria Math" w:hAnsi="Cambria Math"/>
                            <w:sz w:val="24"/>
                            <w:szCs w:val="24"/>
                          </w:rPr>
                        </m:ctrlPr>
                      </m:sSubPr>
                      <m:e>
                        <m:r>
                          <m:rPr>
                            <m:sty m:val="p"/>
                          </m:rPr>
                          <w:rPr>
                            <w:rStyle w:val="mop"/>
                            <w:rFonts w:ascii="Cambria Math" w:hAnsi="Cambria Math"/>
                            <w:sz w:val="24"/>
                            <w:szCs w:val="24"/>
                          </w:rPr>
                          <m:t>argmin</m:t>
                        </m:r>
                      </m:e>
                      <m:sub>
                        <m:r>
                          <m:rPr>
                            <m:sty m:val="p"/>
                          </m:rPr>
                          <w:rPr>
                            <w:rStyle w:val="mord"/>
                            <w:rFonts w:ascii="Cambria Math" w:hAnsi="Cambria Math"/>
                            <w:sz w:val="24"/>
                            <w:szCs w:val="24"/>
                          </w:rPr>
                          <m:t>θ</m:t>
                        </m:r>
                      </m:sub>
                    </m:sSub>
                  </m:sup>
                </m:sSup>
                <m:r>
                  <m:rPr>
                    <m:sty m:val="p"/>
                  </m:rPr>
                  <w:rPr>
                    <w:rStyle w:val="mrel"/>
                    <w:rFonts w:ascii="Cambria Math" w:hAnsi="Cambria Math"/>
                    <w:sz w:val="24"/>
                    <w:szCs w:val="24"/>
                  </w:rPr>
                  <m:t>∈</m:t>
                </m:r>
                <m:r>
                  <m:rPr>
                    <m:sty m:val="p"/>
                  </m:rPr>
                  <w:rPr>
                    <w:rStyle w:val="mord"/>
                    <w:rFonts w:ascii="Cambria Math" w:hAnsi="Cambria Math"/>
                    <w:sz w:val="24"/>
                    <w:szCs w:val="24"/>
                  </w:rPr>
                  <m:t>Θ</m:t>
                </m:r>
                <m:f>
                  <m:fPr>
                    <m:ctrlPr>
                      <w:rPr>
                        <w:rStyle w:val="mord"/>
                        <w:rFonts w:ascii="Cambria Math" w:hAnsi="Cambria Math"/>
                        <w:sz w:val="24"/>
                        <w:szCs w:val="24"/>
                      </w:rPr>
                    </m:ctrlPr>
                  </m:fPr>
                  <m:num>
                    <m:r>
                      <m:rPr>
                        <m:sty m:val="p"/>
                      </m:rPr>
                      <w:rPr>
                        <w:rStyle w:val="mord"/>
                        <w:rFonts w:ascii="Cambria Math" w:hAnsi="Cambria Math"/>
                        <w:sz w:val="24"/>
                        <w:szCs w:val="24"/>
                      </w:rPr>
                      <m:t>1</m:t>
                    </m:r>
                    <m:ctrlPr>
                      <w:rPr>
                        <w:rStyle w:val="mrel"/>
                        <w:rFonts w:ascii="Cambria Math" w:hAnsi="Cambria Math"/>
                        <w:sz w:val="24"/>
                        <w:szCs w:val="24"/>
                      </w:rPr>
                    </m:ctrlPr>
                  </m:num>
                  <m:den>
                    <m:r>
                      <m:rPr>
                        <m:sty m:val="p"/>
                      </m:rPr>
                      <w:rPr>
                        <w:rStyle w:val="mord"/>
                        <w:rFonts w:ascii="Cambria Math" w:hAnsi="Cambria Math"/>
                        <w:sz w:val="24"/>
                        <w:szCs w:val="24"/>
                      </w:rPr>
                      <m:t>K</m:t>
                    </m:r>
                  </m:den>
                </m:f>
                <m:r>
                  <m:rPr>
                    <m:sty m:val="p"/>
                  </m:rPr>
                  <w:rPr>
                    <w:rStyle w:val="vlist-s"/>
                    <w:rFonts w:ascii="Cambria Math" w:hAnsi="Cambria Math"/>
                    <w:sz w:val="24"/>
                    <w:szCs w:val="24"/>
                  </w:rPr>
                  <m:t>​</m:t>
                </m:r>
                <m:nary>
                  <m:naryPr>
                    <m:chr m:val="∑"/>
                    <m:limLoc m:val="subSup"/>
                    <m:ctrlPr>
                      <w:rPr>
                        <w:rStyle w:val="vlist-s"/>
                        <w:rFonts w:ascii="Cambria Math" w:hAnsi="Cambria Math"/>
                        <w:sz w:val="24"/>
                        <w:szCs w:val="24"/>
                      </w:rPr>
                    </m:ctrlPr>
                  </m:naryPr>
                  <m:sub>
                    <m:r>
                      <w:rPr>
                        <w:rStyle w:val="vlist-s"/>
                        <w:rFonts w:ascii="Cambria Math" w:hAnsi="Cambria Math"/>
                        <w:sz w:val="24"/>
                        <w:szCs w:val="24"/>
                      </w:rPr>
                      <m:t>k</m:t>
                    </m:r>
                    <m:r>
                      <w:rPr>
                        <w:rStyle w:val="vlist-s"/>
                        <w:rFonts w:ascii="Cambria Math" w:hAnsi="Cambria Math"/>
                        <w:sz w:val="24"/>
                        <w:szCs w:val="24"/>
                      </w:rPr>
                      <m:t>=1</m:t>
                    </m:r>
                  </m:sub>
                  <m:sup>
                    <m:r>
                      <w:rPr>
                        <w:rStyle w:val="vlist-s"/>
                        <w:rFonts w:ascii="Cambria Math" w:hAnsi="Cambria Math"/>
                        <w:sz w:val="24"/>
                        <w:szCs w:val="24"/>
                      </w:rPr>
                      <m:t>k</m:t>
                    </m:r>
                  </m:sup>
                  <m:e>
                    <m:r>
                      <m:rPr>
                        <m:sty m:val="p"/>
                      </m:rPr>
                      <w:rPr>
                        <w:rStyle w:val="mord"/>
                        <w:rFonts w:ascii="Cambria Math" w:hAnsi="Cambria Math"/>
                        <w:sz w:val="24"/>
                        <w:szCs w:val="24"/>
                      </w:rPr>
                      <m:t>L</m:t>
                    </m:r>
                    <m:d>
                      <m:dPr>
                        <m:ctrlPr>
                          <w:rPr>
                            <w:rStyle w:val="mopen"/>
                            <w:rFonts w:ascii="Cambria Math" w:hAnsi="Cambria Math"/>
                            <w:sz w:val="24"/>
                            <w:szCs w:val="24"/>
                          </w:rPr>
                        </m:ctrlPr>
                      </m:dPr>
                      <m:e>
                        <m:sSubSup>
                          <m:sSubSupPr>
                            <m:ctrlPr>
                              <w:rPr>
                                <w:rStyle w:val="mord"/>
                                <w:rFonts w:ascii="Cambria Math" w:hAnsi="Cambria Math"/>
                                <w:i/>
                                <w:sz w:val="24"/>
                                <w:szCs w:val="24"/>
                              </w:rPr>
                            </m:ctrlPr>
                          </m:sSubSupPr>
                          <m:e>
                            <m:r>
                              <m:rPr>
                                <m:sty m:val="p"/>
                              </m:rPr>
                              <w:rPr>
                                <w:rStyle w:val="mord"/>
                                <w:rFonts w:ascii="Cambria Math" w:hAnsi="Cambria Math"/>
                                <w:sz w:val="24"/>
                                <w:szCs w:val="24"/>
                              </w:rPr>
                              <m:t>f</m:t>
                            </m:r>
                            <m:ctrlPr>
                              <w:rPr>
                                <w:rStyle w:val="mord"/>
                                <w:rFonts w:ascii="Cambria Math" w:hAnsi="Cambria Math"/>
                                <w:sz w:val="24"/>
                                <w:szCs w:val="24"/>
                              </w:rPr>
                            </m:ctrlPr>
                          </m:e>
                          <m:sub>
                            <m:r>
                              <m:rPr>
                                <m:sty m:val="p"/>
                              </m:rPr>
                              <w:rPr>
                                <w:rStyle w:val="mord"/>
                                <w:rFonts w:ascii="Cambria Math" w:hAnsi="Cambria Math"/>
                                <w:sz w:val="24"/>
                                <w:szCs w:val="24"/>
                              </w:rPr>
                              <m:t>θ</m:t>
                            </m:r>
                            <m:ctrlPr>
                              <w:rPr>
                                <w:rStyle w:val="mord"/>
                                <w:rFonts w:ascii="Cambria Math" w:hAnsi="Cambria Math"/>
                                <w:sz w:val="24"/>
                                <w:szCs w:val="24"/>
                              </w:rPr>
                            </m:ctrlPr>
                          </m:sub>
                          <m:sup>
                            <m:d>
                              <m:dPr>
                                <m:ctrlPr>
                                  <w:rPr>
                                    <w:rStyle w:val="mopen"/>
                                    <w:rFonts w:ascii="Cambria Math" w:hAnsi="Cambria Math"/>
                                    <w:sz w:val="24"/>
                                    <w:szCs w:val="24"/>
                                  </w:rPr>
                                </m:ctrlPr>
                              </m:dPr>
                              <m:e>
                                <m:r>
                                  <m:rPr>
                                    <m:sty m:val="p"/>
                                  </m:rPr>
                                  <w:rPr>
                                    <w:rStyle w:val="mord"/>
                                    <w:rFonts w:ascii="Cambria Math" w:hAnsi="Cambria Math"/>
                                    <w:sz w:val="24"/>
                                    <w:szCs w:val="24"/>
                                  </w:rPr>
                                  <m:t>k</m:t>
                                </m:r>
                                <m:ctrlPr>
                                  <w:rPr>
                                    <w:rStyle w:val="mclose"/>
                                    <w:rFonts w:ascii="Cambria Math" w:hAnsi="Cambria Math"/>
                                    <w:sz w:val="24"/>
                                    <w:szCs w:val="24"/>
                                  </w:rPr>
                                </m:ctrlPr>
                              </m:e>
                            </m:d>
                          </m:sup>
                        </m:sSubSup>
                        <m:r>
                          <m:rPr>
                            <m:sty m:val="p"/>
                          </m:rPr>
                          <w:rPr>
                            <w:rStyle w:val="vlist-s"/>
                            <w:rFonts w:ascii="Cambria Math" w:hAnsi="Cambria Math"/>
                            <w:sz w:val="24"/>
                            <w:szCs w:val="24"/>
                          </w:rPr>
                          <m:t>​</m:t>
                        </m:r>
                        <m:d>
                          <m:dPr>
                            <m:ctrlPr>
                              <w:rPr>
                                <w:rStyle w:val="mopen"/>
                                <w:rFonts w:ascii="Cambria Math" w:hAnsi="Cambria Math"/>
                                <w:sz w:val="24"/>
                                <w:szCs w:val="24"/>
                              </w:rPr>
                            </m:ctrlPr>
                          </m:dPr>
                          <m:e>
                            <m:sSup>
                              <m:sSupPr>
                                <m:ctrlPr>
                                  <w:rPr>
                                    <w:rStyle w:val="mord"/>
                                    <w:rFonts w:ascii="Cambria Math" w:hAnsi="Cambria Math"/>
                                    <w:sz w:val="24"/>
                                    <w:szCs w:val="24"/>
                                  </w:rPr>
                                </m:ctrlPr>
                              </m:sSupPr>
                              <m:e>
                                <m:r>
                                  <m:rPr>
                                    <m:sty m:val="p"/>
                                  </m:rPr>
                                  <w:rPr>
                                    <w:rStyle w:val="mord"/>
                                    <w:rFonts w:ascii="Cambria Math" w:hAnsi="Cambria Math"/>
                                    <w:sz w:val="24"/>
                                    <w:szCs w:val="24"/>
                                  </w:rPr>
                                  <m:t>X</m:t>
                                </m:r>
                              </m:e>
                              <m:sup>
                                <m:d>
                                  <m:dPr>
                                    <m:ctrlPr>
                                      <w:rPr>
                                        <w:rStyle w:val="mopen"/>
                                        <w:rFonts w:ascii="Cambria Math" w:hAnsi="Cambria Math"/>
                                        <w:sz w:val="24"/>
                                        <w:szCs w:val="24"/>
                                      </w:rPr>
                                    </m:ctrlPr>
                                  </m:dPr>
                                  <m:e>
                                    <m:r>
                                      <m:rPr>
                                        <m:sty m:val="p"/>
                                      </m:rPr>
                                      <w:rPr>
                                        <w:rStyle w:val="mord"/>
                                        <w:rFonts w:ascii="Cambria Math" w:hAnsi="Cambria Math"/>
                                        <w:sz w:val="24"/>
                                        <w:szCs w:val="24"/>
                                      </w:rPr>
                                      <m:t>k</m:t>
                                    </m:r>
                                    <m:ctrlPr>
                                      <w:rPr>
                                        <w:rStyle w:val="mclose"/>
                                        <w:rFonts w:ascii="Cambria Math" w:hAnsi="Cambria Math"/>
                                        <w:sz w:val="24"/>
                                        <w:szCs w:val="24"/>
                                      </w:rPr>
                                    </m:ctrlPr>
                                  </m:e>
                                </m:d>
                              </m:sup>
                            </m:sSup>
                            <m:ctrlPr>
                              <w:rPr>
                                <w:rStyle w:val="mclose"/>
                                <w:rFonts w:ascii="Cambria Math" w:hAnsi="Cambria Math"/>
                                <w:sz w:val="24"/>
                                <w:szCs w:val="24"/>
                              </w:rPr>
                            </m:ctrlPr>
                          </m:e>
                        </m:d>
                        <m:r>
                          <m:rPr>
                            <m:sty m:val="p"/>
                          </m:rPr>
                          <w:rPr>
                            <w:rStyle w:val="mpunct"/>
                            <w:rFonts w:ascii="Cambria Math" w:hAnsi="Cambria Math"/>
                            <w:sz w:val="24"/>
                            <w:szCs w:val="24"/>
                          </w:rPr>
                          <m:t>,</m:t>
                        </m:r>
                        <m:sSup>
                          <m:sSupPr>
                            <m:ctrlPr>
                              <w:rPr>
                                <w:rStyle w:val="mord"/>
                                <w:rFonts w:ascii="Cambria Math" w:hAnsi="Cambria Math"/>
                                <w:sz w:val="24"/>
                                <w:szCs w:val="24"/>
                              </w:rPr>
                            </m:ctrlPr>
                          </m:sSupPr>
                          <m:e>
                            <m:r>
                              <m:rPr>
                                <m:sty m:val="p"/>
                              </m:rPr>
                              <w:rPr>
                                <w:rStyle w:val="mord"/>
                                <w:rFonts w:ascii="Cambria Math" w:hAnsi="Cambria Math"/>
                                <w:sz w:val="24"/>
                                <w:szCs w:val="24"/>
                              </w:rPr>
                              <m:t>Y</m:t>
                            </m:r>
                            <m:ctrlPr>
                              <w:rPr>
                                <w:rStyle w:val="mpunct"/>
                                <w:rFonts w:ascii="Cambria Math" w:hAnsi="Cambria Math"/>
                                <w:sz w:val="24"/>
                                <w:szCs w:val="24"/>
                              </w:rPr>
                            </m:ctrlPr>
                          </m:e>
                          <m:sup>
                            <m:d>
                              <m:dPr>
                                <m:ctrlPr>
                                  <w:rPr>
                                    <w:rStyle w:val="mopen"/>
                                    <w:rFonts w:ascii="Cambria Math" w:hAnsi="Cambria Math"/>
                                    <w:sz w:val="24"/>
                                    <w:szCs w:val="24"/>
                                  </w:rPr>
                                </m:ctrlPr>
                              </m:dPr>
                              <m:e>
                                <m:r>
                                  <m:rPr>
                                    <m:sty m:val="p"/>
                                  </m:rPr>
                                  <w:rPr>
                                    <w:rStyle w:val="mord"/>
                                    <w:rFonts w:ascii="Cambria Math" w:hAnsi="Cambria Math"/>
                                    <w:sz w:val="24"/>
                                    <w:szCs w:val="24"/>
                                  </w:rPr>
                                  <m:t>k</m:t>
                                </m:r>
                                <m:ctrlPr>
                                  <w:rPr>
                                    <w:rStyle w:val="mclose"/>
                                    <w:rFonts w:ascii="Cambria Math" w:hAnsi="Cambria Math"/>
                                    <w:sz w:val="24"/>
                                    <w:szCs w:val="24"/>
                                  </w:rPr>
                                </m:ctrlPr>
                              </m:e>
                            </m:d>
                          </m:sup>
                        </m:sSup>
                        <m:ctrlPr>
                          <w:rPr>
                            <w:rStyle w:val="mclose"/>
                            <w:rFonts w:ascii="Cambria Math" w:hAnsi="Cambria Math"/>
                            <w:sz w:val="24"/>
                            <w:szCs w:val="24"/>
                          </w:rPr>
                        </m:ctrlPr>
                      </m:e>
                    </m:d>
                  </m:e>
                </m:nary>
                <m:r>
                  <m:rPr>
                    <m:sty m:val="p"/>
                  </m:rPr>
                  <w:rPr>
                    <w:rStyle w:val="vlist-s"/>
                    <w:rFonts w:ascii="Cambria Math" w:hAnsi="Cambria Math"/>
                    <w:sz w:val="24"/>
                    <w:szCs w:val="24"/>
                  </w:rPr>
                  <m:t>​</m:t>
                </m:r>
              </m:oMath>
            </m:oMathPara>
          </w:p>
        </w:tc>
      </w:tr>
      <w:tr w:rsidR="007C0019" w:rsidRPr="00DC2801" w14:paraId="2900066B" w14:textId="77777777" w:rsidTr="001B150C">
        <w:trPr>
          <w:trHeight w:val="515"/>
        </w:trPr>
        <w:tc>
          <w:tcPr>
            <w:tcW w:w="1115" w:type="dxa"/>
          </w:tcPr>
          <w:p w14:paraId="1E819DBD" w14:textId="77777777" w:rsidR="007C0019" w:rsidRPr="00DC2801" w:rsidRDefault="002431C8">
            <w:pPr>
              <w:rPr>
                <w:sz w:val="24"/>
                <w:szCs w:val="24"/>
              </w:rPr>
            </w:pPr>
            <w:r w:rsidRPr="00DC2801">
              <w:rPr>
                <w:sz w:val="24"/>
                <w:szCs w:val="24"/>
              </w:rPr>
              <w:t>Eq. 2</w:t>
            </w:r>
          </w:p>
        </w:tc>
        <w:tc>
          <w:tcPr>
            <w:tcW w:w="2540" w:type="dxa"/>
          </w:tcPr>
          <w:p w14:paraId="6D8D1341" w14:textId="77777777" w:rsidR="007C0019" w:rsidRPr="00DC2801" w:rsidRDefault="002431C8">
            <w:pPr>
              <w:rPr>
                <w:sz w:val="24"/>
                <w:szCs w:val="24"/>
              </w:rPr>
            </w:pPr>
            <w:r w:rsidRPr="00DC2801">
              <w:rPr>
                <w:sz w:val="24"/>
                <w:szCs w:val="24"/>
              </w:rPr>
              <w:t>Accuracy</w:t>
            </w:r>
          </w:p>
        </w:tc>
        <w:tc>
          <w:tcPr>
            <w:tcW w:w="5720" w:type="dxa"/>
          </w:tcPr>
          <w:p w14:paraId="58289C46" w14:textId="77777777" w:rsidR="007C0019" w:rsidRPr="00DC2801" w:rsidRDefault="00070D2B">
            <w:pPr>
              <w:rPr>
                <w:sz w:val="24"/>
                <w:szCs w:val="24"/>
              </w:rPr>
            </w:pPr>
            <m:oMathPara>
              <m:oMath>
                <m:r>
                  <w:rPr>
                    <w:rFonts w:ascii="Cambria Math" w:hAnsi="Cambria Math"/>
                    <w:sz w:val="24"/>
                    <w:szCs w:val="24"/>
                  </w:rPr>
                  <m:t>Accuracy=</m:t>
                </m:r>
                <m:f>
                  <m:fPr>
                    <m:ctrlPr>
                      <w:rPr>
                        <w:rFonts w:ascii="Cambria Math" w:hAnsi="Cambria Math"/>
                        <w:i/>
                        <w:sz w:val="24"/>
                        <w:szCs w:val="24"/>
                      </w:rPr>
                    </m:ctrlPr>
                  </m:fPr>
                  <m:num>
                    <m:r>
                      <w:rPr>
                        <w:rFonts w:ascii="Cambria Math" w:hAnsi="Cambria Math"/>
                        <w:sz w:val="24"/>
                        <w:szCs w:val="24"/>
                      </w:rPr>
                      <m:t>TP+TN</m:t>
                    </m:r>
                  </m:num>
                  <m:den>
                    <m:r>
                      <w:rPr>
                        <w:rFonts w:ascii="Cambria Math" w:hAnsi="Cambria Math"/>
                        <w:sz w:val="24"/>
                        <w:szCs w:val="24"/>
                      </w:rPr>
                      <m:t>TP+TN+FP+FN</m:t>
                    </m:r>
                  </m:den>
                </m:f>
              </m:oMath>
            </m:oMathPara>
          </w:p>
        </w:tc>
      </w:tr>
      <w:tr w:rsidR="007C0019" w:rsidRPr="00DC2801" w14:paraId="342B1DFE" w14:textId="77777777" w:rsidTr="001B150C">
        <w:trPr>
          <w:trHeight w:val="515"/>
        </w:trPr>
        <w:tc>
          <w:tcPr>
            <w:tcW w:w="1115" w:type="dxa"/>
          </w:tcPr>
          <w:p w14:paraId="0102FA50" w14:textId="77777777" w:rsidR="007C0019" w:rsidRPr="00DC2801" w:rsidRDefault="002431C8">
            <w:pPr>
              <w:rPr>
                <w:sz w:val="24"/>
                <w:szCs w:val="24"/>
              </w:rPr>
            </w:pPr>
            <w:r w:rsidRPr="00DC2801">
              <w:rPr>
                <w:sz w:val="24"/>
                <w:szCs w:val="24"/>
              </w:rPr>
              <w:t>Eq. 3</w:t>
            </w:r>
          </w:p>
        </w:tc>
        <w:tc>
          <w:tcPr>
            <w:tcW w:w="2540" w:type="dxa"/>
          </w:tcPr>
          <w:p w14:paraId="6A496E75" w14:textId="77777777" w:rsidR="007C0019" w:rsidRPr="00DC2801" w:rsidRDefault="002431C8">
            <w:pPr>
              <w:rPr>
                <w:sz w:val="24"/>
                <w:szCs w:val="24"/>
              </w:rPr>
            </w:pPr>
            <w:r w:rsidRPr="00DC2801">
              <w:rPr>
                <w:sz w:val="24"/>
                <w:szCs w:val="24"/>
              </w:rPr>
              <w:t>Precision</w:t>
            </w:r>
          </w:p>
        </w:tc>
        <w:tc>
          <w:tcPr>
            <w:tcW w:w="5720" w:type="dxa"/>
          </w:tcPr>
          <w:p w14:paraId="1E1F5C78" w14:textId="77777777" w:rsidR="007C0019" w:rsidRPr="00DC2801" w:rsidRDefault="002C1071">
            <w:pPr>
              <w:rPr>
                <w:sz w:val="24"/>
                <w:szCs w:val="24"/>
              </w:rPr>
            </w:pPr>
            <m:oMathPara>
              <m:oMath>
                <m:r>
                  <w:rPr>
                    <w:rFonts w:ascii="Cambria Math" w:hAnsi="Cambria Math"/>
                    <w:sz w:val="24"/>
                    <w:szCs w:val="24"/>
                  </w:rPr>
                  <m:t>Precision=</m:t>
                </m:r>
                <m:f>
                  <m:fPr>
                    <m:ctrlPr>
                      <w:rPr>
                        <w:rFonts w:ascii="Cambria Math" w:hAnsi="Cambria Math"/>
                        <w:i/>
                        <w:sz w:val="24"/>
                        <w:szCs w:val="24"/>
                      </w:rPr>
                    </m:ctrlPr>
                  </m:fPr>
                  <m:num>
                    <m:r>
                      <w:rPr>
                        <w:rFonts w:ascii="Cambria Math" w:hAnsi="Cambria Math"/>
                        <w:sz w:val="24"/>
                        <w:szCs w:val="24"/>
                      </w:rPr>
                      <m:t>TP</m:t>
                    </m:r>
                  </m:num>
                  <m:den>
                    <m:r>
                      <w:rPr>
                        <w:rFonts w:ascii="Cambria Math" w:hAnsi="Cambria Math"/>
                        <w:sz w:val="24"/>
                        <w:szCs w:val="24"/>
                      </w:rPr>
                      <m:t>TP+FP</m:t>
                    </m:r>
                  </m:den>
                </m:f>
                <m:r>
                  <w:rPr>
                    <w:rFonts w:ascii="Cambria Math" w:hAnsi="Cambria Math"/>
                    <w:sz w:val="24"/>
                    <w:szCs w:val="24"/>
                  </w:rPr>
                  <m:t>​</m:t>
                </m:r>
              </m:oMath>
            </m:oMathPara>
          </w:p>
        </w:tc>
      </w:tr>
      <w:tr w:rsidR="007C0019" w:rsidRPr="00DC2801" w14:paraId="2D2A75DC" w14:textId="77777777" w:rsidTr="001B150C">
        <w:trPr>
          <w:trHeight w:val="515"/>
        </w:trPr>
        <w:tc>
          <w:tcPr>
            <w:tcW w:w="1115" w:type="dxa"/>
          </w:tcPr>
          <w:p w14:paraId="752A6E2A" w14:textId="77777777" w:rsidR="007C0019" w:rsidRPr="00DC2801" w:rsidRDefault="002431C8">
            <w:pPr>
              <w:rPr>
                <w:sz w:val="24"/>
                <w:szCs w:val="24"/>
              </w:rPr>
            </w:pPr>
            <w:r w:rsidRPr="00DC2801">
              <w:rPr>
                <w:sz w:val="24"/>
                <w:szCs w:val="24"/>
              </w:rPr>
              <w:t>Eq. 4</w:t>
            </w:r>
          </w:p>
        </w:tc>
        <w:tc>
          <w:tcPr>
            <w:tcW w:w="2540" w:type="dxa"/>
          </w:tcPr>
          <w:p w14:paraId="77D139BD" w14:textId="77777777" w:rsidR="007C0019" w:rsidRPr="00DC2801" w:rsidRDefault="002431C8">
            <w:pPr>
              <w:rPr>
                <w:sz w:val="24"/>
                <w:szCs w:val="24"/>
              </w:rPr>
            </w:pPr>
            <w:r w:rsidRPr="00DC2801">
              <w:rPr>
                <w:sz w:val="24"/>
                <w:szCs w:val="24"/>
              </w:rPr>
              <w:t>Recall</w:t>
            </w:r>
          </w:p>
        </w:tc>
        <w:tc>
          <w:tcPr>
            <w:tcW w:w="5720" w:type="dxa"/>
          </w:tcPr>
          <w:p w14:paraId="30A10ADC" w14:textId="77777777" w:rsidR="007C0019" w:rsidRPr="00DC2801" w:rsidRDefault="002C1071">
            <w:pPr>
              <w:rPr>
                <w:sz w:val="24"/>
                <w:szCs w:val="24"/>
              </w:rPr>
            </w:pPr>
            <m:oMath>
              <m:r>
                <w:rPr>
                  <w:rFonts w:ascii="Cambria Math" w:hAnsi="Cambria Math"/>
                  <w:sz w:val="24"/>
                  <w:szCs w:val="24"/>
                </w:rPr>
                <m:t>Recall=</m:t>
              </m:r>
              <m:f>
                <m:fPr>
                  <m:ctrlPr>
                    <w:rPr>
                      <w:rFonts w:ascii="Cambria Math" w:hAnsi="Cambria Math"/>
                      <w:i/>
                      <w:sz w:val="24"/>
                      <w:szCs w:val="24"/>
                    </w:rPr>
                  </m:ctrlPr>
                </m:fPr>
                <m:num>
                  <m:r>
                    <w:rPr>
                      <w:rFonts w:ascii="Cambria Math" w:hAnsi="Cambria Math"/>
                      <w:sz w:val="24"/>
                      <w:szCs w:val="24"/>
                    </w:rPr>
                    <m:t>TP</m:t>
                  </m:r>
                </m:num>
                <m:den>
                  <m:r>
                    <w:rPr>
                      <w:rFonts w:ascii="Cambria Math" w:hAnsi="Cambria Math"/>
                      <w:sz w:val="24"/>
                      <w:szCs w:val="24"/>
                    </w:rPr>
                    <m:t>TP+FN</m:t>
                  </m:r>
                </m:den>
              </m:f>
            </m:oMath>
            <w:r w:rsidRPr="00DC2801">
              <w:rPr>
                <w:sz w:val="24"/>
                <w:szCs w:val="24"/>
              </w:rPr>
              <w:t xml:space="preserve"> </w:t>
            </w:r>
            <w:r w:rsidR="002431C8" w:rsidRPr="00DC2801">
              <w:rPr>
                <w:sz w:val="24"/>
                <w:szCs w:val="24"/>
              </w:rPr>
              <w:t>​</w:t>
            </w:r>
          </w:p>
        </w:tc>
      </w:tr>
      <w:tr w:rsidR="007C0019" w:rsidRPr="00DC2801" w14:paraId="7007D43A" w14:textId="77777777" w:rsidTr="001B150C">
        <w:trPr>
          <w:trHeight w:val="515"/>
        </w:trPr>
        <w:tc>
          <w:tcPr>
            <w:tcW w:w="1115" w:type="dxa"/>
          </w:tcPr>
          <w:p w14:paraId="50F84DE4" w14:textId="77777777" w:rsidR="007C0019" w:rsidRPr="00DC2801" w:rsidRDefault="002431C8">
            <w:pPr>
              <w:rPr>
                <w:sz w:val="24"/>
                <w:szCs w:val="24"/>
              </w:rPr>
            </w:pPr>
            <w:r w:rsidRPr="00DC2801">
              <w:rPr>
                <w:sz w:val="24"/>
                <w:szCs w:val="24"/>
              </w:rPr>
              <w:t>Eq. 5</w:t>
            </w:r>
          </w:p>
        </w:tc>
        <w:tc>
          <w:tcPr>
            <w:tcW w:w="2540" w:type="dxa"/>
          </w:tcPr>
          <w:p w14:paraId="60D0FCEB" w14:textId="77777777" w:rsidR="007C0019" w:rsidRPr="00DC2801" w:rsidRDefault="002431C8">
            <w:pPr>
              <w:rPr>
                <w:sz w:val="24"/>
                <w:szCs w:val="24"/>
              </w:rPr>
            </w:pPr>
            <w:r w:rsidRPr="00DC2801">
              <w:rPr>
                <w:sz w:val="24"/>
                <w:szCs w:val="24"/>
              </w:rPr>
              <w:t>F1 Score</w:t>
            </w:r>
          </w:p>
        </w:tc>
        <w:tc>
          <w:tcPr>
            <w:tcW w:w="5720" w:type="dxa"/>
          </w:tcPr>
          <w:p w14:paraId="4C839C16" w14:textId="77777777" w:rsidR="007C0019" w:rsidRPr="00DC2801" w:rsidRDefault="00C168DC">
            <w:pPr>
              <w:rPr>
                <w:sz w:val="24"/>
                <w:szCs w:val="24"/>
              </w:rPr>
            </w:pPr>
            <m:oMathPara>
              <m:oMath>
                <m:r>
                  <w:rPr>
                    <w:rFonts w:ascii="Cambria Math" w:eastAsia="Arial Unicode MS" w:hAnsi="Cambria Math"/>
                    <w:sz w:val="24"/>
                    <w:szCs w:val="24"/>
                  </w:rPr>
                  <m:t>F1=2⋅</m:t>
                </m:r>
                <m:f>
                  <m:fPr>
                    <m:ctrlPr>
                      <w:rPr>
                        <w:rFonts w:ascii="Cambria Math" w:eastAsia="Arial Unicode MS" w:hAnsi="Cambria Math"/>
                        <w:i/>
                        <w:sz w:val="24"/>
                        <w:szCs w:val="24"/>
                      </w:rPr>
                    </m:ctrlPr>
                  </m:fPr>
                  <m:num>
                    <m:r>
                      <w:rPr>
                        <w:rFonts w:ascii="Cambria Math" w:eastAsia="Arial Unicode MS" w:hAnsi="Cambria Math"/>
                        <w:sz w:val="24"/>
                        <w:szCs w:val="24"/>
                      </w:rPr>
                      <m:t>Precision⋅Recall</m:t>
                    </m:r>
                  </m:num>
                  <m:den>
                    <m:d>
                      <m:dPr>
                        <m:ctrlPr>
                          <w:rPr>
                            <w:rFonts w:ascii="Cambria Math" w:eastAsia="Arial Unicode MS" w:hAnsi="Cambria Math"/>
                            <w:i/>
                            <w:sz w:val="24"/>
                            <w:szCs w:val="24"/>
                          </w:rPr>
                        </m:ctrlPr>
                      </m:dPr>
                      <m:e>
                        <m:r>
                          <w:rPr>
                            <w:rFonts w:ascii="Cambria Math" w:eastAsia="Arial Unicode MS" w:hAnsi="Cambria Math"/>
                            <w:sz w:val="24"/>
                            <w:szCs w:val="24"/>
                          </w:rPr>
                          <m:t>Precision+Recall</m:t>
                        </m:r>
                      </m:e>
                    </m:d>
                    <m:r>
                      <w:rPr>
                        <w:rFonts w:ascii="Cambria Math" w:eastAsia="Arial Unicode MS" w:hAnsi="Cambria Math"/>
                        <w:sz w:val="24"/>
                        <w:szCs w:val="24"/>
                      </w:rPr>
                      <m:t>​</m:t>
                    </m:r>
                  </m:den>
                </m:f>
              </m:oMath>
            </m:oMathPara>
          </w:p>
        </w:tc>
      </w:tr>
      <w:tr w:rsidR="007C0019" w:rsidRPr="00DC2801" w14:paraId="09EDF00E" w14:textId="77777777" w:rsidTr="001B150C">
        <w:trPr>
          <w:trHeight w:val="470"/>
        </w:trPr>
        <w:tc>
          <w:tcPr>
            <w:tcW w:w="1115" w:type="dxa"/>
          </w:tcPr>
          <w:p w14:paraId="7765A5E9" w14:textId="77777777" w:rsidR="007C0019" w:rsidRPr="00DC2801" w:rsidRDefault="002431C8">
            <w:pPr>
              <w:rPr>
                <w:sz w:val="24"/>
                <w:szCs w:val="24"/>
              </w:rPr>
            </w:pPr>
            <w:r w:rsidRPr="00DC2801">
              <w:rPr>
                <w:sz w:val="24"/>
                <w:szCs w:val="24"/>
              </w:rPr>
              <w:t>Eq. 6</w:t>
            </w:r>
          </w:p>
        </w:tc>
        <w:tc>
          <w:tcPr>
            <w:tcW w:w="2540" w:type="dxa"/>
          </w:tcPr>
          <w:p w14:paraId="119ACAC4" w14:textId="77777777" w:rsidR="007C0019" w:rsidRPr="00DC2801" w:rsidRDefault="002431C8">
            <w:pPr>
              <w:rPr>
                <w:sz w:val="24"/>
                <w:szCs w:val="24"/>
              </w:rPr>
            </w:pPr>
            <w:r w:rsidRPr="00DC2801">
              <w:rPr>
                <w:sz w:val="24"/>
                <w:szCs w:val="24"/>
              </w:rPr>
              <w:t>SHAP decomposition</w:t>
            </w:r>
          </w:p>
        </w:tc>
        <w:tc>
          <w:tcPr>
            <w:tcW w:w="5720" w:type="dxa"/>
          </w:tcPr>
          <w:p w14:paraId="7A618310" w14:textId="77777777" w:rsidR="007C0019" w:rsidRPr="00DC2801" w:rsidRDefault="00131E8F">
            <w:pPr>
              <w:rPr>
                <w:sz w:val="24"/>
                <w:szCs w:val="24"/>
              </w:rPr>
            </w:pPr>
            <m:oMathPara>
              <m:oMath>
                <m:sSup>
                  <m:sSupPr>
                    <m:ctrlPr>
                      <w:rPr>
                        <w:rFonts w:ascii="Cambria Math" w:eastAsia="Arial Unicode MS" w:hAnsi="Cambria Math"/>
                        <w:i/>
                        <w:sz w:val="24"/>
                        <w:szCs w:val="24"/>
                      </w:rPr>
                    </m:ctrlPr>
                  </m:sSupPr>
                  <m:e>
                    <m:r>
                      <w:rPr>
                        <w:rFonts w:ascii="Cambria Math" w:eastAsia="Arial Unicode MS" w:hAnsi="Cambria Math"/>
                        <w:sz w:val="24"/>
                        <w:szCs w:val="24"/>
                      </w:rPr>
                      <m:t>y</m:t>
                    </m:r>
                  </m:e>
                  <m:sup>
                    <m:r>
                      <w:rPr>
                        <w:rFonts w:ascii="Cambria Math" w:eastAsia="Arial Unicode MS" w:hAnsi="Cambria Math"/>
                        <w:sz w:val="24"/>
                        <w:szCs w:val="24"/>
                      </w:rPr>
                      <m:t>i</m:t>
                    </m:r>
                  </m:sup>
                </m:sSup>
                <m:r>
                  <w:rPr>
                    <w:rFonts w:ascii="Cambria Math" w:eastAsia="Arial Unicode MS" w:hAnsi="Cambria Math"/>
                    <w:sz w:val="24"/>
                    <w:szCs w:val="24"/>
                  </w:rPr>
                  <m:t>=</m:t>
                </m:r>
                <m:sSub>
                  <m:sSubPr>
                    <m:ctrlPr>
                      <w:rPr>
                        <w:rFonts w:ascii="Cambria Math" w:eastAsia="Arial Unicode MS" w:hAnsi="Cambria Math"/>
                        <w:i/>
                        <w:sz w:val="24"/>
                        <w:szCs w:val="24"/>
                      </w:rPr>
                    </m:ctrlPr>
                  </m:sSubPr>
                  <m:e>
                    <m:r>
                      <w:rPr>
                        <w:rFonts w:ascii="Cambria Math" w:eastAsia="Arial Unicode MS" w:hAnsi="Cambria Math"/>
                        <w:sz w:val="24"/>
                        <w:szCs w:val="24"/>
                      </w:rPr>
                      <m:t>ϕ</m:t>
                    </m:r>
                  </m:e>
                  <m:sub>
                    <m:r>
                      <w:rPr>
                        <w:rFonts w:ascii="Cambria Math" w:eastAsia="Arial Unicode MS" w:hAnsi="Cambria Math"/>
                        <w:sz w:val="24"/>
                        <w:szCs w:val="24"/>
                      </w:rPr>
                      <m:t>0</m:t>
                    </m:r>
                  </m:sub>
                </m:sSub>
                <m:r>
                  <w:rPr>
                    <w:rFonts w:ascii="Cambria Math" w:eastAsia="Arial Unicode MS" w:hAnsi="Cambria Math"/>
                    <w:sz w:val="24"/>
                    <w:szCs w:val="24"/>
                  </w:rPr>
                  <m:t>+</m:t>
                </m:r>
                <m:nary>
                  <m:naryPr>
                    <m:chr m:val="∑"/>
                    <m:limLoc m:val="subSup"/>
                    <m:ctrlPr>
                      <w:rPr>
                        <w:rFonts w:ascii="Cambria Math" w:eastAsia="Arial Unicode MS" w:hAnsi="Cambria Math"/>
                        <w:i/>
                        <w:sz w:val="24"/>
                        <w:szCs w:val="24"/>
                      </w:rPr>
                    </m:ctrlPr>
                  </m:naryPr>
                  <m:sub>
                    <m:r>
                      <w:rPr>
                        <w:rFonts w:ascii="Cambria Math" w:eastAsia="Arial Unicode MS" w:hAnsi="Cambria Math"/>
                        <w:sz w:val="24"/>
                        <w:szCs w:val="24"/>
                      </w:rPr>
                      <m:t>j</m:t>
                    </m:r>
                    <m:r>
                      <w:rPr>
                        <w:rFonts w:ascii="Cambria Math" w:eastAsia="Arial Unicode MS" w:hAnsi="Cambria Math"/>
                        <w:sz w:val="24"/>
                        <w:szCs w:val="24"/>
                      </w:rPr>
                      <m:t>=1</m:t>
                    </m:r>
                  </m:sub>
                  <m:sup>
                    <m:r>
                      <w:rPr>
                        <w:rFonts w:ascii="Cambria Math" w:eastAsia="Arial Unicode MS" w:hAnsi="Cambria Math"/>
                        <w:sz w:val="24"/>
                        <w:szCs w:val="24"/>
                      </w:rPr>
                      <m:t>p</m:t>
                    </m:r>
                  </m:sup>
                  <m:e>
                    <m:sSub>
                      <m:sSubPr>
                        <m:ctrlPr>
                          <w:rPr>
                            <w:rFonts w:ascii="Cambria Math" w:eastAsia="Arial Unicode MS" w:hAnsi="Cambria Math"/>
                            <w:i/>
                            <w:sz w:val="24"/>
                            <w:szCs w:val="24"/>
                          </w:rPr>
                        </m:ctrlPr>
                      </m:sSubPr>
                      <m:e>
                        <m:r>
                          <w:rPr>
                            <w:rFonts w:ascii="Cambria Math" w:eastAsia="Arial Unicode MS" w:hAnsi="Cambria Math"/>
                            <w:sz w:val="24"/>
                            <w:szCs w:val="24"/>
                          </w:rPr>
                          <m:t>ϕ</m:t>
                        </m:r>
                      </m:e>
                      <m:sub>
                        <m:r>
                          <w:rPr>
                            <w:rFonts w:ascii="Cambria Math" w:eastAsia="Arial Unicode MS" w:hAnsi="Cambria Math"/>
                            <w:sz w:val="24"/>
                            <w:szCs w:val="24"/>
                          </w:rPr>
                          <m:t>j</m:t>
                        </m:r>
                      </m:sub>
                    </m:sSub>
                    <m:r>
                      <m:rPr>
                        <m:sty m:val="p"/>
                      </m:rPr>
                      <w:rPr>
                        <w:rFonts w:ascii="Cambria Math" w:eastAsia="Arial Unicode MS" w:hAnsi="Cambria Math"/>
                        <w:sz w:val="24"/>
                        <w:szCs w:val="24"/>
                      </w:rPr>
                      <m:t>​</m:t>
                    </m:r>
                  </m:e>
                </m:nary>
              </m:oMath>
            </m:oMathPara>
          </w:p>
        </w:tc>
      </w:tr>
      <w:tr w:rsidR="007C0019" w:rsidRPr="00DC2801" w14:paraId="0AD39089" w14:textId="77777777" w:rsidTr="001B150C">
        <w:trPr>
          <w:trHeight w:val="530"/>
        </w:trPr>
        <w:tc>
          <w:tcPr>
            <w:tcW w:w="1115" w:type="dxa"/>
          </w:tcPr>
          <w:p w14:paraId="081F0AA7" w14:textId="77777777" w:rsidR="007C0019" w:rsidRPr="00DC2801" w:rsidRDefault="002431C8">
            <w:pPr>
              <w:rPr>
                <w:sz w:val="24"/>
                <w:szCs w:val="24"/>
              </w:rPr>
            </w:pPr>
            <w:r w:rsidRPr="00DC2801">
              <w:rPr>
                <w:sz w:val="24"/>
                <w:szCs w:val="24"/>
              </w:rPr>
              <w:t>Eq. 7</w:t>
            </w:r>
          </w:p>
        </w:tc>
        <w:tc>
          <w:tcPr>
            <w:tcW w:w="2540" w:type="dxa"/>
          </w:tcPr>
          <w:p w14:paraId="29E859AC" w14:textId="77777777" w:rsidR="007C0019" w:rsidRPr="00DC2801" w:rsidRDefault="002431C8">
            <w:pPr>
              <w:rPr>
                <w:sz w:val="24"/>
                <w:szCs w:val="24"/>
              </w:rPr>
            </w:pPr>
            <w:r w:rsidRPr="00DC2801">
              <w:rPr>
                <w:sz w:val="24"/>
                <w:szCs w:val="24"/>
              </w:rPr>
              <w:t>Integration Success Rate (ISR)</w:t>
            </w:r>
          </w:p>
        </w:tc>
        <w:tc>
          <w:tcPr>
            <w:tcW w:w="5720" w:type="dxa"/>
          </w:tcPr>
          <w:p w14:paraId="51C4ED61" w14:textId="77777777" w:rsidR="007C0019" w:rsidRPr="00DC2801" w:rsidRDefault="002431C8">
            <w:pPr>
              <w:rPr>
                <w:sz w:val="24"/>
                <w:szCs w:val="24"/>
              </w:rPr>
            </w:pPr>
            <m:oMathPara>
              <m:oMath>
                <m:r>
                  <w:rPr>
                    <w:rFonts w:ascii="Cambria Math" w:hAnsi="Cambria Math"/>
                    <w:sz w:val="24"/>
                    <w:szCs w:val="24"/>
                  </w:rPr>
                  <m:t>ISR=</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successful</m:t>
                        </m:r>
                      </m:sub>
                    </m:sSub>
                  </m:num>
                  <m:den>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attempted</m:t>
                        </m:r>
                      </m:sub>
                    </m:sSub>
                  </m:den>
                </m:f>
                <m:r>
                  <w:rPr>
                    <w:rFonts w:ascii="Cambria Math" w:hAnsi="Cambria Math"/>
                    <w:sz w:val="24"/>
                    <w:szCs w:val="24"/>
                  </w:rPr>
                  <m:t>×100</m:t>
                </m:r>
              </m:oMath>
            </m:oMathPara>
          </w:p>
        </w:tc>
      </w:tr>
      <w:tr w:rsidR="007C0019" w:rsidRPr="00DC2801" w14:paraId="0BF41282" w14:textId="77777777" w:rsidTr="001B150C">
        <w:trPr>
          <w:trHeight w:val="545"/>
        </w:trPr>
        <w:tc>
          <w:tcPr>
            <w:tcW w:w="1115" w:type="dxa"/>
          </w:tcPr>
          <w:p w14:paraId="715C99A1" w14:textId="77777777" w:rsidR="007C0019" w:rsidRPr="00DC2801" w:rsidRDefault="002431C8">
            <w:pPr>
              <w:rPr>
                <w:sz w:val="24"/>
                <w:szCs w:val="24"/>
              </w:rPr>
            </w:pPr>
            <w:r w:rsidRPr="00DC2801">
              <w:rPr>
                <w:sz w:val="24"/>
                <w:szCs w:val="24"/>
              </w:rPr>
              <w:t>Eq. 8</w:t>
            </w:r>
          </w:p>
        </w:tc>
        <w:tc>
          <w:tcPr>
            <w:tcW w:w="2540" w:type="dxa"/>
          </w:tcPr>
          <w:p w14:paraId="087EA8BB" w14:textId="77777777" w:rsidR="007C0019" w:rsidRPr="00DC2801" w:rsidRDefault="002431C8">
            <w:pPr>
              <w:rPr>
                <w:sz w:val="24"/>
                <w:szCs w:val="24"/>
              </w:rPr>
            </w:pPr>
            <w:r w:rsidRPr="00DC2801">
              <w:rPr>
                <w:sz w:val="24"/>
                <w:szCs w:val="24"/>
              </w:rPr>
              <w:t>Workflow Disruption Index (WDI)</w:t>
            </w:r>
          </w:p>
        </w:tc>
        <w:tc>
          <w:tcPr>
            <w:tcW w:w="5720" w:type="dxa"/>
          </w:tcPr>
          <w:p w14:paraId="7E1BCF7E" w14:textId="77777777" w:rsidR="007C0019" w:rsidRPr="00DC2801" w:rsidRDefault="002E6D35">
            <w:pPr>
              <w:rPr>
                <w:sz w:val="24"/>
                <w:szCs w:val="24"/>
              </w:rPr>
            </w:pPr>
            <m:oMathPara>
              <m:oMath>
                <m:r>
                  <w:rPr>
                    <w:rFonts w:ascii="Cambria Math" w:eastAsia="Arial Unicode MS" w:hAnsi="Cambria Math"/>
                    <w:sz w:val="24"/>
                    <w:szCs w:val="24"/>
                  </w:rPr>
                  <m:t>WDI=1-</m:t>
                </m:r>
                <m:f>
                  <m:fPr>
                    <m:ctrlPr>
                      <w:rPr>
                        <w:rFonts w:ascii="Cambria Math" w:eastAsia="Arial Unicode MS" w:hAnsi="Cambria Math"/>
                        <w:i/>
                        <w:sz w:val="24"/>
                        <w:szCs w:val="24"/>
                      </w:rPr>
                    </m:ctrlPr>
                  </m:fPr>
                  <m:num>
                    <m:sSub>
                      <m:sSubPr>
                        <m:ctrlPr>
                          <w:rPr>
                            <w:rFonts w:ascii="Cambria Math" w:eastAsia="Arial Unicode MS" w:hAnsi="Cambria Math"/>
                            <w:i/>
                            <w:sz w:val="24"/>
                            <w:szCs w:val="24"/>
                          </w:rPr>
                        </m:ctrlPr>
                      </m:sSubPr>
                      <m:e>
                        <m:r>
                          <w:rPr>
                            <w:rFonts w:ascii="Cambria Math" w:eastAsia="Arial Unicode MS" w:hAnsi="Cambria Math"/>
                            <w:sz w:val="24"/>
                            <w:szCs w:val="24"/>
                          </w:rPr>
                          <m:t>T</m:t>
                        </m:r>
                      </m:e>
                      <m:sub>
                        <m:r>
                          <w:rPr>
                            <w:rFonts w:ascii="Cambria Math" w:eastAsia="Arial Unicode MS" w:hAnsi="Cambria Math"/>
                            <w:sz w:val="24"/>
                            <w:szCs w:val="24"/>
                          </w:rPr>
                          <m:t>withmodel</m:t>
                        </m:r>
                      </m:sub>
                    </m:sSub>
                  </m:num>
                  <m:den>
                    <m:sSub>
                      <m:sSubPr>
                        <m:ctrlPr>
                          <w:rPr>
                            <w:rFonts w:ascii="Cambria Math" w:eastAsia="Arial Unicode MS" w:hAnsi="Cambria Math"/>
                            <w:i/>
                            <w:sz w:val="24"/>
                            <w:szCs w:val="24"/>
                          </w:rPr>
                        </m:ctrlPr>
                      </m:sSubPr>
                      <m:e>
                        <m:r>
                          <w:rPr>
                            <w:rFonts w:ascii="Cambria Math" w:eastAsia="Arial Unicode MS" w:hAnsi="Cambria Math"/>
                            <w:sz w:val="24"/>
                            <w:szCs w:val="24"/>
                          </w:rPr>
                          <m:t>T</m:t>
                        </m:r>
                      </m:e>
                      <m:sub>
                        <m:r>
                          <w:rPr>
                            <w:rFonts w:ascii="Cambria Math" w:eastAsia="Arial Unicode MS" w:hAnsi="Cambria Math"/>
                            <w:sz w:val="24"/>
                            <w:szCs w:val="24"/>
                          </w:rPr>
                          <m:t>baseline</m:t>
                        </m:r>
                      </m:sub>
                    </m:sSub>
                  </m:den>
                </m:f>
              </m:oMath>
            </m:oMathPara>
          </w:p>
        </w:tc>
      </w:tr>
    </w:tbl>
    <w:p w14:paraId="2D76B0E9" w14:textId="77777777" w:rsidR="007C0019" w:rsidRPr="00DC2801" w:rsidRDefault="002431C8">
      <w:pPr>
        <w:spacing w:before="160" w:after="160"/>
        <w:rPr>
          <w:sz w:val="24"/>
          <w:szCs w:val="24"/>
        </w:rPr>
      </w:pPr>
      <w:r w:rsidRPr="00DC2801">
        <w:rPr>
          <w:sz w:val="24"/>
          <w:szCs w:val="24"/>
        </w:rPr>
        <w:t xml:space="preserve">Equation 1 guides model optimization through cross-validated loss minimization. Equations 2 through 5 define the metrics used to assess classification performance. Equation 6 enables </w:t>
      </w:r>
      <w:proofErr w:type="spellStart"/>
      <w:r w:rsidRPr="00DC2801">
        <w:rPr>
          <w:sz w:val="24"/>
          <w:szCs w:val="24"/>
        </w:rPr>
        <w:t>explainability</w:t>
      </w:r>
      <w:proofErr w:type="spellEnd"/>
      <w:r w:rsidRPr="00DC2801">
        <w:rPr>
          <w:sz w:val="24"/>
          <w:szCs w:val="24"/>
        </w:rPr>
        <w:t xml:space="preserve"> by quantifying individual feature contributions via SHAP. Equations 7 and 8 quantify integration effectiveness and operational impact during model deployment simulations.</w:t>
      </w:r>
    </w:p>
    <w:p w14:paraId="3D6DB083" w14:textId="77777777" w:rsidR="007C0019" w:rsidRPr="00DC2801" w:rsidRDefault="007C0019">
      <w:pPr>
        <w:rPr>
          <w:rFonts w:eastAsia="Times New Roman"/>
          <w:color w:val="0D0D0D"/>
          <w:sz w:val="24"/>
          <w:szCs w:val="24"/>
          <w:highlight w:val="white"/>
        </w:rPr>
      </w:pPr>
    </w:p>
    <w:p w14:paraId="34197193" w14:textId="77777777" w:rsidR="007C0019" w:rsidRPr="00DC2801" w:rsidRDefault="00DC2801">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60" w:after="160"/>
        <w:rPr>
          <w:rFonts w:eastAsia="Times New Roman"/>
          <w:b/>
          <w:color w:val="0D0D0D"/>
          <w:sz w:val="24"/>
          <w:szCs w:val="24"/>
          <w:highlight w:val="white"/>
        </w:rPr>
      </w:pPr>
      <w:r w:rsidRPr="00DC2801">
        <w:rPr>
          <w:rFonts w:eastAsia="Times New Roman"/>
          <w:b/>
          <w:color w:val="0D0D0D"/>
          <w:sz w:val="24"/>
          <w:szCs w:val="24"/>
          <w:highlight w:val="white"/>
        </w:rPr>
        <w:t>4.</w:t>
      </w:r>
      <w:r w:rsidRPr="00DC2801">
        <w:rPr>
          <w:rFonts w:eastAsia="Times New Roman"/>
          <w:b/>
          <w:color w:val="0D0D0D"/>
          <w:sz w:val="24"/>
          <w:szCs w:val="24"/>
          <w:highlight w:val="white"/>
        </w:rPr>
        <w:tab/>
        <w:t>Results and Discussion</w:t>
      </w:r>
    </w:p>
    <w:p w14:paraId="4F26E207" w14:textId="77777777" w:rsidR="007C0019" w:rsidRPr="00DC2801" w:rsidRDefault="002431C8">
      <w:pPr>
        <w:pStyle w:val="Heading3"/>
        <w:keepNext w:val="0"/>
        <w:keepLines w:val="0"/>
        <w:pBdr>
          <w:top w:val="none" w:sz="0" w:space="0" w:color="E3E3E3"/>
          <w:left w:val="none" w:sz="0" w:space="0" w:color="E3E3E3"/>
          <w:bottom w:val="none" w:sz="0" w:space="0" w:color="E3E3E3"/>
          <w:right w:val="none" w:sz="0" w:space="0" w:color="E3E3E3"/>
          <w:between w:val="none" w:sz="0" w:space="0" w:color="E3E3E3"/>
        </w:pBdr>
        <w:shd w:val="clear" w:color="auto" w:fill="FFFFFF"/>
        <w:spacing w:before="280"/>
        <w:rPr>
          <w:rFonts w:eastAsia="Times New Roman"/>
          <w:b/>
          <w:color w:val="0D0D0D"/>
          <w:sz w:val="24"/>
          <w:szCs w:val="24"/>
          <w:highlight w:val="white"/>
        </w:rPr>
      </w:pPr>
      <w:bookmarkStart w:id="8" w:name="_dn7dwl1y6aza" w:colFirst="0" w:colLast="0"/>
      <w:bookmarkEnd w:id="8"/>
      <w:r w:rsidRPr="00DC2801">
        <w:rPr>
          <w:rFonts w:eastAsia="Times New Roman"/>
          <w:b/>
          <w:color w:val="0D0D0D"/>
          <w:sz w:val="24"/>
          <w:szCs w:val="24"/>
          <w:highlight w:val="white"/>
        </w:rPr>
        <w:t>Predictive Performance Analysis of Machine Learning Algorithms in Patient Outcome Forecasting</w:t>
      </w:r>
    </w:p>
    <w:p w14:paraId="21BA0747" w14:textId="77777777" w:rsidR="007C0019" w:rsidRPr="00DC2801" w:rsidRDefault="002431C8">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60" w:after="160"/>
        <w:rPr>
          <w:rFonts w:eastAsia="Times New Roman"/>
          <w:color w:val="0D0D0D"/>
          <w:sz w:val="24"/>
          <w:szCs w:val="24"/>
          <w:highlight w:val="white"/>
        </w:rPr>
      </w:pPr>
      <w:r w:rsidRPr="00DC2801">
        <w:rPr>
          <w:rFonts w:eastAsia="Times New Roman"/>
          <w:color w:val="0D0D0D"/>
          <w:sz w:val="24"/>
          <w:szCs w:val="24"/>
          <w:highlight w:val="white"/>
        </w:rPr>
        <w:t xml:space="preserve">The strategic application of predictive analytics within healthcare continues to gain traction, particularly for optimizing resource allocation and improving patient outcomes. With machine learning (ML) technologies such as </w:t>
      </w:r>
      <w:proofErr w:type="spellStart"/>
      <w:r w:rsidRPr="00DC2801">
        <w:rPr>
          <w:rFonts w:eastAsia="Times New Roman"/>
          <w:color w:val="0D0D0D"/>
          <w:sz w:val="24"/>
          <w:szCs w:val="24"/>
          <w:highlight w:val="white"/>
        </w:rPr>
        <w:t>eXtreme</w:t>
      </w:r>
      <w:proofErr w:type="spellEnd"/>
      <w:r w:rsidRPr="00DC2801">
        <w:rPr>
          <w:rFonts w:eastAsia="Times New Roman"/>
          <w:color w:val="0D0D0D"/>
          <w:sz w:val="24"/>
          <w:szCs w:val="24"/>
          <w:highlight w:val="white"/>
        </w:rPr>
        <w:t xml:space="preserve"> Gradient Boosting </w:t>
      </w:r>
      <w:r w:rsidRPr="00DC2801">
        <w:rPr>
          <w:rFonts w:eastAsia="Times New Roman"/>
          <w:color w:val="0D0D0D"/>
          <w:sz w:val="24"/>
          <w:szCs w:val="24"/>
          <w:highlight w:val="white"/>
        </w:rPr>
        <w:lastRenderedPageBreak/>
        <w:t>(</w:t>
      </w:r>
      <w:proofErr w:type="spellStart"/>
      <w:r w:rsidRPr="00DC2801">
        <w:rPr>
          <w:rFonts w:eastAsia="Times New Roman"/>
          <w:color w:val="0D0D0D"/>
          <w:sz w:val="24"/>
          <w:szCs w:val="24"/>
          <w:highlight w:val="white"/>
        </w:rPr>
        <w:t>XGBoost</w:t>
      </w:r>
      <w:proofErr w:type="spellEnd"/>
      <w:r w:rsidRPr="00DC2801">
        <w:rPr>
          <w:rFonts w:eastAsia="Times New Roman"/>
          <w:color w:val="0D0D0D"/>
          <w:sz w:val="24"/>
          <w:szCs w:val="24"/>
          <w:highlight w:val="white"/>
        </w:rPr>
        <w:t>), there exists a growing interest in assessing their efficacy in forecasting critical health outcomes. This section evaluates the performance of such an algorithm in predicting 30-day ICU readmissions using simulated results to reflect clinical applicability, model reliability, and alignment with value-based care principles.</w:t>
      </w:r>
    </w:p>
    <w:p w14:paraId="78B5F55F" w14:textId="77777777" w:rsidR="007C0019" w:rsidRPr="00DC2801" w:rsidRDefault="002431C8">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60" w:after="160"/>
        <w:rPr>
          <w:rFonts w:eastAsia="Times New Roman"/>
          <w:color w:val="0D0D0D"/>
          <w:sz w:val="24"/>
          <w:szCs w:val="24"/>
          <w:highlight w:val="white"/>
        </w:rPr>
      </w:pPr>
      <w:r w:rsidRPr="00DC2801">
        <w:rPr>
          <w:rFonts w:eastAsia="Times New Roman"/>
          <w:color w:val="0D0D0D"/>
          <w:sz w:val="24"/>
          <w:szCs w:val="24"/>
          <w:highlight w:val="white"/>
        </w:rPr>
        <w:t>The predictive model demonstrated consistent performance across five validation folds. As shown in Table 2, the average AUC-ROC achieved was 0.884, indicating a strong discriminative capacity for identifying patients at high risk of readmission. Precision and recall values averaged 0.808 and 0.751, respectively, reflecting the model’s competence in correctly identifying true positives while minimizing false negatives. The F1-score of 0.764 further confirms a balanced performance across both precision and recall.</w:t>
      </w:r>
    </w:p>
    <w:p w14:paraId="779341C2" w14:textId="77777777" w:rsidR="007C0019" w:rsidRPr="00DC2801" w:rsidRDefault="002431C8">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60" w:after="160"/>
        <w:rPr>
          <w:rFonts w:eastAsia="Times New Roman"/>
          <w:color w:val="0D0D0D"/>
          <w:sz w:val="24"/>
          <w:szCs w:val="24"/>
          <w:highlight w:val="white"/>
        </w:rPr>
      </w:pPr>
      <w:r w:rsidRPr="00DC2801">
        <w:rPr>
          <w:rFonts w:eastAsia="Times New Roman"/>
          <w:b/>
          <w:color w:val="0D0D0D"/>
          <w:sz w:val="24"/>
          <w:szCs w:val="24"/>
          <w:highlight w:val="white"/>
        </w:rPr>
        <w:t xml:space="preserve">Table 2: </w:t>
      </w:r>
      <w:r w:rsidRPr="00DC2801">
        <w:rPr>
          <w:rFonts w:eastAsia="Times New Roman"/>
          <w:color w:val="0D0D0D"/>
          <w:sz w:val="24"/>
          <w:szCs w:val="24"/>
          <w:highlight w:val="white"/>
        </w:rPr>
        <w:t xml:space="preserve"> Performance Metrics of Predictive Model Across Five Validation Folds</w:t>
      </w:r>
    </w:p>
    <w:tbl>
      <w:tblPr>
        <w:tblStyle w:val="TableGrid"/>
        <w:tblW w:w="9702" w:type="dxa"/>
        <w:tblLayout w:type="fixed"/>
        <w:tblLook w:val="0600" w:firstRow="0" w:lastRow="0" w:firstColumn="0" w:lastColumn="0" w:noHBand="1" w:noVBand="1"/>
      </w:tblPr>
      <w:tblGrid>
        <w:gridCol w:w="1844"/>
        <w:gridCol w:w="2328"/>
        <w:gridCol w:w="2016"/>
        <w:gridCol w:w="1532"/>
        <w:gridCol w:w="1982"/>
      </w:tblGrid>
      <w:tr w:rsidR="007C0019" w:rsidRPr="00DC2801" w14:paraId="24D361BC" w14:textId="77777777" w:rsidTr="00DC4BFE">
        <w:trPr>
          <w:trHeight w:val="219"/>
        </w:trPr>
        <w:tc>
          <w:tcPr>
            <w:tcW w:w="1844" w:type="dxa"/>
          </w:tcPr>
          <w:p w14:paraId="674EA03E" w14:textId="77777777" w:rsidR="007C0019" w:rsidRPr="00DC2801" w:rsidRDefault="002431C8" w:rsidP="00DC4BFE">
            <w:pPr>
              <w:pBdr>
                <w:top w:val="none" w:sz="0" w:space="0" w:color="E3E3E3"/>
                <w:left w:val="none" w:sz="0" w:space="0" w:color="E3E3E3"/>
                <w:bottom w:val="none" w:sz="0" w:space="0" w:color="E3E3E3"/>
                <w:right w:val="none" w:sz="0" w:space="0" w:color="E3E3E3"/>
                <w:between w:val="none" w:sz="0" w:space="0" w:color="E3E3E3"/>
              </w:pBdr>
              <w:shd w:val="clear" w:color="auto" w:fill="FFFFFF"/>
              <w:jc w:val="center"/>
              <w:rPr>
                <w:rFonts w:eastAsia="Times New Roman"/>
                <w:color w:val="0D0D0D"/>
                <w:sz w:val="24"/>
                <w:szCs w:val="24"/>
                <w:highlight w:val="white"/>
              </w:rPr>
            </w:pPr>
            <w:r w:rsidRPr="00DC2801">
              <w:rPr>
                <w:rFonts w:eastAsia="Times New Roman"/>
                <w:b/>
                <w:color w:val="0D0D0D"/>
                <w:sz w:val="24"/>
                <w:szCs w:val="24"/>
                <w:highlight w:val="white"/>
              </w:rPr>
              <w:t>Fold</w:t>
            </w:r>
          </w:p>
        </w:tc>
        <w:tc>
          <w:tcPr>
            <w:tcW w:w="2328" w:type="dxa"/>
          </w:tcPr>
          <w:p w14:paraId="4E665299" w14:textId="77777777" w:rsidR="007C0019" w:rsidRPr="00DC2801" w:rsidRDefault="002431C8" w:rsidP="00DC4BFE">
            <w:pPr>
              <w:pBdr>
                <w:top w:val="none" w:sz="0" w:space="0" w:color="E3E3E3"/>
                <w:left w:val="none" w:sz="0" w:space="0" w:color="E3E3E3"/>
                <w:bottom w:val="none" w:sz="0" w:space="0" w:color="E3E3E3"/>
                <w:right w:val="none" w:sz="0" w:space="0" w:color="E3E3E3"/>
                <w:between w:val="none" w:sz="0" w:space="0" w:color="E3E3E3"/>
              </w:pBdr>
              <w:shd w:val="clear" w:color="auto" w:fill="FFFFFF"/>
              <w:jc w:val="center"/>
              <w:rPr>
                <w:rFonts w:eastAsia="Times New Roman"/>
                <w:color w:val="0D0D0D"/>
                <w:sz w:val="24"/>
                <w:szCs w:val="24"/>
                <w:highlight w:val="white"/>
              </w:rPr>
            </w:pPr>
            <w:r w:rsidRPr="00DC2801">
              <w:rPr>
                <w:rFonts w:eastAsia="Times New Roman"/>
                <w:b/>
                <w:color w:val="0D0D0D"/>
                <w:sz w:val="24"/>
                <w:szCs w:val="24"/>
                <w:highlight w:val="white"/>
              </w:rPr>
              <w:t>AUC-ROC</w:t>
            </w:r>
          </w:p>
        </w:tc>
        <w:tc>
          <w:tcPr>
            <w:tcW w:w="2016" w:type="dxa"/>
          </w:tcPr>
          <w:p w14:paraId="467B9CE3" w14:textId="77777777" w:rsidR="007C0019" w:rsidRPr="00DC2801" w:rsidRDefault="002431C8" w:rsidP="00DC4BFE">
            <w:pPr>
              <w:pBdr>
                <w:top w:val="none" w:sz="0" w:space="0" w:color="E3E3E3"/>
                <w:left w:val="none" w:sz="0" w:space="0" w:color="E3E3E3"/>
                <w:bottom w:val="none" w:sz="0" w:space="0" w:color="E3E3E3"/>
                <w:right w:val="none" w:sz="0" w:space="0" w:color="E3E3E3"/>
                <w:between w:val="none" w:sz="0" w:space="0" w:color="E3E3E3"/>
              </w:pBdr>
              <w:shd w:val="clear" w:color="auto" w:fill="FFFFFF"/>
              <w:jc w:val="center"/>
              <w:rPr>
                <w:rFonts w:eastAsia="Times New Roman"/>
                <w:color w:val="0D0D0D"/>
                <w:sz w:val="24"/>
                <w:szCs w:val="24"/>
                <w:highlight w:val="white"/>
              </w:rPr>
            </w:pPr>
            <w:r w:rsidRPr="00DC2801">
              <w:rPr>
                <w:rFonts w:eastAsia="Times New Roman"/>
                <w:b/>
                <w:color w:val="0D0D0D"/>
                <w:sz w:val="24"/>
                <w:szCs w:val="24"/>
                <w:highlight w:val="white"/>
              </w:rPr>
              <w:t>Precision</w:t>
            </w:r>
          </w:p>
        </w:tc>
        <w:tc>
          <w:tcPr>
            <w:tcW w:w="1532" w:type="dxa"/>
          </w:tcPr>
          <w:p w14:paraId="0F3E7A1F" w14:textId="77777777" w:rsidR="007C0019" w:rsidRPr="00DC2801" w:rsidRDefault="002431C8" w:rsidP="00DC4BFE">
            <w:pPr>
              <w:pBdr>
                <w:top w:val="none" w:sz="0" w:space="0" w:color="E3E3E3"/>
                <w:left w:val="none" w:sz="0" w:space="0" w:color="E3E3E3"/>
                <w:bottom w:val="none" w:sz="0" w:space="0" w:color="E3E3E3"/>
                <w:right w:val="none" w:sz="0" w:space="0" w:color="E3E3E3"/>
                <w:between w:val="none" w:sz="0" w:space="0" w:color="E3E3E3"/>
              </w:pBdr>
              <w:shd w:val="clear" w:color="auto" w:fill="FFFFFF"/>
              <w:jc w:val="center"/>
              <w:rPr>
                <w:rFonts w:eastAsia="Times New Roman"/>
                <w:color w:val="0D0D0D"/>
                <w:sz w:val="24"/>
                <w:szCs w:val="24"/>
                <w:highlight w:val="white"/>
              </w:rPr>
            </w:pPr>
            <w:r w:rsidRPr="00DC2801">
              <w:rPr>
                <w:rFonts w:eastAsia="Times New Roman"/>
                <w:b/>
                <w:color w:val="0D0D0D"/>
                <w:sz w:val="24"/>
                <w:szCs w:val="24"/>
                <w:highlight w:val="white"/>
              </w:rPr>
              <w:t>Recall</w:t>
            </w:r>
          </w:p>
        </w:tc>
        <w:tc>
          <w:tcPr>
            <w:tcW w:w="1982" w:type="dxa"/>
          </w:tcPr>
          <w:p w14:paraId="6ADFBFF1" w14:textId="77777777" w:rsidR="007C0019" w:rsidRPr="00DC2801" w:rsidRDefault="002431C8" w:rsidP="00DC4BFE">
            <w:pPr>
              <w:pBdr>
                <w:top w:val="none" w:sz="0" w:space="0" w:color="E3E3E3"/>
                <w:left w:val="none" w:sz="0" w:space="0" w:color="E3E3E3"/>
                <w:bottom w:val="none" w:sz="0" w:space="0" w:color="E3E3E3"/>
                <w:right w:val="none" w:sz="0" w:space="0" w:color="E3E3E3"/>
                <w:between w:val="none" w:sz="0" w:space="0" w:color="E3E3E3"/>
              </w:pBdr>
              <w:shd w:val="clear" w:color="auto" w:fill="FFFFFF"/>
              <w:jc w:val="center"/>
              <w:rPr>
                <w:rFonts w:eastAsia="Times New Roman"/>
                <w:color w:val="0D0D0D"/>
                <w:sz w:val="24"/>
                <w:szCs w:val="24"/>
                <w:highlight w:val="white"/>
              </w:rPr>
            </w:pPr>
            <w:r w:rsidRPr="00DC2801">
              <w:rPr>
                <w:rFonts w:eastAsia="Times New Roman"/>
                <w:b/>
                <w:color w:val="0D0D0D"/>
                <w:sz w:val="24"/>
                <w:szCs w:val="24"/>
                <w:highlight w:val="white"/>
              </w:rPr>
              <w:t>F1-Score</w:t>
            </w:r>
          </w:p>
        </w:tc>
      </w:tr>
      <w:tr w:rsidR="007C0019" w:rsidRPr="00DC2801" w14:paraId="0A33EE0F" w14:textId="77777777" w:rsidTr="00DC4BFE">
        <w:trPr>
          <w:trHeight w:val="219"/>
        </w:trPr>
        <w:tc>
          <w:tcPr>
            <w:tcW w:w="1844" w:type="dxa"/>
          </w:tcPr>
          <w:p w14:paraId="5C593366" w14:textId="77777777" w:rsidR="007C0019" w:rsidRPr="00DC2801" w:rsidRDefault="002431C8" w:rsidP="00DC4BFE">
            <w:pPr>
              <w:pBdr>
                <w:top w:val="none" w:sz="0" w:space="0" w:color="E3E3E3"/>
                <w:left w:val="none" w:sz="0" w:space="0" w:color="E3E3E3"/>
                <w:bottom w:val="none" w:sz="0" w:space="0" w:color="E3E3E3"/>
                <w:right w:val="none" w:sz="0" w:space="0" w:color="E3E3E3"/>
                <w:between w:val="none" w:sz="0" w:space="0" w:color="E3E3E3"/>
              </w:pBdr>
              <w:shd w:val="clear" w:color="auto" w:fill="FFFFFF"/>
              <w:rPr>
                <w:rFonts w:eastAsia="Times New Roman"/>
                <w:color w:val="0D0D0D"/>
                <w:sz w:val="24"/>
                <w:szCs w:val="24"/>
                <w:highlight w:val="white"/>
              </w:rPr>
            </w:pPr>
            <w:r w:rsidRPr="00DC2801">
              <w:rPr>
                <w:rFonts w:eastAsia="Times New Roman"/>
                <w:color w:val="0D0D0D"/>
                <w:sz w:val="24"/>
                <w:szCs w:val="24"/>
                <w:highlight w:val="white"/>
              </w:rPr>
              <w:t>1</w:t>
            </w:r>
          </w:p>
        </w:tc>
        <w:tc>
          <w:tcPr>
            <w:tcW w:w="2328" w:type="dxa"/>
          </w:tcPr>
          <w:p w14:paraId="6515C28B" w14:textId="77777777" w:rsidR="007C0019" w:rsidRPr="00DC2801" w:rsidRDefault="002431C8" w:rsidP="00DC4BFE">
            <w:pPr>
              <w:pBdr>
                <w:top w:val="none" w:sz="0" w:space="0" w:color="E3E3E3"/>
                <w:left w:val="none" w:sz="0" w:space="0" w:color="E3E3E3"/>
                <w:bottom w:val="none" w:sz="0" w:space="0" w:color="E3E3E3"/>
                <w:right w:val="none" w:sz="0" w:space="0" w:color="E3E3E3"/>
                <w:between w:val="none" w:sz="0" w:space="0" w:color="E3E3E3"/>
              </w:pBdr>
              <w:shd w:val="clear" w:color="auto" w:fill="FFFFFF"/>
              <w:rPr>
                <w:rFonts w:eastAsia="Times New Roman"/>
                <w:color w:val="0D0D0D"/>
                <w:sz w:val="24"/>
                <w:szCs w:val="24"/>
                <w:highlight w:val="white"/>
              </w:rPr>
            </w:pPr>
            <w:r w:rsidRPr="00DC2801">
              <w:rPr>
                <w:rFonts w:eastAsia="Times New Roman"/>
                <w:color w:val="0D0D0D"/>
                <w:sz w:val="24"/>
                <w:szCs w:val="24"/>
                <w:highlight w:val="white"/>
              </w:rPr>
              <w:t>0.872</w:t>
            </w:r>
          </w:p>
        </w:tc>
        <w:tc>
          <w:tcPr>
            <w:tcW w:w="2016" w:type="dxa"/>
          </w:tcPr>
          <w:p w14:paraId="0ED53D52" w14:textId="77777777" w:rsidR="007C0019" w:rsidRPr="00DC2801" w:rsidRDefault="002431C8" w:rsidP="00DC4BFE">
            <w:pPr>
              <w:pBdr>
                <w:top w:val="none" w:sz="0" w:space="0" w:color="E3E3E3"/>
                <w:left w:val="none" w:sz="0" w:space="0" w:color="E3E3E3"/>
                <w:bottom w:val="none" w:sz="0" w:space="0" w:color="E3E3E3"/>
                <w:right w:val="none" w:sz="0" w:space="0" w:color="E3E3E3"/>
                <w:between w:val="none" w:sz="0" w:space="0" w:color="E3E3E3"/>
              </w:pBdr>
              <w:shd w:val="clear" w:color="auto" w:fill="FFFFFF"/>
              <w:rPr>
                <w:rFonts w:eastAsia="Times New Roman"/>
                <w:color w:val="0D0D0D"/>
                <w:sz w:val="24"/>
                <w:szCs w:val="24"/>
                <w:highlight w:val="white"/>
              </w:rPr>
            </w:pPr>
            <w:r w:rsidRPr="00DC2801">
              <w:rPr>
                <w:rFonts w:eastAsia="Times New Roman"/>
                <w:color w:val="0D0D0D"/>
                <w:sz w:val="24"/>
                <w:szCs w:val="24"/>
                <w:highlight w:val="white"/>
              </w:rPr>
              <w:t>0.789</w:t>
            </w:r>
          </w:p>
        </w:tc>
        <w:tc>
          <w:tcPr>
            <w:tcW w:w="1532" w:type="dxa"/>
          </w:tcPr>
          <w:p w14:paraId="259E18B4" w14:textId="77777777" w:rsidR="007C0019" w:rsidRPr="00DC2801" w:rsidRDefault="002431C8" w:rsidP="00DC4BFE">
            <w:pPr>
              <w:pBdr>
                <w:top w:val="none" w:sz="0" w:space="0" w:color="E3E3E3"/>
                <w:left w:val="none" w:sz="0" w:space="0" w:color="E3E3E3"/>
                <w:bottom w:val="none" w:sz="0" w:space="0" w:color="E3E3E3"/>
                <w:right w:val="none" w:sz="0" w:space="0" w:color="E3E3E3"/>
                <w:between w:val="none" w:sz="0" w:space="0" w:color="E3E3E3"/>
              </w:pBdr>
              <w:shd w:val="clear" w:color="auto" w:fill="FFFFFF"/>
              <w:rPr>
                <w:rFonts w:eastAsia="Times New Roman"/>
                <w:color w:val="0D0D0D"/>
                <w:sz w:val="24"/>
                <w:szCs w:val="24"/>
                <w:highlight w:val="white"/>
              </w:rPr>
            </w:pPr>
            <w:r w:rsidRPr="00DC2801">
              <w:rPr>
                <w:rFonts w:eastAsia="Times New Roman"/>
                <w:color w:val="0D0D0D"/>
                <w:sz w:val="24"/>
                <w:szCs w:val="24"/>
                <w:highlight w:val="white"/>
              </w:rPr>
              <w:t>0.721</w:t>
            </w:r>
          </w:p>
        </w:tc>
        <w:tc>
          <w:tcPr>
            <w:tcW w:w="1982" w:type="dxa"/>
          </w:tcPr>
          <w:p w14:paraId="3D2687C9" w14:textId="77777777" w:rsidR="007C0019" w:rsidRPr="00DC2801" w:rsidRDefault="002431C8" w:rsidP="00DC4BFE">
            <w:pPr>
              <w:pBdr>
                <w:top w:val="none" w:sz="0" w:space="0" w:color="E3E3E3"/>
                <w:left w:val="none" w:sz="0" w:space="0" w:color="E3E3E3"/>
                <w:bottom w:val="none" w:sz="0" w:space="0" w:color="E3E3E3"/>
                <w:right w:val="none" w:sz="0" w:space="0" w:color="E3E3E3"/>
                <w:between w:val="none" w:sz="0" w:space="0" w:color="E3E3E3"/>
              </w:pBdr>
              <w:shd w:val="clear" w:color="auto" w:fill="FFFFFF"/>
              <w:rPr>
                <w:rFonts w:eastAsia="Times New Roman"/>
                <w:color w:val="0D0D0D"/>
                <w:sz w:val="24"/>
                <w:szCs w:val="24"/>
                <w:highlight w:val="white"/>
              </w:rPr>
            </w:pPr>
            <w:r w:rsidRPr="00DC2801">
              <w:rPr>
                <w:rFonts w:eastAsia="Times New Roman"/>
                <w:color w:val="0D0D0D"/>
                <w:sz w:val="24"/>
                <w:szCs w:val="24"/>
                <w:highlight w:val="white"/>
              </w:rPr>
              <w:t>0.753</w:t>
            </w:r>
          </w:p>
        </w:tc>
      </w:tr>
      <w:tr w:rsidR="007C0019" w:rsidRPr="00DC2801" w14:paraId="56BFBBC8" w14:textId="77777777" w:rsidTr="00DC4BFE">
        <w:trPr>
          <w:trHeight w:val="219"/>
        </w:trPr>
        <w:tc>
          <w:tcPr>
            <w:tcW w:w="1844" w:type="dxa"/>
          </w:tcPr>
          <w:p w14:paraId="0540663B" w14:textId="77777777" w:rsidR="007C0019" w:rsidRPr="00DC2801" w:rsidRDefault="002431C8" w:rsidP="00DC4BFE">
            <w:pPr>
              <w:pBdr>
                <w:top w:val="none" w:sz="0" w:space="0" w:color="E3E3E3"/>
                <w:left w:val="none" w:sz="0" w:space="0" w:color="E3E3E3"/>
                <w:bottom w:val="none" w:sz="0" w:space="0" w:color="E3E3E3"/>
                <w:right w:val="none" w:sz="0" w:space="0" w:color="E3E3E3"/>
                <w:between w:val="none" w:sz="0" w:space="0" w:color="E3E3E3"/>
              </w:pBdr>
              <w:shd w:val="clear" w:color="auto" w:fill="FFFFFF"/>
              <w:rPr>
                <w:rFonts w:eastAsia="Times New Roman"/>
                <w:color w:val="0D0D0D"/>
                <w:sz w:val="24"/>
                <w:szCs w:val="24"/>
                <w:highlight w:val="white"/>
              </w:rPr>
            </w:pPr>
            <w:r w:rsidRPr="00DC2801">
              <w:rPr>
                <w:rFonts w:eastAsia="Times New Roman"/>
                <w:color w:val="0D0D0D"/>
                <w:sz w:val="24"/>
                <w:szCs w:val="24"/>
                <w:highlight w:val="white"/>
              </w:rPr>
              <w:t>2</w:t>
            </w:r>
          </w:p>
        </w:tc>
        <w:tc>
          <w:tcPr>
            <w:tcW w:w="2328" w:type="dxa"/>
          </w:tcPr>
          <w:p w14:paraId="129EA26E" w14:textId="77777777" w:rsidR="007C0019" w:rsidRPr="00DC2801" w:rsidRDefault="002431C8" w:rsidP="00DC4BFE">
            <w:pPr>
              <w:pBdr>
                <w:top w:val="none" w:sz="0" w:space="0" w:color="E3E3E3"/>
                <w:left w:val="none" w:sz="0" w:space="0" w:color="E3E3E3"/>
                <w:bottom w:val="none" w:sz="0" w:space="0" w:color="E3E3E3"/>
                <w:right w:val="none" w:sz="0" w:space="0" w:color="E3E3E3"/>
                <w:between w:val="none" w:sz="0" w:space="0" w:color="E3E3E3"/>
              </w:pBdr>
              <w:shd w:val="clear" w:color="auto" w:fill="FFFFFF"/>
              <w:rPr>
                <w:rFonts w:eastAsia="Times New Roman"/>
                <w:color w:val="0D0D0D"/>
                <w:sz w:val="24"/>
                <w:szCs w:val="24"/>
                <w:highlight w:val="white"/>
              </w:rPr>
            </w:pPr>
            <w:r w:rsidRPr="00DC2801">
              <w:rPr>
                <w:rFonts w:eastAsia="Times New Roman"/>
                <w:color w:val="0D0D0D"/>
                <w:sz w:val="24"/>
                <w:szCs w:val="24"/>
                <w:highlight w:val="white"/>
              </w:rPr>
              <w:t>0.907</w:t>
            </w:r>
          </w:p>
        </w:tc>
        <w:tc>
          <w:tcPr>
            <w:tcW w:w="2016" w:type="dxa"/>
          </w:tcPr>
          <w:p w14:paraId="6ACA03E4" w14:textId="77777777" w:rsidR="007C0019" w:rsidRPr="00DC2801" w:rsidRDefault="002431C8" w:rsidP="00DC4BFE">
            <w:pPr>
              <w:pBdr>
                <w:top w:val="none" w:sz="0" w:space="0" w:color="E3E3E3"/>
                <w:left w:val="none" w:sz="0" w:space="0" w:color="E3E3E3"/>
                <w:bottom w:val="none" w:sz="0" w:space="0" w:color="E3E3E3"/>
                <w:right w:val="none" w:sz="0" w:space="0" w:color="E3E3E3"/>
                <w:between w:val="none" w:sz="0" w:space="0" w:color="E3E3E3"/>
              </w:pBdr>
              <w:shd w:val="clear" w:color="auto" w:fill="FFFFFF"/>
              <w:rPr>
                <w:rFonts w:eastAsia="Times New Roman"/>
                <w:color w:val="0D0D0D"/>
                <w:sz w:val="24"/>
                <w:szCs w:val="24"/>
                <w:highlight w:val="white"/>
              </w:rPr>
            </w:pPr>
            <w:r w:rsidRPr="00DC2801">
              <w:rPr>
                <w:rFonts w:eastAsia="Times New Roman"/>
                <w:color w:val="0D0D0D"/>
                <w:sz w:val="24"/>
                <w:szCs w:val="24"/>
                <w:highlight w:val="white"/>
              </w:rPr>
              <w:t>0.783</w:t>
            </w:r>
          </w:p>
        </w:tc>
        <w:tc>
          <w:tcPr>
            <w:tcW w:w="1532" w:type="dxa"/>
          </w:tcPr>
          <w:p w14:paraId="630428ED" w14:textId="77777777" w:rsidR="007C0019" w:rsidRPr="00DC2801" w:rsidRDefault="002431C8" w:rsidP="00DC4BFE">
            <w:pPr>
              <w:pBdr>
                <w:top w:val="none" w:sz="0" w:space="0" w:color="E3E3E3"/>
                <w:left w:val="none" w:sz="0" w:space="0" w:color="E3E3E3"/>
                <w:bottom w:val="none" w:sz="0" w:space="0" w:color="E3E3E3"/>
                <w:right w:val="none" w:sz="0" w:space="0" w:color="E3E3E3"/>
                <w:between w:val="none" w:sz="0" w:space="0" w:color="E3E3E3"/>
              </w:pBdr>
              <w:shd w:val="clear" w:color="auto" w:fill="FFFFFF"/>
              <w:rPr>
                <w:rFonts w:eastAsia="Times New Roman"/>
                <w:color w:val="0D0D0D"/>
                <w:sz w:val="24"/>
                <w:szCs w:val="24"/>
                <w:highlight w:val="white"/>
              </w:rPr>
            </w:pPr>
            <w:r w:rsidRPr="00DC2801">
              <w:rPr>
                <w:rFonts w:eastAsia="Times New Roman"/>
                <w:color w:val="0D0D0D"/>
                <w:sz w:val="24"/>
                <w:szCs w:val="24"/>
                <w:highlight w:val="white"/>
              </w:rPr>
              <w:t>0.788</w:t>
            </w:r>
          </w:p>
        </w:tc>
        <w:tc>
          <w:tcPr>
            <w:tcW w:w="1982" w:type="dxa"/>
          </w:tcPr>
          <w:p w14:paraId="31A309E7" w14:textId="77777777" w:rsidR="007C0019" w:rsidRPr="00DC2801" w:rsidRDefault="002431C8" w:rsidP="00DC4BFE">
            <w:pPr>
              <w:pBdr>
                <w:top w:val="none" w:sz="0" w:space="0" w:color="E3E3E3"/>
                <w:left w:val="none" w:sz="0" w:space="0" w:color="E3E3E3"/>
                <w:bottom w:val="none" w:sz="0" w:space="0" w:color="E3E3E3"/>
                <w:right w:val="none" w:sz="0" w:space="0" w:color="E3E3E3"/>
                <w:between w:val="none" w:sz="0" w:space="0" w:color="E3E3E3"/>
              </w:pBdr>
              <w:shd w:val="clear" w:color="auto" w:fill="FFFFFF"/>
              <w:rPr>
                <w:rFonts w:eastAsia="Times New Roman"/>
                <w:color w:val="0D0D0D"/>
                <w:sz w:val="24"/>
                <w:szCs w:val="24"/>
                <w:highlight w:val="white"/>
              </w:rPr>
            </w:pPr>
            <w:r w:rsidRPr="00DC2801">
              <w:rPr>
                <w:rFonts w:eastAsia="Times New Roman"/>
                <w:color w:val="0D0D0D"/>
                <w:sz w:val="24"/>
                <w:szCs w:val="24"/>
                <w:highlight w:val="white"/>
              </w:rPr>
              <w:t>0.761</w:t>
            </w:r>
          </w:p>
        </w:tc>
      </w:tr>
      <w:tr w:rsidR="007C0019" w:rsidRPr="00DC2801" w14:paraId="56A65542" w14:textId="77777777" w:rsidTr="00DC4BFE">
        <w:trPr>
          <w:trHeight w:val="219"/>
        </w:trPr>
        <w:tc>
          <w:tcPr>
            <w:tcW w:w="1844" w:type="dxa"/>
          </w:tcPr>
          <w:p w14:paraId="1493D1D5" w14:textId="77777777" w:rsidR="007C0019" w:rsidRPr="00DC2801" w:rsidRDefault="002431C8" w:rsidP="00DC4BFE">
            <w:pPr>
              <w:pBdr>
                <w:top w:val="none" w:sz="0" w:space="0" w:color="E3E3E3"/>
                <w:left w:val="none" w:sz="0" w:space="0" w:color="E3E3E3"/>
                <w:bottom w:val="none" w:sz="0" w:space="0" w:color="E3E3E3"/>
                <w:right w:val="none" w:sz="0" w:space="0" w:color="E3E3E3"/>
                <w:between w:val="none" w:sz="0" w:space="0" w:color="E3E3E3"/>
              </w:pBdr>
              <w:shd w:val="clear" w:color="auto" w:fill="FFFFFF"/>
              <w:rPr>
                <w:rFonts w:eastAsia="Times New Roman"/>
                <w:color w:val="0D0D0D"/>
                <w:sz w:val="24"/>
                <w:szCs w:val="24"/>
                <w:highlight w:val="white"/>
              </w:rPr>
            </w:pPr>
            <w:r w:rsidRPr="00DC2801">
              <w:rPr>
                <w:rFonts w:eastAsia="Times New Roman"/>
                <w:color w:val="0D0D0D"/>
                <w:sz w:val="24"/>
                <w:szCs w:val="24"/>
                <w:highlight w:val="white"/>
              </w:rPr>
              <w:t>3</w:t>
            </w:r>
          </w:p>
        </w:tc>
        <w:tc>
          <w:tcPr>
            <w:tcW w:w="2328" w:type="dxa"/>
          </w:tcPr>
          <w:p w14:paraId="05E59A9F" w14:textId="77777777" w:rsidR="007C0019" w:rsidRPr="00DC2801" w:rsidRDefault="002431C8" w:rsidP="00DC4BFE">
            <w:pPr>
              <w:pBdr>
                <w:top w:val="none" w:sz="0" w:space="0" w:color="E3E3E3"/>
                <w:left w:val="none" w:sz="0" w:space="0" w:color="E3E3E3"/>
                <w:bottom w:val="none" w:sz="0" w:space="0" w:color="E3E3E3"/>
                <w:right w:val="none" w:sz="0" w:space="0" w:color="E3E3E3"/>
                <w:between w:val="none" w:sz="0" w:space="0" w:color="E3E3E3"/>
              </w:pBdr>
              <w:shd w:val="clear" w:color="auto" w:fill="FFFFFF"/>
              <w:rPr>
                <w:rFonts w:eastAsia="Times New Roman"/>
                <w:color w:val="0D0D0D"/>
                <w:sz w:val="24"/>
                <w:szCs w:val="24"/>
                <w:highlight w:val="white"/>
              </w:rPr>
            </w:pPr>
            <w:r w:rsidRPr="00DC2801">
              <w:rPr>
                <w:rFonts w:eastAsia="Times New Roman"/>
                <w:color w:val="0D0D0D"/>
                <w:sz w:val="24"/>
                <w:szCs w:val="24"/>
                <w:highlight w:val="white"/>
              </w:rPr>
              <w:t>0.894</w:t>
            </w:r>
          </w:p>
        </w:tc>
        <w:tc>
          <w:tcPr>
            <w:tcW w:w="2016" w:type="dxa"/>
          </w:tcPr>
          <w:p w14:paraId="546968C1" w14:textId="77777777" w:rsidR="007C0019" w:rsidRPr="00DC2801" w:rsidRDefault="002431C8" w:rsidP="00DC4BFE">
            <w:pPr>
              <w:pBdr>
                <w:top w:val="none" w:sz="0" w:space="0" w:color="E3E3E3"/>
                <w:left w:val="none" w:sz="0" w:space="0" w:color="E3E3E3"/>
                <w:bottom w:val="none" w:sz="0" w:space="0" w:color="E3E3E3"/>
                <w:right w:val="none" w:sz="0" w:space="0" w:color="E3E3E3"/>
                <w:between w:val="none" w:sz="0" w:space="0" w:color="E3E3E3"/>
              </w:pBdr>
              <w:shd w:val="clear" w:color="auto" w:fill="FFFFFF"/>
              <w:rPr>
                <w:rFonts w:eastAsia="Times New Roman"/>
                <w:color w:val="0D0D0D"/>
                <w:sz w:val="24"/>
                <w:szCs w:val="24"/>
                <w:highlight w:val="white"/>
              </w:rPr>
            </w:pPr>
            <w:r w:rsidRPr="00DC2801">
              <w:rPr>
                <w:rFonts w:eastAsia="Times New Roman"/>
                <w:color w:val="0D0D0D"/>
                <w:sz w:val="24"/>
                <w:szCs w:val="24"/>
                <w:highlight w:val="white"/>
              </w:rPr>
              <w:t>0.832</w:t>
            </w:r>
          </w:p>
        </w:tc>
        <w:tc>
          <w:tcPr>
            <w:tcW w:w="1532" w:type="dxa"/>
          </w:tcPr>
          <w:p w14:paraId="6AE48748" w14:textId="77777777" w:rsidR="007C0019" w:rsidRPr="00DC2801" w:rsidRDefault="002431C8" w:rsidP="00DC4BFE">
            <w:pPr>
              <w:pBdr>
                <w:top w:val="none" w:sz="0" w:space="0" w:color="E3E3E3"/>
                <w:left w:val="none" w:sz="0" w:space="0" w:color="E3E3E3"/>
                <w:bottom w:val="none" w:sz="0" w:space="0" w:color="E3E3E3"/>
                <w:right w:val="none" w:sz="0" w:space="0" w:color="E3E3E3"/>
                <w:between w:val="none" w:sz="0" w:space="0" w:color="E3E3E3"/>
              </w:pBdr>
              <w:shd w:val="clear" w:color="auto" w:fill="FFFFFF"/>
              <w:rPr>
                <w:rFonts w:eastAsia="Times New Roman"/>
                <w:color w:val="0D0D0D"/>
                <w:sz w:val="24"/>
                <w:szCs w:val="24"/>
                <w:highlight w:val="white"/>
              </w:rPr>
            </w:pPr>
            <w:r w:rsidRPr="00DC2801">
              <w:rPr>
                <w:rFonts w:eastAsia="Times New Roman"/>
                <w:color w:val="0D0D0D"/>
                <w:sz w:val="24"/>
                <w:szCs w:val="24"/>
                <w:highlight w:val="white"/>
              </w:rPr>
              <w:t>0.778</w:t>
            </w:r>
          </w:p>
        </w:tc>
        <w:tc>
          <w:tcPr>
            <w:tcW w:w="1982" w:type="dxa"/>
          </w:tcPr>
          <w:p w14:paraId="5C26C6D2" w14:textId="77777777" w:rsidR="007C0019" w:rsidRPr="00DC2801" w:rsidRDefault="002431C8" w:rsidP="00DC4BFE">
            <w:pPr>
              <w:pBdr>
                <w:top w:val="none" w:sz="0" w:space="0" w:color="E3E3E3"/>
                <w:left w:val="none" w:sz="0" w:space="0" w:color="E3E3E3"/>
                <w:bottom w:val="none" w:sz="0" w:space="0" w:color="E3E3E3"/>
                <w:right w:val="none" w:sz="0" w:space="0" w:color="E3E3E3"/>
                <w:between w:val="none" w:sz="0" w:space="0" w:color="E3E3E3"/>
              </w:pBdr>
              <w:shd w:val="clear" w:color="auto" w:fill="FFFFFF"/>
              <w:rPr>
                <w:rFonts w:eastAsia="Times New Roman"/>
                <w:color w:val="0D0D0D"/>
                <w:sz w:val="24"/>
                <w:szCs w:val="24"/>
                <w:highlight w:val="white"/>
              </w:rPr>
            </w:pPr>
            <w:r w:rsidRPr="00DC2801">
              <w:rPr>
                <w:rFonts w:eastAsia="Times New Roman"/>
                <w:color w:val="0D0D0D"/>
                <w:sz w:val="24"/>
                <w:szCs w:val="24"/>
                <w:highlight w:val="white"/>
              </w:rPr>
              <w:t>0.777</w:t>
            </w:r>
          </w:p>
        </w:tc>
      </w:tr>
      <w:tr w:rsidR="007C0019" w:rsidRPr="00DC2801" w14:paraId="682DA6E5" w14:textId="77777777" w:rsidTr="00DC4BFE">
        <w:trPr>
          <w:trHeight w:val="219"/>
        </w:trPr>
        <w:tc>
          <w:tcPr>
            <w:tcW w:w="1844" w:type="dxa"/>
          </w:tcPr>
          <w:p w14:paraId="46219F31" w14:textId="77777777" w:rsidR="007C0019" w:rsidRPr="00DC2801" w:rsidRDefault="002431C8" w:rsidP="00DC4BFE">
            <w:pPr>
              <w:pBdr>
                <w:top w:val="none" w:sz="0" w:space="0" w:color="E3E3E3"/>
                <w:left w:val="none" w:sz="0" w:space="0" w:color="E3E3E3"/>
                <w:bottom w:val="none" w:sz="0" w:space="0" w:color="E3E3E3"/>
                <w:right w:val="none" w:sz="0" w:space="0" w:color="E3E3E3"/>
                <w:between w:val="none" w:sz="0" w:space="0" w:color="E3E3E3"/>
              </w:pBdr>
              <w:shd w:val="clear" w:color="auto" w:fill="FFFFFF"/>
              <w:rPr>
                <w:rFonts w:eastAsia="Times New Roman"/>
                <w:color w:val="0D0D0D"/>
                <w:sz w:val="24"/>
                <w:szCs w:val="24"/>
                <w:highlight w:val="white"/>
              </w:rPr>
            </w:pPr>
            <w:r w:rsidRPr="00DC2801">
              <w:rPr>
                <w:rFonts w:eastAsia="Times New Roman"/>
                <w:color w:val="0D0D0D"/>
                <w:sz w:val="24"/>
                <w:szCs w:val="24"/>
                <w:highlight w:val="white"/>
              </w:rPr>
              <w:t>4</w:t>
            </w:r>
          </w:p>
        </w:tc>
        <w:tc>
          <w:tcPr>
            <w:tcW w:w="2328" w:type="dxa"/>
          </w:tcPr>
          <w:p w14:paraId="12E4E8F4" w14:textId="77777777" w:rsidR="007C0019" w:rsidRPr="00DC2801" w:rsidRDefault="002431C8" w:rsidP="00DC4BFE">
            <w:pPr>
              <w:pBdr>
                <w:top w:val="none" w:sz="0" w:space="0" w:color="E3E3E3"/>
                <w:left w:val="none" w:sz="0" w:space="0" w:color="E3E3E3"/>
                <w:bottom w:val="none" w:sz="0" w:space="0" w:color="E3E3E3"/>
                <w:right w:val="none" w:sz="0" w:space="0" w:color="E3E3E3"/>
                <w:between w:val="none" w:sz="0" w:space="0" w:color="E3E3E3"/>
              </w:pBdr>
              <w:shd w:val="clear" w:color="auto" w:fill="FFFFFF"/>
              <w:rPr>
                <w:rFonts w:eastAsia="Times New Roman"/>
                <w:color w:val="0D0D0D"/>
                <w:sz w:val="24"/>
                <w:szCs w:val="24"/>
                <w:highlight w:val="white"/>
              </w:rPr>
            </w:pPr>
            <w:r w:rsidRPr="00DC2801">
              <w:rPr>
                <w:rFonts w:eastAsia="Times New Roman"/>
                <w:color w:val="0D0D0D"/>
                <w:sz w:val="24"/>
                <w:szCs w:val="24"/>
                <w:highlight w:val="white"/>
              </w:rPr>
              <w:t>0.886</w:t>
            </w:r>
          </w:p>
        </w:tc>
        <w:tc>
          <w:tcPr>
            <w:tcW w:w="2016" w:type="dxa"/>
          </w:tcPr>
          <w:p w14:paraId="72C99D6C" w14:textId="77777777" w:rsidR="007C0019" w:rsidRPr="00DC2801" w:rsidRDefault="002431C8" w:rsidP="00DC4BFE">
            <w:pPr>
              <w:pBdr>
                <w:top w:val="none" w:sz="0" w:space="0" w:color="E3E3E3"/>
                <w:left w:val="none" w:sz="0" w:space="0" w:color="E3E3E3"/>
                <w:bottom w:val="none" w:sz="0" w:space="0" w:color="E3E3E3"/>
                <w:right w:val="none" w:sz="0" w:space="0" w:color="E3E3E3"/>
                <w:between w:val="none" w:sz="0" w:space="0" w:color="E3E3E3"/>
              </w:pBdr>
              <w:shd w:val="clear" w:color="auto" w:fill="FFFFFF"/>
              <w:rPr>
                <w:rFonts w:eastAsia="Times New Roman"/>
                <w:color w:val="0D0D0D"/>
                <w:sz w:val="24"/>
                <w:szCs w:val="24"/>
                <w:highlight w:val="white"/>
              </w:rPr>
            </w:pPr>
            <w:r w:rsidRPr="00DC2801">
              <w:rPr>
                <w:rFonts w:eastAsia="Times New Roman"/>
                <w:color w:val="0D0D0D"/>
                <w:sz w:val="24"/>
                <w:szCs w:val="24"/>
                <w:highlight w:val="white"/>
              </w:rPr>
              <w:t>0.816</w:t>
            </w:r>
          </w:p>
        </w:tc>
        <w:tc>
          <w:tcPr>
            <w:tcW w:w="1532" w:type="dxa"/>
          </w:tcPr>
          <w:p w14:paraId="3BA92EB2" w14:textId="77777777" w:rsidR="007C0019" w:rsidRPr="00DC2801" w:rsidRDefault="002431C8" w:rsidP="00DC4BFE">
            <w:pPr>
              <w:pBdr>
                <w:top w:val="none" w:sz="0" w:space="0" w:color="E3E3E3"/>
                <w:left w:val="none" w:sz="0" w:space="0" w:color="E3E3E3"/>
                <w:bottom w:val="none" w:sz="0" w:space="0" w:color="E3E3E3"/>
                <w:right w:val="none" w:sz="0" w:space="0" w:color="E3E3E3"/>
                <w:between w:val="none" w:sz="0" w:space="0" w:color="E3E3E3"/>
              </w:pBdr>
              <w:shd w:val="clear" w:color="auto" w:fill="FFFFFF"/>
              <w:rPr>
                <w:rFonts w:eastAsia="Times New Roman"/>
                <w:color w:val="0D0D0D"/>
                <w:sz w:val="24"/>
                <w:szCs w:val="24"/>
                <w:highlight w:val="white"/>
              </w:rPr>
            </w:pPr>
            <w:r w:rsidRPr="00DC2801">
              <w:rPr>
                <w:rFonts w:eastAsia="Times New Roman"/>
                <w:color w:val="0D0D0D"/>
                <w:sz w:val="24"/>
                <w:szCs w:val="24"/>
                <w:highlight w:val="white"/>
              </w:rPr>
              <w:t>0.735</w:t>
            </w:r>
          </w:p>
        </w:tc>
        <w:tc>
          <w:tcPr>
            <w:tcW w:w="1982" w:type="dxa"/>
          </w:tcPr>
          <w:p w14:paraId="6471433F" w14:textId="77777777" w:rsidR="007C0019" w:rsidRPr="00DC2801" w:rsidRDefault="002431C8" w:rsidP="00DC4BFE">
            <w:pPr>
              <w:pBdr>
                <w:top w:val="none" w:sz="0" w:space="0" w:color="E3E3E3"/>
                <w:left w:val="none" w:sz="0" w:space="0" w:color="E3E3E3"/>
                <w:bottom w:val="none" w:sz="0" w:space="0" w:color="E3E3E3"/>
                <w:right w:val="none" w:sz="0" w:space="0" w:color="E3E3E3"/>
                <w:between w:val="none" w:sz="0" w:space="0" w:color="E3E3E3"/>
              </w:pBdr>
              <w:shd w:val="clear" w:color="auto" w:fill="FFFFFF"/>
              <w:rPr>
                <w:rFonts w:eastAsia="Times New Roman"/>
                <w:color w:val="0D0D0D"/>
                <w:sz w:val="24"/>
                <w:szCs w:val="24"/>
                <w:highlight w:val="white"/>
              </w:rPr>
            </w:pPr>
            <w:r w:rsidRPr="00DC2801">
              <w:rPr>
                <w:rFonts w:eastAsia="Times New Roman"/>
                <w:color w:val="0D0D0D"/>
                <w:sz w:val="24"/>
                <w:szCs w:val="24"/>
                <w:highlight w:val="white"/>
              </w:rPr>
              <w:t>0.770</w:t>
            </w:r>
          </w:p>
        </w:tc>
      </w:tr>
      <w:tr w:rsidR="007C0019" w:rsidRPr="00DC2801" w14:paraId="55E8BE11" w14:textId="77777777" w:rsidTr="00DC4BFE">
        <w:trPr>
          <w:trHeight w:val="219"/>
        </w:trPr>
        <w:tc>
          <w:tcPr>
            <w:tcW w:w="1844" w:type="dxa"/>
          </w:tcPr>
          <w:p w14:paraId="3A688552" w14:textId="77777777" w:rsidR="007C0019" w:rsidRPr="00DC2801" w:rsidRDefault="002431C8" w:rsidP="00DC4BFE">
            <w:pPr>
              <w:pBdr>
                <w:top w:val="none" w:sz="0" w:space="0" w:color="E3E3E3"/>
                <w:left w:val="none" w:sz="0" w:space="0" w:color="E3E3E3"/>
                <w:bottom w:val="none" w:sz="0" w:space="0" w:color="E3E3E3"/>
                <w:right w:val="none" w:sz="0" w:space="0" w:color="E3E3E3"/>
                <w:between w:val="none" w:sz="0" w:space="0" w:color="E3E3E3"/>
              </w:pBdr>
              <w:shd w:val="clear" w:color="auto" w:fill="FFFFFF"/>
              <w:rPr>
                <w:rFonts w:eastAsia="Times New Roman"/>
                <w:color w:val="0D0D0D"/>
                <w:sz w:val="24"/>
                <w:szCs w:val="24"/>
                <w:highlight w:val="white"/>
              </w:rPr>
            </w:pPr>
            <w:r w:rsidRPr="00DC2801">
              <w:rPr>
                <w:rFonts w:eastAsia="Times New Roman"/>
                <w:color w:val="0D0D0D"/>
                <w:sz w:val="24"/>
                <w:szCs w:val="24"/>
                <w:highlight w:val="white"/>
              </w:rPr>
              <w:t>5</w:t>
            </w:r>
          </w:p>
        </w:tc>
        <w:tc>
          <w:tcPr>
            <w:tcW w:w="2328" w:type="dxa"/>
          </w:tcPr>
          <w:p w14:paraId="56CF645E" w14:textId="77777777" w:rsidR="007C0019" w:rsidRPr="00DC2801" w:rsidRDefault="002431C8" w:rsidP="00DC4BFE">
            <w:pPr>
              <w:pBdr>
                <w:top w:val="none" w:sz="0" w:space="0" w:color="E3E3E3"/>
                <w:left w:val="none" w:sz="0" w:space="0" w:color="E3E3E3"/>
                <w:bottom w:val="none" w:sz="0" w:space="0" w:color="E3E3E3"/>
                <w:right w:val="none" w:sz="0" w:space="0" w:color="E3E3E3"/>
                <w:between w:val="none" w:sz="0" w:space="0" w:color="E3E3E3"/>
              </w:pBdr>
              <w:shd w:val="clear" w:color="auto" w:fill="FFFFFF"/>
              <w:rPr>
                <w:rFonts w:eastAsia="Times New Roman"/>
                <w:color w:val="0D0D0D"/>
                <w:sz w:val="24"/>
                <w:szCs w:val="24"/>
                <w:highlight w:val="white"/>
              </w:rPr>
            </w:pPr>
            <w:r w:rsidRPr="00DC2801">
              <w:rPr>
                <w:rFonts w:eastAsia="Times New Roman"/>
                <w:color w:val="0D0D0D"/>
                <w:sz w:val="24"/>
                <w:szCs w:val="24"/>
                <w:highlight w:val="white"/>
              </w:rPr>
              <w:t>0.859</w:t>
            </w:r>
          </w:p>
        </w:tc>
        <w:tc>
          <w:tcPr>
            <w:tcW w:w="2016" w:type="dxa"/>
          </w:tcPr>
          <w:p w14:paraId="6D4A5239" w14:textId="77777777" w:rsidR="007C0019" w:rsidRPr="00DC2801" w:rsidRDefault="002431C8" w:rsidP="00DC4BFE">
            <w:pPr>
              <w:pBdr>
                <w:top w:val="none" w:sz="0" w:space="0" w:color="E3E3E3"/>
                <w:left w:val="none" w:sz="0" w:space="0" w:color="E3E3E3"/>
                <w:bottom w:val="none" w:sz="0" w:space="0" w:color="E3E3E3"/>
                <w:right w:val="none" w:sz="0" w:space="0" w:color="E3E3E3"/>
                <w:between w:val="none" w:sz="0" w:space="0" w:color="E3E3E3"/>
              </w:pBdr>
              <w:shd w:val="clear" w:color="auto" w:fill="FFFFFF"/>
              <w:rPr>
                <w:rFonts w:eastAsia="Times New Roman"/>
                <w:color w:val="0D0D0D"/>
                <w:sz w:val="24"/>
                <w:szCs w:val="24"/>
                <w:highlight w:val="white"/>
              </w:rPr>
            </w:pPr>
            <w:r w:rsidRPr="00DC2801">
              <w:rPr>
                <w:rFonts w:eastAsia="Times New Roman"/>
                <w:color w:val="0D0D0D"/>
                <w:sz w:val="24"/>
                <w:szCs w:val="24"/>
                <w:highlight w:val="white"/>
              </w:rPr>
              <w:t>0.822</w:t>
            </w:r>
          </w:p>
        </w:tc>
        <w:tc>
          <w:tcPr>
            <w:tcW w:w="1532" w:type="dxa"/>
          </w:tcPr>
          <w:p w14:paraId="57413A02" w14:textId="77777777" w:rsidR="007C0019" w:rsidRPr="00DC2801" w:rsidRDefault="002431C8" w:rsidP="00DC4BFE">
            <w:pPr>
              <w:pBdr>
                <w:top w:val="none" w:sz="0" w:space="0" w:color="E3E3E3"/>
                <w:left w:val="none" w:sz="0" w:space="0" w:color="E3E3E3"/>
                <w:bottom w:val="none" w:sz="0" w:space="0" w:color="E3E3E3"/>
                <w:right w:val="none" w:sz="0" w:space="0" w:color="E3E3E3"/>
                <w:between w:val="none" w:sz="0" w:space="0" w:color="E3E3E3"/>
              </w:pBdr>
              <w:shd w:val="clear" w:color="auto" w:fill="FFFFFF"/>
              <w:rPr>
                <w:rFonts w:eastAsia="Times New Roman"/>
                <w:color w:val="0D0D0D"/>
                <w:sz w:val="24"/>
                <w:szCs w:val="24"/>
                <w:highlight w:val="white"/>
              </w:rPr>
            </w:pPr>
            <w:r w:rsidRPr="00DC2801">
              <w:rPr>
                <w:rFonts w:eastAsia="Times New Roman"/>
                <w:color w:val="0D0D0D"/>
                <w:sz w:val="24"/>
                <w:szCs w:val="24"/>
                <w:highlight w:val="white"/>
              </w:rPr>
              <w:t>0.733</w:t>
            </w:r>
          </w:p>
        </w:tc>
        <w:tc>
          <w:tcPr>
            <w:tcW w:w="1982" w:type="dxa"/>
          </w:tcPr>
          <w:p w14:paraId="7C5B4EBE" w14:textId="77777777" w:rsidR="007C0019" w:rsidRPr="00DC2801" w:rsidRDefault="002431C8" w:rsidP="00DC4BFE">
            <w:pPr>
              <w:pBdr>
                <w:top w:val="none" w:sz="0" w:space="0" w:color="E3E3E3"/>
                <w:left w:val="none" w:sz="0" w:space="0" w:color="E3E3E3"/>
                <w:bottom w:val="none" w:sz="0" w:space="0" w:color="E3E3E3"/>
                <w:right w:val="none" w:sz="0" w:space="0" w:color="E3E3E3"/>
                <w:between w:val="none" w:sz="0" w:space="0" w:color="E3E3E3"/>
              </w:pBdr>
              <w:shd w:val="clear" w:color="auto" w:fill="FFFFFF"/>
              <w:rPr>
                <w:rFonts w:eastAsia="Times New Roman"/>
                <w:color w:val="0D0D0D"/>
                <w:sz w:val="24"/>
                <w:szCs w:val="24"/>
                <w:highlight w:val="white"/>
              </w:rPr>
            </w:pPr>
            <w:r w:rsidRPr="00DC2801">
              <w:rPr>
                <w:rFonts w:eastAsia="Times New Roman"/>
                <w:color w:val="0D0D0D"/>
                <w:sz w:val="24"/>
                <w:szCs w:val="24"/>
                <w:highlight w:val="white"/>
              </w:rPr>
              <w:t>0.760</w:t>
            </w:r>
          </w:p>
        </w:tc>
      </w:tr>
      <w:tr w:rsidR="007C0019" w:rsidRPr="00DC2801" w14:paraId="104D076E" w14:textId="77777777" w:rsidTr="00DC4BFE">
        <w:trPr>
          <w:trHeight w:val="219"/>
        </w:trPr>
        <w:tc>
          <w:tcPr>
            <w:tcW w:w="1844" w:type="dxa"/>
          </w:tcPr>
          <w:p w14:paraId="5CD07382" w14:textId="77777777" w:rsidR="007C0019" w:rsidRPr="00DC2801" w:rsidRDefault="002431C8" w:rsidP="00DC4BFE">
            <w:pPr>
              <w:pBdr>
                <w:top w:val="none" w:sz="0" w:space="0" w:color="E3E3E3"/>
                <w:left w:val="none" w:sz="0" w:space="0" w:color="E3E3E3"/>
                <w:bottom w:val="none" w:sz="0" w:space="0" w:color="E3E3E3"/>
                <w:right w:val="none" w:sz="0" w:space="0" w:color="E3E3E3"/>
                <w:between w:val="none" w:sz="0" w:space="0" w:color="E3E3E3"/>
              </w:pBdr>
              <w:shd w:val="clear" w:color="auto" w:fill="FFFFFF"/>
              <w:rPr>
                <w:rFonts w:eastAsia="Times New Roman"/>
                <w:color w:val="0D0D0D"/>
                <w:sz w:val="24"/>
                <w:szCs w:val="24"/>
                <w:highlight w:val="white"/>
              </w:rPr>
            </w:pPr>
            <w:r w:rsidRPr="00DC2801">
              <w:rPr>
                <w:rFonts w:eastAsia="Times New Roman"/>
                <w:b/>
                <w:color w:val="0D0D0D"/>
                <w:sz w:val="24"/>
                <w:szCs w:val="24"/>
                <w:highlight w:val="white"/>
              </w:rPr>
              <w:t>Average</w:t>
            </w:r>
          </w:p>
        </w:tc>
        <w:tc>
          <w:tcPr>
            <w:tcW w:w="2328" w:type="dxa"/>
          </w:tcPr>
          <w:p w14:paraId="43EC1A31" w14:textId="77777777" w:rsidR="007C0019" w:rsidRPr="00DC2801" w:rsidRDefault="002431C8" w:rsidP="00DC4BFE">
            <w:pPr>
              <w:pBdr>
                <w:top w:val="none" w:sz="0" w:space="0" w:color="E3E3E3"/>
                <w:left w:val="none" w:sz="0" w:space="0" w:color="E3E3E3"/>
                <w:bottom w:val="none" w:sz="0" w:space="0" w:color="E3E3E3"/>
                <w:right w:val="none" w:sz="0" w:space="0" w:color="E3E3E3"/>
                <w:between w:val="none" w:sz="0" w:space="0" w:color="E3E3E3"/>
              </w:pBdr>
              <w:shd w:val="clear" w:color="auto" w:fill="FFFFFF"/>
              <w:rPr>
                <w:rFonts w:eastAsia="Times New Roman"/>
                <w:color w:val="0D0D0D"/>
                <w:sz w:val="24"/>
                <w:szCs w:val="24"/>
                <w:highlight w:val="white"/>
              </w:rPr>
            </w:pPr>
            <w:r w:rsidRPr="00DC2801">
              <w:rPr>
                <w:rFonts w:eastAsia="Times New Roman"/>
                <w:b/>
                <w:color w:val="0D0D0D"/>
                <w:sz w:val="24"/>
                <w:szCs w:val="24"/>
                <w:highlight w:val="white"/>
              </w:rPr>
              <w:t>0.884</w:t>
            </w:r>
          </w:p>
        </w:tc>
        <w:tc>
          <w:tcPr>
            <w:tcW w:w="2016" w:type="dxa"/>
          </w:tcPr>
          <w:p w14:paraId="53B5AD14" w14:textId="77777777" w:rsidR="007C0019" w:rsidRPr="00DC2801" w:rsidRDefault="002431C8" w:rsidP="00DC4BFE">
            <w:pPr>
              <w:pBdr>
                <w:top w:val="none" w:sz="0" w:space="0" w:color="E3E3E3"/>
                <w:left w:val="none" w:sz="0" w:space="0" w:color="E3E3E3"/>
                <w:bottom w:val="none" w:sz="0" w:space="0" w:color="E3E3E3"/>
                <w:right w:val="none" w:sz="0" w:space="0" w:color="E3E3E3"/>
                <w:between w:val="none" w:sz="0" w:space="0" w:color="E3E3E3"/>
              </w:pBdr>
              <w:shd w:val="clear" w:color="auto" w:fill="FFFFFF"/>
              <w:rPr>
                <w:rFonts w:eastAsia="Times New Roman"/>
                <w:color w:val="0D0D0D"/>
                <w:sz w:val="24"/>
                <w:szCs w:val="24"/>
                <w:highlight w:val="white"/>
              </w:rPr>
            </w:pPr>
            <w:r w:rsidRPr="00DC2801">
              <w:rPr>
                <w:rFonts w:eastAsia="Times New Roman"/>
                <w:b/>
                <w:color w:val="0D0D0D"/>
                <w:sz w:val="24"/>
                <w:szCs w:val="24"/>
                <w:highlight w:val="white"/>
              </w:rPr>
              <w:t>0.808</w:t>
            </w:r>
          </w:p>
        </w:tc>
        <w:tc>
          <w:tcPr>
            <w:tcW w:w="1532" w:type="dxa"/>
          </w:tcPr>
          <w:p w14:paraId="7BBDCBF4" w14:textId="77777777" w:rsidR="007C0019" w:rsidRPr="00DC2801" w:rsidRDefault="002431C8" w:rsidP="00DC4BFE">
            <w:pPr>
              <w:pBdr>
                <w:top w:val="none" w:sz="0" w:space="0" w:color="E3E3E3"/>
                <w:left w:val="none" w:sz="0" w:space="0" w:color="E3E3E3"/>
                <w:bottom w:val="none" w:sz="0" w:space="0" w:color="E3E3E3"/>
                <w:right w:val="none" w:sz="0" w:space="0" w:color="E3E3E3"/>
                <w:between w:val="none" w:sz="0" w:space="0" w:color="E3E3E3"/>
              </w:pBdr>
              <w:shd w:val="clear" w:color="auto" w:fill="FFFFFF"/>
              <w:rPr>
                <w:rFonts w:eastAsia="Times New Roman"/>
                <w:color w:val="0D0D0D"/>
                <w:sz w:val="24"/>
                <w:szCs w:val="24"/>
                <w:highlight w:val="white"/>
              </w:rPr>
            </w:pPr>
            <w:r w:rsidRPr="00DC2801">
              <w:rPr>
                <w:rFonts w:eastAsia="Times New Roman"/>
                <w:b/>
                <w:color w:val="0D0D0D"/>
                <w:sz w:val="24"/>
                <w:szCs w:val="24"/>
                <w:highlight w:val="white"/>
              </w:rPr>
              <w:t>0.751</w:t>
            </w:r>
          </w:p>
        </w:tc>
        <w:tc>
          <w:tcPr>
            <w:tcW w:w="1982" w:type="dxa"/>
          </w:tcPr>
          <w:p w14:paraId="3B463ADD" w14:textId="77777777" w:rsidR="007C0019" w:rsidRPr="00DC2801" w:rsidRDefault="002431C8" w:rsidP="00DC4BFE">
            <w:pPr>
              <w:pBdr>
                <w:top w:val="none" w:sz="0" w:space="0" w:color="E3E3E3"/>
                <w:left w:val="none" w:sz="0" w:space="0" w:color="E3E3E3"/>
                <w:bottom w:val="none" w:sz="0" w:space="0" w:color="E3E3E3"/>
                <w:right w:val="none" w:sz="0" w:space="0" w:color="E3E3E3"/>
                <w:between w:val="none" w:sz="0" w:space="0" w:color="E3E3E3"/>
              </w:pBdr>
              <w:shd w:val="clear" w:color="auto" w:fill="FFFFFF"/>
              <w:rPr>
                <w:rFonts w:eastAsia="Times New Roman"/>
                <w:color w:val="0D0D0D"/>
                <w:sz w:val="24"/>
                <w:szCs w:val="24"/>
                <w:highlight w:val="white"/>
              </w:rPr>
            </w:pPr>
            <w:r w:rsidRPr="00DC2801">
              <w:rPr>
                <w:rFonts w:eastAsia="Times New Roman"/>
                <w:b/>
                <w:color w:val="0D0D0D"/>
                <w:sz w:val="24"/>
                <w:szCs w:val="24"/>
                <w:highlight w:val="white"/>
              </w:rPr>
              <w:t>0.764</w:t>
            </w:r>
          </w:p>
        </w:tc>
      </w:tr>
    </w:tbl>
    <w:p w14:paraId="7622C3F3" w14:textId="77777777" w:rsidR="007C0019" w:rsidRPr="00DC2801" w:rsidRDefault="002431C8">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60" w:after="160"/>
        <w:rPr>
          <w:rFonts w:eastAsia="Times New Roman"/>
          <w:color w:val="0D0D0D"/>
          <w:sz w:val="24"/>
          <w:szCs w:val="24"/>
          <w:highlight w:val="white"/>
        </w:rPr>
      </w:pPr>
      <w:r w:rsidRPr="00DC2801">
        <w:rPr>
          <w:rFonts w:eastAsia="Times New Roman"/>
          <w:noProof/>
          <w:color w:val="0D0D0D"/>
          <w:sz w:val="24"/>
          <w:szCs w:val="24"/>
          <w:highlight w:val="white"/>
          <w:lang w:val="en-US"/>
        </w:rPr>
        <w:lastRenderedPageBreak/>
        <w:drawing>
          <wp:inline distT="114300" distB="114300" distL="114300" distR="114300" wp14:anchorId="62340B12" wp14:editId="0199AD1A">
            <wp:extent cx="4426441" cy="4426441"/>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
                    <a:srcRect/>
                    <a:stretch>
                      <a:fillRect/>
                    </a:stretch>
                  </pic:blipFill>
                  <pic:spPr>
                    <a:xfrm>
                      <a:off x="0" y="0"/>
                      <a:ext cx="4426441" cy="4426441"/>
                    </a:xfrm>
                    <a:prstGeom prst="rect">
                      <a:avLst/>
                    </a:prstGeom>
                    <a:ln/>
                  </pic:spPr>
                </pic:pic>
              </a:graphicData>
            </a:graphic>
          </wp:inline>
        </w:drawing>
      </w:r>
    </w:p>
    <w:p w14:paraId="2EC43BF0" w14:textId="77777777" w:rsidR="007C0019" w:rsidRPr="00DC2801" w:rsidRDefault="002431C8">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60" w:after="160"/>
        <w:rPr>
          <w:rFonts w:eastAsia="Times New Roman"/>
          <w:color w:val="0D0D0D"/>
          <w:sz w:val="24"/>
          <w:szCs w:val="24"/>
          <w:highlight w:val="white"/>
        </w:rPr>
      </w:pPr>
      <w:r w:rsidRPr="00DC2801">
        <w:rPr>
          <w:rFonts w:eastAsia="Times New Roman"/>
          <w:b/>
          <w:color w:val="0D0D0D"/>
          <w:sz w:val="24"/>
          <w:szCs w:val="24"/>
          <w:highlight w:val="white"/>
        </w:rPr>
        <w:t xml:space="preserve">Figure </w:t>
      </w:r>
      <w:proofErr w:type="gramStart"/>
      <w:r w:rsidRPr="00DC2801">
        <w:rPr>
          <w:rFonts w:eastAsia="Times New Roman"/>
          <w:b/>
          <w:color w:val="0D0D0D"/>
          <w:sz w:val="24"/>
          <w:szCs w:val="24"/>
          <w:highlight w:val="white"/>
        </w:rPr>
        <w:t>1:</w:t>
      </w:r>
      <w:r w:rsidRPr="00DC2801">
        <w:rPr>
          <w:rFonts w:eastAsia="Times New Roman"/>
          <w:i/>
          <w:color w:val="0D0D0D"/>
          <w:sz w:val="24"/>
          <w:szCs w:val="24"/>
          <w:highlight w:val="white"/>
        </w:rPr>
        <w:t>Radar</w:t>
      </w:r>
      <w:proofErr w:type="gramEnd"/>
      <w:r w:rsidRPr="00DC2801">
        <w:rPr>
          <w:rFonts w:eastAsia="Times New Roman"/>
          <w:i/>
          <w:color w:val="0D0D0D"/>
          <w:sz w:val="24"/>
          <w:szCs w:val="24"/>
          <w:highlight w:val="white"/>
        </w:rPr>
        <w:t xml:space="preserve"> Chart of Predictive Model Metrics</w:t>
      </w:r>
    </w:p>
    <w:p w14:paraId="393C2700" w14:textId="77777777" w:rsidR="007C0019" w:rsidRPr="00DC2801" w:rsidRDefault="002431C8">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60" w:after="160"/>
        <w:rPr>
          <w:rFonts w:eastAsia="Times New Roman"/>
          <w:color w:val="0D0D0D"/>
          <w:sz w:val="24"/>
          <w:szCs w:val="24"/>
          <w:highlight w:val="white"/>
        </w:rPr>
      </w:pPr>
      <w:r w:rsidRPr="00DC2801">
        <w:rPr>
          <w:rFonts w:eastAsia="Times New Roman"/>
          <w:color w:val="0D0D0D"/>
          <w:sz w:val="24"/>
          <w:szCs w:val="24"/>
          <w:highlight w:val="white"/>
        </w:rPr>
        <w:t xml:space="preserve">Visualizing these results enhances interpretability for stakeholders. </w:t>
      </w:r>
      <w:r w:rsidRPr="00DC2801">
        <w:rPr>
          <w:rFonts w:eastAsia="Times New Roman"/>
          <w:i/>
          <w:color w:val="0D0D0D"/>
          <w:sz w:val="24"/>
          <w:szCs w:val="24"/>
          <w:highlight w:val="white"/>
        </w:rPr>
        <w:t>Figure 1</w:t>
      </w:r>
      <w:r w:rsidRPr="00DC2801">
        <w:rPr>
          <w:rFonts w:eastAsia="Times New Roman"/>
          <w:color w:val="0D0D0D"/>
          <w:sz w:val="24"/>
          <w:szCs w:val="24"/>
          <w:highlight w:val="white"/>
        </w:rPr>
        <w:t xml:space="preserve"> displays a radar chart that integrates all </w:t>
      </w:r>
      <w:proofErr w:type="gramStart"/>
      <w:r w:rsidRPr="00DC2801">
        <w:rPr>
          <w:rFonts w:eastAsia="Times New Roman"/>
          <w:color w:val="0D0D0D"/>
          <w:sz w:val="24"/>
          <w:szCs w:val="24"/>
          <w:highlight w:val="white"/>
        </w:rPr>
        <w:t>four performance</w:t>
      </w:r>
      <w:proofErr w:type="gramEnd"/>
      <w:r w:rsidRPr="00DC2801">
        <w:rPr>
          <w:rFonts w:eastAsia="Times New Roman"/>
          <w:color w:val="0D0D0D"/>
          <w:sz w:val="24"/>
          <w:szCs w:val="24"/>
          <w:highlight w:val="white"/>
        </w:rPr>
        <w:t xml:space="preserve"> metrics into a single visual, emphasizing the model’s balanced strengths. Meanwhile, </w:t>
      </w:r>
      <w:r w:rsidRPr="00DC2801">
        <w:rPr>
          <w:rFonts w:eastAsia="Times New Roman"/>
          <w:i/>
          <w:color w:val="0D0D0D"/>
          <w:sz w:val="24"/>
          <w:szCs w:val="24"/>
          <w:highlight w:val="white"/>
        </w:rPr>
        <w:t>Figure 2</w:t>
      </w:r>
      <w:r w:rsidRPr="00DC2801">
        <w:rPr>
          <w:rFonts w:eastAsia="Times New Roman"/>
          <w:color w:val="0D0D0D"/>
          <w:sz w:val="24"/>
          <w:szCs w:val="24"/>
          <w:highlight w:val="white"/>
        </w:rPr>
        <w:t xml:space="preserve"> employs a lollipop chart to further simplify comparison of the metric scores, using a layout that remains accessible even to non-technical audiences.</w:t>
      </w:r>
    </w:p>
    <w:p w14:paraId="53B10969" w14:textId="77777777" w:rsidR="007C0019" w:rsidRPr="00DC2801" w:rsidRDefault="002431C8">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60" w:after="160"/>
        <w:rPr>
          <w:rFonts w:eastAsia="Times New Roman"/>
          <w:i/>
          <w:color w:val="0D0D0D"/>
          <w:sz w:val="24"/>
          <w:szCs w:val="24"/>
          <w:highlight w:val="white"/>
        </w:rPr>
      </w:pPr>
      <w:r w:rsidRPr="00DC2801">
        <w:rPr>
          <w:rFonts w:eastAsia="Times New Roman"/>
          <w:i/>
          <w:noProof/>
          <w:color w:val="0D0D0D"/>
          <w:sz w:val="24"/>
          <w:szCs w:val="24"/>
          <w:highlight w:val="white"/>
          <w:lang w:val="en-US"/>
        </w:rPr>
        <w:lastRenderedPageBreak/>
        <w:drawing>
          <wp:inline distT="114300" distB="114300" distL="114300" distR="114300" wp14:anchorId="7F925FB6" wp14:editId="2D6EBBD6">
            <wp:extent cx="4937851" cy="3086157"/>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4937851" cy="3086157"/>
                    </a:xfrm>
                    <a:prstGeom prst="rect">
                      <a:avLst/>
                    </a:prstGeom>
                    <a:ln/>
                  </pic:spPr>
                </pic:pic>
              </a:graphicData>
            </a:graphic>
          </wp:inline>
        </w:drawing>
      </w:r>
    </w:p>
    <w:p w14:paraId="49C2D5E3" w14:textId="77777777" w:rsidR="007C0019" w:rsidRPr="00DC2801" w:rsidRDefault="002431C8">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60" w:after="160"/>
        <w:rPr>
          <w:rFonts w:eastAsia="Times New Roman"/>
          <w:i/>
          <w:color w:val="0D0D0D"/>
          <w:sz w:val="24"/>
          <w:szCs w:val="24"/>
          <w:highlight w:val="white"/>
        </w:rPr>
      </w:pPr>
      <w:r w:rsidRPr="00DC2801">
        <w:rPr>
          <w:rFonts w:eastAsia="Times New Roman"/>
          <w:b/>
          <w:color w:val="0D0D0D"/>
          <w:sz w:val="24"/>
          <w:szCs w:val="24"/>
          <w:highlight w:val="white"/>
        </w:rPr>
        <w:t>Figure 2:</w:t>
      </w:r>
      <w:r w:rsidRPr="00DC2801">
        <w:rPr>
          <w:rFonts w:eastAsia="Times New Roman"/>
          <w:color w:val="0D0D0D"/>
          <w:sz w:val="24"/>
          <w:szCs w:val="24"/>
          <w:highlight w:val="white"/>
        </w:rPr>
        <w:t xml:space="preserve"> </w:t>
      </w:r>
      <w:r w:rsidRPr="00DC2801">
        <w:rPr>
          <w:rFonts w:eastAsia="Times New Roman"/>
          <w:i/>
          <w:color w:val="0D0D0D"/>
          <w:sz w:val="24"/>
          <w:szCs w:val="24"/>
          <w:highlight w:val="white"/>
        </w:rPr>
        <w:t>Lollipop Chart of Predictive Model Metrics</w:t>
      </w:r>
    </w:p>
    <w:p w14:paraId="52945003" w14:textId="77777777" w:rsidR="007C0019" w:rsidRPr="00DC2801" w:rsidRDefault="002431C8">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60" w:after="160"/>
        <w:rPr>
          <w:rFonts w:eastAsia="Times New Roman"/>
          <w:color w:val="0D0D0D"/>
          <w:sz w:val="24"/>
          <w:szCs w:val="24"/>
          <w:highlight w:val="white"/>
        </w:rPr>
      </w:pPr>
      <w:r w:rsidRPr="00DC2801">
        <w:rPr>
          <w:rFonts w:eastAsia="Times New Roman"/>
          <w:color w:val="0D0D0D"/>
          <w:sz w:val="24"/>
          <w:szCs w:val="24"/>
          <w:highlight w:val="white"/>
        </w:rPr>
        <w:t xml:space="preserve">The results support the argument made in the literature that machine learning models, particularly ensemble-based methods like </w:t>
      </w:r>
      <w:proofErr w:type="spellStart"/>
      <w:r w:rsidRPr="00DC2801">
        <w:rPr>
          <w:rFonts w:eastAsia="Times New Roman"/>
          <w:color w:val="0D0D0D"/>
          <w:sz w:val="24"/>
          <w:szCs w:val="24"/>
          <w:highlight w:val="white"/>
        </w:rPr>
        <w:t>XGBoost</w:t>
      </w:r>
      <w:proofErr w:type="spellEnd"/>
      <w:r w:rsidRPr="00DC2801">
        <w:rPr>
          <w:rFonts w:eastAsia="Times New Roman"/>
          <w:color w:val="0D0D0D"/>
          <w:sz w:val="24"/>
          <w:szCs w:val="24"/>
          <w:highlight w:val="white"/>
        </w:rPr>
        <w:t>, offer clinically valuable predictions when applied to high-dimensional datasets. The robust performance across validation folds and the relatively high F1-scores suggest the model is both dependable and generalizable</w:t>
      </w:r>
      <w:r w:rsidR="00DC2801" w:rsidRPr="00DC2801">
        <w:rPr>
          <w:rFonts w:eastAsia="Times New Roman"/>
          <w:color w:val="0D0D0D"/>
          <w:sz w:val="24"/>
          <w:szCs w:val="24"/>
          <w:highlight w:val="white"/>
        </w:rPr>
        <w:t xml:space="preserve"> </w:t>
      </w:r>
      <w:r w:rsidRPr="00DC2801">
        <w:rPr>
          <w:rFonts w:eastAsia="Times New Roman"/>
          <w:color w:val="0D0D0D"/>
          <w:sz w:val="24"/>
          <w:szCs w:val="24"/>
          <w:highlight w:val="white"/>
        </w:rPr>
        <w:t>two attributes critical for clinical integration. These findings highlight the potential for predictive algorithms to enhance proactive care interventions and reduce avoidable readmissions within intensive care settings.</w:t>
      </w:r>
    </w:p>
    <w:p w14:paraId="1ECE682C" w14:textId="77777777" w:rsidR="007C0019" w:rsidRPr="00DC2801" w:rsidRDefault="002431C8">
      <w:pPr>
        <w:pStyle w:val="Heading3"/>
        <w:keepNext w:val="0"/>
        <w:keepLines w:val="0"/>
        <w:pBdr>
          <w:top w:val="none" w:sz="0" w:space="0" w:color="E3E3E3"/>
          <w:left w:val="none" w:sz="0" w:space="0" w:color="E3E3E3"/>
          <w:bottom w:val="none" w:sz="0" w:space="0" w:color="E3E3E3"/>
          <w:right w:val="none" w:sz="0" w:space="0" w:color="E3E3E3"/>
          <w:between w:val="none" w:sz="0" w:space="0" w:color="E3E3E3"/>
        </w:pBdr>
        <w:shd w:val="clear" w:color="auto" w:fill="FFFFFF"/>
        <w:spacing w:before="280"/>
        <w:rPr>
          <w:rFonts w:eastAsia="Times New Roman"/>
          <w:b/>
          <w:color w:val="0D0D0D"/>
          <w:sz w:val="24"/>
          <w:szCs w:val="24"/>
          <w:highlight w:val="white"/>
        </w:rPr>
      </w:pPr>
      <w:bookmarkStart w:id="9" w:name="_9n8r1g3dv2id" w:colFirst="0" w:colLast="0"/>
      <w:bookmarkEnd w:id="9"/>
      <w:r w:rsidRPr="00DC2801">
        <w:rPr>
          <w:rFonts w:eastAsia="Times New Roman"/>
          <w:b/>
          <w:color w:val="0D0D0D"/>
          <w:sz w:val="24"/>
          <w:szCs w:val="24"/>
          <w:highlight w:val="white"/>
        </w:rPr>
        <w:t>Analysis of Influential Predictors for Health Outcome Forecasting</w:t>
      </w:r>
    </w:p>
    <w:p w14:paraId="6F7F14BB" w14:textId="77777777" w:rsidR="007C0019" w:rsidRPr="00DC2801" w:rsidRDefault="002431C8">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60" w:after="160"/>
        <w:rPr>
          <w:rFonts w:eastAsia="Times New Roman"/>
          <w:color w:val="0D0D0D"/>
          <w:sz w:val="24"/>
          <w:szCs w:val="24"/>
          <w:highlight w:val="white"/>
        </w:rPr>
      </w:pPr>
      <w:r w:rsidRPr="00DC2801">
        <w:rPr>
          <w:rFonts w:eastAsia="Times New Roman"/>
          <w:color w:val="0D0D0D"/>
          <w:sz w:val="24"/>
          <w:szCs w:val="24"/>
          <w:highlight w:val="white"/>
        </w:rPr>
        <w:t xml:space="preserve">Accurately identifying the most impactful clinical, demographic, and </w:t>
      </w:r>
      <w:proofErr w:type="spellStart"/>
      <w:r w:rsidRPr="00DC2801">
        <w:rPr>
          <w:rFonts w:eastAsia="Times New Roman"/>
          <w:color w:val="0D0D0D"/>
          <w:sz w:val="24"/>
          <w:szCs w:val="24"/>
          <w:highlight w:val="white"/>
        </w:rPr>
        <w:t>behavioral</w:t>
      </w:r>
      <w:proofErr w:type="spellEnd"/>
      <w:r w:rsidRPr="00DC2801">
        <w:rPr>
          <w:rFonts w:eastAsia="Times New Roman"/>
          <w:color w:val="0D0D0D"/>
          <w:sz w:val="24"/>
          <w:szCs w:val="24"/>
          <w:highlight w:val="white"/>
        </w:rPr>
        <w:t xml:space="preserve"> predictors remains critical in enhancing the reliability and transparency of machine learning models in healthcare. Effective interpretability fosters clinical trust and facilitates more personalized, equitable care delivery. This section presents simulated findings derived from model interpretability analysis, reflecting the ranked influence of various patient features on 30-day ICU readmission predictions.</w:t>
      </w:r>
    </w:p>
    <w:p w14:paraId="794B4556" w14:textId="77777777" w:rsidR="007C0019" w:rsidRPr="00DC2801" w:rsidRDefault="002431C8">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60" w:after="160"/>
        <w:rPr>
          <w:rFonts w:eastAsia="Times New Roman"/>
          <w:color w:val="0D0D0D"/>
          <w:sz w:val="24"/>
          <w:szCs w:val="24"/>
          <w:highlight w:val="white"/>
        </w:rPr>
      </w:pPr>
      <w:r w:rsidRPr="00DC2801">
        <w:rPr>
          <w:rFonts w:eastAsia="Times New Roman"/>
          <w:color w:val="0D0D0D"/>
          <w:sz w:val="24"/>
          <w:szCs w:val="24"/>
          <w:highlight w:val="white"/>
        </w:rPr>
        <w:t xml:space="preserve">The analysis highlights ten variables with the highest contribution to prediction accuracy. As shown in Table 3, </w:t>
      </w:r>
      <w:r w:rsidRPr="00DC2801">
        <w:rPr>
          <w:rFonts w:eastAsia="Times New Roman"/>
          <w:i/>
          <w:color w:val="0D0D0D"/>
          <w:sz w:val="24"/>
          <w:szCs w:val="24"/>
          <w:highlight w:val="white"/>
        </w:rPr>
        <w:t>Creatinine</w:t>
      </w:r>
      <w:r w:rsidRPr="00DC2801">
        <w:rPr>
          <w:rFonts w:eastAsia="Times New Roman"/>
          <w:color w:val="0D0D0D"/>
          <w:sz w:val="24"/>
          <w:szCs w:val="24"/>
          <w:highlight w:val="white"/>
        </w:rPr>
        <w:t xml:space="preserve">, </w:t>
      </w:r>
      <w:r w:rsidRPr="00DC2801">
        <w:rPr>
          <w:rFonts w:eastAsia="Times New Roman"/>
          <w:i/>
          <w:color w:val="0D0D0D"/>
          <w:sz w:val="24"/>
          <w:szCs w:val="24"/>
          <w:highlight w:val="white"/>
        </w:rPr>
        <w:t>Age</w:t>
      </w:r>
      <w:r w:rsidRPr="00DC2801">
        <w:rPr>
          <w:rFonts w:eastAsia="Times New Roman"/>
          <w:color w:val="0D0D0D"/>
          <w:sz w:val="24"/>
          <w:szCs w:val="24"/>
          <w:highlight w:val="white"/>
        </w:rPr>
        <w:t xml:space="preserve">, and </w:t>
      </w:r>
      <w:r w:rsidRPr="00DC2801">
        <w:rPr>
          <w:rFonts w:eastAsia="Times New Roman"/>
          <w:i/>
          <w:color w:val="0D0D0D"/>
          <w:sz w:val="24"/>
          <w:szCs w:val="24"/>
          <w:highlight w:val="white"/>
        </w:rPr>
        <w:t>Diastolic Blood Pressure</w:t>
      </w:r>
      <w:r w:rsidRPr="00DC2801">
        <w:rPr>
          <w:rFonts w:eastAsia="Times New Roman"/>
          <w:color w:val="0D0D0D"/>
          <w:sz w:val="24"/>
          <w:szCs w:val="24"/>
          <w:highlight w:val="white"/>
        </w:rPr>
        <w:t xml:space="preserve"> emerged as the most influential predictors, indicating a strong correlation between renal function, age-related risk, and cardiovascular stability with readmission probability. Other key contributors included the </w:t>
      </w:r>
      <w:r w:rsidRPr="00DC2801">
        <w:rPr>
          <w:rFonts w:eastAsia="Times New Roman"/>
          <w:i/>
          <w:color w:val="0D0D0D"/>
          <w:sz w:val="24"/>
          <w:szCs w:val="24"/>
          <w:highlight w:val="white"/>
        </w:rPr>
        <w:t>White Blood Cell Count</w:t>
      </w:r>
      <w:r w:rsidRPr="00DC2801">
        <w:rPr>
          <w:rFonts w:eastAsia="Times New Roman"/>
          <w:color w:val="0D0D0D"/>
          <w:sz w:val="24"/>
          <w:szCs w:val="24"/>
          <w:highlight w:val="white"/>
        </w:rPr>
        <w:t xml:space="preserve">, indicative of systemic inflammation, and </w:t>
      </w:r>
      <w:r w:rsidRPr="00DC2801">
        <w:rPr>
          <w:rFonts w:eastAsia="Times New Roman"/>
          <w:i/>
          <w:color w:val="0D0D0D"/>
          <w:sz w:val="24"/>
          <w:szCs w:val="24"/>
          <w:highlight w:val="white"/>
        </w:rPr>
        <w:t>Heart Rate Variability</w:t>
      </w:r>
      <w:r w:rsidRPr="00DC2801">
        <w:rPr>
          <w:rFonts w:eastAsia="Times New Roman"/>
          <w:color w:val="0D0D0D"/>
          <w:sz w:val="24"/>
          <w:szCs w:val="24"/>
          <w:highlight w:val="white"/>
        </w:rPr>
        <w:t>, a proxy for autonomic nervous system activity and physiological stress.</w:t>
      </w:r>
    </w:p>
    <w:p w14:paraId="57AFFABD" w14:textId="77777777" w:rsidR="007C0019" w:rsidRPr="00DC2801" w:rsidRDefault="002431C8">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60" w:after="160"/>
        <w:rPr>
          <w:rFonts w:eastAsia="Times New Roman"/>
          <w:i/>
          <w:color w:val="0D0D0D"/>
          <w:sz w:val="24"/>
          <w:szCs w:val="24"/>
          <w:highlight w:val="white"/>
        </w:rPr>
      </w:pPr>
      <w:r w:rsidRPr="00DC2801">
        <w:rPr>
          <w:rFonts w:eastAsia="Times New Roman"/>
          <w:b/>
          <w:color w:val="0D0D0D"/>
          <w:sz w:val="24"/>
          <w:szCs w:val="24"/>
          <w:highlight w:val="white"/>
        </w:rPr>
        <w:lastRenderedPageBreak/>
        <w:t>Table 3:</w:t>
      </w:r>
      <w:r w:rsidRPr="00DC2801">
        <w:rPr>
          <w:rFonts w:eastAsia="Times New Roman"/>
          <w:color w:val="0D0D0D"/>
          <w:sz w:val="24"/>
          <w:szCs w:val="24"/>
          <w:highlight w:val="white"/>
        </w:rPr>
        <w:t xml:space="preserve"> </w:t>
      </w:r>
      <w:r w:rsidRPr="00DC2801">
        <w:rPr>
          <w:rFonts w:eastAsia="Times New Roman"/>
          <w:i/>
          <w:color w:val="0D0D0D"/>
          <w:sz w:val="24"/>
          <w:szCs w:val="24"/>
          <w:highlight w:val="white"/>
        </w:rPr>
        <w:t>Top 10 Predictive Features by Mean SHAP Value</w:t>
      </w:r>
    </w:p>
    <w:tbl>
      <w:tblPr>
        <w:tblStyle w:val="TableGrid"/>
        <w:tblW w:w="9826" w:type="dxa"/>
        <w:tblLayout w:type="fixed"/>
        <w:tblLook w:val="0600" w:firstRow="0" w:lastRow="0" w:firstColumn="0" w:lastColumn="0" w:noHBand="1" w:noVBand="1"/>
      </w:tblPr>
      <w:tblGrid>
        <w:gridCol w:w="1281"/>
        <w:gridCol w:w="4009"/>
        <w:gridCol w:w="4536"/>
      </w:tblGrid>
      <w:tr w:rsidR="007C0019" w:rsidRPr="00DC2801" w14:paraId="29A7B8F8" w14:textId="77777777" w:rsidTr="00DC4BFE">
        <w:trPr>
          <w:trHeight w:val="163"/>
        </w:trPr>
        <w:tc>
          <w:tcPr>
            <w:tcW w:w="1281" w:type="dxa"/>
          </w:tcPr>
          <w:p w14:paraId="1533004D" w14:textId="77777777" w:rsidR="007C0019" w:rsidRPr="00DC2801" w:rsidRDefault="002431C8" w:rsidP="00DC4BFE">
            <w:pPr>
              <w:pBdr>
                <w:top w:val="none" w:sz="0" w:space="0" w:color="E3E3E3"/>
                <w:left w:val="none" w:sz="0" w:space="0" w:color="E3E3E3"/>
                <w:bottom w:val="none" w:sz="0" w:space="0" w:color="E3E3E3"/>
                <w:right w:val="none" w:sz="0" w:space="0" w:color="E3E3E3"/>
                <w:between w:val="none" w:sz="0" w:space="0" w:color="E3E3E3"/>
              </w:pBdr>
              <w:shd w:val="clear" w:color="auto" w:fill="FFFFFF"/>
              <w:jc w:val="center"/>
              <w:rPr>
                <w:rFonts w:eastAsia="Times New Roman"/>
                <w:color w:val="0D0D0D"/>
                <w:sz w:val="24"/>
                <w:szCs w:val="24"/>
                <w:highlight w:val="white"/>
              </w:rPr>
            </w:pPr>
            <w:r w:rsidRPr="00DC2801">
              <w:rPr>
                <w:rFonts w:eastAsia="Times New Roman"/>
                <w:b/>
                <w:color w:val="0D0D0D"/>
                <w:sz w:val="24"/>
                <w:szCs w:val="24"/>
                <w:highlight w:val="white"/>
              </w:rPr>
              <w:t>Rank</w:t>
            </w:r>
          </w:p>
        </w:tc>
        <w:tc>
          <w:tcPr>
            <w:tcW w:w="4009" w:type="dxa"/>
          </w:tcPr>
          <w:p w14:paraId="609F4311" w14:textId="77777777" w:rsidR="007C0019" w:rsidRPr="00DC2801" w:rsidRDefault="002431C8" w:rsidP="00DC4BFE">
            <w:pPr>
              <w:pBdr>
                <w:top w:val="none" w:sz="0" w:space="0" w:color="E3E3E3"/>
                <w:left w:val="none" w:sz="0" w:space="0" w:color="E3E3E3"/>
                <w:bottom w:val="none" w:sz="0" w:space="0" w:color="E3E3E3"/>
                <w:right w:val="none" w:sz="0" w:space="0" w:color="E3E3E3"/>
                <w:between w:val="none" w:sz="0" w:space="0" w:color="E3E3E3"/>
              </w:pBdr>
              <w:shd w:val="clear" w:color="auto" w:fill="FFFFFF"/>
              <w:jc w:val="center"/>
              <w:rPr>
                <w:rFonts w:eastAsia="Times New Roman"/>
                <w:color w:val="0D0D0D"/>
                <w:sz w:val="24"/>
                <w:szCs w:val="24"/>
                <w:highlight w:val="white"/>
              </w:rPr>
            </w:pPr>
            <w:r w:rsidRPr="00DC2801">
              <w:rPr>
                <w:rFonts w:eastAsia="Times New Roman"/>
                <w:b/>
                <w:color w:val="0D0D0D"/>
                <w:sz w:val="24"/>
                <w:szCs w:val="24"/>
                <w:highlight w:val="white"/>
              </w:rPr>
              <w:t>Feature</w:t>
            </w:r>
          </w:p>
        </w:tc>
        <w:tc>
          <w:tcPr>
            <w:tcW w:w="4536" w:type="dxa"/>
          </w:tcPr>
          <w:p w14:paraId="58DCCCC0" w14:textId="77777777" w:rsidR="007C0019" w:rsidRPr="00DC2801" w:rsidRDefault="002431C8" w:rsidP="00DC4BFE">
            <w:pPr>
              <w:pBdr>
                <w:top w:val="none" w:sz="0" w:space="0" w:color="E3E3E3"/>
                <w:left w:val="none" w:sz="0" w:space="0" w:color="E3E3E3"/>
                <w:bottom w:val="none" w:sz="0" w:space="0" w:color="E3E3E3"/>
                <w:right w:val="none" w:sz="0" w:space="0" w:color="E3E3E3"/>
                <w:between w:val="none" w:sz="0" w:space="0" w:color="E3E3E3"/>
              </w:pBdr>
              <w:shd w:val="clear" w:color="auto" w:fill="FFFFFF"/>
              <w:jc w:val="center"/>
              <w:rPr>
                <w:rFonts w:eastAsia="Times New Roman"/>
                <w:color w:val="0D0D0D"/>
                <w:sz w:val="24"/>
                <w:szCs w:val="24"/>
                <w:highlight w:val="white"/>
              </w:rPr>
            </w:pPr>
            <w:r w:rsidRPr="00DC2801">
              <w:rPr>
                <w:rFonts w:eastAsia="Times New Roman"/>
                <w:b/>
                <w:color w:val="0D0D0D"/>
                <w:sz w:val="24"/>
                <w:szCs w:val="24"/>
                <w:highlight w:val="white"/>
              </w:rPr>
              <w:t>Mean Absolute SHAP Value</w:t>
            </w:r>
          </w:p>
        </w:tc>
      </w:tr>
      <w:tr w:rsidR="007C0019" w:rsidRPr="00DC2801" w14:paraId="1D20C410" w14:textId="77777777" w:rsidTr="00DC4BFE">
        <w:trPr>
          <w:trHeight w:val="163"/>
        </w:trPr>
        <w:tc>
          <w:tcPr>
            <w:tcW w:w="1281" w:type="dxa"/>
          </w:tcPr>
          <w:p w14:paraId="226FC60E" w14:textId="77777777" w:rsidR="007C0019" w:rsidRPr="00DC2801" w:rsidRDefault="002431C8" w:rsidP="00DC4BFE">
            <w:pPr>
              <w:pBdr>
                <w:top w:val="none" w:sz="0" w:space="0" w:color="E3E3E3"/>
                <w:left w:val="none" w:sz="0" w:space="0" w:color="E3E3E3"/>
                <w:bottom w:val="none" w:sz="0" w:space="0" w:color="E3E3E3"/>
                <w:right w:val="none" w:sz="0" w:space="0" w:color="E3E3E3"/>
                <w:between w:val="none" w:sz="0" w:space="0" w:color="E3E3E3"/>
              </w:pBdr>
              <w:shd w:val="clear" w:color="auto" w:fill="FFFFFF"/>
              <w:rPr>
                <w:rFonts w:eastAsia="Times New Roman"/>
                <w:color w:val="0D0D0D"/>
                <w:sz w:val="24"/>
                <w:szCs w:val="24"/>
                <w:highlight w:val="white"/>
              </w:rPr>
            </w:pPr>
            <w:r w:rsidRPr="00DC2801">
              <w:rPr>
                <w:rFonts w:eastAsia="Times New Roman"/>
                <w:color w:val="0D0D0D"/>
                <w:sz w:val="24"/>
                <w:szCs w:val="24"/>
                <w:highlight w:val="white"/>
              </w:rPr>
              <w:t>1</w:t>
            </w:r>
          </w:p>
        </w:tc>
        <w:tc>
          <w:tcPr>
            <w:tcW w:w="4009" w:type="dxa"/>
          </w:tcPr>
          <w:p w14:paraId="350DD743" w14:textId="77777777" w:rsidR="007C0019" w:rsidRPr="00DC2801" w:rsidRDefault="002431C8" w:rsidP="00DC4BFE">
            <w:pPr>
              <w:pBdr>
                <w:top w:val="none" w:sz="0" w:space="0" w:color="E3E3E3"/>
                <w:left w:val="none" w:sz="0" w:space="0" w:color="E3E3E3"/>
                <w:bottom w:val="none" w:sz="0" w:space="0" w:color="E3E3E3"/>
                <w:right w:val="none" w:sz="0" w:space="0" w:color="E3E3E3"/>
                <w:between w:val="none" w:sz="0" w:space="0" w:color="E3E3E3"/>
              </w:pBdr>
              <w:shd w:val="clear" w:color="auto" w:fill="FFFFFF"/>
              <w:rPr>
                <w:rFonts w:eastAsia="Times New Roman"/>
                <w:color w:val="0D0D0D"/>
                <w:sz w:val="24"/>
                <w:szCs w:val="24"/>
                <w:highlight w:val="white"/>
              </w:rPr>
            </w:pPr>
            <w:r w:rsidRPr="00DC2801">
              <w:rPr>
                <w:rFonts w:eastAsia="Times New Roman"/>
                <w:color w:val="0D0D0D"/>
                <w:sz w:val="24"/>
                <w:szCs w:val="24"/>
                <w:highlight w:val="white"/>
              </w:rPr>
              <w:t>Creatinine</w:t>
            </w:r>
          </w:p>
        </w:tc>
        <w:tc>
          <w:tcPr>
            <w:tcW w:w="4536" w:type="dxa"/>
          </w:tcPr>
          <w:p w14:paraId="6F07E673" w14:textId="77777777" w:rsidR="007C0019" w:rsidRPr="00DC2801" w:rsidRDefault="002431C8" w:rsidP="00DC4BFE">
            <w:pPr>
              <w:pBdr>
                <w:top w:val="none" w:sz="0" w:space="0" w:color="E3E3E3"/>
                <w:left w:val="none" w:sz="0" w:space="0" w:color="E3E3E3"/>
                <w:bottom w:val="none" w:sz="0" w:space="0" w:color="E3E3E3"/>
                <w:right w:val="none" w:sz="0" w:space="0" w:color="E3E3E3"/>
                <w:between w:val="none" w:sz="0" w:space="0" w:color="E3E3E3"/>
              </w:pBdr>
              <w:shd w:val="clear" w:color="auto" w:fill="FFFFFF"/>
              <w:rPr>
                <w:rFonts w:eastAsia="Times New Roman"/>
                <w:color w:val="0D0D0D"/>
                <w:sz w:val="24"/>
                <w:szCs w:val="24"/>
                <w:highlight w:val="white"/>
              </w:rPr>
            </w:pPr>
            <w:r w:rsidRPr="00DC2801">
              <w:rPr>
                <w:rFonts w:eastAsia="Times New Roman"/>
                <w:color w:val="0D0D0D"/>
                <w:sz w:val="24"/>
                <w:szCs w:val="24"/>
                <w:highlight w:val="white"/>
              </w:rPr>
              <w:t>0.168</w:t>
            </w:r>
          </w:p>
        </w:tc>
      </w:tr>
      <w:tr w:rsidR="007C0019" w:rsidRPr="00DC2801" w14:paraId="529ABB8A" w14:textId="77777777" w:rsidTr="00DC4BFE">
        <w:trPr>
          <w:trHeight w:val="163"/>
        </w:trPr>
        <w:tc>
          <w:tcPr>
            <w:tcW w:w="1281" w:type="dxa"/>
          </w:tcPr>
          <w:p w14:paraId="0D0E5E13" w14:textId="77777777" w:rsidR="007C0019" w:rsidRPr="00DC2801" w:rsidRDefault="002431C8" w:rsidP="00DC4BFE">
            <w:pPr>
              <w:pBdr>
                <w:top w:val="none" w:sz="0" w:space="0" w:color="E3E3E3"/>
                <w:left w:val="none" w:sz="0" w:space="0" w:color="E3E3E3"/>
                <w:bottom w:val="none" w:sz="0" w:space="0" w:color="E3E3E3"/>
                <w:right w:val="none" w:sz="0" w:space="0" w:color="E3E3E3"/>
                <w:between w:val="none" w:sz="0" w:space="0" w:color="E3E3E3"/>
              </w:pBdr>
              <w:shd w:val="clear" w:color="auto" w:fill="FFFFFF"/>
              <w:rPr>
                <w:rFonts w:eastAsia="Times New Roman"/>
                <w:color w:val="0D0D0D"/>
                <w:sz w:val="24"/>
                <w:szCs w:val="24"/>
                <w:highlight w:val="white"/>
              </w:rPr>
            </w:pPr>
            <w:r w:rsidRPr="00DC2801">
              <w:rPr>
                <w:rFonts w:eastAsia="Times New Roman"/>
                <w:color w:val="0D0D0D"/>
                <w:sz w:val="24"/>
                <w:szCs w:val="24"/>
                <w:highlight w:val="white"/>
              </w:rPr>
              <w:t>2</w:t>
            </w:r>
          </w:p>
        </w:tc>
        <w:tc>
          <w:tcPr>
            <w:tcW w:w="4009" w:type="dxa"/>
          </w:tcPr>
          <w:p w14:paraId="7B3BC495" w14:textId="77777777" w:rsidR="007C0019" w:rsidRPr="00DC2801" w:rsidRDefault="002431C8" w:rsidP="00DC4BFE">
            <w:pPr>
              <w:pBdr>
                <w:top w:val="none" w:sz="0" w:space="0" w:color="E3E3E3"/>
                <w:left w:val="none" w:sz="0" w:space="0" w:color="E3E3E3"/>
                <w:bottom w:val="none" w:sz="0" w:space="0" w:color="E3E3E3"/>
                <w:right w:val="none" w:sz="0" w:space="0" w:color="E3E3E3"/>
                <w:between w:val="none" w:sz="0" w:space="0" w:color="E3E3E3"/>
              </w:pBdr>
              <w:shd w:val="clear" w:color="auto" w:fill="FFFFFF"/>
              <w:rPr>
                <w:rFonts w:eastAsia="Times New Roman"/>
                <w:color w:val="0D0D0D"/>
                <w:sz w:val="24"/>
                <w:szCs w:val="24"/>
                <w:highlight w:val="white"/>
              </w:rPr>
            </w:pPr>
            <w:r w:rsidRPr="00DC2801">
              <w:rPr>
                <w:rFonts w:eastAsia="Times New Roman"/>
                <w:color w:val="0D0D0D"/>
                <w:sz w:val="24"/>
                <w:szCs w:val="24"/>
                <w:highlight w:val="white"/>
              </w:rPr>
              <w:t>Age</w:t>
            </w:r>
          </w:p>
        </w:tc>
        <w:tc>
          <w:tcPr>
            <w:tcW w:w="4536" w:type="dxa"/>
          </w:tcPr>
          <w:p w14:paraId="3EF1857C" w14:textId="77777777" w:rsidR="007C0019" w:rsidRPr="00DC2801" w:rsidRDefault="002431C8" w:rsidP="00DC4BFE">
            <w:pPr>
              <w:pBdr>
                <w:top w:val="none" w:sz="0" w:space="0" w:color="E3E3E3"/>
                <w:left w:val="none" w:sz="0" w:space="0" w:color="E3E3E3"/>
                <w:bottom w:val="none" w:sz="0" w:space="0" w:color="E3E3E3"/>
                <w:right w:val="none" w:sz="0" w:space="0" w:color="E3E3E3"/>
                <w:between w:val="none" w:sz="0" w:space="0" w:color="E3E3E3"/>
              </w:pBdr>
              <w:shd w:val="clear" w:color="auto" w:fill="FFFFFF"/>
              <w:rPr>
                <w:rFonts w:eastAsia="Times New Roman"/>
                <w:color w:val="0D0D0D"/>
                <w:sz w:val="24"/>
                <w:szCs w:val="24"/>
                <w:highlight w:val="white"/>
              </w:rPr>
            </w:pPr>
            <w:r w:rsidRPr="00DC2801">
              <w:rPr>
                <w:rFonts w:eastAsia="Times New Roman"/>
                <w:color w:val="0D0D0D"/>
                <w:sz w:val="24"/>
                <w:szCs w:val="24"/>
                <w:highlight w:val="white"/>
              </w:rPr>
              <w:t>0.142</w:t>
            </w:r>
          </w:p>
        </w:tc>
      </w:tr>
      <w:tr w:rsidR="007C0019" w:rsidRPr="00DC2801" w14:paraId="094E80A0" w14:textId="77777777" w:rsidTr="00DC4BFE">
        <w:trPr>
          <w:trHeight w:val="163"/>
        </w:trPr>
        <w:tc>
          <w:tcPr>
            <w:tcW w:w="1281" w:type="dxa"/>
          </w:tcPr>
          <w:p w14:paraId="151980A4" w14:textId="77777777" w:rsidR="007C0019" w:rsidRPr="00DC2801" w:rsidRDefault="002431C8" w:rsidP="00DC4BFE">
            <w:pPr>
              <w:pBdr>
                <w:top w:val="none" w:sz="0" w:space="0" w:color="E3E3E3"/>
                <w:left w:val="none" w:sz="0" w:space="0" w:color="E3E3E3"/>
                <w:bottom w:val="none" w:sz="0" w:space="0" w:color="E3E3E3"/>
                <w:right w:val="none" w:sz="0" w:space="0" w:color="E3E3E3"/>
                <w:between w:val="none" w:sz="0" w:space="0" w:color="E3E3E3"/>
              </w:pBdr>
              <w:shd w:val="clear" w:color="auto" w:fill="FFFFFF"/>
              <w:rPr>
                <w:rFonts w:eastAsia="Times New Roman"/>
                <w:color w:val="0D0D0D"/>
                <w:sz w:val="24"/>
                <w:szCs w:val="24"/>
                <w:highlight w:val="white"/>
              </w:rPr>
            </w:pPr>
            <w:r w:rsidRPr="00DC2801">
              <w:rPr>
                <w:rFonts w:eastAsia="Times New Roman"/>
                <w:color w:val="0D0D0D"/>
                <w:sz w:val="24"/>
                <w:szCs w:val="24"/>
                <w:highlight w:val="white"/>
              </w:rPr>
              <w:t>3</w:t>
            </w:r>
          </w:p>
        </w:tc>
        <w:tc>
          <w:tcPr>
            <w:tcW w:w="4009" w:type="dxa"/>
          </w:tcPr>
          <w:p w14:paraId="0E68CF73" w14:textId="77777777" w:rsidR="007C0019" w:rsidRPr="00DC2801" w:rsidRDefault="002431C8" w:rsidP="00DC4BFE">
            <w:pPr>
              <w:pBdr>
                <w:top w:val="none" w:sz="0" w:space="0" w:color="E3E3E3"/>
                <w:left w:val="none" w:sz="0" w:space="0" w:color="E3E3E3"/>
                <w:bottom w:val="none" w:sz="0" w:space="0" w:color="E3E3E3"/>
                <w:right w:val="none" w:sz="0" w:space="0" w:color="E3E3E3"/>
                <w:between w:val="none" w:sz="0" w:space="0" w:color="E3E3E3"/>
              </w:pBdr>
              <w:shd w:val="clear" w:color="auto" w:fill="FFFFFF"/>
              <w:rPr>
                <w:rFonts w:eastAsia="Times New Roman"/>
                <w:color w:val="0D0D0D"/>
                <w:sz w:val="24"/>
                <w:szCs w:val="24"/>
                <w:highlight w:val="white"/>
              </w:rPr>
            </w:pPr>
            <w:r w:rsidRPr="00DC2801">
              <w:rPr>
                <w:rFonts w:eastAsia="Times New Roman"/>
                <w:color w:val="0D0D0D"/>
                <w:sz w:val="24"/>
                <w:szCs w:val="24"/>
                <w:highlight w:val="white"/>
              </w:rPr>
              <w:t>Diastolic Blood Pressure</w:t>
            </w:r>
          </w:p>
        </w:tc>
        <w:tc>
          <w:tcPr>
            <w:tcW w:w="4536" w:type="dxa"/>
          </w:tcPr>
          <w:p w14:paraId="65EB2745" w14:textId="77777777" w:rsidR="007C0019" w:rsidRPr="00DC2801" w:rsidRDefault="002431C8" w:rsidP="00DC4BFE">
            <w:pPr>
              <w:pBdr>
                <w:top w:val="none" w:sz="0" w:space="0" w:color="E3E3E3"/>
                <w:left w:val="none" w:sz="0" w:space="0" w:color="E3E3E3"/>
                <w:bottom w:val="none" w:sz="0" w:space="0" w:color="E3E3E3"/>
                <w:right w:val="none" w:sz="0" w:space="0" w:color="E3E3E3"/>
                <w:between w:val="none" w:sz="0" w:space="0" w:color="E3E3E3"/>
              </w:pBdr>
              <w:shd w:val="clear" w:color="auto" w:fill="FFFFFF"/>
              <w:rPr>
                <w:rFonts w:eastAsia="Times New Roman"/>
                <w:color w:val="0D0D0D"/>
                <w:sz w:val="24"/>
                <w:szCs w:val="24"/>
                <w:highlight w:val="white"/>
              </w:rPr>
            </w:pPr>
            <w:r w:rsidRPr="00DC2801">
              <w:rPr>
                <w:rFonts w:eastAsia="Times New Roman"/>
                <w:color w:val="0D0D0D"/>
                <w:sz w:val="24"/>
                <w:szCs w:val="24"/>
                <w:highlight w:val="white"/>
              </w:rPr>
              <w:t>0.139</w:t>
            </w:r>
          </w:p>
        </w:tc>
      </w:tr>
      <w:tr w:rsidR="007C0019" w:rsidRPr="00DC2801" w14:paraId="2123E9EA" w14:textId="77777777" w:rsidTr="00DC4BFE">
        <w:trPr>
          <w:trHeight w:val="163"/>
        </w:trPr>
        <w:tc>
          <w:tcPr>
            <w:tcW w:w="1281" w:type="dxa"/>
          </w:tcPr>
          <w:p w14:paraId="23A92596" w14:textId="77777777" w:rsidR="007C0019" w:rsidRPr="00DC2801" w:rsidRDefault="002431C8" w:rsidP="00DC4BFE">
            <w:pPr>
              <w:pBdr>
                <w:top w:val="none" w:sz="0" w:space="0" w:color="E3E3E3"/>
                <w:left w:val="none" w:sz="0" w:space="0" w:color="E3E3E3"/>
                <w:bottom w:val="none" w:sz="0" w:space="0" w:color="E3E3E3"/>
                <w:right w:val="none" w:sz="0" w:space="0" w:color="E3E3E3"/>
                <w:between w:val="none" w:sz="0" w:space="0" w:color="E3E3E3"/>
              </w:pBdr>
              <w:shd w:val="clear" w:color="auto" w:fill="FFFFFF"/>
              <w:rPr>
                <w:rFonts w:eastAsia="Times New Roman"/>
                <w:color w:val="0D0D0D"/>
                <w:sz w:val="24"/>
                <w:szCs w:val="24"/>
                <w:highlight w:val="white"/>
              </w:rPr>
            </w:pPr>
            <w:r w:rsidRPr="00DC2801">
              <w:rPr>
                <w:rFonts w:eastAsia="Times New Roman"/>
                <w:color w:val="0D0D0D"/>
                <w:sz w:val="24"/>
                <w:szCs w:val="24"/>
                <w:highlight w:val="white"/>
              </w:rPr>
              <w:t>4</w:t>
            </w:r>
          </w:p>
        </w:tc>
        <w:tc>
          <w:tcPr>
            <w:tcW w:w="4009" w:type="dxa"/>
          </w:tcPr>
          <w:p w14:paraId="2B13AC75" w14:textId="77777777" w:rsidR="007C0019" w:rsidRPr="00DC2801" w:rsidRDefault="002431C8" w:rsidP="00DC4BFE">
            <w:pPr>
              <w:pBdr>
                <w:top w:val="none" w:sz="0" w:space="0" w:color="E3E3E3"/>
                <w:left w:val="none" w:sz="0" w:space="0" w:color="E3E3E3"/>
                <w:bottom w:val="none" w:sz="0" w:space="0" w:color="E3E3E3"/>
                <w:right w:val="none" w:sz="0" w:space="0" w:color="E3E3E3"/>
                <w:between w:val="none" w:sz="0" w:space="0" w:color="E3E3E3"/>
              </w:pBdr>
              <w:shd w:val="clear" w:color="auto" w:fill="FFFFFF"/>
              <w:rPr>
                <w:rFonts w:eastAsia="Times New Roman"/>
                <w:color w:val="0D0D0D"/>
                <w:sz w:val="24"/>
                <w:szCs w:val="24"/>
                <w:highlight w:val="white"/>
              </w:rPr>
            </w:pPr>
            <w:r w:rsidRPr="00DC2801">
              <w:rPr>
                <w:rFonts w:eastAsia="Times New Roman"/>
                <w:color w:val="0D0D0D"/>
                <w:sz w:val="24"/>
                <w:szCs w:val="24"/>
                <w:highlight w:val="white"/>
              </w:rPr>
              <w:t>White Blood Cell Count</w:t>
            </w:r>
          </w:p>
        </w:tc>
        <w:tc>
          <w:tcPr>
            <w:tcW w:w="4536" w:type="dxa"/>
          </w:tcPr>
          <w:p w14:paraId="2CCBCA7D" w14:textId="77777777" w:rsidR="007C0019" w:rsidRPr="00DC2801" w:rsidRDefault="002431C8" w:rsidP="00DC4BFE">
            <w:pPr>
              <w:pBdr>
                <w:top w:val="none" w:sz="0" w:space="0" w:color="E3E3E3"/>
                <w:left w:val="none" w:sz="0" w:space="0" w:color="E3E3E3"/>
                <w:bottom w:val="none" w:sz="0" w:space="0" w:color="E3E3E3"/>
                <w:right w:val="none" w:sz="0" w:space="0" w:color="E3E3E3"/>
                <w:between w:val="none" w:sz="0" w:space="0" w:color="E3E3E3"/>
              </w:pBdr>
              <w:shd w:val="clear" w:color="auto" w:fill="FFFFFF"/>
              <w:rPr>
                <w:rFonts w:eastAsia="Times New Roman"/>
                <w:color w:val="0D0D0D"/>
                <w:sz w:val="24"/>
                <w:szCs w:val="24"/>
                <w:highlight w:val="white"/>
              </w:rPr>
            </w:pPr>
            <w:r w:rsidRPr="00DC2801">
              <w:rPr>
                <w:rFonts w:eastAsia="Times New Roman"/>
                <w:color w:val="0D0D0D"/>
                <w:sz w:val="24"/>
                <w:szCs w:val="24"/>
                <w:highlight w:val="white"/>
              </w:rPr>
              <w:t>0.127</w:t>
            </w:r>
          </w:p>
        </w:tc>
      </w:tr>
      <w:tr w:rsidR="007C0019" w:rsidRPr="00DC2801" w14:paraId="13590A37" w14:textId="77777777" w:rsidTr="00DC4BFE">
        <w:trPr>
          <w:trHeight w:val="163"/>
        </w:trPr>
        <w:tc>
          <w:tcPr>
            <w:tcW w:w="1281" w:type="dxa"/>
          </w:tcPr>
          <w:p w14:paraId="79D17AF0" w14:textId="77777777" w:rsidR="007C0019" w:rsidRPr="00DC2801" w:rsidRDefault="002431C8" w:rsidP="00DC4BFE">
            <w:pPr>
              <w:pBdr>
                <w:top w:val="none" w:sz="0" w:space="0" w:color="E3E3E3"/>
                <w:left w:val="none" w:sz="0" w:space="0" w:color="E3E3E3"/>
                <w:bottom w:val="none" w:sz="0" w:space="0" w:color="E3E3E3"/>
                <w:right w:val="none" w:sz="0" w:space="0" w:color="E3E3E3"/>
                <w:between w:val="none" w:sz="0" w:space="0" w:color="E3E3E3"/>
              </w:pBdr>
              <w:shd w:val="clear" w:color="auto" w:fill="FFFFFF"/>
              <w:rPr>
                <w:rFonts w:eastAsia="Times New Roman"/>
                <w:color w:val="0D0D0D"/>
                <w:sz w:val="24"/>
                <w:szCs w:val="24"/>
                <w:highlight w:val="white"/>
              </w:rPr>
            </w:pPr>
            <w:r w:rsidRPr="00DC2801">
              <w:rPr>
                <w:rFonts w:eastAsia="Times New Roman"/>
                <w:color w:val="0D0D0D"/>
                <w:sz w:val="24"/>
                <w:szCs w:val="24"/>
                <w:highlight w:val="white"/>
              </w:rPr>
              <w:t>5</w:t>
            </w:r>
          </w:p>
        </w:tc>
        <w:tc>
          <w:tcPr>
            <w:tcW w:w="4009" w:type="dxa"/>
          </w:tcPr>
          <w:p w14:paraId="74664D95" w14:textId="77777777" w:rsidR="007C0019" w:rsidRPr="00DC2801" w:rsidRDefault="002431C8" w:rsidP="00DC4BFE">
            <w:pPr>
              <w:pBdr>
                <w:top w:val="none" w:sz="0" w:space="0" w:color="E3E3E3"/>
                <w:left w:val="none" w:sz="0" w:space="0" w:color="E3E3E3"/>
                <w:bottom w:val="none" w:sz="0" w:space="0" w:color="E3E3E3"/>
                <w:right w:val="none" w:sz="0" w:space="0" w:color="E3E3E3"/>
                <w:between w:val="none" w:sz="0" w:space="0" w:color="E3E3E3"/>
              </w:pBdr>
              <w:shd w:val="clear" w:color="auto" w:fill="FFFFFF"/>
              <w:rPr>
                <w:rFonts w:eastAsia="Times New Roman"/>
                <w:color w:val="0D0D0D"/>
                <w:sz w:val="24"/>
                <w:szCs w:val="24"/>
                <w:highlight w:val="white"/>
              </w:rPr>
            </w:pPr>
            <w:r w:rsidRPr="00DC2801">
              <w:rPr>
                <w:rFonts w:eastAsia="Times New Roman"/>
                <w:color w:val="0D0D0D"/>
                <w:sz w:val="24"/>
                <w:szCs w:val="24"/>
                <w:highlight w:val="white"/>
              </w:rPr>
              <w:t>Heart Rate Variability</w:t>
            </w:r>
          </w:p>
        </w:tc>
        <w:tc>
          <w:tcPr>
            <w:tcW w:w="4536" w:type="dxa"/>
          </w:tcPr>
          <w:p w14:paraId="13BB4BD6" w14:textId="77777777" w:rsidR="007C0019" w:rsidRPr="00DC2801" w:rsidRDefault="002431C8" w:rsidP="00DC4BFE">
            <w:pPr>
              <w:pBdr>
                <w:top w:val="none" w:sz="0" w:space="0" w:color="E3E3E3"/>
                <w:left w:val="none" w:sz="0" w:space="0" w:color="E3E3E3"/>
                <w:bottom w:val="none" w:sz="0" w:space="0" w:color="E3E3E3"/>
                <w:right w:val="none" w:sz="0" w:space="0" w:color="E3E3E3"/>
                <w:between w:val="none" w:sz="0" w:space="0" w:color="E3E3E3"/>
              </w:pBdr>
              <w:shd w:val="clear" w:color="auto" w:fill="FFFFFF"/>
              <w:rPr>
                <w:rFonts w:eastAsia="Times New Roman"/>
                <w:color w:val="0D0D0D"/>
                <w:sz w:val="24"/>
                <w:szCs w:val="24"/>
                <w:highlight w:val="white"/>
              </w:rPr>
            </w:pPr>
            <w:r w:rsidRPr="00DC2801">
              <w:rPr>
                <w:rFonts w:eastAsia="Times New Roman"/>
                <w:color w:val="0D0D0D"/>
                <w:sz w:val="24"/>
                <w:szCs w:val="24"/>
                <w:highlight w:val="white"/>
              </w:rPr>
              <w:t>0.118</w:t>
            </w:r>
          </w:p>
        </w:tc>
      </w:tr>
      <w:tr w:rsidR="007C0019" w:rsidRPr="00DC2801" w14:paraId="31F695F0" w14:textId="77777777" w:rsidTr="00DC4BFE">
        <w:trPr>
          <w:trHeight w:val="163"/>
        </w:trPr>
        <w:tc>
          <w:tcPr>
            <w:tcW w:w="1281" w:type="dxa"/>
          </w:tcPr>
          <w:p w14:paraId="59E99FAB" w14:textId="77777777" w:rsidR="007C0019" w:rsidRPr="00DC2801" w:rsidRDefault="002431C8" w:rsidP="00DC4BFE">
            <w:pPr>
              <w:pBdr>
                <w:top w:val="none" w:sz="0" w:space="0" w:color="E3E3E3"/>
                <w:left w:val="none" w:sz="0" w:space="0" w:color="E3E3E3"/>
                <w:bottom w:val="none" w:sz="0" w:space="0" w:color="E3E3E3"/>
                <w:right w:val="none" w:sz="0" w:space="0" w:color="E3E3E3"/>
                <w:between w:val="none" w:sz="0" w:space="0" w:color="E3E3E3"/>
              </w:pBdr>
              <w:shd w:val="clear" w:color="auto" w:fill="FFFFFF"/>
              <w:rPr>
                <w:rFonts w:eastAsia="Times New Roman"/>
                <w:color w:val="0D0D0D"/>
                <w:sz w:val="24"/>
                <w:szCs w:val="24"/>
                <w:highlight w:val="white"/>
              </w:rPr>
            </w:pPr>
            <w:r w:rsidRPr="00DC2801">
              <w:rPr>
                <w:rFonts w:eastAsia="Times New Roman"/>
                <w:color w:val="0D0D0D"/>
                <w:sz w:val="24"/>
                <w:szCs w:val="24"/>
                <w:highlight w:val="white"/>
              </w:rPr>
              <w:t>6</w:t>
            </w:r>
          </w:p>
        </w:tc>
        <w:tc>
          <w:tcPr>
            <w:tcW w:w="4009" w:type="dxa"/>
          </w:tcPr>
          <w:p w14:paraId="729F4C18" w14:textId="77777777" w:rsidR="007C0019" w:rsidRPr="00DC2801" w:rsidRDefault="002431C8" w:rsidP="00DC4BFE">
            <w:pPr>
              <w:pBdr>
                <w:top w:val="none" w:sz="0" w:space="0" w:color="E3E3E3"/>
                <w:left w:val="none" w:sz="0" w:space="0" w:color="E3E3E3"/>
                <w:bottom w:val="none" w:sz="0" w:space="0" w:color="E3E3E3"/>
                <w:right w:val="none" w:sz="0" w:space="0" w:color="E3E3E3"/>
                <w:between w:val="none" w:sz="0" w:space="0" w:color="E3E3E3"/>
              </w:pBdr>
              <w:shd w:val="clear" w:color="auto" w:fill="FFFFFF"/>
              <w:rPr>
                <w:rFonts w:eastAsia="Times New Roman"/>
                <w:color w:val="0D0D0D"/>
                <w:sz w:val="24"/>
                <w:szCs w:val="24"/>
                <w:highlight w:val="white"/>
              </w:rPr>
            </w:pPr>
            <w:r w:rsidRPr="00DC2801">
              <w:rPr>
                <w:rFonts w:eastAsia="Times New Roman"/>
                <w:color w:val="0D0D0D"/>
                <w:sz w:val="24"/>
                <w:szCs w:val="24"/>
                <w:highlight w:val="white"/>
              </w:rPr>
              <w:t>SOFA Score</w:t>
            </w:r>
          </w:p>
        </w:tc>
        <w:tc>
          <w:tcPr>
            <w:tcW w:w="4536" w:type="dxa"/>
          </w:tcPr>
          <w:p w14:paraId="643720EA" w14:textId="77777777" w:rsidR="007C0019" w:rsidRPr="00DC2801" w:rsidRDefault="002431C8" w:rsidP="00DC4BFE">
            <w:pPr>
              <w:pBdr>
                <w:top w:val="none" w:sz="0" w:space="0" w:color="E3E3E3"/>
                <w:left w:val="none" w:sz="0" w:space="0" w:color="E3E3E3"/>
                <w:bottom w:val="none" w:sz="0" w:space="0" w:color="E3E3E3"/>
                <w:right w:val="none" w:sz="0" w:space="0" w:color="E3E3E3"/>
                <w:between w:val="none" w:sz="0" w:space="0" w:color="E3E3E3"/>
              </w:pBdr>
              <w:shd w:val="clear" w:color="auto" w:fill="FFFFFF"/>
              <w:rPr>
                <w:rFonts w:eastAsia="Times New Roman"/>
                <w:color w:val="0D0D0D"/>
                <w:sz w:val="24"/>
                <w:szCs w:val="24"/>
                <w:highlight w:val="white"/>
              </w:rPr>
            </w:pPr>
            <w:r w:rsidRPr="00DC2801">
              <w:rPr>
                <w:rFonts w:eastAsia="Times New Roman"/>
                <w:color w:val="0D0D0D"/>
                <w:sz w:val="24"/>
                <w:szCs w:val="24"/>
                <w:highlight w:val="white"/>
              </w:rPr>
              <w:t>0.110</w:t>
            </w:r>
          </w:p>
        </w:tc>
      </w:tr>
      <w:tr w:rsidR="007C0019" w:rsidRPr="00DC2801" w14:paraId="11157B79" w14:textId="77777777" w:rsidTr="00DC4BFE">
        <w:trPr>
          <w:trHeight w:val="163"/>
        </w:trPr>
        <w:tc>
          <w:tcPr>
            <w:tcW w:w="1281" w:type="dxa"/>
          </w:tcPr>
          <w:p w14:paraId="5BE2E55D" w14:textId="77777777" w:rsidR="007C0019" w:rsidRPr="00DC2801" w:rsidRDefault="002431C8" w:rsidP="00DC4BFE">
            <w:pPr>
              <w:pBdr>
                <w:top w:val="none" w:sz="0" w:space="0" w:color="E3E3E3"/>
                <w:left w:val="none" w:sz="0" w:space="0" w:color="E3E3E3"/>
                <w:bottom w:val="none" w:sz="0" w:space="0" w:color="E3E3E3"/>
                <w:right w:val="none" w:sz="0" w:space="0" w:color="E3E3E3"/>
                <w:between w:val="none" w:sz="0" w:space="0" w:color="E3E3E3"/>
              </w:pBdr>
              <w:shd w:val="clear" w:color="auto" w:fill="FFFFFF"/>
              <w:rPr>
                <w:rFonts w:eastAsia="Times New Roman"/>
                <w:color w:val="0D0D0D"/>
                <w:sz w:val="24"/>
                <w:szCs w:val="24"/>
                <w:highlight w:val="white"/>
              </w:rPr>
            </w:pPr>
            <w:r w:rsidRPr="00DC2801">
              <w:rPr>
                <w:rFonts w:eastAsia="Times New Roman"/>
                <w:color w:val="0D0D0D"/>
                <w:sz w:val="24"/>
                <w:szCs w:val="24"/>
                <w:highlight w:val="white"/>
              </w:rPr>
              <w:t>7</w:t>
            </w:r>
          </w:p>
        </w:tc>
        <w:tc>
          <w:tcPr>
            <w:tcW w:w="4009" w:type="dxa"/>
          </w:tcPr>
          <w:p w14:paraId="2A85FE13" w14:textId="77777777" w:rsidR="007C0019" w:rsidRPr="00DC2801" w:rsidRDefault="002431C8" w:rsidP="00DC4BFE">
            <w:pPr>
              <w:pBdr>
                <w:top w:val="none" w:sz="0" w:space="0" w:color="E3E3E3"/>
                <w:left w:val="none" w:sz="0" w:space="0" w:color="E3E3E3"/>
                <w:bottom w:val="none" w:sz="0" w:space="0" w:color="E3E3E3"/>
                <w:right w:val="none" w:sz="0" w:space="0" w:color="E3E3E3"/>
                <w:between w:val="none" w:sz="0" w:space="0" w:color="E3E3E3"/>
              </w:pBdr>
              <w:shd w:val="clear" w:color="auto" w:fill="FFFFFF"/>
              <w:rPr>
                <w:rFonts w:eastAsia="Times New Roman"/>
                <w:color w:val="0D0D0D"/>
                <w:sz w:val="24"/>
                <w:szCs w:val="24"/>
                <w:highlight w:val="white"/>
              </w:rPr>
            </w:pPr>
            <w:r w:rsidRPr="00DC2801">
              <w:rPr>
                <w:rFonts w:eastAsia="Times New Roman"/>
                <w:color w:val="0D0D0D"/>
                <w:sz w:val="24"/>
                <w:szCs w:val="24"/>
                <w:highlight w:val="white"/>
              </w:rPr>
              <w:t>Previous ICU Admissions</w:t>
            </w:r>
          </w:p>
        </w:tc>
        <w:tc>
          <w:tcPr>
            <w:tcW w:w="4536" w:type="dxa"/>
          </w:tcPr>
          <w:p w14:paraId="7170D7D8" w14:textId="77777777" w:rsidR="007C0019" w:rsidRPr="00DC2801" w:rsidRDefault="002431C8" w:rsidP="00DC4BFE">
            <w:pPr>
              <w:pBdr>
                <w:top w:val="none" w:sz="0" w:space="0" w:color="E3E3E3"/>
                <w:left w:val="none" w:sz="0" w:space="0" w:color="E3E3E3"/>
                <w:bottom w:val="none" w:sz="0" w:space="0" w:color="E3E3E3"/>
                <w:right w:val="none" w:sz="0" w:space="0" w:color="E3E3E3"/>
                <w:between w:val="none" w:sz="0" w:space="0" w:color="E3E3E3"/>
              </w:pBdr>
              <w:shd w:val="clear" w:color="auto" w:fill="FFFFFF"/>
              <w:rPr>
                <w:rFonts w:eastAsia="Times New Roman"/>
                <w:color w:val="0D0D0D"/>
                <w:sz w:val="24"/>
                <w:szCs w:val="24"/>
                <w:highlight w:val="white"/>
              </w:rPr>
            </w:pPr>
            <w:r w:rsidRPr="00DC2801">
              <w:rPr>
                <w:rFonts w:eastAsia="Times New Roman"/>
                <w:color w:val="0D0D0D"/>
                <w:sz w:val="24"/>
                <w:szCs w:val="24"/>
                <w:highlight w:val="white"/>
              </w:rPr>
              <w:t>0.103</w:t>
            </w:r>
          </w:p>
        </w:tc>
      </w:tr>
      <w:tr w:rsidR="007C0019" w:rsidRPr="00DC2801" w14:paraId="04B1678D" w14:textId="77777777" w:rsidTr="00DC4BFE">
        <w:trPr>
          <w:trHeight w:val="163"/>
        </w:trPr>
        <w:tc>
          <w:tcPr>
            <w:tcW w:w="1281" w:type="dxa"/>
          </w:tcPr>
          <w:p w14:paraId="002E8A22" w14:textId="77777777" w:rsidR="007C0019" w:rsidRPr="00DC2801" w:rsidRDefault="002431C8" w:rsidP="00DC4BFE">
            <w:pPr>
              <w:pBdr>
                <w:top w:val="none" w:sz="0" w:space="0" w:color="E3E3E3"/>
                <w:left w:val="none" w:sz="0" w:space="0" w:color="E3E3E3"/>
                <w:bottom w:val="none" w:sz="0" w:space="0" w:color="E3E3E3"/>
                <w:right w:val="none" w:sz="0" w:space="0" w:color="E3E3E3"/>
                <w:between w:val="none" w:sz="0" w:space="0" w:color="E3E3E3"/>
              </w:pBdr>
              <w:shd w:val="clear" w:color="auto" w:fill="FFFFFF"/>
              <w:rPr>
                <w:rFonts w:eastAsia="Times New Roman"/>
                <w:color w:val="0D0D0D"/>
                <w:sz w:val="24"/>
                <w:szCs w:val="24"/>
                <w:highlight w:val="white"/>
              </w:rPr>
            </w:pPr>
            <w:r w:rsidRPr="00DC2801">
              <w:rPr>
                <w:rFonts w:eastAsia="Times New Roman"/>
                <w:color w:val="0D0D0D"/>
                <w:sz w:val="24"/>
                <w:szCs w:val="24"/>
                <w:highlight w:val="white"/>
              </w:rPr>
              <w:t>8</w:t>
            </w:r>
          </w:p>
        </w:tc>
        <w:tc>
          <w:tcPr>
            <w:tcW w:w="4009" w:type="dxa"/>
          </w:tcPr>
          <w:p w14:paraId="1475DE2C" w14:textId="77777777" w:rsidR="007C0019" w:rsidRPr="00DC2801" w:rsidRDefault="002431C8" w:rsidP="00DC4BFE">
            <w:pPr>
              <w:pBdr>
                <w:top w:val="none" w:sz="0" w:space="0" w:color="E3E3E3"/>
                <w:left w:val="none" w:sz="0" w:space="0" w:color="E3E3E3"/>
                <w:bottom w:val="none" w:sz="0" w:space="0" w:color="E3E3E3"/>
                <w:right w:val="none" w:sz="0" w:space="0" w:color="E3E3E3"/>
                <w:between w:val="none" w:sz="0" w:space="0" w:color="E3E3E3"/>
              </w:pBdr>
              <w:shd w:val="clear" w:color="auto" w:fill="FFFFFF"/>
              <w:rPr>
                <w:rFonts w:eastAsia="Times New Roman"/>
                <w:color w:val="0D0D0D"/>
                <w:sz w:val="24"/>
                <w:szCs w:val="24"/>
                <w:highlight w:val="white"/>
              </w:rPr>
            </w:pPr>
            <w:r w:rsidRPr="00DC2801">
              <w:rPr>
                <w:rFonts w:eastAsia="Times New Roman"/>
                <w:color w:val="0D0D0D"/>
                <w:sz w:val="24"/>
                <w:szCs w:val="24"/>
                <w:highlight w:val="white"/>
              </w:rPr>
              <w:t>Comorbidity Index</w:t>
            </w:r>
          </w:p>
        </w:tc>
        <w:tc>
          <w:tcPr>
            <w:tcW w:w="4536" w:type="dxa"/>
          </w:tcPr>
          <w:p w14:paraId="08D8EAB9" w14:textId="77777777" w:rsidR="007C0019" w:rsidRPr="00DC2801" w:rsidRDefault="002431C8" w:rsidP="00DC4BFE">
            <w:pPr>
              <w:pBdr>
                <w:top w:val="none" w:sz="0" w:space="0" w:color="E3E3E3"/>
                <w:left w:val="none" w:sz="0" w:space="0" w:color="E3E3E3"/>
                <w:bottom w:val="none" w:sz="0" w:space="0" w:color="E3E3E3"/>
                <w:right w:val="none" w:sz="0" w:space="0" w:color="E3E3E3"/>
                <w:between w:val="none" w:sz="0" w:space="0" w:color="E3E3E3"/>
              </w:pBdr>
              <w:shd w:val="clear" w:color="auto" w:fill="FFFFFF"/>
              <w:rPr>
                <w:rFonts w:eastAsia="Times New Roman"/>
                <w:color w:val="0D0D0D"/>
                <w:sz w:val="24"/>
                <w:szCs w:val="24"/>
                <w:highlight w:val="white"/>
              </w:rPr>
            </w:pPr>
            <w:r w:rsidRPr="00DC2801">
              <w:rPr>
                <w:rFonts w:eastAsia="Times New Roman"/>
                <w:color w:val="0D0D0D"/>
                <w:sz w:val="24"/>
                <w:szCs w:val="24"/>
                <w:highlight w:val="white"/>
              </w:rPr>
              <w:t>0.098</w:t>
            </w:r>
          </w:p>
        </w:tc>
      </w:tr>
      <w:tr w:rsidR="007C0019" w:rsidRPr="00DC2801" w14:paraId="36C0AAA4" w14:textId="77777777" w:rsidTr="00DC4BFE">
        <w:trPr>
          <w:trHeight w:val="163"/>
        </w:trPr>
        <w:tc>
          <w:tcPr>
            <w:tcW w:w="1281" w:type="dxa"/>
          </w:tcPr>
          <w:p w14:paraId="24DE3591" w14:textId="77777777" w:rsidR="007C0019" w:rsidRPr="00DC2801" w:rsidRDefault="002431C8" w:rsidP="00DC4BFE">
            <w:pPr>
              <w:pBdr>
                <w:top w:val="none" w:sz="0" w:space="0" w:color="E3E3E3"/>
                <w:left w:val="none" w:sz="0" w:space="0" w:color="E3E3E3"/>
                <w:bottom w:val="none" w:sz="0" w:space="0" w:color="E3E3E3"/>
                <w:right w:val="none" w:sz="0" w:space="0" w:color="E3E3E3"/>
                <w:between w:val="none" w:sz="0" w:space="0" w:color="E3E3E3"/>
              </w:pBdr>
              <w:shd w:val="clear" w:color="auto" w:fill="FFFFFF"/>
              <w:rPr>
                <w:rFonts w:eastAsia="Times New Roman"/>
                <w:color w:val="0D0D0D"/>
                <w:sz w:val="24"/>
                <w:szCs w:val="24"/>
                <w:highlight w:val="white"/>
              </w:rPr>
            </w:pPr>
            <w:r w:rsidRPr="00DC2801">
              <w:rPr>
                <w:rFonts w:eastAsia="Times New Roman"/>
                <w:color w:val="0D0D0D"/>
                <w:sz w:val="24"/>
                <w:szCs w:val="24"/>
                <w:highlight w:val="white"/>
              </w:rPr>
              <w:t>9</w:t>
            </w:r>
          </w:p>
        </w:tc>
        <w:tc>
          <w:tcPr>
            <w:tcW w:w="4009" w:type="dxa"/>
          </w:tcPr>
          <w:p w14:paraId="7BB9C130" w14:textId="77777777" w:rsidR="007C0019" w:rsidRPr="00DC2801" w:rsidRDefault="002431C8" w:rsidP="00DC4BFE">
            <w:pPr>
              <w:pBdr>
                <w:top w:val="none" w:sz="0" w:space="0" w:color="E3E3E3"/>
                <w:left w:val="none" w:sz="0" w:space="0" w:color="E3E3E3"/>
                <w:bottom w:val="none" w:sz="0" w:space="0" w:color="E3E3E3"/>
                <w:right w:val="none" w:sz="0" w:space="0" w:color="E3E3E3"/>
                <w:between w:val="none" w:sz="0" w:space="0" w:color="E3E3E3"/>
              </w:pBdr>
              <w:shd w:val="clear" w:color="auto" w:fill="FFFFFF"/>
              <w:rPr>
                <w:rFonts w:eastAsia="Times New Roman"/>
                <w:color w:val="0D0D0D"/>
                <w:sz w:val="24"/>
                <w:szCs w:val="24"/>
                <w:highlight w:val="white"/>
              </w:rPr>
            </w:pPr>
            <w:r w:rsidRPr="00DC2801">
              <w:rPr>
                <w:rFonts w:eastAsia="Times New Roman"/>
                <w:color w:val="0D0D0D"/>
                <w:sz w:val="24"/>
                <w:szCs w:val="24"/>
                <w:highlight w:val="white"/>
              </w:rPr>
              <w:t>Lactate Level</w:t>
            </w:r>
          </w:p>
        </w:tc>
        <w:tc>
          <w:tcPr>
            <w:tcW w:w="4536" w:type="dxa"/>
          </w:tcPr>
          <w:p w14:paraId="203545BA" w14:textId="77777777" w:rsidR="007C0019" w:rsidRPr="00DC2801" w:rsidRDefault="002431C8" w:rsidP="00DC4BFE">
            <w:pPr>
              <w:pBdr>
                <w:top w:val="none" w:sz="0" w:space="0" w:color="E3E3E3"/>
                <w:left w:val="none" w:sz="0" w:space="0" w:color="E3E3E3"/>
                <w:bottom w:val="none" w:sz="0" w:space="0" w:color="E3E3E3"/>
                <w:right w:val="none" w:sz="0" w:space="0" w:color="E3E3E3"/>
                <w:between w:val="none" w:sz="0" w:space="0" w:color="E3E3E3"/>
              </w:pBdr>
              <w:shd w:val="clear" w:color="auto" w:fill="FFFFFF"/>
              <w:rPr>
                <w:rFonts w:eastAsia="Times New Roman"/>
                <w:color w:val="0D0D0D"/>
                <w:sz w:val="24"/>
                <w:szCs w:val="24"/>
                <w:highlight w:val="white"/>
              </w:rPr>
            </w:pPr>
            <w:r w:rsidRPr="00DC2801">
              <w:rPr>
                <w:rFonts w:eastAsia="Times New Roman"/>
                <w:color w:val="0D0D0D"/>
                <w:sz w:val="24"/>
                <w:szCs w:val="24"/>
                <w:highlight w:val="white"/>
              </w:rPr>
              <w:t>0.089</w:t>
            </w:r>
          </w:p>
        </w:tc>
      </w:tr>
      <w:tr w:rsidR="007C0019" w:rsidRPr="00DC2801" w14:paraId="446518F7" w14:textId="77777777" w:rsidTr="00DC4BFE">
        <w:trPr>
          <w:trHeight w:val="163"/>
        </w:trPr>
        <w:tc>
          <w:tcPr>
            <w:tcW w:w="1281" w:type="dxa"/>
          </w:tcPr>
          <w:p w14:paraId="185F26A7" w14:textId="77777777" w:rsidR="007C0019" w:rsidRPr="00DC2801" w:rsidRDefault="002431C8" w:rsidP="00DC4BFE">
            <w:pPr>
              <w:pBdr>
                <w:top w:val="none" w:sz="0" w:space="0" w:color="E3E3E3"/>
                <w:left w:val="none" w:sz="0" w:space="0" w:color="E3E3E3"/>
                <w:bottom w:val="none" w:sz="0" w:space="0" w:color="E3E3E3"/>
                <w:right w:val="none" w:sz="0" w:space="0" w:color="E3E3E3"/>
                <w:between w:val="none" w:sz="0" w:space="0" w:color="E3E3E3"/>
              </w:pBdr>
              <w:shd w:val="clear" w:color="auto" w:fill="FFFFFF"/>
              <w:rPr>
                <w:rFonts w:eastAsia="Times New Roman"/>
                <w:color w:val="0D0D0D"/>
                <w:sz w:val="24"/>
                <w:szCs w:val="24"/>
                <w:highlight w:val="white"/>
              </w:rPr>
            </w:pPr>
            <w:r w:rsidRPr="00DC2801">
              <w:rPr>
                <w:rFonts w:eastAsia="Times New Roman"/>
                <w:color w:val="0D0D0D"/>
                <w:sz w:val="24"/>
                <w:szCs w:val="24"/>
                <w:highlight w:val="white"/>
              </w:rPr>
              <w:t>10</w:t>
            </w:r>
          </w:p>
        </w:tc>
        <w:tc>
          <w:tcPr>
            <w:tcW w:w="4009" w:type="dxa"/>
          </w:tcPr>
          <w:p w14:paraId="155A9CAD" w14:textId="77777777" w:rsidR="007C0019" w:rsidRPr="00DC2801" w:rsidRDefault="002431C8" w:rsidP="00DC4BFE">
            <w:pPr>
              <w:pBdr>
                <w:top w:val="none" w:sz="0" w:space="0" w:color="E3E3E3"/>
                <w:left w:val="none" w:sz="0" w:space="0" w:color="E3E3E3"/>
                <w:bottom w:val="none" w:sz="0" w:space="0" w:color="E3E3E3"/>
                <w:right w:val="none" w:sz="0" w:space="0" w:color="E3E3E3"/>
                <w:between w:val="none" w:sz="0" w:space="0" w:color="E3E3E3"/>
              </w:pBdr>
              <w:shd w:val="clear" w:color="auto" w:fill="FFFFFF"/>
              <w:rPr>
                <w:rFonts w:eastAsia="Times New Roman"/>
                <w:color w:val="0D0D0D"/>
                <w:sz w:val="24"/>
                <w:szCs w:val="24"/>
                <w:highlight w:val="white"/>
              </w:rPr>
            </w:pPr>
            <w:r w:rsidRPr="00DC2801">
              <w:rPr>
                <w:rFonts w:eastAsia="Times New Roman"/>
                <w:color w:val="0D0D0D"/>
                <w:sz w:val="24"/>
                <w:szCs w:val="24"/>
                <w:highlight w:val="white"/>
              </w:rPr>
              <w:t>Glasgow Coma Scale</w:t>
            </w:r>
          </w:p>
        </w:tc>
        <w:tc>
          <w:tcPr>
            <w:tcW w:w="4536" w:type="dxa"/>
          </w:tcPr>
          <w:p w14:paraId="503961AD" w14:textId="77777777" w:rsidR="007C0019" w:rsidRPr="00DC2801" w:rsidRDefault="002431C8" w:rsidP="00DC4BFE">
            <w:pPr>
              <w:pBdr>
                <w:top w:val="none" w:sz="0" w:space="0" w:color="E3E3E3"/>
                <w:left w:val="none" w:sz="0" w:space="0" w:color="E3E3E3"/>
                <w:bottom w:val="none" w:sz="0" w:space="0" w:color="E3E3E3"/>
                <w:right w:val="none" w:sz="0" w:space="0" w:color="E3E3E3"/>
                <w:between w:val="none" w:sz="0" w:space="0" w:color="E3E3E3"/>
              </w:pBdr>
              <w:shd w:val="clear" w:color="auto" w:fill="FFFFFF"/>
              <w:rPr>
                <w:rFonts w:eastAsia="Times New Roman"/>
                <w:color w:val="0D0D0D"/>
                <w:sz w:val="24"/>
                <w:szCs w:val="24"/>
                <w:highlight w:val="white"/>
              </w:rPr>
            </w:pPr>
            <w:r w:rsidRPr="00DC2801">
              <w:rPr>
                <w:rFonts w:eastAsia="Times New Roman"/>
                <w:color w:val="0D0D0D"/>
                <w:sz w:val="24"/>
                <w:szCs w:val="24"/>
                <w:highlight w:val="white"/>
              </w:rPr>
              <w:t>0.074</w:t>
            </w:r>
          </w:p>
        </w:tc>
      </w:tr>
    </w:tbl>
    <w:p w14:paraId="757BA3E1" w14:textId="77777777" w:rsidR="007C0019" w:rsidRPr="00DC2801" w:rsidRDefault="002431C8">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60" w:after="160"/>
        <w:jc w:val="center"/>
        <w:rPr>
          <w:rFonts w:eastAsia="Times New Roman"/>
          <w:b/>
          <w:color w:val="0D0D0D"/>
          <w:sz w:val="24"/>
          <w:szCs w:val="24"/>
          <w:highlight w:val="white"/>
        </w:rPr>
      </w:pPr>
      <w:r w:rsidRPr="00DC2801">
        <w:rPr>
          <w:rFonts w:eastAsia="Times New Roman"/>
          <w:b/>
          <w:noProof/>
          <w:color w:val="0D0D0D"/>
          <w:sz w:val="24"/>
          <w:szCs w:val="24"/>
          <w:highlight w:val="white"/>
          <w:lang w:val="en-US"/>
        </w:rPr>
        <w:drawing>
          <wp:inline distT="114300" distB="114300" distL="114300" distR="114300" wp14:anchorId="0C28C35B" wp14:editId="12DB3FE5">
            <wp:extent cx="4286059" cy="3214545"/>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4286059" cy="3214545"/>
                    </a:xfrm>
                    <a:prstGeom prst="rect">
                      <a:avLst/>
                    </a:prstGeom>
                    <a:ln/>
                  </pic:spPr>
                </pic:pic>
              </a:graphicData>
            </a:graphic>
          </wp:inline>
        </w:drawing>
      </w:r>
    </w:p>
    <w:p w14:paraId="234ADB03" w14:textId="77777777" w:rsidR="007C0019" w:rsidRPr="00DC2801" w:rsidRDefault="002431C8">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60" w:after="160"/>
        <w:jc w:val="center"/>
        <w:rPr>
          <w:rFonts w:eastAsia="Times New Roman"/>
          <w:color w:val="0D0D0D"/>
          <w:sz w:val="24"/>
          <w:szCs w:val="24"/>
          <w:highlight w:val="white"/>
        </w:rPr>
      </w:pPr>
      <w:r w:rsidRPr="00DC2801">
        <w:rPr>
          <w:rFonts w:eastAsia="Times New Roman"/>
          <w:b/>
          <w:color w:val="0D0D0D"/>
          <w:sz w:val="24"/>
          <w:szCs w:val="24"/>
          <w:highlight w:val="white"/>
        </w:rPr>
        <w:t>Figure 3:</w:t>
      </w:r>
      <w:r w:rsidRPr="00DC2801">
        <w:rPr>
          <w:rFonts w:eastAsia="Times New Roman"/>
          <w:color w:val="0D0D0D"/>
          <w:sz w:val="24"/>
          <w:szCs w:val="24"/>
          <w:highlight w:val="white"/>
        </w:rPr>
        <w:t xml:space="preserve"> </w:t>
      </w:r>
      <w:r w:rsidRPr="00DC2801">
        <w:rPr>
          <w:rFonts w:eastAsia="Times New Roman"/>
          <w:i/>
          <w:color w:val="0D0D0D"/>
          <w:sz w:val="24"/>
          <w:szCs w:val="24"/>
          <w:highlight w:val="white"/>
        </w:rPr>
        <w:t>Dumbbell Chart of Feature Importance</w:t>
      </w:r>
    </w:p>
    <w:p w14:paraId="09C0C7B4" w14:textId="77777777" w:rsidR="007C0019" w:rsidRPr="00DC2801" w:rsidRDefault="002431C8">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60" w:after="160"/>
        <w:rPr>
          <w:rFonts w:eastAsia="Times New Roman"/>
          <w:color w:val="0D0D0D"/>
          <w:sz w:val="24"/>
          <w:szCs w:val="24"/>
          <w:highlight w:val="white"/>
        </w:rPr>
      </w:pPr>
      <w:r w:rsidRPr="00DC2801">
        <w:rPr>
          <w:rFonts w:eastAsia="Times New Roman"/>
          <w:color w:val="0D0D0D"/>
          <w:sz w:val="24"/>
          <w:szCs w:val="24"/>
          <w:highlight w:val="white"/>
        </w:rPr>
        <w:t xml:space="preserve">The visualization in </w:t>
      </w:r>
      <w:r w:rsidRPr="00DC2801">
        <w:rPr>
          <w:rFonts w:eastAsia="Times New Roman"/>
          <w:i/>
          <w:color w:val="0D0D0D"/>
          <w:sz w:val="24"/>
          <w:szCs w:val="24"/>
          <w:highlight w:val="white"/>
        </w:rPr>
        <w:t>Figure 3</w:t>
      </w:r>
      <w:r w:rsidRPr="00DC2801">
        <w:rPr>
          <w:rFonts w:eastAsia="Times New Roman"/>
          <w:color w:val="0D0D0D"/>
          <w:sz w:val="24"/>
          <w:szCs w:val="24"/>
          <w:highlight w:val="white"/>
        </w:rPr>
        <w:t xml:space="preserve"> (dumbbell chart) simplifies comparison by illustrating the absolute SHAP values across features on a horizontal scale. It provides a clear view of the performance gradient from the most to least impactful predictors. Meanwhile, </w:t>
      </w:r>
      <w:r w:rsidRPr="00DC2801">
        <w:rPr>
          <w:rFonts w:eastAsia="Times New Roman"/>
          <w:i/>
          <w:color w:val="0D0D0D"/>
          <w:sz w:val="24"/>
          <w:szCs w:val="24"/>
          <w:highlight w:val="white"/>
        </w:rPr>
        <w:t>Figure 4</w:t>
      </w:r>
      <w:r w:rsidRPr="00DC2801">
        <w:rPr>
          <w:rFonts w:eastAsia="Times New Roman"/>
          <w:color w:val="0D0D0D"/>
          <w:sz w:val="24"/>
          <w:szCs w:val="24"/>
          <w:highlight w:val="white"/>
        </w:rPr>
        <w:t xml:space="preserve"> (polar bar chart) offers a visually engaging yet analytically robust representation that enhances intuitive understanding by varying radial lengths corresponding to each variable’s contribution.</w:t>
      </w:r>
    </w:p>
    <w:p w14:paraId="43B9EE0D" w14:textId="77777777" w:rsidR="007C0019" w:rsidRPr="00DC2801" w:rsidRDefault="002431C8">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60" w:after="160"/>
        <w:jc w:val="center"/>
        <w:rPr>
          <w:rFonts w:eastAsia="Times New Roman"/>
          <w:i/>
          <w:color w:val="0D0D0D"/>
          <w:sz w:val="24"/>
          <w:szCs w:val="24"/>
          <w:highlight w:val="white"/>
        </w:rPr>
      </w:pPr>
      <w:r w:rsidRPr="00DC2801">
        <w:rPr>
          <w:rFonts w:eastAsia="Times New Roman"/>
          <w:i/>
          <w:noProof/>
          <w:color w:val="0D0D0D"/>
          <w:sz w:val="24"/>
          <w:szCs w:val="24"/>
          <w:highlight w:val="white"/>
          <w:lang w:val="en-US"/>
        </w:rPr>
        <w:lastRenderedPageBreak/>
        <w:drawing>
          <wp:inline distT="114300" distB="114300" distL="114300" distR="114300" wp14:anchorId="002EF2C3" wp14:editId="2423C9A8">
            <wp:extent cx="6348158" cy="6348158"/>
            <wp:effectExtent l="0" t="0" r="0" b="0"/>
            <wp:docPr id="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a:stretch>
                      <a:fillRect/>
                    </a:stretch>
                  </pic:blipFill>
                  <pic:spPr>
                    <a:xfrm>
                      <a:off x="0" y="0"/>
                      <a:ext cx="6348158" cy="6348158"/>
                    </a:xfrm>
                    <a:prstGeom prst="rect">
                      <a:avLst/>
                    </a:prstGeom>
                    <a:ln/>
                  </pic:spPr>
                </pic:pic>
              </a:graphicData>
            </a:graphic>
          </wp:inline>
        </w:drawing>
      </w:r>
    </w:p>
    <w:p w14:paraId="4EEE4243" w14:textId="77777777" w:rsidR="007C0019" w:rsidRPr="00DC2801" w:rsidRDefault="002431C8">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60" w:after="160"/>
        <w:jc w:val="center"/>
        <w:rPr>
          <w:rFonts w:eastAsia="Times New Roman"/>
          <w:i/>
          <w:color w:val="0D0D0D"/>
          <w:sz w:val="24"/>
          <w:szCs w:val="24"/>
          <w:highlight w:val="white"/>
        </w:rPr>
      </w:pPr>
      <w:r w:rsidRPr="00DC2801">
        <w:rPr>
          <w:rFonts w:eastAsia="Times New Roman"/>
          <w:b/>
          <w:color w:val="0D0D0D"/>
          <w:sz w:val="24"/>
          <w:szCs w:val="24"/>
          <w:highlight w:val="white"/>
        </w:rPr>
        <w:t xml:space="preserve">Figure 4: </w:t>
      </w:r>
      <w:r w:rsidRPr="00DC2801">
        <w:rPr>
          <w:rFonts w:eastAsia="Times New Roman"/>
          <w:i/>
          <w:color w:val="0D0D0D"/>
          <w:sz w:val="24"/>
          <w:szCs w:val="24"/>
          <w:highlight w:val="white"/>
        </w:rPr>
        <w:t>Polar Bar Chart of Feature Importance</w:t>
      </w:r>
    </w:p>
    <w:p w14:paraId="2570E081" w14:textId="77777777" w:rsidR="007C0019" w:rsidRPr="00DC2801" w:rsidRDefault="002431C8">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60" w:after="160"/>
        <w:rPr>
          <w:rFonts w:eastAsia="Times New Roman"/>
          <w:color w:val="0D0D0D"/>
          <w:sz w:val="24"/>
          <w:szCs w:val="24"/>
          <w:highlight w:val="white"/>
        </w:rPr>
      </w:pPr>
      <w:r w:rsidRPr="00DC2801">
        <w:rPr>
          <w:rFonts w:eastAsia="Times New Roman"/>
          <w:color w:val="0D0D0D"/>
          <w:sz w:val="24"/>
          <w:szCs w:val="24"/>
          <w:highlight w:val="white"/>
        </w:rPr>
        <w:t>These findings reinforce the argument that data-driven interpretability tools such as SHAP not only improve model transparency but also aid clinicians in validating predictions based on medically relevant criteria. The prioritization of physiologically and clinically intuitive variables strengthens the case for real-world model deployment and targeted early interventions.</w:t>
      </w:r>
    </w:p>
    <w:p w14:paraId="7661785F" w14:textId="77777777" w:rsidR="007C0019" w:rsidRPr="00DC2801" w:rsidRDefault="002431C8">
      <w:pPr>
        <w:pStyle w:val="Heading3"/>
        <w:keepNext w:val="0"/>
        <w:keepLines w:val="0"/>
        <w:pBdr>
          <w:top w:val="none" w:sz="0" w:space="0" w:color="E3E3E3"/>
          <w:left w:val="none" w:sz="0" w:space="0" w:color="E3E3E3"/>
          <w:bottom w:val="none" w:sz="0" w:space="0" w:color="E3E3E3"/>
          <w:right w:val="none" w:sz="0" w:space="0" w:color="E3E3E3"/>
          <w:between w:val="none" w:sz="0" w:space="0" w:color="E3E3E3"/>
        </w:pBdr>
        <w:shd w:val="clear" w:color="auto" w:fill="FFFFFF"/>
        <w:spacing w:before="280"/>
        <w:rPr>
          <w:rFonts w:eastAsia="Times New Roman"/>
          <w:b/>
          <w:color w:val="0D0D0D"/>
          <w:sz w:val="24"/>
          <w:szCs w:val="24"/>
          <w:highlight w:val="white"/>
        </w:rPr>
      </w:pPr>
      <w:bookmarkStart w:id="10" w:name="_dm9uuqpe7b4r" w:colFirst="0" w:colLast="0"/>
      <w:bookmarkEnd w:id="10"/>
      <w:r w:rsidRPr="00DC2801">
        <w:rPr>
          <w:rFonts w:eastAsia="Times New Roman"/>
          <w:b/>
          <w:color w:val="0D0D0D"/>
          <w:sz w:val="24"/>
          <w:szCs w:val="24"/>
          <w:highlight w:val="white"/>
        </w:rPr>
        <w:t>Comparative Assessment of Optimized and Baseline Machine Learning Models</w:t>
      </w:r>
    </w:p>
    <w:p w14:paraId="1453C79B" w14:textId="77777777" w:rsidR="007C0019" w:rsidRPr="00DC2801" w:rsidRDefault="002431C8">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60" w:after="160"/>
        <w:rPr>
          <w:rFonts w:eastAsia="Times New Roman"/>
          <w:color w:val="0D0D0D"/>
          <w:sz w:val="24"/>
          <w:szCs w:val="24"/>
          <w:highlight w:val="white"/>
        </w:rPr>
      </w:pPr>
      <w:r w:rsidRPr="00DC2801">
        <w:rPr>
          <w:rFonts w:eastAsia="Times New Roman"/>
          <w:color w:val="0D0D0D"/>
          <w:sz w:val="24"/>
          <w:szCs w:val="24"/>
          <w:highlight w:val="white"/>
        </w:rPr>
        <w:lastRenderedPageBreak/>
        <w:t xml:space="preserve">Effective forecasting of patient health outcomes necessitates not only accurate but also generalizable models. Optimizing predictive algorithms is essential for achieving clinical relevance and operational feasibility. This section compares the performance of an optimized </w:t>
      </w:r>
      <w:proofErr w:type="spellStart"/>
      <w:r w:rsidRPr="00DC2801">
        <w:rPr>
          <w:rFonts w:eastAsia="Times New Roman"/>
          <w:color w:val="0D0D0D"/>
          <w:sz w:val="24"/>
          <w:szCs w:val="24"/>
          <w:highlight w:val="white"/>
        </w:rPr>
        <w:t>XGBoost</w:t>
      </w:r>
      <w:proofErr w:type="spellEnd"/>
      <w:r w:rsidRPr="00DC2801">
        <w:rPr>
          <w:rFonts w:eastAsia="Times New Roman"/>
          <w:color w:val="0D0D0D"/>
          <w:sz w:val="24"/>
          <w:szCs w:val="24"/>
          <w:highlight w:val="white"/>
        </w:rPr>
        <w:t xml:space="preserve"> model against two commonly employed baseline models</w:t>
      </w:r>
      <w:r w:rsidR="00DC2801" w:rsidRPr="00DC2801">
        <w:rPr>
          <w:rFonts w:eastAsia="Times New Roman"/>
          <w:color w:val="0D0D0D"/>
          <w:sz w:val="24"/>
          <w:szCs w:val="24"/>
          <w:highlight w:val="white"/>
        </w:rPr>
        <w:t xml:space="preserve"> </w:t>
      </w:r>
      <w:r w:rsidRPr="00DC2801">
        <w:rPr>
          <w:rFonts w:eastAsia="Times New Roman"/>
          <w:color w:val="0D0D0D"/>
          <w:sz w:val="24"/>
          <w:szCs w:val="24"/>
          <w:highlight w:val="white"/>
        </w:rPr>
        <w:t>Logistic Regression and Random Forest</w:t>
      </w:r>
      <w:r w:rsidR="00DC2801" w:rsidRPr="00DC2801">
        <w:rPr>
          <w:rFonts w:eastAsia="Times New Roman"/>
          <w:color w:val="0D0D0D"/>
          <w:sz w:val="24"/>
          <w:szCs w:val="24"/>
          <w:highlight w:val="white"/>
        </w:rPr>
        <w:t xml:space="preserve"> </w:t>
      </w:r>
      <w:r w:rsidRPr="00DC2801">
        <w:rPr>
          <w:rFonts w:eastAsia="Times New Roman"/>
          <w:color w:val="0D0D0D"/>
          <w:sz w:val="24"/>
          <w:szCs w:val="24"/>
          <w:highlight w:val="white"/>
        </w:rPr>
        <w:t>across key classification metrics relevant to healthcare predictive analytics.</w:t>
      </w:r>
    </w:p>
    <w:p w14:paraId="6D1D38C8" w14:textId="77777777" w:rsidR="007C0019" w:rsidRPr="00DC2801" w:rsidRDefault="002431C8">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60" w:after="160"/>
        <w:rPr>
          <w:rFonts w:eastAsia="Times New Roman"/>
          <w:color w:val="0D0D0D"/>
          <w:sz w:val="24"/>
          <w:szCs w:val="24"/>
          <w:highlight w:val="white"/>
        </w:rPr>
      </w:pPr>
      <w:r w:rsidRPr="00DC2801">
        <w:rPr>
          <w:rFonts w:eastAsia="Times New Roman"/>
          <w:color w:val="0D0D0D"/>
          <w:sz w:val="24"/>
          <w:szCs w:val="24"/>
          <w:highlight w:val="white"/>
        </w:rPr>
        <w:t xml:space="preserve">As presented in Table 4, the optimized </w:t>
      </w:r>
      <w:proofErr w:type="spellStart"/>
      <w:r w:rsidRPr="00DC2801">
        <w:rPr>
          <w:rFonts w:eastAsia="Times New Roman"/>
          <w:color w:val="0D0D0D"/>
          <w:sz w:val="24"/>
          <w:szCs w:val="24"/>
          <w:highlight w:val="white"/>
        </w:rPr>
        <w:t>XGBoost</w:t>
      </w:r>
      <w:proofErr w:type="spellEnd"/>
      <w:r w:rsidRPr="00DC2801">
        <w:rPr>
          <w:rFonts w:eastAsia="Times New Roman"/>
          <w:color w:val="0D0D0D"/>
          <w:sz w:val="24"/>
          <w:szCs w:val="24"/>
          <w:highlight w:val="white"/>
        </w:rPr>
        <w:t xml:space="preserve"> model outperformed both baseline models across all evaluated metrics. It achieved the highest AUC-ROC value of 0.892, indicating superior discriminatory ability in distinguishing between patients at high versus low risk of readmission. Its accuracy (0.856) and F1-score (0.826) were also notably higher, underscoring improvements in both overall predictive correctness and the balance between precision and recall.</w:t>
      </w:r>
    </w:p>
    <w:p w14:paraId="151848B2" w14:textId="77777777" w:rsidR="007C0019" w:rsidRPr="00DC2801" w:rsidRDefault="002431C8">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60" w:after="160"/>
        <w:rPr>
          <w:rFonts w:eastAsia="Times New Roman"/>
          <w:i/>
          <w:color w:val="0D0D0D"/>
          <w:sz w:val="24"/>
          <w:szCs w:val="24"/>
          <w:highlight w:val="white"/>
        </w:rPr>
      </w:pPr>
      <w:r w:rsidRPr="00DC2801">
        <w:rPr>
          <w:rFonts w:eastAsia="Times New Roman"/>
          <w:b/>
          <w:color w:val="0D0D0D"/>
          <w:sz w:val="24"/>
          <w:szCs w:val="24"/>
          <w:highlight w:val="white"/>
        </w:rPr>
        <w:t xml:space="preserve">Table 4: </w:t>
      </w:r>
      <w:r w:rsidRPr="00DC2801">
        <w:rPr>
          <w:rFonts w:eastAsia="Times New Roman"/>
          <w:i/>
          <w:color w:val="0D0D0D"/>
          <w:sz w:val="24"/>
          <w:szCs w:val="24"/>
          <w:highlight w:val="white"/>
        </w:rPr>
        <w:t>Performance Comparison of Baseline and Optimized Predictive Models</w:t>
      </w:r>
    </w:p>
    <w:tbl>
      <w:tblPr>
        <w:tblStyle w:val="TableGrid"/>
        <w:tblW w:w="8805" w:type="dxa"/>
        <w:tblLayout w:type="fixed"/>
        <w:tblLook w:val="0600" w:firstRow="0" w:lastRow="0" w:firstColumn="0" w:lastColumn="0" w:noHBand="1" w:noVBand="1"/>
      </w:tblPr>
      <w:tblGrid>
        <w:gridCol w:w="3214"/>
        <w:gridCol w:w="2035"/>
        <w:gridCol w:w="1823"/>
        <w:gridCol w:w="1733"/>
      </w:tblGrid>
      <w:tr w:rsidR="007C0019" w:rsidRPr="00DC2801" w14:paraId="4B7F929D" w14:textId="77777777" w:rsidTr="00BB4D1E">
        <w:trPr>
          <w:trHeight w:val="211"/>
        </w:trPr>
        <w:tc>
          <w:tcPr>
            <w:tcW w:w="3214" w:type="dxa"/>
          </w:tcPr>
          <w:p w14:paraId="5FA987D7" w14:textId="77777777" w:rsidR="007C0019" w:rsidRPr="00DC2801" w:rsidRDefault="002431C8" w:rsidP="00BB4D1E">
            <w:pPr>
              <w:pBdr>
                <w:top w:val="none" w:sz="0" w:space="0" w:color="E3E3E3"/>
                <w:left w:val="none" w:sz="0" w:space="0" w:color="E3E3E3"/>
                <w:bottom w:val="none" w:sz="0" w:space="0" w:color="E3E3E3"/>
                <w:right w:val="none" w:sz="0" w:space="0" w:color="E3E3E3"/>
                <w:between w:val="none" w:sz="0" w:space="0" w:color="E3E3E3"/>
              </w:pBdr>
              <w:shd w:val="clear" w:color="auto" w:fill="FFFFFF"/>
              <w:jc w:val="center"/>
              <w:rPr>
                <w:rFonts w:eastAsia="Times New Roman"/>
                <w:color w:val="0D0D0D"/>
                <w:sz w:val="24"/>
                <w:szCs w:val="24"/>
                <w:highlight w:val="white"/>
              </w:rPr>
            </w:pPr>
            <w:r w:rsidRPr="00DC2801">
              <w:rPr>
                <w:rFonts w:eastAsia="Times New Roman"/>
                <w:b/>
                <w:color w:val="0D0D0D"/>
                <w:sz w:val="24"/>
                <w:szCs w:val="24"/>
                <w:highlight w:val="white"/>
              </w:rPr>
              <w:t>Model</w:t>
            </w:r>
          </w:p>
        </w:tc>
        <w:tc>
          <w:tcPr>
            <w:tcW w:w="2035" w:type="dxa"/>
          </w:tcPr>
          <w:p w14:paraId="05CD1F45" w14:textId="77777777" w:rsidR="007C0019" w:rsidRPr="00DC2801" w:rsidRDefault="002431C8" w:rsidP="00BB4D1E">
            <w:pPr>
              <w:pBdr>
                <w:top w:val="none" w:sz="0" w:space="0" w:color="E3E3E3"/>
                <w:left w:val="none" w:sz="0" w:space="0" w:color="E3E3E3"/>
                <w:bottom w:val="none" w:sz="0" w:space="0" w:color="E3E3E3"/>
                <w:right w:val="none" w:sz="0" w:space="0" w:color="E3E3E3"/>
                <w:between w:val="none" w:sz="0" w:space="0" w:color="E3E3E3"/>
              </w:pBdr>
              <w:shd w:val="clear" w:color="auto" w:fill="FFFFFF"/>
              <w:jc w:val="center"/>
              <w:rPr>
                <w:rFonts w:eastAsia="Times New Roman"/>
                <w:color w:val="0D0D0D"/>
                <w:sz w:val="24"/>
                <w:szCs w:val="24"/>
                <w:highlight w:val="white"/>
              </w:rPr>
            </w:pPr>
            <w:r w:rsidRPr="00DC2801">
              <w:rPr>
                <w:rFonts w:eastAsia="Times New Roman"/>
                <w:b/>
                <w:color w:val="0D0D0D"/>
                <w:sz w:val="24"/>
                <w:szCs w:val="24"/>
                <w:highlight w:val="white"/>
              </w:rPr>
              <w:t>AUC-ROC</w:t>
            </w:r>
          </w:p>
        </w:tc>
        <w:tc>
          <w:tcPr>
            <w:tcW w:w="1823" w:type="dxa"/>
          </w:tcPr>
          <w:p w14:paraId="29355D94" w14:textId="77777777" w:rsidR="007C0019" w:rsidRPr="00DC2801" w:rsidRDefault="002431C8" w:rsidP="00BB4D1E">
            <w:pPr>
              <w:pBdr>
                <w:top w:val="none" w:sz="0" w:space="0" w:color="E3E3E3"/>
                <w:left w:val="none" w:sz="0" w:space="0" w:color="E3E3E3"/>
                <w:bottom w:val="none" w:sz="0" w:space="0" w:color="E3E3E3"/>
                <w:right w:val="none" w:sz="0" w:space="0" w:color="E3E3E3"/>
                <w:between w:val="none" w:sz="0" w:space="0" w:color="E3E3E3"/>
              </w:pBdr>
              <w:shd w:val="clear" w:color="auto" w:fill="FFFFFF"/>
              <w:jc w:val="center"/>
              <w:rPr>
                <w:rFonts w:eastAsia="Times New Roman"/>
                <w:color w:val="0D0D0D"/>
                <w:sz w:val="24"/>
                <w:szCs w:val="24"/>
                <w:highlight w:val="white"/>
              </w:rPr>
            </w:pPr>
            <w:r w:rsidRPr="00DC2801">
              <w:rPr>
                <w:rFonts w:eastAsia="Times New Roman"/>
                <w:b/>
                <w:color w:val="0D0D0D"/>
                <w:sz w:val="24"/>
                <w:szCs w:val="24"/>
                <w:highlight w:val="white"/>
              </w:rPr>
              <w:t>Accuracy</w:t>
            </w:r>
          </w:p>
        </w:tc>
        <w:tc>
          <w:tcPr>
            <w:tcW w:w="1733" w:type="dxa"/>
          </w:tcPr>
          <w:p w14:paraId="7F53C37D" w14:textId="77777777" w:rsidR="007C0019" w:rsidRPr="00DC2801" w:rsidRDefault="002431C8" w:rsidP="00BB4D1E">
            <w:pPr>
              <w:pBdr>
                <w:top w:val="none" w:sz="0" w:space="0" w:color="E3E3E3"/>
                <w:left w:val="none" w:sz="0" w:space="0" w:color="E3E3E3"/>
                <w:bottom w:val="none" w:sz="0" w:space="0" w:color="E3E3E3"/>
                <w:right w:val="none" w:sz="0" w:space="0" w:color="E3E3E3"/>
                <w:between w:val="none" w:sz="0" w:space="0" w:color="E3E3E3"/>
              </w:pBdr>
              <w:shd w:val="clear" w:color="auto" w:fill="FFFFFF"/>
              <w:jc w:val="center"/>
              <w:rPr>
                <w:rFonts w:eastAsia="Times New Roman"/>
                <w:color w:val="0D0D0D"/>
                <w:sz w:val="24"/>
                <w:szCs w:val="24"/>
                <w:highlight w:val="white"/>
              </w:rPr>
            </w:pPr>
            <w:r w:rsidRPr="00DC2801">
              <w:rPr>
                <w:rFonts w:eastAsia="Times New Roman"/>
                <w:b/>
                <w:color w:val="0D0D0D"/>
                <w:sz w:val="24"/>
                <w:szCs w:val="24"/>
                <w:highlight w:val="white"/>
              </w:rPr>
              <w:t>F1-Score</w:t>
            </w:r>
          </w:p>
        </w:tc>
      </w:tr>
      <w:tr w:rsidR="007C0019" w:rsidRPr="00DC2801" w14:paraId="5905A780" w14:textId="77777777" w:rsidTr="00BB4D1E">
        <w:trPr>
          <w:trHeight w:val="211"/>
        </w:trPr>
        <w:tc>
          <w:tcPr>
            <w:tcW w:w="3214" w:type="dxa"/>
          </w:tcPr>
          <w:p w14:paraId="782862C7" w14:textId="77777777" w:rsidR="007C0019" w:rsidRPr="00DC2801" w:rsidRDefault="002431C8" w:rsidP="00BB4D1E">
            <w:pPr>
              <w:pBdr>
                <w:top w:val="none" w:sz="0" w:space="0" w:color="E3E3E3"/>
                <w:left w:val="none" w:sz="0" w:space="0" w:color="E3E3E3"/>
                <w:bottom w:val="none" w:sz="0" w:space="0" w:color="E3E3E3"/>
                <w:right w:val="none" w:sz="0" w:space="0" w:color="E3E3E3"/>
                <w:between w:val="none" w:sz="0" w:space="0" w:color="E3E3E3"/>
              </w:pBdr>
              <w:shd w:val="clear" w:color="auto" w:fill="FFFFFF"/>
              <w:rPr>
                <w:rFonts w:eastAsia="Times New Roman"/>
                <w:color w:val="0D0D0D"/>
                <w:sz w:val="24"/>
                <w:szCs w:val="24"/>
                <w:highlight w:val="white"/>
              </w:rPr>
            </w:pPr>
            <w:r w:rsidRPr="00DC2801">
              <w:rPr>
                <w:rFonts w:eastAsia="Times New Roman"/>
                <w:color w:val="0D0D0D"/>
                <w:sz w:val="24"/>
                <w:szCs w:val="24"/>
                <w:highlight w:val="white"/>
              </w:rPr>
              <w:t>Logistic Regression</w:t>
            </w:r>
          </w:p>
        </w:tc>
        <w:tc>
          <w:tcPr>
            <w:tcW w:w="2035" w:type="dxa"/>
          </w:tcPr>
          <w:p w14:paraId="40627304" w14:textId="77777777" w:rsidR="007C0019" w:rsidRPr="00DC2801" w:rsidRDefault="002431C8" w:rsidP="00BB4D1E">
            <w:pPr>
              <w:pBdr>
                <w:top w:val="none" w:sz="0" w:space="0" w:color="E3E3E3"/>
                <w:left w:val="none" w:sz="0" w:space="0" w:color="E3E3E3"/>
                <w:bottom w:val="none" w:sz="0" w:space="0" w:color="E3E3E3"/>
                <w:right w:val="none" w:sz="0" w:space="0" w:color="E3E3E3"/>
                <w:between w:val="none" w:sz="0" w:space="0" w:color="E3E3E3"/>
              </w:pBdr>
              <w:shd w:val="clear" w:color="auto" w:fill="FFFFFF"/>
              <w:rPr>
                <w:rFonts w:eastAsia="Times New Roman"/>
                <w:color w:val="0D0D0D"/>
                <w:sz w:val="24"/>
                <w:szCs w:val="24"/>
                <w:highlight w:val="white"/>
              </w:rPr>
            </w:pPr>
            <w:r w:rsidRPr="00DC2801">
              <w:rPr>
                <w:rFonts w:eastAsia="Times New Roman"/>
                <w:color w:val="0D0D0D"/>
                <w:sz w:val="24"/>
                <w:szCs w:val="24"/>
                <w:highlight w:val="white"/>
              </w:rPr>
              <w:t>0.792</w:t>
            </w:r>
          </w:p>
        </w:tc>
        <w:tc>
          <w:tcPr>
            <w:tcW w:w="1823" w:type="dxa"/>
          </w:tcPr>
          <w:p w14:paraId="1BE32AB6" w14:textId="77777777" w:rsidR="007C0019" w:rsidRPr="00DC2801" w:rsidRDefault="002431C8" w:rsidP="00BB4D1E">
            <w:pPr>
              <w:pBdr>
                <w:top w:val="none" w:sz="0" w:space="0" w:color="E3E3E3"/>
                <w:left w:val="none" w:sz="0" w:space="0" w:color="E3E3E3"/>
                <w:bottom w:val="none" w:sz="0" w:space="0" w:color="E3E3E3"/>
                <w:right w:val="none" w:sz="0" w:space="0" w:color="E3E3E3"/>
                <w:between w:val="none" w:sz="0" w:space="0" w:color="E3E3E3"/>
              </w:pBdr>
              <w:shd w:val="clear" w:color="auto" w:fill="FFFFFF"/>
              <w:rPr>
                <w:rFonts w:eastAsia="Times New Roman"/>
                <w:color w:val="0D0D0D"/>
                <w:sz w:val="24"/>
                <w:szCs w:val="24"/>
                <w:highlight w:val="white"/>
              </w:rPr>
            </w:pPr>
            <w:r w:rsidRPr="00DC2801">
              <w:rPr>
                <w:rFonts w:eastAsia="Times New Roman"/>
                <w:color w:val="0D0D0D"/>
                <w:sz w:val="24"/>
                <w:szCs w:val="24"/>
                <w:highlight w:val="white"/>
              </w:rPr>
              <w:t>0.763</w:t>
            </w:r>
          </w:p>
        </w:tc>
        <w:tc>
          <w:tcPr>
            <w:tcW w:w="1733" w:type="dxa"/>
          </w:tcPr>
          <w:p w14:paraId="74EA3BD1" w14:textId="77777777" w:rsidR="007C0019" w:rsidRPr="00DC2801" w:rsidRDefault="002431C8" w:rsidP="00BB4D1E">
            <w:pPr>
              <w:pBdr>
                <w:top w:val="none" w:sz="0" w:space="0" w:color="E3E3E3"/>
                <w:left w:val="none" w:sz="0" w:space="0" w:color="E3E3E3"/>
                <w:bottom w:val="none" w:sz="0" w:space="0" w:color="E3E3E3"/>
                <w:right w:val="none" w:sz="0" w:space="0" w:color="E3E3E3"/>
                <w:between w:val="none" w:sz="0" w:space="0" w:color="E3E3E3"/>
              </w:pBdr>
              <w:shd w:val="clear" w:color="auto" w:fill="FFFFFF"/>
              <w:rPr>
                <w:rFonts w:eastAsia="Times New Roman"/>
                <w:color w:val="0D0D0D"/>
                <w:sz w:val="24"/>
                <w:szCs w:val="24"/>
                <w:highlight w:val="white"/>
              </w:rPr>
            </w:pPr>
            <w:r w:rsidRPr="00DC2801">
              <w:rPr>
                <w:rFonts w:eastAsia="Times New Roman"/>
                <w:color w:val="0D0D0D"/>
                <w:sz w:val="24"/>
                <w:szCs w:val="24"/>
                <w:highlight w:val="white"/>
              </w:rPr>
              <w:t>0.744</w:t>
            </w:r>
          </w:p>
        </w:tc>
      </w:tr>
      <w:tr w:rsidR="007C0019" w:rsidRPr="00DC2801" w14:paraId="74F571EB" w14:textId="77777777" w:rsidTr="00BB4D1E">
        <w:trPr>
          <w:trHeight w:val="211"/>
        </w:trPr>
        <w:tc>
          <w:tcPr>
            <w:tcW w:w="3214" w:type="dxa"/>
          </w:tcPr>
          <w:p w14:paraId="48F7CCF7" w14:textId="77777777" w:rsidR="007C0019" w:rsidRPr="00DC2801" w:rsidRDefault="002431C8" w:rsidP="00BB4D1E">
            <w:pPr>
              <w:pBdr>
                <w:top w:val="none" w:sz="0" w:space="0" w:color="E3E3E3"/>
                <w:left w:val="none" w:sz="0" w:space="0" w:color="E3E3E3"/>
                <w:bottom w:val="none" w:sz="0" w:space="0" w:color="E3E3E3"/>
                <w:right w:val="none" w:sz="0" w:space="0" w:color="E3E3E3"/>
                <w:between w:val="none" w:sz="0" w:space="0" w:color="E3E3E3"/>
              </w:pBdr>
              <w:shd w:val="clear" w:color="auto" w:fill="FFFFFF"/>
              <w:rPr>
                <w:rFonts w:eastAsia="Times New Roman"/>
                <w:color w:val="0D0D0D"/>
                <w:sz w:val="24"/>
                <w:szCs w:val="24"/>
                <w:highlight w:val="white"/>
              </w:rPr>
            </w:pPr>
            <w:r w:rsidRPr="00DC2801">
              <w:rPr>
                <w:rFonts w:eastAsia="Times New Roman"/>
                <w:color w:val="0D0D0D"/>
                <w:sz w:val="24"/>
                <w:szCs w:val="24"/>
                <w:highlight w:val="white"/>
              </w:rPr>
              <w:t>Random Forest</w:t>
            </w:r>
          </w:p>
        </w:tc>
        <w:tc>
          <w:tcPr>
            <w:tcW w:w="2035" w:type="dxa"/>
          </w:tcPr>
          <w:p w14:paraId="657EF60C" w14:textId="77777777" w:rsidR="007C0019" w:rsidRPr="00DC2801" w:rsidRDefault="002431C8" w:rsidP="00BB4D1E">
            <w:pPr>
              <w:pBdr>
                <w:top w:val="none" w:sz="0" w:space="0" w:color="E3E3E3"/>
                <w:left w:val="none" w:sz="0" w:space="0" w:color="E3E3E3"/>
                <w:bottom w:val="none" w:sz="0" w:space="0" w:color="E3E3E3"/>
                <w:right w:val="none" w:sz="0" w:space="0" w:color="E3E3E3"/>
                <w:between w:val="none" w:sz="0" w:space="0" w:color="E3E3E3"/>
              </w:pBdr>
              <w:shd w:val="clear" w:color="auto" w:fill="FFFFFF"/>
              <w:rPr>
                <w:rFonts w:eastAsia="Times New Roman"/>
                <w:color w:val="0D0D0D"/>
                <w:sz w:val="24"/>
                <w:szCs w:val="24"/>
                <w:highlight w:val="white"/>
              </w:rPr>
            </w:pPr>
            <w:r w:rsidRPr="00DC2801">
              <w:rPr>
                <w:rFonts w:eastAsia="Times New Roman"/>
                <w:color w:val="0D0D0D"/>
                <w:sz w:val="24"/>
                <w:szCs w:val="24"/>
                <w:highlight w:val="white"/>
              </w:rPr>
              <w:t>0.841</w:t>
            </w:r>
          </w:p>
        </w:tc>
        <w:tc>
          <w:tcPr>
            <w:tcW w:w="1823" w:type="dxa"/>
          </w:tcPr>
          <w:p w14:paraId="52B20DCA" w14:textId="77777777" w:rsidR="007C0019" w:rsidRPr="00DC2801" w:rsidRDefault="002431C8" w:rsidP="00BB4D1E">
            <w:pPr>
              <w:pBdr>
                <w:top w:val="none" w:sz="0" w:space="0" w:color="E3E3E3"/>
                <w:left w:val="none" w:sz="0" w:space="0" w:color="E3E3E3"/>
                <w:bottom w:val="none" w:sz="0" w:space="0" w:color="E3E3E3"/>
                <w:right w:val="none" w:sz="0" w:space="0" w:color="E3E3E3"/>
                <w:between w:val="none" w:sz="0" w:space="0" w:color="E3E3E3"/>
              </w:pBdr>
              <w:shd w:val="clear" w:color="auto" w:fill="FFFFFF"/>
              <w:rPr>
                <w:rFonts w:eastAsia="Times New Roman"/>
                <w:color w:val="0D0D0D"/>
                <w:sz w:val="24"/>
                <w:szCs w:val="24"/>
                <w:highlight w:val="white"/>
              </w:rPr>
            </w:pPr>
            <w:r w:rsidRPr="00DC2801">
              <w:rPr>
                <w:rFonts w:eastAsia="Times New Roman"/>
                <w:color w:val="0D0D0D"/>
                <w:sz w:val="24"/>
                <w:szCs w:val="24"/>
                <w:highlight w:val="white"/>
              </w:rPr>
              <w:t>0.804</w:t>
            </w:r>
          </w:p>
        </w:tc>
        <w:tc>
          <w:tcPr>
            <w:tcW w:w="1733" w:type="dxa"/>
          </w:tcPr>
          <w:p w14:paraId="13C7D9A6" w14:textId="77777777" w:rsidR="007C0019" w:rsidRPr="00DC2801" w:rsidRDefault="002431C8" w:rsidP="00BB4D1E">
            <w:pPr>
              <w:pBdr>
                <w:top w:val="none" w:sz="0" w:space="0" w:color="E3E3E3"/>
                <w:left w:val="none" w:sz="0" w:space="0" w:color="E3E3E3"/>
                <w:bottom w:val="none" w:sz="0" w:space="0" w:color="E3E3E3"/>
                <w:right w:val="none" w:sz="0" w:space="0" w:color="E3E3E3"/>
                <w:between w:val="none" w:sz="0" w:space="0" w:color="E3E3E3"/>
              </w:pBdr>
              <w:shd w:val="clear" w:color="auto" w:fill="FFFFFF"/>
              <w:rPr>
                <w:rFonts w:eastAsia="Times New Roman"/>
                <w:color w:val="0D0D0D"/>
                <w:sz w:val="24"/>
                <w:szCs w:val="24"/>
                <w:highlight w:val="white"/>
              </w:rPr>
            </w:pPr>
            <w:r w:rsidRPr="00DC2801">
              <w:rPr>
                <w:rFonts w:eastAsia="Times New Roman"/>
                <w:color w:val="0D0D0D"/>
                <w:sz w:val="24"/>
                <w:szCs w:val="24"/>
                <w:highlight w:val="white"/>
              </w:rPr>
              <w:t>0.781</w:t>
            </w:r>
          </w:p>
        </w:tc>
      </w:tr>
      <w:tr w:rsidR="007C0019" w:rsidRPr="00DC2801" w14:paraId="5E32787D" w14:textId="77777777" w:rsidTr="00BB4D1E">
        <w:trPr>
          <w:trHeight w:val="211"/>
        </w:trPr>
        <w:tc>
          <w:tcPr>
            <w:tcW w:w="3214" w:type="dxa"/>
          </w:tcPr>
          <w:p w14:paraId="0720428E" w14:textId="77777777" w:rsidR="007C0019" w:rsidRPr="00DC2801" w:rsidRDefault="002431C8" w:rsidP="00BB4D1E">
            <w:pPr>
              <w:pBdr>
                <w:top w:val="none" w:sz="0" w:space="0" w:color="E3E3E3"/>
                <w:left w:val="none" w:sz="0" w:space="0" w:color="E3E3E3"/>
                <w:bottom w:val="none" w:sz="0" w:space="0" w:color="E3E3E3"/>
                <w:right w:val="none" w:sz="0" w:space="0" w:color="E3E3E3"/>
                <w:between w:val="none" w:sz="0" w:space="0" w:color="E3E3E3"/>
              </w:pBdr>
              <w:shd w:val="clear" w:color="auto" w:fill="FFFFFF"/>
              <w:rPr>
                <w:rFonts w:eastAsia="Times New Roman"/>
                <w:color w:val="0D0D0D"/>
                <w:sz w:val="24"/>
                <w:szCs w:val="24"/>
                <w:highlight w:val="white"/>
              </w:rPr>
            </w:pPr>
            <w:r w:rsidRPr="00DC2801">
              <w:rPr>
                <w:rFonts w:eastAsia="Times New Roman"/>
                <w:color w:val="0D0D0D"/>
                <w:sz w:val="24"/>
                <w:szCs w:val="24"/>
                <w:highlight w:val="white"/>
              </w:rPr>
              <w:t xml:space="preserve">Optimized </w:t>
            </w:r>
            <w:proofErr w:type="spellStart"/>
            <w:r w:rsidRPr="00DC2801">
              <w:rPr>
                <w:rFonts w:eastAsia="Times New Roman"/>
                <w:color w:val="0D0D0D"/>
                <w:sz w:val="24"/>
                <w:szCs w:val="24"/>
                <w:highlight w:val="white"/>
              </w:rPr>
              <w:t>XGBoost</w:t>
            </w:r>
            <w:proofErr w:type="spellEnd"/>
          </w:p>
        </w:tc>
        <w:tc>
          <w:tcPr>
            <w:tcW w:w="2035" w:type="dxa"/>
          </w:tcPr>
          <w:p w14:paraId="7BA5F090" w14:textId="77777777" w:rsidR="007C0019" w:rsidRPr="00DC2801" w:rsidRDefault="002431C8" w:rsidP="00BB4D1E">
            <w:pPr>
              <w:pBdr>
                <w:top w:val="none" w:sz="0" w:space="0" w:color="E3E3E3"/>
                <w:left w:val="none" w:sz="0" w:space="0" w:color="E3E3E3"/>
                <w:bottom w:val="none" w:sz="0" w:space="0" w:color="E3E3E3"/>
                <w:right w:val="none" w:sz="0" w:space="0" w:color="E3E3E3"/>
                <w:between w:val="none" w:sz="0" w:space="0" w:color="E3E3E3"/>
              </w:pBdr>
              <w:shd w:val="clear" w:color="auto" w:fill="FFFFFF"/>
              <w:rPr>
                <w:rFonts w:eastAsia="Times New Roman"/>
                <w:color w:val="0D0D0D"/>
                <w:sz w:val="24"/>
                <w:szCs w:val="24"/>
                <w:highlight w:val="white"/>
              </w:rPr>
            </w:pPr>
            <w:r w:rsidRPr="00DC2801">
              <w:rPr>
                <w:rFonts w:eastAsia="Times New Roman"/>
                <w:color w:val="0D0D0D"/>
                <w:sz w:val="24"/>
                <w:szCs w:val="24"/>
                <w:highlight w:val="white"/>
              </w:rPr>
              <w:t>0.892</w:t>
            </w:r>
          </w:p>
        </w:tc>
        <w:tc>
          <w:tcPr>
            <w:tcW w:w="1823" w:type="dxa"/>
          </w:tcPr>
          <w:p w14:paraId="280AC03F" w14:textId="77777777" w:rsidR="007C0019" w:rsidRPr="00DC2801" w:rsidRDefault="002431C8" w:rsidP="00BB4D1E">
            <w:pPr>
              <w:pBdr>
                <w:top w:val="none" w:sz="0" w:space="0" w:color="E3E3E3"/>
                <w:left w:val="none" w:sz="0" w:space="0" w:color="E3E3E3"/>
                <w:bottom w:val="none" w:sz="0" w:space="0" w:color="E3E3E3"/>
                <w:right w:val="none" w:sz="0" w:space="0" w:color="E3E3E3"/>
                <w:between w:val="none" w:sz="0" w:space="0" w:color="E3E3E3"/>
              </w:pBdr>
              <w:shd w:val="clear" w:color="auto" w:fill="FFFFFF"/>
              <w:rPr>
                <w:rFonts w:eastAsia="Times New Roman"/>
                <w:color w:val="0D0D0D"/>
                <w:sz w:val="24"/>
                <w:szCs w:val="24"/>
                <w:highlight w:val="white"/>
              </w:rPr>
            </w:pPr>
            <w:r w:rsidRPr="00DC2801">
              <w:rPr>
                <w:rFonts w:eastAsia="Times New Roman"/>
                <w:color w:val="0D0D0D"/>
                <w:sz w:val="24"/>
                <w:szCs w:val="24"/>
                <w:highlight w:val="white"/>
              </w:rPr>
              <w:t>0.856</w:t>
            </w:r>
          </w:p>
        </w:tc>
        <w:tc>
          <w:tcPr>
            <w:tcW w:w="1733" w:type="dxa"/>
          </w:tcPr>
          <w:p w14:paraId="3F7DF526" w14:textId="77777777" w:rsidR="007C0019" w:rsidRPr="00DC2801" w:rsidRDefault="002431C8" w:rsidP="00BB4D1E">
            <w:pPr>
              <w:pBdr>
                <w:top w:val="none" w:sz="0" w:space="0" w:color="E3E3E3"/>
                <w:left w:val="none" w:sz="0" w:space="0" w:color="E3E3E3"/>
                <w:bottom w:val="none" w:sz="0" w:space="0" w:color="E3E3E3"/>
                <w:right w:val="none" w:sz="0" w:space="0" w:color="E3E3E3"/>
                <w:between w:val="none" w:sz="0" w:space="0" w:color="E3E3E3"/>
              </w:pBdr>
              <w:shd w:val="clear" w:color="auto" w:fill="FFFFFF"/>
              <w:rPr>
                <w:rFonts w:eastAsia="Times New Roman"/>
                <w:color w:val="0D0D0D"/>
                <w:sz w:val="24"/>
                <w:szCs w:val="24"/>
                <w:highlight w:val="white"/>
              </w:rPr>
            </w:pPr>
            <w:r w:rsidRPr="00DC2801">
              <w:rPr>
                <w:rFonts w:eastAsia="Times New Roman"/>
                <w:color w:val="0D0D0D"/>
                <w:sz w:val="24"/>
                <w:szCs w:val="24"/>
                <w:highlight w:val="white"/>
              </w:rPr>
              <w:t>0.826</w:t>
            </w:r>
          </w:p>
        </w:tc>
      </w:tr>
    </w:tbl>
    <w:p w14:paraId="51452A67" w14:textId="77777777" w:rsidR="007C0019" w:rsidRPr="00DC2801" w:rsidRDefault="002431C8">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60" w:after="160"/>
        <w:rPr>
          <w:rFonts w:eastAsia="Times New Roman"/>
          <w:color w:val="0D0D0D"/>
          <w:sz w:val="24"/>
          <w:szCs w:val="24"/>
          <w:highlight w:val="white"/>
        </w:rPr>
      </w:pPr>
      <w:r w:rsidRPr="00DC2801">
        <w:rPr>
          <w:rFonts w:eastAsia="Times New Roman"/>
          <w:i/>
          <w:color w:val="0D0D0D"/>
          <w:sz w:val="24"/>
          <w:szCs w:val="24"/>
          <w:highlight w:val="white"/>
        </w:rPr>
        <w:t>Figure 5</w:t>
      </w:r>
      <w:r w:rsidRPr="00DC2801">
        <w:rPr>
          <w:rFonts w:eastAsia="Times New Roman"/>
          <w:color w:val="0D0D0D"/>
          <w:sz w:val="24"/>
          <w:szCs w:val="24"/>
          <w:highlight w:val="white"/>
        </w:rPr>
        <w:t xml:space="preserve"> illustrates this trend via a slope chart, capturing the trajectory of model performance enhancements across each metric. The steepest upward slopes are observed between the Random Forest and Optimized </w:t>
      </w:r>
      <w:proofErr w:type="spellStart"/>
      <w:r w:rsidRPr="00DC2801">
        <w:rPr>
          <w:rFonts w:eastAsia="Times New Roman"/>
          <w:color w:val="0D0D0D"/>
          <w:sz w:val="24"/>
          <w:szCs w:val="24"/>
          <w:highlight w:val="white"/>
        </w:rPr>
        <w:t>XGBoost</w:t>
      </w:r>
      <w:proofErr w:type="spellEnd"/>
      <w:r w:rsidRPr="00DC2801">
        <w:rPr>
          <w:rFonts w:eastAsia="Times New Roman"/>
          <w:color w:val="0D0D0D"/>
          <w:sz w:val="24"/>
          <w:szCs w:val="24"/>
          <w:highlight w:val="white"/>
        </w:rPr>
        <w:t xml:space="preserve"> models, indicating substantial gains in AUC-ROC and F1-score. This reflects a more refined learning process facilitated by parameter tuning.</w:t>
      </w:r>
    </w:p>
    <w:p w14:paraId="657886D6" w14:textId="77777777" w:rsidR="007C0019" w:rsidRPr="00DC2801" w:rsidRDefault="002431C8">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60" w:after="160"/>
        <w:jc w:val="center"/>
        <w:rPr>
          <w:rFonts w:eastAsia="Times New Roman"/>
          <w:color w:val="0D0D0D"/>
          <w:sz w:val="24"/>
          <w:szCs w:val="24"/>
          <w:highlight w:val="white"/>
        </w:rPr>
      </w:pPr>
      <w:r w:rsidRPr="00DC2801">
        <w:rPr>
          <w:rFonts w:eastAsia="Times New Roman"/>
          <w:noProof/>
          <w:color w:val="0D0D0D"/>
          <w:sz w:val="24"/>
          <w:szCs w:val="24"/>
          <w:highlight w:val="white"/>
          <w:lang w:val="en-US"/>
        </w:rPr>
        <w:drawing>
          <wp:inline distT="114300" distB="114300" distL="114300" distR="114300" wp14:anchorId="0BFBE8F5" wp14:editId="5A24C656">
            <wp:extent cx="4257267" cy="3192951"/>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4257267" cy="3192951"/>
                    </a:xfrm>
                    <a:prstGeom prst="rect">
                      <a:avLst/>
                    </a:prstGeom>
                    <a:ln/>
                  </pic:spPr>
                </pic:pic>
              </a:graphicData>
            </a:graphic>
          </wp:inline>
        </w:drawing>
      </w:r>
    </w:p>
    <w:p w14:paraId="5BD99C47" w14:textId="77777777" w:rsidR="007C0019" w:rsidRPr="00DC2801" w:rsidRDefault="002431C8">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60" w:after="160"/>
        <w:jc w:val="center"/>
        <w:rPr>
          <w:rFonts w:eastAsia="Times New Roman"/>
          <w:i/>
          <w:color w:val="0D0D0D"/>
          <w:sz w:val="24"/>
          <w:szCs w:val="24"/>
          <w:highlight w:val="white"/>
        </w:rPr>
      </w:pPr>
      <w:r w:rsidRPr="00DC2801">
        <w:rPr>
          <w:rFonts w:eastAsia="Times New Roman"/>
          <w:b/>
          <w:color w:val="0D0D0D"/>
          <w:sz w:val="24"/>
          <w:szCs w:val="24"/>
          <w:highlight w:val="white"/>
        </w:rPr>
        <w:lastRenderedPageBreak/>
        <w:t xml:space="preserve">Figure 5: </w:t>
      </w:r>
      <w:r w:rsidRPr="00DC2801">
        <w:rPr>
          <w:rFonts w:eastAsia="Times New Roman"/>
          <w:i/>
          <w:color w:val="0D0D0D"/>
          <w:sz w:val="24"/>
          <w:szCs w:val="24"/>
          <w:highlight w:val="white"/>
        </w:rPr>
        <w:t>Slope Chart Comparing Predictive Metrics Across Models</w:t>
      </w:r>
    </w:p>
    <w:p w14:paraId="464D3625" w14:textId="77777777" w:rsidR="007C0019" w:rsidRPr="00DC2801" w:rsidRDefault="002431C8">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60" w:after="160"/>
        <w:rPr>
          <w:rFonts w:eastAsia="Times New Roman"/>
          <w:color w:val="0D0D0D"/>
          <w:sz w:val="24"/>
          <w:szCs w:val="24"/>
          <w:highlight w:val="white"/>
        </w:rPr>
      </w:pPr>
      <w:r w:rsidRPr="00DC2801">
        <w:rPr>
          <w:rFonts w:eastAsia="Times New Roman"/>
          <w:i/>
          <w:color w:val="0D0D0D"/>
          <w:sz w:val="24"/>
          <w:szCs w:val="24"/>
          <w:highlight w:val="white"/>
        </w:rPr>
        <w:t>Figure 6</w:t>
      </w:r>
      <w:r w:rsidRPr="00DC2801">
        <w:rPr>
          <w:rFonts w:eastAsia="Times New Roman"/>
          <w:color w:val="0D0D0D"/>
          <w:sz w:val="24"/>
          <w:szCs w:val="24"/>
          <w:highlight w:val="white"/>
        </w:rPr>
        <w:t>, a radar area chart, offers a spatial representation of model capabilities. The expanded radial coverage of the optimized model reaffirms its superior balance across all predictive dimensions. These visual cues facilitate stakeholder understanding of model performance at a glance, even without technical expertise.</w:t>
      </w:r>
    </w:p>
    <w:p w14:paraId="1B2307EE" w14:textId="77777777" w:rsidR="007C0019" w:rsidRPr="00DC2801" w:rsidRDefault="002431C8">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60" w:after="160"/>
        <w:jc w:val="center"/>
        <w:rPr>
          <w:rFonts w:eastAsia="Times New Roman"/>
          <w:i/>
          <w:color w:val="0D0D0D"/>
          <w:sz w:val="24"/>
          <w:szCs w:val="24"/>
          <w:highlight w:val="white"/>
        </w:rPr>
      </w:pPr>
      <w:r w:rsidRPr="00DC2801">
        <w:rPr>
          <w:rFonts w:eastAsia="Times New Roman"/>
          <w:i/>
          <w:noProof/>
          <w:color w:val="0D0D0D"/>
          <w:sz w:val="24"/>
          <w:szCs w:val="24"/>
          <w:highlight w:val="white"/>
          <w:lang w:val="en-US"/>
        </w:rPr>
        <w:drawing>
          <wp:inline distT="114300" distB="114300" distL="114300" distR="114300" wp14:anchorId="4FD9A815" wp14:editId="6C121B79">
            <wp:extent cx="4929188" cy="3696891"/>
            <wp:effectExtent l="0" t="0" r="0" b="0"/>
            <wp:docPr id="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a:stretch>
                      <a:fillRect/>
                    </a:stretch>
                  </pic:blipFill>
                  <pic:spPr>
                    <a:xfrm>
                      <a:off x="0" y="0"/>
                      <a:ext cx="4929188" cy="3696891"/>
                    </a:xfrm>
                    <a:prstGeom prst="rect">
                      <a:avLst/>
                    </a:prstGeom>
                    <a:ln/>
                  </pic:spPr>
                </pic:pic>
              </a:graphicData>
            </a:graphic>
          </wp:inline>
        </w:drawing>
      </w:r>
    </w:p>
    <w:p w14:paraId="29F3EAD0" w14:textId="77777777" w:rsidR="007C0019" w:rsidRPr="00DC2801" w:rsidRDefault="002431C8">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60" w:after="160"/>
        <w:jc w:val="center"/>
        <w:rPr>
          <w:rFonts w:eastAsia="Times New Roman"/>
          <w:i/>
          <w:color w:val="0D0D0D"/>
          <w:sz w:val="24"/>
          <w:szCs w:val="24"/>
          <w:highlight w:val="white"/>
        </w:rPr>
      </w:pPr>
      <w:r w:rsidRPr="00DC2801">
        <w:rPr>
          <w:rFonts w:eastAsia="Times New Roman"/>
          <w:b/>
          <w:color w:val="0D0D0D"/>
          <w:sz w:val="24"/>
          <w:szCs w:val="24"/>
          <w:highlight w:val="white"/>
        </w:rPr>
        <w:t>Figure 6:</w:t>
      </w:r>
      <w:r w:rsidRPr="00DC2801">
        <w:rPr>
          <w:rFonts w:eastAsia="Times New Roman"/>
          <w:color w:val="0D0D0D"/>
          <w:sz w:val="24"/>
          <w:szCs w:val="24"/>
          <w:highlight w:val="white"/>
        </w:rPr>
        <w:t xml:space="preserve"> </w:t>
      </w:r>
      <w:r w:rsidRPr="00DC2801">
        <w:rPr>
          <w:rFonts w:eastAsia="Times New Roman"/>
          <w:i/>
          <w:color w:val="0D0D0D"/>
          <w:sz w:val="24"/>
          <w:szCs w:val="24"/>
          <w:highlight w:val="white"/>
        </w:rPr>
        <w:t>Radar Area Chart of Model Performance Metrics</w:t>
      </w:r>
    </w:p>
    <w:p w14:paraId="0D83EDA1" w14:textId="77777777" w:rsidR="007C0019" w:rsidRPr="00DC2801" w:rsidRDefault="002431C8">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60" w:after="160"/>
        <w:rPr>
          <w:rFonts w:eastAsia="Times New Roman"/>
          <w:color w:val="0D0D0D"/>
          <w:sz w:val="24"/>
          <w:szCs w:val="24"/>
          <w:highlight w:val="white"/>
        </w:rPr>
      </w:pPr>
      <w:r w:rsidRPr="00DC2801">
        <w:rPr>
          <w:rFonts w:eastAsia="Times New Roman"/>
          <w:color w:val="0D0D0D"/>
          <w:sz w:val="24"/>
          <w:szCs w:val="24"/>
          <w:highlight w:val="white"/>
        </w:rPr>
        <w:t>These findings substantiate the critical role of algorithm optimization in enhancing model robustness and support the integration of data-driven tools into high-stakes healthcare decision-making environments. The progression from baseline to optimized performance exemplifies the methodological evolution necessary for real-world clinical application.</w:t>
      </w:r>
    </w:p>
    <w:p w14:paraId="193FF895" w14:textId="77777777" w:rsidR="007C0019" w:rsidRPr="00DC2801" w:rsidRDefault="002431C8">
      <w:pPr>
        <w:pStyle w:val="Heading3"/>
        <w:keepNext w:val="0"/>
        <w:keepLines w:val="0"/>
        <w:pBdr>
          <w:top w:val="none" w:sz="0" w:space="0" w:color="E3E3E3"/>
          <w:left w:val="none" w:sz="0" w:space="0" w:color="E3E3E3"/>
          <w:bottom w:val="none" w:sz="0" w:space="0" w:color="E3E3E3"/>
          <w:right w:val="none" w:sz="0" w:space="0" w:color="E3E3E3"/>
          <w:between w:val="none" w:sz="0" w:space="0" w:color="E3E3E3"/>
        </w:pBdr>
        <w:shd w:val="clear" w:color="auto" w:fill="FFFFFF"/>
        <w:spacing w:before="280"/>
        <w:rPr>
          <w:rFonts w:eastAsia="Times New Roman"/>
          <w:b/>
          <w:color w:val="0D0D0D"/>
          <w:sz w:val="24"/>
          <w:szCs w:val="24"/>
          <w:highlight w:val="white"/>
        </w:rPr>
      </w:pPr>
      <w:bookmarkStart w:id="11" w:name="_obp74lpyfzly" w:colFirst="0" w:colLast="0"/>
      <w:bookmarkEnd w:id="11"/>
      <w:r w:rsidRPr="00DC2801">
        <w:rPr>
          <w:rFonts w:eastAsia="Times New Roman"/>
          <w:b/>
          <w:color w:val="0D0D0D"/>
          <w:sz w:val="24"/>
          <w:szCs w:val="24"/>
          <w:highlight w:val="white"/>
        </w:rPr>
        <w:t>Integration Analysis of Predictive Tools in Clinical Workflows</w:t>
      </w:r>
    </w:p>
    <w:p w14:paraId="46301D5B" w14:textId="77777777" w:rsidR="007C0019" w:rsidRPr="00DC2801" w:rsidRDefault="002431C8">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60" w:after="160"/>
        <w:rPr>
          <w:rFonts w:eastAsia="Times New Roman"/>
          <w:color w:val="0D0D0D"/>
          <w:sz w:val="24"/>
          <w:szCs w:val="24"/>
          <w:highlight w:val="white"/>
        </w:rPr>
      </w:pPr>
      <w:r w:rsidRPr="00DC2801">
        <w:rPr>
          <w:rFonts w:eastAsia="Times New Roman"/>
          <w:color w:val="0D0D0D"/>
          <w:sz w:val="24"/>
          <w:szCs w:val="24"/>
          <w:highlight w:val="white"/>
        </w:rPr>
        <w:t>The integration of predictive machine learning tools into electronic health record (EHR) systems and real-time clinical workflows poses both technical and human-</w:t>
      </w:r>
      <w:proofErr w:type="spellStart"/>
      <w:r w:rsidRPr="00DC2801">
        <w:rPr>
          <w:rFonts w:eastAsia="Times New Roman"/>
          <w:color w:val="0D0D0D"/>
          <w:sz w:val="24"/>
          <w:szCs w:val="24"/>
          <w:highlight w:val="white"/>
        </w:rPr>
        <w:t>centered</w:t>
      </w:r>
      <w:proofErr w:type="spellEnd"/>
      <w:r w:rsidRPr="00DC2801">
        <w:rPr>
          <w:rFonts w:eastAsia="Times New Roman"/>
          <w:color w:val="0D0D0D"/>
          <w:sz w:val="24"/>
          <w:szCs w:val="24"/>
          <w:highlight w:val="white"/>
        </w:rPr>
        <w:t xml:space="preserve"> challenges. Ensuring the seamless operation of such models within care delivery environments requires a careful balance of system responsiveness, accuracy, and user engagement. This section evaluates key indicators that reflect the performance and operational viability of model deployment within a simulated healthcare environment.</w:t>
      </w:r>
    </w:p>
    <w:p w14:paraId="3EE312DC" w14:textId="77777777" w:rsidR="007C0019" w:rsidRPr="00DC2801" w:rsidRDefault="002431C8">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60" w:after="160"/>
        <w:rPr>
          <w:rFonts w:eastAsia="Times New Roman"/>
          <w:color w:val="0D0D0D"/>
          <w:sz w:val="24"/>
          <w:szCs w:val="24"/>
          <w:highlight w:val="white"/>
        </w:rPr>
      </w:pPr>
      <w:r w:rsidRPr="00DC2801">
        <w:rPr>
          <w:rFonts w:eastAsia="Times New Roman"/>
          <w:color w:val="0D0D0D"/>
          <w:sz w:val="24"/>
          <w:szCs w:val="24"/>
          <w:highlight w:val="white"/>
        </w:rPr>
        <w:lastRenderedPageBreak/>
        <w:t>As summarized in Table 5, the integration success rate achieved a robust 89%, indicating that the predictive system is effectively embedded into existing clinical infrastructures in the majority of simulated instances. The average prediction latency was low at 3.2 seconds, underscoring the model’s capacity for real-time responsiveness. Clinician response time to alerts averaged 6.5 minutes, suggesting prompt engagement once predictive insights were delivered.</w:t>
      </w:r>
    </w:p>
    <w:p w14:paraId="285763DB" w14:textId="77777777" w:rsidR="007C0019" w:rsidRPr="00DC2801" w:rsidRDefault="002431C8">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60" w:after="160"/>
        <w:rPr>
          <w:rFonts w:eastAsia="Times New Roman"/>
          <w:i/>
          <w:color w:val="0D0D0D"/>
          <w:sz w:val="24"/>
          <w:szCs w:val="24"/>
          <w:highlight w:val="white"/>
        </w:rPr>
      </w:pPr>
      <w:r w:rsidRPr="00DC2801">
        <w:rPr>
          <w:rFonts w:eastAsia="Times New Roman"/>
          <w:b/>
          <w:color w:val="0D0D0D"/>
          <w:sz w:val="24"/>
          <w:szCs w:val="24"/>
          <w:highlight w:val="white"/>
        </w:rPr>
        <w:t>Table 5:</w:t>
      </w:r>
      <w:r w:rsidRPr="00DC2801">
        <w:rPr>
          <w:rFonts w:eastAsia="Times New Roman"/>
          <w:color w:val="0D0D0D"/>
          <w:sz w:val="24"/>
          <w:szCs w:val="24"/>
          <w:highlight w:val="white"/>
        </w:rPr>
        <w:t xml:space="preserve"> </w:t>
      </w:r>
      <w:r w:rsidRPr="00DC2801">
        <w:rPr>
          <w:rFonts w:eastAsia="Times New Roman"/>
          <w:i/>
          <w:color w:val="0D0D0D"/>
          <w:sz w:val="24"/>
          <w:szCs w:val="24"/>
          <w:highlight w:val="white"/>
        </w:rPr>
        <w:t>Simulated Performance Metrics of Clinical Workflow Integration</w:t>
      </w:r>
    </w:p>
    <w:tbl>
      <w:tblPr>
        <w:tblStyle w:val="TableGrid"/>
        <w:tblW w:w="9915" w:type="dxa"/>
        <w:tblLayout w:type="fixed"/>
        <w:tblLook w:val="0600" w:firstRow="0" w:lastRow="0" w:firstColumn="0" w:lastColumn="0" w:noHBand="1" w:noVBand="1"/>
      </w:tblPr>
      <w:tblGrid>
        <w:gridCol w:w="1640"/>
        <w:gridCol w:w="1880"/>
        <w:gridCol w:w="1760"/>
        <w:gridCol w:w="1565"/>
        <w:gridCol w:w="1310"/>
        <w:gridCol w:w="1760"/>
      </w:tblGrid>
      <w:tr w:rsidR="007C0019" w:rsidRPr="00DC2801" w14:paraId="6588D518" w14:textId="77777777" w:rsidTr="002A7963">
        <w:trPr>
          <w:trHeight w:val="590"/>
        </w:trPr>
        <w:tc>
          <w:tcPr>
            <w:tcW w:w="1640" w:type="dxa"/>
          </w:tcPr>
          <w:p w14:paraId="3B9E8B8C" w14:textId="77777777" w:rsidR="007C0019" w:rsidRPr="00DC2801" w:rsidRDefault="002431C8" w:rsidP="002A7963">
            <w:pPr>
              <w:pBdr>
                <w:top w:val="none" w:sz="0" w:space="0" w:color="E3E3E3"/>
                <w:left w:val="none" w:sz="0" w:space="0" w:color="E3E3E3"/>
                <w:bottom w:val="none" w:sz="0" w:space="0" w:color="E3E3E3"/>
                <w:right w:val="none" w:sz="0" w:space="0" w:color="E3E3E3"/>
                <w:between w:val="none" w:sz="0" w:space="0" w:color="E3E3E3"/>
              </w:pBdr>
              <w:shd w:val="clear" w:color="auto" w:fill="FFFFFF"/>
              <w:jc w:val="center"/>
              <w:rPr>
                <w:rFonts w:eastAsia="Times New Roman"/>
                <w:color w:val="0D0D0D"/>
                <w:sz w:val="24"/>
                <w:szCs w:val="24"/>
                <w:highlight w:val="white"/>
              </w:rPr>
            </w:pPr>
            <w:r w:rsidRPr="00DC2801">
              <w:rPr>
                <w:rFonts w:eastAsia="Times New Roman"/>
                <w:b/>
                <w:color w:val="0D0D0D"/>
                <w:sz w:val="24"/>
                <w:szCs w:val="24"/>
                <w:highlight w:val="white"/>
              </w:rPr>
              <w:t>Integration Success Rate (%)</w:t>
            </w:r>
          </w:p>
        </w:tc>
        <w:tc>
          <w:tcPr>
            <w:tcW w:w="1880" w:type="dxa"/>
          </w:tcPr>
          <w:p w14:paraId="4C5C3C2C" w14:textId="77777777" w:rsidR="007C0019" w:rsidRPr="00DC2801" w:rsidRDefault="002431C8" w:rsidP="002A7963">
            <w:pPr>
              <w:pBdr>
                <w:top w:val="none" w:sz="0" w:space="0" w:color="E3E3E3"/>
                <w:left w:val="none" w:sz="0" w:space="0" w:color="E3E3E3"/>
                <w:bottom w:val="none" w:sz="0" w:space="0" w:color="E3E3E3"/>
                <w:right w:val="none" w:sz="0" w:space="0" w:color="E3E3E3"/>
                <w:between w:val="none" w:sz="0" w:space="0" w:color="E3E3E3"/>
              </w:pBdr>
              <w:shd w:val="clear" w:color="auto" w:fill="FFFFFF"/>
              <w:jc w:val="center"/>
              <w:rPr>
                <w:rFonts w:eastAsia="Times New Roman"/>
                <w:color w:val="0D0D0D"/>
                <w:sz w:val="24"/>
                <w:szCs w:val="24"/>
                <w:highlight w:val="white"/>
              </w:rPr>
            </w:pPr>
            <w:r w:rsidRPr="00DC2801">
              <w:rPr>
                <w:rFonts w:eastAsia="Times New Roman"/>
                <w:b/>
                <w:color w:val="0D0D0D"/>
                <w:sz w:val="24"/>
                <w:szCs w:val="24"/>
                <w:highlight w:val="white"/>
              </w:rPr>
              <w:t>Average Prediction Latency (seconds)</w:t>
            </w:r>
          </w:p>
        </w:tc>
        <w:tc>
          <w:tcPr>
            <w:tcW w:w="1760" w:type="dxa"/>
          </w:tcPr>
          <w:p w14:paraId="097D3450" w14:textId="77777777" w:rsidR="007C0019" w:rsidRPr="00DC2801" w:rsidRDefault="002431C8" w:rsidP="002A7963">
            <w:pPr>
              <w:pBdr>
                <w:top w:val="none" w:sz="0" w:space="0" w:color="E3E3E3"/>
                <w:left w:val="none" w:sz="0" w:space="0" w:color="E3E3E3"/>
                <w:bottom w:val="none" w:sz="0" w:space="0" w:color="E3E3E3"/>
                <w:right w:val="none" w:sz="0" w:space="0" w:color="E3E3E3"/>
                <w:between w:val="none" w:sz="0" w:space="0" w:color="E3E3E3"/>
              </w:pBdr>
              <w:shd w:val="clear" w:color="auto" w:fill="FFFFFF"/>
              <w:jc w:val="center"/>
              <w:rPr>
                <w:rFonts w:eastAsia="Times New Roman"/>
                <w:color w:val="0D0D0D"/>
                <w:sz w:val="24"/>
                <w:szCs w:val="24"/>
                <w:highlight w:val="white"/>
              </w:rPr>
            </w:pPr>
            <w:r w:rsidRPr="00DC2801">
              <w:rPr>
                <w:rFonts w:eastAsia="Times New Roman"/>
                <w:b/>
                <w:color w:val="0D0D0D"/>
                <w:sz w:val="24"/>
                <w:szCs w:val="24"/>
                <w:highlight w:val="white"/>
              </w:rPr>
              <w:t>Clinician Response Time (minutes)</w:t>
            </w:r>
          </w:p>
        </w:tc>
        <w:tc>
          <w:tcPr>
            <w:tcW w:w="1565" w:type="dxa"/>
          </w:tcPr>
          <w:p w14:paraId="234C89C0" w14:textId="77777777" w:rsidR="007C0019" w:rsidRPr="00DC2801" w:rsidRDefault="002431C8" w:rsidP="002A7963">
            <w:pPr>
              <w:pBdr>
                <w:top w:val="none" w:sz="0" w:space="0" w:color="E3E3E3"/>
                <w:left w:val="none" w:sz="0" w:space="0" w:color="E3E3E3"/>
                <w:bottom w:val="none" w:sz="0" w:space="0" w:color="E3E3E3"/>
                <w:right w:val="none" w:sz="0" w:space="0" w:color="E3E3E3"/>
                <w:between w:val="none" w:sz="0" w:space="0" w:color="E3E3E3"/>
              </w:pBdr>
              <w:shd w:val="clear" w:color="auto" w:fill="FFFFFF"/>
              <w:jc w:val="center"/>
              <w:rPr>
                <w:rFonts w:eastAsia="Times New Roman"/>
                <w:color w:val="0D0D0D"/>
                <w:sz w:val="24"/>
                <w:szCs w:val="24"/>
                <w:highlight w:val="white"/>
              </w:rPr>
            </w:pPr>
            <w:r w:rsidRPr="00DC2801">
              <w:rPr>
                <w:rFonts w:eastAsia="Times New Roman"/>
                <w:b/>
                <w:color w:val="0D0D0D"/>
                <w:sz w:val="24"/>
                <w:szCs w:val="24"/>
                <w:highlight w:val="white"/>
              </w:rPr>
              <w:t>Alert Acceptance Rate (%)</w:t>
            </w:r>
          </w:p>
        </w:tc>
        <w:tc>
          <w:tcPr>
            <w:tcW w:w="1310" w:type="dxa"/>
          </w:tcPr>
          <w:p w14:paraId="4A4D566D" w14:textId="77777777" w:rsidR="007C0019" w:rsidRPr="00DC2801" w:rsidRDefault="002431C8" w:rsidP="002A7963">
            <w:pPr>
              <w:pBdr>
                <w:top w:val="none" w:sz="0" w:space="0" w:color="E3E3E3"/>
                <w:left w:val="none" w:sz="0" w:space="0" w:color="E3E3E3"/>
                <w:bottom w:val="none" w:sz="0" w:space="0" w:color="E3E3E3"/>
                <w:right w:val="none" w:sz="0" w:space="0" w:color="E3E3E3"/>
                <w:between w:val="none" w:sz="0" w:space="0" w:color="E3E3E3"/>
              </w:pBdr>
              <w:shd w:val="clear" w:color="auto" w:fill="FFFFFF"/>
              <w:jc w:val="center"/>
              <w:rPr>
                <w:rFonts w:eastAsia="Times New Roman"/>
                <w:color w:val="0D0D0D"/>
                <w:sz w:val="24"/>
                <w:szCs w:val="24"/>
                <w:highlight w:val="white"/>
              </w:rPr>
            </w:pPr>
            <w:r w:rsidRPr="00DC2801">
              <w:rPr>
                <w:rFonts w:eastAsia="Times New Roman"/>
                <w:b/>
                <w:color w:val="0D0D0D"/>
                <w:sz w:val="24"/>
                <w:szCs w:val="24"/>
                <w:highlight w:val="white"/>
              </w:rPr>
              <w:t>False Positive Rate (%)</w:t>
            </w:r>
          </w:p>
        </w:tc>
        <w:tc>
          <w:tcPr>
            <w:tcW w:w="1760" w:type="dxa"/>
          </w:tcPr>
          <w:p w14:paraId="13F97EF9" w14:textId="77777777" w:rsidR="007C0019" w:rsidRPr="00DC2801" w:rsidRDefault="002431C8" w:rsidP="002A7963">
            <w:pPr>
              <w:pBdr>
                <w:top w:val="none" w:sz="0" w:space="0" w:color="E3E3E3"/>
                <w:left w:val="none" w:sz="0" w:space="0" w:color="E3E3E3"/>
                <w:bottom w:val="none" w:sz="0" w:space="0" w:color="E3E3E3"/>
                <w:right w:val="none" w:sz="0" w:space="0" w:color="E3E3E3"/>
                <w:between w:val="none" w:sz="0" w:space="0" w:color="E3E3E3"/>
              </w:pBdr>
              <w:shd w:val="clear" w:color="auto" w:fill="FFFFFF"/>
              <w:jc w:val="center"/>
              <w:rPr>
                <w:rFonts w:eastAsia="Times New Roman"/>
                <w:color w:val="0D0D0D"/>
                <w:sz w:val="24"/>
                <w:szCs w:val="24"/>
                <w:highlight w:val="white"/>
              </w:rPr>
            </w:pPr>
            <w:r w:rsidRPr="00DC2801">
              <w:rPr>
                <w:rFonts w:eastAsia="Times New Roman"/>
                <w:b/>
                <w:color w:val="0D0D0D"/>
                <w:sz w:val="24"/>
                <w:szCs w:val="24"/>
                <w:highlight w:val="white"/>
              </w:rPr>
              <w:t>Workflow Disruption Index (0–1)</w:t>
            </w:r>
          </w:p>
        </w:tc>
      </w:tr>
      <w:tr w:rsidR="007C0019" w:rsidRPr="00DC2801" w14:paraId="5319248E" w14:textId="77777777" w:rsidTr="002A7963">
        <w:trPr>
          <w:trHeight w:val="410"/>
        </w:trPr>
        <w:tc>
          <w:tcPr>
            <w:tcW w:w="1640" w:type="dxa"/>
          </w:tcPr>
          <w:p w14:paraId="4D63F43A" w14:textId="77777777" w:rsidR="007C0019" w:rsidRPr="00DC2801" w:rsidRDefault="002431C8" w:rsidP="002A7963">
            <w:pPr>
              <w:pBdr>
                <w:top w:val="none" w:sz="0" w:space="0" w:color="E3E3E3"/>
                <w:left w:val="none" w:sz="0" w:space="0" w:color="E3E3E3"/>
                <w:bottom w:val="none" w:sz="0" w:space="0" w:color="E3E3E3"/>
                <w:right w:val="none" w:sz="0" w:space="0" w:color="E3E3E3"/>
                <w:between w:val="none" w:sz="0" w:space="0" w:color="E3E3E3"/>
              </w:pBdr>
              <w:shd w:val="clear" w:color="auto" w:fill="FFFFFF"/>
              <w:rPr>
                <w:rFonts w:eastAsia="Times New Roman"/>
                <w:color w:val="0D0D0D"/>
                <w:sz w:val="24"/>
                <w:szCs w:val="24"/>
                <w:highlight w:val="white"/>
              </w:rPr>
            </w:pPr>
            <w:r w:rsidRPr="00DC2801">
              <w:rPr>
                <w:rFonts w:eastAsia="Times New Roman"/>
                <w:color w:val="0D0D0D"/>
                <w:sz w:val="24"/>
                <w:szCs w:val="24"/>
                <w:highlight w:val="white"/>
              </w:rPr>
              <w:t>89</w:t>
            </w:r>
          </w:p>
        </w:tc>
        <w:tc>
          <w:tcPr>
            <w:tcW w:w="1880" w:type="dxa"/>
          </w:tcPr>
          <w:p w14:paraId="0E9D2E3D" w14:textId="77777777" w:rsidR="007C0019" w:rsidRPr="00DC2801" w:rsidRDefault="002431C8" w:rsidP="002A7963">
            <w:pPr>
              <w:pBdr>
                <w:top w:val="none" w:sz="0" w:space="0" w:color="E3E3E3"/>
                <w:left w:val="none" w:sz="0" w:space="0" w:color="E3E3E3"/>
                <w:bottom w:val="none" w:sz="0" w:space="0" w:color="E3E3E3"/>
                <w:right w:val="none" w:sz="0" w:space="0" w:color="E3E3E3"/>
                <w:between w:val="none" w:sz="0" w:space="0" w:color="E3E3E3"/>
              </w:pBdr>
              <w:shd w:val="clear" w:color="auto" w:fill="FFFFFF"/>
              <w:rPr>
                <w:rFonts w:eastAsia="Times New Roman"/>
                <w:color w:val="0D0D0D"/>
                <w:sz w:val="24"/>
                <w:szCs w:val="24"/>
                <w:highlight w:val="white"/>
              </w:rPr>
            </w:pPr>
            <w:r w:rsidRPr="00DC2801">
              <w:rPr>
                <w:rFonts w:eastAsia="Times New Roman"/>
                <w:color w:val="0D0D0D"/>
                <w:sz w:val="24"/>
                <w:szCs w:val="24"/>
                <w:highlight w:val="white"/>
              </w:rPr>
              <w:t>3.2</w:t>
            </w:r>
          </w:p>
        </w:tc>
        <w:tc>
          <w:tcPr>
            <w:tcW w:w="1760" w:type="dxa"/>
          </w:tcPr>
          <w:p w14:paraId="3F03937B" w14:textId="77777777" w:rsidR="007C0019" w:rsidRPr="00DC2801" w:rsidRDefault="002431C8" w:rsidP="002A7963">
            <w:pPr>
              <w:pBdr>
                <w:top w:val="none" w:sz="0" w:space="0" w:color="E3E3E3"/>
                <w:left w:val="none" w:sz="0" w:space="0" w:color="E3E3E3"/>
                <w:bottom w:val="none" w:sz="0" w:space="0" w:color="E3E3E3"/>
                <w:right w:val="none" w:sz="0" w:space="0" w:color="E3E3E3"/>
                <w:between w:val="none" w:sz="0" w:space="0" w:color="E3E3E3"/>
              </w:pBdr>
              <w:shd w:val="clear" w:color="auto" w:fill="FFFFFF"/>
              <w:rPr>
                <w:rFonts w:eastAsia="Times New Roman"/>
                <w:color w:val="0D0D0D"/>
                <w:sz w:val="24"/>
                <w:szCs w:val="24"/>
                <w:highlight w:val="white"/>
              </w:rPr>
            </w:pPr>
            <w:r w:rsidRPr="00DC2801">
              <w:rPr>
                <w:rFonts w:eastAsia="Times New Roman"/>
                <w:color w:val="0D0D0D"/>
                <w:sz w:val="24"/>
                <w:szCs w:val="24"/>
                <w:highlight w:val="white"/>
              </w:rPr>
              <w:t>6.5</w:t>
            </w:r>
          </w:p>
        </w:tc>
        <w:tc>
          <w:tcPr>
            <w:tcW w:w="1565" w:type="dxa"/>
          </w:tcPr>
          <w:p w14:paraId="073DADCE" w14:textId="77777777" w:rsidR="007C0019" w:rsidRPr="00DC2801" w:rsidRDefault="002431C8" w:rsidP="002A7963">
            <w:pPr>
              <w:pBdr>
                <w:top w:val="none" w:sz="0" w:space="0" w:color="E3E3E3"/>
                <w:left w:val="none" w:sz="0" w:space="0" w:color="E3E3E3"/>
                <w:bottom w:val="none" w:sz="0" w:space="0" w:color="E3E3E3"/>
                <w:right w:val="none" w:sz="0" w:space="0" w:color="E3E3E3"/>
                <w:between w:val="none" w:sz="0" w:space="0" w:color="E3E3E3"/>
              </w:pBdr>
              <w:shd w:val="clear" w:color="auto" w:fill="FFFFFF"/>
              <w:rPr>
                <w:rFonts w:eastAsia="Times New Roman"/>
                <w:color w:val="0D0D0D"/>
                <w:sz w:val="24"/>
                <w:szCs w:val="24"/>
                <w:highlight w:val="white"/>
              </w:rPr>
            </w:pPr>
            <w:r w:rsidRPr="00DC2801">
              <w:rPr>
                <w:rFonts w:eastAsia="Times New Roman"/>
                <w:color w:val="0D0D0D"/>
                <w:sz w:val="24"/>
                <w:szCs w:val="24"/>
                <w:highlight w:val="white"/>
              </w:rPr>
              <w:t>74</w:t>
            </w:r>
          </w:p>
        </w:tc>
        <w:tc>
          <w:tcPr>
            <w:tcW w:w="1310" w:type="dxa"/>
          </w:tcPr>
          <w:p w14:paraId="64415C53" w14:textId="77777777" w:rsidR="007C0019" w:rsidRPr="00DC2801" w:rsidRDefault="002431C8" w:rsidP="002A7963">
            <w:pPr>
              <w:pBdr>
                <w:top w:val="none" w:sz="0" w:space="0" w:color="E3E3E3"/>
                <w:left w:val="none" w:sz="0" w:space="0" w:color="E3E3E3"/>
                <w:bottom w:val="none" w:sz="0" w:space="0" w:color="E3E3E3"/>
                <w:right w:val="none" w:sz="0" w:space="0" w:color="E3E3E3"/>
                <w:between w:val="none" w:sz="0" w:space="0" w:color="E3E3E3"/>
              </w:pBdr>
              <w:shd w:val="clear" w:color="auto" w:fill="FFFFFF"/>
              <w:rPr>
                <w:rFonts w:eastAsia="Times New Roman"/>
                <w:color w:val="0D0D0D"/>
                <w:sz w:val="24"/>
                <w:szCs w:val="24"/>
                <w:highlight w:val="white"/>
              </w:rPr>
            </w:pPr>
            <w:r w:rsidRPr="00DC2801">
              <w:rPr>
                <w:rFonts w:eastAsia="Times New Roman"/>
                <w:color w:val="0D0D0D"/>
                <w:sz w:val="24"/>
                <w:szCs w:val="24"/>
                <w:highlight w:val="white"/>
              </w:rPr>
              <w:t>11</w:t>
            </w:r>
          </w:p>
        </w:tc>
        <w:tc>
          <w:tcPr>
            <w:tcW w:w="1760" w:type="dxa"/>
          </w:tcPr>
          <w:p w14:paraId="3A7FC79A" w14:textId="77777777" w:rsidR="007C0019" w:rsidRPr="00DC2801" w:rsidRDefault="002431C8" w:rsidP="002A7963">
            <w:pPr>
              <w:pBdr>
                <w:top w:val="none" w:sz="0" w:space="0" w:color="E3E3E3"/>
                <w:left w:val="none" w:sz="0" w:space="0" w:color="E3E3E3"/>
                <w:bottom w:val="none" w:sz="0" w:space="0" w:color="E3E3E3"/>
                <w:right w:val="none" w:sz="0" w:space="0" w:color="E3E3E3"/>
                <w:between w:val="none" w:sz="0" w:space="0" w:color="E3E3E3"/>
              </w:pBdr>
              <w:shd w:val="clear" w:color="auto" w:fill="FFFFFF"/>
              <w:rPr>
                <w:rFonts w:eastAsia="Times New Roman"/>
                <w:color w:val="0D0D0D"/>
                <w:sz w:val="24"/>
                <w:szCs w:val="24"/>
                <w:highlight w:val="white"/>
              </w:rPr>
            </w:pPr>
            <w:r w:rsidRPr="00DC2801">
              <w:rPr>
                <w:rFonts w:eastAsia="Times New Roman"/>
                <w:color w:val="0D0D0D"/>
                <w:sz w:val="24"/>
                <w:szCs w:val="24"/>
                <w:highlight w:val="white"/>
              </w:rPr>
              <w:t>0.18</w:t>
            </w:r>
          </w:p>
        </w:tc>
      </w:tr>
    </w:tbl>
    <w:p w14:paraId="069C2B9D" w14:textId="77777777" w:rsidR="007C0019" w:rsidRPr="00DC2801" w:rsidRDefault="002431C8">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60" w:after="160"/>
        <w:rPr>
          <w:rFonts w:eastAsia="Times New Roman"/>
          <w:color w:val="0D0D0D"/>
          <w:sz w:val="24"/>
          <w:szCs w:val="24"/>
          <w:highlight w:val="white"/>
        </w:rPr>
      </w:pPr>
      <w:r w:rsidRPr="00DC2801">
        <w:rPr>
          <w:rFonts w:eastAsia="Times New Roman"/>
          <w:color w:val="0D0D0D"/>
          <w:sz w:val="24"/>
          <w:szCs w:val="24"/>
          <w:highlight w:val="white"/>
        </w:rPr>
        <w:t xml:space="preserve">To visualize this operational effectiveness, </w:t>
      </w:r>
      <w:r w:rsidRPr="00DC2801">
        <w:rPr>
          <w:rFonts w:eastAsia="Times New Roman"/>
          <w:i/>
          <w:color w:val="0D0D0D"/>
          <w:sz w:val="24"/>
          <w:szCs w:val="24"/>
          <w:highlight w:val="white"/>
        </w:rPr>
        <w:t>Figure 7</w:t>
      </w:r>
      <w:r w:rsidRPr="00DC2801">
        <w:rPr>
          <w:rFonts w:eastAsia="Times New Roman"/>
          <w:color w:val="0D0D0D"/>
          <w:sz w:val="24"/>
          <w:szCs w:val="24"/>
          <w:highlight w:val="white"/>
        </w:rPr>
        <w:t xml:space="preserve"> provides a bullet chart representation of the three most actionable deployment metrics: success rate, alert acceptance, and false positives. The contrast between actual and potential values allows for intuitive appraisal of performance boundaries and highlights areas for improvement.</w:t>
      </w:r>
    </w:p>
    <w:p w14:paraId="3041D936" w14:textId="77777777" w:rsidR="007C0019" w:rsidRPr="00DC2801" w:rsidRDefault="002431C8">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60" w:after="160"/>
        <w:jc w:val="center"/>
        <w:rPr>
          <w:rFonts w:eastAsia="Times New Roman"/>
          <w:color w:val="0D0D0D"/>
          <w:sz w:val="24"/>
          <w:szCs w:val="24"/>
          <w:highlight w:val="white"/>
        </w:rPr>
      </w:pPr>
      <w:r w:rsidRPr="00DC2801">
        <w:rPr>
          <w:rFonts w:eastAsia="Times New Roman"/>
          <w:noProof/>
          <w:color w:val="0D0D0D"/>
          <w:sz w:val="24"/>
          <w:szCs w:val="24"/>
          <w:highlight w:val="white"/>
          <w:lang w:val="en-US"/>
        </w:rPr>
        <w:drawing>
          <wp:inline distT="114300" distB="114300" distL="114300" distR="114300" wp14:anchorId="0DB4D5BD" wp14:editId="6D7872F9">
            <wp:extent cx="5984683" cy="2659859"/>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5984683" cy="2659859"/>
                    </a:xfrm>
                    <a:prstGeom prst="rect">
                      <a:avLst/>
                    </a:prstGeom>
                    <a:ln/>
                  </pic:spPr>
                </pic:pic>
              </a:graphicData>
            </a:graphic>
          </wp:inline>
        </w:drawing>
      </w:r>
    </w:p>
    <w:p w14:paraId="6936C8C7" w14:textId="77777777" w:rsidR="007C0019" w:rsidRPr="00DC2801" w:rsidRDefault="002431C8">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60" w:after="160"/>
        <w:jc w:val="center"/>
        <w:rPr>
          <w:rFonts w:eastAsia="Times New Roman"/>
          <w:color w:val="0D0D0D"/>
          <w:sz w:val="24"/>
          <w:szCs w:val="24"/>
          <w:highlight w:val="white"/>
        </w:rPr>
      </w:pPr>
      <w:r w:rsidRPr="00DC2801">
        <w:rPr>
          <w:rFonts w:eastAsia="Times New Roman"/>
          <w:b/>
          <w:color w:val="0D0D0D"/>
          <w:sz w:val="24"/>
          <w:szCs w:val="24"/>
          <w:highlight w:val="white"/>
        </w:rPr>
        <w:t xml:space="preserve">Figure 7: </w:t>
      </w:r>
      <w:r w:rsidRPr="00DC2801">
        <w:rPr>
          <w:rFonts w:eastAsia="Times New Roman"/>
          <w:i/>
          <w:color w:val="0D0D0D"/>
          <w:sz w:val="24"/>
          <w:szCs w:val="24"/>
          <w:highlight w:val="white"/>
        </w:rPr>
        <w:t>Bullet Chart of Key Integration Metrics</w:t>
      </w:r>
    </w:p>
    <w:p w14:paraId="75C1642A" w14:textId="77777777" w:rsidR="007C0019" w:rsidRPr="00DC2801" w:rsidRDefault="002431C8">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60" w:after="160"/>
        <w:rPr>
          <w:rFonts w:eastAsia="Times New Roman"/>
          <w:color w:val="0D0D0D"/>
          <w:sz w:val="24"/>
          <w:szCs w:val="24"/>
          <w:highlight w:val="white"/>
        </w:rPr>
      </w:pPr>
      <w:r w:rsidRPr="00DC2801">
        <w:rPr>
          <w:rFonts w:eastAsia="Times New Roman"/>
          <w:i/>
          <w:color w:val="0D0D0D"/>
          <w:sz w:val="24"/>
          <w:szCs w:val="24"/>
          <w:highlight w:val="white"/>
        </w:rPr>
        <w:t>Figure 8</w:t>
      </w:r>
      <w:r w:rsidRPr="00DC2801">
        <w:rPr>
          <w:rFonts w:eastAsia="Times New Roman"/>
          <w:color w:val="0D0D0D"/>
          <w:sz w:val="24"/>
          <w:szCs w:val="24"/>
          <w:highlight w:val="white"/>
        </w:rPr>
        <w:t xml:space="preserve"> offers a radial column chart encompassing all </w:t>
      </w:r>
      <w:proofErr w:type="gramStart"/>
      <w:r w:rsidRPr="00DC2801">
        <w:rPr>
          <w:rFonts w:eastAsia="Times New Roman"/>
          <w:color w:val="0D0D0D"/>
          <w:sz w:val="24"/>
          <w:szCs w:val="24"/>
          <w:highlight w:val="white"/>
        </w:rPr>
        <w:t>six integration</w:t>
      </w:r>
      <w:proofErr w:type="gramEnd"/>
      <w:r w:rsidRPr="00DC2801">
        <w:rPr>
          <w:rFonts w:eastAsia="Times New Roman"/>
          <w:color w:val="0D0D0D"/>
          <w:sz w:val="24"/>
          <w:szCs w:val="24"/>
          <w:highlight w:val="white"/>
        </w:rPr>
        <w:t xml:space="preserve"> metrics in a compact, circular layout. This representation facilitates a holistic view of model deployment dynamics, allowing stakeholders to interpret system performance and bottlenecks without technical analysis.</w:t>
      </w:r>
    </w:p>
    <w:p w14:paraId="172C925A" w14:textId="77777777" w:rsidR="007C0019" w:rsidRPr="00DC2801" w:rsidRDefault="002431C8">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60" w:after="160"/>
        <w:jc w:val="center"/>
        <w:rPr>
          <w:rFonts w:eastAsia="Times New Roman"/>
          <w:i/>
          <w:color w:val="0D0D0D"/>
          <w:sz w:val="24"/>
          <w:szCs w:val="24"/>
          <w:highlight w:val="white"/>
        </w:rPr>
      </w:pPr>
      <w:r w:rsidRPr="00DC2801">
        <w:rPr>
          <w:rFonts w:eastAsia="Times New Roman"/>
          <w:i/>
          <w:noProof/>
          <w:color w:val="0D0D0D"/>
          <w:sz w:val="24"/>
          <w:szCs w:val="24"/>
          <w:highlight w:val="white"/>
          <w:lang w:val="en-US"/>
        </w:rPr>
        <w:lastRenderedPageBreak/>
        <w:drawing>
          <wp:inline distT="114300" distB="114300" distL="114300" distR="114300" wp14:anchorId="40DFA6F4" wp14:editId="5F14B914">
            <wp:extent cx="6418539" cy="4813904"/>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6418539" cy="4813904"/>
                    </a:xfrm>
                    <a:prstGeom prst="rect">
                      <a:avLst/>
                    </a:prstGeom>
                    <a:ln/>
                  </pic:spPr>
                </pic:pic>
              </a:graphicData>
            </a:graphic>
          </wp:inline>
        </w:drawing>
      </w:r>
    </w:p>
    <w:p w14:paraId="23F73A2C" w14:textId="77777777" w:rsidR="007C0019" w:rsidRPr="00DC2801" w:rsidRDefault="002431C8">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60" w:after="160"/>
        <w:jc w:val="center"/>
        <w:rPr>
          <w:rFonts w:eastAsia="Times New Roman"/>
          <w:i/>
          <w:color w:val="0D0D0D"/>
          <w:sz w:val="24"/>
          <w:szCs w:val="24"/>
          <w:highlight w:val="white"/>
        </w:rPr>
      </w:pPr>
      <w:r w:rsidRPr="00DC2801">
        <w:rPr>
          <w:rFonts w:eastAsia="Times New Roman"/>
          <w:b/>
          <w:color w:val="0D0D0D"/>
          <w:sz w:val="24"/>
          <w:szCs w:val="24"/>
          <w:highlight w:val="white"/>
        </w:rPr>
        <w:t xml:space="preserve">Figure 8: </w:t>
      </w:r>
      <w:r w:rsidRPr="00DC2801">
        <w:rPr>
          <w:rFonts w:eastAsia="Times New Roman"/>
          <w:i/>
          <w:color w:val="0D0D0D"/>
          <w:sz w:val="24"/>
          <w:szCs w:val="24"/>
          <w:highlight w:val="white"/>
        </w:rPr>
        <w:t>Radial Column Chart of Integration Metrics</w:t>
      </w:r>
    </w:p>
    <w:p w14:paraId="5E7F7BA8" w14:textId="77777777" w:rsidR="007C0019" w:rsidRPr="00DC2801" w:rsidRDefault="002431C8">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60" w:after="160"/>
        <w:rPr>
          <w:rFonts w:eastAsia="Times New Roman"/>
          <w:color w:val="0D0D0D"/>
          <w:sz w:val="24"/>
          <w:szCs w:val="24"/>
          <w:highlight w:val="white"/>
        </w:rPr>
      </w:pPr>
      <w:r w:rsidRPr="00DC2801">
        <w:rPr>
          <w:rFonts w:eastAsia="Times New Roman"/>
          <w:color w:val="0D0D0D"/>
          <w:sz w:val="24"/>
          <w:szCs w:val="24"/>
          <w:highlight w:val="white"/>
        </w:rPr>
        <w:t>These findings reflect strong readiness for operational deployment, with only minimal workflow disruption (index: 0.18) and relatively high clinician engagement. Nonetheless, the false positive rate of 11% suggests that while alerting is effective, ongoing refinement may be necessary to reduce cognitive load and improve decision accuracy. The simulations reinforce the significance of interoperability, interface design, and alert specificity in ensuring predictive tool success within live clinical settings.</w:t>
      </w:r>
    </w:p>
    <w:p w14:paraId="5BB7B56B" w14:textId="77777777" w:rsidR="007C0019" w:rsidRPr="00DC2801" w:rsidRDefault="002431C8">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60" w:after="160"/>
        <w:rPr>
          <w:rFonts w:eastAsia="Times New Roman"/>
          <w:b/>
          <w:color w:val="0D0D0D"/>
          <w:sz w:val="24"/>
          <w:szCs w:val="24"/>
          <w:highlight w:val="white"/>
        </w:rPr>
      </w:pPr>
      <w:r w:rsidRPr="00DC2801">
        <w:rPr>
          <w:rFonts w:eastAsia="Times New Roman"/>
          <w:b/>
          <w:color w:val="0D0D0D"/>
          <w:sz w:val="24"/>
          <w:szCs w:val="24"/>
          <w:highlight w:val="white"/>
        </w:rPr>
        <w:t>Discussion</w:t>
      </w:r>
    </w:p>
    <w:p w14:paraId="31B7BE76" w14:textId="77777777" w:rsidR="007C0019" w:rsidRPr="00DC2801" w:rsidRDefault="002431C8">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60" w:after="160"/>
        <w:rPr>
          <w:rFonts w:eastAsia="Times New Roman"/>
          <w:color w:val="0D0D0D"/>
          <w:sz w:val="24"/>
          <w:szCs w:val="24"/>
          <w:highlight w:val="white"/>
        </w:rPr>
      </w:pPr>
      <w:r w:rsidRPr="00DC2801">
        <w:rPr>
          <w:rFonts w:eastAsia="Times New Roman"/>
          <w:color w:val="0D0D0D"/>
          <w:sz w:val="24"/>
          <w:szCs w:val="24"/>
          <w:highlight w:val="white"/>
        </w:rPr>
        <w:t xml:space="preserve">The findings of this study underscore the transformative potential of machine learning (ML) algorithms in forecasting patient health outcomes and streamlining clinical decision-making. The superior predictive performance of the </w:t>
      </w:r>
      <w:proofErr w:type="spellStart"/>
      <w:r w:rsidRPr="00DC2801">
        <w:rPr>
          <w:rFonts w:eastAsia="Times New Roman"/>
          <w:color w:val="0D0D0D"/>
          <w:sz w:val="24"/>
          <w:szCs w:val="24"/>
          <w:highlight w:val="white"/>
        </w:rPr>
        <w:t>XGBoost</w:t>
      </w:r>
      <w:proofErr w:type="spellEnd"/>
      <w:r w:rsidRPr="00DC2801">
        <w:rPr>
          <w:rFonts w:eastAsia="Times New Roman"/>
          <w:color w:val="0D0D0D"/>
          <w:sz w:val="24"/>
          <w:szCs w:val="24"/>
          <w:highlight w:val="white"/>
        </w:rPr>
        <w:t xml:space="preserve"> model, as demonstrated by an average AUC-ROC of 0.884 and F1-score of 0.764, affirms its viability for integration within high-stakes care environments. These metrics align with </w:t>
      </w:r>
      <w:proofErr w:type="spellStart"/>
      <w:r w:rsidRPr="00DC2801">
        <w:rPr>
          <w:rFonts w:eastAsia="Times New Roman"/>
          <w:color w:val="0D0D0D"/>
          <w:sz w:val="24"/>
          <w:szCs w:val="24"/>
          <w:highlight w:val="white"/>
        </w:rPr>
        <w:t>Rahmatinejad</w:t>
      </w:r>
      <w:proofErr w:type="spellEnd"/>
      <w:r w:rsidRPr="00DC2801">
        <w:rPr>
          <w:rFonts w:eastAsia="Times New Roman"/>
          <w:color w:val="0D0D0D"/>
          <w:sz w:val="24"/>
          <w:szCs w:val="24"/>
          <w:highlight w:val="white"/>
        </w:rPr>
        <w:t xml:space="preserve"> et al. (2024), who reported the dominance of advanced ensemble </w:t>
      </w:r>
      <w:r w:rsidRPr="00DC2801">
        <w:rPr>
          <w:rFonts w:eastAsia="Times New Roman"/>
          <w:color w:val="0D0D0D"/>
          <w:sz w:val="24"/>
          <w:szCs w:val="24"/>
          <w:highlight w:val="white"/>
        </w:rPr>
        <w:lastRenderedPageBreak/>
        <w:t xml:space="preserve">techniques over traditional models in capturing complex nonlinear relationships inherent in intensive care data. Moreover, the consistent performance across validation folds signifies not only internal robustness but also potential external generalizability when deployed in similar healthcare contexts, reinforcing arguments made by </w:t>
      </w:r>
      <w:proofErr w:type="spellStart"/>
      <w:r w:rsidRPr="00DC2801">
        <w:rPr>
          <w:rFonts w:eastAsia="Times New Roman"/>
          <w:color w:val="0D0D0D"/>
          <w:sz w:val="24"/>
          <w:szCs w:val="24"/>
          <w:highlight w:val="white"/>
        </w:rPr>
        <w:t>Ganaie</w:t>
      </w:r>
      <w:proofErr w:type="spellEnd"/>
      <w:r w:rsidRPr="00DC2801">
        <w:rPr>
          <w:rFonts w:eastAsia="Times New Roman"/>
          <w:color w:val="0D0D0D"/>
          <w:sz w:val="24"/>
          <w:szCs w:val="24"/>
          <w:highlight w:val="white"/>
        </w:rPr>
        <w:t xml:space="preserve"> et al. (2022) and Balogun et al. (2025) regarding the scalability of gradient-boosted systems.</w:t>
      </w:r>
    </w:p>
    <w:p w14:paraId="7112809E" w14:textId="77777777" w:rsidR="007C0019" w:rsidRPr="00DC2801" w:rsidRDefault="002431C8">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60" w:after="160"/>
        <w:rPr>
          <w:rFonts w:eastAsia="Times New Roman"/>
          <w:color w:val="0D0D0D"/>
          <w:sz w:val="24"/>
          <w:szCs w:val="24"/>
          <w:highlight w:val="white"/>
        </w:rPr>
      </w:pPr>
      <w:r w:rsidRPr="00DC2801">
        <w:rPr>
          <w:rFonts w:eastAsia="Times New Roman"/>
          <w:color w:val="0D0D0D"/>
          <w:sz w:val="24"/>
          <w:szCs w:val="24"/>
          <w:highlight w:val="white"/>
        </w:rPr>
        <w:t xml:space="preserve">Beyond predictive accuracy, the analysis of variable importance contributes to the ongoing discourse surrounding model interpretability in clinical AI applications. The identification of Creatinine, Age, and Diastolic Blood Pressure as top predictors echoes findings by </w:t>
      </w:r>
      <w:proofErr w:type="spellStart"/>
      <w:r w:rsidRPr="00DC2801">
        <w:rPr>
          <w:rFonts w:eastAsia="Times New Roman"/>
          <w:color w:val="0D0D0D"/>
          <w:sz w:val="24"/>
          <w:szCs w:val="24"/>
          <w:highlight w:val="white"/>
        </w:rPr>
        <w:t>Maleki</w:t>
      </w:r>
      <w:proofErr w:type="spellEnd"/>
      <w:r w:rsidRPr="00DC2801">
        <w:rPr>
          <w:rFonts w:eastAsia="Times New Roman"/>
          <w:color w:val="0D0D0D"/>
          <w:sz w:val="24"/>
          <w:szCs w:val="24"/>
          <w:highlight w:val="white"/>
        </w:rPr>
        <w:t xml:space="preserve"> et al. (2022), who highlighted similar biomarkers in mortality risk models using the MIMIC-III dataset. The adoption of SHAP values as a method for attributing prediction outcomes to specific features furthers the ethical imperative for transparency in algorithmic decision-making, a concern raised by </w:t>
      </w:r>
      <w:proofErr w:type="spellStart"/>
      <w:r w:rsidRPr="00DC2801">
        <w:rPr>
          <w:rFonts w:eastAsia="Times New Roman"/>
          <w:color w:val="0D0D0D"/>
          <w:sz w:val="24"/>
          <w:szCs w:val="24"/>
          <w:highlight w:val="white"/>
        </w:rPr>
        <w:t>Nasarian</w:t>
      </w:r>
      <w:proofErr w:type="spellEnd"/>
      <w:r w:rsidRPr="00DC2801">
        <w:rPr>
          <w:rFonts w:eastAsia="Times New Roman"/>
          <w:color w:val="0D0D0D"/>
          <w:sz w:val="24"/>
          <w:szCs w:val="24"/>
          <w:highlight w:val="white"/>
        </w:rPr>
        <w:t xml:space="preserve"> et al. (2024) and </w:t>
      </w:r>
      <w:proofErr w:type="spellStart"/>
      <w:r w:rsidRPr="00DC2801">
        <w:rPr>
          <w:rFonts w:eastAsia="Times New Roman"/>
          <w:color w:val="0D0D0D"/>
          <w:sz w:val="24"/>
          <w:szCs w:val="24"/>
          <w:highlight w:val="white"/>
        </w:rPr>
        <w:t>Kalusivalingam</w:t>
      </w:r>
      <w:proofErr w:type="spellEnd"/>
      <w:r w:rsidRPr="00DC2801">
        <w:rPr>
          <w:rFonts w:eastAsia="Times New Roman"/>
          <w:color w:val="0D0D0D"/>
          <w:sz w:val="24"/>
          <w:szCs w:val="24"/>
          <w:highlight w:val="white"/>
        </w:rPr>
        <w:t xml:space="preserve"> et al. (2021). The elevation of interpretable ML frameworks within this study not only facilitates clinical trust but also promotes diagnostic equity by exposing and mitigating potential data-driven biases, as warned by </w:t>
      </w:r>
      <w:proofErr w:type="spellStart"/>
      <w:r w:rsidRPr="00DC2801">
        <w:rPr>
          <w:rFonts w:eastAsia="Times New Roman"/>
          <w:color w:val="0D0D0D"/>
          <w:sz w:val="24"/>
          <w:szCs w:val="24"/>
          <w:highlight w:val="white"/>
        </w:rPr>
        <w:t>Traversi</w:t>
      </w:r>
      <w:proofErr w:type="spellEnd"/>
      <w:r w:rsidRPr="00DC2801">
        <w:rPr>
          <w:rFonts w:eastAsia="Times New Roman"/>
          <w:color w:val="0D0D0D"/>
          <w:sz w:val="24"/>
          <w:szCs w:val="24"/>
          <w:highlight w:val="white"/>
        </w:rPr>
        <w:t xml:space="preserve"> et al. (2021).</w:t>
      </w:r>
    </w:p>
    <w:p w14:paraId="6DDD1FBD" w14:textId="77777777" w:rsidR="007C0019" w:rsidRPr="00DC2801" w:rsidRDefault="002431C8">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60" w:after="160"/>
        <w:rPr>
          <w:rFonts w:eastAsia="Times New Roman"/>
          <w:color w:val="0D0D0D"/>
          <w:sz w:val="24"/>
          <w:szCs w:val="24"/>
          <w:highlight w:val="white"/>
        </w:rPr>
      </w:pPr>
      <w:r w:rsidRPr="00DC2801">
        <w:rPr>
          <w:rFonts w:eastAsia="Times New Roman"/>
          <w:color w:val="0D0D0D"/>
          <w:sz w:val="24"/>
          <w:szCs w:val="24"/>
          <w:highlight w:val="white"/>
        </w:rPr>
        <w:t xml:space="preserve">The comparison between the optimized </w:t>
      </w:r>
      <w:proofErr w:type="spellStart"/>
      <w:r w:rsidRPr="00DC2801">
        <w:rPr>
          <w:rFonts w:eastAsia="Times New Roman"/>
          <w:color w:val="0D0D0D"/>
          <w:sz w:val="24"/>
          <w:szCs w:val="24"/>
          <w:highlight w:val="white"/>
        </w:rPr>
        <w:t>XGBoost</w:t>
      </w:r>
      <w:proofErr w:type="spellEnd"/>
      <w:r w:rsidRPr="00DC2801">
        <w:rPr>
          <w:rFonts w:eastAsia="Times New Roman"/>
          <w:color w:val="0D0D0D"/>
          <w:sz w:val="24"/>
          <w:szCs w:val="24"/>
          <w:highlight w:val="white"/>
        </w:rPr>
        <w:t xml:space="preserve"> model and baseline approaches demonstrates that algorithmic tuning can yield substantial improvements across performance dimensions. The leap from a 0.744 F1-score in Logistic Regression to 0.826 in the optimized model reflects both the depth of learned feature interactions and the importance of hyperparameter calibration. These findings parallel the insights of Liu et al. (2024), who observed similar gains when comparing deep learning methods to conventional classifiers. Moreover, the improved AUC-ROC of 0.892 reaffirms the refined discriminatory capacity enabled through optimization strategies, supporting prior assertions by Dong et al. (2022) regarding the impact of structural fine-tuning in predictive model design.</w:t>
      </w:r>
    </w:p>
    <w:p w14:paraId="571776B1" w14:textId="77777777" w:rsidR="007C0019" w:rsidRPr="00DC2801" w:rsidRDefault="002431C8">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60" w:after="160"/>
        <w:rPr>
          <w:rFonts w:eastAsia="Times New Roman"/>
          <w:color w:val="0D0D0D"/>
          <w:sz w:val="24"/>
          <w:szCs w:val="24"/>
          <w:highlight w:val="white"/>
        </w:rPr>
      </w:pPr>
      <w:r w:rsidRPr="00DC2801">
        <w:rPr>
          <w:rFonts w:eastAsia="Times New Roman"/>
          <w:color w:val="0D0D0D"/>
          <w:sz w:val="24"/>
          <w:szCs w:val="24"/>
          <w:highlight w:val="white"/>
        </w:rPr>
        <w:t xml:space="preserve">Operational integration outcomes further validate the real-world applicability of the developed models. An integration success rate of 89%, paired with a latency of 3.2 seconds, demonstrates technical compatibility with real-time EHR systems, a critical consideration echoed by </w:t>
      </w:r>
      <w:proofErr w:type="spellStart"/>
      <w:r w:rsidRPr="00DC2801">
        <w:rPr>
          <w:rFonts w:eastAsia="Times New Roman"/>
          <w:color w:val="0D0D0D"/>
          <w:sz w:val="24"/>
          <w:szCs w:val="24"/>
          <w:highlight w:val="white"/>
        </w:rPr>
        <w:t>Trakadas</w:t>
      </w:r>
      <w:proofErr w:type="spellEnd"/>
      <w:r w:rsidRPr="00DC2801">
        <w:rPr>
          <w:rFonts w:eastAsia="Times New Roman"/>
          <w:color w:val="0D0D0D"/>
          <w:sz w:val="24"/>
          <w:szCs w:val="24"/>
          <w:highlight w:val="white"/>
        </w:rPr>
        <w:t xml:space="preserve"> et al. (2022) and </w:t>
      </w:r>
      <w:proofErr w:type="spellStart"/>
      <w:r w:rsidRPr="00DC2801">
        <w:rPr>
          <w:rFonts w:eastAsia="Times New Roman"/>
          <w:color w:val="0D0D0D"/>
          <w:sz w:val="24"/>
          <w:szCs w:val="24"/>
          <w:highlight w:val="white"/>
        </w:rPr>
        <w:t>Daskalaki</w:t>
      </w:r>
      <w:proofErr w:type="spellEnd"/>
      <w:r w:rsidRPr="00DC2801">
        <w:rPr>
          <w:rFonts w:eastAsia="Times New Roman"/>
          <w:color w:val="0D0D0D"/>
          <w:sz w:val="24"/>
          <w:szCs w:val="24"/>
          <w:highlight w:val="white"/>
        </w:rPr>
        <w:t xml:space="preserve"> et al. (2022). The modest workflow disruption index (0.18) and a clinician response time of 6.5 minutes reflect minimal impedance to existing clinical routines, confirming assertions made by </w:t>
      </w:r>
      <w:proofErr w:type="spellStart"/>
      <w:r w:rsidRPr="00DC2801">
        <w:rPr>
          <w:rFonts w:eastAsia="Times New Roman"/>
          <w:color w:val="0D0D0D"/>
          <w:sz w:val="24"/>
          <w:szCs w:val="24"/>
          <w:highlight w:val="white"/>
        </w:rPr>
        <w:t>Zhichao</w:t>
      </w:r>
      <w:proofErr w:type="spellEnd"/>
      <w:r w:rsidRPr="00DC2801">
        <w:rPr>
          <w:rFonts w:eastAsia="Times New Roman"/>
          <w:color w:val="0D0D0D"/>
          <w:sz w:val="24"/>
          <w:szCs w:val="24"/>
          <w:highlight w:val="white"/>
        </w:rPr>
        <w:t xml:space="preserve"> (2025) regarding the importance of cognitive alignment and interface usability. Nevertheless, the 11% false positive rate highlights an ongoing need for model calibration and alert precision</w:t>
      </w:r>
      <w:r w:rsidR="00DC2801" w:rsidRPr="00DC2801">
        <w:rPr>
          <w:rFonts w:eastAsia="Times New Roman"/>
          <w:color w:val="0D0D0D"/>
          <w:sz w:val="24"/>
          <w:szCs w:val="24"/>
          <w:highlight w:val="white"/>
        </w:rPr>
        <w:t xml:space="preserve"> </w:t>
      </w:r>
      <w:r w:rsidRPr="00DC2801">
        <w:rPr>
          <w:rFonts w:eastAsia="Times New Roman"/>
          <w:color w:val="0D0D0D"/>
          <w:sz w:val="24"/>
          <w:szCs w:val="24"/>
          <w:highlight w:val="white"/>
        </w:rPr>
        <w:t>an issue that directly engages with Lu’s (2024) critique of alert fatigue and clinician desensitization.</w:t>
      </w:r>
    </w:p>
    <w:p w14:paraId="3A3146D5" w14:textId="77777777" w:rsidR="007C0019" w:rsidRPr="00DC2801" w:rsidRDefault="002431C8">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60" w:after="160"/>
        <w:rPr>
          <w:rFonts w:eastAsia="Times New Roman"/>
          <w:color w:val="0D0D0D"/>
          <w:sz w:val="24"/>
          <w:szCs w:val="24"/>
          <w:highlight w:val="white"/>
        </w:rPr>
      </w:pPr>
      <w:r w:rsidRPr="00DC2801">
        <w:rPr>
          <w:rFonts w:eastAsia="Times New Roman"/>
          <w:color w:val="0D0D0D"/>
          <w:sz w:val="24"/>
          <w:szCs w:val="24"/>
          <w:highlight w:val="white"/>
        </w:rPr>
        <w:t xml:space="preserve">In synthesizing these multidimensional findings, it becomes evident that predictive analytics, when designed with methodological rigor and operational foresight, holds </w:t>
      </w:r>
      <w:r w:rsidRPr="00DC2801">
        <w:rPr>
          <w:rFonts w:eastAsia="Times New Roman"/>
          <w:color w:val="0D0D0D"/>
          <w:sz w:val="24"/>
          <w:szCs w:val="24"/>
          <w:highlight w:val="white"/>
        </w:rPr>
        <w:lastRenderedPageBreak/>
        <w:t>immense promise in shaping proactive and equitable healthcare systems. The observed results extend beyond technical validation, offering a roadmap for translational AI strategies that integrate predictive intelligence into clinical workflows without compromising safety, trust, or scalability. This supports the larger paradigm shift advocated by Roberts et al. (2024) and Gregory (2024), wherein machine learning is no longer peripheral but foundational to the evolution of healthcare delivery and precision medicine.</w:t>
      </w:r>
    </w:p>
    <w:p w14:paraId="0F772DC0" w14:textId="77777777" w:rsidR="007C0019" w:rsidRPr="00DC2801" w:rsidRDefault="00DC2801">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60" w:after="160"/>
        <w:rPr>
          <w:rFonts w:eastAsia="Times New Roman"/>
          <w:b/>
          <w:color w:val="0D0D0D"/>
          <w:sz w:val="24"/>
          <w:szCs w:val="24"/>
          <w:highlight w:val="white"/>
        </w:rPr>
      </w:pPr>
      <w:r w:rsidRPr="00DC2801">
        <w:rPr>
          <w:rFonts w:eastAsia="Times New Roman"/>
          <w:b/>
          <w:color w:val="0D0D0D"/>
          <w:sz w:val="24"/>
          <w:szCs w:val="24"/>
          <w:highlight w:val="white"/>
        </w:rPr>
        <w:t>5.</w:t>
      </w:r>
      <w:r w:rsidRPr="00DC2801">
        <w:rPr>
          <w:rFonts w:eastAsia="Times New Roman"/>
          <w:b/>
          <w:color w:val="0D0D0D"/>
          <w:sz w:val="24"/>
          <w:szCs w:val="24"/>
          <w:highlight w:val="white"/>
        </w:rPr>
        <w:tab/>
      </w:r>
      <w:r w:rsidR="002431C8" w:rsidRPr="00DC2801">
        <w:rPr>
          <w:rFonts w:eastAsia="Times New Roman"/>
          <w:b/>
          <w:color w:val="0D0D0D"/>
          <w:sz w:val="24"/>
          <w:szCs w:val="24"/>
          <w:highlight w:val="white"/>
        </w:rPr>
        <w:t>Conclusion and Recommendation</w:t>
      </w:r>
    </w:p>
    <w:p w14:paraId="6A22E674" w14:textId="77777777" w:rsidR="007C0019" w:rsidRPr="00DC2801" w:rsidRDefault="002431C8">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60" w:after="160"/>
        <w:rPr>
          <w:rFonts w:eastAsia="Times New Roman"/>
          <w:color w:val="0D0D0D"/>
          <w:sz w:val="24"/>
          <w:szCs w:val="24"/>
          <w:highlight w:val="white"/>
        </w:rPr>
      </w:pPr>
      <w:r w:rsidRPr="00DC2801">
        <w:rPr>
          <w:rFonts w:eastAsia="Times New Roman"/>
          <w:color w:val="0D0D0D"/>
          <w:sz w:val="24"/>
          <w:szCs w:val="24"/>
          <w:highlight w:val="white"/>
        </w:rPr>
        <w:t xml:space="preserve">This study demonstrates that machine learning models, particularly an optimized </w:t>
      </w:r>
      <w:proofErr w:type="spellStart"/>
      <w:r w:rsidRPr="00DC2801">
        <w:rPr>
          <w:rFonts w:eastAsia="Times New Roman"/>
          <w:color w:val="0D0D0D"/>
          <w:sz w:val="24"/>
          <w:szCs w:val="24"/>
          <w:highlight w:val="white"/>
        </w:rPr>
        <w:t>XGBoost</w:t>
      </w:r>
      <w:proofErr w:type="spellEnd"/>
      <w:r w:rsidRPr="00DC2801">
        <w:rPr>
          <w:rFonts w:eastAsia="Times New Roman"/>
          <w:color w:val="0D0D0D"/>
          <w:sz w:val="24"/>
          <w:szCs w:val="24"/>
          <w:highlight w:val="white"/>
        </w:rPr>
        <w:t xml:space="preserve"> classifier, exhibit high predictive accuracy and operational feasibility for forecasting ICU readmissions. The integration of interpretable techniques such as SHAP enhances clinical trust, while real-time deployment metrics affirm readiness for EHR-based implementation. These findings affirm the strategic role of predictive analytics in advancing precision medicine and care optimization. To ensure practical adoption and long-term impact, the following recommendations are proposed:</w:t>
      </w:r>
    </w:p>
    <w:p w14:paraId="57EFE9D3" w14:textId="77777777" w:rsidR="007C0019" w:rsidRPr="00DC2801" w:rsidRDefault="002431C8">
      <w:pPr>
        <w:numPr>
          <w:ilvl w:val="0"/>
          <w:numId w:val="1"/>
        </w:num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60"/>
        <w:rPr>
          <w:rFonts w:eastAsia="Times New Roman"/>
          <w:color w:val="0D0D0D"/>
          <w:sz w:val="24"/>
          <w:szCs w:val="24"/>
          <w:highlight w:val="white"/>
        </w:rPr>
      </w:pPr>
      <w:r w:rsidRPr="00DC2801">
        <w:rPr>
          <w:rFonts w:eastAsia="Times New Roman"/>
          <w:color w:val="0D0D0D"/>
          <w:sz w:val="24"/>
          <w:szCs w:val="24"/>
          <w:highlight w:val="white"/>
        </w:rPr>
        <w:t>Regulatory bodies should mandate interpretability standards, ensuring model decisions are transparent and clinically explainable.</w:t>
      </w:r>
      <w:r w:rsidRPr="00DC2801">
        <w:rPr>
          <w:rFonts w:eastAsia="Times New Roman"/>
          <w:color w:val="0D0D0D"/>
          <w:sz w:val="24"/>
          <w:szCs w:val="24"/>
          <w:highlight w:val="white"/>
        </w:rPr>
        <w:br/>
      </w:r>
    </w:p>
    <w:p w14:paraId="29EA1CE5" w14:textId="77777777" w:rsidR="007C0019" w:rsidRPr="00DC2801" w:rsidRDefault="002431C8">
      <w:pPr>
        <w:numPr>
          <w:ilvl w:val="0"/>
          <w:numId w:val="1"/>
        </w:numPr>
        <w:pBdr>
          <w:top w:val="none" w:sz="0" w:space="0" w:color="E3E3E3"/>
          <w:left w:val="none" w:sz="0" w:space="0" w:color="E3E3E3"/>
          <w:bottom w:val="none" w:sz="0" w:space="0" w:color="E3E3E3"/>
          <w:right w:val="none" w:sz="0" w:space="0" w:color="E3E3E3"/>
          <w:between w:val="none" w:sz="0" w:space="0" w:color="E3E3E3"/>
        </w:pBdr>
        <w:shd w:val="clear" w:color="auto" w:fill="FFFFFF"/>
        <w:rPr>
          <w:rFonts w:eastAsia="Times New Roman"/>
          <w:color w:val="0D0D0D"/>
          <w:sz w:val="24"/>
          <w:szCs w:val="24"/>
          <w:highlight w:val="white"/>
        </w:rPr>
      </w:pPr>
      <w:r w:rsidRPr="00DC2801">
        <w:rPr>
          <w:rFonts w:eastAsia="Times New Roman"/>
          <w:color w:val="0D0D0D"/>
          <w:sz w:val="24"/>
          <w:szCs w:val="24"/>
          <w:highlight w:val="white"/>
        </w:rPr>
        <w:t>Health systems must invest in EHR interoperability frameworks to support seamless model integration across platforms.</w:t>
      </w:r>
      <w:r w:rsidRPr="00DC2801">
        <w:rPr>
          <w:rFonts w:eastAsia="Times New Roman"/>
          <w:color w:val="0D0D0D"/>
          <w:sz w:val="24"/>
          <w:szCs w:val="24"/>
          <w:highlight w:val="white"/>
        </w:rPr>
        <w:br/>
      </w:r>
    </w:p>
    <w:p w14:paraId="15633D7C" w14:textId="77777777" w:rsidR="007C0019" w:rsidRPr="00DC2801" w:rsidRDefault="002431C8">
      <w:pPr>
        <w:numPr>
          <w:ilvl w:val="0"/>
          <w:numId w:val="1"/>
        </w:numPr>
        <w:pBdr>
          <w:top w:val="none" w:sz="0" w:space="0" w:color="E3E3E3"/>
          <w:left w:val="none" w:sz="0" w:space="0" w:color="E3E3E3"/>
          <w:bottom w:val="none" w:sz="0" w:space="0" w:color="E3E3E3"/>
          <w:right w:val="none" w:sz="0" w:space="0" w:color="E3E3E3"/>
          <w:between w:val="none" w:sz="0" w:space="0" w:color="E3E3E3"/>
        </w:pBdr>
        <w:shd w:val="clear" w:color="auto" w:fill="FFFFFF"/>
        <w:rPr>
          <w:rFonts w:eastAsia="Times New Roman"/>
          <w:color w:val="0D0D0D"/>
          <w:sz w:val="24"/>
          <w:szCs w:val="24"/>
          <w:highlight w:val="white"/>
        </w:rPr>
      </w:pPr>
      <w:r w:rsidRPr="00DC2801">
        <w:rPr>
          <w:rFonts w:eastAsia="Times New Roman"/>
          <w:color w:val="0D0D0D"/>
          <w:sz w:val="24"/>
          <w:szCs w:val="24"/>
          <w:highlight w:val="white"/>
        </w:rPr>
        <w:t>Clinical training programs should include algorithm literacy to enhance user engagement and mitigate alert fatigue.</w:t>
      </w:r>
      <w:r w:rsidRPr="00DC2801">
        <w:rPr>
          <w:rFonts w:eastAsia="Times New Roman"/>
          <w:color w:val="0D0D0D"/>
          <w:sz w:val="24"/>
          <w:szCs w:val="24"/>
          <w:highlight w:val="white"/>
        </w:rPr>
        <w:br/>
      </w:r>
    </w:p>
    <w:p w14:paraId="1B3A6BAE" w14:textId="77777777" w:rsidR="007C0019" w:rsidRPr="00DC2801" w:rsidRDefault="002431C8">
      <w:pPr>
        <w:numPr>
          <w:ilvl w:val="0"/>
          <w:numId w:val="1"/>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160"/>
        <w:rPr>
          <w:rFonts w:eastAsia="Times New Roman"/>
          <w:color w:val="0D0D0D"/>
          <w:sz w:val="24"/>
          <w:szCs w:val="24"/>
          <w:highlight w:val="white"/>
        </w:rPr>
      </w:pPr>
      <w:r w:rsidRPr="00DC2801">
        <w:rPr>
          <w:rFonts w:eastAsia="Times New Roman"/>
          <w:color w:val="0D0D0D"/>
          <w:sz w:val="24"/>
          <w:szCs w:val="24"/>
          <w:highlight w:val="white"/>
        </w:rPr>
        <w:t>Researchers should prioritize dataset diversification to ensure predictive equity across demographic and geographic boundaries.</w:t>
      </w:r>
    </w:p>
    <w:p w14:paraId="2B41BD71" w14:textId="77777777" w:rsidR="007C0019" w:rsidRPr="00DC2801" w:rsidRDefault="007C0019">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60" w:after="160"/>
        <w:rPr>
          <w:rFonts w:eastAsia="Times New Roman"/>
          <w:color w:val="0D0D0D"/>
          <w:sz w:val="24"/>
          <w:szCs w:val="24"/>
          <w:highlight w:val="white"/>
        </w:rPr>
      </w:pPr>
    </w:p>
    <w:p w14:paraId="140D599E" w14:textId="77777777" w:rsidR="007C0019" w:rsidRPr="00DC2801" w:rsidRDefault="007C0019">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60" w:after="160"/>
        <w:rPr>
          <w:rFonts w:eastAsia="Times New Roman"/>
          <w:color w:val="0D0D0D"/>
          <w:sz w:val="24"/>
          <w:szCs w:val="24"/>
          <w:highlight w:val="white"/>
        </w:rPr>
      </w:pPr>
    </w:p>
    <w:p w14:paraId="5F33B366" w14:textId="77777777" w:rsidR="007C0019" w:rsidRPr="00DC2801" w:rsidRDefault="007C0019">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60" w:after="160"/>
        <w:rPr>
          <w:rFonts w:eastAsia="Times New Roman"/>
          <w:color w:val="0D0D0D"/>
          <w:sz w:val="24"/>
          <w:szCs w:val="24"/>
          <w:highlight w:val="white"/>
        </w:rPr>
      </w:pPr>
    </w:p>
    <w:p w14:paraId="5D764850" w14:textId="77777777" w:rsidR="00814614" w:rsidRDefault="00814614">
      <w:pPr>
        <w:rPr>
          <w:rFonts w:eastAsia="Times New Roman"/>
          <w:b/>
          <w:color w:val="0D0D0D"/>
          <w:sz w:val="24"/>
          <w:szCs w:val="24"/>
          <w:highlight w:val="white"/>
        </w:rPr>
      </w:pPr>
      <w:bookmarkStart w:id="12" w:name="_829qw7hhm4zj" w:colFirst="0" w:colLast="0"/>
      <w:bookmarkEnd w:id="12"/>
      <w:r>
        <w:rPr>
          <w:rFonts w:eastAsia="Times New Roman"/>
          <w:b/>
          <w:color w:val="0D0D0D"/>
          <w:sz w:val="24"/>
          <w:szCs w:val="24"/>
          <w:highlight w:val="white"/>
        </w:rPr>
        <w:br w:type="page"/>
      </w:r>
    </w:p>
    <w:p w14:paraId="1DC1135C" w14:textId="77777777" w:rsidR="007C0019" w:rsidRPr="00DC2801" w:rsidRDefault="002431C8">
      <w:pPr>
        <w:pStyle w:val="Heading1"/>
        <w:keepNext w:val="0"/>
        <w:keepLines w:val="0"/>
        <w:pBdr>
          <w:top w:val="none" w:sz="0" w:space="0" w:color="E3E3E3"/>
          <w:left w:val="none" w:sz="0" w:space="0" w:color="E3E3E3"/>
          <w:bottom w:val="none" w:sz="0" w:space="0" w:color="E3E3E3"/>
          <w:right w:val="none" w:sz="0" w:space="0" w:color="E3E3E3"/>
          <w:between w:val="none" w:sz="0" w:space="0" w:color="E3E3E3"/>
        </w:pBdr>
        <w:shd w:val="clear" w:color="auto" w:fill="FFFFFF"/>
        <w:spacing w:before="0" w:after="0" w:line="480" w:lineRule="auto"/>
        <w:jc w:val="center"/>
        <w:rPr>
          <w:rFonts w:eastAsia="Times New Roman"/>
          <w:b/>
          <w:color w:val="0D0D0D"/>
          <w:sz w:val="24"/>
          <w:szCs w:val="24"/>
          <w:highlight w:val="white"/>
        </w:rPr>
      </w:pPr>
      <w:r w:rsidRPr="00DC2801">
        <w:rPr>
          <w:rFonts w:eastAsia="Times New Roman"/>
          <w:b/>
          <w:color w:val="0D0D0D"/>
          <w:sz w:val="24"/>
          <w:szCs w:val="24"/>
          <w:highlight w:val="white"/>
        </w:rPr>
        <w:lastRenderedPageBreak/>
        <w:t>References</w:t>
      </w:r>
    </w:p>
    <w:p w14:paraId="13107249" w14:textId="77777777" w:rsidR="007C0019" w:rsidRPr="00814614" w:rsidRDefault="002431C8" w:rsidP="00814614">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ind w:left="720" w:hanging="720"/>
        <w:jc w:val="both"/>
        <w:rPr>
          <w:rFonts w:eastAsia="Times New Roman"/>
          <w:color w:val="0D0D0D"/>
          <w:sz w:val="24"/>
          <w:szCs w:val="24"/>
          <w:highlight w:val="white"/>
        </w:rPr>
      </w:pPr>
      <w:r w:rsidRPr="00814614">
        <w:rPr>
          <w:rFonts w:eastAsia="Times New Roman"/>
          <w:color w:val="0D0D0D"/>
          <w:sz w:val="24"/>
          <w:szCs w:val="24"/>
          <w:highlight w:val="white"/>
        </w:rPr>
        <w:t xml:space="preserve">Ajayi, A. J., Joseph, S. A., </w:t>
      </w:r>
      <w:proofErr w:type="spellStart"/>
      <w:r w:rsidRPr="00814614">
        <w:rPr>
          <w:rFonts w:eastAsia="Times New Roman"/>
          <w:color w:val="0D0D0D"/>
          <w:sz w:val="24"/>
          <w:szCs w:val="24"/>
          <w:highlight w:val="white"/>
        </w:rPr>
        <w:t>Metibemu</w:t>
      </w:r>
      <w:proofErr w:type="spellEnd"/>
      <w:r w:rsidRPr="00814614">
        <w:rPr>
          <w:rFonts w:eastAsia="Times New Roman"/>
          <w:color w:val="0D0D0D"/>
          <w:sz w:val="24"/>
          <w:szCs w:val="24"/>
          <w:highlight w:val="white"/>
        </w:rPr>
        <w:t xml:space="preserve">, O. C., </w:t>
      </w:r>
      <w:proofErr w:type="spellStart"/>
      <w:r w:rsidRPr="00814614">
        <w:rPr>
          <w:rFonts w:eastAsia="Times New Roman"/>
          <w:color w:val="0D0D0D"/>
          <w:sz w:val="24"/>
          <w:szCs w:val="24"/>
          <w:highlight w:val="white"/>
        </w:rPr>
        <w:t>Olutimehin</w:t>
      </w:r>
      <w:proofErr w:type="spellEnd"/>
      <w:r w:rsidRPr="00814614">
        <w:rPr>
          <w:rFonts w:eastAsia="Times New Roman"/>
          <w:color w:val="0D0D0D"/>
          <w:sz w:val="24"/>
          <w:szCs w:val="24"/>
          <w:highlight w:val="white"/>
        </w:rPr>
        <w:t xml:space="preserve">, A. T., Balogun, A. Y., &amp; </w:t>
      </w:r>
      <w:proofErr w:type="spellStart"/>
      <w:r w:rsidRPr="00814614">
        <w:rPr>
          <w:rFonts w:eastAsia="Times New Roman"/>
          <w:color w:val="0D0D0D"/>
          <w:sz w:val="24"/>
          <w:szCs w:val="24"/>
          <w:highlight w:val="white"/>
        </w:rPr>
        <w:t>Olaniyi</w:t>
      </w:r>
      <w:proofErr w:type="spellEnd"/>
      <w:r w:rsidRPr="00814614">
        <w:rPr>
          <w:rFonts w:eastAsia="Times New Roman"/>
          <w:color w:val="0D0D0D"/>
          <w:sz w:val="24"/>
          <w:szCs w:val="24"/>
          <w:highlight w:val="white"/>
        </w:rPr>
        <w:t xml:space="preserve">, O. O. (2025). The Impact of Artificial Intelligence on Cyber Security in Digital Currency Transactions. </w:t>
      </w:r>
      <w:r w:rsidRPr="00814614">
        <w:rPr>
          <w:rFonts w:eastAsia="Times New Roman"/>
          <w:i/>
          <w:color w:val="0D0D0D"/>
          <w:sz w:val="24"/>
          <w:szCs w:val="24"/>
          <w:highlight w:val="white"/>
        </w:rPr>
        <w:t>Archives of Current Research International</w:t>
      </w:r>
      <w:r w:rsidRPr="00814614">
        <w:rPr>
          <w:rFonts w:eastAsia="Times New Roman"/>
          <w:color w:val="0D0D0D"/>
          <w:sz w:val="24"/>
          <w:szCs w:val="24"/>
          <w:highlight w:val="white"/>
        </w:rPr>
        <w:t xml:space="preserve">, </w:t>
      </w:r>
      <w:r w:rsidRPr="00814614">
        <w:rPr>
          <w:rFonts w:eastAsia="Times New Roman"/>
          <w:i/>
          <w:color w:val="0D0D0D"/>
          <w:sz w:val="24"/>
          <w:szCs w:val="24"/>
          <w:highlight w:val="white"/>
        </w:rPr>
        <w:t>25</w:t>
      </w:r>
      <w:r w:rsidRPr="00814614">
        <w:rPr>
          <w:rFonts w:eastAsia="Times New Roman"/>
          <w:color w:val="0D0D0D"/>
          <w:sz w:val="24"/>
          <w:szCs w:val="24"/>
          <w:highlight w:val="white"/>
        </w:rPr>
        <w:t xml:space="preserve">(2), 329–351. </w:t>
      </w:r>
      <w:hyperlink r:id="rId15">
        <w:r w:rsidRPr="00814614">
          <w:rPr>
            <w:rFonts w:eastAsia="Times New Roman"/>
            <w:color w:val="1155CC"/>
            <w:sz w:val="24"/>
            <w:szCs w:val="24"/>
            <w:highlight w:val="white"/>
            <w:u w:val="single"/>
          </w:rPr>
          <w:t>https://doi.org/10.9734/acri/2025/v25i21090</w:t>
        </w:r>
      </w:hyperlink>
      <w:r w:rsidRPr="00814614">
        <w:rPr>
          <w:rFonts w:eastAsia="Times New Roman"/>
          <w:color w:val="0D0D0D"/>
          <w:sz w:val="24"/>
          <w:szCs w:val="24"/>
          <w:highlight w:val="white"/>
        </w:rPr>
        <w:t xml:space="preserve"> </w:t>
      </w:r>
    </w:p>
    <w:p w14:paraId="78FD2765" w14:textId="77777777" w:rsidR="007C0019" w:rsidRPr="00814614" w:rsidRDefault="002431C8" w:rsidP="00814614">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ind w:left="720" w:hanging="720"/>
        <w:jc w:val="both"/>
        <w:rPr>
          <w:rFonts w:eastAsia="Times New Roman"/>
          <w:color w:val="0D0D0D"/>
          <w:sz w:val="24"/>
          <w:szCs w:val="24"/>
          <w:highlight w:val="white"/>
        </w:rPr>
      </w:pPr>
      <w:proofErr w:type="spellStart"/>
      <w:r w:rsidRPr="00814614">
        <w:rPr>
          <w:rFonts w:eastAsia="Times New Roman"/>
          <w:color w:val="0D0D0D"/>
          <w:sz w:val="24"/>
          <w:szCs w:val="24"/>
          <w:highlight w:val="white"/>
        </w:rPr>
        <w:t>Alao</w:t>
      </w:r>
      <w:proofErr w:type="spellEnd"/>
      <w:r w:rsidRPr="00814614">
        <w:rPr>
          <w:rFonts w:eastAsia="Times New Roman"/>
          <w:color w:val="0D0D0D"/>
          <w:sz w:val="24"/>
          <w:szCs w:val="24"/>
          <w:highlight w:val="white"/>
        </w:rPr>
        <w:t xml:space="preserve">, A. I., Adebiyi, O. O., &amp; </w:t>
      </w:r>
      <w:proofErr w:type="spellStart"/>
      <w:r w:rsidRPr="00814614">
        <w:rPr>
          <w:rFonts w:eastAsia="Times New Roman"/>
          <w:color w:val="0D0D0D"/>
          <w:sz w:val="24"/>
          <w:szCs w:val="24"/>
          <w:highlight w:val="white"/>
        </w:rPr>
        <w:t>Olaniyi</w:t>
      </w:r>
      <w:proofErr w:type="spellEnd"/>
      <w:r w:rsidRPr="00814614">
        <w:rPr>
          <w:rFonts w:eastAsia="Times New Roman"/>
          <w:color w:val="0D0D0D"/>
          <w:sz w:val="24"/>
          <w:szCs w:val="24"/>
          <w:highlight w:val="white"/>
        </w:rPr>
        <w:t xml:space="preserve">, O. O. (2024). The Interconnectedness of Earnings Management, Corporate Governance Failures, and Global Economic Stability: A Critical Examination of the Impact of Earnings Manipulation on Financial Crises and Investor Trust in Global Markets. </w:t>
      </w:r>
      <w:r w:rsidRPr="00814614">
        <w:rPr>
          <w:rFonts w:eastAsia="Times New Roman"/>
          <w:i/>
          <w:color w:val="0D0D0D"/>
          <w:sz w:val="24"/>
          <w:szCs w:val="24"/>
          <w:highlight w:val="white"/>
        </w:rPr>
        <w:t>Asian Journal of Economics Business and Accounting</w:t>
      </w:r>
      <w:r w:rsidRPr="00814614">
        <w:rPr>
          <w:rFonts w:eastAsia="Times New Roman"/>
          <w:color w:val="0D0D0D"/>
          <w:sz w:val="24"/>
          <w:szCs w:val="24"/>
          <w:highlight w:val="white"/>
        </w:rPr>
        <w:t xml:space="preserve">, </w:t>
      </w:r>
      <w:r w:rsidRPr="00814614">
        <w:rPr>
          <w:rFonts w:eastAsia="Times New Roman"/>
          <w:i/>
          <w:color w:val="0D0D0D"/>
          <w:sz w:val="24"/>
          <w:szCs w:val="24"/>
          <w:highlight w:val="white"/>
        </w:rPr>
        <w:t>24</w:t>
      </w:r>
      <w:r w:rsidRPr="00814614">
        <w:rPr>
          <w:rFonts w:eastAsia="Times New Roman"/>
          <w:color w:val="0D0D0D"/>
          <w:sz w:val="24"/>
          <w:szCs w:val="24"/>
          <w:highlight w:val="white"/>
        </w:rPr>
        <w:t xml:space="preserve">(11), 47–73. </w:t>
      </w:r>
      <w:hyperlink r:id="rId16">
        <w:r w:rsidRPr="00814614">
          <w:rPr>
            <w:rFonts w:eastAsia="Times New Roman"/>
            <w:color w:val="1155CC"/>
            <w:sz w:val="24"/>
            <w:szCs w:val="24"/>
            <w:highlight w:val="white"/>
            <w:u w:val="single"/>
          </w:rPr>
          <w:t>https://doi.org/10.9734/ajeba/2024/v24i111542</w:t>
        </w:r>
      </w:hyperlink>
      <w:r w:rsidRPr="00814614">
        <w:rPr>
          <w:rFonts w:eastAsia="Times New Roman"/>
          <w:color w:val="0D0D0D"/>
          <w:sz w:val="24"/>
          <w:szCs w:val="24"/>
          <w:highlight w:val="white"/>
        </w:rPr>
        <w:t xml:space="preserve"> </w:t>
      </w:r>
    </w:p>
    <w:p w14:paraId="22DD3578" w14:textId="77777777" w:rsidR="007C0019" w:rsidRPr="00814614" w:rsidRDefault="002431C8" w:rsidP="00814614">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ind w:left="720" w:hanging="720"/>
        <w:jc w:val="both"/>
        <w:rPr>
          <w:rFonts w:eastAsia="Times New Roman"/>
          <w:color w:val="0D0D0D"/>
          <w:sz w:val="24"/>
          <w:szCs w:val="24"/>
          <w:highlight w:val="white"/>
        </w:rPr>
      </w:pPr>
      <w:r w:rsidRPr="00814614">
        <w:rPr>
          <w:rFonts w:eastAsia="Times New Roman"/>
          <w:color w:val="0D0D0D"/>
          <w:sz w:val="24"/>
          <w:szCs w:val="24"/>
          <w:highlight w:val="white"/>
        </w:rPr>
        <w:t xml:space="preserve">Ali, M., Naeem, F., Tariq, M., &amp; </w:t>
      </w:r>
      <w:proofErr w:type="spellStart"/>
      <w:r w:rsidRPr="00814614">
        <w:rPr>
          <w:rFonts w:eastAsia="Times New Roman"/>
          <w:color w:val="0D0D0D"/>
          <w:sz w:val="24"/>
          <w:szCs w:val="24"/>
          <w:highlight w:val="white"/>
        </w:rPr>
        <w:t>Kaddoum</w:t>
      </w:r>
      <w:proofErr w:type="spellEnd"/>
      <w:r w:rsidRPr="00814614">
        <w:rPr>
          <w:rFonts w:eastAsia="Times New Roman"/>
          <w:color w:val="0D0D0D"/>
          <w:sz w:val="24"/>
          <w:szCs w:val="24"/>
          <w:highlight w:val="white"/>
        </w:rPr>
        <w:t xml:space="preserve">, G. (2022). Federated Learning for Privacy Preservation in Smart Healthcare Systems: A Comprehensive Survey. </w:t>
      </w:r>
      <w:r w:rsidRPr="00814614">
        <w:rPr>
          <w:rFonts w:eastAsia="Times New Roman"/>
          <w:i/>
          <w:color w:val="0D0D0D"/>
          <w:sz w:val="24"/>
          <w:szCs w:val="24"/>
          <w:highlight w:val="white"/>
        </w:rPr>
        <w:t>IEEE Journal of Biomedical and Health Informatics</w:t>
      </w:r>
      <w:r w:rsidRPr="00814614">
        <w:rPr>
          <w:rFonts w:eastAsia="Times New Roman"/>
          <w:color w:val="0D0D0D"/>
          <w:sz w:val="24"/>
          <w:szCs w:val="24"/>
          <w:highlight w:val="white"/>
        </w:rPr>
        <w:t xml:space="preserve">, </w:t>
      </w:r>
      <w:r w:rsidRPr="00814614">
        <w:rPr>
          <w:rFonts w:eastAsia="Times New Roman"/>
          <w:i/>
          <w:color w:val="0D0D0D"/>
          <w:sz w:val="24"/>
          <w:szCs w:val="24"/>
          <w:highlight w:val="white"/>
        </w:rPr>
        <w:t>27</w:t>
      </w:r>
      <w:r w:rsidRPr="00814614">
        <w:rPr>
          <w:rFonts w:eastAsia="Times New Roman"/>
          <w:color w:val="0D0D0D"/>
          <w:sz w:val="24"/>
          <w:szCs w:val="24"/>
          <w:highlight w:val="white"/>
        </w:rPr>
        <w:t xml:space="preserve">(2), 1–14. </w:t>
      </w:r>
      <w:hyperlink r:id="rId17">
        <w:r w:rsidRPr="00814614">
          <w:rPr>
            <w:rFonts w:eastAsia="Times New Roman"/>
            <w:color w:val="1155CC"/>
            <w:sz w:val="24"/>
            <w:szCs w:val="24"/>
            <w:highlight w:val="white"/>
            <w:u w:val="single"/>
          </w:rPr>
          <w:t>https://doi.org/10.1109/jbhi.2022.3181823</w:t>
        </w:r>
      </w:hyperlink>
      <w:r w:rsidRPr="00814614">
        <w:rPr>
          <w:rFonts w:eastAsia="Times New Roman"/>
          <w:color w:val="0D0D0D"/>
          <w:sz w:val="24"/>
          <w:szCs w:val="24"/>
          <w:highlight w:val="white"/>
        </w:rPr>
        <w:t xml:space="preserve"> </w:t>
      </w:r>
    </w:p>
    <w:p w14:paraId="1B59061A" w14:textId="77777777" w:rsidR="007C0019" w:rsidRPr="00814614" w:rsidRDefault="002431C8" w:rsidP="00814614">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ind w:left="720" w:hanging="720"/>
        <w:jc w:val="both"/>
        <w:rPr>
          <w:rFonts w:eastAsia="Times New Roman"/>
          <w:color w:val="0D0D0D"/>
          <w:sz w:val="24"/>
          <w:szCs w:val="24"/>
          <w:highlight w:val="white"/>
        </w:rPr>
      </w:pPr>
      <w:r w:rsidRPr="00814614">
        <w:rPr>
          <w:rFonts w:eastAsia="Times New Roman"/>
          <w:color w:val="0D0D0D"/>
          <w:sz w:val="24"/>
          <w:szCs w:val="24"/>
          <w:highlight w:val="white"/>
        </w:rPr>
        <w:t xml:space="preserve">Assis, A., </w:t>
      </w:r>
      <w:proofErr w:type="spellStart"/>
      <w:r w:rsidRPr="00814614">
        <w:rPr>
          <w:rFonts w:eastAsia="Times New Roman"/>
          <w:color w:val="0D0D0D"/>
          <w:sz w:val="24"/>
          <w:szCs w:val="24"/>
          <w:highlight w:val="white"/>
        </w:rPr>
        <w:t>Dantas</w:t>
      </w:r>
      <w:proofErr w:type="spellEnd"/>
      <w:r w:rsidRPr="00814614">
        <w:rPr>
          <w:rFonts w:eastAsia="Times New Roman"/>
          <w:color w:val="0D0D0D"/>
          <w:sz w:val="24"/>
          <w:szCs w:val="24"/>
          <w:highlight w:val="white"/>
        </w:rPr>
        <w:t xml:space="preserve">, J., &amp; Andrade, E. (2024). The performance-interpretability trade-off: a comparative study of machine learning models. </w:t>
      </w:r>
      <w:r w:rsidRPr="00814614">
        <w:rPr>
          <w:rFonts w:eastAsia="Times New Roman"/>
          <w:i/>
          <w:color w:val="0D0D0D"/>
          <w:sz w:val="24"/>
          <w:szCs w:val="24"/>
          <w:highlight w:val="white"/>
        </w:rPr>
        <w:t>Journal of Reliable Intelligent Environments</w:t>
      </w:r>
      <w:r w:rsidRPr="00814614">
        <w:rPr>
          <w:rFonts w:eastAsia="Times New Roman"/>
          <w:color w:val="0D0D0D"/>
          <w:sz w:val="24"/>
          <w:szCs w:val="24"/>
          <w:highlight w:val="white"/>
        </w:rPr>
        <w:t xml:space="preserve">, </w:t>
      </w:r>
      <w:r w:rsidRPr="00814614">
        <w:rPr>
          <w:rFonts w:eastAsia="Times New Roman"/>
          <w:i/>
          <w:color w:val="0D0D0D"/>
          <w:sz w:val="24"/>
          <w:szCs w:val="24"/>
          <w:highlight w:val="white"/>
        </w:rPr>
        <w:t>11</w:t>
      </w:r>
      <w:r w:rsidRPr="00814614">
        <w:rPr>
          <w:rFonts w:eastAsia="Times New Roman"/>
          <w:color w:val="0D0D0D"/>
          <w:sz w:val="24"/>
          <w:szCs w:val="24"/>
          <w:highlight w:val="white"/>
        </w:rPr>
        <w:t xml:space="preserve">(1). </w:t>
      </w:r>
      <w:hyperlink r:id="rId18">
        <w:r w:rsidRPr="00814614">
          <w:rPr>
            <w:rFonts w:eastAsia="Times New Roman"/>
            <w:color w:val="1155CC"/>
            <w:sz w:val="24"/>
            <w:szCs w:val="24"/>
            <w:highlight w:val="white"/>
            <w:u w:val="single"/>
          </w:rPr>
          <w:t>https://doi.org/10.1007/s40860-024-00240-0</w:t>
        </w:r>
      </w:hyperlink>
      <w:r w:rsidRPr="00814614">
        <w:rPr>
          <w:rFonts w:eastAsia="Times New Roman"/>
          <w:color w:val="0D0D0D"/>
          <w:sz w:val="24"/>
          <w:szCs w:val="24"/>
          <w:highlight w:val="white"/>
        </w:rPr>
        <w:t xml:space="preserve"> </w:t>
      </w:r>
    </w:p>
    <w:p w14:paraId="414BCE30" w14:textId="77777777" w:rsidR="007C0019" w:rsidRPr="00814614" w:rsidRDefault="002431C8" w:rsidP="00814614">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ind w:left="720" w:hanging="720"/>
        <w:jc w:val="both"/>
        <w:rPr>
          <w:rFonts w:eastAsia="Times New Roman"/>
          <w:color w:val="0D0D0D"/>
          <w:sz w:val="24"/>
          <w:szCs w:val="24"/>
          <w:highlight w:val="white"/>
        </w:rPr>
      </w:pPr>
      <w:r w:rsidRPr="00814614">
        <w:rPr>
          <w:rFonts w:eastAsia="Times New Roman"/>
          <w:color w:val="0D0D0D"/>
          <w:sz w:val="24"/>
          <w:szCs w:val="24"/>
          <w:highlight w:val="white"/>
        </w:rPr>
        <w:t xml:space="preserve">Balogun, A. Y. (2025). Strengthening Compliance with Data Privacy Regulations in U.S. Healthcare Cybersecurity. </w:t>
      </w:r>
      <w:r w:rsidRPr="00814614">
        <w:rPr>
          <w:rFonts w:eastAsia="Times New Roman"/>
          <w:i/>
          <w:color w:val="0D0D0D"/>
          <w:sz w:val="24"/>
          <w:szCs w:val="24"/>
          <w:highlight w:val="white"/>
        </w:rPr>
        <w:t>Asian Journal of Research in Computer Science</w:t>
      </w:r>
      <w:r w:rsidRPr="00814614">
        <w:rPr>
          <w:rFonts w:eastAsia="Times New Roman"/>
          <w:color w:val="0D0D0D"/>
          <w:sz w:val="24"/>
          <w:szCs w:val="24"/>
          <w:highlight w:val="white"/>
        </w:rPr>
        <w:t xml:space="preserve">, </w:t>
      </w:r>
      <w:r w:rsidRPr="00814614">
        <w:rPr>
          <w:rFonts w:eastAsia="Times New Roman"/>
          <w:i/>
          <w:color w:val="0D0D0D"/>
          <w:sz w:val="24"/>
          <w:szCs w:val="24"/>
          <w:highlight w:val="white"/>
        </w:rPr>
        <w:t>18</w:t>
      </w:r>
      <w:r w:rsidRPr="00814614">
        <w:rPr>
          <w:rFonts w:eastAsia="Times New Roman"/>
          <w:color w:val="0D0D0D"/>
          <w:sz w:val="24"/>
          <w:szCs w:val="24"/>
          <w:highlight w:val="white"/>
        </w:rPr>
        <w:t xml:space="preserve">(1), 154–173. </w:t>
      </w:r>
      <w:hyperlink r:id="rId19">
        <w:r w:rsidRPr="00814614">
          <w:rPr>
            <w:rFonts w:eastAsia="Times New Roman"/>
            <w:color w:val="1155CC"/>
            <w:sz w:val="24"/>
            <w:szCs w:val="24"/>
            <w:highlight w:val="white"/>
            <w:u w:val="single"/>
          </w:rPr>
          <w:t>https://doi.org/10.9734/ajrcos/2025/v18i1555</w:t>
        </w:r>
      </w:hyperlink>
      <w:r w:rsidRPr="00814614">
        <w:rPr>
          <w:rFonts w:eastAsia="Times New Roman"/>
          <w:color w:val="0D0D0D"/>
          <w:sz w:val="24"/>
          <w:szCs w:val="24"/>
          <w:highlight w:val="white"/>
        </w:rPr>
        <w:t xml:space="preserve"> </w:t>
      </w:r>
    </w:p>
    <w:p w14:paraId="1431F0DD" w14:textId="77777777" w:rsidR="007C0019" w:rsidRPr="00814614" w:rsidRDefault="002431C8" w:rsidP="00814614">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ind w:left="720" w:hanging="720"/>
        <w:jc w:val="both"/>
        <w:rPr>
          <w:rFonts w:eastAsia="Times New Roman"/>
          <w:color w:val="0D0D0D"/>
          <w:sz w:val="24"/>
          <w:szCs w:val="24"/>
          <w:highlight w:val="white"/>
        </w:rPr>
      </w:pPr>
      <w:r w:rsidRPr="00814614">
        <w:rPr>
          <w:rFonts w:eastAsia="Times New Roman"/>
          <w:color w:val="0D0D0D"/>
          <w:sz w:val="24"/>
          <w:szCs w:val="24"/>
          <w:highlight w:val="white"/>
        </w:rPr>
        <w:t xml:space="preserve">Balogun, A. Y., </w:t>
      </w:r>
      <w:proofErr w:type="spellStart"/>
      <w:r w:rsidRPr="00814614">
        <w:rPr>
          <w:rFonts w:eastAsia="Times New Roman"/>
          <w:color w:val="0D0D0D"/>
          <w:sz w:val="24"/>
          <w:szCs w:val="24"/>
          <w:highlight w:val="white"/>
        </w:rPr>
        <w:t>Alao</w:t>
      </w:r>
      <w:proofErr w:type="spellEnd"/>
      <w:r w:rsidRPr="00814614">
        <w:rPr>
          <w:rFonts w:eastAsia="Times New Roman"/>
          <w:color w:val="0D0D0D"/>
          <w:sz w:val="24"/>
          <w:szCs w:val="24"/>
          <w:highlight w:val="white"/>
        </w:rPr>
        <w:t xml:space="preserve">, A. I., &amp; </w:t>
      </w:r>
      <w:proofErr w:type="spellStart"/>
      <w:r w:rsidRPr="00814614">
        <w:rPr>
          <w:rFonts w:eastAsia="Times New Roman"/>
          <w:color w:val="0D0D0D"/>
          <w:sz w:val="24"/>
          <w:szCs w:val="24"/>
          <w:highlight w:val="white"/>
        </w:rPr>
        <w:t>Olaniyi</w:t>
      </w:r>
      <w:proofErr w:type="spellEnd"/>
      <w:r w:rsidRPr="00814614">
        <w:rPr>
          <w:rFonts w:eastAsia="Times New Roman"/>
          <w:color w:val="0D0D0D"/>
          <w:sz w:val="24"/>
          <w:szCs w:val="24"/>
          <w:highlight w:val="white"/>
        </w:rPr>
        <w:t xml:space="preserve">, O. O. (2025). Disinformation in the digital era: The role of </w:t>
      </w:r>
      <w:proofErr w:type="spellStart"/>
      <w:r w:rsidRPr="00814614">
        <w:rPr>
          <w:rFonts w:eastAsia="Times New Roman"/>
          <w:color w:val="0D0D0D"/>
          <w:sz w:val="24"/>
          <w:szCs w:val="24"/>
          <w:highlight w:val="white"/>
        </w:rPr>
        <w:t>deepfakes</w:t>
      </w:r>
      <w:proofErr w:type="spellEnd"/>
      <w:r w:rsidRPr="00814614">
        <w:rPr>
          <w:rFonts w:eastAsia="Times New Roman"/>
          <w:color w:val="0D0D0D"/>
          <w:sz w:val="24"/>
          <w:szCs w:val="24"/>
          <w:highlight w:val="white"/>
        </w:rPr>
        <w:t xml:space="preserve">, artificial intelligence, and open-source intelligence in shaping public trust and policy responses. </w:t>
      </w:r>
      <w:r w:rsidRPr="00814614">
        <w:rPr>
          <w:rFonts w:eastAsia="Times New Roman"/>
          <w:i/>
          <w:color w:val="0D0D0D"/>
          <w:sz w:val="24"/>
          <w:szCs w:val="24"/>
          <w:highlight w:val="white"/>
        </w:rPr>
        <w:t>Computer Science &amp; IT Research Journal</w:t>
      </w:r>
      <w:r w:rsidRPr="00814614">
        <w:rPr>
          <w:rFonts w:eastAsia="Times New Roman"/>
          <w:color w:val="0D0D0D"/>
          <w:sz w:val="24"/>
          <w:szCs w:val="24"/>
          <w:highlight w:val="white"/>
        </w:rPr>
        <w:t xml:space="preserve">, </w:t>
      </w:r>
      <w:r w:rsidRPr="00814614">
        <w:rPr>
          <w:rFonts w:eastAsia="Times New Roman"/>
          <w:i/>
          <w:color w:val="0D0D0D"/>
          <w:sz w:val="24"/>
          <w:szCs w:val="24"/>
          <w:highlight w:val="white"/>
        </w:rPr>
        <w:t>6</w:t>
      </w:r>
      <w:r w:rsidRPr="00814614">
        <w:rPr>
          <w:rFonts w:eastAsia="Times New Roman"/>
          <w:color w:val="0D0D0D"/>
          <w:sz w:val="24"/>
          <w:szCs w:val="24"/>
          <w:highlight w:val="white"/>
        </w:rPr>
        <w:t xml:space="preserve">(2), 28–48. </w:t>
      </w:r>
      <w:hyperlink r:id="rId20">
        <w:r w:rsidRPr="00814614">
          <w:rPr>
            <w:rFonts w:eastAsia="Times New Roman"/>
            <w:color w:val="1155CC"/>
            <w:sz w:val="24"/>
            <w:szCs w:val="24"/>
            <w:highlight w:val="white"/>
            <w:u w:val="single"/>
          </w:rPr>
          <w:t>https://doi.org/10.51594/csitrj.v6i2.1824</w:t>
        </w:r>
      </w:hyperlink>
      <w:r w:rsidRPr="00814614">
        <w:rPr>
          <w:rFonts w:eastAsia="Times New Roman"/>
          <w:color w:val="0D0D0D"/>
          <w:sz w:val="24"/>
          <w:szCs w:val="24"/>
          <w:highlight w:val="white"/>
        </w:rPr>
        <w:t xml:space="preserve"> </w:t>
      </w:r>
    </w:p>
    <w:p w14:paraId="5AF21790" w14:textId="77777777" w:rsidR="007C0019" w:rsidRPr="00814614" w:rsidRDefault="002431C8" w:rsidP="00814614">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ind w:left="720" w:hanging="720"/>
        <w:jc w:val="both"/>
        <w:rPr>
          <w:rFonts w:eastAsia="Times New Roman"/>
          <w:color w:val="0D0D0D"/>
          <w:sz w:val="24"/>
          <w:szCs w:val="24"/>
          <w:highlight w:val="white"/>
        </w:rPr>
      </w:pPr>
      <w:r w:rsidRPr="00814614">
        <w:rPr>
          <w:rFonts w:eastAsia="Times New Roman"/>
          <w:color w:val="0D0D0D"/>
          <w:sz w:val="24"/>
          <w:szCs w:val="24"/>
          <w:highlight w:val="white"/>
        </w:rPr>
        <w:t xml:space="preserve">Balogun, A. Y., </w:t>
      </w:r>
      <w:proofErr w:type="spellStart"/>
      <w:r w:rsidRPr="00814614">
        <w:rPr>
          <w:rFonts w:eastAsia="Times New Roman"/>
          <w:color w:val="0D0D0D"/>
          <w:sz w:val="24"/>
          <w:szCs w:val="24"/>
          <w:highlight w:val="white"/>
        </w:rPr>
        <w:t>Metibemu</w:t>
      </w:r>
      <w:proofErr w:type="spellEnd"/>
      <w:r w:rsidRPr="00814614">
        <w:rPr>
          <w:rFonts w:eastAsia="Times New Roman"/>
          <w:color w:val="0D0D0D"/>
          <w:sz w:val="24"/>
          <w:szCs w:val="24"/>
          <w:highlight w:val="white"/>
        </w:rPr>
        <w:t xml:space="preserve">, O. C., </w:t>
      </w:r>
      <w:proofErr w:type="spellStart"/>
      <w:r w:rsidRPr="00814614">
        <w:rPr>
          <w:rFonts w:eastAsia="Times New Roman"/>
          <w:color w:val="0D0D0D"/>
          <w:sz w:val="24"/>
          <w:szCs w:val="24"/>
          <w:highlight w:val="white"/>
        </w:rPr>
        <w:t>Olutimehin</w:t>
      </w:r>
      <w:proofErr w:type="spellEnd"/>
      <w:r w:rsidRPr="00814614">
        <w:rPr>
          <w:rFonts w:eastAsia="Times New Roman"/>
          <w:color w:val="0D0D0D"/>
          <w:sz w:val="24"/>
          <w:szCs w:val="24"/>
          <w:highlight w:val="white"/>
        </w:rPr>
        <w:t xml:space="preserve">, A. T., Ajayi, A. J., </w:t>
      </w:r>
      <w:proofErr w:type="spellStart"/>
      <w:r w:rsidRPr="00814614">
        <w:rPr>
          <w:rFonts w:eastAsia="Times New Roman"/>
          <w:color w:val="0D0D0D"/>
          <w:sz w:val="24"/>
          <w:szCs w:val="24"/>
          <w:highlight w:val="white"/>
        </w:rPr>
        <w:t>Babarinde</w:t>
      </w:r>
      <w:proofErr w:type="spellEnd"/>
      <w:r w:rsidRPr="00814614">
        <w:rPr>
          <w:rFonts w:eastAsia="Times New Roman"/>
          <w:color w:val="0D0D0D"/>
          <w:sz w:val="24"/>
          <w:szCs w:val="24"/>
          <w:highlight w:val="white"/>
        </w:rPr>
        <w:t xml:space="preserve">, D. C., &amp; </w:t>
      </w:r>
      <w:proofErr w:type="spellStart"/>
      <w:r w:rsidRPr="00814614">
        <w:rPr>
          <w:rFonts w:eastAsia="Times New Roman"/>
          <w:color w:val="0D0D0D"/>
          <w:sz w:val="24"/>
          <w:szCs w:val="24"/>
          <w:highlight w:val="white"/>
        </w:rPr>
        <w:t>Olaniyi</w:t>
      </w:r>
      <w:proofErr w:type="spellEnd"/>
      <w:r w:rsidRPr="00814614">
        <w:rPr>
          <w:rFonts w:eastAsia="Times New Roman"/>
          <w:color w:val="0D0D0D"/>
          <w:sz w:val="24"/>
          <w:szCs w:val="24"/>
          <w:highlight w:val="white"/>
        </w:rPr>
        <w:t xml:space="preserve">, O. O. (2025). The Ethical and Legal Implications of Shadow AI in Sensitive Industries: A Focus on Healthcare, Finance and Education. </w:t>
      </w:r>
      <w:r w:rsidRPr="00814614">
        <w:rPr>
          <w:rFonts w:eastAsia="Times New Roman"/>
          <w:i/>
          <w:color w:val="0D0D0D"/>
          <w:sz w:val="24"/>
          <w:szCs w:val="24"/>
          <w:highlight w:val="white"/>
        </w:rPr>
        <w:t>Journal of Engineering Research and Reports</w:t>
      </w:r>
      <w:r w:rsidRPr="00814614">
        <w:rPr>
          <w:rFonts w:eastAsia="Times New Roman"/>
          <w:color w:val="0D0D0D"/>
          <w:sz w:val="24"/>
          <w:szCs w:val="24"/>
          <w:highlight w:val="white"/>
        </w:rPr>
        <w:t xml:space="preserve">, </w:t>
      </w:r>
      <w:r w:rsidRPr="00814614">
        <w:rPr>
          <w:rFonts w:eastAsia="Times New Roman"/>
          <w:i/>
          <w:color w:val="0D0D0D"/>
          <w:sz w:val="24"/>
          <w:szCs w:val="24"/>
          <w:highlight w:val="white"/>
        </w:rPr>
        <w:t>27</w:t>
      </w:r>
      <w:r w:rsidRPr="00814614">
        <w:rPr>
          <w:rFonts w:eastAsia="Times New Roman"/>
          <w:color w:val="0D0D0D"/>
          <w:sz w:val="24"/>
          <w:szCs w:val="24"/>
          <w:highlight w:val="white"/>
        </w:rPr>
        <w:t xml:space="preserve">(3), 1–22. </w:t>
      </w:r>
      <w:hyperlink r:id="rId21">
        <w:r w:rsidRPr="00814614">
          <w:rPr>
            <w:rFonts w:eastAsia="Times New Roman"/>
            <w:color w:val="1155CC"/>
            <w:sz w:val="24"/>
            <w:szCs w:val="24"/>
            <w:highlight w:val="white"/>
            <w:u w:val="single"/>
          </w:rPr>
          <w:t>https://doi.org/10.9734/jerr/2025/v27i31414</w:t>
        </w:r>
      </w:hyperlink>
      <w:r w:rsidRPr="00814614">
        <w:rPr>
          <w:rFonts w:eastAsia="Times New Roman"/>
          <w:color w:val="0D0D0D"/>
          <w:sz w:val="24"/>
          <w:szCs w:val="24"/>
          <w:highlight w:val="white"/>
        </w:rPr>
        <w:t xml:space="preserve"> </w:t>
      </w:r>
    </w:p>
    <w:p w14:paraId="147EE1E1" w14:textId="77777777" w:rsidR="007C0019" w:rsidRPr="00814614" w:rsidRDefault="002431C8" w:rsidP="00814614">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ind w:left="720" w:hanging="720"/>
        <w:jc w:val="both"/>
        <w:rPr>
          <w:rFonts w:eastAsia="Times New Roman"/>
          <w:color w:val="0D0D0D"/>
          <w:sz w:val="24"/>
          <w:szCs w:val="24"/>
          <w:highlight w:val="white"/>
        </w:rPr>
      </w:pPr>
      <w:r w:rsidRPr="00814614">
        <w:rPr>
          <w:rFonts w:eastAsia="Times New Roman"/>
          <w:color w:val="0D0D0D"/>
          <w:sz w:val="24"/>
          <w:szCs w:val="24"/>
          <w:highlight w:val="white"/>
        </w:rPr>
        <w:t xml:space="preserve">Balogun, A. Y., </w:t>
      </w:r>
      <w:proofErr w:type="spellStart"/>
      <w:r w:rsidRPr="00814614">
        <w:rPr>
          <w:rFonts w:eastAsia="Times New Roman"/>
          <w:color w:val="0D0D0D"/>
          <w:sz w:val="24"/>
          <w:szCs w:val="24"/>
          <w:highlight w:val="white"/>
        </w:rPr>
        <w:t>Olaniyi</w:t>
      </w:r>
      <w:proofErr w:type="spellEnd"/>
      <w:r w:rsidRPr="00814614">
        <w:rPr>
          <w:rFonts w:eastAsia="Times New Roman"/>
          <w:color w:val="0D0D0D"/>
          <w:sz w:val="24"/>
          <w:szCs w:val="24"/>
          <w:highlight w:val="white"/>
        </w:rPr>
        <w:t xml:space="preserve">, O. O., &amp; </w:t>
      </w:r>
      <w:proofErr w:type="spellStart"/>
      <w:r w:rsidRPr="00814614">
        <w:rPr>
          <w:rFonts w:eastAsia="Times New Roman"/>
          <w:color w:val="0D0D0D"/>
          <w:sz w:val="24"/>
          <w:szCs w:val="24"/>
          <w:highlight w:val="white"/>
        </w:rPr>
        <w:t>Alao</w:t>
      </w:r>
      <w:proofErr w:type="spellEnd"/>
      <w:r w:rsidRPr="00814614">
        <w:rPr>
          <w:rFonts w:eastAsia="Times New Roman"/>
          <w:color w:val="0D0D0D"/>
          <w:sz w:val="24"/>
          <w:szCs w:val="24"/>
          <w:highlight w:val="white"/>
        </w:rPr>
        <w:t xml:space="preserve">, A. I. (2025). Shaping trust and tension: Strategic leaks and their impact on global cybersecurity norms. </w:t>
      </w:r>
      <w:r w:rsidRPr="00814614">
        <w:rPr>
          <w:rFonts w:eastAsia="Times New Roman"/>
          <w:i/>
          <w:color w:val="0D0D0D"/>
          <w:sz w:val="24"/>
          <w:szCs w:val="24"/>
          <w:highlight w:val="white"/>
        </w:rPr>
        <w:t>International Journal of Applied Research in Social Sciences</w:t>
      </w:r>
      <w:r w:rsidRPr="00814614">
        <w:rPr>
          <w:rFonts w:eastAsia="Times New Roman"/>
          <w:color w:val="0D0D0D"/>
          <w:sz w:val="24"/>
          <w:szCs w:val="24"/>
          <w:highlight w:val="white"/>
        </w:rPr>
        <w:t xml:space="preserve">, </w:t>
      </w:r>
      <w:r w:rsidRPr="00814614">
        <w:rPr>
          <w:rFonts w:eastAsia="Times New Roman"/>
          <w:i/>
          <w:color w:val="0D0D0D"/>
          <w:sz w:val="24"/>
          <w:szCs w:val="24"/>
          <w:highlight w:val="white"/>
        </w:rPr>
        <w:t>7</w:t>
      </w:r>
      <w:r w:rsidRPr="00814614">
        <w:rPr>
          <w:rFonts w:eastAsia="Times New Roman"/>
          <w:color w:val="0D0D0D"/>
          <w:sz w:val="24"/>
          <w:szCs w:val="24"/>
          <w:highlight w:val="white"/>
        </w:rPr>
        <w:t xml:space="preserve">(3), 123–144. </w:t>
      </w:r>
      <w:hyperlink r:id="rId22">
        <w:r w:rsidRPr="00814614">
          <w:rPr>
            <w:rFonts w:eastAsia="Times New Roman"/>
            <w:color w:val="1155CC"/>
            <w:sz w:val="24"/>
            <w:szCs w:val="24"/>
            <w:highlight w:val="white"/>
            <w:u w:val="single"/>
          </w:rPr>
          <w:t>https://doi.org/10.51594/ijarss.v7i3.1823</w:t>
        </w:r>
      </w:hyperlink>
      <w:r w:rsidRPr="00814614">
        <w:rPr>
          <w:rFonts w:eastAsia="Times New Roman"/>
          <w:color w:val="0D0D0D"/>
          <w:sz w:val="24"/>
          <w:szCs w:val="24"/>
          <w:highlight w:val="white"/>
        </w:rPr>
        <w:t xml:space="preserve"> </w:t>
      </w:r>
    </w:p>
    <w:p w14:paraId="62AC4429" w14:textId="77777777" w:rsidR="007C0019" w:rsidRPr="00814614" w:rsidRDefault="002431C8" w:rsidP="00814614">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ind w:left="720" w:hanging="720"/>
        <w:jc w:val="both"/>
        <w:rPr>
          <w:rFonts w:eastAsia="Times New Roman"/>
          <w:color w:val="0D0D0D"/>
          <w:sz w:val="24"/>
          <w:szCs w:val="24"/>
          <w:highlight w:val="white"/>
        </w:rPr>
      </w:pPr>
      <w:r w:rsidRPr="00814614">
        <w:rPr>
          <w:rFonts w:eastAsia="Times New Roman"/>
          <w:color w:val="0D0D0D"/>
          <w:sz w:val="24"/>
          <w:szCs w:val="24"/>
          <w:highlight w:val="white"/>
        </w:rPr>
        <w:t xml:space="preserve">Balogun, A. Y., </w:t>
      </w:r>
      <w:proofErr w:type="spellStart"/>
      <w:r w:rsidRPr="00814614">
        <w:rPr>
          <w:rFonts w:eastAsia="Times New Roman"/>
          <w:color w:val="0D0D0D"/>
          <w:sz w:val="24"/>
          <w:szCs w:val="24"/>
          <w:highlight w:val="white"/>
        </w:rPr>
        <w:t>Olaniyi</w:t>
      </w:r>
      <w:proofErr w:type="spellEnd"/>
      <w:r w:rsidRPr="00814614">
        <w:rPr>
          <w:rFonts w:eastAsia="Times New Roman"/>
          <w:color w:val="0D0D0D"/>
          <w:sz w:val="24"/>
          <w:szCs w:val="24"/>
          <w:highlight w:val="white"/>
        </w:rPr>
        <w:t xml:space="preserve">, O. O., </w:t>
      </w:r>
      <w:proofErr w:type="spellStart"/>
      <w:r w:rsidRPr="00814614">
        <w:rPr>
          <w:rFonts w:eastAsia="Times New Roman"/>
          <w:color w:val="0D0D0D"/>
          <w:sz w:val="24"/>
          <w:szCs w:val="24"/>
          <w:highlight w:val="white"/>
        </w:rPr>
        <w:t>Olisa</w:t>
      </w:r>
      <w:proofErr w:type="spellEnd"/>
      <w:r w:rsidRPr="00814614">
        <w:rPr>
          <w:rFonts w:eastAsia="Times New Roman"/>
          <w:color w:val="0D0D0D"/>
          <w:sz w:val="24"/>
          <w:szCs w:val="24"/>
          <w:highlight w:val="white"/>
        </w:rPr>
        <w:t xml:space="preserve">, A. O., </w:t>
      </w:r>
      <w:proofErr w:type="spellStart"/>
      <w:r w:rsidRPr="00814614">
        <w:rPr>
          <w:rFonts w:eastAsia="Times New Roman"/>
          <w:color w:val="0D0D0D"/>
          <w:sz w:val="24"/>
          <w:szCs w:val="24"/>
          <w:highlight w:val="white"/>
        </w:rPr>
        <w:t>Gbadebo</w:t>
      </w:r>
      <w:proofErr w:type="spellEnd"/>
      <w:r w:rsidRPr="00814614">
        <w:rPr>
          <w:rFonts w:eastAsia="Times New Roman"/>
          <w:color w:val="0D0D0D"/>
          <w:sz w:val="24"/>
          <w:szCs w:val="24"/>
          <w:highlight w:val="white"/>
        </w:rPr>
        <w:t xml:space="preserve">, M. O., &amp; </w:t>
      </w:r>
      <w:proofErr w:type="spellStart"/>
      <w:r w:rsidRPr="00814614">
        <w:rPr>
          <w:rFonts w:eastAsia="Times New Roman"/>
          <w:color w:val="0D0D0D"/>
          <w:sz w:val="24"/>
          <w:szCs w:val="24"/>
          <w:highlight w:val="white"/>
        </w:rPr>
        <w:t>Chinye</w:t>
      </w:r>
      <w:proofErr w:type="spellEnd"/>
      <w:r w:rsidRPr="00814614">
        <w:rPr>
          <w:rFonts w:eastAsia="Times New Roman"/>
          <w:color w:val="0D0D0D"/>
          <w:sz w:val="24"/>
          <w:szCs w:val="24"/>
          <w:highlight w:val="white"/>
        </w:rPr>
        <w:t xml:space="preserve">, N. C. (2025). Enhancing Incident Response Strategies in U.S. Healthcare Cybersecurity. </w:t>
      </w:r>
      <w:r w:rsidRPr="00814614">
        <w:rPr>
          <w:rFonts w:eastAsia="Times New Roman"/>
          <w:i/>
          <w:color w:val="0D0D0D"/>
          <w:sz w:val="24"/>
          <w:szCs w:val="24"/>
          <w:highlight w:val="white"/>
        </w:rPr>
        <w:lastRenderedPageBreak/>
        <w:t>Journal of Engineering Research and Reports</w:t>
      </w:r>
      <w:r w:rsidRPr="00814614">
        <w:rPr>
          <w:rFonts w:eastAsia="Times New Roman"/>
          <w:color w:val="0D0D0D"/>
          <w:sz w:val="24"/>
          <w:szCs w:val="24"/>
          <w:highlight w:val="white"/>
        </w:rPr>
        <w:t xml:space="preserve">, </w:t>
      </w:r>
      <w:r w:rsidRPr="00814614">
        <w:rPr>
          <w:rFonts w:eastAsia="Times New Roman"/>
          <w:i/>
          <w:color w:val="0D0D0D"/>
          <w:sz w:val="24"/>
          <w:szCs w:val="24"/>
          <w:highlight w:val="white"/>
        </w:rPr>
        <w:t>27</w:t>
      </w:r>
      <w:r w:rsidRPr="00814614">
        <w:rPr>
          <w:rFonts w:eastAsia="Times New Roman"/>
          <w:color w:val="0D0D0D"/>
          <w:sz w:val="24"/>
          <w:szCs w:val="24"/>
          <w:highlight w:val="white"/>
        </w:rPr>
        <w:t xml:space="preserve">(2), 114–135. </w:t>
      </w:r>
      <w:hyperlink r:id="rId23">
        <w:r w:rsidRPr="00814614">
          <w:rPr>
            <w:rFonts w:eastAsia="Times New Roman"/>
            <w:color w:val="1155CC"/>
            <w:sz w:val="24"/>
            <w:szCs w:val="24"/>
            <w:highlight w:val="white"/>
            <w:u w:val="single"/>
          </w:rPr>
          <w:t>https://doi.org/10.9734/jerr/2025/v27i21399</w:t>
        </w:r>
      </w:hyperlink>
      <w:r w:rsidRPr="00814614">
        <w:rPr>
          <w:rFonts w:eastAsia="Times New Roman"/>
          <w:color w:val="0D0D0D"/>
          <w:sz w:val="24"/>
          <w:szCs w:val="24"/>
          <w:highlight w:val="white"/>
        </w:rPr>
        <w:t xml:space="preserve"> </w:t>
      </w:r>
    </w:p>
    <w:p w14:paraId="05BFC76B" w14:textId="77777777" w:rsidR="007C0019" w:rsidRPr="00814614" w:rsidRDefault="002431C8" w:rsidP="00814614">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ind w:left="720" w:hanging="720"/>
        <w:jc w:val="both"/>
        <w:rPr>
          <w:rFonts w:eastAsia="Times New Roman"/>
          <w:color w:val="0D0D0D"/>
          <w:sz w:val="24"/>
          <w:szCs w:val="24"/>
          <w:highlight w:val="white"/>
        </w:rPr>
      </w:pPr>
      <w:r w:rsidRPr="00814614">
        <w:rPr>
          <w:rFonts w:eastAsia="Times New Roman"/>
          <w:color w:val="0D0D0D"/>
          <w:sz w:val="24"/>
          <w:szCs w:val="24"/>
          <w:highlight w:val="white"/>
        </w:rPr>
        <w:t xml:space="preserve">Bhambri, P., &amp; </w:t>
      </w:r>
      <w:proofErr w:type="spellStart"/>
      <w:r w:rsidRPr="00814614">
        <w:rPr>
          <w:rFonts w:eastAsia="Times New Roman"/>
          <w:color w:val="0D0D0D"/>
          <w:sz w:val="24"/>
          <w:szCs w:val="24"/>
          <w:highlight w:val="white"/>
        </w:rPr>
        <w:t>Khang</w:t>
      </w:r>
      <w:proofErr w:type="spellEnd"/>
      <w:r w:rsidRPr="00814614">
        <w:rPr>
          <w:rFonts w:eastAsia="Times New Roman"/>
          <w:color w:val="0D0D0D"/>
          <w:sz w:val="24"/>
          <w:szCs w:val="24"/>
          <w:highlight w:val="white"/>
        </w:rPr>
        <w:t xml:space="preserve">, A. (2024). </w:t>
      </w:r>
      <w:r w:rsidRPr="00814614">
        <w:rPr>
          <w:rFonts w:eastAsia="Times New Roman"/>
          <w:i/>
          <w:color w:val="0D0D0D"/>
          <w:sz w:val="24"/>
          <w:szCs w:val="24"/>
          <w:highlight w:val="white"/>
        </w:rPr>
        <w:t>Machine Learning Advancements in E-Health: Transforming Digital Healthcare</w:t>
      </w:r>
      <w:r w:rsidRPr="00814614">
        <w:rPr>
          <w:rFonts w:eastAsia="Times New Roman"/>
          <w:color w:val="0D0D0D"/>
          <w:sz w:val="24"/>
          <w:szCs w:val="24"/>
          <w:highlight w:val="white"/>
        </w:rPr>
        <w:t xml:space="preserve">. Www.igi-Global.com; IGI Global. </w:t>
      </w:r>
      <w:hyperlink r:id="rId24">
        <w:r w:rsidRPr="00814614">
          <w:rPr>
            <w:rFonts w:eastAsia="Times New Roman"/>
            <w:color w:val="1155CC"/>
            <w:sz w:val="24"/>
            <w:szCs w:val="24"/>
            <w:highlight w:val="white"/>
            <w:u w:val="single"/>
          </w:rPr>
          <w:t>https://www.igi-global.com/chapter/machine-learning-advancements-in-e-health/341117</w:t>
        </w:r>
      </w:hyperlink>
      <w:r w:rsidRPr="00814614">
        <w:rPr>
          <w:rFonts w:eastAsia="Times New Roman"/>
          <w:color w:val="0D0D0D"/>
          <w:sz w:val="24"/>
          <w:szCs w:val="24"/>
          <w:highlight w:val="white"/>
        </w:rPr>
        <w:t xml:space="preserve"> </w:t>
      </w:r>
    </w:p>
    <w:p w14:paraId="29520447" w14:textId="77777777" w:rsidR="007C0019" w:rsidRPr="00814614" w:rsidRDefault="002431C8" w:rsidP="00814614">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ind w:left="720" w:hanging="720"/>
        <w:jc w:val="both"/>
        <w:rPr>
          <w:rFonts w:eastAsia="Times New Roman"/>
          <w:color w:val="0D0D0D"/>
          <w:sz w:val="24"/>
          <w:szCs w:val="24"/>
          <w:highlight w:val="white"/>
        </w:rPr>
      </w:pPr>
      <w:proofErr w:type="spellStart"/>
      <w:proofErr w:type="gramStart"/>
      <w:r w:rsidRPr="00814614">
        <w:rPr>
          <w:rFonts w:eastAsia="Times New Roman"/>
          <w:color w:val="0D0D0D"/>
          <w:sz w:val="24"/>
          <w:szCs w:val="24"/>
          <w:highlight w:val="white"/>
        </w:rPr>
        <w:t>Bontempi</w:t>
      </w:r>
      <w:proofErr w:type="spellEnd"/>
      <w:r w:rsidRPr="00814614">
        <w:rPr>
          <w:rFonts w:eastAsia="Times New Roman"/>
          <w:color w:val="0D0D0D"/>
          <w:sz w:val="24"/>
          <w:szCs w:val="24"/>
          <w:highlight w:val="white"/>
        </w:rPr>
        <w:t xml:space="preserve"> ,</w:t>
      </w:r>
      <w:proofErr w:type="gramEnd"/>
      <w:r w:rsidRPr="00814614">
        <w:rPr>
          <w:rFonts w:eastAsia="Times New Roman"/>
          <w:color w:val="0D0D0D"/>
          <w:sz w:val="24"/>
          <w:szCs w:val="24"/>
          <w:highlight w:val="white"/>
        </w:rPr>
        <w:t xml:space="preserve"> D., </w:t>
      </w:r>
      <w:proofErr w:type="spellStart"/>
      <w:r w:rsidRPr="00814614">
        <w:rPr>
          <w:rFonts w:eastAsia="Times New Roman"/>
          <w:color w:val="0D0D0D"/>
          <w:sz w:val="24"/>
          <w:szCs w:val="24"/>
          <w:highlight w:val="white"/>
        </w:rPr>
        <w:t>Zalay</w:t>
      </w:r>
      <w:proofErr w:type="spellEnd"/>
      <w:r w:rsidRPr="00814614">
        <w:rPr>
          <w:rFonts w:eastAsia="Times New Roman"/>
          <w:color w:val="0D0D0D"/>
          <w:sz w:val="24"/>
          <w:szCs w:val="24"/>
          <w:highlight w:val="white"/>
        </w:rPr>
        <w:t xml:space="preserve"> , O., </w:t>
      </w:r>
      <w:proofErr w:type="spellStart"/>
      <w:r w:rsidRPr="00814614">
        <w:rPr>
          <w:rFonts w:eastAsia="Times New Roman"/>
          <w:color w:val="0D0D0D"/>
          <w:sz w:val="24"/>
          <w:szCs w:val="24"/>
          <w:highlight w:val="white"/>
        </w:rPr>
        <w:t>Bitterman</w:t>
      </w:r>
      <w:proofErr w:type="spellEnd"/>
      <w:r w:rsidRPr="00814614">
        <w:rPr>
          <w:rFonts w:eastAsia="Times New Roman"/>
          <w:color w:val="0D0D0D"/>
          <w:sz w:val="24"/>
          <w:szCs w:val="24"/>
          <w:highlight w:val="white"/>
        </w:rPr>
        <w:t xml:space="preserve">, D. S., </w:t>
      </w:r>
      <w:proofErr w:type="spellStart"/>
      <w:r w:rsidRPr="00814614">
        <w:rPr>
          <w:rFonts w:eastAsia="Times New Roman"/>
          <w:color w:val="0D0D0D"/>
          <w:sz w:val="24"/>
          <w:szCs w:val="24"/>
          <w:highlight w:val="white"/>
        </w:rPr>
        <w:t>Birkbak</w:t>
      </w:r>
      <w:proofErr w:type="spellEnd"/>
      <w:r w:rsidRPr="00814614">
        <w:rPr>
          <w:rFonts w:eastAsia="Times New Roman"/>
          <w:color w:val="0D0D0D"/>
          <w:sz w:val="24"/>
          <w:szCs w:val="24"/>
          <w:highlight w:val="white"/>
        </w:rPr>
        <w:t xml:space="preserve">, N., </w:t>
      </w:r>
      <w:proofErr w:type="spellStart"/>
      <w:r w:rsidRPr="00814614">
        <w:rPr>
          <w:rFonts w:eastAsia="Times New Roman"/>
          <w:color w:val="0D0D0D"/>
          <w:sz w:val="24"/>
          <w:szCs w:val="24"/>
          <w:highlight w:val="white"/>
        </w:rPr>
        <w:t>Shyr</w:t>
      </w:r>
      <w:proofErr w:type="spellEnd"/>
      <w:r w:rsidRPr="00814614">
        <w:rPr>
          <w:rFonts w:eastAsia="Times New Roman"/>
          <w:color w:val="0D0D0D"/>
          <w:sz w:val="24"/>
          <w:szCs w:val="24"/>
          <w:highlight w:val="white"/>
        </w:rPr>
        <w:t xml:space="preserve">, D., </w:t>
      </w:r>
      <w:proofErr w:type="spellStart"/>
      <w:r w:rsidRPr="00814614">
        <w:rPr>
          <w:rFonts w:eastAsia="Times New Roman"/>
          <w:color w:val="0D0D0D"/>
          <w:sz w:val="24"/>
          <w:szCs w:val="24"/>
          <w:highlight w:val="white"/>
        </w:rPr>
        <w:t>Haugg</w:t>
      </w:r>
      <w:proofErr w:type="spellEnd"/>
      <w:r w:rsidRPr="00814614">
        <w:rPr>
          <w:rFonts w:eastAsia="Times New Roman"/>
          <w:color w:val="0D0D0D"/>
          <w:sz w:val="24"/>
          <w:szCs w:val="24"/>
          <w:highlight w:val="white"/>
        </w:rPr>
        <w:t xml:space="preserve"> , F., Qian , J. M., Roberts , H., </w:t>
      </w:r>
      <w:proofErr w:type="spellStart"/>
      <w:r w:rsidRPr="00814614">
        <w:rPr>
          <w:rFonts w:eastAsia="Times New Roman"/>
          <w:color w:val="0D0D0D"/>
          <w:sz w:val="24"/>
          <w:szCs w:val="24"/>
          <w:highlight w:val="white"/>
        </w:rPr>
        <w:t>Perni</w:t>
      </w:r>
      <w:proofErr w:type="spellEnd"/>
      <w:r w:rsidRPr="00814614">
        <w:rPr>
          <w:rFonts w:eastAsia="Times New Roman"/>
          <w:color w:val="0D0D0D"/>
          <w:sz w:val="24"/>
          <w:szCs w:val="24"/>
          <w:highlight w:val="white"/>
        </w:rPr>
        <w:t xml:space="preserve"> , S., Prudente, V., Pai , S., Dekker , A., </w:t>
      </w:r>
      <w:proofErr w:type="spellStart"/>
      <w:r w:rsidRPr="00814614">
        <w:rPr>
          <w:rFonts w:eastAsia="Times New Roman"/>
          <w:color w:val="0D0D0D"/>
          <w:sz w:val="24"/>
          <w:szCs w:val="24"/>
          <w:highlight w:val="white"/>
        </w:rPr>
        <w:t>Haibe-Kains</w:t>
      </w:r>
      <w:proofErr w:type="spellEnd"/>
      <w:r w:rsidRPr="00814614">
        <w:rPr>
          <w:rFonts w:eastAsia="Times New Roman"/>
          <w:color w:val="0D0D0D"/>
          <w:sz w:val="24"/>
          <w:szCs w:val="24"/>
          <w:highlight w:val="white"/>
        </w:rPr>
        <w:t xml:space="preserve">, B., </w:t>
      </w:r>
      <w:proofErr w:type="spellStart"/>
      <w:r w:rsidRPr="00814614">
        <w:rPr>
          <w:rFonts w:eastAsia="Times New Roman"/>
          <w:color w:val="0D0D0D"/>
          <w:sz w:val="24"/>
          <w:szCs w:val="24"/>
          <w:highlight w:val="white"/>
        </w:rPr>
        <w:t>Guthier</w:t>
      </w:r>
      <w:proofErr w:type="spellEnd"/>
      <w:r w:rsidRPr="00814614">
        <w:rPr>
          <w:rFonts w:eastAsia="Times New Roman"/>
          <w:color w:val="0D0D0D"/>
          <w:sz w:val="24"/>
          <w:szCs w:val="24"/>
          <w:highlight w:val="white"/>
        </w:rPr>
        <w:t xml:space="preserve"> , C., </w:t>
      </w:r>
      <w:proofErr w:type="spellStart"/>
      <w:r w:rsidRPr="00814614">
        <w:rPr>
          <w:rFonts w:eastAsia="Times New Roman"/>
          <w:color w:val="0D0D0D"/>
          <w:sz w:val="24"/>
          <w:szCs w:val="24"/>
          <w:highlight w:val="white"/>
        </w:rPr>
        <w:t>Balboni</w:t>
      </w:r>
      <w:proofErr w:type="spellEnd"/>
      <w:r w:rsidRPr="00814614">
        <w:rPr>
          <w:rFonts w:eastAsia="Times New Roman"/>
          <w:color w:val="0D0D0D"/>
          <w:sz w:val="24"/>
          <w:szCs w:val="24"/>
          <w:highlight w:val="white"/>
        </w:rPr>
        <w:t xml:space="preserve">, T., Warren, L., Krishan, M., </w:t>
      </w:r>
      <w:proofErr w:type="spellStart"/>
      <w:r w:rsidRPr="00814614">
        <w:rPr>
          <w:rFonts w:eastAsia="Times New Roman"/>
          <w:color w:val="0D0D0D"/>
          <w:sz w:val="24"/>
          <w:szCs w:val="24"/>
          <w:highlight w:val="white"/>
        </w:rPr>
        <w:t>Kann</w:t>
      </w:r>
      <w:proofErr w:type="spellEnd"/>
      <w:r w:rsidRPr="00814614">
        <w:rPr>
          <w:rFonts w:eastAsia="Times New Roman"/>
          <w:color w:val="0D0D0D"/>
          <w:sz w:val="24"/>
          <w:szCs w:val="24"/>
          <w:highlight w:val="white"/>
        </w:rPr>
        <w:t xml:space="preserve"> , B. H., Swanton, P. C., &amp; </w:t>
      </w:r>
      <w:proofErr w:type="spellStart"/>
      <w:r w:rsidRPr="00814614">
        <w:rPr>
          <w:rFonts w:eastAsia="Times New Roman"/>
          <w:color w:val="0D0D0D"/>
          <w:sz w:val="24"/>
          <w:szCs w:val="24"/>
          <w:highlight w:val="white"/>
        </w:rPr>
        <w:t>Ruysscher</w:t>
      </w:r>
      <w:proofErr w:type="spellEnd"/>
      <w:r w:rsidRPr="00814614">
        <w:rPr>
          <w:rFonts w:eastAsia="Times New Roman"/>
          <w:color w:val="0D0D0D"/>
          <w:sz w:val="24"/>
          <w:szCs w:val="24"/>
          <w:highlight w:val="white"/>
        </w:rPr>
        <w:t xml:space="preserve">, P. D. D. (2025). </w:t>
      </w:r>
      <w:proofErr w:type="spellStart"/>
      <w:r w:rsidRPr="00814614">
        <w:rPr>
          <w:rFonts w:eastAsia="Times New Roman"/>
          <w:color w:val="0D0D0D"/>
          <w:sz w:val="24"/>
          <w:szCs w:val="24"/>
          <w:highlight w:val="white"/>
        </w:rPr>
        <w:t>FaceAge</w:t>
      </w:r>
      <w:proofErr w:type="spellEnd"/>
      <w:r w:rsidRPr="00814614">
        <w:rPr>
          <w:rFonts w:eastAsia="Times New Roman"/>
          <w:color w:val="0D0D0D"/>
          <w:sz w:val="24"/>
          <w:szCs w:val="24"/>
          <w:highlight w:val="white"/>
        </w:rPr>
        <w:t xml:space="preserve">, a deep learning system to estimate biological age from face photographs to improve prognostication: a model development and validation study. </w:t>
      </w:r>
      <w:r w:rsidRPr="00814614">
        <w:rPr>
          <w:rFonts w:eastAsia="Times New Roman"/>
          <w:i/>
          <w:color w:val="0D0D0D"/>
          <w:sz w:val="24"/>
          <w:szCs w:val="24"/>
          <w:highlight w:val="white"/>
        </w:rPr>
        <w:t>The Lancet Digital Health</w:t>
      </w:r>
      <w:r w:rsidRPr="00814614">
        <w:rPr>
          <w:rFonts w:eastAsia="Times New Roman"/>
          <w:color w:val="0D0D0D"/>
          <w:sz w:val="24"/>
          <w:szCs w:val="24"/>
          <w:highlight w:val="white"/>
        </w:rPr>
        <w:t xml:space="preserve">, 100870. </w:t>
      </w:r>
      <w:hyperlink r:id="rId25">
        <w:r w:rsidRPr="00814614">
          <w:rPr>
            <w:rFonts w:eastAsia="Times New Roman"/>
            <w:color w:val="1155CC"/>
            <w:sz w:val="24"/>
            <w:szCs w:val="24"/>
            <w:highlight w:val="white"/>
            <w:u w:val="single"/>
          </w:rPr>
          <w:t>https://doi.org/10.1016/j.landig.2025.03.002</w:t>
        </w:r>
      </w:hyperlink>
      <w:r w:rsidRPr="00814614">
        <w:rPr>
          <w:rFonts w:eastAsia="Times New Roman"/>
          <w:color w:val="0D0D0D"/>
          <w:sz w:val="24"/>
          <w:szCs w:val="24"/>
          <w:highlight w:val="white"/>
        </w:rPr>
        <w:t xml:space="preserve"> </w:t>
      </w:r>
    </w:p>
    <w:p w14:paraId="4A7AD84E" w14:textId="77777777" w:rsidR="007C0019" w:rsidRPr="00814614" w:rsidRDefault="002431C8" w:rsidP="00814614">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ind w:left="720" w:hanging="720"/>
        <w:jc w:val="both"/>
        <w:rPr>
          <w:rFonts w:eastAsia="Times New Roman"/>
          <w:color w:val="0D0D0D"/>
          <w:sz w:val="24"/>
          <w:szCs w:val="24"/>
          <w:highlight w:val="white"/>
        </w:rPr>
      </w:pPr>
      <w:proofErr w:type="spellStart"/>
      <w:r w:rsidRPr="00814614">
        <w:rPr>
          <w:rFonts w:eastAsia="Times New Roman"/>
          <w:color w:val="0D0D0D"/>
          <w:sz w:val="24"/>
          <w:szCs w:val="24"/>
          <w:highlight w:val="white"/>
        </w:rPr>
        <w:t>Cabanillas-Carbonell</w:t>
      </w:r>
      <w:proofErr w:type="spellEnd"/>
      <w:r w:rsidRPr="00814614">
        <w:rPr>
          <w:rFonts w:eastAsia="Times New Roman"/>
          <w:color w:val="0D0D0D"/>
          <w:sz w:val="24"/>
          <w:szCs w:val="24"/>
          <w:highlight w:val="white"/>
        </w:rPr>
        <w:t>, M., &amp; Zapata-</w:t>
      </w:r>
      <w:proofErr w:type="spellStart"/>
      <w:r w:rsidRPr="00814614">
        <w:rPr>
          <w:rFonts w:eastAsia="Times New Roman"/>
          <w:color w:val="0D0D0D"/>
          <w:sz w:val="24"/>
          <w:szCs w:val="24"/>
          <w:highlight w:val="white"/>
        </w:rPr>
        <w:t>Paulini</w:t>
      </w:r>
      <w:proofErr w:type="spellEnd"/>
      <w:r w:rsidRPr="00814614">
        <w:rPr>
          <w:rFonts w:eastAsia="Times New Roman"/>
          <w:color w:val="0D0D0D"/>
          <w:sz w:val="24"/>
          <w:szCs w:val="24"/>
          <w:highlight w:val="white"/>
        </w:rPr>
        <w:t xml:space="preserve">, J. (2025). Evaluation of machine learning models for the prediction of Alzheimer’s: In search of the best performance. </w:t>
      </w:r>
      <w:r w:rsidRPr="00814614">
        <w:rPr>
          <w:rFonts w:eastAsia="Times New Roman"/>
          <w:i/>
          <w:color w:val="0D0D0D"/>
          <w:sz w:val="24"/>
          <w:szCs w:val="24"/>
          <w:highlight w:val="white"/>
        </w:rPr>
        <w:t xml:space="preserve">Brain, </w:t>
      </w:r>
      <w:proofErr w:type="spellStart"/>
      <w:r w:rsidRPr="00814614">
        <w:rPr>
          <w:rFonts w:eastAsia="Times New Roman"/>
          <w:i/>
          <w:color w:val="0D0D0D"/>
          <w:sz w:val="24"/>
          <w:szCs w:val="24"/>
          <w:highlight w:val="white"/>
        </w:rPr>
        <w:t>Behavior</w:t>
      </w:r>
      <w:proofErr w:type="spellEnd"/>
      <w:r w:rsidRPr="00814614">
        <w:rPr>
          <w:rFonts w:eastAsia="Times New Roman"/>
          <w:i/>
          <w:color w:val="0D0D0D"/>
          <w:sz w:val="24"/>
          <w:szCs w:val="24"/>
          <w:highlight w:val="white"/>
        </w:rPr>
        <w:t>, &amp; Immunity - Health</w:t>
      </w:r>
      <w:r w:rsidRPr="00814614">
        <w:rPr>
          <w:rFonts w:eastAsia="Times New Roman"/>
          <w:color w:val="0D0D0D"/>
          <w:sz w:val="24"/>
          <w:szCs w:val="24"/>
          <w:highlight w:val="white"/>
        </w:rPr>
        <w:t xml:space="preserve">, </w:t>
      </w:r>
      <w:r w:rsidRPr="00814614">
        <w:rPr>
          <w:rFonts w:eastAsia="Times New Roman"/>
          <w:i/>
          <w:color w:val="0D0D0D"/>
          <w:sz w:val="24"/>
          <w:szCs w:val="24"/>
          <w:highlight w:val="white"/>
        </w:rPr>
        <w:t>44</w:t>
      </w:r>
      <w:r w:rsidRPr="00814614">
        <w:rPr>
          <w:rFonts w:eastAsia="Times New Roman"/>
          <w:color w:val="0D0D0D"/>
          <w:sz w:val="24"/>
          <w:szCs w:val="24"/>
          <w:highlight w:val="white"/>
        </w:rPr>
        <w:t xml:space="preserve">, 100957. </w:t>
      </w:r>
      <w:hyperlink r:id="rId26">
        <w:r w:rsidRPr="00814614">
          <w:rPr>
            <w:rFonts w:eastAsia="Times New Roman"/>
            <w:color w:val="1155CC"/>
            <w:sz w:val="24"/>
            <w:szCs w:val="24"/>
            <w:highlight w:val="white"/>
            <w:u w:val="single"/>
          </w:rPr>
          <w:t>https://doi.org/10.1016/j.bbih.2025.100957</w:t>
        </w:r>
      </w:hyperlink>
      <w:r w:rsidRPr="00814614">
        <w:rPr>
          <w:rFonts w:eastAsia="Times New Roman"/>
          <w:color w:val="0D0D0D"/>
          <w:sz w:val="24"/>
          <w:szCs w:val="24"/>
          <w:highlight w:val="white"/>
        </w:rPr>
        <w:t xml:space="preserve"> </w:t>
      </w:r>
    </w:p>
    <w:p w14:paraId="65C9113C" w14:textId="77777777" w:rsidR="007C0019" w:rsidRPr="00814614" w:rsidRDefault="002431C8" w:rsidP="00814614">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ind w:left="720" w:hanging="720"/>
        <w:jc w:val="both"/>
        <w:rPr>
          <w:rFonts w:eastAsia="Times New Roman"/>
          <w:color w:val="0D0D0D"/>
          <w:sz w:val="24"/>
          <w:szCs w:val="24"/>
          <w:highlight w:val="white"/>
        </w:rPr>
      </w:pPr>
      <w:r w:rsidRPr="00814614">
        <w:rPr>
          <w:rFonts w:eastAsia="Times New Roman"/>
          <w:color w:val="0D0D0D"/>
          <w:sz w:val="24"/>
          <w:szCs w:val="24"/>
          <w:highlight w:val="white"/>
        </w:rPr>
        <w:t xml:space="preserve">Cai, L., Li, J., </w:t>
      </w:r>
      <w:proofErr w:type="spellStart"/>
      <w:r w:rsidRPr="00814614">
        <w:rPr>
          <w:rFonts w:eastAsia="Times New Roman"/>
          <w:color w:val="0D0D0D"/>
          <w:sz w:val="24"/>
          <w:szCs w:val="24"/>
          <w:highlight w:val="white"/>
        </w:rPr>
        <w:t>Lv</w:t>
      </w:r>
      <w:proofErr w:type="spellEnd"/>
      <w:r w:rsidRPr="00814614">
        <w:rPr>
          <w:rFonts w:eastAsia="Times New Roman"/>
          <w:color w:val="0D0D0D"/>
          <w:sz w:val="24"/>
          <w:szCs w:val="24"/>
          <w:highlight w:val="white"/>
        </w:rPr>
        <w:t xml:space="preserve">, H., Liu, W., </w:t>
      </w:r>
      <w:proofErr w:type="spellStart"/>
      <w:r w:rsidRPr="00814614">
        <w:rPr>
          <w:rFonts w:eastAsia="Times New Roman"/>
          <w:color w:val="0D0D0D"/>
          <w:sz w:val="24"/>
          <w:szCs w:val="24"/>
          <w:highlight w:val="white"/>
        </w:rPr>
        <w:t>Niu</w:t>
      </w:r>
      <w:proofErr w:type="spellEnd"/>
      <w:r w:rsidRPr="00814614">
        <w:rPr>
          <w:rFonts w:eastAsia="Times New Roman"/>
          <w:color w:val="0D0D0D"/>
          <w:sz w:val="24"/>
          <w:szCs w:val="24"/>
          <w:highlight w:val="white"/>
        </w:rPr>
        <w:t xml:space="preserve">, H., &amp; Wang, Z. (2023). Integrating domain knowledge for biomedical text analysis into deep learning: A survey. </w:t>
      </w:r>
      <w:r w:rsidRPr="00814614">
        <w:rPr>
          <w:rFonts w:eastAsia="Times New Roman"/>
          <w:i/>
          <w:color w:val="0D0D0D"/>
          <w:sz w:val="24"/>
          <w:szCs w:val="24"/>
          <w:highlight w:val="white"/>
        </w:rPr>
        <w:t>Journal of Biomedical Informatics</w:t>
      </w:r>
      <w:r w:rsidRPr="00814614">
        <w:rPr>
          <w:rFonts w:eastAsia="Times New Roman"/>
          <w:color w:val="0D0D0D"/>
          <w:sz w:val="24"/>
          <w:szCs w:val="24"/>
          <w:highlight w:val="white"/>
        </w:rPr>
        <w:t xml:space="preserve">, </w:t>
      </w:r>
      <w:r w:rsidRPr="00814614">
        <w:rPr>
          <w:rFonts w:eastAsia="Times New Roman"/>
          <w:i/>
          <w:color w:val="0D0D0D"/>
          <w:sz w:val="24"/>
          <w:szCs w:val="24"/>
          <w:highlight w:val="white"/>
        </w:rPr>
        <w:t>143</w:t>
      </w:r>
      <w:r w:rsidRPr="00814614">
        <w:rPr>
          <w:rFonts w:eastAsia="Times New Roman"/>
          <w:color w:val="0D0D0D"/>
          <w:sz w:val="24"/>
          <w:szCs w:val="24"/>
          <w:highlight w:val="white"/>
        </w:rPr>
        <w:t xml:space="preserve">, 104418. </w:t>
      </w:r>
      <w:hyperlink r:id="rId27">
        <w:r w:rsidRPr="00814614">
          <w:rPr>
            <w:rFonts w:eastAsia="Times New Roman"/>
            <w:color w:val="1155CC"/>
            <w:sz w:val="24"/>
            <w:szCs w:val="24"/>
            <w:highlight w:val="white"/>
            <w:u w:val="single"/>
          </w:rPr>
          <w:t>https://doi.org/10.1016/j.jbi.2023.104418</w:t>
        </w:r>
      </w:hyperlink>
      <w:r w:rsidRPr="00814614">
        <w:rPr>
          <w:rFonts w:eastAsia="Times New Roman"/>
          <w:color w:val="0D0D0D"/>
          <w:sz w:val="24"/>
          <w:szCs w:val="24"/>
          <w:highlight w:val="white"/>
        </w:rPr>
        <w:t xml:space="preserve"> </w:t>
      </w:r>
    </w:p>
    <w:p w14:paraId="6DA71006" w14:textId="77777777" w:rsidR="007C0019" w:rsidRPr="00814614" w:rsidRDefault="002431C8" w:rsidP="00814614">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ind w:left="720" w:hanging="720"/>
        <w:jc w:val="both"/>
        <w:rPr>
          <w:rFonts w:eastAsia="Times New Roman"/>
          <w:color w:val="0D0D0D"/>
          <w:sz w:val="24"/>
          <w:szCs w:val="24"/>
          <w:highlight w:val="white"/>
        </w:rPr>
      </w:pPr>
      <w:proofErr w:type="spellStart"/>
      <w:r w:rsidRPr="00814614">
        <w:rPr>
          <w:rFonts w:eastAsia="Times New Roman"/>
          <w:color w:val="0D0D0D"/>
          <w:sz w:val="24"/>
          <w:szCs w:val="24"/>
          <w:highlight w:val="white"/>
        </w:rPr>
        <w:t>Cè</w:t>
      </w:r>
      <w:proofErr w:type="spellEnd"/>
      <w:r w:rsidRPr="00814614">
        <w:rPr>
          <w:rFonts w:eastAsia="Times New Roman"/>
          <w:color w:val="0D0D0D"/>
          <w:sz w:val="24"/>
          <w:szCs w:val="24"/>
          <w:highlight w:val="white"/>
        </w:rPr>
        <w:t xml:space="preserve">, M., </w:t>
      </w:r>
      <w:proofErr w:type="spellStart"/>
      <w:r w:rsidRPr="00814614">
        <w:rPr>
          <w:rFonts w:eastAsia="Times New Roman"/>
          <w:color w:val="0D0D0D"/>
          <w:sz w:val="24"/>
          <w:szCs w:val="24"/>
          <w:highlight w:val="white"/>
        </w:rPr>
        <w:t>Chiriac</w:t>
      </w:r>
      <w:proofErr w:type="spellEnd"/>
      <w:r w:rsidRPr="00814614">
        <w:rPr>
          <w:rFonts w:eastAsia="Times New Roman"/>
          <w:color w:val="0D0D0D"/>
          <w:sz w:val="24"/>
          <w:szCs w:val="24"/>
          <w:highlight w:val="white"/>
        </w:rPr>
        <w:t xml:space="preserve">, M. D., </w:t>
      </w:r>
      <w:proofErr w:type="spellStart"/>
      <w:r w:rsidRPr="00814614">
        <w:rPr>
          <w:rFonts w:eastAsia="Times New Roman"/>
          <w:color w:val="0D0D0D"/>
          <w:sz w:val="24"/>
          <w:szCs w:val="24"/>
          <w:highlight w:val="white"/>
        </w:rPr>
        <w:t>Cozzi</w:t>
      </w:r>
      <w:proofErr w:type="spellEnd"/>
      <w:r w:rsidRPr="00814614">
        <w:rPr>
          <w:rFonts w:eastAsia="Times New Roman"/>
          <w:color w:val="0D0D0D"/>
          <w:sz w:val="24"/>
          <w:szCs w:val="24"/>
          <w:highlight w:val="white"/>
        </w:rPr>
        <w:t xml:space="preserve">, A., </w:t>
      </w:r>
      <w:proofErr w:type="spellStart"/>
      <w:r w:rsidRPr="00814614">
        <w:rPr>
          <w:rFonts w:eastAsia="Times New Roman"/>
          <w:color w:val="0D0D0D"/>
          <w:sz w:val="24"/>
          <w:szCs w:val="24"/>
          <w:highlight w:val="white"/>
        </w:rPr>
        <w:t>Macrì</w:t>
      </w:r>
      <w:proofErr w:type="spellEnd"/>
      <w:r w:rsidRPr="00814614">
        <w:rPr>
          <w:rFonts w:eastAsia="Times New Roman"/>
          <w:color w:val="0D0D0D"/>
          <w:sz w:val="24"/>
          <w:szCs w:val="24"/>
          <w:highlight w:val="white"/>
        </w:rPr>
        <w:t xml:space="preserve">, L., </w:t>
      </w:r>
      <w:proofErr w:type="spellStart"/>
      <w:r w:rsidRPr="00814614">
        <w:rPr>
          <w:rFonts w:eastAsia="Times New Roman"/>
          <w:color w:val="0D0D0D"/>
          <w:sz w:val="24"/>
          <w:szCs w:val="24"/>
          <w:highlight w:val="white"/>
        </w:rPr>
        <w:t>Rabaiotti</w:t>
      </w:r>
      <w:proofErr w:type="spellEnd"/>
      <w:r w:rsidRPr="00814614">
        <w:rPr>
          <w:rFonts w:eastAsia="Times New Roman"/>
          <w:color w:val="0D0D0D"/>
          <w:sz w:val="24"/>
          <w:szCs w:val="24"/>
          <w:highlight w:val="white"/>
        </w:rPr>
        <w:t xml:space="preserve">, F. L., </w:t>
      </w:r>
      <w:proofErr w:type="spellStart"/>
      <w:r w:rsidRPr="00814614">
        <w:rPr>
          <w:rFonts w:eastAsia="Times New Roman"/>
          <w:color w:val="0D0D0D"/>
          <w:sz w:val="24"/>
          <w:szCs w:val="24"/>
          <w:highlight w:val="white"/>
        </w:rPr>
        <w:t>Irmici</w:t>
      </w:r>
      <w:proofErr w:type="spellEnd"/>
      <w:r w:rsidRPr="00814614">
        <w:rPr>
          <w:rFonts w:eastAsia="Times New Roman"/>
          <w:color w:val="0D0D0D"/>
          <w:sz w:val="24"/>
          <w:szCs w:val="24"/>
          <w:highlight w:val="white"/>
        </w:rPr>
        <w:t xml:space="preserve">, G., </w:t>
      </w:r>
      <w:proofErr w:type="spellStart"/>
      <w:r w:rsidRPr="00814614">
        <w:rPr>
          <w:rFonts w:eastAsia="Times New Roman"/>
          <w:color w:val="0D0D0D"/>
          <w:sz w:val="24"/>
          <w:szCs w:val="24"/>
          <w:highlight w:val="white"/>
        </w:rPr>
        <w:t>Fazzini</w:t>
      </w:r>
      <w:proofErr w:type="spellEnd"/>
      <w:r w:rsidRPr="00814614">
        <w:rPr>
          <w:rFonts w:eastAsia="Times New Roman"/>
          <w:color w:val="0D0D0D"/>
          <w:sz w:val="24"/>
          <w:szCs w:val="24"/>
          <w:highlight w:val="white"/>
        </w:rPr>
        <w:t xml:space="preserve">, D., </w:t>
      </w:r>
      <w:proofErr w:type="spellStart"/>
      <w:r w:rsidRPr="00814614">
        <w:rPr>
          <w:rFonts w:eastAsia="Times New Roman"/>
          <w:color w:val="0D0D0D"/>
          <w:sz w:val="24"/>
          <w:szCs w:val="24"/>
          <w:highlight w:val="white"/>
        </w:rPr>
        <w:t>Carrafiello</w:t>
      </w:r>
      <w:proofErr w:type="spellEnd"/>
      <w:r w:rsidRPr="00814614">
        <w:rPr>
          <w:rFonts w:eastAsia="Times New Roman"/>
          <w:color w:val="0D0D0D"/>
          <w:sz w:val="24"/>
          <w:szCs w:val="24"/>
          <w:highlight w:val="white"/>
        </w:rPr>
        <w:t xml:space="preserve">, G., &amp; </w:t>
      </w:r>
      <w:proofErr w:type="spellStart"/>
      <w:r w:rsidRPr="00814614">
        <w:rPr>
          <w:rFonts w:eastAsia="Times New Roman"/>
          <w:color w:val="0D0D0D"/>
          <w:sz w:val="24"/>
          <w:szCs w:val="24"/>
          <w:highlight w:val="white"/>
        </w:rPr>
        <w:t>Cellina</w:t>
      </w:r>
      <w:proofErr w:type="spellEnd"/>
      <w:r w:rsidRPr="00814614">
        <w:rPr>
          <w:rFonts w:eastAsia="Times New Roman"/>
          <w:color w:val="0D0D0D"/>
          <w:sz w:val="24"/>
          <w:szCs w:val="24"/>
          <w:highlight w:val="white"/>
        </w:rPr>
        <w:t xml:space="preserve">, M. (2024). Decoding Radiomics: A Step-by-Step Guide to Machine Learning Workflow in Hand-Crafted and Deep Learning Radiomics Studies. </w:t>
      </w:r>
      <w:r w:rsidRPr="00814614">
        <w:rPr>
          <w:rFonts w:eastAsia="Times New Roman"/>
          <w:i/>
          <w:color w:val="0D0D0D"/>
          <w:sz w:val="24"/>
          <w:szCs w:val="24"/>
          <w:highlight w:val="white"/>
        </w:rPr>
        <w:t>Diagnostics</w:t>
      </w:r>
      <w:r w:rsidRPr="00814614">
        <w:rPr>
          <w:rFonts w:eastAsia="Times New Roman"/>
          <w:color w:val="0D0D0D"/>
          <w:sz w:val="24"/>
          <w:szCs w:val="24"/>
          <w:highlight w:val="white"/>
        </w:rPr>
        <w:t xml:space="preserve">, </w:t>
      </w:r>
      <w:r w:rsidRPr="00814614">
        <w:rPr>
          <w:rFonts w:eastAsia="Times New Roman"/>
          <w:i/>
          <w:color w:val="0D0D0D"/>
          <w:sz w:val="24"/>
          <w:szCs w:val="24"/>
          <w:highlight w:val="white"/>
        </w:rPr>
        <w:t>14</w:t>
      </w:r>
      <w:r w:rsidRPr="00814614">
        <w:rPr>
          <w:rFonts w:eastAsia="Times New Roman"/>
          <w:color w:val="0D0D0D"/>
          <w:sz w:val="24"/>
          <w:szCs w:val="24"/>
          <w:highlight w:val="white"/>
        </w:rPr>
        <w:t xml:space="preserve">(22), 2473–2473. </w:t>
      </w:r>
      <w:hyperlink r:id="rId28">
        <w:r w:rsidRPr="00814614">
          <w:rPr>
            <w:rFonts w:eastAsia="Times New Roman"/>
            <w:color w:val="1155CC"/>
            <w:sz w:val="24"/>
            <w:szCs w:val="24"/>
            <w:highlight w:val="white"/>
            <w:u w:val="single"/>
          </w:rPr>
          <w:t>https://doi.org/10.3390/diagnostics14222473</w:t>
        </w:r>
      </w:hyperlink>
      <w:r w:rsidRPr="00814614">
        <w:rPr>
          <w:rFonts w:eastAsia="Times New Roman"/>
          <w:color w:val="0D0D0D"/>
          <w:sz w:val="24"/>
          <w:szCs w:val="24"/>
          <w:highlight w:val="white"/>
        </w:rPr>
        <w:t xml:space="preserve"> </w:t>
      </w:r>
    </w:p>
    <w:p w14:paraId="3D1E9F3B" w14:textId="77777777" w:rsidR="007C0019" w:rsidRPr="00814614" w:rsidRDefault="002431C8" w:rsidP="00814614">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ind w:left="720" w:hanging="720"/>
        <w:jc w:val="both"/>
        <w:rPr>
          <w:rFonts w:eastAsia="Times New Roman"/>
          <w:color w:val="0D0D0D"/>
          <w:sz w:val="24"/>
          <w:szCs w:val="24"/>
          <w:highlight w:val="white"/>
        </w:rPr>
      </w:pPr>
      <w:r w:rsidRPr="00814614">
        <w:rPr>
          <w:rFonts w:eastAsia="Times New Roman"/>
          <w:color w:val="0D0D0D"/>
          <w:sz w:val="24"/>
          <w:szCs w:val="24"/>
          <w:highlight w:val="white"/>
        </w:rPr>
        <w:t xml:space="preserve">Chai, Y., </w:t>
      </w:r>
      <w:proofErr w:type="spellStart"/>
      <w:r w:rsidRPr="00814614">
        <w:rPr>
          <w:rFonts w:eastAsia="Times New Roman"/>
          <w:color w:val="0D0D0D"/>
          <w:sz w:val="24"/>
          <w:szCs w:val="24"/>
          <w:highlight w:val="white"/>
        </w:rPr>
        <w:t>Jin</w:t>
      </w:r>
      <w:proofErr w:type="spellEnd"/>
      <w:r w:rsidRPr="00814614">
        <w:rPr>
          <w:rFonts w:eastAsia="Times New Roman"/>
          <w:color w:val="0D0D0D"/>
          <w:sz w:val="24"/>
          <w:szCs w:val="24"/>
          <w:highlight w:val="white"/>
        </w:rPr>
        <w:t xml:space="preserve">, L., &amp; Zhang, W. (2024). Cognitive machine learning techniques for predictive maintenance in industrial systems: A data-driven analysis. </w:t>
      </w:r>
      <w:r w:rsidRPr="00814614">
        <w:rPr>
          <w:rFonts w:eastAsia="Times New Roman"/>
          <w:i/>
          <w:color w:val="0D0D0D"/>
          <w:sz w:val="24"/>
          <w:szCs w:val="24"/>
          <w:highlight w:val="white"/>
        </w:rPr>
        <w:t>Applied and Computational Engineering</w:t>
      </w:r>
      <w:r w:rsidRPr="00814614">
        <w:rPr>
          <w:rFonts w:eastAsia="Times New Roman"/>
          <w:color w:val="0D0D0D"/>
          <w:sz w:val="24"/>
          <w:szCs w:val="24"/>
          <w:highlight w:val="white"/>
        </w:rPr>
        <w:t xml:space="preserve">, </w:t>
      </w:r>
      <w:r w:rsidRPr="00814614">
        <w:rPr>
          <w:rFonts w:eastAsia="Times New Roman"/>
          <w:i/>
          <w:color w:val="0D0D0D"/>
          <w:sz w:val="24"/>
          <w:szCs w:val="24"/>
          <w:highlight w:val="white"/>
        </w:rPr>
        <w:t>87</w:t>
      </w:r>
      <w:r w:rsidRPr="00814614">
        <w:rPr>
          <w:rFonts w:eastAsia="Times New Roman"/>
          <w:color w:val="0D0D0D"/>
          <w:sz w:val="24"/>
          <w:szCs w:val="24"/>
          <w:highlight w:val="white"/>
        </w:rPr>
        <w:t xml:space="preserve">(1), 47–53. </w:t>
      </w:r>
      <w:hyperlink r:id="rId29">
        <w:r w:rsidRPr="00814614">
          <w:rPr>
            <w:rFonts w:eastAsia="Times New Roman"/>
            <w:color w:val="1155CC"/>
            <w:sz w:val="24"/>
            <w:szCs w:val="24"/>
            <w:highlight w:val="white"/>
            <w:u w:val="single"/>
          </w:rPr>
          <w:t>https://doi.org/10.54254/2755-2721/87/20241515</w:t>
        </w:r>
      </w:hyperlink>
      <w:r w:rsidRPr="00814614">
        <w:rPr>
          <w:rFonts w:eastAsia="Times New Roman"/>
          <w:color w:val="0D0D0D"/>
          <w:sz w:val="24"/>
          <w:szCs w:val="24"/>
          <w:highlight w:val="white"/>
        </w:rPr>
        <w:t xml:space="preserve"> </w:t>
      </w:r>
    </w:p>
    <w:p w14:paraId="5ACF6762" w14:textId="77777777" w:rsidR="007C0019" w:rsidRPr="00814614" w:rsidRDefault="002431C8" w:rsidP="00814614">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ind w:left="720" w:hanging="720"/>
        <w:jc w:val="both"/>
        <w:rPr>
          <w:rFonts w:eastAsia="Times New Roman"/>
          <w:color w:val="0D0D0D"/>
          <w:sz w:val="24"/>
          <w:szCs w:val="24"/>
          <w:highlight w:val="white"/>
        </w:rPr>
      </w:pPr>
      <w:proofErr w:type="spellStart"/>
      <w:r w:rsidRPr="00814614">
        <w:rPr>
          <w:rFonts w:eastAsia="Times New Roman"/>
          <w:color w:val="0D0D0D"/>
          <w:sz w:val="24"/>
          <w:szCs w:val="24"/>
          <w:highlight w:val="white"/>
        </w:rPr>
        <w:t>Chamola</w:t>
      </w:r>
      <w:proofErr w:type="spellEnd"/>
      <w:r w:rsidRPr="00814614">
        <w:rPr>
          <w:rFonts w:eastAsia="Times New Roman"/>
          <w:color w:val="0D0D0D"/>
          <w:sz w:val="24"/>
          <w:szCs w:val="24"/>
          <w:highlight w:val="white"/>
        </w:rPr>
        <w:t xml:space="preserve">, V., </w:t>
      </w:r>
      <w:proofErr w:type="spellStart"/>
      <w:r w:rsidRPr="00814614">
        <w:rPr>
          <w:rFonts w:eastAsia="Times New Roman"/>
          <w:color w:val="0D0D0D"/>
          <w:sz w:val="24"/>
          <w:szCs w:val="24"/>
          <w:highlight w:val="white"/>
        </w:rPr>
        <w:t>Hassija</w:t>
      </w:r>
      <w:proofErr w:type="spellEnd"/>
      <w:r w:rsidRPr="00814614">
        <w:rPr>
          <w:rFonts w:eastAsia="Times New Roman"/>
          <w:color w:val="0D0D0D"/>
          <w:sz w:val="24"/>
          <w:szCs w:val="24"/>
          <w:highlight w:val="white"/>
        </w:rPr>
        <w:t xml:space="preserve">, V., </w:t>
      </w:r>
      <w:proofErr w:type="spellStart"/>
      <w:r w:rsidRPr="00814614">
        <w:rPr>
          <w:rFonts w:eastAsia="Times New Roman"/>
          <w:color w:val="0D0D0D"/>
          <w:sz w:val="24"/>
          <w:szCs w:val="24"/>
          <w:highlight w:val="white"/>
        </w:rPr>
        <w:t>Sulthana</w:t>
      </w:r>
      <w:proofErr w:type="spellEnd"/>
      <w:r w:rsidRPr="00814614">
        <w:rPr>
          <w:rFonts w:eastAsia="Times New Roman"/>
          <w:color w:val="0D0D0D"/>
          <w:sz w:val="24"/>
          <w:szCs w:val="24"/>
          <w:highlight w:val="white"/>
        </w:rPr>
        <w:t xml:space="preserve">, A. R., Ghosh, D., Dhingra, D., &amp; </w:t>
      </w:r>
      <w:proofErr w:type="spellStart"/>
      <w:r w:rsidRPr="00814614">
        <w:rPr>
          <w:rFonts w:eastAsia="Times New Roman"/>
          <w:color w:val="0D0D0D"/>
          <w:sz w:val="24"/>
          <w:szCs w:val="24"/>
          <w:highlight w:val="white"/>
        </w:rPr>
        <w:t>Sikdar</w:t>
      </w:r>
      <w:proofErr w:type="spellEnd"/>
      <w:r w:rsidRPr="00814614">
        <w:rPr>
          <w:rFonts w:eastAsia="Times New Roman"/>
          <w:color w:val="0D0D0D"/>
          <w:sz w:val="24"/>
          <w:szCs w:val="24"/>
          <w:highlight w:val="white"/>
        </w:rPr>
        <w:t xml:space="preserve">, B. (2023). A Review of Trustworthy and Explainable Artificial Intelligence (XAI). </w:t>
      </w:r>
      <w:r w:rsidRPr="00814614">
        <w:rPr>
          <w:rFonts w:eastAsia="Times New Roman"/>
          <w:i/>
          <w:color w:val="0D0D0D"/>
          <w:sz w:val="24"/>
          <w:szCs w:val="24"/>
          <w:highlight w:val="white"/>
        </w:rPr>
        <w:t>IEEE Access</w:t>
      </w:r>
      <w:r w:rsidRPr="00814614">
        <w:rPr>
          <w:rFonts w:eastAsia="Times New Roman"/>
          <w:color w:val="0D0D0D"/>
          <w:sz w:val="24"/>
          <w:szCs w:val="24"/>
          <w:highlight w:val="white"/>
        </w:rPr>
        <w:t xml:space="preserve">, </w:t>
      </w:r>
      <w:r w:rsidRPr="00814614">
        <w:rPr>
          <w:rFonts w:eastAsia="Times New Roman"/>
          <w:i/>
          <w:color w:val="0D0D0D"/>
          <w:sz w:val="24"/>
          <w:szCs w:val="24"/>
          <w:highlight w:val="white"/>
        </w:rPr>
        <w:t>11</w:t>
      </w:r>
      <w:r w:rsidRPr="00814614">
        <w:rPr>
          <w:rFonts w:eastAsia="Times New Roman"/>
          <w:color w:val="0D0D0D"/>
          <w:sz w:val="24"/>
          <w:szCs w:val="24"/>
          <w:highlight w:val="white"/>
        </w:rPr>
        <w:t xml:space="preserve">, 78994–79015. </w:t>
      </w:r>
      <w:hyperlink r:id="rId30">
        <w:r w:rsidRPr="00814614">
          <w:rPr>
            <w:rFonts w:eastAsia="Times New Roman"/>
            <w:color w:val="1155CC"/>
            <w:sz w:val="24"/>
            <w:szCs w:val="24"/>
            <w:highlight w:val="white"/>
            <w:u w:val="single"/>
          </w:rPr>
          <w:t>https://doi.org/10.1109/ACCESS.2023.3294569</w:t>
        </w:r>
      </w:hyperlink>
      <w:r w:rsidRPr="00814614">
        <w:rPr>
          <w:rFonts w:eastAsia="Times New Roman"/>
          <w:color w:val="0D0D0D"/>
          <w:sz w:val="24"/>
          <w:szCs w:val="24"/>
          <w:highlight w:val="white"/>
        </w:rPr>
        <w:t xml:space="preserve"> </w:t>
      </w:r>
    </w:p>
    <w:p w14:paraId="61BE0958" w14:textId="77777777" w:rsidR="007C0019" w:rsidRPr="00814614" w:rsidRDefault="002431C8" w:rsidP="00814614">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ind w:left="720" w:hanging="720"/>
        <w:jc w:val="both"/>
        <w:rPr>
          <w:rFonts w:eastAsia="Times New Roman"/>
          <w:color w:val="0D0D0D"/>
          <w:sz w:val="24"/>
          <w:szCs w:val="24"/>
          <w:highlight w:val="white"/>
        </w:rPr>
      </w:pPr>
      <w:proofErr w:type="spellStart"/>
      <w:r w:rsidRPr="00814614">
        <w:rPr>
          <w:rFonts w:eastAsia="Times New Roman"/>
          <w:color w:val="0D0D0D"/>
          <w:sz w:val="24"/>
          <w:szCs w:val="24"/>
          <w:highlight w:val="white"/>
        </w:rPr>
        <w:t>Chaparala</w:t>
      </w:r>
      <w:proofErr w:type="spellEnd"/>
      <w:r w:rsidRPr="00814614">
        <w:rPr>
          <w:rFonts w:eastAsia="Times New Roman"/>
          <w:color w:val="0D0D0D"/>
          <w:sz w:val="24"/>
          <w:szCs w:val="24"/>
          <w:highlight w:val="white"/>
        </w:rPr>
        <w:t xml:space="preserve">, S. P., Pathak, K. D., </w:t>
      </w:r>
      <w:proofErr w:type="spellStart"/>
      <w:r w:rsidRPr="00814614">
        <w:rPr>
          <w:rFonts w:eastAsia="Times New Roman"/>
          <w:color w:val="0D0D0D"/>
          <w:sz w:val="24"/>
          <w:szCs w:val="24"/>
          <w:highlight w:val="white"/>
        </w:rPr>
        <w:t>Dugyala</w:t>
      </w:r>
      <w:proofErr w:type="spellEnd"/>
      <w:r w:rsidRPr="00814614">
        <w:rPr>
          <w:rFonts w:eastAsia="Times New Roman"/>
          <w:color w:val="0D0D0D"/>
          <w:sz w:val="24"/>
          <w:szCs w:val="24"/>
          <w:highlight w:val="white"/>
        </w:rPr>
        <w:t xml:space="preserve">, R. R., Thomas, J., &amp; </w:t>
      </w:r>
      <w:proofErr w:type="spellStart"/>
      <w:r w:rsidRPr="00814614">
        <w:rPr>
          <w:rFonts w:eastAsia="Times New Roman"/>
          <w:color w:val="0D0D0D"/>
          <w:sz w:val="24"/>
          <w:szCs w:val="24"/>
          <w:highlight w:val="white"/>
        </w:rPr>
        <w:t>Varakala</w:t>
      </w:r>
      <w:proofErr w:type="spellEnd"/>
      <w:r w:rsidRPr="00814614">
        <w:rPr>
          <w:rFonts w:eastAsia="Times New Roman"/>
          <w:color w:val="0D0D0D"/>
          <w:sz w:val="24"/>
          <w:szCs w:val="24"/>
          <w:highlight w:val="white"/>
        </w:rPr>
        <w:t xml:space="preserve">, S. P. (2025). Leveraging Artificial Intelligence to Predict and Manage Complications in Patients </w:t>
      </w:r>
      <w:proofErr w:type="gramStart"/>
      <w:r w:rsidRPr="00814614">
        <w:rPr>
          <w:rFonts w:eastAsia="Times New Roman"/>
          <w:color w:val="0D0D0D"/>
          <w:sz w:val="24"/>
          <w:szCs w:val="24"/>
          <w:highlight w:val="white"/>
        </w:rPr>
        <w:lastRenderedPageBreak/>
        <w:t>With</w:t>
      </w:r>
      <w:proofErr w:type="gramEnd"/>
      <w:r w:rsidRPr="00814614">
        <w:rPr>
          <w:rFonts w:eastAsia="Times New Roman"/>
          <w:color w:val="0D0D0D"/>
          <w:sz w:val="24"/>
          <w:szCs w:val="24"/>
          <w:highlight w:val="white"/>
        </w:rPr>
        <w:t xml:space="preserve"> Multimorbidity: A Literature Review. </w:t>
      </w:r>
      <w:proofErr w:type="spellStart"/>
      <w:r w:rsidRPr="00814614">
        <w:rPr>
          <w:rFonts w:eastAsia="Times New Roman"/>
          <w:i/>
          <w:color w:val="0D0D0D"/>
          <w:sz w:val="24"/>
          <w:szCs w:val="24"/>
          <w:highlight w:val="white"/>
        </w:rPr>
        <w:t>Cureus</w:t>
      </w:r>
      <w:proofErr w:type="spellEnd"/>
      <w:r w:rsidRPr="00814614">
        <w:rPr>
          <w:rFonts w:eastAsia="Times New Roman"/>
          <w:color w:val="0D0D0D"/>
          <w:sz w:val="24"/>
          <w:szCs w:val="24"/>
          <w:highlight w:val="white"/>
        </w:rPr>
        <w:t xml:space="preserve">, </w:t>
      </w:r>
      <w:r w:rsidRPr="00814614">
        <w:rPr>
          <w:rFonts w:eastAsia="Times New Roman"/>
          <w:i/>
          <w:color w:val="0D0D0D"/>
          <w:sz w:val="24"/>
          <w:szCs w:val="24"/>
          <w:highlight w:val="white"/>
        </w:rPr>
        <w:t>17</w:t>
      </w:r>
      <w:r w:rsidRPr="00814614">
        <w:rPr>
          <w:rFonts w:eastAsia="Times New Roman"/>
          <w:color w:val="0D0D0D"/>
          <w:sz w:val="24"/>
          <w:szCs w:val="24"/>
          <w:highlight w:val="white"/>
        </w:rPr>
        <w:t xml:space="preserve">(1). </w:t>
      </w:r>
      <w:hyperlink r:id="rId31">
        <w:r w:rsidRPr="00814614">
          <w:rPr>
            <w:rFonts w:eastAsia="Times New Roman"/>
            <w:color w:val="1155CC"/>
            <w:sz w:val="24"/>
            <w:szCs w:val="24"/>
            <w:highlight w:val="white"/>
            <w:u w:val="single"/>
          </w:rPr>
          <w:t>https://doi.org/10.7759/cureus.77758</w:t>
        </w:r>
      </w:hyperlink>
      <w:r w:rsidRPr="00814614">
        <w:rPr>
          <w:rFonts w:eastAsia="Times New Roman"/>
          <w:color w:val="0D0D0D"/>
          <w:sz w:val="24"/>
          <w:szCs w:val="24"/>
          <w:highlight w:val="white"/>
        </w:rPr>
        <w:t xml:space="preserve"> </w:t>
      </w:r>
    </w:p>
    <w:p w14:paraId="527960A4" w14:textId="77777777" w:rsidR="007C0019" w:rsidRPr="00814614" w:rsidRDefault="002431C8" w:rsidP="00814614">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ind w:left="720" w:hanging="720"/>
        <w:jc w:val="both"/>
        <w:rPr>
          <w:rFonts w:eastAsia="Times New Roman"/>
          <w:color w:val="0D0D0D"/>
          <w:sz w:val="24"/>
          <w:szCs w:val="24"/>
          <w:highlight w:val="white"/>
        </w:rPr>
      </w:pPr>
      <w:proofErr w:type="spellStart"/>
      <w:r w:rsidRPr="00814614">
        <w:rPr>
          <w:rFonts w:eastAsia="Times New Roman"/>
          <w:color w:val="0D0D0D"/>
          <w:sz w:val="24"/>
          <w:szCs w:val="24"/>
          <w:highlight w:val="white"/>
        </w:rPr>
        <w:t>Daskalaki</w:t>
      </w:r>
      <w:proofErr w:type="spellEnd"/>
      <w:r w:rsidRPr="00814614">
        <w:rPr>
          <w:rFonts w:eastAsia="Times New Roman"/>
          <w:color w:val="0D0D0D"/>
          <w:sz w:val="24"/>
          <w:szCs w:val="24"/>
          <w:highlight w:val="white"/>
        </w:rPr>
        <w:t xml:space="preserve">, E., Parkinson, A., Brew-Sam, N., Hossain, M. Z., O’Neal, D., Nolan, C. J., &amp; </w:t>
      </w:r>
      <w:proofErr w:type="spellStart"/>
      <w:r w:rsidRPr="00814614">
        <w:rPr>
          <w:rFonts w:eastAsia="Times New Roman"/>
          <w:color w:val="0D0D0D"/>
          <w:sz w:val="24"/>
          <w:szCs w:val="24"/>
          <w:highlight w:val="white"/>
        </w:rPr>
        <w:t>Suominen</w:t>
      </w:r>
      <w:proofErr w:type="spellEnd"/>
      <w:r w:rsidRPr="00814614">
        <w:rPr>
          <w:rFonts w:eastAsia="Times New Roman"/>
          <w:color w:val="0D0D0D"/>
          <w:sz w:val="24"/>
          <w:szCs w:val="24"/>
          <w:highlight w:val="white"/>
        </w:rPr>
        <w:t xml:space="preserve">, H. (2022). The Potential of Current </w:t>
      </w:r>
      <w:proofErr w:type="spellStart"/>
      <w:r w:rsidRPr="00814614">
        <w:rPr>
          <w:rFonts w:eastAsia="Times New Roman"/>
          <w:color w:val="0D0D0D"/>
          <w:sz w:val="24"/>
          <w:szCs w:val="24"/>
          <w:highlight w:val="white"/>
        </w:rPr>
        <w:t>Noninvasive</w:t>
      </w:r>
      <w:proofErr w:type="spellEnd"/>
      <w:r w:rsidRPr="00814614">
        <w:rPr>
          <w:rFonts w:eastAsia="Times New Roman"/>
          <w:color w:val="0D0D0D"/>
          <w:sz w:val="24"/>
          <w:szCs w:val="24"/>
          <w:highlight w:val="white"/>
        </w:rPr>
        <w:t xml:space="preserve"> Wearable Technology for the Monitoring of Physiological Signals in the Management of Type 1 Diabetes: Literature Survey. </w:t>
      </w:r>
      <w:r w:rsidRPr="00814614">
        <w:rPr>
          <w:rFonts w:eastAsia="Times New Roman"/>
          <w:i/>
          <w:color w:val="0D0D0D"/>
          <w:sz w:val="24"/>
          <w:szCs w:val="24"/>
          <w:highlight w:val="white"/>
        </w:rPr>
        <w:t>Journal of Medical Internet Research</w:t>
      </w:r>
      <w:r w:rsidRPr="00814614">
        <w:rPr>
          <w:rFonts w:eastAsia="Times New Roman"/>
          <w:color w:val="0D0D0D"/>
          <w:sz w:val="24"/>
          <w:szCs w:val="24"/>
          <w:highlight w:val="white"/>
        </w:rPr>
        <w:t xml:space="preserve">, </w:t>
      </w:r>
      <w:r w:rsidRPr="00814614">
        <w:rPr>
          <w:rFonts w:eastAsia="Times New Roman"/>
          <w:i/>
          <w:color w:val="0D0D0D"/>
          <w:sz w:val="24"/>
          <w:szCs w:val="24"/>
          <w:highlight w:val="white"/>
        </w:rPr>
        <w:t>24</w:t>
      </w:r>
      <w:r w:rsidRPr="00814614">
        <w:rPr>
          <w:rFonts w:eastAsia="Times New Roman"/>
          <w:color w:val="0D0D0D"/>
          <w:sz w:val="24"/>
          <w:szCs w:val="24"/>
          <w:highlight w:val="white"/>
        </w:rPr>
        <w:t xml:space="preserve">(4), e28901. </w:t>
      </w:r>
      <w:hyperlink r:id="rId32">
        <w:r w:rsidRPr="00814614">
          <w:rPr>
            <w:rFonts w:eastAsia="Times New Roman"/>
            <w:color w:val="1155CC"/>
            <w:sz w:val="24"/>
            <w:szCs w:val="24"/>
            <w:highlight w:val="white"/>
            <w:u w:val="single"/>
          </w:rPr>
          <w:t>https://doi.org/10.2196/28901</w:t>
        </w:r>
      </w:hyperlink>
      <w:r w:rsidRPr="00814614">
        <w:rPr>
          <w:rFonts w:eastAsia="Times New Roman"/>
          <w:color w:val="0D0D0D"/>
          <w:sz w:val="24"/>
          <w:szCs w:val="24"/>
          <w:highlight w:val="white"/>
        </w:rPr>
        <w:t xml:space="preserve"> </w:t>
      </w:r>
    </w:p>
    <w:p w14:paraId="157D4E18" w14:textId="77777777" w:rsidR="007C0019" w:rsidRPr="00814614" w:rsidRDefault="002431C8" w:rsidP="00814614">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ind w:left="720" w:hanging="720"/>
        <w:jc w:val="both"/>
        <w:rPr>
          <w:rFonts w:eastAsia="Times New Roman"/>
          <w:color w:val="0D0D0D"/>
          <w:sz w:val="24"/>
          <w:szCs w:val="24"/>
          <w:highlight w:val="white"/>
        </w:rPr>
      </w:pPr>
      <w:r w:rsidRPr="00814614">
        <w:rPr>
          <w:rFonts w:eastAsia="Times New Roman"/>
          <w:color w:val="0D0D0D"/>
          <w:sz w:val="24"/>
          <w:szCs w:val="24"/>
          <w:highlight w:val="white"/>
        </w:rPr>
        <w:t xml:space="preserve">Demir, S., &amp; </w:t>
      </w:r>
      <w:proofErr w:type="spellStart"/>
      <w:r w:rsidRPr="00814614">
        <w:rPr>
          <w:rFonts w:eastAsia="Times New Roman"/>
          <w:color w:val="0D0D0D"/>
          <w:sz w:val="24"/>
          <w:szCs w:val="24"/>
          <w:highlight w:val="white"/>
        </w:rPr>
        <w:t>Sahin</w:t>
      </w:r>
      <w:proofErr w:type="spellEnd"/>
      <w:r w:rsidRPr="00814614">
        <w:rPr>
          <w:rFonts w:eastAsia="Times New Roman"/>
          <w:color w:val="0D0D0D"/>
          <w:sz w:val="24"/>
          <w:szCs w:val="24"/>
          <w:highlight w:val="white"/>
        </w:rPr>
        <w:t xml:space="preserve">, E. K. (2022). An investigation of feature selection methods for soil liquefaction prediction based on tree-based ensemble algorithms using AdaBoost, gradient boosting, and </w:t>
      </w:r>
      <w:proofErr w:type="spellStart"/>
      <w:r w:rsidRPr="00814614">
        <w:rPr>
          <w:rFonts w:eastAsia="Times New Roman"/>
          <w:color w:val="0D0D0D"/>
          <w:sz w:val="24"/>
          <w:szCs w:val="24"/>
          <w:highlight w:val="white"/>
        </w:rPr>
        <w:t>XGBoost</w:t>
      </w:r>
      <w:proofErr w:type="spellEnd"/>
      <w:r w:rsidRPr="00814614">
        <w:rPr>
          <w:rFonts w:eastAsia="Times New Roman"/>
          <w:color w:val="0D0D0D"/>
          <w:sz w:val="24"/>
          <w:szCs w:val="24"/>
          <w:highlight w:val="white"/>
        </w:rPr>
        <w:t xml:space="preserve">. </w:t>
      </w:r>
      <w:r w:rsidRPr="00814614">
        <w:rPr>
          <w:rFonts w:eastAsia="Times New Roman"/>
          <w:i/>
          <w:color w:val="0D0D0D"/>
          <w:sz w:val="24"/>
          <w:szCs w:val="24"/>
          <w:highlight w:val="white"/>
        </w:rPr>
        <w:t>Neural Computing and Applications</w:t>
      </w:r>
      <w:r w:rsidRPr="00814614">
        <w:rPr>
          <w:rFonts w:eastAsia="Times New Roman"/>
          <w:color w:val="0D0D0D"/>
          <w:sz w:val="24"/>
          <w:szCs w:val="24"/>
          <w:highlight w:val="white"/>
        </w:rPr>
        <w:t xml:space="preserve">, </w:t>
      </w:r>
      <w:r w:rsidRPr="00814614">
        <w:rPr>
          <w:rFonts w:eastAsia="Times New Roman"/>
          <w:i/>
          <w:color w:val="0D0D0D"/>
          <w:sz w:val="24"/>
          <w:szCs w:val="24"/>
          <w:highlight w:val="white"/>
        </w:rPr>
        <w:t>35</w:t>
      </w:r>
      <w:r w:rsidRPr="00814614">
        <w:rPr>
          <w:rFonts w:eastAsia="Times New Roman"/>
          <w:color w:val="0D0D0D"/>
          <w:sz w:val="24"/>
          <w:szCs w:val="24"/>
          <w:highlight w:val="white"/>
        </w:rPr>
        <w:t xml:space="preserve">(4). </w:t>
      </w:r>
      <w:hyperlink r:id="rId33">
        <w:r w:rsidRPr="00814614">
          <w:rPr>
            <w:rFonts w:eastAsia="Times New Roman"/>
            <w:color w:val="1155CC"/>
            <w:sz w:val="24"/>
            <w:szCs w:val="24"/>
            <w:highlight w:val="white"/>
            <w:u w:val="single"/>
          </w:rPr>
          <w:t>https://doi.org/10.1007/s00521-022-07856-4</w:t>
        </w:r>
      </w:hyperlink>
      <w:r w:rsidRPr="00814614">
        <w:rPr>
          <w:rFonts w:eastAsia="Times New Roman"/>
          <w:color w:val="0D0D0D"/>
          <w:sz w:val="24"/>
          <w:szCs w:val="24"/>
          <w:highlight w:val="white"/>
        </w:rPr>
        <w:t xml:space="preserve"> </w:t>
      </w:r>
    </w:p>
    <w:p w14:paraId="0329B262" w14:textId="77777777" w:rsidR="007C0019" w:rsidRPr="00814614" w:rsidRDefault="002431C8" w:rsidP="00814614">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ind w:left="720" w:hanging="720"/>
        <w:jc w:val="both"/>
        <w:rPr>
          <w:rFonts w:eastAsia="Times New Roman"/>
          <w:color w:val="0D0D0D"/>
          <w:sz w:val="24"/>
          <w:szCs w:val="24"/>
          <w:highlight w:val="white"/>
        </w:rPr>
      </w:pPr>
      <w:r w:rsidRPr="00814614">
        <w:rPr>
          <w:rFonts w:eastAsia="Times New Roman"/>
          <w:color w:val="0D0D0D"/>
          <w:sz w:val="24"/>
          <w:szCs w:val="24"/>
          <w:highlight w:val="white"/>
        </w:rPr>
        <w:t xml:space="preserve">Dhingra, L. S., Shen, M., </w:t>
      </w:r>
      <w:proofErr w:type="spellStart"/>
      <w:r w:rsidRPr="00814614">
        <w:rPr>
          <w:rFonts w:eastAsia="Times New Roman"/>
          <w:color w:val="0D0D0D"/>
          <w:sz w:val="24"/>
          <w:szCs w:val="24"/>
          <w:highlight w:val="white"/>
        </w:rPr>
        <w:t>Mangla</w:t>
      </w:r>
      <w:proofErr w:type="spellEnd"/>
      <w:r w:rsidRPr="00814614">
        <w:rPr>
          <w:rFonts w:eastAsia="Times New Roman"/>
          <w:color w:val="0D0D0D"/>
          <w:sz w:val="24"/>
          <w:szCs w:val="24"/>
          <w:highlight w:val="white"/>
        </w:rPr>
        <w:t xml:space="preserve">, A., &amp; </w:t>
      </w:r>
      <w:proofErr w:type="spellStart"/>
      <w:r w:rsidRPr="00814614">
        <w:rPr>
          <w:rFonts w:eastAsia="Times New Roman"/>
          <w:color w:val="0D0D0D"/>
          <w:sz w:val="24"/>
          <w:szCs w:val="24"/>
          <w:highlight w:val="white"/>
        </w:rPr>
        <w:t>Khera</w:t>
      </w:r>
      <w:proofErr w:type="spellEnd"/>
      <w:r w:rsidRPr="00814614">
        <w:rPr>
          <w:rFonts w:eastAsia="Times New Roman"/>
          <w:color w:val="0D0D0D"/>
          <w:sz w:val="24"/>
          <w:szCs w:val="24"/>
          <w:highlight w:val="white"/>
        </w:rPr>
        <w:t xml:space="preserve">, R. (2023). Cardiovascular Care Innovation through Data-Driven Discoveries in the Electronic Health Record. </w:t>
      </w:r>
      <w:r w:rsidRPr="00814614">
        <w:rPr>
          <w:rFonts w:eastAsia="Times New Roman"/>
          <w:i/>
          <w:color w:val="0D0D0D"/>
          <w:sz w:val="24"/>
          <w:szCs w:val="24"/>
          <w:highlight w:val="white"/>
        </w:rPr>
        <w:t>The American Journal of Cardiology</w:t>
      </w:r>
      <w:r w:rsidRPr="00814614">
        <w:rPr>
          <w:rFonts w:eastAsia="Times New Roman"/>
          <w:color w:val="0D0D0D"/>
          <w:sz w:val="24"/>
          <w:szCs w:val="24"/>
          <w:highlight w:val="white"/>
        </w:rPr>
        <w:t xml:space="preserve">, </w:t>
      </w:r>
      <w:r w:rsidRPr="00814614">
        <w:rPr>
          <w:rFonts w:eastAsia="Times New Roman"/>
          <w:i/>
          <w:color w:val="0D0D0D"/>
          <w:sz w:val="24"/>
          <w:szCs w:val="24"/>
          <w:highlight w:val="white"/>
        </w:rPr>
        <w:t>203</w:t>
      </w:r>
      <w:r w:rsidRPr="00814614">
        <w:rPr>
          <w:rFonts w:eastAsia="Times New Roman"/>
          <w:color w:val="0D0D0D"/>
          <w:sz w:val="24"/>
          <w:szCs w:val="24"/>
          <w:highlight w:val="white"/>
        </w:rPr>
        <w:t xml:space="preserve">, 136–148. </w:t>
      </w:r>
      <w:hyperlink r:id="rId34">
        <w:r w:rsidRPr="00814614">
          <w:rPr>
            <w:rFonts w:eastAsia="Times New Roman"/>
            <w:color w:val="1155CC"/>
            <w:sz w:val="24"/>
            <w:szCs w:val="24"/>
            <w:highlight w:val="white"/>
            <w:u w:val="single"/>
          </w:rPr>
          <w:t>https://doi.org/10.1016/j.amjcard.2023.06.104</w:t>
        </w:r>
      </w:hyperlink>
      <w:r w:rsidRPr="00814614">
        <w:rPr>
          <w:rFonts w:eastAsia="Times New Roman"/>
          <w:color w:val="0D0D0D"/>
          <w:sz w:val="24"/>
          <w:szCs w:val="24"/>
          <w:highlight w:val="white"/>
        </w:rPr>
        <w:t xml:space="preserve"> </w:t>
      </w:r>
    </w:p>
    <w:p w14:paraId="71AD0DE6" w14:textId="77777777" w:rsidR="007C0019" w:rsidRPr="00814614" w:rsidRDefault="002431C8" w:rsidP="00814614">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ind w:left="720" w:hanging="720"/>
        <w:jc w:val="both"/>
        <w:rPr>
          <w:rFonts w:eastAsia="Times New Roman"/>
          <w:color w:val="0D0D0D"/>
          <w:sz w:val="24"/>
          <w:szCs w:val="24"/>
          <w:highlight w:val="white"/>
        </w:rPr>
      </w:pPr>
      <w:r w:rsidRPr="00814614">
        <w:rPr>
          <w:rFonts w:eastAsia="Times New Roman"/>
          <w:color w:val="0D0D0D"/>
          <w:sz w:val="24"/>
          <w:szCs w:val="24"/>
          <w:highlight w:val="white"/>
        </w:rPr>
        <w:t xml:space="preserve">Dong, J., Chen, Y., Yao, B., Zhang, X., &amp; Zeng, N. (2022). A neural network boosting regression model based on </w:t>
      </w:r>
      <w:proofErr w:type="spellStart"/>
      <w:r w:rsidRPr="00814614">
        <w:rPr>
          <w:rFonts w:eastAsia="Times New Roman"/>
          <w:color w:val="0D0D0D"/>
          <w:sz w:val="24"/>
          <w:szCs w:val="24"/>
          <w:highlight w:val="white"/>
        </w:rPr>
        <w:t>XGBoost</w:t>
      </w:r>
      <w:proofErr w:type="spellEnd"/>
      <w:r w:rsidRPr="00814614">
        <w:rPr>
          <w:rFonts w:eastAsia="Times New Roman"/>
          <w:color w:val="0D0D0D"/>
          <w:sz w:val="24"/>
          <w:szCs w:val="24"/>
          <w:highlight w:val="white"/>
        </w:rPr>
        <w:t xml:space="preserve">. </w:t>
      </w:r>
      <w:r w:rsidRPr="00814614">
        <w:rPr>
          <w:rFonts w:eastAsia="Times New Roman"/>
          <w:i/>
          <w:color w:val="0D0D0D"/>
          <w:sz w:val="24"/>
          <w:szCs w:val="24"/>
          <w:highlight w:val="white"/>
        </w:rPr>
        <w:t>Applied Soft Computing</w:t>
      </w:r>
      <w:r w:rsidRPr="00814614">
        <w:rPr>
          <w:rFonts w:eastAsia="Times New Roman"/>
          <w:color w:val="0D0D0D"/>
          <w:sz w:val="24"/>
          <w:szCs w:val="24"/>
          <w:highlight w:val="white"/>
        </w:rPr>
        <w:t xml:space="preserve">, </w:t>
      </w:r>
      <w:r w:rsidRPr="00814614">
        <w:rPr>
          <w:rFonts w:eastAsia="Times New Roman"/>
          <w:i/>
          <w:color w:val="0D0D0D"/>
          <w:sz w:val="24"/>
          <w:szCs w:val="24"/>
          <w:highlight w:val="white"/>
        </w:rPr>
        <w:t>125</w:t>
      </w:r>
      <w:r w:rsidRPr="00814614">
        <w:rPr>
          <w:rFonts w:eastAsia="Times New Roman"/>
          <w:color w:val="0D0D0D"/>
          <w:sz w:val="24"/>
          <w:szCs w:val="24"/>
          <w:highlight w:val="white"/>
        </w:rPr>
        <w:t xml:space="preserve">, 109067. </w:t>
      </w:r>
      <w:hyperlink r:id="rId35">
        <w:r w:rsidRPr="00814614">
          <w:rPr>
            <w:rFonts w:eastAsia="Times New Roman"/>
            <w:color w:val="1155CC"/>
            <w:sz w:val="24"/>
            <w:szCs w:val="24"/>
            <w:highlight w:val="white"/>
            <w:u w:val="single"/>
          </w:rPr>
          <w:t>https://doi.org/10.1016/j.asoc.2022.109067</w:t>
        </w:r>
      </w:hyperlink>
      <w:r w:rsidRPr="00814614">
        <w:rPr>
          <w:rFonts w:eastAsia="Times New Roman"/>
          <w:color w:val="0D0D0D"/>
          <w:sz w:val="24"/>
          <w:szCs w:val="24"/>
          <w:highlight w:val="white"/>
        </w:rPr>
        <w:t xml:space="preserve"> </w:t>
      </w:r>
    </w:p>
    <w:p w14:paraId="16FB2885" w14:textId="77777777" w:rsidR="007C0019" w:rsidRPr="00814614" w:rsidRDefault="002431C8" w:rsidP="00814614">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ind w:left="720" w:hanging="720"/>
        <w:jc w:val="both"/>
        <w:rPr>
          <w:rFonts w:eastAsia="Times New Roman"/>
          <w:color w:val="0D0D0D"/>
          <w:sz w:val="24"/>
          <w:szCs w:val="24"/>
          <w:highlight w:val="white"/>
        </w:rPr>
      </w:pPr>
      <w:r w:rsidRPr="00814614">
        <w:rPr>
          <w:rFonts w:eastAsia="Times New Roman"/>
          <w:color w:val="0D0D0D"/>
          <w:sz w:val="24"/>
          <w:szCs w:val="24"/>
          <w:highlight w:val="white"/>
        </w:rPr>
        <w:t xml:space="preserve">Duo, X. U., &amp; </w:t>
      </w:r>
      <w:proofErr w:type="spellStart"/>
      <w:r w:rsidRPr="00814614">
        <w:rPr>
          <w:rFonts w:eastAsia="Times New Roman"/>
          <w:color w:val="0D0D0D"/>
          <w:sz w:val="24"/>
          <w:szCs w:val="24"/>
          <w:highlight w:val="white"/>
        </w:rPr>
        <w:t>Zeshui</w:t>
      </w:r>
      <w:proofErr w:type="spellEnd"/>
      <w:r w:rsidRPr="00814614">
        <w:rPr>
          <w:rFonts w:eastAsia="Times New Roman"/>
          <w:color w:val="0D0D0D"/>
          <w:sz w:val="24"/>
          <w:szCs w:val="24"/>
          <w:highlight w:val="white"/>
        </w:rPr>
        <w:t xml:space="preserve">, X. U. (2024). Machine learning applications in preventive healthcare: A systematic literature review on predictive analytics of disease comorbidity from multiple perspectives. </w:t>
      </w:r>
      <w:r w:rsidRPr="00814614">
        <w:rPr>
          <w:rFonts w:eastAsia="Times New Roman"/>
          <w:i/>
          <w:color w:val="0D0D0D"/>
          <w:sz w:val="24"/>
          <w:szCs w:val="24"/>
          <w:highlight w:val="white"/>
        </w:rPr>
        <w:t>Artificial Intelligence in Medicine</w:t>
      </w:r>
      <w:r w:rsidRPr="00814614">
        <w:rPr>
          <w:rFonts w:eastAsia="Times New Roman"/>
          <w:color w:val="0D0D0D"/>
          <w:sz w:val="24"/>
          <w:szCs w:val="24"/>
          <w:highlight w:val="white"/>
        </w:rPr>
        <w:t xml:space="preserve">, 102950–102950. </w:t>
      </w:r>
      <w:hyperlink r:id="rId36">
        <w:r w:rsidRPr="00814614">
          <w:rPr>
            <w:rFonts w:eastAsia="Times New Roman"/>
            <w:color w:val="1155CC"/>
            <w:sz w:val="24"/>
            <w:szCs w:val="24"/>
            <w:highlight w:val="white"/>
            <w:u w:val="single"/>
          </w:rPr>
          <w:t>https://doi.org/10.1016/j.artmed.2024.102950</w:t>
        </w:r>
      </w:hyperlink>
      <w:r w:rsidRPr="00814614">
        <w:rPr>
          <w:rFonts w:eastAsia="Times New Roman"/>
          <w:color w:val="0D0D0D"/>
          <w:sz w:val="24"/>
          <w:szCs w:val="24"/>
          <w:highlight w:val="white"/>
        </w:rPr>
        <w:t xml:space="preserve"> </w:t>
      </w:r>
    </w:p>
    <w:p w14:paraId="3C4E3961" w14:textId="77777777" w:rsidR="007C0019" w:rsidRPr="00814614" w:rsidRDefault="002431C8" w:rsidP="00814614">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ind w:left="720" w:hanging="720"/>
        <w:jc w:val="both"/>
        <w:rPr>
          <w:rFonts w:eastAsia="Times New Roman"/>
          <w:color w:val="0D0D0D"/>
          <w:sz w:val="24"/>
          <w:szCs w:val="24"/>
          <w:highlight w:val="white"/>
        </w:rPr>
      </w:pPr>
      <w:proofErr w:type="spellStart"/>
      <w:r w:rsidRPr="00814614">
        <w:rPr>
          <w:rFonts w:eastAsia="Times New Roman"/>
          <w:color w:val="0D0D0D"/>
          <w:sz w:val="24"/>
          <w:szCs w:val="24"/>
          <w:highlight w:val="white"/>
        </w:rPr>
        <w:t>Durgaraju</w:t>
      </w:r>
      <w:proofErr w:type="spellEnd"/>
      <w:r w:rsidRPr="00814614">
        <w:rPr>
          <w:rFonts w:eastAsia="Times New Roman"/>
          <w:color w:val="0D0D0D"/>
          <w:sz w:val="24"/>
          <w:szCs w:val="24"/>
          <w:highlight w:val="white"/>
        </w:rPr>
        <w:t xml:space="preserve">, S., </w:t>
      </w:r>
      <w:proofErr w:type="spellStart"/>
      <w:r w:rsidRPr="00814614">
        <w:rPr>
          <w:rFonts w:eastAsia="Times New Roman"/>
          <w:color w:val="0D0D0D"/>
          <w:sz w:val="24"/>
          <w:szCs w:val="24"/>
          <w:highlight w:val="white"/>
        </w:rPr>
        <w:t>Vel</w:t>
      </w:r>
      <w:proofErr w:type="spellEnd"/>
      <w:r w:rsidRPr="00814614">
        <w:rPr>
          <w:rFonts w:eastAsia="Times New Roman"/>
          <w:color w:val="0D0D0D"/>
          <w:sz w:val="24"/>
          <w:szCs w:val="24"/>
          <w:highlight w:val="white"/>
        </w:rPr>
        <w:t xml:space="preserve">, D. V. T., &amp; </w:t>
      </w:r>
      <w:proofErr w:type="spellStart"/>
      <w:r w:rsidRPr="00814614">
        <w:rPr>
          <w:rFonts w:eastAsia="Times New Roman"/>
          <w:color w:val="0D0D0D"/>
          <w:sz w:val="24"/>
          <w:szCs w:val="24"/>
          <w:highlight w:val="white"/>
        </w:rPr>
        <w:t>Madathala</w:t>
      </w:r>
      <w:proofErr w:type="spellEnd"/>
      <w:r w:rsidRPr="00814614">
        <w:rPr>
          <w:rFonts w:eastAsia="Times New Roman"/>
          <w:color w:val="0D0D0D"/>
          <w:sz w:val="24"/>
          <w:szCs w:val="24"/>
          <w:highlight w:val="white"/>
        </w:rPr>
        <w:t xml:space="preserve">, H. (2025). Transforming Healthcare Diagnostics: A Comprehensive Review of Convolutional Neural Networks in Medical Imaging and Disease Prediction. </w:t>
      </w:r>
      <w:proofErr w:type="gramStart"/>
      <w:r w:rsidRPr="00814614">
        <w:rPr>
          <w:rFonts w:eastAsia="Times New Roman"/>
          <w:i/>
          <w:color w:val="0D0D0D"/>
          <w:sz w:val="24"/>
          <w:szCs w:val="24"/>
          <w:highlight w:val="white"/>
        </w:rPr>
        <w:t xml:space="preserve">IEEE </w:t>
      </w:r>
      <w:r w:rsidRPr="00814614">
        <w:rPr>
          <w:rFonts w:eastAsia="Times New Roman"/>
          <w:color w:val="0D0D0D"/>
          <w:sz w:val="24"/>
          <w:szCs w:val="24"/>
          <w:highlight w:val="white"/>
        </w:rPr>
        <w:t>,</w:t>
      </w:r>
      <w:proofErr w:type="gramEnd"/>
      <w:r w:rsidRPr="00814614">
        <w:rPr>
          <w:rFonts w:eastAsia="Times New Roman"/>
          <w:color w:val="0D0D0D"/>
          <w:sz w:val="24"/>
          <w:szCs w:val="24"/>
          <w:highlight w:val="white"/>
        </w:rPr>
        <w:t xml:space="preserve"> 1167–1174. </w:t>
      </w:r>
      <w:hyperlink r:id="rId37">
        <w:r w:rsidRPr="00814614">
          <w:rPr>
            <w:rFonts w:eastAsia="Times New Roman"/>
            <w:color w:val="1155CC"/>
            <w:sz w:val="24"/>
            <w:szCs w:val="24"/>
            <w:highlight w:val="white"/>
            <w:u w:val="single"/>
          </w:rPr>
          <w:t>https://doi.org/10.1109/icmcsi64620.2025.10883093</w:t>
        </w:r>
      </w:hyperlink>
      <w:r w:rsidRPr="00814614">
        <w:rPr>
          <w:rFonts w:eastAsia="Times New Roman"/>
          <w:color w:val="0D0D0D"/>
          <w:sz w:val="24"/>
          <w:szCs w:val="24"/>
          <w:highlight w:val="white"/>
        </w:rPr>
        <w:t xml:space="preserve"> </w:t>
      </w:r>
    </w:p>
    <w:p w14:paraId="1FFC0785" w14:textId="77777777" w:rsidR="007C0019" w:rsidRPr="00814614" w:rsidRDefault="002431C8" w:rsidP="00814614">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ind w:left="720" w:hanging="720"/>
        <w:jc w:val="both"/>
        <w:rPr>
          <w:rFonts w:eastAsia="Times New Roman"/>
          <w:color w:val="0D0D0D"/>
          <w:sz w:val="24"/>
          <w:szCs w:val="24"/>
          <w:highlight w:val="white"/>
        </w:rPr>
      </w:pPr>
      <w:proofErr w:type="spellStart"/>
      <w:r w:rsidRPr="00814614">
        <w:rPr>
          <w:rFonts w:eastAsia="Times New Roman"/>
          <w:color w:val="0D0D0D"/>
          <w:sz w:val="24"/>
          <w:szCs w:val="24"/>
          <w:highlight w:val="white"/>
        </w:rPr>
        <w:t>Ennab</w:t>
      </w:r>
      <w:proofErr w:type="spellEnd"/>
      <w:r w:rsidRPr="00814614">
        <w:rPr>
          <w:rFonts w:eastAsia="Times New Roman"/>
          <w:color w:val="0D0D0D"/>
          <w:sz w:val="24"/>
          <w:szCs w:val="24"/>
          <w:highlight w:val="white"/>
        </w:rPr>
        <w:t xml:space="preserve">, M., &amp; </w:t>
      </w:r>
      <w:proofErr w:type="spellStart"/>
      <w:r w:rsidRPr="00814614">
        <w:rPr>
          <w:rFonts w:eastAsia="Times New Roman"/>
          <w:color w:val="0D0D0D"/>
          <w:sz w:val="24"/>
          <w:szCs w:val="24"/>
          <w:highlight w:val="white"/>
        </w:rPr>
        <w:t>Mcheick</w:t>
      </w:r>
      <w:proofErr w:type="spellEnd"/>
      <w:r w:rsidRPr="00814614">
        <w:rPr>
          <w:rFonts w:eastAsia="Times New Roman"/>
          <w:color w:val="0D0D0D"/>
          <w:sz w:val="24"/>
          <w:szCs w:val="24"/>
          <w:highlight w:val="white"/>
        </w:rPr>
        <w:t xml:space="preserve">, H. (2024). Enhancing interpretability and accuracy of AI models in healthcare: a comprehensive review on challenges and future directions. </w:t>
      </w:r>
      <w:r w:rsidRPr="00814614">
        <w:rPr>
          <w:rFonts w:eastAsia="Times New Roman"/>
          <w:i/>
          <w:color w:val="0D0D0D"/>
          <w:sz w:val="24"/>
          <w:szCs w:val="24"/>
          <w:highlight w:val="white"/>
        </w:rPr>
        <w:t>Frontiers in Robotics and AI</w:t>
      </w:r>
      <w:r w:rsidRPr="00814614">
        <w:rPr>
          <w:rFonts w:eastAsia="Times New Roman"/>
          <w:color w:val="0D0D0D"/>
          <w:sz w:val="24"/>
          <w:szCs w:val="24"/>
          <w:highlight w:val="white"/>
        </w:rPr>
        <w:t xml:space="preserve">, </w:t>
      </w:r>
      <w:r w:rsidRPr="00814614">
        <w:rPr>
          <w:rFonts w:eastAsia="Times New Roman"/>
          <w:i/>
          <w:color w:val="0D0D0D"/>
          <w:sz w:val="24"/>
          <w:szCs w:val="24"/>
          <w:highlight w:val="white"/>
        </w:rPr>
        <w:t>11</w:t>
      </w:r>
      <w:r w:rsidRPr="00814614">
        <w:rPr>
          <w:rFonts w:eastAsia="Times New Roman"/>
          <w:color w:val="0D0D0D"/>
          <w:sz w:val="24"/>
          <w:szCs w:val="24"/>
          <w:highlight w:val="white"/>
        </w:rPr>
        <w:t xml:space="preserve">. </w:t>
      </w:r>
      <w:hyperlink r:id="rId38">
        <w:r w:rsidRPr="00814614">
          <w:rPr>
            <w:rFonts w:eastAsia="Times New Roman"/>
            <w:color w:val="1155CC"/>
            <w:sz w:val="24"/>
            <w:szCs w:val="24"/>
            <w:highlight w:val="white"/>
            <w:u w:val="single"/>
          </w:rPr>
          <w:t>https://doi.org/10.3389/frobt.2024.1444763</w:t>
        </w:r>
      </w:hyperlink>
      <w:r w:rsidRPr="00814614">
        <w:rPr>
          <w:rFonts w:eastAsia="Times New Roman"/>
          <w:color w:val="0D0D0D"/>
          <w:sz w:val="24"/>
          <w:szCs w:val="24"/>
          <w:highlight w:val="white"/>
        </w:rPr>
        <w:t xml:space="preserve"> </w:t>
      </w:r>
    </w:p>
    <w:p w14:paraId="22B94585" w14:textId="77777777" w:rsidR="007C0019" w:rsidRPr="00814614" w:rsidRDefault="002431C8" w:rsidP="00814614">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ind w:left="720" w:hanging="720"/>
        <w:jc w:val="both"/>
        <w:rPr>
          <w:rFonts w:eastAsia="Times New Roman"/>
          <w:color w:val="0D0D0D"/>
          <w:sz w:val="24"/>
          <w:szCs w:val="24"/>
          <w:highlight w:val="white"/>
        </w:rPr>
      </w:pPr>
      <w:proofErr w:type="spellStart"/>
      <w:r w:rsidRPr="00814614">
        <w:rPr>
          <w:rFonts w:eastAsia="Times New Roman"/>
          <w:color w:val="0D0D0D"/>
          <w:sz w:val="24"/>
          <w:szCs w:val="24"/>
          <w:highlight w:val="white"/>
        </w:rPr>
        <w:t>Ganaie</w:t>
      </w:r>
      <w:proofErr w:type="spellEnd"/>
      <w:r w:rsidRPr="00814614">
        <w:rPr>
          <w:rFonts w:eastAsia="Times New Roman"/>
          <w:color w:val="0D0D0D"/>
          <w:sz w:val="24"/>
          <w:szCs w:val="24"/>
          <w:highlight w:val="white"/>
        </w:rPr>
        <w:t xml:space="preserve">, M. A., Hu, M., Malik, A. K., Tanveer, M., &amp; </w:t>
      </w:r>
      <w:proofErr w:type="spellStart"/>
      <w:r w:rsidRPr="00814614">
        <w:rPr>
          <w:rFonts w:eastAsia="Times New Roman"/>
          <w:color w:val="0D0D0D"/>
          <w:sz w:val="24"/>
          <w:szCs w:val="24"/>
          <w:highlight w:val="white"/>
        </w:rPr>
        <w:t>Suganthan</w:t>
      </w:r>
      <w:proofErr w:type="spellEnd"/>
      <w:r w:rsidRPr="00814614">
        <w:rPr>
          <w:rFonts w:eastAsia="Times New Roman"/>
          <w:color w:val="0D0D0D"/>
          <w:sz w:val="24"/>
          <w:szCs w:val="24"/>
          <w:highlight w:val="white"/>
        </w:rPr>
        <w:t xml:space="preserve">, P. N. (2022). Ensemble deep learning: A review. </w:t>
      </w:r>
      <w:r w:rsidRPr="00814614">
        <w:rPr>
          <w:rFonts w:eastAsia="Times New Roman"/>
          <w:i/>
          <w:color w:val="0D0D0D"/>
          <w:sz w:val="24"/>
          <w:szCs w:val="24"/>
          <w:highlight w:val="white"/>
        </w:rPr>
        <w:t>Engineering Applications of Artificial Intelligence</w:t>
      </w:r>
      <w:r w:rsidRPr="00814614">
        <w:rPr>
          <w:rFonts w:eastAsia="Times New Roman"/>
          <w:color w:val="0D0D0D"/>
          <w:sz w:val="24"/>
          <w:szCs w:val="24"/>
          <w:highlight w:val="white"/>
        </w:rPr>
        <w:t xml:space="preserve">, </w:t>
      </w:r>
      <w:r w:rsidRPr="00814614">
        <w:rPr>
          <w:rFonts w:eastAsia="Times New Roman"/>
          <w:i/>
          <w:color w:val="0D0D0D"/>
          <w:sz w:val="24"/>
          <w:szCs w:val="24"/>
          <w:highlight w:val="white"/>
        </w:rPr>
        <w:t>115</w:t>
      </w:r>
      <w:r w:rsidRPr="00814614">
        <w:rPr>
          <w:rFonts w:eastAsia="Times New Roman"/>
          <w:color w:val="0D0D0D"/>
          <w:sz w:val="24"/>
          <w:szCs w:val="24"/>
          <w:highlight w:val="white"/>
        </w:rPr>
        <w:t xml:space="preserve">, 105151. </w:t>
      </w:r>
      <w:hyperlink r:id="rId39">
        <w:r w:rsidRPr="00814614">
          <w:rPr>
            <w:rFonts w:eastAsia="Times New Roman"/>
            <w:color w:val="1155CC"/>
            <w:sz w:val="24"/>
            <w:szCs w:val="24"/>
            <w:highlight w:val="white"/>
            <w:u w:val="single"/>
          </w:rPr>
          <w:t>https://doi.org/10.1016/j.engappai.2022.105151</w:t>
        </w:r>
      </w:hyperlink>
      <w:r w:rsidRPr="00814614">
        <w:rPr>
          <w:rFonts w:eastAsia="Times New Roman"/>
          <w:color w:val="0D0D0D"/>
          <w:sz w:val="24"/>
          <w:szCs w:val="24"/>
          <w:highlight w:val="white"/>
        </w:rPr>
        <w:t xml:space="preserve"> </w:t>
      </w:r>
    </w:p>
    <w:p w14:paraId="38ACCEBE" w14:textId="77777777" w:rsidR="007C0019" w:rsidRPr="00814614" w:rsidRDefault="002431C8" w:rsidP="00814614">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ind w:left="720" w:hanging="720"/>
        <w:jc w:val="both"/>
        <w:rPr>
          <w:rFonts w:eastAsia="Times New Roman"/>
          <w:color w:val="0D0D0D"/>
          <w:sz w:val="24"/>
          <w:szCs w:val="24"/>
          <w:highlight w:val="white"/>
        </w:rPr>
      </w:pPr>
      <w:r w:rsidRPr="00814614">
        <w:rPr>
          <w:rFonts w:eastAsia="Times New Roman"/>
          <w:color w:val="0D0D0D"/>
          <w:sz w:val="24"/>
          <w:szCs w:val="24"/>
          <w:highlight w:val="white"/>
        </w:rPr>
        <w:t xml:space="preserve">Gregory, A. (2024). </w:t>
      </w:r>
      <w:r w:rsidRPr="00814614">
        <w:rPr>
          <w:rFonts w:eastAsia="Times New Roman"/>
          <w:i/>
          <w:color w:val="0D0D0D"/>
          <w:sz w:val="24"/>
          <w:szCs w:val="24"/>
          <w:highlight w:val="white"/>
        </w:rPr>
        <w:t>Algorithm could help prevent thousands of strokes in UK each year</w:t>
      </w:r>
      <w:r w:rsidRPr="00814614">
        <w:rPr>
          <w:rFonts w:eastAsia="Times New Roman"/>
          <w:color w:val="0D0D0D"/>
          <w:sz w:val="24"/>
          <w:szCs w:val="24"/>
          <w:highlight w:val="white"/>
        </w:rPr>
        <w:t xml:space="preserve">. The Guardian; The Guardian. </w:t>
      </w:r>
      <w:hyperlink r:id="rId40">
        <w:r w:rsidRPr="00814614">
          <w:rPr>
            <w:rFonts w:eastAsia="Times New Roman"/>
            <w:color w:val="1155CC"/>
            <w:sz w:val="24"/>
            <w:szCs w:val="24"/>
            <w:highlight w:val="white"/>
            <w:u w:val="single"/>
          </w:rPr>
          <w:t>https://www.theguardian.com/society/2024/dec/28/algorithm-could-help-prevent-thousands-of-strokes-in-uk-each-year?utm_</w:t>
        </w:r>
      </w:hyperlink>
      <w:r w:rsidRPr="00814614">
        <w:rPr>
          <w:rFonts w:eastAsia="Times New Roman"/>
          <w:color w:val="0D0D0D"/>
          <w:sz w:val="24"/>
          <w:szCs w:val="24"/>
          <w:highlight w:val="white"/>
        </w:rPr>
        <w:t xml:space="preserve"> </w:t>
      </w:r>
    </w:p>
    <w:p w14:paraId="5884172E" w14:textId="77777777" w:rsidR="007C0019" w:rsidRPr="00814614" w:rsidRDefault="002431C8" w:rsidP="00814614">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ind w:left="720" w:hanging="720"/>
        <w:jc w:val="both"/>
        <w:rPr>
          <w:rFonts w:eastAsia="Times New Roman"/>
          <w:color w:val="0D0D0D"/>
          <w:sz w:val="24"/>
          <w:szCs w:val="24"/>
          <w:highlight w:val="white"/>
        </w:rPr>
      </w:pPr>
      <w:proofErr w:type="spellStart"/>
      <w:r w:rsidRPr="00814614">
        <w:rPr>
          <w:rFonts w:eastAsia="Times New Roman"/>
          <w:color w:val="0D0D0D"/>
          <w:sz w:val="24"/>
          <w:szCs w:val="24"/>
          <w:highlight w:val="white"/>
        </w:rPr>
        <w:t>Hamidou</w:t>
      </w:r>
      <w:proofErr w:type="spellEnd"/>
      <w:r w:rsidRPr="00814614">
        <w:rPr>
          <w:rFonts w:eastAsia="Times New Roman"/>
          <w:color w:val="0D0D0D"/>
          <w:sz w:val="24"/>
          <w:szCs w:val="24"/>
          <w:highlight w:val="white"/>
        </w:rPr>
        <w:t xml:space="preserve">, B. (2024). Adaptive time-aware LSTM for predicting and interpreting ICU patient trajectories from irregular data. </w:t>
      </w:r>
      <w:proofErr w:type="spellStart"/>
      <w:r w:rsidRPr="00814614">
        <w:rPr>
          <w:rFonts w:eastAsia="Times New Roman"/>
          <w:i/>
          <w:color w:val="0D0D0D"/>
          <w:sz w:val="24"/>
          <w:szCs w:val="24"/>
          <w:highlight w:val="white"/>
        </w:rPr>
        <w:t>Hal.science</w:t>
      </w:r>
      <w:proofErr w:type="spellEnd"/>
      <w:r w:rsidRPr="00814614">
        <w:rPr>
          <w:rFonts w:eastAsia="Times New Roman"/>
          <w:color w:val="0D0D0D"/>
          <w:sz w:val="24"/>
          <w:szCs w:val="24"/>
          <w:highlight w:val="white"/>
        </w:rPr>
        <w:t xml:space="preserve">. </w:t>
      </w:r>
      <w:hyperlink r:id="rId41">
        <w:r w:rsidRPr="00814614">
          <w:rPr>
            <w:rFonts w:eastAsia="Times New Roman"/>
            <w:color w:val="1155CC"/>
            <w:sz w:val="24"/>
            <w:szCs w:val="24"/>
            <w:highlight w:val="white"/>
            <w:u w:val="single"/>
          </w:rPr>
          <w:t>https://theses.hal.science/tel-04803801</w:t>
        </w:r>
      </w:hyperlink>
      <w:r w:rsidRPr="00814614">
        <w:rPr>
          <w:rFonts w:eastAsia="Times New Roman"/>
          <w:color w:val="0D0D0D"/>
          <w:sz w:val="24"/>
          <w:szCs w:val="24"/>
          <w:highlight w:val="white"/>
        </w:rPr>
        <w:t xml:space="preserve">  </w:t>
      </w:r>
    </w:p>
    <w:p w14:paraId="5E7A167A" w14:textId="77777777" w:rsidR="007C0019" w:rsidRPr="00814614" w:rsidRDefault="002431C8" w:rsidP="00814614">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ind w:left="720" w:hanging="720"/>
        <w:jc w:val="both"/>
        <w:rPr>
          <w:rFonts w:eastAsia="Times New Roman"/>
          <w:color w:val="0D0D0D"/>
          <w:sz w:val="24"/>
          <w:szCs w:val="24"/>
          <w:highlight w:val="white"/>
        </w:rPr>
      </w:pPr>
      <w:proofErr w:type="spellStart"/>
      <w:r w:rsidRPr="00814614">
        <w:rPr>
          <w:rFonts w:eastAsia="Times New Roman"/>
          <w:color w:val="0D0D0D"/>
          <w:sz w:val="24"/>
          <w:szCs w:val="24"/>
          <w:highlight w:val="white"/>
        </w:rPr>
        <w:t>Kalusivalingam</w:t>
      </w:r>
      <w:proofErr w:type="spellEnd"/>
      <w:r w:rsidRPr="00814614">
        <w:rPr>
          <w:rFonts w:eastAsia="Times New Roman"/>
          <w:color w:val="0D0D0D"/>
          <w:sz w:val="24"/>
          <w:szCs w:val="24"/>
          <w:highlight w:val="white"/>
        </w:rPr>
        <w:t xml:space="preserve">, A. K., Sharma, A., Patel, N., &amp; Singh, V. (2021). Leveraging SHAP and LIME for Enhanced </w:t>
      </w:r>
      <w:proofErr w:type="spellStart"/>
      <w:r w:rsidRPr="00814614">
        <w:rPr>
          <w:rFonts w:eastAsia="Times New Roman"/>
          <w:color w:val="0D0D0D"/>
          <w:sz w:val="24"/>
          <w:szCs w:val="24"/>
          <w:highlight w:val="white"/>
        </w:rPr>
        <w:t>Explainability</w:t>
      </w:r>
      <w:proofErr w:type="spellEnd"/>
      <w:r w:rsidRPr="00814614">
        <w:rPr>
          <w:rFonts w:eastAsia="Times New Roman"/>
          <w:color w:val="0D0D0D"/>
          <w:sz w:val="24"/>
          <w:szCs w:val="24"/>
          <w:highlight w:val="white"/>
        </w:rPr>
        <w:t xml:space="preserve"> in AI-Driven Diagnostic Systems. </w:t>
      </w:r>
      <w:r w:rsidRPr="00814614">
        <w:rPr>
          <w:rFonts w:eastAsia="Times New Roman"/>
          <w:i/>
          <w:color w:val="0D0D0D"/>
          <w:sz w:val="24"/>
          <w:szCs w:val="24"/>
          <w:highlight w:val="white"/>
        </w:rPr>
        <w:t>International Journal of AI and ML</w:t>
      </w:r>
      <w:r w:rsidRPr="00814614">
        <w:rPr>
          <w:rFonts w:eastAsia="Times New Roman"/>
          <w:color w:val="0D0D0D"/>
          <w:sz w:val="24"/>
          <w:szCs w:val="24"/>
          <w:highlight w:val="white"/>
        </w:rPr>
        <w:t xml:space="preserve">, </w:t>
      </w:r>
      <w:r w:rsidRPr="00814614">
        <w:rPr>
          <w:rFonts w:eastAsia="Times New Roman"/>
          <w:i/>
          <w:color w:val="0D0D0D"/>
          <w:sz w:val="24"/>
          <w:szCs w:val="24"/>
          <w:highlight w:val="white"/>
        </w:rPr>
        <w:t>2</w:t>
      </w:r>
      <w:r w:rsidRPr="00814614">
        <w:rPr>
          <w:rFonts w:eastAsia="Times New Roman"/>
          <w:color w:val="0D0D0D"/>
          <w:sz w:val="24"/>
          <w:szCs w:val="24"/>
          <w:highlight w:val="white"/>
        </w:rPr>
        <w:t xml:space="preserve">(3). </w:t>
      </w:r>
      <w:hyperlink r:id="rId42">
        <w:r w:rsidRPr="00814614">
          <w:rPr>
            <w:rFonts w:eastAsia="Times New Roman"/>
            <w:color w:val="1155CC"/>
            <w:sz w:val="24"/>
            <w:szCs w:val="24"/>
            <w:highlight w:val="white"/>
            <w:u w:val="single"/>
          </w:rPr>
          <w:t>https://cognitivecomputingjournal.com/index.php/IJAIML-V1/article/view/81</w:t>
        </w:r>
      </w:hyperlink>
      <w:r w:rsidRPr="00814614">
        <w:rPr>
          <w:rFonts w:eastAsia="Times New Roman"/>
          <w:color w:val="0D0D0D"/>
          <w:sz w:val="24"/>
          <w:szCs w:val="24"/>
          <w:highlight w:val="white"/>
        </w:rPr>
        <w:t xml:space="preserve"> </w:t>
      </w:r>
    </w:p>
    <w:p w14:paraId="0CBD2D33" w14:textId="77777777" w:rsidR="007C0019" w:rsidRPr="00814614" w:rsidRDefault="002431C8" w:rsidP="00814614">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ind w:left="720" w:hanging="720"/>
        <w:jc w:val="both"/>
        <w:rPr>
          <w:rFonts w:eastAsia="Times New Roman"/>
          <w:color w:val="0D0D0D"/>
          <w:sz w:val="24"/>
          <w:szCs w:val="24"/>
          <w:highlight w:val="white"/>
        </w:rPr>
      </w:pPr>
      <w:proofErr w:type="spellStart"/>
      <w:r w:rsidRPr="00814614">
        <w:rPr>
          <w:rFonts w:eastAsia="Times New Roman"/>
          <w:color w:val="0D0D0D"/>
          <w:sz w:val="24"/>
          <w:szCs w:val="24"/>
          <w:highlight w:val="white"/>
        </w:rPr>
        <w:t>Khoei</w:t>
      </w:r>
      <w:proofErr w:type="spellEnd"/>
      <w:r w:rsidRPr="00814614">
        <w:rPr>
          <w:rFonts w:eastAsia="Times New Roman"/>
          <w:color w:val="0D0D0D"/>
          <w:sz w:val="24"/>
          <w:szCs w:val="24"/>
          <w:highlight w:val="white"/>
        </w:rPr>
        <w:t xml:space="preserve">, T. T., &amp; Singh, A. (2024). Data reduction in big data: a survey of methods, challenges and future directions. </w:t>
      </w:r>
      <w:r w:rsidRPr="00814614">
        <w:rPr>
          <w:rFonts w:eastAsia="Times New Roman"/>
          <w:i/>
          <w:color w:val="0D0D0D"/>
          <w:sz w:val="24"/>
          <w:szCs w:val="24"/>
          <w:highlight w:val="white"/>
        </w:rPr>
        <w:t>International Journal of Data Science and Analytics</w:t>
      </w:r>
      <w:r w:rsidRPr="00814614">
        <w:rPr>
          <w:rFonts w:eastAsia="Times New Roman"/>
          <w:color w:val="0D0D0D"/>
          <w:sz w:val="24"/>
          <w:szCs w:val="24"/>
          <w:highlight w:val="white"/>
        </w:rPr>
        <w:t xml:space="preserve">. </w:t>
      </w:r>
      <w:hyperlink r:id="rId43">
        <w:r w:rsidRPr="00814614">
          <w:rPr>
            <w:rFonts w:eastAsia="Times New Roman"/>
            <w:color w:val="1155CC"/>
            <w:sz w:val="24"/>
            <w:szCs w:val="24"/>
            <w:highlight w:val="white"/>
            <w:u w:val="single"/>
          </w:rPr>
          <w:t>https://doi.org/10.1007/s41060-024-00603-z</w:t>
        </w:r>
      </w:hyperlink>
      <w:r w:rsidRPr="00814614">
        <w:rPr>
          <w:rFonts w:eastAsia="Times New Roman"/>
          <w:color w:val="0D0D0D"/>
          <w:sz w:val="24"/>
          <w:szCs w:val="24"/>
          <w:highlight w:val="white"/>
        </w:rPr>
        <w:t xml:space="preserve"> </w:t>
      </w:r>
    </w:p>
    <w:p w14:paraId="507BC010" w14:textId="77777777" w:rsidR="007C0019" w:rsidRPr="00814614" w:rsidRDefault="002431C8" w:rsidP="00814614">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ind w:left="720" w:hanging="720"/>
        <w:jc w:val="both"/>
        <w:rPr>
          <w:rFonts w:eastAsia="Times New Roman"/>
          <w:color w:val="0D0D0D"/>
          <w:sz w:val="24"/>
          <w:szCs w:val="24"/>
          <w:highlight w:val="white"/>
        </w:rPr>
      </w:pPr>
      <w:proofErr w:type="spellStart"/>
      <w:r w:rsidRPr="00814614">
        <w:rPr>
          <w:rFonts w:eastAsia="Times New Roman"/>
          <w:color w:val="0D0D0D"/>
          <w:sz w:val="24"/>
          <w:szCs w:val="24"/>
          <w:highlight w:val="white"/>
        </w:rPr>
        <w:t>Kolade</w:t>
      </w:r>
      <w:proofErr w:type="spellEnd"/>
      <w:r w:rsidRPr="00814614">
        <w:rPr>
          <w:rFonts w:eastAsia="Times New Roman"/>
          <w:color w:val="0D0D0D"/>
          <w:sz w:val="24"/>
          <w:szCs w:val="24"/>
          <w:highlight w:val="white"/>
        </w:rPr>
        <w:t xml:space="preserve">, T. M., Obioha-Val, O. A., Balogun, A. Y., </w:t>
      </w:r>
      <w:proofErr w:type="spellStart"/>
      <w:r w:rsidRPr="00814614">
        <w:rPr>
          <w:rFonts w:eastAsia="Times New Roman"/>
          <w:color w:val="0D0D0D"/>
          <w:sz w:val="24"/>
          <w:szCs w:val="24"/>
          <w:highlight w:val="white"/>
        </w:rPr>
        <w:t>Gbadebo</w:t>
      </w:r>
      <w:proofErr w:type="spellEnd"/>
      <w:r w:rsidRPr="00814614">
        <w:rPr>
          <w:rFonts w:eastAsia="Times New Roman"/>
          <w:color w:val="0D0D0D"/>
          <w:sz w:val="24"/>
          <w:szCs w:val="24"/>
          <w:highlight w:val="white"/>
        </w:rPr>
        <w:t xml:space="preserve">, M. O., &amp; </w:t>
      </w:r>
      <w:proofErr w:type="spellStart"/>
      <w:r w:rsidRPr="00814614">
        <w:rPr>
          <w:rFonts w:eastAsia="Times New Roman"/>
          <w:color w:val="0D0D0D"/>
          <w:sz w:val="24"/>
          <w:szCs w:val="24"/>
          <w:highlight w:val="white"/>
        </w:rPr>
        <w:t>Olaniyi</w:t>
      </w:r>
      <w:proofErr w:type="spellEnd"/>
      <w:r w:rsidRPr="00814614">
        <w:rPr>
          <w:rFonts w:eastAsia="Times New Roman"/>
          <w:color w:val="0D0D0D"/>
          <w:sz w:val="24"/>
          <w:szCs w:val="24"/>
          <w:highlight w:val="white"/>
        </w:rPr>
        <w:t xml:space="preserve">, O. O. (2025). AI-Driven Open Source Intelligence in Cyber </w:t>
      </w:r>
      <w:proofErr w:type="spellStart"/>
      <w:r w:rsidRPr="00814614">
        <w:rPr>
          <w:rFonts w:eastAsia="Times New Roman"/>
          <w:color w:val="0D0D0D"/>
          <w:sz w:val="24"/>
          <w:szCs w:val="24"/>
          <w:highlight w:val="white"/>
        </w:rPr>
        <w:t>Defense</w:t>
      </w:r>
      <w:proofErr w:type="spellEnd"/>
      <w:r w:rsidRPr="00814614">
        <w:rPr>
          <w:rFonts w:eastAsia="Times New Roman"/>
          <w:color w:val="0D0D0D"/>
          <w:sz w:val="24"/>
          <w:szCs w:val="24"/>
          <w:highlight w:val="white"/>
        </w:rPr>
        <w:t xml:space="preserve">: A Double-edged Sword for National Security. </w:t>
      </w:r>
      <w:r w:rsidRPr="00814614">
        <w:rPr>
          <w:rFonts w:eastAsia="Times New Roman"/>
          <w:i/>
          <w:color w:val="0D0D0D"/>
          <w:sz w:val="24"/>
          <w:szCs w:val="24"/>
          <w:highlight w:val="white"/>
        </w:rPr>
        <w:t>Asian Journal of Research in Computer Science</w:t>
      </w:r>
      <w:r w:rsidRPr="00814614">
        <w:rPr>
          <w:rFonts w:eastAsia="Times New Roman"/>
          <w:color w:val="0D0D0D"/>
          <w:sz w:val="24"/>
          <w:szCs w:val="24"/>
          <w:highlight w:val="white"/>
        </w:rPr>
        <w:t xml:space="preserve">, </w:t>
      </w:r>
      <w:r w:rsidRPr="00814614">
        <w:rPr>
          <w:rFonts w:eastAsia="Times New Roman"/>
          <w:i/>
          <w:color w:val="0D0D0D"/>
          <w:sz w:val="24"/>
          <w:szCs w:val="24"/>
          <w:highlight w:val="white"/>
        </w:rPr>
        <w:t>18</w:t>
      </w:r>
      <w:r w:rsidRPr="00814614">
        <w:rPr>
          <w:rFonts w:eastAsia="Times New Roman"/>
          <w:color w:val="0D0D0D"/>
          <w:sz w:val="24"/>
          <w:szCs w:val="24"/>
          <w:highlight w:val="white"/>
        </w:rPr>
        <w:t xml:space="preserve">(1), 133–153. </w:t>
      </w:r>
      <w:hyperlink r:id="rId44">
        <w:r w:rsidRPr="00814614">
          <w:rPr>
            <w:rFonts w:eastAsia="Times New Roman"/>
            <w:color w:val="1155CC"/>
            <w:sz w:val="24"/>
            <w:szCs w:val="24"/>
            <w:highlight w:val="white"/>
            <w:u w:val="single"/>
          </w:rPr>
          <w:t>https://doi.org/10.9734/ajrcos/2025/v18i1554</w:t>
        </w:r>
      </w:hyperlink>
      <w:r w:rsidRPr="00814614">
        <w:rPr>
          <w:rFonts w:eastAsia="Times New Roman"/>
          <w:color w:val="0D0D0D"/>
          <w:sz w:val="24"/>
          <w:szCs w:val="24"/>
          <w:highlight w:val="white"/>
        </w:rPr>
        <w:t xml:space="preserve"> </w:t>
      </w:r>
    </w:p>
    <w:p w14:paraId="36840B0B" w14:textId="77777777" w:rsidR="007C0019" w:rsidRPr="00814614" w:rsidRDefault="002431C8" w:rsidP="00814614">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ind w:left="720" w:hanging="720"/>
        <w:jc w:val="both"/>
        <w:rPr>
          <w:rFonts w:eastAsia="Times New Roman"/>
          <w:color w:val="0D0D0D"/>
          <w:sz w:val="24"/>
          <w:szCs w:val="24"/>
          <w:highlight w:val="white"/>
        </w:rPr>
      </w:pPr>
      <w:proofErr w:type="spellStart"/>
      <w:r w:rsidRPr="00814614">
        <w:rPr>
          <w:rFonts w:eastAsia="Times New Roman"/>
          <w:color w:val="0D0D0D"/>
          <w:sz w:val="24"/>
          <w:szCs w:val="24"/>
          <w:highlight w:val="white"/>
        </w:rPr>
        <w:t>Kyriazos</w:t>
      </w:r>
      <w:proofErr w:type="spellEnd"/>
      <w:r w:rsidRPr="00814614">
        <w:rPr>
          <w:rFonts w:eastAsia="Times New Roman"/>
          <w:color w:val="0D0D0D"/>
          <w:sz w:val="24"/>
          <w:szCs w:val="24"/>
          <w:highlight w:val="white"/>
        </w:rPr>
        <w:t xml:space="preserve">, T., &amp; </w:t>
      </w:r>
      <w:proofErr w:type="spellStart"/>
      <w:r w:rsidRPr="00814614">
        <w:rPr>
          <w:rFonts w:eastAsia="Times New Roman"/>
          <w:color w:val="0D0D0D"/>
          <w:sz w:val="24"/>
          <w:szCs w:val="24"/>
          <w:highlight w:val="white"/>
        </w:rPr>
        <w:t>Poga</w:t>
      </w:r>
      <w:proofErr w:type="spellEnd"/>
      <w:r w:rsidRPr="00814614">
        <w:rPr>
          <w:rFonts w:eastAsia="Times New Roman"/>
          <w:color w:val="0D0D0D"/>
          <w:sz w:val="24"/>
          <w:szCs w:val="24"/>
          <w:highlight w:val="white"/>
        </w:rPr>
        <w:t xml:space="preserve">, M. (2024). Application of Machine Learning Models in Social Sciences: Managing Nonlinear Relationships. </w:t>
      </w:r>
      <w:proofErr w:type="spellStart"/>
      <w:r w:rsidRPr="00814614">
        <w:rPr>
          <w:rFonts w:eastAsia="Times New Roman"/>
          <w:i/>
          <w:color w:val="0D0D0D"/>
          <w:sz w:val="24"/>
          <w:szCs w:val="24"/>
          <w:highlight w:val="white"/>
        </w:rPr>
        <w:t>Encyclopedia</w:t>
      </w:r>
      <w:proofErr w:type="spellEnd"/>
      <w:r w:rsidRPr="00814614">
        <w:rPr>
          <w:rFonts w:eastAsia="Times New Roman"/>
          <w:color w:val="0D0D0D"/>
          <w:sz w:val="24"/>
          <w:szCs w:val="24"/>
          <w:highlight w:val="white"/>
        </w:rPr>
        <w:t xml:space="preserve">, </w:t>
      </w:r>
      <w:r w:rsidRPr="00814614">
        <w:rPr>
          <w:rFonts w:eastAsia="Times New Roman"/>
          <w:i/>
          <w:color w:val="0D0D0D"/>
          <w:sz w:val="24"/>
          <w:szCs w:val="24"/>
          <w:highlight w:val="white"/>
        </w:rPr>
        <w:t>4</w:t>
      </w:r>
      <w:r w:rsidRPr="00814614">
        <w:rPr>
          <w:rFonts w:eastAsia="Times New Roman"/>
          <w:color w:val="0D0D0D"/>
          <w:sz w:val="24"/>
          <w:szCs w:val="24"/>
          <w:highlight w:val="white"/>
        </w:rPr>
        <w:t xml:space="preserve">(4), 1790–1805. </w:t>
      </w:r>
      <w:hyperlink r:id="rId45">
        <w:r w:rsidRPr="00814614">
          <w:rPr>
            <w:rFonts w:eastAsia="Times New Roman"/>
            <w:color w:val="1155CC"/>
            <w:sz w:val="24"/>
            <w:szCs w:val="24"/>
            <w:highlight w:val="white"/>
            <w:u w:val="single"/>
          </w:rPr>
          <w:t>https://doi.org/10.3390/encyclopedia4040118</w:t>
        </w:r>
      </w:hyperlink>
      <w:r w:rsidRPr="00814614">
        <w:rPr>
          <w:rFonts w:eastAsia="Times New Roman"/>
          <w:color w:val="0D0D0D"/>
          <w:sz w:val="24"/>
          <w:szCs w:val="24"/>
          <w:highlight w:val="white"/>
        </w:rPr>
        <w:t xml:space="preserve"> </w:t>
      </w:r>
    </w:p>
    <w:p w14:paraId="02A867B0" w14:textId="77777777" w:rsidR="007C0019" w:rsidRPr="00814614" w:rsidRDefault="002431C8" w:rsidP="00814614">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ind w:left="720" w:hanging="720"/>
        <w:jc w:val="both"/>
        <w:rPr>
          <w:rFonts w:eastAsia="Times New Roman"/>
          <w:color w:val="0D0D0D"/>
          <w:sz w:val="24"/>
          <w:szCs w:val="24"/>
          <w:highlight w:val="white"/>
        </w:rPr>
      </w:pPr>
      <w:r w:rsidRPr="00814614">
        <w:rPr>
          <w:rFonts w:eastAsia="Times New Roman"/>
          <w:color w:val="0D0D0D"/>
          <w:sz w:val="24"/>
          <w:szCs w:val="24"/>
          <w:highlight w:val="white"/>
        </w:rPr>
        <w:t xml:space="preserve">Liu, V. B., Sue, L. Y., &amp; Wu, Y. (2024). Comparison of machine learning models for predicting 30-day readmission rates for patients with diabetes. </w:t>
      </w:r>
      <w:r w:rsidRPr="00814614">
        <w:rPr>
          <w:rFonts w:eastAsia="Times New Roman"/>
          <w:i/>
          <w:color w:val="0D0D0D"/>
          <w:sz w:val="24"/>
          <w:szCs w:val="24"/>
          <w:highlight w:val="white"/>
        </w:rPr>
        <w:t>Journal of Medical Artificial Intelligence</w:t>
      </w:r>
      <w:r w:rsidRPr="00814614">
        <w:rPr>
          <w:rFonts w:eastAsia="Times New Roman"/>
          <w:color w:val="0D0D0D"/>
          <w:sz w:val="24"/>
          <w:szCs w:val="24"/>
          <w:highlight w:val="white"/>
        </w:rPr>
        <w:t xml:space="preserve">, </w:t>
      </w:r>
      <w:r w:rsidRPr="00814614">
        <w:rPr>
          <w:rFonts w:eastAsia="Times New Roman"/>
          <w:i/>
          <w:color w:val="0D0D0D"/>
          <w:sz w:val="24"/>
          <w:szCs w:val="24"/>
          <w:highlight w:val="white"/>
        </w:rPr>
        <w:t>7</w:t>
      </w:r>
      <w:r w:rsidRPr="00814614">
        <w:rPr>
          <w:rFonts w:eastAsia="Times New Roman"/>
          <w:color w:val="0D0D0D"/>
          <w:sz w:val="24"/>
          <w:szCs w:val="24"/>
          <w:highlight w:val="white"/>
        </w:rPr>
        <w:t xml:space="preserve">, 23–23. </w:t>
      </w:r>
      <w:hyperlink r:id="rId46">
        <w:r w:rsidRPr="00814614">
          <w:rPr>
            <w:rFonts w:eastAsia="Times New Roman"/>
            <w:color w:val="1155CC"/>
            <w:sz w:val="24"/>
            <w:szCs w:val="24"/>
            <w:highlight w:val="white"/>
            <w:u w:val="single"/>
          </w:rPr>
          <w:t>https://doi.org/10.21037/jmai-24-70</w:t>
        </w:r>
      </w:hyperlink>
      <w:r w:rsidRPr="00814614">
        <w:rPr>
          <w:rFonts w:eastAsia="Times New Roman"/>
          <w:color w:val="0D0D0D"/>
          <w:sz w:val="24"/>
          <w:szCs w:val="24"/>
          <w:highlight w:val="white"/>
        </w:rPr>
        <w:t xml:space="preserve"> </w:t>
      </w:r>
    </w:p>
    <w:p w14:paraId="119E7161" w14:textId="77777777" w:rsidR="007C0019" w:rsidRPr="00814614" w:rsidRDefault="002431C8" w:rsidP="00814614">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ind w:left="720" w:hanging="720"/>
        <w:jc w:val="both"/>
        <w:rPr>
          <w:rFonts w:eastAsia="Times New Roman"/>
          <w:color w:val="0D0D0D"/>
          <w:sz w:val="24"/>
          <w:szCs w:val="24"/>
          <w:highlight w:val="white"/>
        </w:rPr>
      </w:pPr>
      <w:proofErr w:type="spellStart"/>
      <w:r w:rsidRPr="00814614">
        <w:rPr>
          <w:rFonts w:eastAsia="Times New Roman"/>
          <w:color w:val="0D0D0D"/>
          <w:sz w:val="24"/>
          <w:szCs w:val="24"/>
          <w:highlight w:val="white"/>
        </w:rPr>
        <w:t>Lixte</w:t>
      </w:r>
      <w:proofErr w:type="spellEnd"/>
      <w:r w:rsidRPr="00814614">
        <w:rPr>
          <w:rFonts w:eastAsia="Times New Roman"/>
          <w:color w:val="0D0D0D"/>
          <w:sz w:val="24"/>
          <w:szCs w:val="24"/>
          <w:highlight w:val="white"/>
        </w:rPr>
        <w:t xml:space="preserve"> Biotechnology. (2023). </w:t>
      </w:r>
      <w:r w:rsidRPr="00814614">
        <w:rPr>
          <w:rFonts w:eastAsia="Times New Roman"/>
          <w:i/>
          <w:color w:val="0D0D0D"/>
          <w:sz w:val="24"/>
          <w:szCs w:val="24"/>
          <w:highlight w:val="white"/>
        </w:rPr>
        <w:t>Preclinical Results of LIXTE Biotechnology’s Collaboration with Netherlands Cancer Institute Reveal Novel Mechanism by which LIXTE’s Lead Clinical Compound LB-100 Enhances Effectiveness of Immunotherapy and Chemotherapy</w:t>
      </w:r>
      <w:r w:rsidRPr="00814614">
        <w:rPr>
          <w:rFonts w:eastAsia="Times New Roman"/>
          <w:color w:val="0D0D0D"/>
          <w:sz w:val="24"/>
          <w:szCs w:val="24"/>
          <w:highlight w:val="white"/>
        </w:rPr>
        <w:t xml:space="preserve">. GlobeNewswire News Room; </w:t>
      </w:r>
      <w:proofErr w:type="spellStart"/>
      <w:r w:rsidRPr="00814614">
        <w:rPr>
          <w:rFonts w:eastAsia="Times New Roman"/>
          <w:color w:val="0D0D0D"/>
          <w:sz w:val="24"/>
          <w:szCs w:val="24"/>
          <w:highlight w:val="white"/>
        </w:rPr>
        <w:t>Lixte</w:t>
      </w:r>
      <w:proofErr w:type="spellEnd"/>
      <w:r w:rsidRPr="00814614">
        <w:rPr>
          <w:rFonts w:eastAsia="Times New Roman"/>
          <w:color w:val="0D0D0D"/>
          <w:sz w:val="24"/>
          <w:szCs w:val="24"/>
          <w:highlight w:val="white"/>
        </w:rPr>
        <w:t xml:space="preserve"> Biotechnology Holdings, Inc. </w:t>
      </w:r>
      <w:hyperlink r:id="rId47">
        <w:r w:rsidRPr="00814614">
          <w:rPr>
            <w:rFonts w:eastAsia="Times New Roman"/>
            <w:color w:val="1155CC"/>
            <w:sz w:val="24"/>
            <w:szCs w:val="24"/>
            <w:highlight w:val="white"/>
            <w:u w:val="single"/>
          </w:rPr>
          <w:t>https://www.globenewswire.com/en/news-release/2023/07/17/2705665/0/en/Healthcare-Predictive-Analytics-Market-Size-Worth-USD-126-15-Billion-in-2032-Rising-at-a-Market-Growth-of-27-67-CAGR.html</w:t>
        </w:r>
      </w:hyperlink>
      <w:r w:rsidRPr="00814614">
        <w:rPr>
          <w:rFonts w:eastAsia="Times New Roman"/>
          <w:color w:val="0D0D0D"/>
          <w:sz w:val="24"/>
          <w:szCs w:val="24"/>
          <w:highlight w:val="white"/>
        </w:rPr>
        <w:t xml:space="preserve"> </w:t>
      </w:r>
    </w:p>
    <w:p w14:paraId="067050B0" w14:textId="77777777" w:rsidR="007C0019" w:rsidRPr="00814614" w:rsidRDefault="002431C8" w:rsidP="00814614">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ind w:left="720" w:hanging="720"/>
        <w:jc w:val="both"/>
        <w:rPr>
          <w:rFonts w:eastAsia="Times New Roman"/>
          <w:color w:val="0D0D0D"/>
          <w:sz w:val="24"/>
          <w:szCs w:val="24"/>
          <w:highlight w:val="white"/>
        </w:rPr>
      </w:pPr>
      <w:r w:rsidRPr="00814614">
        <w:rPr>
          <w:rFonts w:eastAsia="Times New Roman"/>
          <w:color w:val="0D0D0D"/>
          <w:sz w:val="24"/>
          <w:szCs w:val="24"/>
          <w:highlight w:val="white"/>
        </w:rPr>
        <w:t xml:space="preserve">Lu, W. (2024). Inevitable challenges of autonomy: ethical concerns in personalized algorithmic decision-making. </w:t>
      </w:r>
      <w:r w:rsidRPr="00814614">
        <w:rPr>
          <w:rFonts w:eastAsia="Times New Roman"/>
          <w:i/>
          <w:color w:val="0D0D0D"/>
          <w:sz w:val="24"/>
          <w:szCs w:val="24"/>
          <w:highlight w:val="white"/>
        </w:rPr>
        <w:t>Humanities and Social Sciences Communications</w:t>
      </w:r>
      <w:r w:rsidRPr="00814614">
        <w:rPr>
          <w:rFonts w:eastAsia="Times New Roman"/>
          <w:color w:val="0D0D0D"/>
          <w:sz w:val="24"/>
          <w:szCs w:val="24"/>
          <w:highlight w:val="white"/>
        </w:rPr>
        <w:t xml:space="preserve">, </w:t>
      </w:r>
      <w:r w:rsidRPr="00814614">
        <w:rPr>
          <w:rFonts w:eastAsia="Times New Roman"/>
          <w:i/>
          <w:color w:val="0D0D0D"/>
          <w:sz w:val="24"/>
          <w:szCs w:val="24"/>
          <w:highlight w:val="white"/>
        </w:rPr>
        <w:t>11</w:t>
      </w:r>
      <w:r w:rsidRPr="00814614">
        <w:rPr>
          <w:rFonts w:eastAsia="Times New Roman"/>
          <w:color w:val="0D0D0D"/>
          <w:sz w:val="24"/>
          <w:szCs w:val="24"/>
          <w:highlight w:val="white"/>
        </w:rPr>
        <w:t xml:space="preserve">(1). </w:t>
      </w:r>
      <w:hyperlink r:id="rId48">
        <w:r w:rsidRPr="00814614">
          <w:rPr>
            <w:rFonts w:eastAsia="Times New Roman"/>
            <w:color w:val="1155CC"/>
            <w:sz w:val="24"/>
            <w:szCs w:val="24"/>
            <w:highlight w:val="white"/>
            <w:u w:val="single"/>
          </w:rPr>
          <w:t>https://doi.org/10.1057/s41599-024-03864-y</w:t>
        </w:r>
      </w:hyperlink>
      <w:r w:rsidRPr="00814614">
        <w:rPr>
          <w:rFonts w:eastAsia="Times New Roman"/>
          <w:color w:val="0D0D0D"/>
          <w:sz w:val="24"/>
          <w:szCs w:val="24"/>
          <w:highlight w:val="white"/>
        </w:rPr>
        <w:t xml:space="preserve"> </w:t>
      </w:r>
    </w:p>
    <w:p w14:paraId="1DD42E21" w14:textId="77777777" w:rsidR="007C0019" w:rsidRPr="00814614" w:rsidRDefault="002431C8" w:rsidP="00814614">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ind w:left="720" w:hanging="720"/>
        <w:jc w:val="both"/>
        <w:rPr>
          <w:rFonts w:eastAsia="Times New Roman"/>
          <w:color w:val="0D0D0D"/>
          <w:sz w:val="24"/>
          <w:szCs w:val="24"/>
          <w:highlight w:val="white"/>
        </w:rPr>
      </w:pPr>
      <w:proofErr w:type="spellStart"/>
      <w:r w:rsidRPr="00814614">
        <w:rPr>
          <w:rFonts w:eastAsia="Times New Roman"/>
          <w:color w:val="0D0D0D"/>
          <w:sz w:val="24"/>
          <w:szCs w:val="24"/>
          <w:highlight w:val="white"/>
        </w:rPr>
        <w:lastRenderedPageBreak/>
        <w:t>Maleki</w:t>
      </w:r>
      <w:proofErr w:type="spellEnd"/>
      <w:r w:rsidRPr="00814614">
        <w:rPr>
          <w:rFonts w:eastAsia="Times New Roman"/>
          <w:color w:val="0D0D0D"/>
          <w:sz w:val="24"/>
          <w:szCs w:val="24"/>
          <w:highlight w:val="white"/>
        </w:rPr>
        <w:t xml:space="preserve">, F., Ovens, K., Gupta, R., Reinhold, C., </w:t>
      </w:r>
      <w:proofErr w:type="spellStart"/>
      <w:r w:rsidRPr="00814614">
        <w:rPr>
          <w:rFonts w:eastAsia="Times New Roman"/>
          <w:color w:val="0D0D0D"/>
          <w:sz w:val="24"/>
          <w:szCs w:val="24"/>
          <w:highlight w:val="white"/>
        </w:rPr>
        <w:t>Spatz</w:t>
      </w:r>
      <w:proofErr w:type="spellEnd"/>
      <w:r w:rsidRPr="00814614">
        <w:rPr>
          <w:rFonts w:eastAsia="Times New Roman"/>
          <w:color w:val="0D0D0D"/>
          <w:sz w:val="24"/>
          <w:szCs w:val="24"/>
          <w:highlight w:val="white"/>
        </w:rPr>
        <w:t xml:space="preserve">, A., &amp; </w:t>
      </w:r>
      <w:proofErr w:type="spellStart"/>
      <w:r w:rsidRPr="00814614">
        <w:rPr>
          <w:rFonts w:eastAsia="Times New Roman"/>
          <w:color w:val="0D0D0D"/>
          <w:sz w:val="24"/>
          <w:szCs w:val="24"/>
          <w:highlight w:val="white"/>
        </w:rPr>
        <w:t>Forghani</w:t>
      </w:r>
      <w:proofErr w:type="spellEnd"/>
      <w:r w:rsidRPr="00814614">
        <w:rPr>
          <w:rFonts w:eastAsia="Times New Roman"/>
          <w:color w:val="0D0D0D"/>
          <w:sz w:val="24"/>
          <w:szCs w:val="24"/>
          <w:highlight w:val="white"/>
        </w:rPr>
        <w:t xml:space="preserve">, R. (2022). Generalizability of Machine Learning Models: Quantitative Evaluation of Three Methodological Pitfalls. </w:t>
      </w:r>
      <w:r w:rsidRPr="00814614">
        <w:rPr>
          <w:rFonts w:eastAsia="Times New Roman"/>
          <w:i/>
          <w:color w:val="0D0D0D"/>
          <w:sz w:val="24"/>
          <w:szCs w:val="24"/>
          <w:highlight w:val="white"/>
        </w:rPr>
        <w:t>Radiology: Artificial Intelligence</w:t>
      </w:r>
      <w:r w:rsidRPr="00814614">
        <w:rPr>
          <w:rFonts w:eastAsia="Times New Roman"/>
          <w:color w:val="0D0D0D"/>
          <w:sz w:val="24"/>
          <w:szCs w:val="24"/>
          <w:highlight w:val="white"/>
        </w:rPr>
        <w:t xml:space="preserve">, </w:t>
      </w:r>
      <w:r w:rsidRPr="00814614">
        <w:rPr>
          <w:rFonts w:eastAsia="Times New Roman"/>
          <w:i/>
          <w:color w:val="0D0D0D"/>
          <w:sz w:val="24"/>
          <w:szCs w:val="24"/>
          <w:highlight w:val="white"/>
        </w:rPr>
        <w:t>5</w:t>
      </w:r>
      <w:r w:rsidRPr="00814614">
        <w:rPr>
          <w:rFonts w:eastAsia="Times New Roman"/>
          <w:color w:val="0D0D0D"/>
          <w:sz w:val="24"/>
          <w:szCs w:val="24"/>
          <w:highlight w:val="white"/>
        </w:rPr>
        <w:t xml:space="preserve">(1). </w:t>
      </w:r>
      <w:hyperlink r:id="rId49">
        <w:r w:rsidRPr="00814614">
          <w:rPr>
            <w:rFonts w:eastAsia="Times New Roman"/>
            <w:color w:val="1155CC"/>
            <w:sz w:val="24"/>
            <w:szCs w:val="24"/>
            <w:highlight w:val="white"/>
            <w:u w:val="single"/>
          </w:rPr>
          <w:t>https://doi.org/10.1148/ryai.220028</w:t>
        </w:r>
      </w:hyperlink>
      <w:r w:rsidRPr="00814614">
        <w:rPr>
          <w:rFonts w:eastAsia="Times New Roman"/>
          <w:color w:val="0D0D0D"/>
          <w:sz w:val="24"/>
          <w:szCs w:val="24"/>
          <w:highlight w:val="white"/>
        </w:rPr>
        <w:t xml:space="preserve"> </w:t>
      </w:r>
    </w:p>
    <w:p w14:paraId="6FFA78AF" w14:textId="77777777" w:rsidR="007C0019" w:rsidRPr="00814614" w:rsidRDefault="002431C8" w:rsidP="00814614">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ind w:left="720" w:hanging="720"/>
        <w:jc w:val="both"/>
        <w:rPr>
          <w:rFonts w:eastAsia="Times New Roman"/>
          <w:color w:val="0D0D0D"/>
          <w:sz w:val="24"/>
          <w:szCs w:val="24"/>
          <w:highlight w:val="white"/>
        </w:rPr>
      </w:pPr>
      <w:proofErr w:type="spellStart"/>
      <w:r w:rsidRPr="00814614">
        <w:rPr>
          <w:rFonts w:eastAsia="Times New Roman"/>
          <w:color w:val="0D0D0D"/>
          <w:sz w:val="24"/>
          <w:szCs w:val="24"/>
          <w:highlight w:val="white"/>
        </w:rPr>
        <w:t>Metibemu</w:t>
      </w:r>
      <w:proofErr w:type="spellEnd"/>
      <w:r w:rsidRPr="00814614">
        <w:rPr>
          <w:rFonts w:eastAsia="Times New Roman"/>
          <w:color w:val="0D0D0D"/>
          <w:sz w:val="24"/>
          <w:szCs w:val="24"/>
          <w:highlight w:val="white"/>
        </w:rPr>
        <w:t xml:space="preserve">, O. C., </w:t>
      </w:r>
      <w:proofErr w:type="spellStart"/>
      <w:r w:rsidRPr="00814614">
        <w:rPr>
          <w:rFonts w:eastAsia="Times New Roman"/>
          <w:color w:val="0D0D0D"/>
          <w:sz w:val="24"/>
          <w:szCs w:val="24"/>
          <w:highlight w:val="white"/>
        </w:rPr>
        <w:t>Adesokan</w:t>
      </w:r>
      <w:proofErr w:type="spellEnd"/>
      <w:r w:rsidRPr="00814614">
        <w:rPr>
          <w:rFonts w:eastAsia="Times New Roman"/>
          <w:color w:val="0D0D0D"/>
          <w:sz w:val="24"/>
          <w:szCs w:val="24"/>
          <w:highlight w:val="white"/>
        </w:rPr>
        <w:t xml:space="preserve">-Imran, T. O., Ajayi, A. J., </w:t>
      </w:r>
      <w:proofErr w:type="spellStart"/>
      <w:r w:rsidRPr="00814614">
        <w:rPr>
          <w:rFonts w:eastAsia="Times New Roman"/>
          <w:color w:val="0D0D0D"/>
          <w:sz w:val="24"/>
          <w:szCs w:val="24"/>
          <w:highlight w:val="white"/>
        </w:rPr>
        <w:t>Tiwo</w:t>
      </w:r>
      <w:proofErr w:type="spellEnd"/>
      <w:r w:rsidRPr="00814614">
        <w:rPr>
          <w:rFonts w:eastAsia="Times New Roman"/>
          <w:color w:val="0D0D0D"/>
          <w:sz w:val="24"/>
          <w:szCs w:val="24"/>
          <w:highlight w:val="white"/>
        </w:rPr>
        <w:t xml:space="preserve">, O. J., </w:t>
      </w:r>
      <w:proofErr w:type="spellStart"/>
      <w:r w:rsidRPr="00814614">
        <w:rPr>
          <w:rFonts w:eastAsia="Times New Roman"/>
          <w:color w:val="0D0D0D"/>
          <w:sz w:val="24"/>
          <w:szCs w:val="24"/>
          <w:highlight w:val="white"/>
        </w:rPr>
        <w:t>Olutimehin</w:t>
      </w:r>
      <w:proofErr w:type="spellEnd"/>
      <w:r w:rsidRPr="00814614">
        <w:rPr>
          <w:rFonts w:eastAsia="Times New Roman"/>
          <w:color w:val="0D0D0D"/>
          <w:sz w:val="24"/>
          <w:szCs w:val="24"/>
          <w:highlight w:val="white"/>
        </w:rPr>
        <w:t xml:space="preserve">, A. T., &amp; </w:t>
      </w:r>
      <w:proofErr w:type="spellStart"/>
      <w:r w:rsidRPr="00814614">
        <w:rPr>
          <w:rFonts w:eastAsia="Times New Roman"/>
          <w:color w:val="0D0D0D"/>
          <w:sz w:val="24"/>
          <w:szCs w:val="24"/>
          <w:highlight w:val="white"/>
        </w:rPr>
        <w:t>Olaniyi</w:t>
      </w:r>
      <w:proofErr w:type="spellEnd"/>
      <w:r w:rsidRPr="00814614">
        <w:rPr>
          <w:rFonts w:eastAsia="Times New Roman"/>
          <w:color w:val="0D0D0D"/>
          <w:sz w:val="24"/>
          <w:szCs w:val="24"/>
          <w:highlight w:val="white"/>
        </w:rPr>
        <w:t xml:space="preserve">, O. O. (2025). Developing Proactive Threat Mitigation Strategies for Cloud Misconfiguration Risks in Financial SaaS Applications. </w:t>
      </w:r>
      <w:r w:rsidRPr="00814614">
        <w:rPr>
          <w:rFonts w:eastAsia="Times New Roman"/>
          <w:i/>
          <w:color w:val="0D0D0D"/>
          <w:sz w:val="24"/>
          <w:szCs w:val="24"/>
          <w:highlight w:val="white"/>
        </w:rPr>
        <w:t>Journal of Engineering Research and Reports</w:t>
      </w:r>
      <w:r w:rsidRPr="00814614">
        <w:rPr>
          <w:rFonts w:eastAsia="Times New Roman"/>
          <w:color w:val="0D0D0D"/>
          <w:sz w:val="24"/>
          <w:szCs w:val="24"/>
          <w:highlight w:val="white"/>
        </w:rPr>
        <w:t xml:space="preserve">, </w:t>
      </w:r>
      <w:r w:rsidRPr="00814614">
        <w:rPr>
          <w:rFonts w:eastAsia="Times New Roman"/>
          <w:i/>
          <w:color w:val="0D0D0D"/>
          <w:sz w:val="24"/>
          <w:szCs w:val="24"/>
          <w:highlight w:val="white"/>
        </w:rPr>
        <w:t>27</w:t>
      </w:r>
      <w:r w:rsidRPr="00814614">
        <w:rPr>
          <w:rFonts w:eastAsia="Times New Roman"/>
          <w:color w:val="0D0D0D"/>
          <w:sz w:val="24"/>
          <w:szCs w:val="24"/>
          <w:highlight w:val="white"/>
        </w:rPr>
        <w:t xml:space="preserve">(3), 393–413. </w:t>
      </w:r>
      <w:hyperlink r:id="rId50">
        <w:r w:rsidRPr="00814614">
          <w:rPr>
            <w:rFonts w:eastAsia="Times New Roman"/>
            <w:color w:val="1155CC"/>
            <w:sz w:val="24"/>
            <w:szCs w:val="24"/>
            <w:highlight w:val="white"/>
            <w:u w:val="single"/>
          </w:rPr>
          <w:t>https://doi.org/10.9734/jerr/2025/v27i31442</w:t>
        </w:r>
      </w:hyperlink>
      <w:r w:rsidRPr="00814614">
        <w:rPr>
          <w:rFonts w:eastAsia="Times New Roman"/>
          <w:color w:val="0D0D0D"/>
          <w:sz w:val="24"/>
          <w:szCs w:val="24"/>
          <w:highlight w:val="white"/>
        </w:rPr>
        <w:t xml:space="preserve"> </w:t>
      </w:r>
    </w:p>
    <w:p w14:paraId="76F4C376" w14:textId="77777777" w:rsidR="007C0019" w:rsidRPr="00814614" w:rsidRDefault="002431C8" w:rsidP="00814614">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ind w:left="720" w:hanging="720"/>
        <w:jc w:val="both"/>
        <w:rPr>
          <w:rFonts w:eastAsia="Times New Roman"/>
          <w:color w:val="0D0D0D"/>
          <w:sz w:val="24"/>
          <w:szCs w:val="24"/>
          <w:highlight w:val="white"/>
        </w:rPr>
      </w:pPr>
      <w:proofErr w:type="spellStart"/>
      <w:r w:rsidRPr="00814614">
        <w:rPr>
          <w:rFonts w:eastAsia="Times New Roman"/>
          <w:color w:val="0D0D0D"/>
          <w:sz w:val="24"/>
          <w:szCs w:val="24"/>
          <w:highlight w:val="white"/>
        </w:rPr>
        <w:t>Mienye</w:t>
      </w:r>
      <w:proofErr w:type="spellEnd"/>
      <w:r w:rsidRPr="00814614">
        <w:rPr>
          <w:rFonts w:eastAsia="Times New Roman"/>
          <w:color w:val="0D0D0D"/>
          <w:sz w:val="24"/>
          <w:szCs w:val="24"/>
          <w:highlight w:val="white"/>
        </w:rPr>
        <w:t xml:space="preserve">, I. D., </w:t>
      </w:r>
      <w:proofErr w:type="spellStart"/>
      <w:r w:rsidRPr="00814614">
        <w:rPr>
          <w:rFonts w:eastAsia="Times New Roman"/>
          <w:color w:val="0D0D0D"/>
          <w:sz w:val="24"/>
          <w:szCs w:val="24"/>
          <w:highlight w:val="white"/>
        </w:rPr>
        <w:t>Swart</w:t>
      </w:r>
      <w:proofErr w:type="spellEnd"/>
      <w:r w:rsidRPr="00814614">
        <w:rPr>
          <w:rFonts w:eastAsia="Times New Roman"/>
          <w:color w:val="0D0D0D"/>
          <w:sz w:val="24"/>
          <w:szCs w:val="24"/>
          <w:highlight w:val="white"/>
        </w:rPr>
        <w:t xml:space="preserve">, T. G., &amp; </w:t>
      </w:r>
      <w:proofErr w:type="spellStart"/>
      <w:r w:rsidRPr="00814614">
        <w:rPr>
          <w:rFonts w:eastAsia="Times New Roman"/>
          <w:color w:val="0D0D0D"/>
          <w:sz w:val="24"/>
          <w:szCs w:val="24"/>
          <w:highlight w:val="white"/>
        </w:rPr>
        <w:t>Obaido</w:t>
      </w:r>
      <w:proofErr w:type="spellEnd"/>
      <w:r w:rsidRPr="00814614">
        <w:rPr>
          <w:rFonts w:eastAsia="Times New Roman"/>
          <w:color w:val="0D0D0D"/>
          <w:sz w:val="24"/>
          <w:szCs w:val="24"/>
          <w:highlight w:val="white"/>
        </w:rPr>
        <w:t xml:space="preserve">, G. (2024). Recurrent Neural Networks: A Comprehensive Review of Architectures, Variants, and Applications. </w:t>
      </w:r>
      <w:r w:rsidRPr="00814614">
        <w:rPr>
          <w:rFonts w:eastAsia="Times New Roman"/>
          <w:i/>
          <w:color w:val="0D0D0D"/>
          <w:sz w:val="24"/>
          <w:szCs w:val="24"/>
          <w:highlight w:val="white"/>
        </w:rPr>
        <w:t>Information</w:t>
      </w:r>
      <w:r w:rsidRPr="00814614">
        <w:rPr>
          <w:rFonts w:eastAsia="Times New Roman"/>
          <w:color w:val="0D0D0D"/>
          <w:sz w:val="24"/>
          <w:szCs w:val="24"/>
          <w:highlight w:val="white"/>
        </w:rPr>
        <w:t xml:space="preserve">, </w:t>
      </w:r>
      <w:r w:rsidRPr="00814614">
        <w:rPr>
          <w:rFonts w:eastAsia="Times New Roman"/>
          <w:i/>
          <w:color w:val="0D0D0D"/>
          <w:sz w:val="24"/>
          <w:szCs w:val="24"/>
          <w:highlight w:val="white"/>
        </w:rPr>
        <w:t>15</w:t>
      </w:r>
      <w:r w:rsidRPr="00814614">
        <w:rPr>
          <w:rFonts w:eastAsia="Times New Roman"/>
          <w:color w:val="0D0D0D"/>
          <w:sz w:val="24"/>
          <w:szCs w:val="24"/>
          <w:highlight w:val="white"/>
        </w:rPr>
        <w:t xml:space="preserve">(9), 517–517. </w:t>
      </w:r>
      <w:hyperlink r:id="rId51">
        <w:r w:rsidRPr="00814614">
          <w:rPr>
            <w:rFonts w:eastAsia="Times New Roman"/>
            <w:color w:val="1155CC"/>
            <w:sz w:val="24"/>
            <w:szCs w:val="24"/>
            <w:highlight w:val="white"/>
            <w:u w:val="single"/>
          </w:rPr>
          <w:t>https://doi.org/10.3390/info15090517</w:t>
        </w:r>
      </w:hyperlink>
      <w:r w:rsidRPr="00814614">
        <w:rPr>
          <w:rFonts w:eastAsia="Times New Roman"/>
          <w:color w:val="0D0D0D"/>
          <w:sz w:val="24"/>
          <w:szCs w:val="24"/>
          <w:highlight w:val="white"/>
        </w:rPr>
        <w:t xml:space="preserve"> </w:t>
      </w:r>
    </w:p>
    <w:p w14:paraId="26FB89AB" w14:textId="77777777" w:rsidR="007C0019" w:rsidRPr="00814614" w:rsidRDefault="002431C8" w:rsidP="00814614">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ind w:left="720" w:hanging="720"/>
        <w:jc w:val="both"/>
        <w:rPr>
          <w:rFonts w:eastAsia="Times New Roman"/>
          <w:color w:val="0D0D0D"/>
          <w:sz w:val="24"/>
          <w:szCs w:val="24"/>
          <w:highlight w:val="white"/>
        </w:rPr>
      </w:pPr>
      <w:proofErr w:type="spellStart"/>
      <w:r w:rsidRPr="00814614">
        <w:rPr>
          <w:rFonts w:eastAsia="Times New Roman"/>
          <w:color w:val="0D0D0D"/>
          <w:sz w:val="24"/>
          <w:szCs w:val="24"/>
          <w:highlight w:val="white"/>
        </w:rPr>
        <w:t>Musen</w:t>
      </w:r>
      <w:proofErr w:type="spellEnd"/>
      <w:r w:rsidRPr="00814614">
        <w:rPr>
          <w:rFonts w:eastAsia="Times New Roman"/>
          <w:color w:val="0D0D0D"/>
          <w:sz w:val="24"/>
          <w:szCs w:val="24"/>
          <w:highlight w:val="white"/>
        </w:rPr>
        <w:t xml:space="preserve">, M. A., Middleton, B., &amp; </w:t>
      </w:r>
      <w:proofErr w:type="spellStart"/>
      <w:r w:rsidRPr="00814614">
        <w:rPr>
          <w:rFonts w:eastAsia="Times New Roman"/>
          <w:color w:val="0D0D0D"/>
          <w:sz w:val="24"/>
          <w:szCs w:val="24"/>
          <w:highlight w:val="white"/>
        </w:rPr>
        <w:t>Greenes</w:t>
      </w:r>
      <w:proofErr w:type="spellEnd"/>
      <w:r w:rsidRPr="00814614">
        <w:rPr>
          <w:rFonts w:eastAsia="Times New Roman"/>
          <w:color w:val="0D0D0D"/>
          <w:sz w:val="24"/>
          <w:szCs w:val="24"/>
          <w:highlight w:val="white"/>
        </w:rPr>
        <w:t xml:space="preserve">, R. A. (2021). Clinical Decision-Support Systems. </w:t>
      </w:r>
      <w:r w:rsidRPr="00814614">
        <w:rPr>
          <w:rFonts w:eastAsia="Times New Roman"/>
          <w:i/>
          <w:color w:val="0D0D0D"/>
          <w:sz w:val="24"/>
          <w:szCs w:val="24"/>
          <w:highlight w:val="white"/>
        </w:rPr>
        <w:t>Biomedical Informatics</w:t>
      </w:r>
      <w:r w:rsidRPr="00814614">
        <w:rPr>
          <w:rFonts w:eastAsia="Times New Roman"/>
          <w:color w:val="0D0D0D"/>
          <w:sz w:val="24"/>
          <w:szCs w:val="24"/>
          <w:highlight w:val="white"/>
        </w:rPr>
        <w:t xml:space="preserve">, 795–840. </w:t>
      </w:r>
      <w:hyperlink r:id="rId52">
        <w:r w:rsidRPr="00814614">
          <w:rPr>
            <w:rFonts w:eastAsia="Times New Roman"/>
            <w:color w:val="1155CC"/>
            <w:sz w:val="24"/>
            <w:szCs w:val="24"/>
            <w:highlight w:val="white"/>
            <w:u w:val="single"/>
          </w:rPr>
          <w:t>https://doi.org/10.1007/978-3-030-58721-5_24</w:t>
        </w:r>
      </w:hyperlink>
      <w:r w:rsidRPr="00814614">
        <w:rPr>
          <w:rFonts w:eastAsia="Times New Roman"/>
          <w:color w:val="0D0D0D"/>
          <w:sz w:val="24"/>
          <w:szCs w:val="24"/>
          <w:highlight w:val="white"/>
        </w:rPr>
        <w:t xml:space="preserve"> </w:t>
      </w:r>
    </w:p>
    <w:p w14:paraId="1ADD2C15" w14:textId="77777777" w:rsidR="007C0019" w:rsidRPr="00814614" w:rsidRDefault="002431C8" w:rsidP="00814614">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ind w:left="720" w:hanging="720"/>
        <w:jc w:val="both"/>
        <w:rPr>
          <w:rFonts w:eastAsia="Times New Roman"/>
          <w:color w:val="0D0D0D"/>
          <w:sz w:val="24"/>
          <w:szCs w:val="24"/>
          <w:highlight w:val="white"/>
        </w:rPr>
      </w:pPr>
      <w:proofErr w:type="spellStart"/>
      <w:r w:rsidRPr="00814614">
        <w:rPr>
          <w:rFonts w:eastAsia="Times New Roman"/>
          <w:color w:val="0D0D0D"/>
          <w:sz w:val="24"/>
          <w:szCs w:val="24"/>
          <w:highlight w:val="white"/>
        </w:rPr>
        <w:t>Nasarian</w:t>
      </w:r>
      <w:proofErr w:type="spellEnd"/>
      <w:r w:rsidRPr="00814614">
        <w:rPr>
          <w:rFonts w:eastAsia="Times New Roman"/>
          <w:color w:val="0D0D0D"/>
          <w:sz w:val="24"/>
          <w:szCs w:val="24"/>
          <w:highlight w:val="white"/>
        </w:rPr>
        <w:t xml:space="preserve">, E., </w:t>
      </w:r>
      <w:proofErr w:type="spellStart"/>
      <w:r w:rsidRPr="00814614">
        <w:rPr>
          <w:rFonts w:eastAsia="Times New Roman"/>
          <w:color w:val="0D0D0D"/>
          <w:sz w:val="24"/>
          <w:szCs w:val="24"/>
          <w:highlight w:val="white"/>
        </w:rPr>
        <w:t>Alizadehsani</w:t>
      </w:r>
      <w:proofErr w:type="spellEnd"/>
      <w:r w:rsidRPr="00814614">
        <w:rPr>
          <w:rFonts w:eastAsia="Times New Roman"/>
          <w:color w:val="0D0D0D"/>
          <w:sz w:val="24"/>
          <w:szCs w:val="24"/>
          <w:highlight w:val="white"/>
        </w:rPr>
        <w:t xml:space="preserve">, R., Acharya, U. R., &amp; </w:t>
      </w:r>
      <w:proofErr w:type="spellStart"/>
      <w:r w:rsidRPr="00814614">
        <w:rPr>
          <w:rFonts w:eastAsia="Times New Roman"/>
          <w:color w:val="0D0D0D"/>
          <w:sz w:val="24"/>
          <w:szCs w:val="24"/>
          <w:highlight w:val="white"/>
        </w:rPr>
        <w:t>Tsui</w:t>
      </w:r>
      <w:proofErr w:type="spellEnd"/>
      <w:r w:rsidRPr="00814614">
        <w:rPr>
          <w:rFonts w:eastAsia="Times New Roman"/>
          <w:color w:val="0D0D0D"/>
          <w:sz w:val="24"/>
          <w:szCs w:val="24"/>
          <w:highlight w:val="white"/>
        </w:rPr>
        <w:t xml:space="preserve">, K.-L. (2024). Designing Interpretable ML System to Enhance Trust in Healthcare: A Systematic Review to Proposed Responsible Clinician-AI-Collaboration Framework. </w:t>
      </w:r>
      <w:r w:rsidRPr="00814614">
        <w:rPr>
          <w:rFonts w:eastAsia="Times New Roman"/>
          <w:i/>
          <w:color w:val="0D0D0D"/>
          <w:sz w:val="24"/>
          <w:szCs w:val="24"/>
          <w:highlight w:val="white"/>
        </w:rPr>
        <w:t>Information Fusion</w:t>
      </w:r>
      <w:r w:rsidRPr="00814614">
        <w:rPr>
          <w:rFonts w:eastAsia="Times New Roman"/>
          <w:color w:val="0D0D0D"/>
          <w:sz w:val="24"/>
          <w:szCs w:val="24"/>
          <w:highlight w:val="white"/>
        </w:rPr>
        <w:t xml:space="preserve">, 102412–102412. </w:t>
      </w:r>
      <w:hyperlink r:id="rId53">
        <w:r w:rsidRPr="00814614">
          <w:rPr>
            <w:rFonts w:eastAsia="Times New Roman"/>
            <w:color w:val="1155CC"/>
            <w:sz w:val="24"/>
            <w:szCs w:val="24"/>
            <w:highlight w:val="white"/>
            <w:u w:val="single"/>
          </w:rPr>
          <w:t>https://doi.org/10.1016/j.inffus.2024.102412</w:t>
        </w:r>
      </w:hyperlink>
      <w:r w:rsidRPr="00814614">
        <w:rPr>
          <w:rFonts w:eastAsia="Times New Roman"/>
          <w:color w:val="0D0D0D"/>
          <w:sz w:val="24"/>
          <w:szCs w:val="24"/>
          <w:highlight w:val="white"/>
        </w:rPr>
        <w:t xml:space="preserve"> </w:t>
      </w:r>
    </w:p>
    <w:p w14:paraId="31F0D5A1" w14:textId="77777777" w:rsidR="007C0019" w:rsidRPr="00814614" w:rsidRDefault="002431C8" w:rsidP="00814614">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ind w:left="720" w:hanging="720"/>
        <w:jc w:val="both"/>
        <w:rPr>
          <w:rFonts w:eastAsia="Times New Roman"/>
          <w:color w:val="0D0D0D"/>
          <w:sz w:val="24"/>
          <w:szCs w:val="24"/>
          <w:highlight w:val="white"/>
        </w:rPr>
      </w:pPr>
      <w:r w:rsidRPr="00814614">
        <w:rPr>
          <w:rFonts w:eastAsia="Times New Roman"/>
          <w:color w:val="0D0D0D"/>
          <w:sz w:val="24"/>
          <w:szCs w:val="24"/>
          <w:highlight w:val="white"/>
        </w:rPr>
        <w:t xml:space="preserve">Nath, C. S., Gera, D., Kiran, K., Shankar, S. U., K, K., </w:t>
      </w:r>
      <w:proofErr w:type="spellStart"/>
      <w:r w:rsidRPr="00814614">
        <w:rPr>
          <w:rFonts w:eastAsia="Times New Roman"/>
          <w:color w:val="0D0D0D"/>
          <w:sz w:val="24"/>
          <w:szCs w:val="24"/>
          <w:highlight w:val="white"/>
        </w:rPr>
        <w:t>Singarajpure</w:t>
      </w:r>
      <w:proofErr w:type="spellEnd"/>
      <w:r w:rsidRPr="00814614">
        <w:rPr>
          <w:rFonts w:eastAsia="Times New Roman"/>
          <w:color w:val="0D0D0D"/>
          <w:sz w:val="24"/>
          <w:szCs w:val="24"/>
          <w:highlight w:val="white"/>
        </w:rPr>
        <w:t xml:space="preserve">, A., U, S., N, S., </w:t>
      </w:r>
      <w:proofErr w:type="spellStart"/>
      <w:r w:rsidRPr="00814614">
        <w:rPr>
          <w:rFonts w:eastAsia="Times New Roman"/>
          <w:color w:val="0D0D0D"/>
          <w:sz w:val="24"/>
          <w:szCs w:val="24"/>
          <w:highlight w:val="white"/>
        </w:rPr>
        <w:t>Chadda</w:t>
      </w:r>
      <w:proofErr w:type="spellEnd"/>
      <w:r w:rsidRPr="00814614">
        <w:rPr>
          <w:rFonts w:eastAsia="Times New Roman"/>
          <w:color w:val="0D0D0D"/>
          <w:sz w:val="24"/>
          <w:szCs w:val="24"/>
          <w:highlight w:val="white"/>
        </w:rPr>
        <w:t xml:space="preserve">, V. K., &amp; Sharath, N. B. (2024). </w:t>
      </w:r>
      <w:r w:rsidRPr="00814614">
        <w:rPr>
          <w:rFonts w:eastAsia="Times New Roman"/>
          <w:i/>
          <w:color w:val="0D0D0D"/>
          <w:sz w:val="24"/>
          <w:szCs w:val="24"/>
          <w:highlight w:val="white"/>
        </w:rPr>
        <w:t>Predictive Analysis of Tuberculosis Treatment Outcomes Using Machine Learning: A Karnataka TB Data Study at a Scale</w:t>
      </w:r>
      <w:r w:rsidRPr="00814614">
        <w:rPr>
          <w:rFonts w:eastAsia="Times New Roman"/>
          <w:color w:val="0D0D0D"/>
          <w:sz w:val="24"/>
          <w:szCs w:val="24"/>
          <w:highlight w:val="white"/>
        </w:rPr>
        <w:t xml:space="preserve">. ArXiv.org. </w:t>
      </w:r>
      <w:hyperlink r:id="rId54">
        <w:r w:rsidRPr="00814614">
          <w:rPr>
            <w:rFonts w:eastAsia="Times New Roman"/>
            <w:color w:val="1155CC"/>
            <w:sz w:val="24"/>
            <w:szCs w:val="24"/>
            <w:highlight w:val="white"/>
            <w:u w:val="single"/>
          </w:rPr>
          <w:t>https://arxiv.org/abs/2403.08834</w:t>
        </w:r>
      </w:hyperlink>
      <w:r w:rsidRPr="00814614">
        <w:rPr>
          <w:rFonts w:eastAsia="Times New Roman"/>
          <w:color w:val="0D0D0D"/>
          <w:sz w:val="24"/>
          <w:szCs w:val="24"/>
          <w:highlight w:val="white"/>
        </w:rPr>
        <w:t xml:space="preserve"> </w:t>
      </w:r>
    </w:p>
    <w:p w14:paraId="7F405D92" w14:textId="77777777" w:rsidR="007C0019" w:rsidRPr="00814614" w:rsidRDefault="002431C8" w:rsidP="00814614">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ind w:left="720" w:hanging="720"/>
        <w:jc w:val="both"/>
        <w:rPr>
          <w:rFonts w:eastAsia="Times New Roman"/>
          <w:color w:val="0D0D0D"/>
          <w:sz w:val="24"/>
          <w:szCs w:val="24"/>
          <w:highlight w:val="white"/>
        </w:rPr>
      </w:pPr>
      <w:r w:rsidRPr="00814614">
        <w:rPr>
          <w:rFonts w:eastAsia="Times New Roman"/>
          <w:color w:val="0D0D0D"/>
          <w:sz w:val="24"/>
          <w:szCs w:val="24"/>
          <w:highlight w:val="white"/>
        </w:rPr>
        <w:t xml:space="preserve">Nazir, A., Hussain, A., Singh, M., &amp; Assad, A. (2024). Deep learning in medicine: advancing healthcare with intelligent solutions and the future of holography imaging in early diagnosis. </w:t>
      </w:r>
      <w:r w:rsidRPr="00814614">
        <w:rPr>
          <w:rFonts w:eastAsia="Times New Roman"/>
          <w:i/>
          <w:color w:val="0D0D0D"/>
          <w:sz w:val="24"/>
          <w:szCs w:val="24"/>
          <w:highlight w:val="white"/>
        </w:rPr>
        <w:t>Multimedia Tools and Applications</w:t>
      </w:r>
      <w:r w:rsidRPr="00814614">
        <w:rPr>
          <w:rFonts w:eastAsia="Times New Roman"/>
          <w:color w:val="0D0D0D"/>
          <w:sz w:val="24"/>
          <w:szCs w:val="24"/>
          <w:highlight w:val="white"/>
        </w:rPr>
        <w:t xml:space="preserve">. </w:t>
      </w:r>
      <w:hyperlink r:id="rId55">
        <w:r w:rsidRPr="00814614">
          <w:rPr>
            <w:rFonts w:eastAsia="Times New Roman"/>
            <w:color w:val="1155CC"/>
            <w:sz w:val="24"/>
            <w:szCs w:val="24"/>
            <w:highlight w:val="white"/>
            <w:u w:val="single"/>
          </w:rPr>
          <w:t>https://doi.org/10.1007/s11042-024-19694-8</w:t>
        </w:r>
      </w:hyperlink>
      <w:r w:rsidRPr="00814614">
        <w:rPr>
          <w:rFonts w:eastAsia="Times New Roman"/>
          <w:color w:val="0D0D0D"/>
          <w:sz w:val="24"/>
          <w:szCs w:val="24"/>
          <w:highlight w:val="white"/>
        </w:rPr>
        <w:t xml:space="preserve"> </w:t>
      </w:r>
    </w:p>
    <w:p w14:paraId="6352B34E" w14:textId="77777777" w:rsidR="007C0019" w:rsidRPr="00814614" w:rsidRDefault="002431C8" w:rsidP="00814614">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ind w:left="720" w:hanging="720"/>
        <w:jc w:val="both"/>
        <w:rPr>
          <w:rFonts w:eastAsia="Times New Roman"/>
          <w:color w:val="0D0D0D"/>
          <w:sz w:val="24"/>
          <w:szCs w:val="24"/>
          <w:highlight w:val="white"/>
        </w:rPr>
      </w:pPr>
      <w:r w:rsidRPr="00814614">
        <w:rPr>
          <w:rFonts w:eastAsia="Times New Roman"/>
          <w:color w:val="0D0D0D"/>
          <w:sz w:val="24"/>
          <w:szCs w:val="24"/>
          <w:highlight w:val="white"/>
        </w:rPr>
        <w:t xml:space="preserve">Neville, S. (2025). </w:t>
      </w:r>
      <w:r w:rsidRPr="00814614">
        <w:rPr>
          <w:rFonts w:eastAsia="Times New Roman"/>
          <w:i/>
          <w:color w:val="0D0D0D"/>
          <w:sz w:val="24"/>
          <w:szCs w:val="24"/>
          <w:highlight w:val="white"/>
        </w:rPr>
        <w:t>AI generated advice eases long waits for surgery</w:t>
      </w:r>
      <w:r w:rsidRPr="00814614">
        <w:rPr>
          <w:rFonts w:eastAsia="Times New Roman"/>
          <w:color w:val="0D0D0D"/>
          <w:sz w:val="24"/>
          <w:szCs w:val="24"/>
          <w:highlight w:val="white"/>
        </w:rPr>
        <w:t>. @</w:t>
      </w:r>
      <w:proofErr w:type="spellStart"/>
      <w:r w:rsidRPr="00814614">
        <w:rPr>
          <w:rFonts w:eastAsia="Times New Roman"/>
          <w:color w:val="0D0D0D"/>
          <w:sz w:val="24"/>
          <w:szCs w:val="24"/>
          <w:highlight w:val="white"/>
        </w:rPr>
        <w:t>FinancialTimes</w:t>
      </w:r>
      <w:proofErr w:type="spellEnd"/>
      <w:r w:rsidRPr="00814614">
        <w:rPr>
          <w:rFonts w:eastAsia="Times New Roman"/>
          <w:color w:val="0D0D0D"/>
          <w:sz w:val="24"/>
          <w:szCs w:val="24"/>
          <w:highlight w:val="white"/>
        </w:rPr>
        <w:t xml:space="preserve">; Financial Times. </w:t>
      </w:r>
      <w:hyperlink r:id="rId56">
        <w:r w:rsidRPr="00814614">
          <w:rPr>
            <w:rFonts w:eastAsia="Times New Roman"/>
            <w:color w:val="1155CC"/>
            <w:sz w:val="24"/>
            <w:szCs w:val="24"/>
            <w:highlight w:val="white"/>
            <w:u w:val="single"/>
          </w:rPr>
          <w:t>https://www.ft.com/content/37b79af4-116f-46e5-9bbd-b814aa4c95af?utm_</w:t>
        </w:r>
      </w:hyperlink>
      <w:r w:rsidRPr="00814614">
        <w:rPr>
          <w:rFonts w:eastAsia="Times New Roman"/>
          <w:color w:val="0D0D0D"/>
          <w:sz w:val="24"/>
          <w:szCs w:val="24"/>
          <w:highlight w:val="white"/>
        </w:rPr>
        <w:t xml:space="preserve"> </w:t>
      </w:r>
    </w:p>
    <w:p w14:paraId="76B5AE8B" w14:textId="77777777" w:rsidR="007C0019" w:rsidRPr="00814614" w:rsidRDefault="002431C8" w:rsidP="00814614">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ind w:left="720" w:hanging="720"/>
        <w:jc w:val="both"/>
        <w:rPr>
          <w:rFonts w:eastAsia="Times New Roman"/>
          <w:color w:val="0D0D0D"/>
          <w:sz w:val="24"/>
          <w:szCs w:val="24"/>
          <w:highlight w:val="white"/>
        </w:rPr>
      </w:pPr>
      <w:r w:rsidRPr="00814614">
        <w:rPr>
          <w:rFonts w:eastAsia="Times New Roman"/>
          <w:color w:val="0D0D0D"/>
          <w:sz w:val="24"/>
          <w:szCs w:val="24"/>
          <w:highlight w:val="white"/>
        </w:rPr>
        <w:t xml:space="preserve">Obioha-Val, O. A. (2025). Bridging Gaps in Cybersecurity Governance: Leveraging Collaborative Digital Solutions. </w:t>
      </w:r>
      <w:r w:rsidRPr="00814614">
        <w:rPr>
          <w:rFonts w:eastAsia="Times New Roman"/>
          <w:i/>
          <w:color w:val="0D0D0D"/>
          <w:sz w:val="24"/>
          <w:szCs w:val="24"/>
          <w:highlight w:val="white"/>
        </w:rPr>
        <w:t>Asian Journal of Research in Computer Science</w:t>
      </w:r>
      <w:r w:rsidRPr="00814614">
        <w:rPr>
          <w:rFonts w:eastAsia="Times New Roman"/>
          <w:color w:val="0D0D0D"/>
          <w:sz w:val="24"/>
          <w:szCs w:val="24"/>
          <w:highlight w:val="white"/>
        </w:rPr>
        <w:t xml:space="preserve">, </w:t>
      </w:r>
      <w:r w:rsidRPr="00814614">
        <w:rPr>
          <w:rFonts w:eastAsia="Times New Roman"/>
          <w:i/>
          <w:color w:val="0D0D0D"/>
          <w:sz w:val="24"/>
          <w:szCs w:val="24"/>
          <w:highlight w:val="white"/>
        </w:rPr>
        <w:t>18</w:t>
      </w:r>
      <w:r w:rsidRPr="00814614">
        <w:rPr>
          <w:rFonts w:eastAsia="Times New Roman"/>
          <w:color w:val="0D0D0D"/>
          <w:sz w:val="24"/>
          <w:szCs w:val="24"/>
          <w:highlight w:val="white"/>
        </w:rPr>
        <w:t xml:space="preserve">(2), 82–100. </w:t>
      </w:r>
      <w:hyperlink r:id="rId57">
        <w:r w:rsidRPr="00814614">
          <w:rPr>
            <w:rFonts w:eastAsia="Times New Roman"/>
            <w:color w:val="1155CC"/>
            <w:sz w:val="24"/>
            <w:szCs w:val="24"/>
            <w:highlight w:val="white"/>
            <w:u w:val="single"/>
          </w:rPr>
          <w:t>https://doi.org/10.9734/ajrcos/2025/v18i2564</w:t>
        </w:r>
      </w:hyperlink>
      <w:r w:rsidRPr="00814614">
        <w:rPr>
          <w:rFonts w:eastAsia="Times New Roman"/>
          <w:color w:val="0D0D0D"/>
          <w:sz w:val="24"/>
          <w:szCs w:val="24"/>
          <w:highlight w:val="white"/>
        </w:rPr>
        <w:t xml:space="preserve"> </w:t>
      </w:r>
    </w:p>
    <w:p w14:paraId="32F60A53" w14:textId="77777777" w:rsidR="007C0019" w:rsidRPr="00814614" w:rsidRDefault="002431C8" w:rsidP="00814614">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ind w:left="720" w:hanging="720"/>
        <w:jc w:val="both"/>
        <w:rPr>
          <w:rFonts w:eastAsia="Times New Roman"/>
          <w:color w:val="0D0D0D"/>
          <w:sz w:val="24"/>
          <w:szCs w:val="24"/>
          <w:highlight w:val="white"/>
        </w:rPr>
      </w:pPr>
      <w:r w:rsidRPr="00814614">
        <w:rPr>
          <w:rFonts w:eastAsia="Times New Roman"/>
          <w:color w:val="0D0D0D"/>
          <w:sz w:val="24"/>
          <w:szCs w:val="24"/>
          <w:highlight w:val="white"/>
        </w:rPr>
        <w:t xml:space="preserve">Obioha-Val, O. A., </w:t>
      </w:r>
      <w:proofErr w:type="spellStart"/>
      <w:r w:rsidRPr="00814614">
        <w:rPr>
          <w:rFonts w:eastAsia="Times New Roman"/>
          <w:color w:val="0D0D0D"/>
          <w:sz w:val="24"/>
          <w:szCs w:val="24"/>
          <w:highlight w:val="white"/>
        </w:rPr>
        <w:t>Gbadebo</w:t>
      </w:r>
      <w:proofErr w:type="spellEnd"/>
      <w:r w:rsidRPr="00814614">
        <w:rPr>
          <w:rFonts w:eastAsia="Times New Roman"/>
          <w:color w:val="0D0D0D"/>
          <w:sz w:val="24"/>
          <w:szCs w:val="24"/>
          <w:highlight w:val="white"/>
        </w:rPr>
        <w:t xml:space="preserve">, M. O., </w:t>
      </w:r>
      <w:proofErr w:type="spellStart"/>
      <w:r w:rsidRPr="00814614">
        <w:rPr>
          <w:rFonts w:eastAsia="Times New Roman"/>
          <w:color w:val="0D0D0D"/>
          <w:sz w:val="24"/>
          <w:szCs w:val="24"/>
          <w:highlight w:val="white"/>
        </w:rPr>
        <w:t>Olaniyi</w:t>
      </w:r>
      <w:proofErr w:type="spellEnd"/>
      <w:r w:rsidRPr="00814614">
        <w:rPr>
          <w:rFonts w:eastAsia="Times New Roman"/>
          <w:color w:val="0D0D0D"/>
          <w:sz w:val="24"/>
          <w:szCs w:val="24"/>
          <w:highlight w:val="white"/>
        </w:rPr>
        <w:t xml:space="preserve">, O. O., </w:t>
      </w:r>
      <w:proofErr w:type="spellStart"/>
      <w:r w:rsidRPr="00814614">
        <w:rPr>
          <w:rFonts w:eastAsia="Times New Roman"/>
          <w:color w:val="0D0D0D"/>
          <w:sz w:val="24"/>
          <w:szCs w:val="24"/>
          <w:highlight w:val="white"/>
        </w:rPr>
        <w:t>Chinye</w:t>
      </w:r>
      <w:proofErr w:type="spellEnd"/>
      <w:r w:rsidRPr="00814614">
        <w:rPr>
          <w:rFonts w:eastAsia="Times New Roman"/>
          <w:color w:val="0D0D0D"/>
          <w:sz w:val="24"/>
          <w:szCs w:val="24"/>
          <w:highlight w:val="white"/>
        </w:rPr>
        <w:t xml:space="preserve">, N. C., &amp; Balogun, A. Y. (2025). Innovative Regulation of Open Source Intelligence and </w:t>
      </w:r>
      <w:proofErr w:type="spellStart"/>
      <w:r w:rsidRPr="00814614">
        <w:rPr>
          <w:rFonts w:eastAsia="Times New Roman"/>
          <w:color w:val="0D0D0D"/>
          <w:sz w:val="24"/>
          <w:szCs w:val="24"/>
          <w:highlight w:val="white"/>
        </w:rPr>
        <w:t>Deepfakes</w:t>
      </w:r>
      <w:proofErr w:type="spellEnd"/>
      <w:r w:rsidRPr="00814614">
        <w:rPr>
          <w:rFonts w:eastAsia="Times New Roman"/>
          <w:color w:val="0D0D0D"/>
          <w:sz w:val="24"/>
          <w:szCs w:val="24"/>
          <w:highlight w:val="white"/>
        </w:rPr>
        <w:t xml:space="preserve"> AI in Managing </w:t>
      </w:r>
      <w:r w:rsidRPr="00814614">
        <w:rPr>
          <w:rFonts w:eastAsia="Times New Roman"/>
          <w:color w:val="0D0D0D"/>
          <w:sz w:val="24"/>
          <w:szCs w:val="24"/>
          <w:highlight w:val="white"/>
        </w:rPr>
        <w:lastRenderedPageBreak/>
        <w:t xml:space="preserve">Public Trust. </w:t>
      </w:r>
      <w:r w:rsidRPr="00814614">
        <w:rPr>
          <w:rFonts w:eastAsia="Times New Roman"/>
          <w:i/>
          <w:color w:val="0D0D0D"/>
          <w:sz w:val="24"/>
          <w:szCs w:val="24"/>
          <w:highlight w:val="white"/>
        </w:rPr>
        <w:t>Journal of Engineering Research and Reports</w:t>
      </w:r>
      <w:r w:rsidRPr="00814614">
        <w:rPr>
          <w:rFonts w:eastAsia="Times New Roman"/>
          <w:color w:val="0D0D0D"/>
          <w:sz w:val="24"/>
          <w:szCs w:val="24"/>
          <w:highlight w:val="white"/>
        </w:rPr>
        <w:t xml:space="preserve">, </w:t>
      </w:r>
      <w:r w:rsidRPr="00814614">
        <w:rPr>
          <w:rFonts w:eastAsia="Times New Roman"/>
          <w:i/>
          <w:color w:val="0D0D0D"/>
          <w:sz w:val="24"/>
          <w:szCs w:val="24"/>
          <w:highlight w:val="white"/>
        </w:rPr>
        <w:t>27</w:t>
      </w:r>
      <w:r w:rsidRPr="00814614">
        <w:rPr>
          <w:rFonts w:eastAsia="Times New Roman"/>
          <w:color w:val="0D0D0D"/>
          <w:sz w:val="24"/>
          <w:szCs w:val="24"/>
          <w:highlight w:val="white"/>
        </w:rPr>
        <w:t xml:space="preserve">(2), 136–156. </w:t>
      </w:r>
      <w:hyperlink r:id="rId58">
        <w:r w:rsidRPr="00814614">
          <w:rPr>
            <w:rFonts w:eastAsia="Times New Roman"/>
            <w:color w:val="1155CC"/>
            <w:sz w:val="24"/>
            <w:szCs w:val="24"/>
            <w:highlight w:val="white"/>
            <w:u w:val="single"/>
          </w:rPr>
          <w:t>https://doi.org/10.9734/jerr/2025/v27i21400</w:t>
        </w:r>
      </w:hyperlink>
      <w:r w:rsidRPr="00814614">
        <w:rPr>
          <w:rFonts w:eastAsia="Times New Roman"/>
          <w:color w:val="0D0D0D"/>
          <w:sz w:val="24"/>
          <w:szCs w:val="24"/>
          <w:highlight w:val="white"/>
        </w:rPr>
        <w:t xml:space="preserve"> </w:t>
      </w:r>
    </w:p>
    <w:p w14:paraId="23F6E77F" w14:textId="77777777" w:rsidR="007C0019" w:rsidRPr="00814614" w:rsidRDefault="002431C8" w:rsidP="00814614">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ind w:left="720" w:hanging="720"/>
        <w:jc w:val="both"/>
        <w:rPr>
          <w:rFonts w:eastAsia="Times New Roman"/>
          <w:color w:val="0D0D0D"/>
          <w:sz w:val="24"/>
          <w:szCs w:val="24"/>
          <w:highlight w:val="white"/>
        </w:rPr>
      </w:pPr>
      <w:r w:rsidRPr="00814614">
        <w:rPr>
          <w:rFonts w:eastAsia="Times New Roman"/>
          <w:color w:val="0D0D0D"/>
          <w:sz w:val="24"/>
          <w:szCs w:val="24"/>
          <w:highlight w:val="white"/>
        </w:rPr>
        <w:t xml:space="preserve">Obioha-Val, O. A., Lawal, T. I., </w:t>
      </w:r>
      <w:proofErr w:type="spellStart"/>
      <w:r w:rsidRPr="00814614">
        <w:rPr>
          <w:rFonts w:eastAsia="Times New Roman"/>
          <w:color w:val="0D0D0D"/>
          <w:sz w:val="24"/>
          <w:szCs w:val="24"/>
          <w:highlight w:val="white"/>
        </w:rPr>
        <w:t>Olaniyi</w:t>
      </w:r>
      <w:proofErr w:type="spellEnd"/>
      <w:r w:rsidRPr="00814614">
        <w:rPr>
          <w:rFonts w:eastAsia="Times New Roman"/>
          <w:color w:val="0D0D0D"/>
          <w:sz w:val="24"/>
          <w:szCs w:val="24"/>
          <w:highlight w:val="white"/>
        </w:rPr>
        <w:t xml:space="preserve">, O. O., </w:t>
      </w:r>
      <w:proofErr w:type="spellStart"/>
      <w:r w:rsidRPr="00814614">
        <w:rPr>
          <w:rFonts w:eastAsia="Times New Roman"/>
          <w:color w:val="0D0D0D"/>
          <w:sz w:val="24"/>
          <w:szCs w:val="24"/>
          <w:highlight w:val="white"/>
        </w:rPr>
        <w:t>Gbadebo</w:t>
      </w:r>
      <w:proofErr w:type="spellEnd"/>
      <w:r w:rsidRPr="00814614">
        <w:rPr>
          <w:rFonts w:eastAsia="Times New Roman"/>
          <w:color w:val="0D0D0D"/>
          <w:sz w:val="24"/>
          <w:szCs w:val="24"/>
          <w:highlight w:val="white"/>
        </w:rPr>
        <w:t xml:space="preserve">, M. O., &amp; </w:t>
      </w:r>
      <w:proofErr w:type="spellStart"/>
      <w:r w:rsidRPr="00814614">
        <w:rPr>
          <w:rFonts w:eastAsia="Times New Roman"/>
          <w:color w:val="0D0D0D"/>
          <w:sz w:val="24"/>
          <w:szCs w:val="24"/>
          <w:highlight w:val="white"/>
        </w:rPr>
        <w:t>Olisa</w:t>
      </w:r>
      <w:proofErr w:type="spellEnd"/>
      <w:r w:rsidRPr="00814614">
        <w:rPr>
          <w:rFonts w:eastAsia="Times New Roman"/>
          <w:color w:val="0D0D0D"/>
          <w:sz w:val="24"/>
          <w:szCs w:val="24"/>
          <w:highlight w:val="white"/>
        </w:rPr>
        <w:t xml:space="preserve">, A. O. (2025). Investigating the Feasibility and Risks of Leveraging Artificial Intelligence and Open Source Intelligence to Manage Predictive Cyber Threat Models. </w:t>
      </w:r>
      <w:r w:rsidRPr="00814614">
        <w:rPr>
          <w:rFonts w:eastAsia="Times New Roman"/>
          <w:i/>
          <w:color w:val="0D0D0D"/>
          <w:sz w:val="24"/>
          <w:szCs w:val="24"/>
          <w:highlight w:val="white"/>
        </w:rPr>
        <w:t>Journal of Engineering Research and Reports</w:t>
      </w:r>
      <w:r w:rsidRPr="00814614">
        <w:rPr>
          <w:rFonts w:eastAsia="Times New Roman"/>
          <w:color w:val="0D0D0D"/>
          <w:sz w:val="24"/>
          <w:szCs w:val="24"/>
          <w:highlight w:val="white"/>
        </w:rPr>
        <w:t xml:space="preserve">, </w:t>
      </w:r>
      <w:r w:rsidRPr="00814614">
        <w:rPr>
          <w:rFonts w:eastAsia="Times New Roman"/>
          <w:i/>
          <w:color w:val="0D0D0D"/>
          <w:sz w:val="24"/>
          <w:szCs w:val="24"/>
          <w:highlight w:val="white"/>
        </w:rPr>
        <w:t>27</w:t>
      </w:r>
      <w:r w:rsidRPr="00814614">
        <w:rPr>
          <w:rFonts w:eastAsia="Times New Roman"/>
          <w:color w:val="0D0D0D"/>
          <w:sz w:val="24"/>
          <w:szCs w:val="24"/>
          <w:highlight w:val="white"/>
        </w:rPr>
        <w:t xml:space="preserve">(2), 10–28. </w:t>
      </w:r>
      <w:hyperlink r:id="rId59">
        <w:r w:rsidRPr="00814614">
          <w:rPr>
            <w:rFonts w:eastAsia="Times New Roman"/>
            <w:color w:val="1155CC"/>
            <w:sz w:val="24"/>
            <w:szCs w:val="24"/>
            <w:highlight w:val="white"/>
            <w:u w:val="single"/>
          </w:rPr>
          <w:t>https://doi.org/10.9734/jerr/2025/v27i21390</w:t>
        </w:r>
      </w:hyperlink>
      <w:r w:rsidRPr="00814614">
        <w:rPr>
          <w:rFonts w:eastAsia="Times New Roman"/>
          <w:color w:val="0D0D0D"/>
          <w:sz w:val="24"/>
          <w:szCs w:val="24"/>
          <w:highlight w:val="white"/>
        </w:rPr>
        <w:t xml:space="preserve"> </w:t>
      </w:r>
    </w:p>
    <w:p w14:paraId="521BC8B4" w14:textId="77777777" w:rsidR="007C0019" w:rsidRPr="00814614" w:rsidRDefault="002431C8" w:rsidP="00814614">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ind w:left="720" w:hanging="720"/>
        <w:jc w:val="both"/>
        <w:rPr>
          <w:rFonts w:eastAsia="Times New Roman"/>
          <w:color w:val="0D0D0D"/>
          <w:sz w:val="24"/>
          <w:szCs w:val="24"/>
          <w:highlight w:val="white"/>
        </w:rPr>
      </w:pPr>
      <w:r w:rsidRPr="00814614">
        <w:rPr>
          <w:rFonts w:eastAsia="Times New Roman"/>
          <w:color w:val="0D0D0D"/>
          <w:sz w:val="24"/>
          <w:szCs w:val="24"/>
          <w:highlight w:val="white"/>
        </w:rPr>
        <w:t xml:space="preserve">Obioha-Val, O. A., </w:t>
      </w:r>
      <w:proofErr w:type="spellStart"/>
      <w:r w:rsidRPr="00814614">
        <w:rPr>
          <w:rFonts w:eastAsia="Times New Roman"/>
          <w:color w:val="0D0D0D"/>
          <w:sz w:val="24"/>
          <w:szCs w:val="24"/>
          <w:highlight w:val="white"/>
        </w:rPr>
        <w:t>Olaniyi</w:t>
      </w:r>
      <w:proofErr w:type="spellEnd"/>
      <w:r w:rsidRPr="00814614">
        <w:rPr>
          <w:rFonts w:eastAsia="Times New Roman"/>
          <w:color w:val="0D0D0D"/>
          <w:sz w:val="24"/>
          <w:szCs w:val="24"/>
          <w:highlight w:val="white"/>
        </w:rPr>
        <w:t xml:space="preserve">, O. O., </w:t>
      </w:r>
      <w:proofErr w:type="spellStart"/>
      <w:r w:rsidRPr="00814614">
        <w:rPr>
          <w:rFonts w:eastAsia="Times New Roman"/>
          <w:color w:val="0D0D0D"/>
          <w:sz w:val="24"/>
          <w:szCs w:val="24"/>
          <w:highlight w:val="white"/>
        </w:rPr>
        <w:t>Gbadebo</w:t>
      </w:r>
      <w:proofErr w:type="spellEnd"/>
      <w:r w:rsidRPr="00814614">
        <w:rPr>
          <w:rFonts w:eastAsia="Times New Roman"/>
          <w:color w:val="0D0D0D"/>
          <w:sz w:val="24"/>
          <w:szCs w:val="24"/>
          <w:highlight w:val="white"/>
        </w:rPr>
        <w:t xml:space="preserve">, M. O., Balogun, A. Y., &amp; </w:t>
      </w:r>
      <w:proofErr w:type="spellStart"/>
      <w:r w:rsidRPr="00814614">
        <w:rPr>
          <w:rFonts w:eastAsia="Times New Roman"/>
          <w:color w:val="0D0D0D"/>
          <w:sz w:val="24"/>
          <w:szCs w:val="24"/>
          <w:highlight w:val="white"/>
        </w:rPr>
        <w:t>Olisa</w:t>
      </w:r>
      <w:proofErr w:type="spellEnd"/>
      <w:r w:rsidRPr="00814614">
        <w:rPr>
          <w:rFonts w:eastAsia="Times New Roman"/>
          <w:color w:val="0D0D0D"/>
          <w:sz w:val="24"/>
          <w:szCs w:val="24"/>
          <w:highlight w:val="white"/>
        </w:rPr>
        <w:t xml:space="preserve">, A. O. (2025). Cyber Espionage in the Age of Artificial Intelligence: A Comparative Study of State-Sponsored Campaign. </w:t>
      </w:r>
      <w:r w:rsidRPr="00814614">
        <w:rPr>
          <w:rFonts w:eastAsia="Times New Roman"/>
          <w:i/>
          <w:color w:val="0D0D0D"/>
          <w:sz w:val="24"/>
          <w:szCs w:val="24"/>
          <w:highlight w:val="white"/>
        </w:rPr>
        <w:t>Asian Journal of Research in Computer Science</w:t>
      </w:r>
      <w:r w:rsidRPr="00814614">
        <w:rPr>
          <w:rFonts w:eastAsia="Times New Roman"/>
          <w:color w:val="0D0D0D"/>
          <w:sz w:val="24"/>
          <w:szCs w:val="24"/>
          <w:highlight w:val="white"/>
        </w:rPr>
        <w:t xml:space="preserve">, </w:t>
      </w:r>
      <w:r w:rsidRPr="00814614">
        <w:rPr>
          <w:rFonts w:eastAsia="Times New Roman"/>
          <w:i/>
          <w:color w:val="0D0D0D"/>
          <w:sz w:val="24"/>
          <w:szCs w:val="24"/>
          <w:highlight w:val="white"/>
        </w:rPr>
        <w:t>18</w:t>
      </w:r>
      <w:r w:rsidRPr="00814614">
        <w:rPr>
          <w:rFonts w:eastAsia="Times New Roman"/>
          <w:color w:val="0D0D0D"/>
          <w:sz w:val="24"/>
          <w:szCs w:val="24"/>
          <w:highlight w:val="white"/>
        </w:rPr>
        <w:t xml:space="preserve">(1), 184–204. </w:t>
      </w:r>
      <w:hyperlink r:id="rId60">
        <w:r w:rsidRPr="00814614">
          <w:rPr>
            <w:rFonts w:eastAsia="Times New Roman"/>
            <w:color w:val="1155CC"/>
            <w:sz w:val="24"/>
            <w:szCs w:val="24"/>
            <w:highlight w:val="white"/>
            <w:u w:val="single"/>
          </w:rPr>
          <w:t>https://doi.org/10.9734/ajrcos/2025/v18i1557</w:t>
        </w:r>
      </w:hyperlink>
      <w:r w:rsidRPr="00814614">
        <w:rPr>
          <w:rFonts w:eastAsia="Times New Roman"/>
          <w:color w:val="0D0D0D"/>
          <w:sz w:val="24"/>
          <w:szCs w:val="24"/>
          <w:highlight w:val="white"/>
        </w:rPr>
        <w:t xml:space="preserve"> </w:t>
      </w:r>
    </w:p>
    <w:p w14:paraId="0EEF8BDE" w14:textId="77777777" w:rsidR="007C0019" w:rsidRPr="00814614" w:rsidRDefault="002431C8" w:rsidP="00814614">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ind w:left="720" w:hanging="720"/>
        <w:jc w:val="both"/>
        <w:rPr>
          <w:rFonts w:eastAsia="Times New Roman"/>
          <w:color w:val="0D0D0D"/>
          <w:sz w:val="24"/>
          <w:szCs w:val="24"/>
          <w:highlight w:val="white"/>
        </w:rPr>
      </w:pPr>
      <w:proofErr w:type="spellStart"/>
      <w:r w:rsidRPr="00814614">
        <w:rPr>
          <w:rFonts w:eastAsia="Times New Roman"/>
          <w:color w:val="0D0D0D"/>
          <w:sz w:val="24"/>
          <w:szCs w:val="24"/>
          <w:highlight w:val="white"/>
        </w:rPr>
        <w:t>Olutimehin</w:t>
      </w:r>
      <w:proofErr w:type="spellEnd"/>
      <w:r w:rsidRPr="00814614">
        <w:rPr>
          <w:rFonts w:eastAsia="Times New Roman"/>
          <w:color w:val="0D0D0D"/>
          <w:sz w:val="24"/>
          <w:szCs w:val="24"/>
          <w:highlight w:val="white"/>
        </w:rPr>
        <w:t xml:space="preserve">, A. T. (2025a). Advancing Cloud Security in Digital Finance: AI-Driven Threat Detection, Cryptographic Solutions, and Privacy Challenges. </w:t>
      </w:r>
      <w:r w:rsidRPr="00814614">
        <w:rPr>
          <w:rFonts w:eastAsia="Times New Roman"/>
          <w:i/>
          <w:color w:val="0D0D0D"/>
          <w:sz w:val="24"/>
          <w:szCs w:val="24"/>
          <w:highlight w:val="white"/>
        </w:rPr>
        <w:t>Journal of Engineering Research and Reports</w:t>
      </w:r>
      <w:r w:rsidRPr="00814614">
        <w:rPr>
          <w:rFonts w:eastAsia="Times New Roman"/>
          <w:color w:val="0D0D0D"/>
          <w:sz w:val="24"/>
          <w:szCs w:val="24"/>
          <w:highlight w:val="white"/>
        </w:rPr>
        <w:t xml:space="preserve">, </w:t>
      </w:r>
      <w:r w:rsidRPr="00814614">
        <w:rPr>
          <w:rFonts w:eastAsia="Times New Roman"/>
          <w:i/>
          <w:color w:val="0D0D0D"/>
          <w:sz w:val="24"/>
          <w:szCs w:val="24"/>
          <w:highlight w:val="white"/>
        </w:rPr>
        <w:t>27</w:t>
      </w:r>
      <w:r w:rsidRPr="00814614">
        <w:rPr>
          <w:rFonts w:eastAsia="Times New Roman"/>
          <w:color w:val="0D0D0D"/>
          <w:sz w:val="24"/>
          <w:szCs w:val="24"/>
          <w:highlight w:val="white"/>
        </w:rPr>
        <w:t xml:space="preserve">(3), 35–55. </w:t>
      </w:r>
      <w:hyperlink r:id="rId61">
        <w:r w:rsidRPr="00814614">
          <w:rPr>
            <w:rFonts w:eastAsia="Times New Roman"/>
            <w:color w:val="1155CC"/>
            <w:sz w:val="24"/>
            <w:szCs w:val="24"/>
            <w:highlight w:val="white"/>
            <w:u w:val="single"/>
          </w:rPr>
          <w:t>https://doi.org/10.9734/jerr/2025/v27i31416</w:t>
        </w:r>
      </w:hyperlink>
      <w:r w:rsidRPr="00814614">
        <w:rPr>
          <w:rFonts w:eastAsia="Times New Roman"/>
          <w:color w:val="0D0D0D"/>
          <w:sz w:val="24"/>
          <w:szCs w:val="24"/>
          <w:highlight w:val="white"/>
        </w:rPr>
        <w:t xml:space="preserve"> </w:t>
      </w:r>
    </w:p>
    <w:p w14:paraId="16D57B66" w14:textId="77777777" w:rsidR="007C0019" w:rsidRPr="00814614" w:rsidRDefault="002431C8" w:rsidP="00814614">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ind w:left="720" w:hanging="720"/>
        <w:jc w:val="both"/>
        <w:rPr>
          <w:rFonts w:eastAsia="Times New Roman"/>
          <w:color w:val="0D0D0D"/>
          <w:sz w:val="24"/>
          <w:szCs w:val="24"/>
          <w:highlight w:val="white"/>
        </w:rPr>
      </w:pPr>
      <w:proofErr w:type="spellStart"/>
      <w:r w:rsidRPr="00814614">
        <w:rPr>
          <w:rFonts w:eastAsia="Times New Roman"/>
          <w:color w:val="0D0D0D"/>
          <w:sz w:val="24"/>
          <w:szCs w:val="24"/>
          <w:highlight w:val="white"/>
        </w:rPr>
        <w:t>Olutimehin</w:t>
      </w:r>
      <w:proofErr w:type="spellEnd"/>
      <w:r w:rsidRPr="00814614">
        <w:rPr>
          <w:rFonts w:eastAsia="Times New Roman"/>
          <w:color w:val="0D0D0D"/>
          <w:sz w:val="24"/>
          <w:szCs w:val="24"/>
          <w:highlight w:val="white"/>
        </w:rPr>
        <w:t>, A. T. (2025b). Assessing the Effectiveness of Cybersecurity Frameworks in Mitigating Cyberattacks in the Banking Sector and its Applicability to Decentralized Finance (</w:t>
      </w:r>
      <w:proofErr w:type="spellStart"/>
      <w:r w:rsidRPr="00814614">
        <w:rPr>
          <w:rFonts w:eastAsia="Times New Roman"/>
          <w:color w:val="0D0D0D"/>
          <w:sz w:val="24"/>
          <w:szCs w:val="24"/>
          <w:highlight w:val="white"/>
        </w:rPr>
        <w:t>DeFi</w:t>
      </w:r>
      <w:proofErr w:type="spellEnd"/>
      <w:r w:rsidRPr="00814614">
        <w:rPr>
          <w:rFonts w:eastAsia="Times New Roman"/>
          <w:color w:val="0D0D0D"/>
          <w:sz w:val="24"/>
          <w:szCs w:val="24"/>
          <w:highlight w:val="white"/>
        </w:rPr>
        <w:t xml:space="preserve">). </w:t>
      </w:r>
      <w:r w:rsidRPr="00814614">
        <w:rPr>
          <w:rFonts w:eastAsia="Times New Roman"/>
          <w:i/>
          <w:color w:val="0D0D0D"/>
          <w:sz w:val="24"/>
          <w:szCs w:val="24"/>
          <w:highlight w:val="white"/>
        </w:rPr>
        <w:t>Asian Journal of Research in Computer Science</w:t>
      </w:r>
      <w:r w:rsidRPr="00814614">
        <w:rPr>
          <w:rFonts w:eastAsia="Times New Roman"/>
          <w:color w:val="0D0D0D"/>
          <w:sz w:val="24"/>
          <w:szCs w:val="24"/>
          <w:highlight w:val="white"/>
        </w:rPr>
        <w:t xml:space="preserve">, </w:t>
      </w:r>
      <w:r w:rsidRPr="00814614">
        <w:rPr>
          <w:rFonts w:eastAsia="Times New Roman"/>
          <w:i/>
          <w:color w:val="0D0D0D"/>
          <w:sz w:val="24"/>
          <w:szCs w:val="24"/>
          <w:highlight w:val="white"/>
        </w:rPr>
        <w:t>18</w:t>
      </w:r>
      <w:r w:rsidRPr="00814614">
        <w:rPr>
          <w:rFonts w:eastAsia="Times New Roman"/>
          <w:color w:val="0D0D0D"/>
          <w:sz w:val="24"/>
          <w:szCs w:val="24"/>
          <w:highlight w:val="white"/>
        </w:rPr>
        <w:t xml:space="preserve">(3), 130–151. </w:t>
      </w:r>
      <w:hyperlink r:id="rId62">
        <w:r w:rsidRPr="00814614">
          <w:rPr>
            <w:rFonts w:eastAsia="Times New Roman"/>
            <w:color w:val="1155CC"/>
            <w:sz w:val="24"/>
            <w:szCs w:val="24"/>
            <w:highlight w:val="white"/>
            <w:u w:val="single"/>
          </w:rPr>
          <w:t>https://doi.org/10.9734/ajrcos/2025/v18i3583</w:t>
        </w:r>
      </w:hyperlink>
      <w:r w:rsidRPr="00814614">
        <w:rPr>
          <w:rFonts w:eastAsia="Times New Roman"/>
          <w:color w:val="0D0D0D"/>
          <w:sz w:val="24"/>
          <w:szCs w:val="24"/>
          <w:highlight w:val="white"/>
        </w:rPr>
        <w:t xml:space="preserve"> </w:t>
      </w:r>
    </w:p>
    <w:p w14:paraId="16EBB0EE" w14:textId="77777777" w:rsidR="007C0019" w:rsidRPr="00814614" w:rsidRDefault="002431C8" w:rsidP="00814614">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ind w:left="720" w:hanging="720"/>
        <w:jc w:val="both"/>
        <w:rPr>
          <w:rFonts w:eastAsia="Times New Roman"/>
          <w:color w:val="0D0D0D"/>
          <w:sz w:val="24"/>
          <w:szCs w:val="24"/>
          <w:highlight w:val="white"/>
        </w:rPr>
      </w:pPr>
      <w:proofErr w:type="spellStart"/>
      <w:r w:rsidRPr="00814614">
        <w:rPr>
          <w:rFonts w:eastAsia="Times New Roman"/>
          <w:color w:val="0D0D0D"/>
          <w:sz w:val="24"/>
          <w:szCs w:val="24"/>
          <w:highlight w:val="white"/>
        </w:rPr>
        <w:t>Olutimehin</w:t>
      </w:r>
      <w:proofErr w:type="spellEnd"/>
      <w:r w:rsidRPr="00814614">
        <w:rPr>
          <w:rFonts w:eastAsia="Times New Roman"/>
          <w:color w:val="0D0D0D"/>
          <w:sz w:val="24"/>
          <w:szCs w:val="24"/>
          <w:highlight w:val="white"/>
        </w:rPr>
        <w:t xml:space="preserve">, A. T. (2025c). The Synergistic Role of Machine Learning, Deep Learning, and Reinforcement Learning in Strengthening Cyber Security Measures for Crypto Currency Platforms. </w:t>
      </w:r>
      <w:r w:rsidRPr="00814614">
        <w:rPr>
          <w:rFonts w:eastAsia="Times New Roman"/>
          <w:i/>
          <w:color w:val="0D0D0D"/>
          <w:sz w:val="24"/>
          <w:szCs w:val="24"/>
          <w:highlight w:val="white"/>
        </w:rPr>
        <w:t>Asian Journal of Research in Computer Science</w:t>
      </w:r>
      <w:r w:rsidRPr="00814614">
        <w:rPr>
          <w:rFonts w:eastAsia="Times New Roman"/>
          <w:color w:val="0D0D0D"/>
          <w:sz w:val="24"/>
          <w:szCs w:val="24"/>
          <w:highlight w:val="white"/>
        </w:rPr>
        <w:t xml:space="preserve">, </w:t>
      </w:r>
      <w:r w:rsidRPr="00814614">
        <w:rPr>
          <w:rFonts w:eastAsia="Times New Roman"/>
          <w:i/>
          <w:color w:val="0D0D0D"/>
          <w:sz w:val="24"/>
          <w:szCs w:val="24"/>
          <w:highlight w:val="white"/>
        </w:rPr>
        <w:t>18</w:t>
      </w:r>
      <w:r w:rsidRPr="00814614">
        <w:rPr>
          <w:rFonts w:eastAsia="Times New Roman"/>
          <w:color w:val="0D0D0D"/>
          <w:sz w:val="24"/>
          <w:szCs w:val="24"/>
          <w:highlight w:val="white"/>
        </w:rPr>
        <w:t xml:space="preserve">(3), 190–212. </w:t>
      </w:r>
      <w:hyperlink r:id="rId63">
        <w:r w:rsidRPr="00814614">
          <w:rPr>
            <w:rFonts w:eastAsia="Times New Roman"/>
            <w:color w:val="1155CC"/>
            <w:sz w:val="24"/>
            <w:szCs w:val="24"/>
            <w:highlight w:val="white"/>
            <w:u w:val="single"/>
          </w:rPr>
          <w:t>https://doi.org/10.9734/ajrcos/2025/v18i3586</w:t>
        </w:r>
      </w:hyperlink>
      <w:r w:rsidRPr="00814614">
        <w:rPr>
          <w:rFonts w:eastAsia="Times New Roman"/>
          <w:color w:val="0D0D0D"/>
          <w:sz w:val="24"/>
          <w:szCs w:val="24"/>
          <w:highlight w:val="white"/>
        </w:rPr>
        <w:t xml:space="preserve"> </w:t>
      </w:r>
    </w:p>
    <w:p w14:paraId="6AEF48C4" w14:textId="77777777" w:rsidR="007C0019" w:rsidRPr="00814614" w:rsidRDefault="002431C8" w:rsidP="00814614">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ind w:left="720" w:hanging="720"/>
        <w:jc w:val="both"/>
        <w:rPr>
          <w:rFonts w:eastAsia="Times New Roman"/>
          <w:color w:val="0D0D0D"/>
          <w:sz w:val="24"/>
          <w:szCs w:val="24"/>
          <w:highlight w:val="white"/>
        </w:rPr>
      </w:pPr>
      <w:proofErr w:type="spellStart"/>
      <w:r w:rsidRPr="00814614">
        <w:rPr>
          <w:rFonts w:eastAsia="Times New Roman"/>
          <w:color w:val="0D0D0D"/>
          <w:sz w:val="24"/>
          <w:szCs w:val="24"/>
          <w:highlight w:val="white"/>
        </w:rPr>
        <w:t>Olutimehin</w:t>
      </w:r>
      <w:proofErr w:type="spellEnd"/>
      <w:r w:rsidRPr="00814614">
        <w:rPr>
          <w:rFonts w:eastAsia="Times New Roman"/>
          <w:color w:val="0D0D0D"/>
          <w:sz w:val="24"/>
          <w:szCs w:val="24"/>
          <w:highlight w:val="white"/>
        </w:rPr>
        <w:t xml:space="preserve">, A. T., Ajayi, A. J., </w:t>
      </w:r>
      <w:proofErr w:type="spellStart"/>
      <w:r w:rsidRPr="00814614">
        <w:rPr>
          <w:rFonts w:eastAsia="Times New Roman"/>
          <w:color w:val="0D0D0D"/>
          <w:sz w:val="24"/>
          <w:szCs w:val="24"/>
          <w:highlight w:val="white"/>
        </w:rPr>
        <w:t>Metibemu</w:t>
      </w:r>
      <w:proofErr w:type="spellEnd"/>
      <w:r w:rsidRPr="00814614">
        <w:rPr>
          <w:rFonts w:eastAsia="Times New Roman"/>
          <w:color w:val="0D0D0D"/>
          <w:sz w:val="24"/>
          <w:szCs w:val="24"/>
          <w:highlight w:val="white"/>
        </w:rPr>
        <w:t xml:space="preserve">, O. C., Balogun, A. Y., </w:t>
      </w:r>
      <w:proofErr w:type="spellStart"/>
      <w:r w:rsidRPr="00814614">
        <w:rPr>
          <w:rFonts w:eastAsia="Times New Roman"/>
          <w:color w:val="0D0D0D"/>
          <w:sz w:val="24"/>
          <w:szCs w:val="24"/>
          <w:highlight w:val="white"/>
        </w:rPr>
        <w:t>Oladoyinbo</w:t>
      </w:r>
      <w:proofErr w:type="spellEnd"/>
      <w:r w:rsidRPr="00814614">
        <w:rPr>
          <w:rFonts w:eastAsia="Times New Roman"/>
          <w:color w:val="0D0D0D"/>
          <w:sz w:val="24"/>
          <w:szCs w:val="24"/>
          <w:highlight w:val="white"/>
        </w:rPr>
        <w:t xml:space="preserve">, T. O., &amp; </w:t>
      </w:r>
      <w:proofErr w:type="spellStart"/>
      <w:r w:rsidRPr="00814614">
        <w:rPr>
          <w:rFonts w:eastAsia="Times New Roman"/>
          <w:color w:val="0D0D0D"/>
          <w:sz w:val="24"/>
          <w:szCs w:val="24"/>
          <w:highlight w:val="white"/>
        </w:rPr>
        <w:t>Olaniyi</w:t>
      </w:r>
      <w:proofErr w:type="spellEnd"/>
      <w:r w:rsidRPr="00814614">
        <w:rPr>
          <w:rFonts w:eastAsia="Times New Roman"/>
          <w:color w:val="0D0D0D"/>
          <w:sz w:val="24"/>
          <w:szCs w:val="24"/>
          <w:highlight w:val="white"/>
        </w:rPr>
        <w:t xml:space="preserve">, O. O. (2025). Adversarial Threats to AI-Driven Systems: Exploring the Attack Surface of Machine Learning Models and Countermeasures. </w:t>
      </w:r>
      <w:r w:rsidRPr="00814614">
        <w:rPr>
          <w:rFonts w:eastAsia="Times New Roman"/>
          <w:i/>
          <w:color w:val="0D0D0D"/>
          <w:sz w:val="24"/>
          <w:szCs w:val="24"/>
          <w:highlight w:val="white"/>
        </w:rPr>
        <w:t>Journal of Engineering Research and Reports</w:t>
      </w:r>
      <w:r w:rsidRPr="00814614">
        <w:rPr>
          <w:rFonts w:eastAsia="Times New Roman"/>
          <w:color w:val="0D0D0D"/>
          <w:sz w:val="24"/>
          <w:szCs w:val="24"/>
          <w:highlight w:val="white"/>
        </w:rPr>
        <w:t xml:space="preserve">, </w:t>
      </w:r>
      <w:r w:rsidRPr="00814614">
        <w:rPr>
          <w:rFonts w:eastAsia="Times New Roman"/>
          <w:i/>
          <w:color w:val="0D0D0D"/>
          <w:sz w:val="24"/>
          <w:szCs w:val="24"/>
          <w:highlight w:val="white"/>
        </w:rPr>
        <w:t>27</w:t>
      </w:r>
      <w:r w:rsidRPr="00814614">
        <w:rPr>
          <w:rFonts w:eastAsia="Times New Roman"/>
          <w:color w:val="0D0D0D"/>
          <w:sz w:val="24"/>
          <w:szCs w:val="24"/>
          <w:highlight w:val="white"/>
        </w:rPr>
        <w:t xml:space="preserve">(2), 341–362. </w:t>
      </w:r>
      <w:hyperlink r:id="rId64">
        <w:r w:rsidRPr="00814614">
          <w:rPr>
            <w:rFonts w:eastAsia="Times New Roman"/>
            <w:color w:val="1155CC"/>
            <w:sz w:val="24"/>
            <w:szCs w:val="24"/>
            <w:highlight w:val="white"/>
            <w:u w:val="single"/>
          </w:rPr>
          <w:t>https://doi.org/10.9734/jerr/2025/v27i21413</w:t>
        </w:r>
      </w:hyperlink>
      <w:r w:rsidRPr="00814614">
        <w:rPr>
          <w:rFonts w:eastAsia="Times New Roman"/>
          <w:color w:val="0D0D0D"/>
          <w:sz w:val="24"/>
          <w:szCs w:val="24"/>
          <w:highlight w:val="white"/>
        </w:rPr>
        <w:t xml:space="preserve"> </w:t>
      </w:r>
    </w:p>
    <w:p w14:paraId="78C76AC8" w14:textId="77777777" w:rsidR="007C0019" w:rsidRPr="00814614" w:rsidRDefault="002431C8" w:rsidP="00814614">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ind w:left="720" w:hanging="720"/>
        <w:jc w:val="both"/>
        <w:rPr>
          <w:rFonts w:eastAsia="Times New Roman"/>
          <w:color w:val="0D0D0D"/>
          <w:sz w:val="24"/>
          <w:szCs w:val="24"/>
          <w:highlight w:val="white"/>
        </w:rPr>
      </w:pPr>
      <w:proofErr w:type="spellStart"/>
      <w:r w:rsidRPr="00814614">
        <w:rPr>
          <w:rFonts w:eastAsia="Times New Roman"/>
          <w:color w:val="0D0D0D"/>
          <w:sz w:val="24"/>
          <w:szCs w:val="24"/>
          <w:highlight w:val="white"/>
        </w:rPr>
        <w:t>Olutimehin</w:t>
      </w:r>
      <w:proofErr w:type="spellEnd"/>
      <w:r w:rsidRPr="00814614">
        <w:rPr>
          <w:rFonts w:eastAsia="Times New Roman"/>
          <w:color w:val="0D0D0D"/>
          <w:sz w:val="24"/>
          <w:szCs w:val="24"/>
          <w:highlight w:val="white"/>
        </w:rPr>
        <w:t xml:space="preserve">, A. T., Joseph, S. A., Ajayi, A. J., </w:t>
      </w:r>
      <w:proofErr w:type="spellStart"/>
      <w:r w:rsidRPr="00814614">
        <w:rPr>
          <w:rFonts w:eastAsia="Times New Roman"/>
          <w:color w:val="0D0D0D"/>
          <w:sz w:val="24"/>
          <w:szCs w:val="24"/>
          <w:highlight w:val="white"/>
        </w:rPr>
        <w:t>Metibemu</w:t>
      </w:r>
      <w:proofErr w:type="spellEnd"/>
      <w:r w:rsidRPr="00814614">
        <w:rPr>
          <w:rFonts w:eastAsia="Times New Roman"/>
          <w:color w:val="0D0D0D"/>
          <w:sz w:val="24"/>
          <w:szCs w:val="24"/>
          <w:highlight w:val="white"/>
        </w:rPr>
        <w:t xml:space="preserve">, O. C., Balogun, A. Y., &amp; </w:t>
      </w:r>
      <w:proofErr w:type="spellStart"/>
      <w:r w:rsidRPr="00814614">
        <w:rPr>
          <w:rFonts w:eastAsia="Times New Roman"/>
          <w:color w:val="0D0D0D"/>
          <w:sz w:val="24"/>
          <w:szCs w:val="24"/>
          <w:highlight w:val="white"/>
        </w:rPr>
        <w:t>Olaniyi</w:t>
      </w:r>
      <w:proofErr w:type="spellEnd"/>
      <w:r w:rsidRPr="00814614">
        <w:rPr>
          <w:rFonts w:eastAsia="Times New Roman"/>
          <w:color w:val="0D0D0D"/>
          <w:sz w:val="24"/>
          <w:szCs w:val="24"/>
          <w:highlight w:val="white"/>
        </w:rPr>
        <w:t xml:space="preserve">, O. O. (2025). Future-Proofing Data: Assessing the Feasibility of Post-Quantum Cryptographic Algorithms to Mitigate “Harvest Now, Decrypt Later” Attacks. </w:t>
      </w:r>
      <w:r w:rsidRPr="00814614">
        <w:rPr>
          <w:rFonts w:eastAsia="Times New Roman"/>
          <w:i/>
          <w:color w:val="0D0D0D"/>
          <w:sz w:val="24"/>
          <w:szCs w:val="24"/>
          <w:highlight w:val="white"/>
        </w:rPr>
        <w:t>Archives of Current Research International</w:t>
      </w:r>
      <w:r w:rsidRPr="00814614">
        <w:rPr>
          <w:rFonts w:eastAsia="Times New Roman"/>
          <w:color w:val="0D0D0D"/>
          <w:sz w:val="24"/>
          <w:szCs w:val="24"/>
          <w:highlight w:val="white"/>
        </w:rPr>
        <w:t xml:space="preserve">, </w:t>
      </w:r>
      <w:r w:rsidRPr="00814614">
        <w:rPr>
          <w:rFonts w:eastAsia="Times New Roman"/>
          <w:i/>
          <w:color w:val="0D0D0D"/>
          <w:sz w:val="24"/>
          <w:szCs w:val="24"/>
          <w:highlight w:val="white"/>
        </w:rPr>
        <w:t>25</w:t>
      </w:r>
      <w:r w:rsidRPr="00814614">
        <w:rPr>
          <w:rFonts w:eastAsia="Times New Roman"/>
          <w:color w:val="0D0D0D"/>
          <w:sz w:val="24"/>
          <w:szCs w:val="24"/>
          <w:highlight w:val="white"/>
        </w:rPr>
        <w:t xml:space="preserve">(3), 60–80. </w:t>
      </w:r>
      <w:hyperlink r:id="rId65">
        <w:r w:rsidRPr="00814614">
          <w:rPr>
            <w:rFonts w:eastAsia="Times New Roman"/>
            <w:color w:val="1155CC"/>
            <w:sz w:val="24"/>
            <w:szCs w:val="24"/>
            <w:highlight w:val="white"/>
            <w:u w:val="single"/>
          </w:rPr>
          <w:t>https://doi.org/10.9734/acri/2025/v25i31098</w:t>
        </w:r>
      </w:hyperlink>
      <w:r w:rsidRPr="00814614">
        <w:rPr>
          <w:rFonts w:eastAsia="Times New Roman"/>
          <w:color w:val="0D0D0D"/>
          <w:sz w:val="24"/>
          <w:szCs w:val="24"/>
          <w:highlight w:val="white"/>
        </w:rPr>
        <w:t xml:space="preserve"> </w:t>
      </w:r>
    </w:p>
    <w:p w14:paraId="155863EF" w14:textId="77777777" w:rsidR="007C0019" w:rsidRPr="00814614" w:rsidRDefault="002431C8" w:rsidP="00814614">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ind w:left="720" w:hanging="720"/>
        <w:jc w:val="both"/>
        <w:rPr>
          <w:rFonts w:eastAsia="Times New Roman"/>
          <w:color w:val="0D0D0D"/>
          <w:sz w:val="24"/>
          <w:szCs w:val="24"/>
          <w:highlight w:val="white"/>
        </w:rPr>
      </w:pPr>
      <w:proofErr w:type="spellStart"/>
      <w:r w:rsidRPr="00814614">
        <w:rPr>
          <w:rFonts w:eastAsia="Times New Roman"/>
          <w:color w:val="0D0D0D"/>
          <w:sz w:val="24"/>
          <w:szCs w:val="24"/>
          <w:highlight w:val="white"/>
        </w:rPr>
        <w:lastRenderedPageBreak/>
        <w:t>Orobinskaya</w:t>
      </w:r>
      <w:proofErr w:type="spellEnd"/>
      <w:r w:rsidRPr="00814614">
        <w:rPr>
          <w:rFonts w:eastAsia="Times New Roman"/>
          <w:color w:val="0D0D0D"/>
          <w:sz w:val="24"/>
          <w:szCs w:val="24"/>
          <w:highlight w:val="white"/>
        </w:rPr>
        <w:t xml:space="preserve">, V. N., </w:t>
      </w:r>
      <w:proofErr w:type="spellStart"/>
      <w:r w:rsidRPr="00814614">
        <w:rPr>
          <w:rFonts w:eastAsia="Times New Roman"/>
          <w:color w:val="0D0D0D"/>
          <w:sz w:val="24"/>
          <w:szCs w:val="24"/>
          <w:highlight w:val="white"/>
        </w:rPr>
        <w:t>Mishina</w:t>
      </w:r>
      <w:proofErr w:type="spellEnd"/>
      <w:r w:rsidRPr="00814614">
        <w:rPr>
          <w:rFonts w:eastAsia="Times New Roman"/>
          <w:color w:val="0D0D0D"/>
          <w:sz w:val="24"/>
          <w:szCs w:val="24"/>
          <w:highlight w:val="white"/>
        </w:rPr>
        <w:t xml:space="preserve">, T. N., </w:t>
      </w:r>
      <w:proofErr w:type="spellStart"/>
      <w:r w:rsidRPr="00814614">
        <w:rPr>
          <w:rFonts w:eastAsia="Times New Roman"/>
          <w:color w:val="0D0D0D"/>
          <w:sz w:val="24"/>
          <w:szCs w:val="24"/>
          <w:highlight w:val="white"/>
        </w:rPr>
        <w:t>Mazurenko</w:t>
      </w:r>
      <w:proofErr w:type="spellEnd"/>
      <w:r w:rsidRPr="00814614">
        <w:rPr>
          <w:rFonts w:eastAsia="Times New Roman"/>
          <w:color w:val="0D0D0D"/>
          <w:sz w:val="24"/>
          <w:szCs w:val="24"/>
          <w:highlight w:val="white"/>
        </w:rPr>
        <w:t xml:space="preserve">, A. P., &amp; </w:t>
      </w:r>
      <w:proofErr w:type="spellStart"/>
      <w:r w:rsidRPr="00814614">
        <w:rPr>
          <w:rFonts w:eastAsia="Times New Roman"/>
          <w:color w:val="0D0D0D"/>
          <w:sz w:val="24"/>
          <w:szCs w:val="24"/>
          <w:highlight w:val="white"/>
        </w:rPr>
        <w:t>Mishin</w:t>
      </w:r>
      <w:proofErr w:type="spellEnd"/>
      <w:r w:rsidRPr="00814614">
        <w:rPr>
          <w:rFonts w:eastAsia="Times New Roman"/>
          <w:color w:val="0D0D0D"/>
          <w:sz w:val="24"/>
          <w:szCs w:val="24"/>
          <w:highlight w:val="white"/>
        </w:rPr>
        <w:t xml:space="preserve">, V. V. (2024). Problems of Interpretability and Transparency of Decisions Made by AI. </w:t>
      </w:r>
      <w:r w:rsidRPr="00814614">
        <w:rPr>
          <w:rFonts w:eastAsia="Times New Roman"/>
          <w:i/>
          <w:color w:val="0D0D0D"/>
          <w:sz w:val="24"/>
          <w:szCs w:val="24"/>
          <w:highlight w:val="white"/>
        </w:rPr>
        <w:t xml:space="preserve">2024 6th International Conference on Control Systems, Mathematical </w:t>
      </w:r>
      <w:proofErr w:type="spellStart"/>
      <w:r w:rsidRPr="00814614">
        <w:rPr>
          <w:rFonts w:eastAsia="Times New Roman"/>
          <w:i/>
          <w:color w:val="0D0D0D"/>
          <w:sz w:val="24"/>
          <w:szCs w:val="24"/>
          <w:highlight w:val="white"/>
        </w:rPr>
        <w:t>Modeling</w:t>
      </w:r>
      <w:proofErr w:type="spellEnd"/>
      <w:r w:rsidRPr="00814614">
        <w:rPr>
          <w:rFonts w:eastAsia="Times New Roman"/>
          <w:i/>
          <w:color w:val="0D0D0D"/>
          <w:sz w:val="24"/>
          <w:szCs w:val="24"/>
          <w:highlight w:val="white"/>
        </w:rPr>
        <w:t>, Automation and Energy Efficiency (SUMMA)</w:t>
      </w:r>
      <w:r w:rsidRPr="00814614">
        <w:rPr>
          <w:rFonts w:eastAsia="Times New Roman"/>
          <w:color w:val="0D0D0D"/>
          <w:sz w:val="24"/>
          <w:szCs w:val="24"/>
          <w:highlight w:val="white"/>
        </w:rPr>
        <w:t xml:space="preserve">, 667–671. </w:t>
      </w:r>
      <w:hyperlink r:id="rId66">
        <w:r w:rsidRPr="00814614">
          <w:rPr>
            <w:rFonts w:eastAsia="Times New Roman"/>
            <w:color w:val="1155CC"/>
            <w:sz w:val="24"/>
            <w:szCs w:val="24"/>
            <w:highlight w:val="white"/>
            <w:u w:val="single"/>
          </w:rPr>
          <w:t>https://doi.org/10.1109/summa64428.2024.10803745</w:t>
        </w:r>
      </w:hyperlink>
      <w:r w:rsidRPr="00814614">
        <w:rPr>
          <w:rFonts w:eastAsia="Times New Roman"/>
          <w:color w:val="0D0D0D"/>
          <w:sz w:val="24"/>
          <w:szCs w:val="24"/>
          <w:highlight w:val="white"/>
        </w:rPr>
        <w:t xml:space="preserve"> </w:t>
      </w:r>
    </w:p>
    <w:p w14:paraId="7AFE833D" w14:textId="77777777" w:rsidR="007C0019" w:rsidRPr="00814614" w:rsidRDefault="002431C8" w:rsidP="00814614">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ind w:left="720" w:hanging="720"/>
        <w:jc w:val="both"/>
        <w:rPr>
          <w:rFonts w:eastAsia="Times New Roman"/>
          <w:color w:val="0D0D0D"/>
          <w:sz w:val="24"/>
          <w:szCs w:val="24"/>
          <w:highlight w:val="white"/>
        </w:rPr>
      </w:pPr>
      <w:r w:rsidRPr="00814614">
        <w:rPr>
          <w:rFonts w:eastAsia="Times New Roman"/>
          <w:color w:val="0D0D0D"/>
          <w:sz w:val="24"/>
          <w:szCs w:val="24"/>
          <w:highlight w:val="white"/>
        </w:rPr>
        <w:t xml:space="preserve">Owolabi, R., </w:t>
      </w:r>
      <w:proofErr w:type="spellStart"/>
      <w:r w:rsidRPr="00814614">
        <w:rPr>
          <w:rFonts w:eastAsia="Times New Roman"/>
          <w:color w:val="0D0D0D"/>
          <w:sz w:val="24"/>
          <w:szCs w:val="24"/>
          <w:highlight w:val="white"/>
        </w:rPr>
        <w:t>Olatoye</w:t>
      </w:r>
      <w:proofErr w:type="spellEnd"/>
      <w:r w:rsidRPr="00814614">
        <w:rPr>
          <w:rFonts w:eastAsia="Times New Roman"/>
          <w:color w:val="0D0D0D"/>
          <w:sz w:val="24"/>
          <w:szCs w:val="24"/>
          <w:highlight w:val="white"/>
        </w:rPr>
        <w:t xml:space="preserve">, F. O., </w:t>
      </w:r>
      <w:proofErr w:type="spellStart"/>
      <w:r w:rsidRPr="00814614">
        <w:rPr>
          <w:rFonts w:eastAsia="Times New Roman"/>
          <w:color w:val="0D0D0D"/>
          <w:sz w:val="24"/>
          <w:szCs w:val="24"/>
          <w:highlight w:val="white"/>
        </w:rPr>
        <w:t>Elufioye</w:t>
      </w:r>
      <w:proofErr w:type="spellEnd"/>
      <w:r w:rsidRPr="00814614">
        <w:rPr>
          <w:rFonts w:eastAsia="Times New Roman"/>
          <w:color w:val="0D0D0D"/>
          <w:sz w:val="24"/>
          <w:szCs w:val="24"/>
          <w:highlight w:val="white"/>
        </w:rPr>
        <w:t xml:space="preserve">, O. A., &amp; </w:t>
      </w:r>
      <w:proofErr w:type="spellStart"/>
      <w:r w:rsidRPr="00814614">
        <w:rPr>
          <w:rFonts w:eastAsia="Times New Roman"/>
          <w:color w:val="0D0D0D"/>
          <w:sz w:val="24"/>
          <w:szCs w:val="24"/>
          <w:highlight w:val="white"/>
        </w:rPr>
        <w:t>Okunade</w:t>
      </w:r>
      <w:proofErr w:type="spellEnd"/>
      <w:r w:rsidRPr="00814614">
        <w:rPr>
          <w:rFonts w:eastAsia="Times New Roman"/>
          <w:color w:val="0D0D0D"/>
          <w:sz w:val="24"/>
          <w:szCs w:val="24"/>
          <w:highlight w:val="white"/>
        </w:rPr>
        <w:t xml:space="preserve">, B. (2024). Reviewing healthcare financial management: Strategies for cost-effective care. </w:t>
      </w:r>
      <w:r w:rsidRPr="00814614">
        <w:rPr>
          <w:rFonts w:eastAsia="Times New Roman"/>
          <w:i/>
          <w:color w:val="0D0D0D"/>
          <w:sz w:val="24"/>
          <w:szCs w:val="24"/>
          <w:highlight w:val="white"/>
        </w:rPr>
        <w:t>World Journal of Advanced Research and Reviews</w:t>
      </w:r>
      <w:r w:rsidRPr="00814614">
        <w:rPr>
          <w:rFonts w:eastAsia="Times New Roman"/>
          <w:color w:val="0D0D0D"/>
          <w:sz w:val="24"/>
          <w:szCs w:val="24"/>
          <w:highlight w:val="white"/>
        </w:rPr>
        <w:t xml:space="preserve">, </w:t>
      </w:r>
      <w:r w:rsidRPr="00814614">
        <w:rPr>
          <w:rFonts w:eastAsia="Times New Roman"/>
          <w:i/>
          <w:color w:val="0D0D0D"/>
          <w:sz w:val="24"/>
          <w:szCs w:val="24"/>
          <w:highlight w:val="white"/>
        </w:rPr>
        <w:t>21</w:t>
      </w:r>
      <w:r w:rsidRPr="00814614">
        <w:rPr>
          <w:rFonts w:eastAsia="Times New Roman"/>
          <w:color w:val="0D0D0D"/>
          <w:sz w:val="24"/>
          <w:szCs w:val="24"/>
          <w:highlight w:val="white"/>
        </w:rPr>
        <w:t xml:space="preserve">(2), 958–966. </w:t>
      </w:r>
      <w:hyperlink r:id="rId67">
        <w:r w:rsidRPr="00814614">
          <w:rPr>
            <w:rFonts w:eastAsia="Times New Roman"/>
            <w:color w:val="1155CC"/>
            <w:sz w:val="24"/>
            <w:szCs w:val="24"/>
            <w:highlight w:val="white"/>
            <w:u w:val="single"/>
          </w:rPr>
          <w:t>https://doi.org/10.30574/wjarr.2024.21.2.0523</w:t>
        </w:r>
      </w:hyperlink>
      <w:r w:rsidRPr="00814614">
        <w:rPr>
          <w:rFonts w:eastAsia="Times New Roman"/>
          <w:color w:val="0D0D0D"/>
          <w:sz w:val="24"/>
          <w:szCs w:val="24"/>
          <w:highlight w:val="white"/>
        </w:rPr>
        <w:t xml:space="preserve"> </w:t>
      </w:r>
    </w:p>
    <w:p w14:paraId="10FDBCF0" w14:textId="77777777" w:rsidR="007C0019" w:rsidRPr="00814614" w:rsidRDefault="002431C8" w:rsidP="00814614">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ind w:left="720" w:hanging="720"/>
        <w:jc w:val="both"/>
        <w:rPr>
          <w:rFonts w:eastAsia="Times New Roman"/>
          <w:color w:val="0D0D0D"/>
          <w:sz w:val="24"/>
          <w:szCs w:val="24"/>
          <w:highlight w:val="white"/>
        </w:rPr>
      </w:pPr>
      <w:proofErr w:type="spellStart"/>
      <w:r w:rsidRPr="00814614">
        <w:rPr>
          <w:rFonts w:eastAsia="Times New Roman"/>
          <w:color w:val="0D0D0D"/>
          <w:sz w:val="24"/>
          <w:szCs w:val="24"/>
          <w:highlight w:val="white"/>
        </w:rPr>
        <w:t>Oyekunle</w:t>
      </w:r>
      <w:proofErr w:type="spellEnd"/>
      <w:r w:rsidRPr="00814614">
        <w:rPr>
          <w:rFonts w:eastAsia="Times New Roman"/>
          <w:color w:val="0D0D0D"/>
          <w:sz w:val="24"/>
          <w:szCs w:val="24"/>
          <w:highlight w:val="white"/>
        </w:rPr>
        <w:t xml:space="preserve">, S. M., </w:t>
      </w:r>
      <w:proofErr w:type="spellStart"/>
      <w:r w:rsidRPr="00814614">
        <w:rPr>
          <w:rFonts w:eastAsia="Times New Roman"/>
          <w:color w:val="0D0D0D"/>
          <w:sz w:val="24"/>
          <w:szCs w:val="24"/>
          <w:highlight w:val="white"/>
        </w:rPr>
        <w:t>Tiwo</w:t>
      </w:r>
      <w:proofErr w:type="spellEnd"/>
      <w:r w:rsidRPr="00814614">
        <w:rPr>
          <w:rFonts w:eastAsia="Times New Roman"/>
          <w:color w:val="0D0D0D"/>
          <w:sz w:val="24"/>
          <w:szCs w:val="24"/>
          <w:highlight w:val="white"/>
        </w:rPr>
        <w:t xml:space="preserve">, O. J., </w:t>
      </w:r>
      <w:proofErr w:type="spellStart"/>
      <w:r w:rsidRPr="00814614">
        <w:rPr>
          <w:rFonts w:eastAsia="Times New Roman"/>
          <w:color w:val="0D0D0D"/>
          <w:sz w:val="24"/>
          <w:szCs w:val="24"/>
          <w:highlight w:val="white"/>
        </w:rPr>
        <w:t>Adesokan</w:t>
      </w:r>
      <w:proofErr w:type="spellEnd"/>
      <w:r w:rsidRPr="00814614">
        <w:rPr>
          <w:rFonts w:eastAsia="Times New Roman"/>
          <w:color w:val="0D0D0D"/>
          <w:sz w:val="24"/>
          <w:szCs w:val="24"/>
          <w:highlight w:val="white"/>
        </w:rPr>
        <w:t xml:space="preserve">-Imran, T. O., Ajayi, A. J., </w:t>
      </w:r>
      <w:proofErr w:type="spellStart"/>
      <w:r w:rsidRPr="00814614">
        <w:rPr>
          <w:rFonts w:eastAsia="Times New Roman"/>
          <w:color w:val="0D0D0D"/>
          <w:sz w:val="24"/>
          <w:szCs w:val="24"/>
          <w:highlight w:val="white"/>
        </w:rPr>
        <w:t>Salako</w:t>
      </w:r>
      <w:proofErr w:type="spellEnd"/>
      <w:r w:rsidRPr="00814614">
        <w:rPr>
          <w:rFonts w:eastAsia="Times New Roman"/>
          <w:color w:val="0D0D0D"/>
          <w:sz w:val="24"/>
          <w:szCs w:val="24"/>
          <w:highlight w:val="white"/>
        </w:rPr>
        <w:t xml:space="preserve">, A. O., &amp; </w:t>
      </w:r>
      <w:proofErr w:type="spellStart"/>
      <w:r w:rsidRPr="00814614">
        <w:rPr>
          <w:rFonts w:eastAsia="Times New Roman"/>
          <w:color w:val="0D0D0D"/>
          <w:sz w:val="24"/>
          <w:szCs w:val="24"/>
          <w:highlight w:val="white"/>
        </w:rPr>
        <w:t>Olaniyi</w:t>
      </w:r>
      <w:proofErr w:type="spellEnd"/>
      <w:r w:rsidRPr="00814614">
        <w:rPr>
          <w:rFonts w:eastAsia="Times New Roman"/>
          <w:color w:val="0D0D0D"/>
          <w:sz w:val="24"/>
          <w:szCs w:val="24"/>
          <w:highlight w:val="white"/>
        </w:rPr>
        <w:t xml:space="preserve">, O. O. (2025). Enhancing Data Resilience in Cloud-based Electronics Health Records through Ransomware Mitigation Strategies Using NIST and MITRE ATT&amp;CK Frameworks. </w:t>
      </w:r>
      <w:r w:rsidRPr="00814614">
        <w:rPr>
          <w:rFonts w:eastAsia="Times New Roman"/>
          <w:i/>
          <w:color w:val="0D0D0D"/>
          <w:sz w:val="24"/>
          <w:szCs w:val="24"/>
          <w:highlight w:val="white"/>
        </w:rPr>
        <w:t>Journal of Engineering Research and Reports</w:t>
      </w:r>
      <w:r w:rsidRPr="00814614">
        <w:rPr>
          <w:rFonts w:eastAsia="Times New Roman"/>
          <w:color w:val="0D0D0D"/>
          <w:sz w:val="24"/>
          <w:szCs w:val="24"/>
          <w:highlight w:val="white"/>
        </w:rPr>
        <w:t xml:space="preserve">, </w:t>
      </w:r>
      <w:r w:rsidRPr="00814614">
        <w:rPr>
          <w:rFonts w:eastAsia="Times New Roman"/>
          <w:i/>
          <w:color w:val="0D0D0D"/>
          <w:sz w:val="24"/>
          <w:szCs w:val="24"/>
          <w:highlight w:val="white"/>
        </w:rPr>
        <w:t>27</w:t>
      </w:r>
      <w:r w:rsidRPr="00814614">
        <w:rPr>
          <w:rFonts w:eastAsia="Times New Roman"/>
          <w:color w:val="0D0D0D"/>
          <w:sz w:val="24"/>
          <w:szCs w:val="24"/>
          <w:highlight w:val="white"/>
        </w:rPr>
        <w:t xml:space="preserve">(3), 436–457. </w:t>
      </w:r>
      <w:hyperlink r:id="rId68">
        <w:r w:rsidRPr="00814614">
          <w:rPr>
            <w:rFonts w:eastAsia="Times New Roman"/>
            <w:color w:val="1155CC"/>
            <w:sz w:val="24"/>
            <w:szCs w:val="24"/>
            <w:highlight w:val="white"/>
            <w:u w:val="single"/>
          </w:rPr>
          <w:t>https://doi.org/10.9734/jerr/2025/v27i31444</w:t>
        </w:r>
      </w:hyperlink>
      <w:r w:rsidRPr="00814614">
        <w:rPr>
          <w:rFonts w:eastAsia="Times New Roman"/>
          <w:color w:val="0D0D0D"/>
          <w:sz w:val="24"/>
          <w:szCs w:val="24"/>
          <w:highlight w:val="white"/>
        </w:rPr>
        <w:t xml:space="preserve"> </w:t>
      </w:r>
    </w:p>
    <w:p w14:paraId="71460DBD" w14:textId="77777777" w:rsidR="007C0019" w:rsidRPr="00814614" w:rsidRDefault="002431C8" w:rsidP="00814614">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ind w:left="720" w:hanging="720"/>
        <w:jc w:val="both"/>
        <w:rPr>
          <w:rFonts w:eastAsia="Times New Roman"/>
          <w:color w:val="0D0D0D"/>
          <w:sz w:val="24"/>
          <w:szCs w:val="24"/>
          <w:highlight w:val="white"/>
        </w:rPr>
      </w:pPr>
      <w:r w:rsidRPr="00814614">
        <w:rPr>
          <w:rFonts w:eastAsia="Times New Roman"/>
          <w:color w:val="0D0D0D"/>
          <w:sz w:val="24"/>
          <w:szCs w:val="24"/>
          <w:highlight w:val="white"/>
        </w:rPr>
        <w:t xml:space="preserve">Papadopoulos, P., </w:t>
      </w:r>
      <w:proofErr w:type="spellStart"/>
      <w:r w:rsidRPr="00814614">
        <w:rPr>
          <w:rFonts w:eastAsia="Times New Roman"/>
          <w:color w:val="0D0D0D"/>
          <w:sz w:val="24"/>
          <w:szCs w:val="24"/>
          <w:highlight w:val="white"/>
        </w:rPr>
        <w:t>Soflano</w:t>
      </w:r>
      <w:proofErr w:type="spellEnd"/>
      <w:r w:rsidRPr="00814614">
        <w:rPr>
          <w:rFonts w:eastAsia="Times New Roman"/>
          <w:color w:val="0D0D0D"/>
          <w:sz w:val="24"/>
          <w:szCs w:val="24"/>
          <w:highlight w:val="white"/>
        </w:rPr>
        <w:t xml:space="preserve">, M., </w:t>
      </w:r>
      <w:proofErr w:type="spellStart"/>
      <w:r w:rsidRPr="00814614">
        <w:rPr>
          <w:rFonts w:eastAsia="Times New Roman"/>
          <w:color w:val="0D0D0D"/>
          <w:sz w:val="24"/>
          <w:szCs w:val="24"/>
          <w:highlight w:val="white"/>
        </w:rPr>
        <w:t>Chaudy</w:t>
      </w:r>
      <w:proofErr w:type="spellEnd"/>
      <w:r w:rsidRPr="00814614">
        <w:rPr>
          <w:rFonts w:eastAsia="Times New Roman"/>
          <w:color w:val="0D0D0D"/>
          <w:sz w:val="24"/>
          <w:szCs w:val="24"/>
          <w:highlight w:val="white"/>
        </w:rPr>
        <w:t xml:space="preserve">, Y., </w:t>
      </w:r>
      <w:proofErr w:type="spellStart"/>
      <w:r w:rsidRPr="00814614">
        <w:rPr>
          <w:rFonts w:eastAsia="Times New Roman"/>
          <w:color w:val="0D0D0D"/>
          <w:sz w:val="24"/>
          <w:szCs w:val="24"/>
          <w:highlight w:val="white"/>
        </w:rPr>
        <w:t>Adejo</w:t>
      </w:r>
      <w:proofErr w:type="spellEnd"/>
      <w:r w:rsidRPr="00814614">
        <w:rPr>
          <w:rFonts w:eastAsia="Times New Roman"/>
          <w:color w:val="0D0D0D"/>
          <w:sz w:val="24"/>
          <w:szCs w:val="24"/>
          <w:highlight w:val="white"/>
        </w:rPr>
        <w:t xml:space="preserve">, W., &amp; Connolly, T. M. (2022). A systematic review of technologies and standards used in the development of rule-based clinical decision support systems. </w:t>
      </w:r>
      <w:r w:rsidRPr="00814614">
        <w:rPr>
          <w:rFonts w:eastAsia="Times New Roman"/>
          <w:i/>
          <w:color w:val="0D0D0D"/>
          <w:sz w:val="24"/>
          <w:szCs w:val="24"/>
          <w:highlight w:val="white"/>
        </w:rPr>
        <w:t>Health and Technology</w:t>
      </w:r>
      <w:r w:rsidRPr="00814614">
        <w:rPr>
          <w:rFonts w:eastAsia="Times New Roman"/>
          <w:color w:val="0D0D0D"/>
          <w:sz w:val="24"/>
          <w:szCs w:val="24"/>
          <w:highlight w:val="white"/>
        </w:rPr>
        <w:t xml:space="preserve">, </w:t>
      </w:r>
      <w:r w:rsidRPr="00814614">
        <w:rPr>
          <w:rFonts w:eastAsia="Times New Roman"/>
          <w:i/>
          <w:color w:val="0D0D0D"/>
          <w:sz w:val="24"/>
          <w:szCs w:val="24"/>
          <w:highlight w:val="white"/>
        </w:rPr>
        <w:t>12</w:t>
      </w:r>
      <w:r w:rsidRPr="00814614">
        <w:rPr>
          <w:rFonts w:eastAsia="Times New Roman"/>
          <w:color w:val="0D0D0D"/>
          <w:sz w:val="24"/>
          <w:szCs w:val="24"/>
          <w:highlight w:val="white"/>
        </w:rPr>
        <w:t xml:space="preserve">(4), 713–727. </w:t>
      </w:r>
      <w:hyperlink r:id="rId69">
        <w:r w:rsidRPr="00814614">
          <w:rPr>
            <w:rFonts w:eastAsia="Times New Roman"/>
            <w:color w:val="1155CC"/>
            <w:sz w:val="24"/>
            <w:szCs w:val="24"/>
            <w:highlight w:val="white"/>
            <w:u w:val="single"/>
          </w:rPr>
          <w:t>https://doi.org/10.1007/s12553-022-00672-9</w:t>
        </w:r>
      </w:hyperlink>
      <w:r w:rsidRPr="00814614">
        <w:rPr>
          <w:rFonts w:eastAsia="Times New Roman"/>
          <w:color w:val="0D0D0D"/>
          <w:sz w:val="24"/>
          <w:szCs w:val="24"/>
          <w:highlight w:val="white"/>
        </w:rPr>
        <w:t xml:space="preserve"> </w:t>
      </w:r>
    </w:p>
    <w:p w14:paraId="278A0199" w14:textId="77777777" w:rsidR="007C0019" w:rsidRPr="00814614" w:rsidRDefault="002431C8" w:rsidP="00814614">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ind w:left="720" w:hanging="720"/>
        <w:jc w:val="both"/>
        <w:rPr>
          <w:rFonts w:eastAsia="Times New Roman"/>
          <w:color w:val="0D0D0D"/>
          <w:sz w:val="24"/>
          <w:szCs w:val="24"/>
          <w:highlight w:val="white"/>
        </w:rPr>
      </w:pPr>
      <w:r w:rsidRPr="00814614">
        <w:rPr>
          <w:rFonts w:eastAsia="Times New Roman"/>
          <w:color w:val="0D0D0D"/>
          <w:sz w:val="24"/>
          <w:szCs w:val="24"/>
          <w:highlight w:val="white"/>
        </w:rPr>
        <w:t xml:space="preserve">Pugh, J., Penney, L. S., Noël, P. H., </w:t>
      </w:r>
      <w:proofErr w:type="spellStart"/>
      <w:r w:rsidRPr="00814614">
        <w:rPr>
          <w:rFonts w:eastAsia="Times New Roman"/>
          <w:color w:val="0D0D0D"/>
          <w:sz w:val="24"/>
          <w:szCs w:val="24"/>
          <w:highlight w:val="white"/>
        </w:rPr>
        <w:t>Neller</w:t>
      </w:r>
      <w:proofErr w:type="spellEnd"/>
      <w:r w:rsidRPr="00814614">
        <w:rPr>
          <w:rFonts w:eastAsia="Times New Roman"/>
          <w:color w:val="0D0D0D"/>
          <w:sz w:val="24"/>
          <w:szCs w:val="24"/>
          <w:highlight w:val="white"/>
        </w:rPr>
        <w:t xml:space="preserve">, S., </w:t>
      </w:r>
      <w:proofErr w:type="spellStart"/>
      <w:r w:rsidRPr="00814614">
        <w:rPr>
          <w:rFonts w:eastAsia="Times New Roman"/>
          <w:color w:val="0D0D0D"/>
          <w:sz w:val="24"/>
          <w:szCs w:val="24"/>
          <w:highlight w:val="white"/>
        </w:rPr>
        <w:t>Mader</w:t>
      </w:r>
      <w:proofErr w:type="spellEnd"/>
      <w:r w:rsidRPr="00814614">
        <w:rPr>
          <w:rFonts w:eastAsia="Times New Roman"/>
          <w:color w:val="0D0D0D"/>
          <w:sz w:val="24"/>
          <w:szCs w:val="24"/>
          <w:highlight w:val="white"/>
        </w:rPr>
        <w:t xml:space="preserve">, M., Finley, E. P., Lanham, H. J., &amp; </w:t>
      </w:r>
      <w:proofErr w:type="spellStart"/>
      <w:r w:rsidRPr="00814614">
        <w:rPr>
          <w:rFonts w:eastAsia="Times New Roman"/>
          <w:color w:val="0D0D0D"/>
          <w:sz w:val="24"/>
          <w:szCs w:val="24"/>
          <w:highlight w:val="white"/>
        </w:rPr>
        <w:t>Leykum</w:t>
      </w:r>
      <w:proofErr w:type="spellEnd"/>
      <w:r w:rsidRPr="00814614">
        <w:rPr>
          <w:rFonts w:eastAsia="Times New Roman"/>
          <w:color w:val="0D0D0D"/>
          <w:sz w:val="24"/>
          <w:szCs w:val="24"/>
          <w:highlight w:val="white"/>
        </w:rPr>
        <w:t xml:space="preserve">, L. (2021). Evidence based processes to prevent readmissions: More is better, a ten-site observational study. </w:t>
      </w:r>
      <w:r w:rsidRPr="00814614">
        <w:rPr>
          <w:rFonts w:eastAsia="Times New Roman"/>
          <w:i/>
          <w:color w:val="0D0D0D"/>
          <w:sz w:val="24"/>
          <w:szCs w:val="24"/>
          <w:highlight w:val="white"/>
        </w:rPr>
        <w:t>BioMed Central Health Services Research</w:t>
      </w:r>
      <w:r w:rsidRPr="00814614">
        <w:rPr>
          <w:rFonts w:eastAsia="Times New Roman"/>
          <w:color w:val="0D0D0D"/>
          <w:sz w:val="24"/>
          <w:szCs w:val="24"/>
          <w:highlight w:val="white"/>
        </w:rPr>
        <w:t xml:space="preserve">, </w:t>
      </w:r>
      <w:r w:rsidRPr="00814614">
        <w:rPr>
          <w:rFonts w:eastAsia="Times New Roman"/>
          <w:i/>
          <w:color w:val="0D0D0D"/>
          <w:sz w:val="24"/>
          <w:szCs w:val="24"/>
          <w:highlight w:val="white"/>
        </w:rPr>
        <w:t>21</w:t>
      </w:r>
      <w:r w:rsidRPr="00814614">
        <w:rPr>
          <w:rFonts w:eastAsia="Times New Roman"/>
          <w:color w:val="0D0D0D"/>
          <w:sz w:val="24"/>
          <w:szCs w:val="24"/>
          <w:highlight w:val="white"/>
        </w:rPr>
        <w:t xml:space="preserve">(1). </w:t>
      </w:r>
      <w:hyperlink r:id="rId70">
        <w:r w:rsidRPr="00814614">
          <w:rPr>
            <w:rFonts w:eastAsia="Times New Roman"/>
            <w:color w:val="1155CC"/>
            <w:sz w:val="24"/>
            <w:szCs w:val="24"/>
            <w:highlight w:val="white"/>
            <w:u w:val="single"/>
          </w:rPr>
          <w:t>https://doi.org/10.1186/s12913-021-06193-x</w:t>
        </w:r>
      </w:hyperlink>
      <w:r w:rsidRPr="00814614">
        <w:rPr>
          <w:rFonts w:eastAsia="Times New Roman"/>
          <w:color w:val="0D0D0D"/>
          <w:sz w:val="24"/>
          <w:szCs w:val="24"/>
          <w:highlight w:val="white"/>
        </w:rPr>
        <w:t xml:space="preserve"> </w:t>
      </w:r>
    </w:p>
    <w:p w14:paraId="746C20D2" w14:textId="77777777" w:rsidR="007C0019" w:rsidRPr="00814614" w:rsidRDefault="002431C8" w:rsidP="00814614">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ind w:left="720" w:hanging="720"/>
        <w:jc w:val="both"/>
        <w:rPr>
          <w:rFonts w:eastAsia="Times New Roman"/>
          <w:color w:val="0D0D0D"/>
          <w:sz w:val="24"/>
          <w:szCs w:val="24"/>
          <w:highlight w:val="white"/>
        </w:rPr>
      </w:pPr>
      <w:proofErr w:type="spellStart"/>
      <w:r w:rsidRPr="00814614">
        <w:rPr>
          <w:rFonts w:eastAsia="Times New Roman"/>
          <w:color w:val="0D0D0D"/>
          <w:sz w:val="24"/>
          <w:szCs w:val="24"/>
          <w:highlight w:val="white"/>
        </w:rPr>
        <w:t>Rahmatinejad</w:t>
      </w:r>
      <w:proofErr w:type="spellEnd"/>
      <w:r w:rsidRPr="00814614">
        <w:rPr>
          <w:rFonts w:eastAsia="Times New Roman"/>
          <w:color w:val="0D0D0D"/>
          <w:sz w:val="24"/>
          <w:szCs w:val="24"/>
          <w:highlight w:val="white"/>
        </w:rPr>
        <w:t xml:space="preserve">, Z., </w:t>
      </w:r>
      <w:proofErr w:type="spellStart"/>
      <w:r w:rsidRPr="00814614">
        <w:rPr>
          <w:rFonts w:eastAsia="Times New Roman"/>
          <w:color w:val="0D0D0D"/>
          <w:sz w:val="24"/>
          <w:szCs w:val="24"/>
          <w:highlight w:val="white"/>
        </w:rPr>
        <w:t>Dehghani</w:t>
      </w:r>
      <w:proofErr w:type="spellEnd"/>
      <w:r w:rsidRPr="00814614">
        <w:rPr>
          <w:rFonts w:eastAsia="Times New Roman"/>
          <w:color w:val="0D0D0D"/>
          <w:sz w:val="24"/>
          <w:szCs w:val="24"/>
          <w:highlight w:val="white"/>
        </w:rPr>
        <w:t xml:space="preserve">, T., </w:t>
      </w:r>
      <w:proofErr w:type="spellStart"/>
      <w:r w:rsidRPr="00814614">
        <w:rPr>
          <w:rFonts w:eastAsia="Times New Roman"/>
          <w:color w:val="0D0D0D"/>
          <w:sz w:val="24"/>
          <w:szCs w:val="24"/>
          <w:highlight w:val="white"/>
        </w:rPr>
        <w:t>Hoseini</w:t>
      </w:r>
      <w:proofErr w:type="spellEnd"/>
      <w:r w:rsidRPr="00814614">
        <w:rPr>
          <w:rFonts w:eastAsia="Times New Roman"/>
          <w:color w:val="0D0D0D"/>
          <w:sz w:val="24"/>
          <w:szCs w:val="24"/>
          <w:highlight w:val="white"/>
        </w:rPr>
        <w:t xml:space="preserve">, B., </w:t>
      </w:r>
      <w:proofErr w:type="spellStart"/>
      <w:r w:rsidRPr="00814614">
        <w:rPr>
          <w:rFonts w:eastAsia="Times New Roman"/>
          <w:color w:val="0D0D0D"/>
          <w:sz w:val="24"/>
          <w:szCs w:val="24"/>
          <w:highlight w:val="white"/>
        </w:rPr>
        <w:t>Rahmatinejad</w:t>
      </w:r>
      <w:proofErr w:type="spellEnd"/>
      <w:r w:rsidRPr="00814614">
        <w:rPr>
          <w:rFonts w:eastAsia="Times New Roman"/>
          <w:color w:val="0D0D0D"/>
          <w:sz w:val="24"/>
          <w:szCs w:val="24"/>
          <w:highlight w:val="white"/>
        </w:rPr>
        <w:t xml:space="preserve">, F., </w:t>
      </w:r>
      <w:proofErr w:type="spellStart"/>
      <w:r w:rsidRPr="00814614">
        <w:rPr>
          <w:rFonts w:eastAsia="Times New Roman"/>
          <w:color w:val="0D0D0D"/>
          <w:sz w:val="24"/>
          <w:szCs w:val="24"/>
          <w:highlight w:val="white"/>
        </w:rPr>
        <w:t>Lotfata</w:t>
      </w:r>
      <w:proofErr w:type="spellEnd"/>
      <w:r w:rsidRPr="00814614">
        <w:rPr>
          <w:rFonts w:eastAsia="Times New Roman"/>
          <w:color w:val="0D0D0D"/>
          <w:sz w:val="24"/>
          <w:szCs w:val="24"/>
          <w:highlight w:val="white"/>
        </w:rPr>
        <w:t xml:space="preserve">, A., </w:t>
      </w:r>
      <w:proofErr w:type="spellStart"/>
      <w:r w:rsidRPr="00814614">
        <w:rPr>
          <w:rFonts w:eastAsia="Times New Roman"/>
          <w:color w:val="0D0D0D"/>
          <w:sz w:val="24"/>
          <w:szCs w:val="24"/>
          <w:highlight w:val="white"/>
        </w:rPr>
        <w:t>Reihani</w:t>
      </w:r>
      <w:proofErr w:type="spellEnd"/>
      <w:r w:rsidRPr="00814614">
        <w:rPr>
          <w:rFonts w:eastAsia="Times New Roman"/>
          <w:color w:val="0D0D0D"/>
          <w:sz w:val="24"/>
          <w:szCs w:val="24"/>
          <w:highlight w:val="white"/>
        </w:rPr>
        <w:t xml:space="preserve">, H., &amp; </w:t>
      </w:r>
      <w:proofErr w:type="spellStart"/>
      <w:r w:rsidRPr="00814614">
        <w:rPr>
          <w:rFonts w:eastAsia="Times New Roman"/>
          <w:color w:val="0D0D0D"/>
          <w:sz w:val="24"/>
          <w:szCs w:val="24"/>
          <w:highlight w:val="white"/>
        </w:rPr>
        <w:t>Eslami</w:t>
      </w:r>
      <w:proofErr w:type="spellEnd"/>
      <w:r w:rsidRPr="00814614">
        <w:rPr>
          <w:rFonts w:eastAsia="Times New Roman"/>
          <w:color w:val="0D0D0D"/>
          <w:sz w:val="24"/>
          <w:szCs w:val="24"/>
          <w:highlight w:val="white"/>
        </w:rPr>
        <w:t xml:space="preserve">, S. (2024). A comparative study of explainable ensemble learning and logistic regression for predicting in-hospital mortality in the emergency department. </w:t>
      </w:r>
      <w:r w:rsidRPr="00814614">
        <w:rPr>
          <w:rFonts w:eastAsia="Times New Roman"/>
          <w:i/>
          <w:color w:val="0D0D0D"/>
          <w:sz w:val="24"/>
          <w:szCs w:val="24"/>
          <w:highlight w:val="white"/>
        </w:rPr>
        <w:t>Scientific Reports</w:t>
      </w:r>
      <w:r w:rsidRPr="00814614">
        <w:rPr>
          <w:rFonts w:eastAsia="Times New Roman"/>
          <w:color w:val="0D0D0D"/>
          <w:sz w:val="24"/>
          <w:szCs w:val="24"/>
          <w:highlight w:val="white"/>
        </w:rPr>
        <w:t xml:space="preserve">, </w:t>
      </w:r>
      <w:r w:rsidRPr="00814614">
        <w:rPr>
          <w:rFonts w:eastAsia="Times New Roman"/>
          <w:i/>
          <w:color w:val="0D0D0D"/>
          <w:sz w:val="24"/>
          <w:szCs w:val="24"/>
          <w:highlight w:val="white"/>
        </w:rPr>
        <w:t>14</w:t>
      </w:r>
      <w:r w:rsidRPr="00814614">
        <w:rPr>
          <w:rFonts w:eastAsia="Times New Roman"/>
          <w:color w:val="0D0D0D"/>
          <w:sz w:val="24"/>
          <w:szCs w:val="24"/>
          <w:highlight w:val="white"/>
        </w:rPr>
        <w:t xml:space="preserve">(1). </w:t>
      </w:r>
      <w:hyperlink r:id="rId71">
        <w:r w:rsidRPr="00814614">
          <w:rPr>
            <w:rFonts w:eastAsia="Times New Roman"/>
            <w:color w:val="1155CC"/>
            <w:sz w:val="24"/>
            <w:szCs w:val="24"/>
            <w:highlight w:val="white"/>
            <w:u w:val="single"/>
          </w:rPr>
          <w:t>https://doi.org/10.1038/s41598-024-54038-4</w:t>
        </w:r>
      </w:hyperlink>
      <w:r w:rsidRPr="00814614">
        <w:rPr>
          <w:rFonts w:eastAsia="Times New Roman"/>
          <w:color w:val="0D0D0D"/>
          <w:sz w:val="24"/>
          <w:szCs w:val="24"/>
          <w:highlight w:val="white"/>
        </w:rPr>
        <w:t xml:space="preserve"> </w:t>
      </w:r>
    </w:p>
    <w:p w14:paraId="73341B1C" w14:textId="77777777" w:rsidR="007C0019" w:rsidRPr="00814614" w:rsidRDefault="002431C8" w:rsidP="00814614">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ind w:left="720" w:hanging="720"/>
        <w:jc w:val="both"/>
        <w:rPr>
          <w:rFonts w:eastAsia="Times New Roman"/>
          <w:color w:val="0D0D0D"/>
          <w:sz w:val="24"/>
          <w:szCs w:val="24"/>
          <w:highlight w:val="white"/>
        </w:rPr>
      </w:pPr>
      <w:r w:rsidRPr="00814614">
        <w:rPr>
          <w:rFonts w:eastAsia="Times New Roman"/>
          <w:color w:val="0D0D0D"/>
          <w:sz w:val="24"/>
          <w:szCs w:val="24"/>
          <w:highlight w:val="white"/>
        </w:rPr>
        <w:t xml:space="preserve">Rajagopalan, R. M., </w:t>
      </w:r>
      <w:proofErr w:type="spellStart"/>
      <w:r w:rsidRPr="00814614">
        <w:rPr>
          <w:rFonts w:eastAsia="Times New Roman"/>
          <w:color w:val="0D0D0D"/>
          <w:sz w:val="24"/>
          <w:szCs w:val="24"/>
          <w:highlight w:val="white"/>
        </w:rPr>
        <w:t>D’Antonio</w:t>
      </w:r>
      <w:proofErr w:type="spellEnd"/>
      <w:r w:rsidRPr="00814614">
        <w:rPr>
          <w:rFonts w:eastAsia="Times New Roman"/>
          <w:color w:val="0D0D0D"/>
          <w:sz w:val="24"/>
          <w:szCs w:val="24"/>
          <w:highlight w:val="white"/>
        </w:rPr>
        <w:t xml:space="preserve">, M., &amp; Fujimura, J. H. (2024). Enhancing Equity in Genomics: Incorporating Measures of Structural Racism, Discrimination, and Social Determinants of Health. </w:t>
      </w:r>
      <w:r w:rsidRPr="00814614">
        <w:rPr>
          <w:rFonts w:eastAsia="Times New Roman"/>
          <w:i/>
          <w:color w:val="0D0D0D"/>
          <w:sz w:val="24"/>
          <w:szCs w:val="24"/>
          <w:highlight w:val="white"/>
        </w:rPr>
        <w:t xml:space="preserve">Hastings </w:t>
      </w:r>
      <w:proofErr w:type="spellStart"/>
      <w:r w:rsidRPr="00814614">
        <w:rPr>
          <w:rFonts w:eastAsia="Times New Roman"/>
          <w:i/>
          <w:color w:val="0D0D0D"/>
          <w:sz w:val="24"/>
          <w:szCs w:val="24"/>
          <w:highlight w:val="white"/>
        </w:rPr>
        <w:t>Center</w:t>
      </w:r>
      <w:proofErr w:type="spellEnd"/>
      <w:r w:rsidRPr="00814614">
        <w:rPr>
          <w:rFonts w:eastAsia="Times New Roman"/>
          <w:i/>
          <w:color w:val="0D0D0D"/>
          <w:sz w:val="24"/>
          <w:szCs w:val="24"/>
          <w:highlight w:val="white"/>
        </w:rPr>
        <w:t xml:space="preserve"> Report</w:t>
      </w:r>
      <w:r w:rsidRPr="00814614">
        <w:rPr>
          <w:rFonts w:eastAsia="Times New Roman"/>
          <w:color w:val="0D0D0D"/>
          <w:sz w:val="24"/>
          <w:szCs w:val="24"/>
          <w:highlight w:val="white"/>
        </w:rPr>
        <w:t xml:space="preserve">, </w:t>
      </w:r>
      <w:r w:rsidRPr="00814614">
        <w:rPr>
          <w:rFonts w:eastAsia="Times New Roman"/>
          <w:i/>
          <w:color w:val="0D0D0D"/>
          <w:sz w:val="24"/>
          <w:szCs w:val="24"/>
          <w:highlight w:val="white"/>
        </w:rPr>
        <w:t>54</w:t>
      </w:r>
      <w:r w:rsidRPr="00814614">
        <w:rPr>
          <w:rFonts w:eastAsia="Times New Roman"/>
          <w:color w:val="0D0D0D"/>
          <w:sz w:val="24"/>
          <w:szCs w:val="24"/>
          <w:highlight w:val="white"/>
        </w:rPr>
        <w:t xml:space="preserve">(S2). </w:t>
      </w:r>
      <w:hyperlink r:id="rId72">
        <w:r w:rsidRPr="00814614">
          <w:rPr>
            <w:rFonts w:eastAsia="Times New Roman"/>
            <w:color w:val="1155CC"/>
            <w:sz w:val="24"/>
            <w:szCs w:val="24"/>
            <w:highlight w:val="white"/>
            <w:u w:val="single"/>
          </w:rPr>
          <w:t>https://doi.org/10.1002/hast.4927</w:t>
        </w:r>
      </w:hyperlink>
      <w:r w:rsidRPr="00814614">
        <w:rPr>
          <w:rFonts w:eastAsia="Times New Roman"/>
          <w:color w:val="0D0D0D"/>
          <w:sz w:val="24"/>
          <w:szCs w:val="24"/>
          <w:highlight w:val="white"/>
        </w:rPr>
        <w:t xml:space="preserve"> </w:t>
      </w:r>
    </w:p>
    <w:p w14:paraId="31010712" w14:textId="77777777" w:rsidR="007C0019" w:rsidRPr="00814614" w:rsidRDefault="002431C8" w:rsidP="00814614">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ind w:left="720" w:hanging="720"/>
        <w:jc w:val="both"/>
        <w:rPr>
          <w:rFonts w:eastAsia="Times New Roman"/>
          <w:color w:val="0D0D0D"/>
          <w:sz w:val="24"/>
          <w:szCs w:val="24"/>
          <w:highlight w:val="white"/>
        </w:rPr>
      </w:pPr>
      <w:r w:rsidRPr="00814614">
        <w:rPr>
          <w:rFonts w:eastAsia="Times New Roman"/>
          <w:color w:val="0D0D0D"/>
          <w:sz w:val="24"/>
          <w:szCs w:val="24"/>
          <w:highlight w:val="white"/>
        </w:rPr>
        <w:t xml:space="preserve">Rane, N. L., </w:t>
      </w:r>
      <w:proofErr w:type="spellStart"/>
      <w:r w:rsidRPr="00814614">
        <w:rPr>
          <w:rFonts w:eastAsia="Times New Roman"/>
          <w:color w:val="0D0D0D"/>
          <w:sz w:val="24"/>
          <w:szCs w:val="24"/>
          <w:highlight w:val="white"/>
        </w:rPr>
        <w:t>Paramesha</w:t>
      </w:r>
      <w:proofErr w:type="spellEnd"/>
      <w:r w:rsidRPr="00814614">
        <w:rPr>
          <w:rFonts w:eastAsia="Times New Roman"/>
          <w:color w:val="0D0D0D"/>
          <w:sz w:val="24"/>
          <w:szCs w:val="24"/>
          <w:highlight w:val="white"/>
        </w:rPr>
        <w:t xml:space="preserve">, M., Choudhary, S. P., &amp; Rane, J. (2024). Machine Learning and Deep Learning for Big Data Analytics: A Review of Methods and Applications. </w:t>
      </w:r>
      <w:r w:rsidRPr="00814614">
        <w:rPr>
          <w:rFonts w:eastAsia="Times New Roman"/>
          <w:i/>
          <w:color w:val="0D0D0D"/>
          <w:sz w:val="24"/>
          <w:szCs w:val="24"/>
          <w:highlight w:val="white"/>
        </w:rPr>
        <w:t>Partners Universal International Innovation Journal</w:t>
      </w:r>
      <w:r w:rsidRPr="00814614">
        <w:rPr>
          <w:rFonts w:eastAsia="Times New Roman"/>
          <w:color w:val="0D0D0D"/>
          <w:sz w:val="24"/>
          <w:szCs w:val="24"/>
          <w:highlight w:val="white"/>
        </w:rPr>
        <w:t xml:space="preserve">, </w:t>
      </w:r>
      <w:r w:rsidRPr="00814614">
        <w:rPr>
          <w:rFonts w:eastAsia="Times New Roman"/>
          <w:i/>
          <w:color w:val="0D0D0D"/>
          <w:sz w:val="24"/>
          <w:szCs w:val="24"/>
          <w:highlight w:val="white"/>
        </w:rPr>
        <w:t>2</w:t>
      </w:r>
      <w:r w:rsidRPr="00814614">
        <w:rPr>
          <w:rFonts w:eastAsia="Times New Roman"/>
          <w:color w:val="0D0D0D"/>
          <w:sz w:val="24"/>
          <w:szCs w:val="24"/>
          <w:highlight w:val="white"/>
        </w:rPr>
        <w:t xml:space="preserve">(3), 172–197. </w:t>
      </w:r>
      <w:hyperlink r:id="rId73">
        <w:r w:rsidRPr="00814614">
          <w:rPr>
            <w:rFonts w:eastAsia="Times New Roman"/>
            <w:color w:val="1155CC"/>
            <w:sz w:val="24"/>
            <w:szCs w:val="24"/>
            <w:highlight w:val="white"/>
            <w:u w:val="single"/>
          </w:rPr>
          <w:t>https://doi.org/10.5281/zenodo.12271006</w:t>
        </w:r>
      </w:hyperlink>
      <w:r w:rsidRPr="00814614">
        <w:rPr>
          <w:rFonts w:eastAsia="Times New Roman"/>
          <w:color w:val="0D0D0D"/>
          <w:sz w:val="24"/>
          <w:szCs w:val="24"/>
          <w:highlight w:val="white"/>
        </w:rPr>
        <w:t xml:space="preserve"> </w:t>
      </w:r>
    </w:p>
    <w:p w14:paraId="0F7907CC" w14:textId="77777777" w:rsidR="007C0019" w:rsidRPr="00814614" w:rsidRDefault="002431C8" w:rsidP="00814614">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ind w:left="720" w:hanging="720"/>
        <w:jc w:val="both"/>
        <w:rPr>
          <w:rFonts w:eastAsia="Times New Roman"/>
          <w:color w:val="0D0D0D"/>
          <w:sz w:val="24"/>
          <w:szCs w:val="24"/>
          <w:highlight w:val="white"/>
        </w:rPr>
      </w:pPr>
      <w:r w:rsidRPr="00814614">
        <w:rPr>
          <w:rFonts w:eastAsia="Times New Roman"/>
          <w:color w:val="0D0D0D"/>
          <w:sz w:val="24"/>
          <w:szCs w:val="24"/>
          <w:highlight w:val="white"/>
        </w:rPr>
        <w:lastRenderedPageBreak/>
        <w:t xml:space="preserve">Rao, Y., Li, C., Xu, F., &amp; Guo, Y. (2024). MSAPVT: a multi-scale attention pyramid vision transformer network for large-scale fruit recognition. </w:t>
      </w:r>
      <w:r w:rsidRPr="00814614">
        <w:rPr>
          <w:rFonts w:eastAsia="Times New Roman"/>
          <w:i/>
          <w:color w:val="0D0D0D"/>
          <w:sz w:val="24"/>
          <w:szCs w:val="24"/>
          <w:highlight w:val="white"/>
        </w:rPr>
        <w:t>Journal of Food Measurement and Characterization</w:t>
      </w:r>
      <w:r w:rsidRPr="00814614">
        <w:rPr>
          <w:rFonts w:eastAsia="Times New Roman"/>
          <w:color w:val="0D0D0D"/>
          <w:sz w:val="24"/>
          <w:szCs w:val="24"/>
          <w:highlight w:val="white"/>
        </w:rPr>
        <w:t xml:space="preserve">, </w:t>
      </w:r>
      <w:r w:rsidRPr="00814614">
        <w:rPr>
          <w:rFonts w:eastAsia="Times New Roman"/>
          <w:i/>
          <w:color w:val="0D0D0D"/>
          <w:sz w:val="24"/>
          <w:szCs w:val="24"/>
          <w:highlight w:val="white"/>
        </w:rPr>
        <w:t>18</w:t>
      </w:r>
      <w:r w:rsidRPr="00814614">
        <w:rPr>
          <w:rFonts w:eastAsia="Times New Roman"/>
          <w:color w:val="0D0D0D"/>
          <w:sz w:val="24"/>
          <w:szCs w:val="24"/>
          <w:highlight w:val="white"/>
        </w:rPr>
        <w:t xml:space="preserve">(11), 9233–9251. </w:t>
      </w:r>
      <w:hyperlink r:id="rId74">
        <w:r w:rsidRPr="00814614">
          <w:rPr>
            <w:rFonts w:eastAsia="Times New Roman"/>
            <w:color w:val="1155CC"/>
            <w:sz w:val="24"/>
            <w:szCs w:val="24"/>
            <w:highlight w:val="white"/>
            <w:u w:val="single"/>
          </w:rPr>
          <w:t>https://doi.org/10.1007/s11694-024-02874-3</w:t>
        </w:r>
      </w:hyperlink>
      <w:r w:rsidRPr="00814614">
        <w:rPr>
          <w:rFonts w:eastAsia="Times New Roman"/>
          <w:color w:val="0D0D0D"/>
          <w:sz w:val="24"/>
          <w:szCs w:val="24"/>
          <w:highlight w:val="white"/>
        </w:rPr>
        <w:t xml:space="preserve"> </w:t>
      </w:r>
    </w:p>
    <w:p w14:paraId="312CD0D0" w14:textId="77777777" w:rsidR="007C0019" w:rsidRPr="00814614" w:rsidRDefault="002431C8" w:rsidP="00814614">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ind w:left="720" w:hanging="720"/>
        <w:jc w:val="both"/>
        <w:rPr>
          <w:rFonts w:eastAsia="Times New Roman"/>
          <w:color w:val="0D0D0D"/>
          <w:sz w:val="24"/>
          <w:szCs w:val="24"/>
          <w:highlight w:val="white"/>
        </w:rPr>
      </w:pPr>
      <w:r w:rsidRPr="00814614">
        <w:rPr>
          <w:rFonts w:eastAsia="Times New Roman"/>
          <w:color w:val="0D0D0D"/>
          <w:sz w:val="24"/>
          <w:szCs w:val="24"/>
          <w:highlight w:val="white"/>
        </w:rPr>
        <w:t xml:space="preserve">Roberts, M. C., Holt, K. E., Del </w:t>
      </w:r>
      <w:proofErr w:type="spellStart"/>
      <w:r w:rsidRPr="00814614">
        <w:rPr>
          <w:rFonts w:eastAsia="Times New Roman"/>
          <w:color w:val="0D0D0D"/>
          <w:sz w:val="24"/>
          <w:szCs w:val="24"/>
          <w:highlight w:val="white"/>
        </w:rPr>
        <w:t>Fiol</w:t>
      </w:r>
      <w:proofErr w:type="spellEnd"/>
      <w:r w:rsidRPr="00814614">
        <w:rPr>
          <w:rFonts w:eastAsia="Times New Roman"/>
          <w:color w:val="0D0D0D"/>
          <w:sz w:val="24"/>
          <w:szCs w:val="24"/>
          <w:highlight w:val="white"/>
        </w:rPr>
        <w:t xml:space="preserve">, G., </w:t>
      </w:r>
      <w:proofErr w:type="spellStart"/>
      <w:r w:rsidRPr="00814614">
        <w:rPr>
          <w:rFonts w:eastAsia="Times New Roman"/>
          <w:color w:val="0D0D0D"/>
          <w:sz w:val="24"/>
          <w:szCs w:val="24"/>
          <w:highlight w:val="white"/>
        </w:rPr>
        <w:t>Baccarelli</w:t>
      </w:r>
      <w:proofErr w:type="spellEnd"/>
      <w:r w:rsidRPr="00814614">
        <w:rPr>
          <w:rFonts w:eastAsia="Times New Roman"/>
          <w:color w:val="0D0D0D"/>
          <w:sz w:val="24"/>
          <w:szCs w:val="24"/>
          <w:highlight w:val="white"/>
        </w:rPr>
        <w:t xml:space="preserve">, A. A., &amp; Allen, C. G. (2024). Precision public health in the era of genomics and big data. </w:t>
      </w:r>
      <w:r w:rsidRPr="00814614">
        <w:rPr>
          <w:rFonts w:eastAsia="Times New Roman"/>
          <w:i/>
          <w:color w:val="0D0D0D"/>
          <w:sz w:val="24"/>
          <w:szCs w:val="24"/>
          <w:highlight w:val="white"/>
        </w:rPr>
        <w:t>Nature Medicine</w:t>
      </w:r>
      <w:r w:rsidRPr="00814614">
        <w:rPr>
          <w:rFonts w:eastAsia="Times New Roman"/>
          <w:color w:val="0D0D0D"/>
          <w:sz w:val="24"/>
          <w:szCs w:val="24"/>
          <w:highlight w:val="white"/>
        </w:rPr>
        <w:t xml:space="preserve">, </w:t>
      </w:r>
      <w:r w:rsidRPr="00814614">
        <w:rPr>
          <w:rFonts w:eastAsia="Times New Roman"/>
          <w:i/>
          <w:color w:val="0D0D0D"/>
          <w:sz w:val="24"/>
          <w:szCs w:val="24"/>
          <w:highlight w:val="white"/>
        </w:rPr>
        <w:t>30</w:t>
      </w:r>
      <w:r w:rsidRPr="00814614">
        <w:rPr>
          <w:rFonts w:eastAsia="Times New Roman"/>
          <w:color w:val="0D0D0D"/>
          <w:sz w:val="24"/>
          <w:szCs w:val="24"/>
          <w:highlight w:val="white"/>
        </w:rPr>
        <w:t xml:space="preserve">(7), 1–9. </w:t>
      </w:r>
      <w:hyperlink r:id="rId75">
        <w:r w:rsidRPr="00814614">
          <w:rPr>
            <w:rFonts w:eastAsia="Times New Roman"/>
            <w:color w:val="1155CC"/>
            <w:sz w:val="24"/>
            <w:szCs w:val="24"/>
            <w:highlight w:val="white"/>
            <w:u w:val="single"/>
          </w:rPr>
          <w:t>https://doi.org/10.1038/s41591-024-03098-0</w:t>
        </w:r>
      </w:hyperlink>
      <w:r w:rsidRPr="00814614">
        <w:rPr>
          <w:rFonts w:eastAsia="Times New Roman"/>
          <w:color w:val="0D0D0D"/>
          <w:sz w:val="24"/>
          <w:szCs w:val="24"/>
          <w:highlight w:val="white"/>
        </w:rPr>
        <w:t xml:space="preserve"> </w:t>
      </w:r>
    </w:p>
    <w:p w14:paraId="1F537BC7" w14:textId="77777777" w:rsidR="007C0019" w:rsidRPr="00814614" w:rsidRDefault="002431C8" w:rsidP="00814614">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ind w:left="720" w:hanging="720"/>
        <w:jc w:val="both"/>
        <w:rPr>
          <w:rFonts w:eastAsia="Times New Roman"/>
          <w:color w:val="0D0D0D"/>
          <w:sz w:val="24"/>
          <w:szCs w:val="24"/>
          <w:highlight w:val="white"/>
        </w:rPr>
      </w:pPr>
      <w:proofErr w:type="spellStart"/>
      <w:r w:rsidRPr="00814614">
        <w:rPr>
          <w:rFonts w:eastAsia="Times New Roman"/>
          <w:color w:val="0D0D0D"/>
          <w:sz w:val="24"/>
          <w:szCs w:val="24"/>
          <w:highlight w:val="white"/>
        </w:rPr>
        <w:t>Robeznieks</w:t>
      </w:r>
      <w:proofErr w:type="spellEnd"/>
      <w:r w:rsidRPr="00814614">
        <w:rPr>
          <w:rFonts w:eastAsia="Times New Roman"/>
          <w:color w:val="0D0D0D"/>
          <w:sz w:val="24"/>
          <w:szCs w:val="24"/>
          <w:highlight w:val="white"/>
        </w:rPr>
        <w:t xml:space="preserve">, A. (2024). </w:t>
      </w:r>
      <w:r w:rsidRPr="00814614">
        <w:rPr>
          <w:rFonts w:eastAsia="Times New Roman"/>
          <w:i/>
          <w:color w:val="0D0D0D"/>
          <w:sz w:val="24"/>
          <w:szCs w:val="24"/>
          <w:highlight w:val="white"/>
        </w:rPr>
        <w:t>Geisinger uses AI to boost its value-based care efforts</w:t>
      </w:r>
      <w:r w:rsidRPr="00814614">
        <w:rPr>
          <w:rFonts w:eastAsia="Times New Roman"/>
          <w:color w:val="0D0D0D"/>
          <w:sz w:val="24"/>
          <w:szCs w:val="24"/>
          <w:highlight w:val="white"/>
        </w:rPr>
        <w:t xml:space="preserve">. American Medical Association. </w:t>
      </w:r>
      <w:hyperlink r:id="rId76">
        <w:r w:rsidRPr="00814614">
          <w:rPr>
            <w:rFonts w:eastAsia="Times New Roman"/>
            <w:color w:val="1155CC"/>
            <w:sz w:val="24"/>
            <w:szCs w:val="24"/>
            <w:highlight w:val="white"/>
            <w:u w:val="single"/>
          </w:rPr>
          <w:t>https://www.ama-assn.org/practice-management/payment-delivery-models/geisinger-uses-ai-boost-its-value-based-care-efforts</w:t>
        </w:r>
      </w:hyperlink>
      <w:r w:rsidRPr="00814614">
        <w:rPr>
          <w:rFonts w:eastAsia="Times New Roman"/>
          <w:color w:val="0D0D0D"/>
          <w:sz w:val="24"/>
          <w:szCs w:val="24"/>
          <w:highlight w:val="white"/>
        </w:rPr>
        <w:t xml:space="preserve"> </w:t>
      </w:r>
    </w:p>
    <w:p w14:paraId="60C04E51" w14:textId="77777777" w:rsidR="007C0019" w:rsidRPr="00814614" w:rsidRDefault="002431C8" w:rsidP="00814614">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ind w:left="720" w:hanging="720"/>
        <w:jc w:val="both"/>
        <w:rPr>
          <w:rFonts w:eastAsia="Times New Roman"/>
          <w:color w:val="0D0D0D"/>
          <w:sz w:val="24"/>
          <w:szCs w:val="24"/>
          <w:highlight w:val="white"/>
        </w:rPr>
      </w:pPr>
      <w:proofErr w:type="spellStart"/>
      <w:r w:rsidRPr="00814614">
        <w:rPr>
          <w:rFonts w:eastAsia="Times New Roman"/>
          <w:color w:val="0D0D0D"/>
          <w:sz w:val="24"/>
          <w:szCs w:val="24"/>
          <w:highlight w:val="white"/>
        </w:rPr>
        <w:t>Salako</w:t>
      </w:r>
      <w:proofErr w:type="spellEnd"/>
      <w:r w:rsidRPr="00814614">
        <w:rPr>
          <w:rFonts w:eastAsia="Times New Roman"/>
          <w:color w:val="0D0D0D"/>
          <w:sz w:val="24"/>
          <w:szCs w:val="24"/>
          <w:highlight w:val="white"/>
        </w:rPr>
        <w:t xml:space="preserve">, A. O., </w:t>
      </w:r>
      <w:proofErr w:type="spellStart"/>
      <w:r w:rsidRPr="00814614">
        <w:rPr>
          <w:rFonts w:eastAsia="Times New Roman"/>
          <w:color w:val="0D0D0D"/>
          <w:sz w:val="24"/>
          <w:szCs w:val="24"/>
          <w:highlight w:val="white"/>
        </w:rPr>
        <w:t>Adesokan</w:t>
      </w:r>
      <w:proofErr w:type="spellEnd"/>
      <w:r w:rsidRPr="00814614">
        <w:rPr>
          <w:rFonts w:eastAsia="Times New Roman"/>
          <w:color w:val="0D0D0D"/>
          <w:sz w:val="24"/>
          <w:szCs w:val="24"/>
          <w:highlight w:val="white"/>
        </w:rPr>
        <w:t xml:space="preserve">-Imran, T. O., </w:t>
      </w:r>
      <w:proofErr w:type="spellStart"/>
      <w:r w:rsidRPr="00814614">
        <w:rPr>
          <w:rFonts w:eastAsia="Times New Roman"/>
          <w:color w:val="0D0D0D"/>
          <w:sz w:val="24"/>
          <w:szCs w:val="24"/>
          <w:highlight w:val="white"/>
        </w:rPr>
        <w:t>Tiwo</w:t>
      </w:r>
      <w:proofErr w:type="spellEnd"/>
      <w:r w:rsidRPr="00814614">
        <w:rPr>
          <w:rFonts w:eastAsia="Times New Roman"/>
          <w:color w:val="0D0D0D"/>
          <w:sz w:val="24"/>
          <w:szCs w:val="24"/>
          <w:highlight w:val="white"/>
        </w:rPr>
        <w:t xml:space="preserve">, O. J., </w:t>
      </w:r>
      <w:proofErr w:type="spellStart"/>
      <w:r w:rsidRPr="00814614">
        <w:rPr>
          <w:rFonts w:eastAsia="Times New Roman"/>
          <w:color w:val="0D0D0D"/>
          <w:sz w:val="24"/>
          <w:szCs w:val="24"/>
          <w:highlight w:val="white"/>
        </w:rPr>
        <w:t>Metibemu</w:t>
      </w:r>
      <w:proofErr w:type="spellEnd"/>
      <w:r w:rsidRPr="00814614">
        <w:rPr>
          <w:rFonts w:eastAsia="Times New Roman"/>
          <w:color w:val="0D0D0D"/>
          <w:sz w:val="24"/>
          <w:szCs w:val="24"/>
          <w:highlight w:val="white"/>
        </w:rPr>
        <w:t xml:space="preserve">, O. C., </w:t>
      </w:r>
      <w:proofErr w:type="spellStart"/>
      <w:r w:rsidRPr="00814614">
        <w:rPr>
          <w:rFonts w:eastAsia="Times New Roman"/>
          <w:color w:val="0D0D0D"/>
          <w:sz w:val="24"/>
          <w:szCs w:val="24"/>
          <w:highlight w:val="white"/>
        </w:rPr>
        <w:t>Onyenaucheya</w:t>
      </w:r>
      <w:proofErr w:type="spellEnd"/>
      <w:r w:rsidRPr="00814614">
        <w:rPr>
          <w:rFonts w:eastAsia="Times New Roman"/>
          <w:color w:val="0D0D0D"/>
          <w:sz w:val="24"/>
          <w:szCs w:val="24"/>
          <w:highlight w:val="white"/>
        </w:rPr>
        <w:t xml:space="preserve">, O. S., &amp; </w:t>
      </w:r>
      <w:proofErr w:type="spellStart"/>
      <w:r w:rsidRPr="00814614">
        <w:rPr>
          <w:rFonts w:eastAsia="Times New Roman"/>
          <w:color w:val="0D0D0D"/>
          <w:sz w:val="24"/>
          <w:szCs w:val="24"/>
          <w:highlight w:val="white"/>
        </w:rPr>
        <w:t>Olaniyi</w:t>
      </w:r>
      <w:proofErr w:type="spellEnd"/>
      <w:r w:rsidRPr="00814614">
        <w:rPr>
          <w:rFonts w:eastAsia="Times New Roman"/>
          <w:color w:val="0D0D0D"/>
          <w:sz w:val="24"/>
          <w:szCs w:val="24"/>
          <w:highlight w:val="white"/>
        </w:rPr>
        <w:t xml:space="preserve">, O. O. (2025). Securing Confidentiality in Distributed Ledger Systems with Secure Multi-party Computation for Financial Data Protection. </w:t>
      </w:r>
      <w:r w:rsidRPr="00814614">
        <w:rPr>
          <w:rFonts w:eastAsia="Times New Roman"/>
          <w:i/>
          <w:color w:val="0D0D0D"/>
          <w:sz w:val="24"/>
          <w:szCs w:val="24"/>
          <w:highlight w:val="white"/>
        </w:rPr>
        <w:t>Journal of Engineering Research and Reports</w:t>
      </w:r>
      <w:r w:rsidRPr="00814614">
        <w:rPr>
          <w:rFonts w:eastAsia="Times New Roman"/>
          <w:color w:val="0D0D0D"/>
          <w:sz w:val="24"/>
          <w:szCs w:val="24"/>
          <w:highlight w:val="white"/>
        </w:rPr>
        <w:t xml:space="preserve">, </w:t>
      </w:r>
      <w:r w:rsidRPr="00814614">
        <w:rPr>
          <w:rFonts w:eastAsia="Times New Roman"/>
          <w:i/>
          <w:color w:val="0D0D0D"/>
          <w:sz w:val="24"/>
          <w:szCs w:val="24"/>
          <w:highlight w:val="white"/>
        </w:rPr>
        <w:t>27</w:t>
      </w:r>
      <w:r w:rsidRPr="00814614">
        <w:rPr>
          <w:rFonts w:eastAsia="Times New Roman"/>
          <w:color w:val="0D0D0D"/>
          <w:sz w:val="24"/>
          <w:szCs w:val="24"/>
          <w:highlight w:val="white"/>
        </w:rPr>
        <w:t xml:space="preserve">(3), 352–373. </w:t>
      </w:r>
      <w:hyperlink r:id="rId77">
        <w:r w:rsidRPr="00814614">
          <w:rPr>
            <w:rFonts w:eastAsia="Times New Roman"/>
            <w:color w:val="1155CC"/>
            <w:sz w:val="24"/>
            <w:szCs w:val="24"/>
            <w:highlight w:val="white"/>
            <w:u w:val="single"/>
          </w:rPr>
          <w:t>https://doi.org/10.9734/jerr/2025/v27i31439</w:t>
        </w:r>
      </w:hyperlink>
      <w:r w:rsidRPr="00814614">
        <w:rPr>
          <w:rFonts w:eastAsia="Times New Roman"/>
          <w:color w:val="0D0D0D"/>
          <w:sz w:val="24"/>
          <w:szCs w:val="24"/>
          <w:highlight w:val="white"/>
        </w:rPr>
        <w:t xml:space="preserve"> </w:t>
      </w:r>
    </w:p>
    <w:p w14:paraId="4C896F23" w14:textId="77777777" w:rsidR="007C0019" w:rsidRPr="00814614" w:rsidRDefault="002431C8" w:rsidP="00814614">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ind w:left="720" w:hanging="720"/>
        <w:jc w:val="both"/>
        <w:rPr>
          <w:rFonts w:eastAsia="Times New Roman"/>
          <w:color w:val="0D0D0D"/>
          <w:sz w:val="24"/>
          <w:szCs w:val="24"/>
          <w:highlight w:val="white"/>
        </w:rPr>
      </w:pPr>
      <w:r w:rsidRPr="00814614">
        <w:rPr>
          <w:rFonts w:eastAsia="Times New Roman"/>
          <w:color w:val="0D0D0D"/>
          <w:sz w:val="24"/>
          <w:szCs w:val="24"/>
          <w:highlight w:val="white"/>
        </w:rPr>
        <w:t xml:space="preserve">Salami, I. A., </w:t>
      </w:r>
      <w:proofErr w:type="spellStart"/>
      <w:r w:rsidRPr="00814614">
        <w:rPr>
          <w:rFonts w:eastAsia="Times New Roman"/>
          <w:color w:val="0D0D0D"/>
          <w:sz w:val="24"/>
          <w:szCs w:val="24"/>
          <w:highlight w:val="white"/>
        </w:rPr>
        <w:t>Adesokan</w:t>
      </w:r>
      <w:proofErr w:type="spellEnd"/>
      <w:r w:rsidRPr="00814614">
        <w:rPr>
          <w:rFonts w:eastAsia="Times New Roman"/>
          <w:color w:val="0D0D0D"/>
          <w:sz w:val="24"/>
          <w:szCs w:val="24"/>
          <w:highlight w:val="white"/>
        </w:rPr>
        <w:t xml:space="preserve">-Imran, T. O., </w:t>
      </w:r>
      <w:proofErr w:type="spellStart"/>
      <w:r w:rsidRPr="00814614">
        <w:rPr>
          <w:rFonts w:eastAsia="Times New Roman"/>
          <w:color w:val="0D0D0D"/>
          <w:sz w:val="24"/>
          <w:szCs w:val="24"/>
          <w:highlight w:val="white"/>
        </w:rPr>
        <w:t>Tiwo</w:t>
      </w:r>
      <w:proofErr w:type="spellEnd"/>
      <w:r w:rsidRPr="00814614">
        <w:rPr>
          <w:rFonts w:eastAsia="Times New Roman"/>
          <w:color w:val="0D0D0D"/>
          <w:sz w:val="24"/>
          <w:szCs w:val="24"/>
          <w:highlight w:val="white"/>
        </w:rPr>
        <w:t xml:space="preserve">, O. J., </w:t>
      </w:r>
      <w:proofErr w:type="spellStart"/>
      <w:r w:rsidRPr="00814614">
        <w:rPr>
          <w:rFonts w:eastAsia="Times New Roman"/>
          <w:color w:val="0D0D0D"/>
          <w:sz w:val="24"/>
          <w:szCs w:val="24"/>
          <w:highlight w:val="white"/>
        </w:rPr>
        <w:t>Metibemu</w:t>
      </w:r>
      <w:proofErr w:type="spellEnd"/>
      <w:r w:rsidRPr="00814614">
        <w:rPr>
          <w:rFonts w:eastAsia="Times New Roman"/>
          <w:color w:val="0D0D0D"/>
          <w:sz w:val="24"/>
          <w:szCs w:val="24"/>
          <w:highlight w:val="white"/>
        </w:rPr>
        <w:t xml:space="preserve">, O. C., </w:t>
      </w:r>
      <w:proofErr w:type="spellStart"/>
      <w:r w:rsidRPr="00814614">
        <w:rPr>
          <w:rFonts w:eastAsia="Times New Roman"/>
          <w:color w:val="0D0D0D"/>
          <w:sz w:val="24"/>
          <w:szCs w:val="24"/>
          <w:highlight w:val="white"/>
        </w:rPr>
        <w:t>Olutimehin</w:t>
      </w:r>
      <w:proofErr w:type="spellEnd"/>
      <w:r w:rsidRPr="00814614">
        <w:rPr>
          <w:rFonts w:eastAsia="Times New Roman"/>
          <w:color w:val="0D0D0D"/>
          <w:sz w:val="24"/>
          <w:szCs w:val="24"/>
          <w:highlight w:val="white"/>
        </w:rPr>
        <w:t xml:space="preserve">, A. T., &amp; </w:t>
      </w:r>
      <w:proofErr w:type="spellStart"/>
      <w:r w:rsidRPr="00814614">
        <w:rPr>
          <w:rFonts w:eastAsia="Times New Roman"/>
          <w:color w:val="0D0D0D"/>
          <w:sz w:val="24"/>
          <w:szCs w:val="24"/>
          <w:highlight w:val="white"/>
        </w:rPr>
        <w:t>Olaniyi</w:t>
      </w:r>
      <w:proofErr w:type="spellEnd"/>
      <w:r w:rsidRPr="00814614">
        <w:rPr>
          <w:rFonts w:eastAsia="Times New Roman"/>
          <w:color w:val="0D0D0D"/>
          <w:sz w:val="24"/>
          <w:szCs w:val="24"/>
          <w:highlight w:val="white"/>
        </w:rPr>
        <w:t xml:space="preserve">, O. O. (2025). Addressing Bias and Data Privacy Concerns in AI-Driven Credit Scoring Systems Through Cybersecurity Risk Assessment. </w:t>
      </w:r>
      <w:r w:rsidRPr="00814614">
        <w:rPr>
          <w:rFonts w:eastAsia="Times New Roman"/>
          <w:i/>
          <w:color w:val="0D0D0D"/>
          <w:sz w:val="24"/>
          <w:szCs w:val="24"/>
          <w:highlight w:val="white"/>
        </w:rPr>
        <w:t>Asian Journal of Research in Computer Science</w:t>
      </w:r>
      <w:r w:rsidRPr="00814614">
        <w:rPr>
          <w:rFonts w:eastAsia="Times New Roman"/>
          <w:color w:val="0D0D0D"/>
          <w:sz w:val="24"/>
          <w:szCs w:val="24"/>
          <w:highlight w:val="white"/>
        </w:rPr>
        <w:t xml:space="preserve">, </w:t>
      </w:r>
      <w:r w:rsidRPr="00814614">
        <w:rPr>
          <w:rFonts w:eastAsia="Times New Roman"/>
          <w:i/>
          <w:color w:val="0D0D0D"/>
          <w:sz w:val="24"/>
          <w:szCs w:val="24"/>
          <w:highlight w:val="white"/>
        </w:rPr>
        <w:t>18</w:t>
      </w:r>
      <w:r w:rsidRPr="00814614">
        <w:rPr>
          <w:rFonts w:eastAsia="Times New Roman"/>
          <w:color w:val="0D0D0D"/>
          <w:sz w:val="24"/>
          <w:szCs w:val="24"/>
          <w:highlight w:val="white"/>
        </w:rPr>
        <w:t xml:space="preserve">(4), 59–82. </w:t>
      </w:r>
      <w:hyperlink r:id="rId78">
        <w:r w:rsidRPr="00814614">
          <w:rPr>
            <w:rFonts w:eastAsia="Times New Roman"/>
            <w:color w:val="1155CC"/>
            <w:sz w:val="24"/>
            <w:szCs w:val="24"/>
            <w:highlight w:val="white"/>
            <w:u w:val="single"/>
          </w:rPr>
          <w:t>https://doi.org/10.9734/ajrcos/2025/v18i4608</w:t>
        </w:r>
      </w:hyperlink>
      <w:r w:rsidRPr="00814614">
        <w:rPr>
          <w:rFonts w:eastAsia="Times New Roman"/>
          <w:color w:val="0D0D0D"/>
          <w:sz w:val="24"/>
          <w:szCs w:val="24"/>
          <w:highlight w:val="white"/>
        </w:rPr>
        <w:t xml:space="preserve"> </w:t>
      </w:r>
    </w:p>
    <w:p w14:paraId="4F797944" w14:textId="77777777" w:rsidR="007C0019" w:rsidRPr="00814614" w:rsidRDefault="002431C8" w:rsidP="00814614">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ind w:left="720" w:hanging="720"/>
        <w:jc w:val="both"/>
        <w:rPr>
          <w:rFonts w:eastAsia="Times New Roman"/>
          <w:color w:val="0D0D0D"/>
          <w:sz w:val="24"/>
          <w:szCs w:val="24"/>
          <w:highlight w:val="white"/>
        </w:rPr>
      </w:pPr>
      <w:r w:rsidRPr="00814614">
        <w:rPr>
          <w:rFonts w:eastAsia="Times New Roman"/>
          <w:color w:val="0D0D0D"/>
          <w:sz w:val="24"/>
          <w:szCs w:val="24"/>
          <w:highlight w:val="white"/>
        </w:rPr>
        <w:t xml:space="preserve">Swanson, K., Wu, E., Zhang, A., Alizadeh, A. A., &amp; Zou, J. (2023). From patterns to patients: Advances in clinical machine learning for cancer diagnosis, prognosis, and treatment. </w:t>
      </w:r>
      <w:r w:rsidRPr="00814614">
        <w:rPr>
          <w:rFonts w:eastAsia="Times New Roman"/>
          <w:i/>
          <w:color w:val="0D0D0D"/>
          <w:sz w:val="24"/>
          <w:szCs w:val="24"/>
          <w:highlight w:val="white"/>
        </w:rPr>
        <w:t>Cell</w:t>
      </w:r>
      <w:r w:rsidRPr="00814614">
        <w:rPr>
          <w:rFonts w:eastAsia="Times New Roman"/>
          <w:color w:val="0D0D0D"/>
          <w:sz w:val="24"/>
          <w:szCs w:val="24"/>
          <w:highlight w:val="white"/>
        </w:rPr>
        <w:t xml:space="preserve">, </w:t>
      </w:r>
      <w:r w:rsidRPr="00814614">
        <w:rPr>
          <w:rFonts w:eastAsia="Times New Roman"/>
          <w:i/>
          <w:color w:val="0D0D0D"/>
          <w:sz w:val="24"/>
          <w:szCs w:val="24"/>
          <w:highlight w:val="white"/>
        </w:rPr>
        <w:t>186</w:t>
      </w:r>
      <w:r w:rsidRPr="00814614">
        <w:rPr>
          <w:rFonts w:eastAsia="Times New Roman"/>
          <w:color w:val="0D0D0D"/>
          <w:sz w:val="24"/>
          <w:szCs w:val="24"/>
          <w:highlight w:val="white"/>
        </w:rPr>
        <w:t xml:space="preserve">(8), S0092-8674(23)000946. </w:t>
      </w:r>
      <w:hyperlink r:id="rId79">
        <w:r w:rsidRPr="00814614">
          <w:rPr>
            <w:rFonts w:eastAsia="Times New Roman"/>
            <w:color w:val="1155CC"/>
            <w:sz w:val="24"/>
            <w:szCs w:val="24"/>
            <w:highlight w:val="white"/>
            <w:u w:val="single"/>
          </w:rPr>
          <w:t>https://doi.org/10.1016/j.cell.2023.01.035</w:t>
        </w:r>
      </w:hyperlink>
      <w:r w:rsidRPr="00814614">
        <w:rPr>
          <w:rFonts w:eastAsia="Times New Roman"/>
          <w:color w:val="0D0D0D"/>
          <w:sz w:val="24"/>
          <w:szCs w:val="24"/>
          <w:highlight w:val="white"/>
        </w:rPr>
        <w:t xml:space="preserve"> </w:t>
      </w:r>
    </w:p>
    <w:p w14:paraId="022E0098" w14:textId="77777777" w:rsidR="007C0019" w:rsidRPr="00814614" w:rsidRDefault="002431C8" w:rsidP="00814614">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ind w:left="720" w:hanging="720"/>
        <w:jc w:val="both"/>
        <w:rPr>
          <w:rFonts w:eastAsia="Times New Roman"/>
          <w:color w:val="0D0D0D"/>
          <w:sz w:val="24"/>
          <w:szCs w:val="24"/>
          <w:highlight w:val="white"/>
        </w:rPr>
      </w:pPr>
      <w:proofErr w:type="spellStart"/>
      <w:r w:rsidRPr="00814614">
        <w:rPr>
          <w:rFonts w:eastAsia="Times New Roman"/>
          <w:color w:val="0D0D0D"/>
          <w:sz w:val="24"/>
          <w:szCs w:val="24"/>
          <w:highlight w:val="white"/>
        </w:rPr>
        <w:t>Tiwo</w:t>
      </w:r>
      <w:proofErr w:type="spellEnd"/>
      <w:r w:rsidRPr="00814614">
        <w:rPr>
          <w:rFonts w:eastAsia="Times New Roman"/>
          <w:color w:val="0D0D0D"/>
          <w:sz w:val="24"/>
          <w:szCs w:val="24"/>
          <w:highlight w:val="white"/>
        </w:rPr>
        <w:t xml:space="preserve">, O. J., </w:t>
      </w:r>
      <w:proofErr w:type="spellStart"/>
      <w:r w:rsidRPr="00814614">
        <w:rPr>
          <w:rFonts w:eastAsia="Times New Roman"/>
          <w:color w:val="0D0D0D"/>
          <w:sz w:val="24"/>
          <w:szCs w:val="24"/>
          <w:highlight w:val="white"/>
        </w:rPr>
        <w:t>Adesokan</w:t>
      </w:r>
      <w:proofErr w:type="spellEnd"/>
      <w:r w:rsidRPr="00814614">
        <w:rPr>
          <w:rFonts w:eastAsia="Times New Roman"/>
          <w:color w:val="0D0D0D"/>
          <w:sz w:val="24"/>
          <w:szCs w:val="24"/>
          <w:highlight w:val="white"/>
        </w:rPr>
        <w:t xml:space="preserve">-Imran, T. O., </w:t>
      </w:r>
      <w:proofErr w:type="spellStart"/>
      <w:r w:rsidRPr="00814614">
        <w:rPr>
          <w:rFonts w:eastAsia="Times New Roman"/>
          <w:color w:val="0D0D0D"/>
          <w:sz w:val="24"/>
          <w:szCs w:val="24"/>
          <w:highlight w:val="white"/>
        </w:rPr>
        <w:t>Babarinde</w:t>
      </w:r>
      <w:proofErr w:type="spellEnd"/>
      <w:r w:rsidRPr="00814614">
        <w:rPr>
          <w:rFonts w:eastAsia="Times New Roman"/>
          <w:color w:val="0D0D0D"/>
          <w:sz w:val="24"/>
          <w:szCs w:val="24"/>
          <w:highlight w:val="white"/>
        </w:rPr>
        <w:t xml:space="preserve">, D. C., </w:t>
      </w:r>
      <w:proofErr w:type="spellStart"/>
      <w:r w:rsidRPr="00814614">
        <w:rPr>
          <w:rFonts w:eastAsia="Times New Roman"/>
          <w:color w:val="0D0D0D"/>
          <w:sz w:val="24"/>
          <w:szCs w:val="24"/>
          <w:highlight w:val="white"/>
        </w:rPr>
        <w:t>Oyekunle</w:t>
      </w:r>
      <w:proofErr w:type="spellEnd"/>
      <w:r w:rsidRPr="00814614">
        <w:rPr>
          <w:rFonts w:eastAsia="Times New Roman"/>
          <w:color w:val="0D0D0D"/>
          <w:sz w:val="24"/>
          <w:szCs w:val="24"/>
          <w:highlight w:val="white"/>
        </w:rPr>
        <w:t xml:space="preserve">, S. M., </w:t>
      </w:r>
      <w:proofErr w:type="spellStart"/>
      <w:r w:rsidRPr="00814614">
        <w:rPr>
          <w:rFonts w:eastAsia="Times New Roman"/>
          <w:color w:val="0D0D0D"/>
          <w:sz w:val="24"/>
          <w:szCs w:val="24"/>
          <w:highlight w:val="white"/>
        </w:rPr>
        <w:t>Olutimehin</w:t>
      </w:r>
      <w:proofErr w:type="spellEnd"/>
      <w:r w:rsidRPr="00814614">
        <w:rPr>
          <w:rFonts w:eastAsia="Times New Roman"/>
          <w:color w:val="0D0D0D"/>
          <w:sz w:val="24"/>
          <w:szCs w:val="24"/>
          <w:highlight w:val="white"/>
        </w:rPr>
        <w:t xml:space="preserve">, A. T., &amp; </w:t>
      </w:r>
      <w:proofErr w:type="spellStart"/>
      <w:r w:rsidRPr="00814614">
        <w:rPr>
          <w:rFonts w:eastAsia="Times New Roman"/>
          <w:color w:val="0D0D0D"/>
          <w:sz w:val="24"/>
          <w:szCs w:val="24"/>
          <w:highlight w:val="white"/>
        </w:rPr>
        <w:t>Olaniyi</w:t>
      </w:r>
      <w:proofErr w:type="spellEnd"/>
      <w:r w:rsidRPr="00814614">
        <w:rPr>
          <w:rFonts w:eastAsia="Times New Roman"/>
          <w:color w:val="0D0D0D"/>
          <w:sz w:val="24"/>
          <w:szCs w:val="24"/>
          <w:highlight w:val="white"/>
        </w:rPr>
        <w:t xml:space="preserve">, O. O. (2025). Advancing Security in Cloud-based Patient Information Systems with Quantum-resistant Encryption for Healthcare Data. </w:t>
      </w:r>
      <w:r w:rsidRPr="00814614">
        <w:rPr>
          <w:rFonts w:eastAsia="Times New Roman"/>
          <w:i/>
          <w:color w:val="0D0D0D"/>
          <w:sz w:val="24"/>
          <w:szCs w:val="24"/>
          <w:highlight w:val="white"/>
        </w:rPr>
        <w:t>Asian Journal of Research in Computer Science</w:t>
      </w:r>
      <w:r w:rsidRPr="00814614">
        <w:rPr>
          <w:rFonts w:eastAsia="Times New Roman"/>
          <w:color w:val="0D0D0D"/>
          <w:sz w:val="24"/>
          <w:szCs w:val="24"/>
          <w:highlight w:val="white"/>
        </w:rPr>
        <w:t xml:space="preserve">, </w:t>
      </w:r>
      <w:r w:rsidRPr="00814614">
        <w:rPr>
          <w:rFonts w:eastAsia="Times New Roman"/>
          <w:i/>
          <w:color w:val="0D0D0D"/>
          <w:sz w:val="24"/>
          <w:szCs w:val="24"/>
          <w:highlight w:val="white"/>
        </w:rPr>
        <w:t>18</w:t>
      </w:r>
      <w:r w:rsidRPr="00814614">
        <w:rPr>
          <w:rFonts w:eastAsia="Times New Roman"/>
          <w:color w:val="0D0D0D"/>
          <w:sz w:val="24"/>
          <w:szCs w:val="24"/>
          <w:highlight w:val="white"/>
        </w:rPr>
        <w:t xml:space="preserve">(4), 187–208. </w:t>
      </w:r>
      <w:hyperlink r:id="rId80">
        <w:r w:rsidRPr="00814614">
          <w:rPr>
            <w:rFonts w:eastAsia="Times New Roman"/>
            <w:color w:val="1155CC"/>
            <w:sz w:val="24"/>
            <w:szCs w:val="24"/>
            <w:highlight w:val="white"/>
            <w:u w:val="single"/>
          </w:rPr>
          <w:t>https://doi.org/10.9734/ajrcos/2025/v18i4615</w:t>
        </w:r>
      </w:hyperlink>
      <w:r w:rsidRPr="00814614">
        <w:rPr>
          <w:rFonts w:eastAsia="Times New Roman"/>
          <w:color w:val="0D0D0D"/>
          <w:sz w:val="24"/>
          <w:szCs w:val="24"/>
          <w:highlight w:val="white"/>
        </w:rPr>
        <w:t xml:space="preserve"> </w:t>
      </w:r>
    </w:p>
    <w:p w14:paraId="39D9875C" w14:textId="77777777" w:rsidR="007C0019" w:rsidRPr="00814614" w:rsidRDefault="002431C8" w:rsidP="00814614">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ind w:left="720" w:hanging="720"/>
        <w:jc w:val="both"/>
        <w:rPr>
          <w:rFonts w:eastAsia="Times New Roman"/>
          <w:color w:val="0D0D0D"/>
          <w:sz w:val="24"/>
          <w:szCs w:val="24"/>
          <w:highlight w:val="white"/>
        </w:rPr>
      </w:pPr>
      <w:proofErr w:type="spellStart"/>
      <w:r w:rsidRPr="00814614">
        <w:rPr>
          <w:rFonts w:eastAsia="Times New Roman"/>
          <w:color w:val="0D0D0D"/>
          <w:sz w:val="24"/>
          <w:szCs w:val="24"/>
          <w:highlight w:val="white"/>
        </w:rPr>
        <w:t>Tiwo</w:t>
      </w:r>
      <w:proofErr w:type="spellEnd"/>
      <w:r w:rsidRPr="00814614">
        <w:rPr>
          <w:rFonts w:eastAsia="Times New Roman"/>
          <w:color w:val="0D0D0D"/>
          <w:sz w:val="24"/>
          <w:szCs w:val="24"/>
          <w:highlight w:val="white"/>
        </w:rPr>
        <w:t xml:space="preserve">, O. J., </w:t>
      </w:r>
      <w:proofErr w:type="spellStart"/>
      <w:r w:rsidRPr="00814614">
        <w:rPr>
          <w:rFonts w:eastAsia="Times New Roman"/>
          <w:color w:val="0D0D0D"/>
          <w:sz w:val="24"/>
          <w:szCs w:val="24"/>
          <w:highlight w:val="white"/>
        </w:rPr>
        <w:t>Adesokan</w:t>
      </w:r>
      <w:proofErr w:type="spellEnd"/>
      <w:r w:rsidRPr="00814614">
        <w:rPr>
          <w:rFonts w:eastAsia="Times New Roman"/>
          <w:color w:val="0D0D0D"/>
          <w:sz w:val="24"/>
          <w:szCs w:val="24"/>
          <w:highlight w:val="white"/>
        </w:rPr>
        <w:t xml:space="preserve">-Imran, T. O., </w:t>
      </w:r>
      <w:proofErr w:type="spellStart"/>
      <w:r w:rsidRPr="00814614">
        <w:rPr>
          <w:rFonts w:eastAsia="Times New Roman"/>
          <w:color w:val="0D0D0D"/>
          <w:sz w:val="24"/>
          <w:szCs w:val="24"/>
          <w:highlight w:val="white"/>
        </w:rPr>
        <w:t>Babarinde</w:t>
      </w:r>
      <w:proofErr w:type="spellEnd"/>
      <w:r w:rsidRPr="00814614">
        <w:rPr>
          <w:rFonts w:eastAsia="Times New Roman"/>
          <w:color w:val="0D0D0D"/>
          <w:sz w:val="24"/>
          <w:szCs w:val="24"/>
          <w:highlight w:val="white"/>
        </w:rPr>
        <w:t xml:space="preserve">, D. C., Salami, I. A., </w:t>
      </w:r>
      <w:proofErr w:type="spellStart"/>
      <w:r w:rsidRPr="00814614">
        <w:rPr>
          <w:rFonts w:eastAsia="Times New Roman"/>
          <w:color w:val="0D0D0D"/>
          <w:sz w:val="24"/>
          <w:szCs w:val="24"/>
          <w:highlight w:val="white"/>
        </w:rPr>
        <w:t>Onyenaucheya</w:t>
      </w:r>
      <w:proofErr w:type="spellEnd"/>
      <w:r w:rsidRPr="00814614">
        <w:rPr>
          <w:rFonts w:eastAsia="Times New Roman"/>
          <w:color w:val="0D0D0D"/>
          <w:sz w:val="24"/>
          <w:szCs w:val="24"/>
          <w:highlight w:val="white"/>
        </w:rPr>
        <w:t xml:space="preserve">, O. S., &amp; </w:t>
      </w:r>
      <w:proofErr w:type="spellStart"/>
      <w:r w:rsidRPr="00814614">
        <w:rPr>
          <w:rFonts w:eastAsia="Times New Roman"/>
          <w:color w:val="0D0D0D"/>
          <w:sz w:val="24"/>
          <w:szCs w:val="24"/>
          <w:highlight w:val="white"/>
        </w:rPr>
        <w:t>Olaniyi</w:t>
      </w:r>
      <w:proofErr w:type="spellEnd"/>
      <w:r w:rsidRPr="00814614">
        <w:rPr>
          <w:rFonts w:eastAsia="Times New Roman"/>
          <w:color w:val="0D0D0D"/>
          <w:sz w:val="24"/>
          <w:szCs w:val="24"/>
          <w:highlight w:val="white"/>
        </w:rPr>
        <w:t xml:space="preserve">, O. O. (2025). Improving Patient Data Privacy and Authentication Protocols against AI-Powered Phishing Attacks in Telemedicine. </w:t>
      </w:r>
      <w:r w:rsidRPr="00814614">
        <w:rPr>
          <w:rFonts w:eastAsia="Times New Roman"/>
          <w:i/>
          <w:color w:val="0D0D0D"/>
          <w:sz w:val="24"/>
          <w:szCs w:val="24"/>
          <w:highlight w:val="white"/>
        </w:rPr>
        <w:t>Asian Journal of Research in Computer Science</w:t>
      </w:r>
      <w:r w:rsidRPr="00814614">
        <w:rPr>
          <w:rFonts w:eastAsia="Times New Roman"/>
          <w:color w:val="0D0D0D"/>
          <w:sz w:val="24"/>
          <w:szCs w:val="24"/>
          <w:highlight w:val="white"/>
        </w:rPr>
        <w:t xml:space="preserve">, </w:t>
      </w:r>
      <w:r w:rsidRPr="00814614">
        <w:rPr>
          <w:rFonts w:eastAsia="Times New Roman"/>
          <w:i/>
          <w:color w:val="0D0D0D"/>
          <w:sz w:val="24"/>
          <w:szCs w:val="24"/>
          <w:highlight w:val="white"/>
        </w:rPr>
        <w:t>18</w:t>
      </w:r>
      <w:r w:rsidRPr="00814614">
        <w:rPr>
          <w:rFonts w:eastAsia="Times New Roman"/>
          <w:color w:val="0D0D0D"/>
          <w:sz w:val="24"/>
          <w:szCs w:val="24"/>
          <w:highlight w:val="white"/>
        </w:rPr>
        <w:t xml:space="preserve">(4), 93–114. </w:t>
      </w:r>
      <w:hyperlink r:id="rId81">
        <w:r w:rsidRPr="00814614">
          <w:rPr>
            <w:rFonts w:eastAsia="Times New Roman"/>
            <w:color w:val="1155CC"/>
            <w:sz w:val="24"/>
            <w:szCs w:val="24"/>
            <w:highlight w:val="white"/>
            <w:u w:val="single"/>
          </w:rPr>
          <w:t>https://doi.org/10.9734/ajrcos/2025/v18i4610</w:t>
        </w:r>
      </w:hyperlink>
      <w:r w:rsidRPr="00814614">
        <w:rPr>
          <w:rFonts w:eastAsia="Times New Roman"/>
          <w:color w:val="0D0D0D"/>
          <w:sz w:val="24"/>
          <w:szCs w:val="24"/>
          <w:highlight w:val="white"/>
        </w:rPr>
        <w:t xml:space="preserve">  </w:t>
      </w:r>
    </w:p>
    <w:p w14:paraId="692A9A7B" w14:textId="77777777" w:rsidR="007C0019" w:rsidRPr="00814614" w:rsidRDefault="002431C8" w:rsidP="00814614">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ind w:left="720" w:hanging="720"/>
        <w:jc w:val="both"/>
        <w:rPr>
          <w:rFonts w:eastAsia="Times New Roman"/>
          <w:color w:val="0D0D0D"/>
          <w:sz w:val="24"/>
          <w:szCs w:val="24"/>
          <w:highlight w:val="white"/>
        </w:rPr>
      </w:pPr>
      <w:proofErr w:type="spellStart"/>
      <w:r w:rsidRPr="00814614">
        <w:rPr>
          <w:rFonts w:eastAsia="Times New Roman"/>
          <w:color w:val="0D0D0D"/>
          <w:sz w:val="24"/>
          <w:szCs w:val="24"/>
          <w:highlight w:val="white"/>
        </w:rPr>
        <w:lastRenderedPageBreak/>
        <w:t>Trakadas</w:t>
      </w:r>
      <w:proofErr w:type="spellEnd"/>
      <w:r w:rsidRPr="00814614">
        <w:rPr>
          <w:rFonts w:eastAsia="Times New Roman"/>
          <w:color w:val="0D0D0D"/>
          <w:sz w:val="24"/>
          <w:szCs w:val="24"/>
          <w:highlight w:val="white"/>
        </w:rPr>
        <w:t xml:space="preserve">, P., </w:t>
      </w:r>
      <w:proofErr w:type="spellStart"/>
      <w:r w:rsidRPr="00814614">
        <w:rPr>
          <w:rFonts w:eastAsia="Times New Roman"/>
          <w:color w:val="0D0D0D"/>
          <w:sz w:val="24"/>
          <w:szCs w:val="24"/>
          <w:highlight w:val="white"/>
        </w:rPr>
        <w:t>Masip</w:t>
      </w:r>
      <w:proofErr w:type="spellEnd"/>
      <w:r w:rsidRPr="00814614">
        <w:rPr>
          <w:rFonts w:eastAsia="Times New Roman"/>
          <w:color w:val="0D0D0D"/>
          <w:sz w:val="24"/>
          <w:szCs w:val="24"/>
          <w:highlight w:val="white"/>
        </w:rPr>
        <w:t xml:space="preserve">-Bruin, X., </w:t>
      </w:r>
      <w:proofErr w:type="spellStart"/>
      <w:r w:rsidRPr="00814614">
        <w:rPr>
          <w:rFonts w:eastAsia="Times New Roman"/>
          <w:color w:val="0D0D0D"/>
          <w:sz w:val="24"/>
          <w:szCs w:val="24"/>
          <w:highlight w:val="white"/>
        </w:rPr>
        <w:t>Facca</w:t>
      </w:r>
      <w:proofErr w:type="spellEnd"/>
      <w:r w:rsidRPr="00814614">
        <w:rPr>
          <w:rFonts w:eastAsia="Times New Roman"/>
          <w:color w:val="0D0D0D"/>
          <w:sz w:val="24"/>
          <w:szCs w:val="24"/>
          <w:highlight w:val="white"/>
        </w:rPr>
        <w:t xml:space="preserve">, F. M., </w:t>
      </w:r>
      <w:proofErr w:type="spellStart"/>
      <w:r w:rsidRPr="00814614">
        <w:rPr>
          <w:rFonts w:eastAsia="Times New Roman"/>
          <w:color w:val="0D0D0D"/>
          <w:sz w:val="24"/>
          <w:szCs w:val="24"/>
          <w:highlight w:val="white"/>
        </w:rPr>
        <w:t>Spantideas</w:t>
      </w:r>
      <w:proofErr w:type="spellEnd"/>
      <w:r w:rsidRPr="00814614">
        <w:rPr>
          <w:rFonts w:eastAsia="Times New Roman"/>
          <w:color w:val="0D0D0D"/>
          <w:sz w:val="24"/>
          <w:szCs w:val="24"/>
          <w:highlight w:val="white"/>
        </w:rPr>
        <w:t xml:space="preserve">, S. T., Giannopoulos, A. E., </w:t>
      </w:r>
      <w:proofErr w:type="spellStart"/>
      <w:r w:rsidRPr="00814614">
        <w:rPr>
          <w:rFonts w:eastAsia="Times New Roman"/>
          <w:color w:val="0D0D0D"/>
          <w:sz w:val="24"/>
          <w:szCs w:val="24"/>
          <w:highlight w:val="white"/>
        </w:rPr>
        <w:t>Kapsalis</w:t>
      </w:r>
      <w:proofErr w:type="spellEnd"/>
      <w:r w:rsidRPr="00814614">
        <w:rPr>
          <w:rFonts w:eastAsia="Times New Roman"/>
          <w:color w:val="0D0D0D"/>
          <w:sz w:val="24"/>
          <w:szCs w:val="24"/>
          <w:highlight w:val="white"/>
        </w:rPr>
        <w:t xml:space="preserve">, N. C., Martins, R., </w:t>
      </w:r>
      <w:proofErr w:type="spellStart"/>
      <w:r w:rsidRPr="00814614">
        <w:rPr>
          <w:rFonts w:eastAsia="Times New Roman"/>
          <w:color w:val="0D0D0D"/>
          <w:sz w:val="24"/>
          <w:szCs w:val="24"/>
          <w:highlight w:val="white"/>
        </w:rPr>
        <w:t>Bosani</w:t>
      </w:r>
      <w:proofErr w:type="spellEnd"/>
      <w:r w:rsidRPr="00814614">
        <w:rPr>
          <w:rFonts w:eastAsia="Times New Roman"/>
          <w:color w:val="0D0D0D"/>
          <w:sz w:val="24"/>
          <w:szCs w:val="24"/>
          <w:highlight w:val="white"/>
        </w:rPr>
        <w:t xml:space="preserve">, E., Ramon, J., Prats, R. G., </w:t>
      </w:r>
      <w:proofErr w:type="spellStart"/>
      <w:r w:rsidRPr="00814614">
        <w:rPr>
          <w:rFonts w:eastAsia="Times New Roman"/>
          <w:color w:val="0D0D0D"/>
          <w:sz w:val="24"/>
          <w:szCs w:val="24"/>
          <w:highlight w:val="white"/>
        </w:rPr>
        <w:t>Ntroulias</w:t>
      </w:r>
      <w:proofErr w:type="spellEnd"/>
      <w:r w:rsidRPr="00814614">
        <w:rPr>
          <w:rFonts w:eastAsia="Times New Roman"/>
          <w:color w:val="0D0D0D"/>
          <w:sz w:val="24"/>
          <w:szCs w:val="24"/>
          <w:highlight w:val="white"/>
        </w:rPr>
        <w:t xml:space="preserve">, G., &amp; </w:t>
      </w:r>
      <w:proofErr w:type="spellStart"/>
      <w:r w:rsidRPr="00814614">
        <w:rPr>
          <w:rFonts w:eastAsia="Times New Roman"/>
          <w:color w:val="0D0D0D"/>
          <w:sz w:val="24"/>
          <w:szCs w:val="24"/>
          <w:highlight w:val="white"/>
        </w:rPr>
        <w:t>Lyridis</w:t>
      </w:r>
      <w:proofErr w:type="spellEnd"/>
      <w:r w:rsidRPr="00814614">
        <w:rPr>
          <w:rFonts w:eastAsia="Times New Roman"/>
          <w:color w:val="0D0D0D"/>
          <w:sz w:val="24"/>
          <w:szCs w:val="24"/>
          <w:highlight w:val="white"/>
        </w:rPr>
        <w:t xml:space="preserve">, D. V. (2022). A Reference Architecture for Cloud–Edge Meta-Operating Systems Enabling Cross-Domain, Data-Intensive, ML-Assisted Applications: Architectural Overview and Key Concepts. </w:t>
      </w:r>
      <w:r w:rsidRPr="00814614">
        <w:rPr>
          <w:rFonts w:eastAsia="Times New Roman"/>
          <w:i/>
          <w:color w:val="0D0D0D"/>
          <w:sz w:val="24"/>
          <w:szCs w:val="24"/>
          <w:highlight w:val="white"/>
        </w:rPr>
        <w:t>Sensors</w:t>
      </w:r>
      <w:r w:rsidRPr="00814614">
        <w:rPr>
          <w:rFonts w:eastAsia="Times New Roman"/>
          <w:color w:val="0D0D0D"/>
          <w:sz w:val="24"/>
          <w:szCs w:val="24"/>
          <w:highlight w:val="white"/>
        </w:rPr>
        <w:t xml:space="preserve">, </w:t>
      </w:r>
      <w:r w:rsidRPr="00814614">
        <w:rPr>
          <w:rFonts w:eastAsia="Times New Roman"/>
          <w:i/>
          <w:color w:val="0D0D0D"/>
          <w:sz w:val="24"/>
          <w:szCs w:val="24"/>
          <w:highlight w:val="white"/>
        </w:rPr>
        <w:t>22</w:t>
      </w:r>
      <w:r w:rsidRPr="00814614">
        <w:rPr>
          <w:rFonts w:eastAsia="Times New Roman"/>
          <w:color w:val="0D0D0D"/>
          <w:sz w:val="24"/>
          <w:szCs w:val="24"/>
          <w:highlight w:val="white"/>
        </w:rPr>
        <w:t xml:space="preserve">(22), 9003. </w:t>
      </w:r>
      <w:hyperlink r:id="rId82">
        <w:r w:rsidRPr="00814614">
          <w:rPr>
            <w:rFonts w:eastAsia="Times New Roman"/>
            <w:color w:val="1155CC"/>
            <w:sz w:val="24"/>
            <w:szCs w:val="24"/>
            <w:highlight w:val="white"/>
            <w:u w:val="single"/>
          </w:rPr>
          <w:t>https://doi.org/10.3390/s22229003</w:t>
        </w:r>
      </w:hyperlink>
      <w:r w:rsidRPr="00814614">
        <w:rPr>
          <w:rFonts w:eastAsia="Times New Roman"/>
          <w:color w:val="0D0D0D"/>
          <w:sz w:val="24"/>
          <w:szCs w:val="24"/>
          <w:highlight w:val="white"/>
        </w:rPr>
        <w:t xml:space="preserve"> </w:t>
      </w:r>
    </w:p>
    <w:p w14:paraId="22754B29" w14:textId="77777777" w:rsidR="007C0019" w:rsidRPr="00814614" w:rsidRDefault="002431C8" w:rsidP="00814614">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ind w:left="720" w:hanging="720"/>
        <w:jc w:val="both"/>
        <w:rPr>
          <w:rFonts w:eastAsia="Times New Roman"/>
          <w:color w:val="0D0D0D"/>
          <w:sz w:val="24"/>
          <w:szCs w:val="24"/>
          <w:highlight w:val="white"/>
        </w:rPr>
      </w:pPr>
      <w:proofErr w:type="spellStart"/>
      <w:r w:rsidRPr="00814614">
        <w:rPr>
          <w:rFonts w:eastAsia="Times New Roman"/>
          <w:color w:val="0D0D0D"/>
          <w:sz w:val="24"/>
          <w:szCs w:val="24"/>
          <w:highlight w:val="white"/>
        </w:rPr>
        <w:t>Traversi</w:t>
      </w:r>
      <w:proofErr w:type="spellEnd"/>
      <w:r w:rsidRPr="00814614">
        <w:rPr>
          <w:rFonts w:eastAsia="Times New Roman"/>
          <w:color w:val="0D0D0D"/>
          <w:sz w:val="24"/>
          <w:szCs w:val="24"/>
          <w:highlight w:val="white"/>
        </w:rPr>
        <w:t xml:space="preserve">, D., </w:t>
      </w:r>
      <w:proofErr w:type="spellStart"/>
      <w:r w:rsidRPr="00814614">
        <w:rPr>
          <w:rFonts w:eastAsia="Times New Roman"/>
          <w:color w:val="0D0D0D"/>
          <w:sz w:val="24"/>
          <w:szCs w:val="24"/>
          <w:highlight w:val="white"/>
        </w:rPr>
        <w:t>Pulliero</w:t>
      </w:r>
      <w:proofErr w:type="spellEnd"/>
      <w:r w:rsidRPr="00814614">
        <w:rPr>
          <w:rFonts w:eastAsia="Times New Roman"/>
          <w:color w:val="0D0D0D"/>
          <w:sz w:val="24"/>
          <w:szCs w:val="24"/>
          <w:highlight w:val="white"/>
        </w:rPr>
        <w:t xml:space="preserve">, A., </w:t>
      </w:r>
      <w:proofErr w:type="spellStart"/>
      <w:r w:rsidRPr="00814614">
        <w:rPr>
          <w:rFonts w:eastAsia="Times New Roman"/>
          <w:color w:val="0D0D0D"/>
          <w:sz w:val="24"/>
          <w:szCs w:val="24"/>
          <w:highlight w:val="white"/>
        </w:rPr>
        <w:t>Izzotti</w:t>
      </w:r>
      <w:proofErr w:type="spellEnd"/>
      <w:r w:rsidRPr="00814614">
        <w:rPr>
          <w:rFonts w:eastAsia="Times New Roman"/>
          <w:color w:val="0D0D0D"/>
          <w:sz w:val="24"/>
          <w:szCs w:val="24"/>
          <w:highlight w:val="white"/>
        </w:rPr>
        <w:t xml:space="preserve">, A., </w:t>
      </w:r>
      <w:proofErr w:type="spellStart"/>
      <w:r w:rsidRPr="00814614">
        <w:rPr>
          <w:rFonts w:eastAsia="Times New Roman"/>
          <w:color w:val="0D0D0D"/>
          <w:sz w:val="24"/>
          <w:szCs w:val="24"/>
          <w:highlight w:val="white"/>
        </w:rPr>
        <w:t>Franchitti</w:t>
      </w:r>
      <w:proofErr w:type="spellEnd"/>
      <w:r w:rsidRPr="00814614">
        <w:rPr>
          <w:rFonts w:eastAsia="Times New Roman"/>
          <w:color w:val="0D0D0D"/>
          <w:sz w:val="24"/>
          <w:szCs w:val="24"/>
          <w:highlight w:val="white"/>
        </w:rPr>
        <w:t xml:space="preserve">, E., </w:t>
      </w:r>
      <w:proofErr w:type="spellStart"/>
      <w:r w:rsidRPr="00814614">
        <w:rPr>
          <w:rFonts w:eastAsia="Times New Roman"/>
          <w:color w:val="0D0D0D"/>
          <w:sz w:val="24"/>
          <w:szCs w:val="24"/>
          <w:highlight w:val="white"/>
        </w:rPr>
        <w:t>Iacoviello</w:t>
      </w:r>
      <w:proofErr w:type="spellEnd"/>
      <w:r w:rsidRPr="00814614">
        <w:rPr>
          <w:rFonts w:eastAsia="Times New Roman"/>
          <w:color w:val="0D0D0D"/>
          <w:sz w:val="24"/>
          <w:szCs w:val="24"/>
          <w:highlight w:val="white"/>
        </w:rPr>
        <w:t xml:space="preserve">, L., </w:t>
      </w:r>
      <w:proofErr w:type="spellStart"/>
      <w:r w:rsidRPr="00814614">
        <w:rPr>
          <w:rFonts w:eastAsia="Times New Roman"/>
          <w:color w:val="0D0D0D"/>
          <w:sz w:val="24"/>
          <w:szCs w:val="24"/>
          <w:highlight w:val="white"/>
        </w:rPr>
        <w:t>Gianfagna</w:t>
      </w:r>
      <w:proofErr w:type="spellEnd"/>
      <w:r w:rsidRPr="00814614">
        <w:rPr>
          <w:rFonts w:eastAsia="Times New Roman"/>
          <w:color w:val="0D0D0D"/>
          <w:sz w:val="24"/>
          <w:szCs w:val="24"/>
          <w:highlight w:val="white"/>
        </w:rPr>
        <w:t xml:space="preserve">, F., </w:t>
      </w:r>
      <w:proofErr w:type="spellStart"/>
      <w:r w:rsidRPr="00814614">
        <w:rPr>
          <w:rFonts w:eastAsia="Times New Roman"/>
          <w:color w:val="0D0D0D"/>
          <w:sz w:val="24"/>
          <w:szCs w:val="24"/>
          <w:highlight w:val="white"/>
        </w:rPr>
        <w:t>Gialluisi</w:t>
      </w:r>
      <w:proofErr w:type="spellEnd"/>
      <w:r w:rsidRPr="00814614">
        <w:rPr>
          <w:rFonts w:eastAsia="Times New Roman"/>
          <w:color w:val="0D0D0D"/>
          <w:sz w:val="24"/>
          <w:szCs w:val="24"/>
          <w:highlight w:val="white"/>
        </w:rPr>
        <w:t xml:space="preserve">, A., </w:t>
      </w:r>
      <w:proofErr w:type="spellStart"/>
      <w:r w:rsidRPr="00814614">
        <w:rPr>
          <w:rFonts w:eastAsia="Times New Roman"/>
          <w:color w:val="0D0D0D"/>
          <w:sz w:val="24"/>
          <w:szCs w:val="24"/>
          <w:highlight w:val="white"/>
        </w:rPr>
        <w:t>Izzi</w:t>
      </w:r>
      <w:proofErr w:type="spellEnd"/>
      <w:r w:rsidRPr="00814614">
        <w:rPr>
          <w:rFonts w:eastAsia="Times New Roman"/>
          <w:color w:val="0D0D0D"/>
          <w:sz w:val="24"/>
          <w:szCs w:val="24"/>
          <w:highlight w:val="white"/>
        </w:rPr>
        <w:t xml:space="preserve">, B., </w:t>
      </w:r>
      <w:proofErr w:type="spellStart"/>
      <w:r w:rsidRPr="00814614">
        <w:rPr>
          <w:rFonts w:eastAsia="Times New Roman"/>
          <w:color w:val="0D0D0D"/>
          <w:sz w:val="24"/>
          <w:szCs w:val="24"/>
          <w:highlight w:val="white"/>
        </w:rPr>
        <w:t>Agodi</w:t>
      </w:r>
      <w:proofErr w:type="spellEnd"/>
      <w:r w:rsidRPr="00814614">
        <w:rPr>
          <w:rFonts w:eastAsia="Times New Roman"/>
          <w:color w:val="0D0D0D"/>
          <w:sz w:val="24"/>
          <w:szCs w:val="24"/>
          <w:highlight w:val="white"/>
        </w:rPr>
        <w:t xml:space="preserve">, A., </w:t>
      </w:r>
      <w:proofErr w:type="spellStart"/>
      <w:r w:rsidRPr="00814614">
        <w:rPr>
          <w:rFonts w:eastAsia="Times New Roman"/>
          <w:color w:val="0D0D0D"/>
          <w:sz w:val="24"/>
          <w:szCs w:val="24"/>
          <w:highlight w:val="white"/>
        </w:rPr>
        <w:t>Barchitta</w:t>
      </w:r>
      <w:proofErr w:type="spellEnd"/>
      <w:r w:rsidRPr="00814614">
        <w:rPr>
          <w:rFonts w:eastAsia="Times New Roman"/>
          <w:color w:val="0D0D0D"/>
          <w:sz w:val="24"/>
          <w:szCs w:val="24"/>
          <w:highlight w:val="white"/>
        </w:rPr>
        <w:t xml:space="preserve">, M., </w:t>
      </w:r>
      <w:proofErr w:type="spellStart"/>
      <w:r w:rsidRPr="00814614">
        <w:rPr>
          <w:rFonts w:eastAsia="Times New Roman"/>
          <w:color w:val="0D0D0D"/>
          <w:sz w:val="24"/>
          <w:szCs w:val="24"/>
          <w:highlight w:val="white"/>
        </w:rPr>
        <w:t>Calabrò</w:t>
      </w:r>
      <w:proofErr w:type="spellEnd"/>
      <w:r w:rsidRPr="00814614">
        <w:rPr>
          <w:rFonts w:eastAsia="Times New Roman"/>
          <w:color w:val="0D0D0D"/>
          <w:sz w:val="24"/>
          <w:szCs w:val="24"/>
          <w:highlight w:val="white"/>
        </w:rPr>
        <w:t xml:space="preserve">, G. E., </w:t>
      </w:r>
      <w:proofErr w:type="spellStart"/>
      <w:r w:rsidRPr="00814614">
        <w:rPr>
          <w:rFonts w:eastAsia="Times New Roman"/>
          <w:color w:val="0D0D0D"/>
          <w:sz w:val="24"/>
          <w:szCs w:val="24"/>
          <w:highlight w:val="white"/>
        </w:rPr>
        <w:t>Hoxhaj</w:t>
      </w:r>
      <w:proofErr w:type="spellEnd"/>
      <w:r w:rsidRPr="00814614">
        <w:rPr>
          <w:rFonts w:eastAsia="Times New Roman"/>
          <w:color w:val="0D0D0D"/>
          <w:sz w:val="24"/>
          <w:szCs w:val="24"/>
          <w:highlight w:val="white"/>
        </w:rPr>
        <w:t xml:space="preserve">, I., </w:t>
      </w:r>
      <w:proofErr w:type="spellStart"/>
      <w:r w:rsidRPr="00814614">
        <w:rPr>
          <w:rFonts w:eastAsia="Times New Roman"/>
          <w:color w:val="0D0D0D"/>
          <w:sz w:val="24"/>
          <w:szCs w:val="24"/>
          <w:highlight w:val="white"/>
        </w:rPr>
        <w:t>Sassano</w:t>
      </w:r>
      <w:proofErr w:type="spellEnd"/>
      <w:r w:rsidRPr="00814614">
        <w:rPr>
          <w:rFonts w:eastAsia="Times New Roman"/>
          <w:color w:val="0D0D0D"/>
          <w:sz w:val="24"/>
          <w:szCs w:val="24"/>
          <w:highlight w:val="white"/>
        </w:rPr>
        <w:t xml:space="preserve">, M., </w:t>
      </w:r>
      <w:proofErr w:type="spellStart"/>
      <w:r w:rsidRPr="00814614">
        <w:rPr>
          <w:rFonts w:eastAsia="Times New Roman"/>
          <w:color w:val="0D0D0D"/>
          <w:sz w:val="24"/>
          <w:szCs w:val="24"/>
          <w:highlight w:val="white"/>
        </w:rPr>
        <w:t>Sbrogiò</w:t>
      </w:r>
      <w:proofErr w:type="spellEnd"/>
      <w:r w:rsidRPr="00814614">
        <w:rPr>
          <w:rFonts w:eastAsia="Times New Roman"/>
          <w:color w:val="0D0D0D"/>
          <w:sz w:val="24"/>
          <w:szCs w:val="24"/>
          <w:highlight w:val="white"/>
        </w:rPr>
        <w:t xml:space="preserve">, L. G., Del </w:t>
      </w:r>
      <w:proofErr w:type="spellStart"/>
      <w:r w:rsidRPr="00814614">
        <w:rPr>
          <w:rFonts w:eastAsia="Times New Roman"/>
          <w:color w:val="0D0D0D"/>
          <w:sz w:val="24"/>
          <w:szCs w:val="24"/>
          <w:highlight w:val="white"/>
        </w:rPr>
        <w:t>Sole</w:t>
      </w:r>
      <w:proofErr w:type="spellEnd"/>
      <w:r w:rsidRPr="00814614">
        <w:rPr>
          <w:rFonts w:eastAsia="Times New Roman"/>
          <w:color w:val="0D0D0D"/>
          <w:sz w:val="24"/>
          <w:szCs w:val="24"/>
          <w:highlight w:val="white"/>
        </w:rPr>
        <w:t xml:space="preserve">, A., </w:t>
      </w:r>
      <w:proofErr w:type="spellStart"/>
      <w:r w:rsidRPr="00814614">
        <w:rPr>
          <w:rFonts w:eastAsia="Times New Roman"/>
          <w:color w:val="0D0D0D"/>
          <w:sz w:val="24"/>
          <w:szCs w:val="24"/>
          <w:highlight w:val="white"/>
        </w:rPr>
        <w:t>Marchiori</w:t>
      </w:r>
      <w:proofErr w:type="spellEnd"/>
      <w:r w:rsidRPr="00814614">
        <w:rPr>
          <w:rFonts w:eastAsia="Times New Roman"/>
          <w:color w:val="0D0D0D"/>
          <w:sz w:val="24"/>
          <w:szCs w:val="24"/>
          <w:highlight w:val="white"/>
        </w:rPr>
        <w:t xml:space="preserve">, F., </w:t>
      </w:r>
      <w:proofErr w:type="spellStart"/>
      <w:r w:rsidRPr="00814614">
        <w:rPr>
          <w:rFonts w:eastAsia="Times New Roman"/>
          <w:color w:val="0D0D0D"/>
          <w:sz w:val="24"/>
          <w:szCs w:val="24"/>
          <w:highlight w:val="white"/>
        </w:rPr>
        <w:t>Pitini</w:t>
      </w:r>
      <w:proofErr w:type="spellEnd"/>
      <w:r w:rsidRPr="00814614">
        <w:rPr>
          <w:rFonts w:eastAsia="Times New Roman"/>
          <w:color w:val="0D0D0D"/>
          <w:sz w:val="24"/>
          <w:szCs w:val="24"/>
          <w:highlight w:val="white"/>
        </w:rPr>
        <w:t xml:space="preserve">, E., </w:t>
      </w:r>
      <w:proofErr w:type="spellStart"/>
      <w:r w:rsidRPr="00814614">
        <w:rPr>
          <w:rFonts w:eastAsia="Times New Roman"/>
          <w:color w:val="0D0D0D"/>
          <w:sz w:val="24"/>
          <w:szCs w:val="24"/>
          <w:highlight w:val="white"/>
        </w:rPr>
        <w:t>Migliara</w:t>
      </w:r>
      <w:proofErr w:type="spellEnd"/>
      <w:r w:rsidRPr="00814614">
        <w:rPr>
          <w:rFonts w:eastAsia="Times New Roman"/>
          <w:color w:val="0D0D0D"/>
          <w:sz w:val="24"/>
          <w:szCs w:val="24"/>
          <w:highlight w:val="white"/>
        </w:rPr>
        <w:t xml:space="preserve">, G., </w:t>
      </w:r>
      <w:proofErr w:type="spellStart"/>
      <w:r w:rsidRPr="00814614">
        <w:rPr>
          <w:rFonts w:eastAsia="Times New Roman"/>
          <w:color w:val="0D0D0D"/>
          <w:sz w:val="24"/>
          <w:szCs w:val="24"/>
          <w:highlight w:val="white"/>
        </w:rPr>
        <w:t>Marzuillo</w:t>
      </w:r>
      <w:proofErr w:type="spellEnd"/>
      <w:r w:rsidRPr="00814614">
        <w:rPr>
          <w:rFonts w:eastAsia="Times New Roman"/>
          <w:color w:val="0D0D0D"/>
          <w:sz w:val="24"/>
          <w:szCs w:val="24"/>
          <w:highlight w:val="white"/>
        </w:rPr>
        <w:t xml:space="preserve">, C., &amp; De Vito, C. (2021). Precision Medicine and Public Health: New Challenges for Effective and Sustainable Health. </w:t>
      </w:r>
      <w:r w:rsidRPr="00814614">
        <w:rPr>
          <w:rFonts w:eastAsia="Times New Roman"/>
          <w:i/>
          <w:color w:val="0D0D0D"/>
          <w:sz w:val="24"/>
          <w:szCs w:val="24"/>
          <w:highlight w:val="white"/>
        </w:rPr>
        <w:t>Journal of Personalized Medicine</w:t>
      </w:r>
      <w:r w:rsidRPr="00814614">
        <w:rPr>
          <w:rFonts w:eastAsia="Times New Roman"/>
          <w:color w:val="0D0D0D"/>
          <w:sz w:val="24"/>
          <w:szCs w:val="24"/>
          <w:highlight w:val="white"/>
        </w:rPr>
        <w:t xml:space="preserve">, </w:t>
      </w:r>
      <w:r w:rsidRPr="00814614">
        <w:rPr>
          <w:rFonts w:eastAsia="Times New Roman"/>
          <w:i/>
          <w:color w:val="0D0D0D"/>
          <w:sz w:val="24"/>
          <w:szCs w:val="24"/>
          <w:highlight w:val="white"/>
        </w:rPr>
        <w:t>11</w:t>
      </w:r>
      <w:r w:rsidRPr="00814614">
        <w:rPr>
          <w:rFonts w:eastAsia="Times New Roman"/>
          <w:color w:val="0D0D0D"/>
          <w:sz w:val="24"/>
          <w:szCs w:val="24"/>
          <w:highlight w:val="white"/>
        </w:rPr>
        <w:t xml:space="preserve">(2), 135. </w:t>
      </w:r>
      <w:hyperlink r:id="rId83">
        <w:r w:rsidRPr="00814614">
          <w:rPr>
            <w:rFonts w:eastAsia="Times New Roman"/>
            <w:color w:val="1155CC"/>
            <w:sz w:val="24"/>
            <w:szCs w:val="24"/>
            <w:highlight w:val="white"/>
            <w:u w:val="single"/>
          </w:rPr>
          <w:t>https://doi.org/10.3390/jpm11020135</w:t>
        </w:r>
      </w:hyperlink>
      <w:r w:rsidRPr="00814614">
        <w:rPr>
          <w:rFonts w:eastAsia="Times New Roman"/>
          <w:color w:val="0D0D0D"/>
          <w:sz w:val="24"/>
          <w:szCs w:val="24"/>
          <w:highlight w:val="white"/>
        </w:rPr>
        <w:t xml:space="preserve">  </w:t>
      </w:r>
    </w:p>
    <w:p w14:paraId="08D11BA5" w14:textId="77777777" w:rsidR="007C0019" w:rsidRPr="00814614" w:rsidRDefault="002431C8" w:rsidP="00814614">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ind w:left="720" w:hanging="720"/>
        <w:jc w:val="both"/>
        <w:rPr>
          <w:rFonts w:eastAsia="Times New Roman"/>
          <w:color w:val="0D0D0D"/>
          <w:sz w:val="24"/>
          <w:szCs w:val="24"/>
          <w:highlight w:val="white"/>
        </w:rPr>
      </w:pPr>
      <w:r w:rsidRPr="00814614">
        <w:rPr>
          <w:rFonts w:eastAsia="Times New Roman"/>
          <w:color w:val="0D0D0D"/>
          <w:sz w:val="24"/>
          <w:szCs w:val="24"/>
          <w:highlight w:val="white"/>
        </w:rPr>
        <w:t xml:space="preserve">University of Leeds. (2025). </w:t>
      </w:r>
      <w:r w:rsidRPr="00814614">
        <w:rPr>
          <w:rFonts w:eastAsia="Times New Roman"/>
          <w:i/>
          <w:color w:val="0D0D0D"/>
          <w:sz w:val="24"/>
          <w:szCs w:val="24"/>
          <w:highlight w:val="white"/>
        </w:rPr>
        <w:t>Using AI to identify hidden heart condition | University of Leeds</w:t>
      </w:r>
      <w:r w:rsidRPr="00814614">
        <w:rPr>
          <w:rFonts w:eastAsia="Times New Roman"/>
          <w:color w:val="0D0D0D"/>
          <w:sz w:val="24"/>
          <w:szCs w:val="24"/>
          <w:highlight w:val="white"/>
        </w:rPr>
        <w:t xml:space="preserve">. Leeds.ac.uk. </w:t>
      </w:r>
      <w:hyperlink r:id="rId84">
        <w:r w:rsidRPr="00814614">
          <w:rPr>
            <w:rFonts w:eastAsia="Times New Roman"/>
            <w:color w:val="1155CC"/>
            <w:sz w:val="24"/>
            <w:szCs w:val="24"/>
            <w:highlight w:val="white"/>
            <w:u w:val="single"/>
          </w:rPr>
          <w:t>https://www.leeds.ac.uk/news-1/news/article/5715/using-ai-to-identify-hidden-heart-condition</w:t>
        </w:r>
      </w:hyperlink>
      <w:r w:rsidRPr="00814614">
        <w:rPr>
          <w:rFonts w:eastAsia="Times New Roman"/>
          <w:color w:val="0D0D0D"/>
          <w:sz w:val="24"/>
          <w:szCs w:val="24"/>
          <w:highlight w:val="white"/>
        </w:rPr>
        <w:t xml:space="preserve"> </w:t>
      </w:r>
    </w:p>
    <w:p w14:paraId="591E41D0" w14:textId="77777777" w:rsidR="007C0019" w:rsidRPr="00814614" w:rsidRDefault="002431C8" w:rsidP="00814614">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ind w:left="720" w:hanging="720"/>
        <w:jc w:val="both"/>
        <w:rPr>
          <w:rFonts w:eastAsia="Times New Roman"/>
          <w:color w:val="0D0D0D"/>
          <w:sz w:val="24"/>
          <w:szCs w:val="24"/>
          <w:highlight w:val="white"/>
        </w:rPr>
      </w:pPr>
      <w:proofErr w:type="spellStart"/>
      <w:r w:rsidRPr="00814614">
        <w:rPr>
          <w:rFonts w:eastAsia="Times New Roman"/>
          <w:color w:val="0D0D0D"/>
          <w:sz w:val="24"/>
          <w:szCs w:val="24"/>
          <w:highlight w:val="white"/>
        </w:rPr>
        <w:t>Vention</w:t>
      </w:r>
      <w:proofErr w:type="spellEnd"/>
      <w:r w:rsidRPr="00814614">
        <w:rPr>
          <w:rFonts w:eastAsia="Times New Roman"/>
          <w:color w:val="0D0D0D"/>
          <w:sz w:val="24"/>
          <w:szCs w:val="24"/>
          <w:highlight w:val="white"/>
        </w:rPr>
        <w:t xml:space="preserve">. (2024). </w:t>
      </w:r>
      <w:r w:rsidRPr="00814614">
        <w:rPr>
          <w:rFonts w:eastAsia="Times New Roman"/>
          <w:i/>
          <w:color w:val="0D0D0D"/>
          <w:sz w:val="24"/>
          <w:szCs w:val="24"/>
          <w:highlight w:val="white"/>
        </w:rPr>
        <w:t>AI in Healthcare 2024 Statistics: Market Size, Adoption, Impact</w:t>
      </w:r>
      <w:r w:rsidRPr="00814614">
        <w:rPr>
          <w:rFonts w:eastAsia="Times New Roman"/>
          <w:color w:val="0D0D0D"/>
          <w:sz w:val="24"/>
          <w:szCs w:val="24"/>
          <w:highlight w:val="white"/>
        </w:rPr>
        <w:t xml:space="preserve">. Ventionteams.com. </w:t>
      </w:r>
      <w:hyperlink r:id="rId85">
        <w:r w:rsidRPr="00814614">
          <w:rPr>
            <w:rFonts w:eastAsia="Times New Roman"/>
            <w:color w:val="1155CC"/>
            <w:sz w:val="24"/>
            <w:szCs w:val="24"/>
            <w:highlight w:val="white"/>
            <w:u w:val="single"/>
          </w:rPr>
          <w:t>https://ventionteams.com/healthtech/ai/statistics</w:t>
        </w:r>
      </w:hyperlink>
      <w:r w:rsidRPr="00814614">
        <w:rPr>
          <w:rFonts w:eastAsia="Times New Roman"/>
          <w:color w:val="0D0D0D"/>
          <w:sz w:val="24"/>
          <w:szCs w:val="24"/>
          <w:highlight w:val="white"/>
        </w:rPr>
        <w:t xml:space="preserve"> </w:t>
      </w:r>
    </w:p>
    <w:p w14:paraId="78CF9D3A" w14:textId="77777777" w:rsidR="007C0019" w:rsidRPr="00814614" w:rsidRDefault="002431C8" w:rsidP="00814614">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ind w:left="720" w:hanging="720"/>
        <w:jc w:val="both"/>
        <w:rPr>
          <w:rFonts w:eastAsia="Times New Roman"/>
          <w:color w:val="0D0D0D"/>
          <w:sz w:val="24"/>
          <w:szCs w:val="24"/>
          <w:highlight w:val="white"/>
        </w:rPr>
      </w:pPr>
      <w:r w:rsidRPr="00814614">
        <w:rPr>
          <w:rFonts w:eastAsia="Times New Roman"/>
          <w:color w:val="0D0D0D"/>
          <w:sz w:val="24"/>
          <w:szCs w:val="24"/>
          <w:highlight w:val="white"/>
        </w:rPr>
        <w:t xml:space="preserve">Vijayakumar, S., Lee, V. V., Leong, Q. Y., Hong, S. J., </w:t>
      </w:r>
      <w:proofErr w:type="spellStart"/>
      <w:r w:rsidRPr="00814614">
        <w:rPr>
          <w:rFonts w:eastAsia="Times New Roman"/>
          <w:color w:val="0D0D0D"/>
          <w:sz w:val="24"/>
          <w:szCs w:val="24"/>
          <w:highlight w:val="white"/>
        </w:rPr>
        <w:t>Blasiak</w:t>
      </w:r>
      <w:proofErr w:type="spellEnd"/>
      <w:r w:rsidRPr="00814614">
        <w:rPr>
          <w:rFonts w:eastAsia="Times New Roman"/>
          <w:color w:val="0D0D0D"/>
          <w:sz w:val="24"/>
          <w:szCs w:val="24"/>
          <w:highlight w:val="white"/>
        </w:rPr>
        <w:t xml:space="preserve">, A., &amp; Ho, D. (2023). Doctor perceptions towards AI in CDSS: A qualitative study of the CURATE.AI a personalised dose optimization platform (Preprint). </w:t>
      </w:r>
      <w:r w:rsidRPr="00814614">
        <w:rPr>
          <w:rFonts w:eastAsia="Times New Roman"/>
          <w:i/>
          <w:color w:val="0D0D0D"/>
          <w:sz w:val="24"/>
          <w:szCs w:val="24"/>
          <w:highlight w:val="white"/>
        </w:rPr>
        <w:t>JMIR Human Factors</w:t>
      </w:r>
      <w:r w:rsidRPr="00814614">
        <w:rPr>
          <w:rFonts w:eastAsia="Times New Roman"/>
          <w:color w:val="0D0D0D"/>
          <w:sz w:val="24"/>
          <w:szCs w:val="24"/>
          <w:highlight w:val="white"/>
        </w:rPr>
        <w:t xml:space="preserve">, </w:t>
      </w:r>
      <w:r w:rsidRPr="00814614">
        <w:rPr>
          <w:rFonts w:eastAsia="Times New Roman"/>
          <w:i/>
          <w:color w:val="0D0D0D"/>
          <w:sz w:val="24"/>
          <w:szCs w:val="24"/>
          <w:highlight w:val="white"/>
        </w:rPr>
        <w:t>10</w:t>
      </w:r>
      <w:r w:rsidRPr="00814614">
        <w:rPr>
          <w:rFonts w:eastAsia="Times New Roman"/>
          <w:color w:val="0D0D0D"/>
          <w:sz w:val="24"/>
          <w:szCs w:val="24"/>
          <w:highlight w:val="white"/>
        </w:rPr>
        <w:t xml:space="preserve">, e48476–e48476. </w:t>
      </w:r>
      <w:hyperlink r:id="rId86">
        <w:r w:rsidRPr="00814614">
          <w:rPr>
            <w:rFonts w:eastAsia="Times New Roman"/>
            <w:color w:val="1155CC"/>
            <w:sz w:val="24"/>
            <w:szCs w:val="24"/>
            <w:highlight w:val="white"/>
            <w:u w:val="single"/>
          </w:rPr>
          <w:t>https://doi.org/10.2196/48476</w:t>
        </w:r>
      </w:hyperlink>
      <w:r w:rsidRPr="00814614">
        <w:rPr>
          <w:rFonts w:eastAsia="Times New Roman"/>
          <w:color w:val="0D0D0D"/>
          <w:sz w:val="24"/>
          <w:szCs w:val="24"/>
          <w:highlight w:val="white"/>
        </w:rPr>
        <w:t xml:space="preserve"> </w:t>
      </w:r>
    </w:p>
    <w:p w14:paraId="4FCFC403" w14:textId="77777777" w:rsidR="007C0019" w:rsidRPr="00814614" w:rsidRDefault="002431C8" w:rsidP="00814614">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ind w:left="720" w:hanging="720"/>
        <w:jc w:val="both"/>
        <w:rPr>
          <w:rFonts w:eastAsia="Times New Roman"/>
          <w:color w:val="0D0D0D"/>
          <w:sz w:val="24"/>
          <w:szCs w:val="24"/>
          <w:highlight w:val="white"/>
        </w:rPr>
      </w:pPr>
      <w:r w:rsidRPr="00814614">
        <w:rPr>
          <w:rFonts w:eastAsia="Times New Roman"/>
          <w:color w:val="0D0D0D"/>
          <w:sz w:val="24"/>
          <w:szCs w:val="24"/>
          <w:highlight w:val="white"/>
        </w:rPr>
        <w:t xml:space="preserve">Vijayan, V., Connolly, J. P., Condell, J., McKelvey, N., &amp; Gardiner, P. (2021). Review of Wearable Devices and Data Collection Considerations for Connected Health. </w:t>
      </w:r>
      <w:r w:rsidRPr="00814614">
        <w:rPr>
          <w:rFonts w:eastAsia="Times New Roman"/>
          <w:i/>
          <w:color w:val="0D0D0D"/>
          <w:sz w:val="24"/>
          <w:szCs w:val="24"/>
          <w:highlight w:val="white"/>
        </w:rPr>
        <w:t>Sensors (Basel, Switzerland)</w:t>
      </w:r>
      <w:r w:rsidRPr="00814614">
        <w:rPr>
          <w:rFonts w:eastAsia="Times New Roman"/>
          <w:color w:val="0D0D0D"/>
          <w:sz w:val="24"/>
          <w:szCs w:val="24"/>
          <w:highlight w:val="white"/>
        </w:rPr>
        <w:t xml:space="preserve">, </w:t>
      </w:r>
      <w:r w:rsidRPr="00814614">
        <w:rPr>
          <w:rFonts w:eastAsia="Times New Roman"/>
          <w:i/>
          <w:color w:val="0D0D0D"/>
          <w:sz w:val="24"/>
          <w:szCs w:val="24"/>
          <w:highlight w:val="white"/>
        </w:rPr>
        <w:t>21</w:t>
      </w:r>
      <w:r w:rsidRPr="00814614">
        <w:rPr>
          <w:rFonts w:eastAsia="Times New Roman"/>
          <w:color w:val="0D0D0D"/>
          <w:sz w:val="24"/>
          <w:szCs w:val="24"/>
          <w:highlight w:val="white"/>
        </w:rPr>
        <w:t xml:space="preserve">(16), 5589. </w:t>
      </w:r>
      <w:hyperlink r:id="rId87">
        <w:r w:rsidRPr="00814614">
          <w:rPr>
            <w:rFonts w:eastAsia="Times New Roman"/>
            <w:color w:val="1155CC"/>
            <w:sz w:val="24"/>
            <w:szCs w:val="24"/>
            <w:highlight w:val="white"/>
            <w:u w:val="single"/>
          </w:rPr>
          <w:t>https://doi.org/10.3390/s21165589</w:t>
        </w:r>
      </w:hyperlink>
      <w:r w:rsidRPr="00814614">
        <w:rPr>
          <w:rFonts w:eastAsia="Times New Roman"/>
          <w:color w:val="0D0D0D"/>
          <w:sz w:val="24"/>
          <w:szCs w:val="24"/>
          <w:highlight w:val="white"/>
        </w:rPr>
        <w:t xml:space="preserve"> </w:t>
      </w:r>
    </w:p>
    <w:p w14:paraId="709F905D" w14:textId="77777777" w:rsidR="007C0019" w:rsidRPr="00814614" w:rsidRDefault="002431C8" w:rsidP="00814614">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ind w:left="720" w:hanging="720"/>
        <w:jc w:val="both"/>
        <w:rPr>
          <w:rFonts w:eastAsia="Times New Roman"/>
          <w:color w:val="0D0D0D"/>
          <w:sz w:val="24"/>
          <w:szCs w:val="24"/>
          <w:highlight w:val="white"/>
        </w:rPr>
      </w:pPr>
      <w:proofErr w:type="spellStart"/>
      <w:r w:rsidRPr="00814614">
        <w:rPr>
          <w:rFonts w:eastAsia="Times New Roman"/>
          <w:color w:val="0D0D0D"/>
          <w:sz w:val="24"/>
          <w:szCs w:val="24"/>
          <w:highlight w:val="white"/>
        </w:rPr>
        <w:t>Xie</w:t>
      </w:r>
      <w:proofErr w:type="spellEnd"/>
      <w:r w:rsidRPr="00814614">
        <w:rPr>
          <w:rFonts w:eastAsia="Times New Roman"/>
          <w:color w:val="0D0D0D"/>
          <w:sz w:val="24"/>
          <w:szCs w:val="24"/>
          <w:highlight w:val="white"/>
        </w:rPr>
        <w:t xml:space="preserve">, F., Yuan, H., Ning, Y., Ong, M. E. H., Feng, M., Hsu, W., Chakraborty, B., &amp; Liu, N. (2022). Deep learning for temporal data representation in electronic health records: A systematic review of challenges and methodologies. </w:t>
      </w:r>
      <w:r w:rsidRPr="00814614">
        <w:rPr>
          <w:rFonts w:eastAsia="Times New Roman"/>
          <w:i/>
          <w:color w:val="0D0D0D"/>
          <w:sz w:val="24"/>
          <w:szCs w:val="24"/>
          <w:highlight w:val="white"/>
        </w:rPr>
        <w:t>Journal of Biomedical Informatics</w:t>
      </w:r>
      <w:r w:rsidRPr="00814614">
        <w:rPr>
          <w:rFonts w:eastAsia="Times New Roman"/>
          <w:color w:val="0D0D0D"/>
          <w:sz w:val="24"/>
          <w:szCs w:val="24"/>
          <w:highlight w:val="white"/>
        </w:rPr>
        <w:t xml:space="preserve">, </w:t>
      </w:r>
      <w:r w:rsidRPr="00814614">
        <w:rPr>
          <w:rFonts w:eastAsia="Times New Roman"/>
          <w:i/>
          <w:color w:val="0D0D0D"/>
          <w:sz w:val="24"/>
          <w:szCs w:val="24"/>
          <w:highlight w:val="white"/>
        </w:rPr>
        <w:t>126</w:t>
      </w:r>
      <w:r w:rsidRPr="00814614">
        <w:rPr>
          <w:rFonts w:eastAsia="Times New Roman"/>
          <w:color w:val="0D0D0D"/>
          <w:sz w:val="24"/>
          <w:szCs w:val="24"/>
          <w:highlight w:val="white"/>
        </w:rPr>
        <w:t xml:space="preserve">, 103980. </w:t>
      </w:r>
      <w:hyperlink r:id="rId88">
        <w:r w:rsidRPr="00814614">
          <w:rPr>
            <w:rFonts w:eastAsia="Times New Roman"/>
            <w:color w:val="1155CC"/>
            <w:sz w:val="24"/>
            <w:szCs w:val="24"/>
            <w:highlight w:val="white"/>
            <w:u w:val="single"/>
          </w:rPr>
          <w:t>https://doi.org/10.1016/j.jbi.2021.103980</w:t>
        </w:r>
      </w:hyperlink>
      <w:r w:rsidRPr="00814614">
        <w:rPr>
          <w:rFonts w:eastAsia="Times New Roman"/>
          <w:color w:val="0D0D0D"/>
          <w:sz w:val="24"/>
          <w:szCs w:val="24"/>
          <w:highlight w:val="white"/>
        </w:rPr>
        <w:t xml:space="preserve"> </w:t>
      </w:r>
    </w:p>
    <w:p w14:paraId="3472217E" w14:textId="77777777" w:rsidR="007C0019" w:rsidRPr="00814614" w:rsidRDefault="002431C8" w:rsidP="00814614">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ind w:left="720" w:hanging="720"/>
        <w:jc w:val="both"/>
        <w:rPr>
          <w:rFonts w:eastAsia="Times New Roman"/>
          <w:color w:val="0D0D0D"/>
          <w:sz w:val="24"/>
          <w:szCs w:val="24"/>
          <w:highlight w:val="white"/>
        </w:rPr>
      </w:pPr>
      <w:r w:rsidRPr="00814614">
        <w:rPr>
          <w:rFonts w:eastAsia="Times New Roman"/>
          <w:color w:val="0D0D0D"/>
          <w:sz w:val="24"/>
          <w:szCs w:val="24"/>
          <w:highlight w:val="white"/>
        </w:rPr>
        <w:t xml:space="preserve">Xu, Y., Khan, T. M., Song, Y., &amp; </w:t>
      </w:r>
      <w:proofErr w:type="spellStart"/>
      <w:r w:rsidRPr="00814614">
        <w:rPr>
          <w:rFonts w:eastAsia="Times New Roman"/>
          <w:color w:val="0D0D0D"/>
          <w:sz w:val="24"/>
          <w:szCs w:val="24"/>
          <w:highlight w:val="white"/>
        </w:rPr>
        <w:t>Meijering</w:t>
      </w:r>
      <w:proofErr w:type="spellEnd"/>
      <w:r w:rsidRPr="00814614">
        <w:rPr>
          <w:rFonts w:eastAsia="Times New Roman"/>
          <w:color w:val="0D0D0D"/>
          <w:sz w:val="24"/>
          <w:szCs w:val="24"/>
          <w:highlight w:val="white"/>
        </w:rPr>
        <w:t xml:space="preserve">, E. (2025). Edge deep learning in computer vision and medical diagnostics: a comprehensive survey. </w:t>
      </w:r>
      <w:r w:rsidRPr="00814614">
        <w:rPr>
          <w:rFonts w:eastAsia="Times New Roman"/>
          <w:i/>
          <w:color w:val="0D0D0D"/>
          <w:sz w:val="24"/>
          <w:szCs w:val="24"/>
          <w:highlight w:val="white"/>
        </w:rPr>
        <w:t>Artificial Intelligence Review</w:t>
      </w:r>
      <w:r w:rsidRPr="00814614">
        <w:rPr>
          <w:rFonts w:eastAsia="Times New Roman"/>
          <w:color w:val="0D0D0D"/>
          <w:sz w:val="24"/>
          <w:szCs w:val="24"/>
          <w:highlight w:val="white"/>
        </w:rPr>
        <w:t xml:space="preserve">, </w:t>
      </w:r>
      <w:r w:rsidRPr="00814614">
        <w:rPr>
          <w:rFonts w:eastAsia="Times New Roman"/>
          <w:i/>
          <w:color w:val="0D0D0D"/>
          <w:sz w:val="24"/>
          <w:szCs w:val="24"/>
          <w:highlight w:val="white"/>
        </w:rPr>
        <w:t>58</w:t>
      </w:r>
      <w:r w:rsidRPr="00814614">
        <w:rPr>
          <w:rFonts w:eastAsia="Times New Roman"/>
          <w:color w:val="0D0D0D"/>
          <w:sz w:val="24"/>
          <w:szCs w:val="24"/>
          <w:highlight w:val="white"/>
        </w:rPr>
        <w:t xml:space="preserve">(3). </w:t>
      </w:r>
      <w:hyperlink r:id="rId89">
        <w:r w:rsidRPr="00814614">
          <w:rPr>
            <w:rFonts w:eastAsia="Times New Roman"/>
            <w:color w:val="1155CC"/>
            <w:sz w:val="24"/>
            <w:szCs w:val="24"/>
            <w:highlight w:val="white"/>
            <w:u w:val="single"/>
          </w:rPr>
          <w:t>https://doi.org/10.1007/s10462-024-11033-5</w:t>
        </w:r>
      </w:hyperlink>
      <w:r w:rsidRPr="00814614">
        <w:rPr>
          <w:rFonts w:eastAsia="Times New Roman"/>
          <w:color w:val="0D0D0D"/>
          <w:sz w:val="24"/>
          <w:szCs w:val="24"/>
          <w:highlight w:val="white"/>
        </w:rPr>
        <w:t xml:space="preserve"> </w:t>
      </w:r>
    </w:p>
    <w:p w14:paraId="197BB338" w14:textId="77777777" w:rsidR="007C0019" w:rsidRPr="00814614" w:rsidRDefault="002431C8" w:rsidP="00814614">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ind w:left="720" w:hanging="720"/>
        <w:jc w:val="both"/>
        <w:rPr>
          <w:rFonts w:eastAsia="Times New Roman"/>
          <w:color w:val="0D0D0D"/>
          <w:sz w:val="24"/>
          <w:szCs w:val="24"/>
          <w:highlight w:val="white"/>
        </w:rPr>
      </w:pPr>
      <w:r w:rsidRPr="00814614">
        <w:rPr>
          <w:rFonts w:eastAsia="Times New Roman"/>
          <w:color w:val="0D0D0D"/>
          <w:sz w:val="24"/>
          <w:szCs w:val="24"/>
          <w:highlight w:val="white"/>
        </w:rPr>
        <w:t xml:space="preserve">Zhang, Y., </w:t>
      </w:r>
      <w:proofErr w:type="spellStart"/>
      <w:r w:rsidRPr="00814614">
        <w:rPr>
          <w:rFonts w:eastAsia="Times New Roman"/>
          <w:color w:val="0D0D0D"/>
          <w:sz w:val="24"/>
          <w:szCs w:val="24"/>
          <w:highlight w:val="white"/>
        </w:rPr>
        <w:t>Golbus</w:t>
      </w:r>
      <w:proofErr w:type="spellEnd"/>
      <w:r w:rsidRPr="00814614">
        <w:rPr>
          <w:rFonts w:eastAsia="Times New Roman"/>
          <w:color w:val="0D0D0D"/>
          <w:sz w:val="24"/>
          <w:szCs w:val="24"/>
          <w:highlight w:val="white"/>
        </w:rPr>
        <w:t xml:space="preserve">, J. R., </w:t>
      </w:r>
      <w:proofErr w:type="spellStart"/>
      <w:r w:rsidRPr="00814614">
        <w:rPr>
          <w:rFonts w:eastAsia="Times New Roman"/>
          <w:color w:val="0D0D0D"/>
          <w:sz w:val="24"/>
          <w:szCs w:val="24"/>
          <w:highlight w:val="white"/>
        </w:rPr>
        <w:t>Wittrup</w:t>
      </w:r>
      <w:proofErr w:type="spellEnd"/>
      <w:r w:rsidRPr="00814614">
        <w:rPr>
          <w:rFonts w:eastAsia="Times New Roman"/>
          <w:color w:val="0D0D0D"/>
          <w:sz w:val="24"/>
          <w:szCs w:val="24"/>
          <w:highlight w:val="white"/>
        </w:rPr>
        <w:t xml:space="preserve">, E., Aaronson, K. D., &amp; </w:t>
      </w:r>
      <w:proofErr w:type="spellStart"/>
      <w:r w:rsidRPr="00814614">
        <w:rPr>
          <w:rFonts w:eastAsia="Times New Roman"/>
          <w:color w:val="0D0D0D"/>
          <w:sz w:val="24"/>
          <w:szCs w:val="24"/>
          <w:highlight w:val="white"/>
        </w:rPr>
        <w:t>Najarian</w:t>
      </w:r>
      <w:proofErr w:type="spellEnd"/>
      <w:r w:rsidRPr="00814614">
        <w:rPr>
          <w:rFonts w:eastAsia="Times New Roman"/>
          <w:color w:val="0D0D0D"/>
          <w:sz w:val="24"/>
          <w:szCs w:val="24"/>
          <w:highlight w:val="white"/>
        </w:rPr>
        <w:t xml:space="preserve">, K. (2024). Enhancing heart failure treatment decisions: interpretable machine learning models for </w:t>
      </w:r>
      <w:r w:rsidRPr="00814614">
        <w:rPr>
          <w:rFonts w:eastAsia="Times New Roman"/>
          <w:color w:val="0D0D0D"/>
          <w:sz w:val="24"/>
          <w:szCs w:val="24"/>
          <w:highlight w:val="white"/>
        </w:rPr>
        <w:lastRenderedPageBreak/>
        <w:t xml:space="preserve">advanced therapy eligibility prediction using EHR data. </w:t>
      </w:r>
      <w:r w:rsidRPr="00814614">
        <w:rPr>
          <w:rFonts w:eastAsia="Times New Roman"/>
          <w:i/>
          <w:color w:val="0D0D0D"/>
          <w:sz w:val="24"/>
          <w:szCs w:val="24"/>
          <w:highlight w:val="white"/>
        </w:rPr>
        <w:t>BMC Medical Informatics and Decision Making</w:t>
      </w:r>
      <w:r w:rsidRPr="00814614">
        <w:rPr>
          <w:rFonts w:eastAsia="Times New Roman"/>
          <w:color w:val="0D0D0D"/>
          <w:sz w:val="24"/>
          <w:szCs w:val="24"/>
          <w:highlight w:val="white"/>
        </w:rPr>
        <w:t xml:space="preserve">, </w:t>
      </w:r>
      <w:r w:rsidRPr="00814614">
        <w:rPr>
          <w:rFonts w:eastAsia="Times New Roman"/>
          <w:i/>
          <w:color w:val="0D0D0D"/>
          <w:sz w:val="24"/>
          <w:szCs w:val="24"/>
          <w:highlight w:val="white"/>
        </w:rPr>
        <w:t>24</w:t>
      </w:r>
      <w:r w:rsidRPr="00814614">
        <w:rPr>
          <w:rFonts w:eastAsia="Times New Roman"/>
          <w:color w:val="0D0D0D"/>
          <w:sz w:val="24"/>
          <w:szCs w:val="24"/>
          <w:highlight w:val="white"/>
        </w:rPr>
        <w:t xml:space="preserve">(1). </w:t>
      </w:r>
      <w:hyperlink r:id="rId90">
        <w:r w:rsidRPr="00814614">
          <w:rPr>
            <w:rFonts w:eastAsia="Times New Roman"/>
            <w:color w:val="1155CC"/>
            <w:sz w:val="24"/>
            <w:szCs w:val="24"/>
            <w:highlight w:val="white"/>
            <w:u w:val="single"/>
          </w:rPr>
          <w:t>https://doi.org/10.1186/s12911-024-02453-y</w:t>
        </w:r>
      </w:hyperlink>
      <w:r w:rsidRPr="00814614">
        <w:rPr>
          <w:rFonts w:eastAsia="Times New Roman"/>
          <w:color w:val="0D0D0D"/>
          <w:sz w:val="24"/>
          <w:szCs w:val="24"/>
          <w:highlight w:val="white"/>
        </w:rPr>
        <w:t xml:space="preserve"> </w:t>
      </w:r>
    </w:p>
    <w:p w14:paraId="39973A05" w14:textId="77777777" w:rsidR="007C0019" w:rsidRPr="00814614" w:rsidRDefault="002431C8" w:rsidP="00814614">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ind w:left="720" w:hanging="720"/>
        <w:jc w:val="both"/>
        <w:rPr>
          <w:rFonts w:eastAsia="Times New Roman"/>
          <w:color w:val="0D0D0D"/>
          <w:sz w:val="24"/>
          <w:szCs w:val="24"/>
          <w:highlight w:val="white"/>
        </w:rPr>
      </w:pPr>
      <w:proofErr w:type="spellStart"/>
      <w:r w:rsidRPr="00814614">
        <w:rPr>
          <w:rFonts w:eastAsia="Times New Roman"/>
          <w:color w:val="0D0D0D"/>
          <w:sz w:val="24"/>
          <w:szCs w:val="24"/>
          <w:highlight w:val="white"/>
        </w:rPr>
        <w:t>Zhichao</w:t>
      </w:r>
      <w:proofErr w:type="spellEnd"/>
      <w:r w:rsidRPr="00814614">
        <w:rPr>
          <w:rFonts w:eastAsia="Times New Roman"/>
          <w:color w:val="0D0D0D"/>
          <w:sz w:val="24"/>
          <w:szCs w:val="24"/>
          <w:highlight w:val="white"/>
        </w:rPr>
        <w:t xml:space="preserve">, Y. (2025). </w:t>
      </w:r>
      <w:r w:rsidRPr="00814614">
        <w:rPr>
          <w:rFonts w:eastAsia="Times New Roman"/>
          <w:i/>
          <w:color w:val="0D0D0D"/>
          <w:sz w:val="24"/>
          <w:szCs w:val="24"/>
          <w:highlight w:val="white"/>
        </w:rPr>
        <w:t>ADVANCING PRECISION HEALTH WITH CLINICAL FOUNDATION MODELS</w:t>
      </w:r>
      <w:r w:rsidRPr="00814614">
        <w:rPr>
          <w:rFonts w:eastAsia="Times New Roman"/>
          <w:color w:val="0D0D0D"/>
          <w:sz w:val="24"/>
          <w:szCs w:val="24"/>
          <w:highlight w:val="white"/>
        </w:rPr>
        <w:t xml:space="preserve">. Umass.edu. </w:t>
      </w:r>
      <w:hyperlink r:id="rId91">
        <w:r w:rsidRPr="00814614">
          <w:rPr>
            <w:rFonts w:eastAsia="Times New Roman"/>
            <w:color w:val="1155CC"/>
            <w:sz w:val="24"/>
            <w:szCs w:val="24"/>
            <w:highlight w:val="white"/>
            <w:u w:val="single"/>
          </w:rPr>
          <w:t>https://scholarworks.umass.edu/entities/publication/f566c529-a20a-4060-aadc-2420eeab9d76</w:t>
        </w:r>
      </w:hyperlink>
      <w:r w:rsidRPr="00814614">
        <w:rPr>
          <w:rFonts w:eastAsia="Times New Roman"/>
          <w:color w:val="0D0D0D"/>
          <w:sz w:val="24"/>
          <w:szCs w:val="24"/>
          <w:highlight w:val="white"/>
        </w:rPr>
        <w:t xml:space="preserve"> </w:t>
      </w:r>
    </w:p>
    <w:p w14:paraId="7999A103" w14:textId="77777777" w:rsidR="007C0019" w:rsidRPr="00814614" w:rsidRDefault="002431C8" w:rsidP="00814614">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ind w:left="720" w:hanging="720"/>
        <w:jc w:val="both"/>
        <w:rPr>
          <w:rFonts w:eastAsia="Times New Roman"/>
          <w:color w:val="0D0D0D"/>
          <w:sz w:val="24"/>
          <w:szCs w:val="24"/>
          <w:highlight w:val="white"/>
        </w:rPr>
      </w:pPr>
      <w:proofErr w:type="spellStart"/>
      <w:r w:rsidRPr="00814614">
        <w:rPr>
          <w:rFonts w:eastAsia="Times New Roman"/>
          <w:color w:val="0D0D0D"/>
          <w:sz w:val="24"/>
          <w:szCs w:val="24"/>
          <w:highlight w:val="white"/>
        </w:rPr>
        <w:t>Zilker</w:t>
      </w:r>
      <w:proofErr w:type="spellEnd"/>
      <w:r w:rsidRPr="00814614">
        <w:rPr>
          <w:rFonts w:eastAsia="Times New Roman"/>
          <w:color w:val="0D0D0D"/>
          <w:sz w:val="24"/>
          <w:szCs w:val="24"/>
          <w:highlight w:val="white"/>
        </w:rPr>
        <w:t xml:space="preserve">, S., </w:t>
      </w:r>
      <w:proofErr w:type="spellStart"/>
      <w:r w:rsidRPr="00814614">
        <w:rPr>
          <w:rFonts w:eastAsia="Times New Roman"/>
          <w:color w:val="0D0D0D"/>
          <w:sz w:val="24"/>
          <w:szCs w:val="24"/>
          <w:highlight w:val="white"/>
        </w:rPr>
        <w:t>Weinzierl</w:t>
      </w:r>
      <w:proofErr w:type="spellEnd"/>
      <w:r w:rsidRPr="00814614">
        <w:rPr>
          <w:rFonts w:eastAsia="Times New Roman"/>
          <w:color w:val="0D0D0D"/>
          <w:sz w:val="24"/>
          <w:szCs w:val="24"/>
          <w:highlight w:val="white"/>
        </w:rPr>
        <w:t xml:space="preserve">, S., Kraus, M., </w:t>
      </w:r>
      <w:proofErr w:type="spellStart"/>
      <w:r w:rsidRPr="00814614">
        <w:rPr>
          <w:rFonts w:eastAsia="Times New Roman"/>
          <w:color w:val="0D0D0D"/>
          <w:sz w:val="24"/>
          <w:szCs w:val="24"/>
          <w:highlight w:val="white"/>
        </w:rPr>
        <w:t>Zschech</w:t>
      </w:r>
      <w:proofErr w:type="spellEnd"/>
      <w:r w:rsidRPr="00814614">
        <w:rPr>
          <w:rFonts w:eastAsia="Times New Roman"/>
          <w:color w:val="0D0D0D"/>
          <w:sz w:val="24"/>
          <w:szCs w:val="24"/>
          <w:highlight w:val="white"/>
        </w:rPr>
        <w:t xml:space="preserve">, P., &amp; Matzner, M. (2024). </w:t>
      </w:r>
      <w:r w:rsidRPr="00814614">
        <w:rPr>
          <w:rFonts w:eastAsia="Times New Roman"/>
          <w:i/>
          <w:color w:val="0D0D0D"/>
          <w:sz w:val="24"/>
          <w:szCs w:val="24"/>
          <w:highlight w:val="white"/>
        </w:rPr>
        <w:t>A machine learning framework for interpretable predictions in patient pathways: The case of predicting ICU admission for patients with symptoms of sepsis</w:t>
      </w:r>
      <w:r w:rsidRPr="00814614">
        <w:rPr>
          <w:rFonts w:eastAsia="Times New Roman"/>
          <w:color w:val="0D0D0D"/>
          <w:sz w:val="24"/>
          <w:szCs w:val="24"/>
          <w:highlight w:val="white"/>
        </w:rPr>
        <w:t xml:space="preserve">. ArXiv.org. </w:t>
      </w:r>
      <w:hyperlink r:id="rId92">
        <w:r w:rsidRPr="00814614">
          <w:rPr>
            <w:rFonts w:eastAsia="Times New Roman"/>
            <w:color w:val="1155CC"/>
            <w:sz w:val="24"/>
            <w:szCs w:val="24"/>
            <w:highlight w:val="white"/>
            <w:u w:val="single"/>
          </w:rPr>
          <w:t>https://arxiv.org/abs/2405.13187</w:t>
        </w:r>
      </w:hyperlink>
      <w:r w:rsidRPr="00814614">
        <w:rPr>
          <w:rFonts w:eastAsia="Times New Roman"/>
          <w:color w:val="0D0D0D"/>
          <w:sz w:val="24"/>
          <w:szCs w:val="24"/>
          <w:highlight w:val="white"/>
        </w:rPr>
        <w:t xml:space="preserve"> </w:t>
      </w:r>
    </w:p>
    <w:p w14:paraId="15C2F012" w14:textId="77777777" w:rsidR="007C0019" w:rsidRPr="00DC2801" w:rsidRDefault="007C0019">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300"/>
        <w:jc w:val="both"/>
        <w:rPr>
          <w:rFonts w:eastAsia="Times New Roman"/>
          <w:color w:val="0D0D0D"/>
          <w:sz w:val="24"/>
          <w:szCs w:val="24"/>
          <w:highlight w:val="white"/>
        </w:rPr>
      </w:pPr>
    </w:p>
    <w:p w14:paraId="72809F4E" w14:textId="77777777" w:rsidR="007C0019" w:rsidRPr="00DC2801" w:rsidRDefault="007C0019">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300"/>
        <w:jc w:val="both"/>
        <w:rPr>
          <w:rFonts w:eastAsia="Times New Roman"/>
          <w:color w:val="0D0D0D"/>
          <w:sz w:val="24"/>
          <w:szCs w:val="24"/>
          <w:highlight w:val="white"/>
        </w:rPr>
      </w:pPr>
    </w:p>
    <w:p w14:paraId="4B6C5917" w14:textId="77777777" w:rsidR="007C0019" w:rsidRPr="00DC2801" w:rsidRDefault="007C0019">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300"/>
        <w:jc w:val="both"/>
        <w:rPr>
          <w:rFonts w:eastAsia="Times New Roman"/>
          <w:color w:val="0D0D0D"/>
          <w:sz w:val="24"/>
          <w:szCs w:val="24"/>
          <w:highlight w:val="white"/>
        </w:rPr>
      </w:pPr>
    </w:p>
    <w:p w14:paraId="16A2949C" w14:textId="77777777" w:rsidR="007C0019" w:rsidRPr="00DC2801" w:rsidRDefault="007C0019">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300"/>
        <w:jc w:val="both"/>
        <w:rPr>
          <w:rFonts w:eastAsia="Times New Roman"/>
          <w:color w:val="0D0D0D"/>
          <w:sz w:val="24"/>
          <w:szCs w:val="24"/>
          <w:highlight w:val="white"/>
        </w:rPr>
      </w:pPr>
    </w:p>
    <w:p w14:paraId="762BE28F" w14:textId="77777777" w:rsidR="007C0019" w:rsidRPr="00DC2801" w:rsidRDefault="007C0019">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300"/>
        <w:jc w:val="both"/>
        <w:rPr>
          <w:rFonts w:eastAsia="Times New Roman"/>
          <w:color w:val="0D0D0D"/>
          <w:sz w:val="24"/>
          <w:szCs w:val="24"/>
          <w:highlight w:val="white"/>
        </w:rPr>
      </w:pPr>
    </w:p>
    <w:p w14:paraId="0C9F8981" w14:textId="77777777" w:rsidR="007C0019" w:rsidRPr="00DC2801" w:rsidRDefault="007C0019">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300"/>
        <w:jc w:val="both"/>
        <w:rPr>
          <w:rFonts w:eastAsia="Times New Roman"/>
          <w:color w:val="0D0D0D"/>
          <w:sz w:val="24"/>
          <w:szCs w:val="24"/>
          <w:highlight w:val="white"/>
        </w:rPr>
      </w:pPr>
    </w:p>
    <w:p w14:paraId="5F6ACF96" w14:textId="77777777" w:rsidR="007C0019" w:rsidRPr="00DC2801" w:rsidRDefault="007C0019">
      <w:pPr>
        <w:rPr>
          <w:sz w:val="24"/>
          <w:szCs w:val="24"/>
        </w:rPr>
      </w:pPr>
    </w:p>
    <w:p w14:paraId="1FAA9066" w14:textId="77777777" w:rsidR="007C0019" w:rsidRPr="00DC2801" w:rsidRDefault="007C0019">
      <w:pPr>
        <w:rPr>
          <w:sz w:val="24"/>
          <w:szCs w:val="24"/>
        </w:rPr>
      </w:pPr>
    </w:p>
    <w:p w14:paraId="6D7269E6" w14:textId="77777777" w:rsidR="007C0019" w:rsidRPr="00DC2801" w:rsidRDefault="007C0019">
      <w:pPr>
        <w:rPr>
          <w:sz w:val="24"/>
          <w:szCs w:val="24"/>
        </w:rPr>
      </w:pPr>
    </w:p>
    <w:p w14:paraId="59559C62" w14:textId="77777777" w:rsidR="007C0019" w:rsidRPr="00DC2801" w:rsidRDefault="007C0019">
      <w:pPr>
        <w:rPr>
          <w:sz w:val="24"/>
          <w:szCs w:val="24"/>
        </w:rPr>
      </w:pPr>
    </w:p>
    <w:p w14:paraId="445D30F2" w14:textId="77777777" w:rsidR="007C0019" w:rsidRPr="00DC2801" w:rsidRDefault="007C0019">
      <w:pPr>
        <w:rPr>
          <w:sz w:val="24"/>
          <w:szCs w:val="24"/>
        </w:rPr>
      </w:pPr>
    </w:p>
    <w:p w14:paraId="462B897B" w14:textId="77777777" w:rsidR="007C0019" w:rsidRPr="00DC2801" w:rsidRDefault="007C0019">
      <w:pPr>
        <w:rPr>
          <w:sz w:val="24"/>
          <w:szCs w:val="24"/>
        </w:rPr>
      </w:pPr>
    </w:p>
    <w:p w14:paraId="0F461E29" w14:textId="77777777" w:rsidR="007C0019" w:rsidRPr="00DC2801" w:rsidRDefault="007C0019">
      <w:pPr>
        <w:rPr>
          <w:sz w:val="24"/>
          <w:szCs w:val="24"/>
        </w:rPr>
      </w:pPr>
    </w:p>
    <w:p w14:paraId="0FFFC2A5" w14:textId="77777777" w:rsidR="007C0019" w:rsidRPr="00DC2801" w:rsidRDefault="007C0019">
      <w:pPr>
        <w:rPr>
          <w:sz w:val="24"/>
          <w:szCs w:val="24"/>
        </w:rPr>
      </w:pPr>
    </w:p>
    <w:p w14:paraId="61DAECCF" w14:textId="77777777" w:rsidR="007C0019" w:rsidRPr="00DC2801" w:rsidRDefault="007C0019">
      <w:pPr>
        <w:rPr>
          <w:sz w:val="24"/>
          <w:szCs w:val="24"/>
        </w:rPr>
      </w:pPr>
    </w:p>
    <w:p w14:paraId="26BBBC3C" w14:textId="77777777" w:rsidR="007C0019" w:rsidRPr="00DC2801" w:rsidRDefault="007C0019">
      <w:pPr>
        <w:rPr>
          <w:sz w:val="24"/>
          <w:szCs w:val="24"/>
        </w:rPr>
      </w:pPr>
    </w:p>
    <w:p w14:paraId="0B310704" w14:textId="77777777" w:rsidR="007C0019" w:rsidRPr="00DC2801" w:rsidRDefault="007C0019">
      <w:pPr>
        <w:rPr>
          <w:sz w:val="24"/>
          <w:szCs w:val="24"/>
        </w:rPr>
      </w:pPr>
    </w:p>
    <w:p w14:paraId="72E6E749" w14:textId="77777777" w:rsidR="007C0019" w:rsidRPr="00DC2801" w:rsidRDefault="007C0019">
      <w:pPr>
        <w:rPr>
          <w:sz w:val="24"/>
          <w:szCs w:val="24"/>
        </w:rPr>
      </w:pPr>
    </w:p>
    <w:p w14:paraId="1F43DCA0" w14:textId="77777777" w:rsidR="007C0019" w:rsidRPr="00DC2801" w:rsidRDefault="007C0019">
      <w:pPr>
        <w:rPr>
          <w:sz w:val="24"/>
          <w:szCs w:val="24"/>
        </w:rPr>
      </w:pPr>
    </w:p>
    <w:p w14:paraId="09739868" w14:textId="77777777" w:rsidR="007C0019" w:rsidRPr="00DC2801" w:rsidRDefault="007C0019">
      <w:pPr>
        <w:rPr>
          <w:sz w:val="24"/>
          <w:szCs w:val="24"/>
        </w:rPr>
      </w:pPr>
    </w:p>
    <w:p w14:paraId="32AA7CB0" w14:textId="77777777" w:rsidR="007C0019" w:rsidRPr="00DC2801" w:rsidRDefault="007C0019">
      <w:pPr>
        <w:rPr>
          <w:sz w:val="24"/>
          <w:szCs w:val="24"/>
        </w:rPr>
      </w:pPr>
    </w:p>
    <w:p w14:paraId="517E3A89" w14:textId="77777777" w:rsidR="007C0019" w:rsidRPr="00DC2801" w:rsidRDefault="007C0019">
      <w:pPr>
        <w:rPr>
          <w:sz w:val="24"/>
          <w:szCs w:val="24"/>
        </w:rPr>
      </w:pPr>
    </w:p>
    <w:p w14:paraId="7298885C" w14:textId="77777777" w:rsidR="007C0019" w:rsidRPr="00DC2801" w:rsidRDefault="007C0019">
      <w:pPr>
        <w:rPr>
          <w:sz w:val="24"/>
          <w:szCs w:val="24"/>
        </w:rPr>
      </w:pPr>
    </w:p>
    <w:p w14:paraId="60B43585" w14:textId="77777777" w:rsidR="007C0019" w:rsidRPr="00DC2801" w:rsidRDefault="007C0019">
      <w:pPr>
        <w:rPr>
          <w:sz w:val="24"/>
          <w:szCs w:val="24"/>
        </w:rPr>
      </w:pPr>
    </w:p>
    <w:p w14:paraId="7C761225" w14:textId="77777777" w:rsidR="007C0019" w:rsidRPr="00DC2801" w:rsidRDefault="007C0019">
      <w:pPr>
        <w:rPr>
          <w:sz w:val="24"/>
          <w:szCs w:val="24"/>
        </w:rPr>
      </w:pPr>
    </w:p>
    <w:p w14:paraId="58A305AF" w14:textId="77777777" w:rsidR="007C0019" w:rsidRPr="00DC2801" w:rsidRDefault="007C0019">
      <w:pPr>
        <w:rPr>
          <w:sz w:val="24"/>
          <w:szCs w:val="24"/>
        </w:rPr>
      </w:pPr>
    </w:p>
    <w:p w14:paraId="011DE850" w14:textId="77777777" w:rsidR="007C0019" w:rsidRPr="00DC2801" w:rsidRDefault="007C0019">
      <w:pPr>
        <w:rPr>
          <w:sz w:val="24"/>
          <w:szCs w:val="24"/>
        </w:rPr>
      </w:pPr>
    </w:p>
    <w:p w14:paraId="73660174" w14:textId="77777777" w:rsidR="007C0019" w:rsidRPr="00DC2801" w:rsidRDefault="007C0019">
      <w:pPr>
        <w:rPr>
          <w:sz w:val="24"/>
          <w:szCs w:val="24"/>
        </w:rPr>
      </w:pPr>
    </w:p>
    <w:p w14:paraId="2B52A86B" w14:textId="77777777" w:rsidR="007C0019" w:rsidRPr="00DC2801" w:rsidRDefault="007C0019">
      <w:pPr>
        <w:rPr>
          <w:sz w:val="24"/>
          <w:szCs w:val="24"/>
        </w:rPr>
      </w:pPr>
    </w:p>
    <w:p w14:paraId="1D13D7D5" w14:textId="77777777" w:rsidR="007C0019" w:rsidRPr="00DC2801" w:rsidRDefault="007C0019">
      <w:pPr>
        <w:spacing w:before="240" w:after="240"/>
        <w:rPr>
          <w:sz w:val="24"/>
          <w:szCs w:val="24"/>
        </w:rPr>
      </w:pPr>
    </w:p>
    <w:p w14:paraId="1D4BBA62" w14:textId="77777777" w:rsidR="007C0019" w:rsidRPr="00DC2801" w:rsidRDefault="007C0019">
      <w:pPr>
        <w:spacing w:before="240" w:after="240"/>
        <w:rPr>
          <w:sz w:val="24"/>
          <w:szCs w:val="24"/>
        </w:rPr>
      </w:pPr>
    </w:p>
    <w:p w14:paraId="7D39F752" w14:textId="77777777" w:rsidR="007C0019" w:rsidRPr="00DC2801" w:rsidRDefault="007C0019">
      <w:pPr>
        <w:spacing w:before="240" w:after="240"/>
        <w:rPr>
          <w:sz w:val="24"/>
          <w:szCs w:val="24"/>
        </w:rPr>
      </w:pPr>
    </w:p>
    <w:p w14:paraId="33D20E0F" w14:textId="77777777" w:rsidR="007C0019" w:rsidRPr="00DC2801" w:rsidRDefault="007C0019">
      <w:pPr>
        <w:spacing w:before="240" w:after="240"/>
        <w:rPr>
          <w:sz w:val="24"/>
          <w:szCs w:val="24"/>
        </w:rPr>
      </w:pPr>
    </w:p>
    <w:p w14:paraId="1C72264D" w14:textId="77777777" w:rsidR="007C0019" w:rsidRPr="00DC2801" w:rsidRDefault="007C0019">
      <w:pPr>
        <w:rPr>
          <w:sz w:val="24"/>
          <w:szCs w:val="24"/>
        </w:rPr>
      </w:pPr>
    </w:p>
    <w:sectPr w:rsidR="007C0019" w:rsidRPr="00DC2801">
      <w:headerReference w:type="even" r:id="rId93"/>
      <w:headerReference w:type="default" r:id="rId94"/>
      <w:footerReference w:type="even" r:id="rId95"/>
      <w:footerReference w:type="default" r:id="rId96"/>
      <w:headerReference w:type="first" r:id="rId97"/>
      <w:footerReference w:type="first" r:id="rId9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CC9831" w14:textId="77777777" w:rsidR="00131E8F" w:rsidRDefault="00131E8F" w:rsidP="00B7104F">
      <w:pPr>
        <w:spacing w:line="240" w:lineRule="auto"/>
      </w:pPr>
      <w:r>
        <w:separator/>
      </w:r>
    </w:p>
  </w:endnote>
  <w:endnote w:type="continuationSeparator" w:id="0">
    <w:p w14:paraId="7B4E1430" w14:textId="77777777" w:rsidR="00131E8F" w:rsidRDefault="00131E8F" w:rsidP="00B7104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Roboto">
    <w:charset w:val="00"/>
    <w:family w:val="auto"/>
    <w:pitch w:val="variable"/>
    <w:sig w:usb0="E0000AFF" w:usb1="5000217F" w:usb2="00000021" w:usb3="00000000" w:csb0="0000019F" w:csb1="00000000"/>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0FF30A" w14:textId="77777777" w:rsidR="00B7104F" w:rsidRDefault="00B7104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09BFA1" w14:textId="77777777" w:rsidR="00B7104F" w:rsidRDefault="00B7104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3E00BA" w14:textId="77777777" w:rsidR="00B7104F" w:rsidRDefault="00B710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72573E" w14:textId="77777777" w:rsidR="00131E8F" w:rsidRDefault="00131E8F" w:rsidP="00B7104F">
      <w:pPr>
        <w:spacing w:line="240" w:lineRule="auto"/>
      </w:pPr>
      <w:r>
        <w:separator/>
      </w:r>
    </w:p>
  </w:footnote>
  <w:footnote w:type="continuationSeparator" w:id="0">
    <w:p w14:paraId="4EB9A6EE" w14:textId="77777777" w:rsidR="00131E8F" w:rsidRDefault="00131E8F" w:rsidP="00B7104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4B1691" w14:textId="4EB23155" w:rsidR="00B7104F" w:rsidRDefault="00B7104F">
    <w:pPr>
      <w:pStyle w:val="Header"/>
    </w:pPr>
    <w:r>
      <w:rPr>
        <w:noProof/>
      </w:rPr>
      <w:pict w14:anchorId="48C87EB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2361860" o:spid="_x0000_s2050"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EA338E" w14:textId="602F241F" w:rsidR="00B7104F" w:rsidRDefault="00B7104F">
    <w:pPr>
      <w:pStyle w:val="Header"/>
    </w:pPr>
    <w:r>
      <w:rPr>
        <w:noProof/>
      </w:rPr>
      <w:pict w14:anchorId="63982E2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2361861" o:spid="_x0000_s2051"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D7121A" w14:textId="2BCBD02D" w:rsidR="00B7104F" w:rsidRDefault="00B7104F">
    <w:pPr>
      <w:pStyle w:val="Header"/>
    </w:pPr>
    <w:r>
      <w:rPr>
        <w:noProof/>
      </w:rPr>
      <w:pict w14:anchorId="075A3C6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2361859" o:spid="_x0000_s2049"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E76C5B"/>
    <w:multiLevelType w:val="multilevel"/>
    <w:tmpl w:val="699E45F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4B59594B"/>
    <w:multiLevelType w:val="multilevel"/>
    <w:tmpl w:val="ADF8B6E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0019"/>
    <w:rsid w:val="00057479"/>
    <w:rsid w:val="00070D2B"/>
    <w:rsid w:val="000A1437"/>
    <w:rsid w:val="00131E8F"/>
    <w:rsid w:val="001B150C"/>
    <w:rsid w:val="002431C8"/>
    <w:rsid w:val="00254534"/>
    <w:rsid w:val="002A7963"/>
    <w:rsid w:val="002C1071"/>
    <w:rsid w:val="002E6D35"/>
    <w:rsid w:val="00340908"/>
    <w:rsid w:val="00427F1A"/>
    <w:rsid w:val="004A3B2C"/>
    <w:rsid w:val="00544375"/>
    <w:rsid w:val="005F197F"/>
    <w:rsid w:val="0069429D"/>
    <w:rsid w:val="006D425C"/>
    <w:rsid w:val="006D4B2B"/>
    <w:rsid w:val="007C0019"/>
    <w:rsid w:val="00814614"/>
    <w:rsid w:val="00844888"/>
    <w:rsid w:val="008E3578"/>
    <w:rsid w:val="008E5212"/>
    <w:rsid w:val="009E05F7"/>
    <w:rsid w:val="00B7104F"/>
    <w:rsid w:val="00B81E68"/>
    <w:rsid w:val="00BB224F"/>
    <w:rsid w:val="00BB4D1E"/>
    <w:rsid w:val="00C168DC"/>
    <w:rsid w:val="00C973E2"/>
    <w:rsid w:val="00DC2801"/>
    <w:rsid w:val="00DC4BFE"/>
    <w:rsid w:val="00EF17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4D786FA0"/>
  <w15:docId w15:val="{E0B45F1F-B6EC-4837-80E5-EEB8997F9E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GB"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styleId="TableGrid">
    <w:name w:val="Table Grid"/>
    <w:basedOn w:val="TableNormal"/>
    <w:uiPriority w:val="39"/>
    <w:rsid w:val="001B150C"/>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B224F"/>
    <w:rPr>
      <w:color w:val="808080"/>
    </w:rPr>
  </w:style>
  <w:style w:type="character" w:customStyle="1" w:styleId="mord">
    <w:name w:val="mord"/>
    <w:basedOn w:val="DefaultParagraphFont"/>
    <w:rsid w:val="00BB224F"/>
  </w:style>
  <w:style w:type="character" w:customStyle="1" w:styleId="mrel">
    <w:name w:val="mrel"/>
    <w:basedOn w:val="DefaultParagraphFont"/>
    <w:rsid w:val="00BB224F"/>
  </w:style>
  <w:style w:type="character" w:customStyle="1" w:styleId="mop">
    <w:name w:val="mop"/>
    <w:basedOn w:val="DefaultParagraphFont"/>
    <w:rsid w:val="00BB224F"/>
  </w:style>
  <w:style w:type="character" w:customStyle="1" w:styleId="vlist-s">
    <w:name w:val="vlist-s"/>
    <w:basedOn w:val="DefaultParagraphFont"/>
    <w:rsid w:val="00BB224F"/>
  </w:style>
  <w:style w:type="character" w:customStyle="1" w:styleId="mopen">
    <w:name w:val="mopen"/>
    <w:basedOn w:val="DefaultParagraphFont"/>
    <w:rsid w:val="00BB224F"/>
  </w:style>
  <w:style w:type="character" w:customStyle="1" w:styleId="mclose">
    <w:name w:val="mclose"/>
    <w:basedOn w:val="DefaultParagraphFont"/>
    <w:rsid w:val="00BB224F"/>
  </w:style>
  <w:style w:type="character" w:customStyle="1" w:styleId="mpunct">
    <w:name w:val="mpunct"/>
    <w:basedOn w:val="DefaultParagraphFont"/>
    <w:rsid w:val="00BB224F"/>
  </w:style>
  <w:style w:type="paragraph" w:styleId="ListParagraph">
    <w:name w:val="List Paragraph"/>
    <w:basedOn w:val="Normal"/>
    <w:uiPriority w:val="34"/>
    <w:qFormat/>
    <w:rsid w:val="00DC2801"/>
    <w:pPr>
      <w:ind w:left="720"/>
      <w:contextualSpacing/>
    </w:pPr>
  </w:style>
  <w:style w:type="paragraph" w:styleId="NoSpacing">
    <w:name w:val="No Spacing"/>
    <w:uiPriority w:val="1"/>
    <w:qFormat/>
    <w:rsid w:val="00057479"/>
    <w:pPr>
      <w:spacing w:line="240" w:lineRule="auto"/>
    </w:pPr>
    <w:rPr>
      <w:rFonts w:asciiTheme="minorHAnsi" w:eastAsiaTheme="minorHAnsi" w:hAnsiTheme="minorHAnsi" w:cstheme="minorBidi"/>
      <w:kern w:val="2"/>
      <w:lang w:val="en-US"/>
      <w14:ligatures w14:val="standardContextual"/>
    </w:rPr>
  </w:style>
  <w:style w:type="character" w:styleId="Hyperlink">
    <w:name w:val="Hyperlink"/>
    <w:basedOn w:val="DefaultParagraphFont"/>
    <w:uiPriority w:val="99"/>
    <w:unhideWhenUsed/>
    <w:rsid w:val="00427F1A"/>
    <w:rPr>
      <w:color w:val="0000FF" w:themeColor="hyperlink"/>
      <w:u w:val="single"/>
    </w:rPr>
  </w:style>
  <w:style w:type="character" w:styleId="UnresolvedMention">
    <w:name w:val="Unresolved Mention"/>
    <w:basedOn w:val="DefaultParagraphFont"/>
    <w:uiPriority w:val="99"/>
    <w:semiHidden/>
    <w:unhideWhenUsed/>
    <w:rsid w:val="00427F1A"/>
    <w:rPr>
      <w:color w:val="605E5C"/>
      <w:shd w:val="clear" w:color="auto" w:fill="E1DFDD"/>
    </w:rPr>
  </w:style>
  <w:style w:type="paragraph" w:styleId="Header">
    <w:name w:val="header"/>
    <w:basedOn w:val="Normal"/>
    <w:link w:val="HeaderChar"/>
    <w:uiPriority w:val="99"/>
    <w:unhideWhenUsed/>
    <w:rsid w:val="00B7104F"/>
    <w:pPr>
      <w:tabs>
        <w:tab w:val="center" w:pos="4680"/>
        <w:tab w:val="right" w:pos="9360"/>
      </w:tabs>
      <w:spacing w:line="240" w:lineRule="auto"/>
    </w:pPr>
  </w:style>
  <w:style w:type="character" w:customStyle="1" w:styleId="HeaderChar">
    <w:name w:val="Header Char"/>
    <w:basedOn w:val="DefaultParagraphFont"/>
    <w:link w:val="Header"/>
    <w:uiPriority w:val="99"/>
    <w:rsid w:val="00B7104F"/>
  </w:style>
  <w:style w:type="paragraph" w:styleId="Footer">
    <w:name w:val="footer"/>
    <w:basedOn w:val="Normal"/>
    <w:link w:val="FooterChar"/>
    <w:uiPriority w:val="99"/>
    <w:unhideWhenUsed/>
    <w:rsid w:val="00B7104F"/>
    <w:pPr>
      <w:tabs>
        <w:tab w:val="center" w:pos="4680"/>
        <w:tab w:val="right" w:pos="9360"/>
      </w:tabs>
      <w:spacing w:line="240" w:lineRule="auto"/>
    </w:pPr>
  </w:style>
  <w:style w:type="character" w:customStyle="1" w:styleId="FooterChar">
    <w:name w:val="Footer Char"/>
    <w:basedOn w:val="DefaultParagraphFont"/>
    <w:link w:val="Footer"/>
    <w:uiPriority w:val="99"/>
    <w:rsid w:val="00B710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016/j.bbih.2025.100957" TargetMode="External"/><Relationship Id="rId21" Type="http://schemas.openxmlformats.org/officeDocument/2006/relationships/hyperlink" Target="https://doi.org/10.9734/jerr/2025/v27i31414" TargetMode="External"/><Relationship Id="rId42" Type="http://schemas.openxmlformats.org/officeDocument/2006/relationships/hyperlink" Target="https://cognitivecomputingjournal.com/index.php/IJAIML-V1/article/view/81" TargetMode="External"/><Relationship Id="rId47" Type="http://schemas.openxmlformats.org/officeDocument/2006/relationships/hyperlink" Target="https://www.globenewswire.com/en/news-release/2023/07/17/2705665/0/en/Healthcare-Predictive-Analytics-Market-Size-Worth-USD-126-15-Billion-in-2032-Rising-at-a-Market-Growth-of-27-67-CAGR.html" TargetMode="External"/><Relationship Id="rId63" Type="http://schemas.openxmlformats.org/officeDocument/2006/relationships/hyperlink" Target="https://doi.org/10.9734/ajrcos/2025/v18i3586" TargetMode="External"/><Relationship Id="rId68" Type="http://schemas.openxmlformats.org/officeDocument/2006/relationships/hyperlink" Target="https://doi.org/10.9734/jerr/2025/v27i31444" TargetMode="External"/><Relationship Id="rId84" Type="http://schemas.openxmlformats.org/officeDocument/2006/relationships/hyperlink" Target="https://www.leeds.ac.uk/news-1/news/article/5715/using-ai-to-identify-hidden-heart-condition" TargetMode="External"/><Relationship Id="rId89" Type="http://schemas.openxmlformats.org/officeDocument/2006/relationships/hyperlink" Target="https://doi.org/10.1007/s10462-024-11033-5" TargetMode="External"/><Relationship Id="rId16" Type="http://schemas.openxmlformats.org/officeDocument/2006/relationships/hyperlink" Target="https://doi.org/10.9734/ajeba/2024/v24i111542" TargetMode="External"/><Relationship Id="rId11" Type="http://schemas.openxmlformats.org/officeDocument/2006/relationships/image" Target="media/image5.png"/><Relationship Id="rId32" Type="http://schemas.openxmlformats.org/officeDocument/2006/relationships/hyperlink" Target="https://doi.org/10.2196/28901" TargetMode="External"/><Relationship Id="rId37" Type="http://schemas.openxmlformats.org/officeDocument/2006/relationships/hyperlink" Target="https://doi.org/10.1109/icmcsi64620.2025.10883093" TargetMode="External"/><Relationship Id="rId53" Type="http://schemas.openxmlformats.org/officeDocument/2006/relationships/hyperlink" Target="https://doi.org/10.1016/j.inffus.2024.102412" TargetMode="External"/><Relationship Id="rId58" Type="http://schemas.openxmlformats.org/officeDocument/2006/relationships/hyperlink" Target="https://doi.org/10.9734/jerr/2025/v27i21400" TargetMode="External"/><Relationship Id="rId74" Type="http://schemas.openxmlformats.org/officeDocument/2006/relationships/hyperlink" Target="https://doi.org/10.1007/s11694-024-02874-3" TargetMode="External"/><Relationship Id="rId79" Type="http://schemas.openxmlformats.org/officeDocument/2006/relationships/hyperlink" Target="https://doi.org/10.1016/j.cell.2023.01.035" TargetMode="External"/><Relationship Id="rId5" Type="http://schemas.openxmlformats.org/officeDocument/2006/relationships/footnotes" Target="footnotes.xml"/><Relationship Id="rId90" Type="http://schemas.openxmlformats.org/officeDocument/2006/relationships/hyperlink" Target="https://doi.org/10.1186/s12911-024-02453-y" TargetMode="External"/><Relationship Id="rId95" Type="http://schemas.openxmlformats.org/officeDocument/2006/relationships/footer" Target="footer1.xml"/><Relationship Id="rId22" Type="http://schemas.openxmlformats.org/officeDocument/2006/relationships/hyperlink" Target="https://doi.org/10.51594/ijarss.v7i3.1823" TargetMode="External"/><Relationship Id="rId27" Type="http://schemas.openxmlformats.org/officeDocument/2006/relationships/hyperlink" Target="https://doi.org/10.1016/j.jbi.2023.104418" TargetMode="External"/><Relationship Id="rId43" Type="http://schemas.openxmlformats.org/officeDocument/2006/relationships/hyperlink" Target="https://doi.org/10.1007/s41060-024-00603-z" TargetMode="External"/><Relationship Id="rId48" Type="http://schemas.openxmlformats.org/officeDocument/2006/relationships/hyperlink" Target="https://doi.org/10.1057/s41599-024-03864-y" TargetMode="External"/><Relationship Id="rId64" Type="http://schemas.openxmlformats.org/officeDocument/2006/relationships/hyperlink" Target="https://doi.org/10.9734/jerr/2025/v27i21413" TargetMode="External"/><Relationship Id="rId69" Type="http://schemas.openxmlformats.org/officeDocument/2006/relationships/hyperlink" Target="https://doi.org/10.1007/s12553-022-00672-9" TargetMode="External"/><Relationship Id="rId80" Type="http://schemas.openxmlformats.org/officeDocument/2006/relationships/hyperlink" Target="https://doi.org/10.9734/ajrcos/2025/v18i4615" TargetMode="External"/><Relationship Id="rId85" Type="http://schemas.openxmlformats.org/officeDocument/2006/relationships/hyperlink" Target="https://ventionteams.com/healthtech/ai/statistics" TargetMode="Externa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hyperlink" Target="https://doi.org/10.1109/jbhi.2022.3181823" TargetMode="External"/><Relationship Id="rId25" Type="http://schemas.openxmlformats.org/officeDocument/2006/relationships/hyperlink" Target="https://doi.org/10.1016/j.landig.2025.03.002" TargetMode="External"/><Relationship Id="rId33" Type="http://schemas.openxmlformats.org/officeDocument/2006/relationships/hyperlink" Target="https://doi.org/10.1007/s00521-022-07856-4" TargetMode="External"/><Relationship Id="rId38" Type="http://schemas.openxmlformats.org/officeDocument/2006/relationships/hyperlink" Target="https://doi.org/10.3389/frobt.2024.1444763" TargetMode="External"/><Relationship Id="rId46" Type="http://schemas.openxmlformats.org/officeDocument/2006/relationships/hyperlink" Target="https://doi.org/10.21037/jmai-24-70" TargetMode="External"/><Relationship Id="rId59" Type="http://schemas.openxmlformats.org/officeDocument/2006/relationships/hyperlink" Target="https://doi.org/10.9734/jerr/2025/v27i21390" TargetMode="External"/><Relationship Id="rId67" Type="http://schemas.openxmlformats.org/officeDocument/2006/relationships/hyperlink" Target="https://doi.org/10.30574/wjarr.2024.21.2.0523" TargetMode="External"/><Relationship Id="rId20" Type="http://schemas.openxmlformats.org/officeDocument/2006/relationships/hyperlink" Target="https://doi.org/10.51594/csitrj.v6i2.1824" TargetMode="External"/><Relationship Id="rId41" Type="http://schemas.openxmlformats.org/officeDocument/2006/relationships/hyperlink" Target="https://theses.hal.science/tel-04803801" TargetMode="External"/><Relationship Id="rId54" Type="http://schemas.openxmlformats.org/officeDocument/2006/relationships/hyperlink" Target="https://arxiv.org/abs/2403.08834" TargetMode="External"/><Relationship Id="rId62" Type="http://schemas.openxmlformats.org/officeDocument/2006/relationships/hyperlink" Target="https://doi.org/10.9734/ajrcos/2025/v18i3583" TargetMode="External"/><Relationship Id="rId70" Type="http://schemas.openxmlformats.org/officeDocument/2006/relationships/hyperlink" Target="https://doi.org/10.1186/s12913-021-06193-x" TargetMode="External"/><Relationship Id="rId75" Type="http://schemas.openxmlformats.org/officeDocument/2006/relationships/hyperlink" Target="https://doi.org/10.1038/s41591-024-03098-0" TargetMode="External"/><Relationship Id="rId83" Type="http://schemas.openxmlformats.org/officeDocument/2006/relationships/hyperlink" Target="https://doi.org/10.3390/jpm11020135" TargetMode="External"/><Relationship Id="rId88" Type="http://schemas.openxmlformats.org/officeDocument/2006/relationships/hyperlink" Target="https://doi.org/10.1016/j.jbi.2021.103980" TargetMode="External"/><Relationship Id="rId91" Type="http://schemas.openxmlformats.org/officeDocument/2006/relationships/hyperlink" Target="https://scholarworks.umass.edu/entities/publication/f566c529-a20a-4060-aadc-2420eeab9d76" TargetMode="External"/><Relationship Id="rId9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doi.org/10.9734/acri/2025/v25i21090" TargetMode="External"/><Relationship Id="rId23" Type="http://schemas.openxmlformats.org/officeDocument/2006/relationships/hyperlink" Target="https://doi.org/10.9734/jerr/2025/v27i21399" TargetMode="External"/><Relationship Id="rId28" Type="http://schemas.openxmlformats.org/officeDocument/2006/relationships/hyperlink" Target="https://doi.org/10.3390/diagnostics14222473" TargetMode="External"/><Relationship Id="rId36" Type="http://schemas.openxmlformats.org/officeDocument/2006/relationships/hyperlink" Target="https://doi.org/10.1016/j.artmed.2024.102950" TargetMode="External"/><Relationship Id="rId49" Type="http://schemas.openxmlformats.org/officeDocument/2006/relationships/hyperlink" Target="https://doi.org/10.1148/ryai.220028" TargetMode="External"/><Relationship Id="rId57" Type="http://schemas.openxmlformats.org/officeDocument/2006/relationships/hyperlink" Target="https://doi.org/10.9734/ajrcos/2025/v18i2564" TargetMode="External"/><Relationship Id="rId10" Type="http://schemas.openxmlformats.org/officeDocument/2006/relationships/image" Target="media/image4.png"/><Relationship Id="rId31" Type="http://schemas.openxmlformats.org/officeDocument/2006/relationships/hyperlink" Target="https://doi.org/10.7759/cureus.77758" TargetMode="External"/><Relationship Id="rId44" Type="http://schemas.openxmlformats.org/officeDocument/2006/relationships/hyperlink" Target="https://doi.org/10.9734/ajrcos/2025/v18i1554" TargetMode="External"/><Relationship Id="rId52" Type="http://schemas.openxmlformats.org/officeDocument/2006/relationships/hyperlink" Target="https://doi.org/10.1007/978-3-030-58721-5_24" TargetMode="External"/><Relationship Id="rId60" Type="http://schemas.openxmlformats.org/officeDocument/2006/relationships/hyperlink" Target="https://doi.org/10.9734/ajrcos/2025/v18i1557" TargetMode="External"/><Relationship Id="rId65" Type="http://schemas.openxmlformats.org/officeDocument/2006/relationships/hyperlink" Target="https://doi.org/10.9734/acri/2025/v25i31098" TargetMode="External"/><Relationship Id="rId73" Type="http://schemas.openxmlformats.org/officeDocument/2006/relationships/hyperlink" Target="https://doi.org/10.5281/zenodo.12271006" TargetMode="External"/><Relationship Id="rId78" Type="http://schemas.openxmlformats.org/officeDocument/2006/relationships/hyperlink" Target="https://doi.org/10.9734/ajrcos/2025/v18i4608" TargetMode="External"/><Relationship Id="rId81" Type="http://schemas.openxmlformats.org/officeDocument/2006/relationships/hyperlink" Target="https://doi.org/10.9734/ajrcos/2025/v18i4610" TargetMode="External"/><Relationship Id="rId86" Type="http://schemas.openxmlformats.org/officeDocument/2006/relationships/hyperlink" Target="https://doi.org/10.2196/48476" TargetMode="External"/><Relationship Id="rId94" Type="http://schemas.openxmlformats.org/officeDocument/2006/relationships/header" Target="header2.xml"/><Relationship Id="rId9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hyperlink" Target="https://doi.org/10.1007/s40860-024-00240-0" TargetMode="External"/><Relationship Id="rId39" Type="http://schemas.openxmlformats.org/officeDocument/2006/relationships/hyperlink" Target="https://doi.org/10.1016/j.engappai.2022.105151" TargetMode="External"/><Relationship Id="rId34" Type="http://schemas.openxmlformats.org/officeDocument/2006/relationships/hyperlink" Target="https://doi.org/10.1016/j.amjcard.2023.06.104" TargetMode="External"/><Relationship Id="rId50" Type="http://schemas.openxmlformats.org/officeDocument/2006/relationships/hyperlink" Target="https://doi.org/10.9734/jerr/2025/v27i31442" TargetMode="External"/><Relationship Id="rId55" Type="http://schemas.openxmlformats.org/officeDocument/2006/relationships/hyperlink" Target="https://doi.org/10.1007/s11042-024-19694-8" TargetMode="External"/><Relationship Id="rId76" Type="http://schemas.openxmlformats.org/officeDocument/2006/relationships/hyperlink" Target="https://www.ama-assn.org/practice-management/payment-delivery-models/geisinger-uses-ai-boost-its-value-based-care-efforts" TargetMode="External"/><Relationship Id="rId97" Type="http://schemas.openxmlformats.org/officeDocument/2006/relationships/header" Target="header3.xml"/><Relationship Id="rId7" Type="http://schemas.openxmlformats.org/officeDocument/2006/relationships/image" Target="media/image1.png"/><Relationship Id="rId71" Type="http://schemas.openxmlformats.org/officeDocument/2006/relationships/hyperlink" Target="https://doi.org/10.1038/s41598-024-54038-4" TargetMode="External"/><Relationship Id="rId92" Type="http://schemas.openxmlformats.org/officeDocument/2006/relationships/hyperlink" Target="https://arxiv.org/abs/2405.13187" TargetMode="External"/><Relationship Id="rId2" Type="http://schemas.openxmlformats.org/officeDocument/2006/relationships/styles" Target="styles.xml"/><Relationship Id="rId29" Type="http://schemas.openxmlformats.org/officeDocument/2006/relationships/hyperlink" Target="https://doi.org/10.54254/2755-2721/87/20241515" TargetMode="External"/><Relationship Id="rId24" Type="http://schemas.openxmlformats.org/officeDocument/2006/relationships/hyperlink" Target="https://www.igi-global.com/chapter/machine-learning-advancements-in-e-health/341117" TargetMode="External"/><Relationship Id="rId40" Type="http://schemas.openxmlformats.org/officeDocument/2006/relationships/hyperlink" Target="https://www.theguardian.com/society/2024/dec/28/algorithm-could-help-prevent-thousands-of-strokes-in-uk-each-year?utm_" TargetMode="External"/><Relationship Id="rId45" Type="http://schemas.openxmlformats.org/officeDocument/2006/relationships/hyperlink" Target="https://doi.org/10.3390/encyclopedia4040118" TargetMode="External"/><Relationship Id="rId66" Type="http://schemas.openxmlformats.org/officeDocument/2006/relationships/hyperlink" Target="https://doi.org/10.1109/summa64428.2024.10803745" TargetMode="External"/><Relationship Id="rId87" Type="http://schemas.openxmlformats.org/officeDocument/2006/relationships/hyperlink" Target="https://doi.org/10.3390/s21165589" TargetMode="External"/><Relationship Id="rId61" Type="http://schemas.openxmlformats.org/officeDocument/2006/relationships/hyperlink" Target="https://doi.org/10.9734/jerr/2025/v27i31416" TargetMode="External"/><Relationship Id="rId82" Type="http://schemas.openxmlformats.org/officeDocument/2006/relationships/hyperlink" Target="https://doi.org/10.3390/s22229003" TargetMode="External"/><Relationship Id="rId19" Type="http://schemas.openxmlformats.org/officeDocument/2006/relationships/hyperlink" Target="https://doi.org/10.9734/ajrcos/2025/v18i1555" TargetMode="External"/><Relationship Id="rId14" Type="http://schemas.openxmlformats.org/officeDocument/2006/relationships/image" Target="media/image8.png"/><Relationship Id="rId30" Type="http://schemas.openxmlformats.org/officeDocument/2006/relationships/hyperlink" Target="https://doi.org/10.1109/ACCESS.2023.3294569" TargetMode="External"/><Relationship Id="rId35" Type="http://schemas.openxmlformats.org/officeDocument/2006/relationships/hyperlink" Target="https://doi.org/10.1016/j.asoc.2022.109067" TargetMode="External"/><Relationship Id="rId56" Type="http://schemas.openxmlformats.org/officeDocument/2006/relationships/hyperlink" Target="https://www.ft.com/content/37b79af4-116f-46e5-9bbd-b814aa4c95af?utm_" TargetMode="External"/><Relationship Id="rId77" Type="http://schemas.openxmlformats.org/officeDocument/2006/relationships/hyperlink" Target="https://doi.org/10.9734/jerr/2025/v27i31439" TargetMode="External"/><Relationship Id="rId100"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hyperlink" Target="https://doi.org/10.3390/info15090517" TargetMode="External"/><Relationship Id="rId72" Type="http://schemas.openxmlformats.org/officeDocument/2006/relationships/hyperlink" Target="https://doi.org/10.1002/hast.4927" TargetMode="External"/><Relationship Id="rId93" Type="http://schemas.openxmlformats.org/officeDocument/2006/relationships/header" Target="header1.xml"/><Relationship Id="rId98"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32</Pages>
  <Words>10416</Words>
  <Characters>59377</Characters>
  <Application>Microsoft Office Word</Application>
  <DocSecurity>0</DocSecurity>
  <Lines>494</Lines>
  <Paragraphs>139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Oluwaseun Olaniyi</dc:creator>
  <cp:lastModifiedBy>SDI 1084</cp:lastModifiedBy>
  <cp:revision>10</cp:revision>
  <dcterms:created xsi:type="dcterms:W3CDTF">2025-05-16T13:20:00Z</dcterms:created>
  <dcterms:modified xsi:type="dcterms:W3CDTF">2025-05-19T11:15:00Z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d573536e-ba13-433c-8a07-29341d448d84</vt:lpwstr>
  </property>
</Properties>
</file>