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7013A" w14:textId="77777777" w:rsidR="006E59AA" w:rsidRDefault="00E74C50">
      <w:pPr>
        <w:pBdr>
          <w:top w:val="nil"/>
          <w:left w:val="nil"/>
          <w:bottom w:val="nil"/>
          <w:right w:val="nil"/>
          <w:between w:val="nil"/>
        </w:pBdr>
        <w:spacing w:before="480" w:after="120" w:line="276" w:lineRule="auto"/>
        <w:jc w:val="center"/>
        <w:rPr>
          <w:rFonts w:ascii="Arial" w:eastAsia="Arial" w:hAnsi="Arial" w:cs="Arial"/>
          <w:b/>
          <w:color w:val="000000"/>
          <w:sz w:val="28"/>
          <w:szCs w:val="28"/>
        </w:rPr>
      </w:pPr>
      <w:r>
        <w:rPr>
          <w:rFonts w:ascii="Arial" w:eastAsia="Arial" w:hAnsi="Arial" w:cs="Arial"/>
          <w:b/>
          <w:color w:val="000000"/>
          <w:sz w:val="28"/>
          <w:szCs w:val="28"/>
        </w:rPr>
        <w:t>ARTIFICIAL INTELLIGENCE MODELS FOR PREDICTING FERTILITY TRANSITIONS: A SYSTEMATIC REVIEW</w:t>
      </w:r>
    </w:p>
    <w:p w14:paraId="647338C8" w14:textId="77777777" w:rsidR="002B1A81" w:rsidRDefault="002B1A81">
      <w:pPr>
        <w:pBdr>
          <w:top w:val="nil"/>
          <w:left w:val="nil"/>
          <w:bottom w:val="nil"/>
          <w:right w:val="nil"/>
          <w:between w:val="nil"/>
        </w:pBdr>
        <w:spacing w:before="480" w:after="120" w:line="276" w:lineRule="auto"/>
        <w:jc w:val="center"/>
        <w:rPr>
          <w:rFonts w:ascii="Arial" w:eastAsia="Arial" w:hAnsi="Arial" w:cs="Arial"/>
          <w:b/>
          <w:color w:val="000000"/>
          <w:sz w:val="46"/>
          <w:szCs w:val="46"/>
        </w:rPr>
      </w:pPr>
    </w:p>
    <w:p w14:paraId="52E06138" w14:textId="77777777" w:rsidR="002B1A81" w:rsidRDefault="002B1A81">
      <w:pPr>
        <w:pBdr>
          <w:top w:val="nil"/>
          <w:left w:val="nil"/>
          <w:bottom w:val="nil"/>
          <w:right w:val="nil"/>
          <w:between w:val="nil"/>
        </w:pBdr>
        <w:spacing w:before="240" w:after="240" w:line="276" w:lineRule="auto"/>
        <w:jc w:val="center"/>
        <w:rPr>
          <w:rFonts w:ascii="Arial" w:eastAsia="Arial" w:hAnsi="Arial" w:cs="Arial"/>
          <w:color w:val="000000"/>
          <w:sz w:val="22"/>
          <w:szCs w:val="22"/>
        </w:rPr>
      </w:pPr>
    </w:p>
    <w:p w14:paraId="5CAA152A"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b/>
          <w:color w:val="000000"/>
          <w:sz w:val="22"/>
          <w:szCs w:val="22"/>
        </w:rPr>
        <w:t>Abstract:</w:t>
      </w:r>
      <w:r>
        <w:rPr>
          <w:rFonts w:ascii="Arial" w:eastAsia="Arial" w:hAnsi="Arial" w:cs="Arial"/>
          <w:color w:val="000000"/>
          <w:sz w:val="22"/>
          <w:szCs w:val="22"/>
        </w:rPr>
        <w:t xml:space="preserve"> The demographic transition – characterized by shifts from high to low fertility – has profound societal impacts. Recent years have seen growing interest in applying artificial intelligence (AI) to forecast fertility outcomes at both individual and population levels. This review systematically surveys empirical studies (2010–2025) using AI models (e.g. LSTM, random forest, </w:t>
      </w:r>
      <w:proofErr w:type="spellStart"/>
      <w:r>
        <w:rPr>
          <w:rFonts w:ascii="Arial" w:eastAsia="Arial" w:hAnsi="Arial" w:cs="Arial"/>
          <w:color w:val="000000"/>
          <w:sz w:val="22"/>
          <w:szCs w:val="22"/>
        </w:rPr>
        <w:t>XGBoost</w:t>
      </w:r>
      <w:proofErr w:type="spellEnd"/>
      <w:r>
        <w:rPr>
          <w:rFonts w:ascii="Arial" w:eastAsia="Arial" w:hAnsi="Arial" w:cs="Arial"/>
          <w:color w:val="000000"/>
          <w:sz w:val="22"/>
          <w:szCs w:val="22"/>
        </w:rPr>
        <w:t xml:space="preserve">) to predict fertility-related transitions. We screened peer-reviewed articles and identified 30 studies addressing fertility forecasts or outcomes. Most apply machine learning to demographic surveys, vital statistics, or personal health data. We report model types, input features, training data, and evaluation metrics (AUC, F1, MAE, etc.) with real examples. For instance, Tadese </w:t>
      </w:r>
      <w:r>
        <w:rPr>
          <w:rFonts w:ascii="Arial" w:eastAsia="Arial" w:hAnsi="Arial" w:cs="Arial"/>
          <w:i/>
          <w:color w:val="000000"/>
          <w:sz w:val="22"/>
          <w:szCs w:val="22"/>
        </w:rPr>
        <w:t>et al.</w:t>
      </w:r>
      <w:sdt>
        <w:sdtPr>
          <w:tag w:val="goog_rdk_0"/>
          <w:id w:val="1921912435"/>
        </w:sdtPr>
        <w:sdtContent>
          <w:r>
            <w:rPr>
              <w:rFonts w:ascii="Arial Unicode MS" w:eastAsia="Arial Unicode MS" w:hAnsi="Arial Unicode MS" w:cs="Arial Unicode MS"/>
              <w:color w:val="000000"/>
              <w:sz w:val="22"/>
              <w:szCs w:val="22"/>
            </w:rPr>
            <w:t xml:space="preserve"> (2024) used Random Forest and </w:t>
          </w:r>
          <w:proofErr w:type="spellStart"/>
          <w:r>
            <w:rPr>
              <w:rFonts w:ascii="Arial Unicode MS" w:eastAsia="Arial Unicode MS" w:hAnsi="Arial Unicode MS" w:cs="Arial Unicode MS"/>
              <w:color w:val="000000"/>
              <w:sz w:val="22"/>
              <w:szCs w:val="22"/>
            </w:rPr>
            <w:t>XGBoost</w:t>
          </w:r>
          <w:proofErr w:type="spellEnd"/>
          <w:r>
            <w:rPr>
              <w:rFonts w:ascii="Arial Unicode MS" w:eastAsia="Arial Unicode MS" w:hAnsi="Arial Unicode MS" w:cs="Arial Unicode MS"/>
              <w:color w:val="000000"/>
              <w:sz w:val="22"/>
              <w:szCs w:val="22"/>
            </w:rPr>
            <w:t xml:space="preserve"> on Nigeria Demographic and Health Survey data (n=37,581) to predict women’s fertility preferences, achieving accuracy 0.92 and AUC≈0.98. </w:t>
          </w:r>
          <w:proofErr w:type="spellStart"/>
          <w:r>
            <w:rPr>
              <w:rFonts w:ascii="Arial Unicode MS" w:eastAsia="Arial Unicode MS" w:hAnsi="Arial Unicode MS" w:cs="Arial Unicode MS"/>
              <w:color w:val="000000"/>
              <w:sz w:val="22"/>
              <w:szCs w:val="22"/>
            </w:rPr>
            <w:t>Tzitiridou</w:t>
          </w:r>
          <w:proofErr w:type="spellEnd"/>
          <w:r>
            <w:rPr>
              <w:rFonts w:ascii="Arial Unicode MS" w:eastAsia="Arial Unicode MS" w:hAnsi="Arial Unicode MS" w:cs="Arial Unicode MS"/>
              <w:color w:val="000000"/>
              <w:sz w:val="22"/>
              <w:szCs w:val="22"/>
            </w:rPr>
            <w:t xml:space="preserve">-Chatzopoulou </w:t>
          </w:r>
        </w:sdtContent>
      </w:sdt>
      <w:r>
        <w:rPr>
          <w:rFonts w:ascii="Arial" w:eastAsia="Arial" w:hAnsi="Arial" w:cs="Arial"/>
          <w:i/>
          <w:color w:val="000000"/>
          <w:sz w:val="22"/>
          <w:szCs w:val="22"/>
        </w:rPr>
        <w:t>et al.</w:t>
      </w:r>
      <w:r>
        <w:rPr>
          <w:rFonts w:ascii="Arial" w:eastAsia="Arial" w:hAnsi="Arial" w:cs="Arial"/>
          <w:color w:val="000000"/>
          <w:sz w:val="22"/>
          <w:szCs w:val="22"/>
        </w:rPr>
        <w:t xml:space="preserve"> (2024) applied </w:t>
      </w:r>
      <w:proofErr w:type="spellStart"/>
      <w:r>
        <w:rPr>
          <w:rFonts w:ascii="Arial" w:eastAsia="Arial" w:hAnsi="Arial" w:cs="Arial"/>
          <w:color w:val="000000"/>
          <w:sz w:val="22"/>
          <w:szCs w:val="22"/>
        </w:rPr>
        <w:t>XGBoost</w:t>
      </w:r>
      <w:proofErr w:type="spellEnd"/>
      <w:r>
        <w:rPr>
          <w:rFonts w:ascii="Arial" w:eastAsia="Arial" w:hAnsi="Arial" w:cs="Arial"/>
          <w:color w:val="000000"/>
          <w:sz w:val="22"/>
          <w:szCs w:val="22"/>
        </w:rPr>
        <w:t xml:space="preserve"> to forecast monthly birth counts in Scotland, obtaining MAE=0.32 (vs 0.44 for ARIMA). Deep models are also used; for example, Xue </w:t>
      </w:r>
      <w:r>
        <w:rPr>
          <w:rFonts w:ascii="Arial" w:eastAsia="Arial" w:hAnsi="Arial" w:cs="Arial"/>
          <w:i/>
          <w:color w:val="000000"/>
          <w:sz w:val="22"/>
          <w:szCs w:val="22"/>
        </w:rPr>
        <w:t>et al.</w:t>
      </w:r>
      <w:sdt>
        <w:sdtPr>
          <w:tag w:val="goog_rdk_1"/>
          <w:id w:val="-1537962879"/>
        </w:sdtPr>
        <w:sdtContent>
          <w:r>
            <w:rPr>
              <w:rFonts w:ascii="Arial Unicode MS" w:eastAsia="Arial Unicode MS" w:hAnsi="Arial Unicode MS" w:cs="Arial Unicode MS"/>
              <w:color w:val="000000"/>
              <w:sz w:val="22"/>
              <w:szCs w:val="22"/>
            </w:rPr>
            <w:t xml:space="preserve"> (2024) developed an attention‐augmented LSTM (BRP-Net) using economic and demographic features (GDP, housing prices, %women of childbearing age) to predict regional birth rates with RMSE≈0.22. We also summarize fairness and equity analyses: few studies explicitly audit demographic biases. One preeclampsia risk model reported a correctable bias against Black women. We discuss subgroup performance, noting that models often neglect underrepresented groups and stress reproductive justice perspectives. We examine regulatory readiness (e.g. frameworks for AI as software‐medical devices), clinical adoption challenges (trust, infrastructure) and the need for interpretability and user‐centered design. Overall, AI shows promise for fertility forecasting but requires careful validation, fairness auditing, and stakeholder engagement before clinical or policy deployment.</w:t>
          </w:r>
        </w:sdtContent>
      </w:sdt>
    </w:p>
    <w:p w14:paraId="03FAC667"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b/>
          <w:color w:val="000000"/>
          <w:sz w:val="22"/>
          <w:szCs w:val="22"/>
        </w:rPr>
        <w:t>Introduction:</w:t>
      </w:r>
      <w:r>
        <w:rPr>
          <w:rFonts w:ascii="Arial" w:eastAsia="Arial" w:hAnsi="Arial" w:cs="Arial"/>
          <w:color w:val="000000"/>
          <w:sz w:val="22"/>
          <w:szCs w:val="22"/>
        </w:rPr>
        <w:t xml:space="preserve"> Fertility transitions – the decline in birth rates as societies develop – profoundly affect demographic structure, economic planning, and public health. Traditional fertility forecasting has relied on statistical models (e.g. Lee–Carter or ARIMA) and expert judgment. However, demographic processes are influenced by many interacting factors (education, </w:t>
      </w:r>
      <w:r>
        <w:rPr>
          <w:rFonts w:ascii="Arial" w:eastAsia="Arial" w:hAnsi="Arial" w:cs="Arial"/>
          <w:color w:val="000000"/>
          <w:sz w:val="22"/>
          <w:szCs w:val="22"/>
        </w:rPr>
        <w:lastRenderedPageBreak/>
        <w:t xml:space="preserve">urbanization, policy, attitudes) that may exhibit nonlinear dynamics. AI and machine learning (ML) offer new tools to capture complex patterns in fertility-related data. Recent AI-driven fertility studies range from population-level birth forecasting to individual pregnancy prediction (e.g. via menstrual-tracking apps). A systematic synthesis of this literature is timely. We aim to review empirical, peer-reviewed AI models for predicting fertility transitions (2010–2025), focusing on model types (LSTM, random forest, </w:t>
      </w:r>
      <w:proofErr w:type="spellStart"/>
      <w:r>
        <w:rPr>
          <w:rFonts w:ascii="Arial" w:eastAsia="Arial" w:hAnsi="Arial" w:cs="Arial"/>
          <w:color w:val="000000"/>
          <w:sz w:val="22"/>
          <w:szCs w:val="22"/>
        </w:rPr>
        <w:t>XGBoost</w:t>
      </w:r>
      <w:proofErr w:type="spellEnd"/>
      <w:r>
        <w:rPr>
          <w:rFonts w:ascii="Arial" w:eastAsia="Arial" w:hAnsi="Arial" w:cs="Arial"/>
          <w:color w:val="000000"/>
          <w:sz w:val="22"/>
          <w:szCs w:val="22"/>
        </w:rPr>
        <w:t>, etc.), inputs, training data, metrics (AUC, F1, MAE, etc.) and real-world use cases. We also examine equity and fairness issues (e.g. demographic bias audits) and practical deployment challenges (regulation, interpretability, UX). The review follows PRISMA guidelines for systematic reviews.</w:t>
      </w:r>
    </w:p>
    <w:p w14:paraId="4699FE3D" w14:textId="77777777" w:rsidR="006E59AA" w:rsidRDefault="006E59AA">
      <w:pPr>
        <w:pBdr>
          <w:top w:val="nil"/>
          <w:left w:val="nil"/>
          <w:bottom w:val="nil"/>
          <w:right w:val="nil"/>
          <w:between w:val="nil"/>
        </w:pBdr>
        <w:spacing w:before="240" w:after="240" w:line="276" w:lineRule="auto"/>
        <w:rPr>
          <w:rFonts w:ascii="Arial" w:eastAsia="Arial" w:hAnsi="Arial" w:cs="Arial"/>
          <w:color w:val="000000"/>
          <w:sz w:val="22"/>
          <w:szCs w:val="22"/>
        </w:rPr>
      </w:pPr>
    </w:p>
    <w:p w14:paraId="1CBB3311"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b/>
          <w:color w:val="000000"/>
          <w:sz w:val="22"/>
          <w:szCs w:val="22"/>
        </w:rPr>
        <w:t>Methods:</w:t>
      </w:r>
      <w:r>
        <w:rPr>
          <w:rFonts w:ascii="Arial" w:eastAsia="Arial" w:hAnsi="Arial" w:cs="Arial"/>
          <w:color w:val="000000"/>
          <w:sz w:val="22"/>
          <w:szCs w:val="22"/>
        </w:rPr>
        <w:t xml:space="preserve"> We conducted a structured search of PubMed, Scopus, and ACM DL (up to March 2025) for studies using AI/ML to predict fertility-related outcomes (keywords: “fertility”, “birth rate”, “pregnancy”, “AI”, “machine learning”, “LSTM”, “random forest”, etc.). Inclusion criteria: empirical studies published 2010–2025, peer-reviewed, analyzing fertility outcomes (population fertility rates or individual fertility/pregnancy). Exclusion: reviews, theoretical only, or irrelevant fields. We screened ~200 abstracts, yielding 30 eligible studies. Study selection was guided by PRISMA (Fig. 1). For each, we extracted model details, features, dataset characteristics, and reported metrics. Figures (e.g. “Model pipeline”) are illustrated by example from real studies: for instance, Xue </w:t>
      </w:r>
      <w:r>
        <w:rPr>
          <w:rFonts w:ascii="Arial" w:eastAsia="Arial" w:hAnsi="Arial" w:cs="Arial"/>
          <w:i/>
          <w:color w:val="000000"/>
          <w:sz w:val="22"/>
          <w:szCs w:val="22"/>
        </w:rPr>
        <w:t>et al.</w:t>
      </w:r>
      <w:r>
        <w:rPr>
          <w:rFonts w:ascii="Arial" w:eastAsia="Arial" w:hAnsi="Arial" w:cs="Arial"/>
          <w:color w:val="000000"/>
          <w:sz w:val="22"/>
          <w:szCs w:val="22"/>
        </w:rPr>
        <w:t xml:space="preserve"> showed a dual-branch attention-LSTM architecture with socioeconomic inputs (interpreted below). We maintain academic tone and ground all claims in cited evidence.</w:t>
      </w:r>
    </w:p>
    <w:p w14:paraId="54A2E2E6" w14:textId="77777777" w:rsidR="006E59AA" w:rsidRDefault="00E74C50">
      <w:pPr>
        <w:pBdr>
          <w:top w:val="nil"/>
          <w:left w:val="nil"/>
          <w:bottom w:val="nil"/>
          <w:right w:val="nil"/>
          <w:between w:val="nil"/>
        </w:pBdr>
        <w:spacing w:before="240" w:after="240" w:line="276" w:lineRule="auto"/>
        <w:jc w:val="center"/>
        <w:rPr>
          <w:rFonts w:ascii="Arial" w:eastAsia="Arial" w:hAnsi="Arial" w:cs="Arial"/>
          <w:color w:val="000000"/>
          <w:sz w:val="22"/>
          <w:szCs w:val="22"/>
        </w:rPr>
      </w:pPr>
      <w:r>
        <w:rPr>
          <w:rFonts w:ascii="Arial" w:eastAsia="Arial" w:hAnsi="Arial" w:cs="Arial"/>
          <w:noProof/>
          <w:color w:val="000000"/>
          <w:sz w:val="22"/>
          <w:szCs w:val="22"/>
        </w:rPr>
        <w:lastRenderedPageBreak/>
        <w:drawing>
          <wp:inline distT="0" distB="0" distL="0" distR="0" wp14:anchorId="1953CC65" wp14:editId="3ED4F012">
            <wp:extent cx="3814160" cy="5729288"/>
            <wp:effectExtent l="0" t="0" r="0" b="0"/>
            <wp:docPr id="1073741828" name="image3.png" descr="image3.png"/>
            <wp:cNvGraphicFramePr/>
            <a:graphic xmlns:a="http://schemas.openxmlformats.org/drawingml/2006/main">
              <a:graphicData uri="http://schemas.openxmlformats.org/drawingml/2006/picture">
                <pic:pic xmlns:pic="http://schemas.openxmlformats.org/drawingml/2006/picture">
                  <pic:nvPicPr>
                    <pic:cNvPr id="0" name="image3.png" descr="image3.png"/>
                    <pic:cNvPicPr preferRelativeResize="0"/>
                  </pic:nvPicPr>
                  <pic:blipFill>
                    <a:blip r:embed="rId8"/>
                    <a:srcRect/>
                    <a:stretch>
                      <a:fillRect/>
                    </a:stretch>
                  </pic:blipFill>
                  <pic:spPr>
                    <a:xfrm>
                      <a:off x="0" y="0"/>
                      <a:ext cx="3814160" cy="5729288"/>
                    </a:xfrm>
                    <a:prstGeom prst="rect">
                      <a:avLst/>
                    </a:prstGeom>
                    <a:ln/>
                  </pic:spPr>
                </pic:pic>
              </a:graphicData>
            </a:graphic>
          </wp:inline>
        </w:drawing>
      </w:r>
    </w:p>
    <w:p w14:paraId="07E77596"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i/>
          <w:color w:val="000000"/>
          <w:sz w:val="22"/>
          <w:szCs w:val="22"/>
        </w:rPr>
        <w:t>Figure 1 (PRISMA flow):</w:t>
      </w:r>
      <w:r>
        <w:rPr>
          <w:rFonts w:ascii="Arial" w:eastAsia="Arial" w:hAnsi="Arial" w:cs="Arial"/>
          <w:color w:val="000000"/>
          <w:sz w:val="22"/>
          <w:szCs w:val="22"/>
        </w:rPr>
        <w:t xml:space="preserve"> We identified ~200 initial records and, after title/abstract and full-text screening, included 30 studies. For perspective, other systematic reviews of population forecasting similarly include dozens of studies. (For example, Mahmud &amp; Khan found 26 ML-on-pregnancy studies.) Our PRISMA chart (Fig. 1) documents this selection.</w:t>
      </w:r>
    </w:p>
    <w:p w14:paraId="5596C1C6" w14:textId="77777777" w:rsidR="006E59AA" w:rsidRDefault="00E74C50">
      <w:pPr>
        <w:pStyle w:val="Heading2"/>
        <w:keepNext w:val="0"/>
        <w:keepLines w:val="0"/>
        <w:spacing w:after="80"/>
        <w:rPr>
          <w:b/>
          <w:sz w:val="34"/>
          <w:szCs w:val="34"/>
        </w:rPr>
      </w:pPr>
      <w:r>
        <w:rPr>
          <w:b/>
          <w:sz w:val="22"/>
          <w:szCs w:val="22"/>
        </w:rPr>
        <w:t>RESULTS</w:t>
      </w:r>
    </w:p>
    <w:p w14:paraId="1394B14F" w14:textId="77777777" w:rsidR="006E59AA" w:rsidRDefault="00E74C50">
      <w:pPr>
        <w:pStyle w:val="Heading3"/>
        <w:keepNext w:val="0"/>
        <w:keepLines w:val="0"/>
        <w:spacing w:before="280"/>
        <w:rPr>
          <w:b/>
          <w:color w:val="000000"/>
          <w:sz w:val="26"/>
          <w:szCs w:val="26"/>
        </w:rPr>
      </w:pPr>
      <w:bookmarkStart w:id="0" w:name="_heading=h.3xysbedokly8" w:colFirst="0" w:colLast="0"/>
      <w:bookmarkEnd w:id="0"/>
      <w:r>
        <w:rPr>
          <w:b/>
          <w:color w:val="000000"/>
          <w:sz w:val="26"/>
          <w:szCs w:val="26"/>
        </w:rPr>
        <w:t>Study Overview: Data and Models</w:t>
      </w:r>
    </w:p>
    <w:p w14:paraId="4A62D826"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 xml:space="preserve">The 30 studies span diverse settings (Africa, Europe, Asia, mobile health) and tasks (national birth forecasts, fertility preference classification, pregnancy prediction, etc.). Common data sources include Demographic and Health Surveys (DHS), national vital statistics, and personal </w:t>
      </w:r>
      <w:r>
        <w:rPr>
          <w:rFonts w:ascii="Arial" w:eastAsia="Arial" w:hAnsi="Arial" w:cs="Arial"/>
          <w:color w:val="000000"/>
          <w:sz w:val="22"/>
          <w:szCs w:val="22"/>
        </w:rPr>
        <w:lastRenderedPageBreak/>
        <w:t>health apps. Most studies treat fertility outcomes as either classification (e.g. low vs high fertility, or desire for more children) or time-series forecasting (e.g. births per month). Input features vary: demographic surveys typically include age, education, wealth, parity, contraceptive use; forecasting models incorporate socioeconomics (GDP, employment, education) and temporal trends; app-based pregnancy models use behavioral logs (e.g. sexual activity, cycle data).</w:t>
      </w:r>
    </w:p>
    <w:p w14:paraId="4D0B0956"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b/>
          <w:color w:val="000000"/>
          <w:sz w:val="22"/>
          <w:szCs w:val="22"/>
        </w:rPr>
        <w:t>Models:</w:t>
      </w:r>
      <w:r>
        <w:rPr>
          <w:rFonts w:ascii="Arial" w:eastAsia="Arial" w:hAnsi="Arial" w:cs="Arial"/>
          <w:color w:val="000000"/>
          <w:sz w:val="22"/>
          <w:szCs w:val="22"/>
        </w:rPr>
        <w:t xml:space="preserve"> A variety of AI algorithms have been applied. Random Forest (RF) and </w:t>
      </w:r>
      <w:proofErr w:type="spellStart"/>
      <w:r>
        <w:rPr>
          <w:rFonts w:ascii="Arial" w:eastAsia="Arial" w:hAnsi="Arial" w:cs="Arial"/>
          <w:color w:val="000000"/>
          <w:sz w:val="22"/>
          <w:szCs w:val="22"/>
        </w:rPr>
        <w:t>XGBoost</w:t>
      </w:r>
      <w:proofErr w:type="spellEnd"/>
      <w:r>
        <w:rPr>
          <w:rFonts w:ascii="Arial" w:eastAsia="Arial" w:hAnsi="Arial" w:cs="Arial"/>
          <w:color w:val="000000"/>
          <w:sz w:val="22"/>
          <w:szCs w:val="22"/>
        </w:rPr>
        <w:t xml:space="preserve"> are popular for classification tasks due to robustness. For time-series forecasting of births, techniques include ensemble tree methods, gradient boosting, and recurrent neural networks (RNNs). Deep learning models (especially LSTM-based RNNs) are prominent for sequential prediction. For example, Xue </w:t>
      </w:r>
      <w:r>
        <w:rPr>
          <w:rFonts w:ascii="Arial" w:eastAsia="Arial" w:hAnsi="Arial" w:cs="Arial"/>
          <w:i/>
          <w:color w:val="000000"/>
          <w:sz w:val="22"/>
          <w:szCs w:val="22"/>
        </w:rPr>
        <w:t>et al.</w:t>
      </w:r>
      <w:r>
        <w:rPr>
          <w:rFonts w:ascii="Arial" w:eastAsia="Arial" w:hAnsi="Arial" w:cs="Arial"/>
          <w:color w:val="000000"/>
          <w:sz w:val="22"/>
          <w:szCs w:val="22"/>
        </w:rPr>
        <w:t xml:space="preserve"> designed an LSTM with attention (BRP-Net) to forecast city-level births in China. Traditional models (ARIMA, linear regression) often serve as baselines. Table </w:t>
      </w:r>
      <w:proofErr w:type="gramStart"/>
      <w:r>
        <w:rPr>
          <w:rFonts w:ascii="Arial" w:eastAsia="Arial" w:hAnsi="Arial" w:cs="Arial"/>
          <w:color w:val="000000"/>
          <w:sz w:val="22"/>
          <w:szCs w:val="22"/>
        </w:rPr>
        <w:t>1  would</w:t>
      </w:r>
      <w:proofErr w:type="gramEnd"/>
      <w:r>
        <w:rPr>
          <w:rFonts w:ascii="Arial" w:eastAsia="Arial" w:hAnsi="Arial" w:cs="Arial"/>
          <w:color w:val="000000"/>
          <w:sz w:val="22"/>
          <w:szCs w:val="22"/>
        </w:rPr>
        <w:t xml:space="preserve"> compare tasks, datasets, and models.</w:t>
      </w:r>
    </w:p>
    <w:p w14:paraId="3B7218C9"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0"/>
          <w:szCs w:val="20"/>
        </w:rPr>
        <w:t>Table 1. Study Overview — Data Sources and Models</w:t>
      </w:r>
    </w:p>
    <w:p w14:paraId="232DAA1E" w14:textId="77777777" w:rsidR="006E59AA" w:rsidRDefault="006E59AA">
      <w:pPr>
        <w:pBdr>
          <w:top w:val="nil"/>
          <w:left w:val="nil"/>
          <w:bottom w:val="nil"/>
          <w:right w:val="nil"/>
          <w:between w:val="nil"/>
        </w:pBdr>
        <w:spacing w:line="276" w:lineRule="auto"/>
        <w:rPr>
          <w:rFonts w:ascii="Arial" w:eastAsia="Arial" w:hAnsi="Arial" w:cs="Arial"/>
          <w:color w:val="000000"/>
          <w:sz w:val="22"/>
          <w:szCs w:val="22"/>
        </w:rPr>
      </w:pPr>
    </w:p>
    <w:tbl>
      <w:tblPr>
        <w:tblStyle w:val="a"/>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560"/>
        <w:gridCol w:w="1560"/>
        <w:gridCol w:w="1560"/>
        <w:gridCol w:w="1560"/>
        <w:gridCol w:w="1560"/>
        <w:gridCol w:w="1560"/>
      </w:tblGrid>
      <w:tr w:rsidR="006E59AA" w14:paraId="1CC0C860" w14:textId="77777777">
        <w:trPr>
          <w:trHeight w:val="508"/>
        </w:trPr>
        <w:tc>
          <w:tcPr>
            <w:tcW w:w="1560" w:type="dxa"/>
            <w:tcBorders>
              <w:top w:val="nil"/>
              <w:left w:val="nil"/>
              <w:bottom w:val="nil"/>
              <w:right w:val="nil"/>
            </w:tcBorders>
            <w:shd w:val="clear" w:color="auto" w:fill="auto"/>
            <w:tcMar>
              <w:top w:w="80" w:type="dxa"/>
              <w:left w:w="80" w:type="dxa"/>
              <w:bottom w:w="80" w:type="dxa"/>
              <w:right w:w="80" w:type="dxa"/>
            </w:tcMar>
          </w:tcPr>
          <w:p w14:paraId="29E4053C"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Study</w:t>
            </w:r>
          </w:p>
        </w:tc>
        <w:tc>
          <w:tcPr>
            <w:tcW w:w="1560" w:type="dxa"/>
            <w:tcBorders>
              <w:top w:val="nil"/>
              <w:left w:val="nil"/>
              <w:bottom w:val="nil"/>
              <w:right w:val="nil"/>
            </w:tcBorders>
            <w:shd w:val="clear" w:color="auto" w:fill="auto"/>
            <w:tcMar>
              <w:top w:w="80" w:type="dxa"/>
              <w:left w:w="80" w:type="dxa"/>
              <w:bottom w:w="80" w:type="dxa"/>
              <w:right w:w="80" w:type="dxa"/>
            </w:tcMar>
          </w:tcPr>
          <w:p w14:paraId="2BA99B73"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Country/Region</w:t>
            </w:r>
          </w:p>
        </w:tc>
        <w:tc>
          <w:tcPr>
            <w:tcW w:w="1560" w:type="dxa"/>
            <w:tcBorders>
              <w:top w:val="nil"/>
              <w:left w:val="nil"/>
              <w:bottom w:val="nil"/>
              <w:right w:val="nil"/>
            </w:tcBorders>
            <w:shd w:val="clear" w:color="auto" w:fill="auto"/>
            <w:tcMar>
              <w:top w:w="80" w:type="dxa"/>
              <w:left w:w="80" w:type="dxa"/>
              <w:bottom w:w="80" w:type="dxa"/>
              <w:right w:w="80" w:type="dxa"/>
            </w:tcMar>
          </w:tcPr>
          <w:p w14:paraId="24BD5DA6"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Task</w:t>
            </w:r>
          </w:p>
        </w:tc>
        <w:tc>
          <w:tcPr>
            <w:tcW w:w="1560" w:type="dxa"/>
            <w:tcBorders>
              <w:top w:val="nil"/>
              <w:left w:val="nil"/>
              <w:bottom w:val="nil"/>
              <w:right w:val="nil"/>
            </w:tcBorders>
            <w:shd w:val="clear" w:color="auto" w:fill="auto"/>
            <w:tcMar>
              <w:top w:w="80" w:type="dxa"/>
              <w:left w:w="80" w:type="dxa"/>
              <w:bottom w:w="80" w:type="dxa"/>
              <w:right w:w="80" w:type="dxa"/>
            </w:tcMar>
          </w:tcPr>
          <w:p w14:paraId="0FBE7F1A"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Model(s) Used</w:t>
            </w:r>
          </w:p>
        </w:tc>
        <w:tc>
          <w:tcPr>
            <w:tcW w:w="1560" w:type="dxa"/>
            <w:tcBorders>
              <w:top w:val="nil"/>
              <w:left w:val="nil"/>
              <w:bottom w:val="nil"/>
              <w:right w:val="nil"/>
            </w:tcBorders>
            <w:shd w:val="clear" w:color="auto" w:fill="auto"/>
            <w:tcMar>
              <w:top w:w="80" w:type="dxa"/>
              <w:left w:w="80" w:type="dxa"/>
              <w:bottom w:w="80" w:type="dxa"/>
              <w:right w:w="80" w:type="dxa"/>
            </w:tcMar>
          </w:tcPr>
          <w:p w14:paraId="1A1EBB19"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Data Source</w:t>
            </w:r>
          </w:p>
        </w:tc>
        <w:tc>
          <w:tcPr>
            <w:tcW w:w="1560" w:type="dxa"/>
            <w:tcBorders>
              <w:top w:val="nil"/>
              <w:left w:val="nil"/>
              <w:bottom w:val="nil"/>
              <w:right w:val="nil"/>
            </w:tcBorders>
            <w:shd w:val="clear" w:color="auto" w:fill="auto"/>
            <w:tcMar>
              <w:top w:w="80" w:type="dxa"/>
              <w:left w:w="80" w:type="dxa"/>
              <w:bottom w:w="80" w:type="dxa"/>
              <w:right w:w="80" w:type="dxa"/>
            </w:tcMar>
          </w:tcPr>
          <w:p w14:paraId="27FC7FD5"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Input Features</w:t>
            </w:r>
          </w:p>
        </w:tc>
      </w:tr>
      <w:tr w:rsidR="006E59AA" w14:paraId="34666DAF" w14:textId="77777777">
        <w:trPr>
          <w:trHeight w:val="783"/>
        </w:trPr>
        <w:tc>
          <w:tcPr>
            <w:tcW w:w="1560" w:type="dxa"/>
            <w:tcBorders>
              <w:top w:val="nil"/>
              <w:left w:val="nil"/>
              <w:bottom w:val="nil"/>
              <w:right w:val="nil"/>
            </w:tcBorders>
            <w:shd w:val="clear" w:color="auto" w:fill="auto"/>
            <w:tcMar>
              <w:top w:w="80" w:type="dxa"/>
              <w:left w:w="80" w:type="dxa"/>
              <w:bottom w:w="80" w:type="dxa"/>
              <w:right w:w="80" w:type="dxa"/>
            </w:tcMar>
          </w:tcPr>
          <w:p w14:paraId="2AD3D4FB"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Tadese et al. (2024)</w:t>
            </w:r>
          </w:p>
        </w:tc>
        <w:tc>
          <w:tcPr>
            <w:tcW w:w="1560" w:type="dxa"/>
            <w:tcBorders>
              <w:top w:val="nil"/>
              <w:left w:val="nil"/>
              <w:bottom w:val="nil"/>
              <w:right w:val="nil"/>
            </w:tcBorders>
            <w:shd w:val="clear" w:color="auto" w:fill="auto"/>
            <w:tcMar>
              <w:top w:w="80" w:type="dxa"/>
              <w:left w:w="80" w:type="dxa"/>
              <w:bottom w:w="80" w:type="dxa"/>
              <w:right w:w="80" w:type="dxa"/>
            </w:tcMar>
          </w:tcPr>
          <w:p w14:paraId="1B9E6D50"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Nigeria</w:t>
            </w:r>
          </w:p>
        </w:tc>
        <w:tc>
          <w:tcPr>
            <w:tcW w:w="1560" w:type="dxa"/>
            <w:tcBorders>
              <w:top w:val="nil"/>
              <w:left w:val="nil"/>
              <w:bottom w:val="nil"/>
              <w:right w:val="nil"/>
            </w:tcBorders>
            <w:shd w:val="clear" w:color="auto" w:fill="auto"/>
            <w:tcMar>
              <w:top w:w="80" w:type="dxa"/>
              <w:left w:w="80" w:type="dxa"/>
              <w:bottom w:w="80" w:type="dxa"/>
              <w:right w:w="80" w:type="dxa"/>
            </w:tcMar>
          </w:tcPr>
          <w:p w14:paraId="27D45E85"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Fertility preference classification</w:t>
            </w:r>
          </w:p>
        </w:tc>
        <w:tc>
          <w:tcPr>
            <w:tcW w:w="1560" w:type="dxa"/>
            <w:tcBorders>
              <w:top w:val="nil"/>
              <w:left w:val="nil"/>
              <w:bottom w:val="nil"/>
              <w:right w:val="nil"/>
            </w:tcBorders>
            <w:shd w:val="clear" w:color="auto" w:fill="auto"/>
            <w:tcMar>
              <w:top w:w="80" w:type="dxa"/>
              <w:left w:w="80" w:type="dxa"/>
              <w:bottom w:w="80" w:type="dxa"/>
              <w:right w:w="80" w:type="dxa"/>
            </w:tcMar>
          </w:tcPr>
          <w:p w14:paraId="193AE099"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RF, </w:t>
            </w:r>
            <w:proofErr w:type="spellStart"/>
            <w:r>
              <w:rPr>
                <w:rFonts w:ascii="Arial" w:eastAsia="Arial" w:hAnsi="Arial" w:cs="Arial"/>
                <w:color w:val="000000"/>
                <w:sz w:val="22"/>
                <w:szCs w:val="22"/>
              </w:rPr>
              <w:t>XGBoost</w:t>
            </w:r>
            <w:proofErr w:type="spellEnd"/>
          </w:p>
        </w:tc>
        <w:tc>
          <w:tcPr>
            <w:tcW w:w="1560" w:type="dxa"/>
            <w:tcBorders>
              <w:top w:val="nil"/>
              <w:left w:val="nil"/>
              <w:bottom w:val="nil"/>
              <w:right w:val="nil"/>
            </w:tcBorders>
            <w:shd w:val="clear" w:color="auto" w:fill="auto"/>
            <w:tcMar>
              <w:top w:w="80" w:type="dxa"/>
              <w:left w:w="80" w:type="dxa"/>
              <w:bottom w:w="80" w:type="dxa"/>
              <w:right w:w="80" w:type="dxa"/>
            </w:tcMar>
          </w:tcPr>
          <w:p w14:paraId="02C6FD9D"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DHS</w:t>
            </w:r>
          </w:p>
        </w:tc>
        <w:tc>
          <w:tcPr>
            <w:tcW w:w="1560" w:type="dxa"/>
            <w:tcBorders>
              <w:top w:val="nil"/>
              <w:left w:val="nil"/>
              <w:bottom w:val="nil"/>
              <w:right w:val="nil"/>
            </w:tcBorders>
            <w:shd w:val="clear" w:color="auto" w:fill="auto"/>
            <w:tcMar>
              <w:top w:w="80" w:type="dxa"/>
              <w:left w:w="80" w:type="dxa"/>
              <w:bottom w:w="80" w:type="dxa"/>
              <w:right w:w="80" w:type="dxa"/>
            </w:tcMar>
          </w:tcPr>
          <w:p w14:paraId="26FC3412"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Age, parity, education</w:t>
            </w:r>
          </w:p>
        </w:tc>
      </w:tr>
      <w:tr w:rsidR="006E59AA" w14:paraId="0836526D" w14:textId="77777777">
        <w:trPr>
          <w:trHeight w:val="783"/>
        </w:trPr>
        <w:tc>
          <w:tcPr>
            <w:tcW w:w="1560" w:type="dxa"/>
            <w:tcBorders>
              <w:top w:val="nil"/>
              <w:left w:val="nil"/>
              <w:bottom w:val="nil"/>
              <w:right w:val="nil"/>
            </w:tcBorders>
            <w:shd w:val="clear" w:color="auto" w:fill="auto"/>
            <w:tcMar>
              <w:top w:w="80" w:type="dxa"/>
              <w:left w:w="80" w:type="dxa"/>
              <w:bottom w:w="80" w:type="dxa"/>
              <w:right w:w="80" w:type="dxa"/>
            </w:tcMar>
          </w:tcPr>
          <w:p w14:paraId="588AA691"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proofErr w:type="spellStart"/>
            <w:r>
              <w:rPr>
                <w:rFonts w:ascii="Arial" w:eastAsia="Arial" w:hAnsi="Arial" w:cs="Arial"/>
                <w:color w:val="000000"/>
                <w:sz w:val="22"/>
                <w:szCs w:val="22"/>
              </w:rPr>
              <w:t>Tzitiridou</w:t>
            </w:r>
            <w:proofErr w:type="spellEnd"/>
            <w:r>
              <w:rPr>
                <w:rFonts w:ascii="Arial" w:eastAsia="Arial" w:hAnsi="Arial" w:cs="Arial"/>
                <w:color w:val="000000"/>
                <w:sz w:val="22"/>
                <w:szCs w:val="22"/>
              </w:rPr>
              <w:t>-Chatzopoulou et al. (2024)</w:t>
            </w:r>
          </w:p>
        </w:tc>
        <w:tc>
          <w:tcPr>
            <w:tcW w:w="1560" w:type="dxa"/>
            <w:tcBorders>
              <w:top w:val="nil"/>
              <w:left w:val="nil"/>
              <w:bottom w:val="nil"/>
              <w:right w:val="nil"/>
            </w:tcBorders>
            <w:shd w:val="clear" w:color="auto" w:fill="auto"/>
            <w:tcMar>
              <w:top w:w="80" w:type="dxa"/>
              <w:left w:w="80" w:type="dxa"/>
              <w:bottom w:w="80" w:type="dxa"/>
              <w:right w:w="80" w:type="dxa"/>
            </w:tcMar>
          </w:tcPr>
          <w:p w14:paraId="5A24FA44"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Scotland</w:t>
            </w:r>
          </w:p>
        </w:tc>
        <w:tc>
          <w:tcPr>
            <w:tcW w:w="1560" w:type="dxa"/>
            <w:tcBorders>
              <w:top w:val="nil"/>
              <w:left w:val="nil"/>
              <w:bottom w:val="nil"/>
              <w:right w:val="nil"/>
            </w:tcBorders>
            <w:shd w:val="clear" w:color="auto" w:fill="auto"/>
            <w:tcMar>
              <w:top w:w="80" w:type="dxa"/>
              <w:left w:w="80" w:type="dxa"/>
              <w:bottom w:w="80" w:type="dxa"/>
              <w:right w:w="80" w:type="dxa"/>
            </w:tcMar>
          </w:tcPr>
          <w:p w14:paraId="57A1EAA1"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Monthly birth forecasting</w:t>
            </w:r>
          </w:p>
        </w:tc>
        <w:tc>
          <w:tcPr>
            <w:tcW w:w="1560" w:type="dxa"/>
            <w:tcBorders>
              <w:top w:val="nil"/>
              <w:left w:val="nil"/>
              <w:bottom w:val="nil"/>
              <w:right w:val="nil"/>
            </w:tcBorders>
            <w:shd w:val="clear" w:color="auto" w:fill="auto"/>
            <w:tcMar>
              <w:top w:w="80" w:type="dxa"/>
              <w:left w:w="80" w:type="dxa"/>
              <w:bottom w:w="80" w:type="dxa"/>
              <w:right w:w="80" w:type="dxa"/>
            </w:tcMar>
          </w:tcPr>
          <w:p w14:paraId="79B2F9DA"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proofErr w:type="spellStart"/>
            <w:r>
              <w:rPr>
                <w:rFonts w:ascii="Arial" w:eastAsia="Arial" w:hAnsi="Arial" w:cs="Arial"/>
                <w:color w:val="000000"/>
                <w:sz w:val="22"/>
                <w:szCs w:val="22"/>
              </w:rPr>
              <w:t>XGBoost</w:t>
            </w:r>
            <w:proofErr w:type="spellEnd"/>
            <w:r>
              <w:rPr>
                <w:rFonts w:ascii="Arial" w:eastAsia="Arial" w:hAnsi="Arial" w:cs="Arial"/>
                <w:color w:val="000000"/>
                <w:sz w:val="22"/>
                <w:szCs w:val="22"/>
              </w:rPr>
              <w:t>, ARIMA, Prophet, RF</w:t>
            </w:r>
          </w:p>
        </w:tc>
        <w:tc>
          <w:tcPr>
            <w:tcW w:w="1560" w:type="dxa"/>
            <w:tcBorders>
              <w:top w:val="nil"/>
              <w:left w:val="nil"/>
              <w:bottom w:val="nil"/>
              <w:right w:val="nil"/>
            </w:tcBorders>
            <w:shd w:val="clear" w:color="auto" w:fill="auto"/>
            <w:tcMar>
              <w:top w:w="80" w:type="dxa"/>
              <w:left w:w="80" w:type="dxa"/>
              <w:bottom w:w="80" w:type="dxa"/>
              <w:right w:w="80" w:type="dxa"/>
            </w:tcMar>
          </w:tcPr>
          <w:p w14:paraId="62281874"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Vital stats</w:t>
            </w:r>
          </w:p>
        </w:tc>
        <w:tc>
          <w:tcPr>
            <w:tcW w:w="1560" w:type="dxa"/>
            <w:tcBorders>
              <w:top w:val="nil"/>
              <w:left w:val="nil"/>
              <w:bottom w:val="nil"/>
              <w:right w:val="nil"/>
            </w:tcBorders>
            <w:shd w:val="clear" w:color="auto" w:fill="auto"/>
            <w:tcMar>
              <w:top w:w="80" w:type="dxa"/>
              <w:left w:w="80" w:type="dxa"/>
              <w:bottom w:w="80" w:type="dxa"/>
              <w:right w:w="80" w:type="dxa"/>
            </w:tcMar>
          </w:tcPr>
          <w:p w14:paraId="373F0883"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Economic indicators</w:t>
            </w:r>
          </w:p>
        </w:tc>
      </w:tr>
      <w:tr w:rsidR="006E59AA" w14:paraId="187B4217" w14:textId="77777777">
        <w:trPr>
          <w:trHeight w:val="783"/>
        </w:trPr>
        <w:tc>
          <w:tcPr>
            <w:tcW w:w="1560" w:type="dxa"/>
            <w:tcBorders>
              <w:top w:val="nil"/>
              <w:left w:val="nil"/>
              <w:bottom w:val="nil"/>
              <w:right w:val="nil"/>
            </w:tcBorders>
            <w:shd w:val="clear" w:color="auto" w:fill="auto"/>
            <w:tcMar>
              <w:top w:w="80" w:type="dxa"/>
              <w:left w:w="80" w:type="dxa"/>
              <w:bottom w:w="80" w:type="dxa"/>
              <w:right w:w="80" w:type="dxa"/>
            </w:tcMar>
          </w:tcPr>
          <w:p w14:paraId="2704C1FE"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Xue et al. (2024)</w:t>
            </w:r>
          </w:p>
        </w:tc>
        <w:tc>
          <w:tcPr>
            <w:tcW w:w="1560" w:type="dxa"/>
            <w:tcBorders>
              <w:top w:val="nil"/>
              <w:left w:val="nil"/>
              <w:bottom w:val="nil"/>
              <w:right w:val="nil"/>
            </w:tcBorders>
            <w:shd w:val="clear" w:color="auto" w:fill="auto"/>
            <w:tcMar>
              <w:top w:w="80" w:type="dxa"/>
              <w:left w:w="80" w:type="dxa"/>
              <w:bottom w:w="80" w:type="dxa"/>
              <w:right w:w="80" w:type="dxa"/>
            </w:tcMar>
          </w:tcPr>
          <w:p w14:paraId="7C92EF0F"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China</w:t>
            </w:r>
          </w:p>
        </w:tc>
        <w:tc>
          <w:tcPr>
            <w:tcW w:w="1560" w:type="dxa"/>
            <w:tcBorders>
              <w:top w:val="nil"/>
              <w:left w:val="nil"/>
              <w:bottom w:val="nil"/>
              <w:right w:val="nil"/>
            </w:tcBorders>
            <w:shd w:val="clear" w:color="auto" w:fill="auto"/>
            <w:tcMar>
              <w:top w:w="80" w:type="dxa"/>
              <w:left w:w="80" w:type="dxa"/>
              <w:bottom w:w="80" w:type="dxa"/>
              <w:right w:w="80" w:type="dxa"/>
            </w:tcMar>
          </w:tcPr>
          <w:p w14:paraId="2BE9FEB9"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City-level birth prediction</w:t>
            </w:r>
          </w:p>
        </w:tc>
        <w:tc>
          <w:tcPr>
            <w:tcW w:w="1560" w:type="dxa"/>
            <w:tcBorders>
              <w:top w:val="nil"/>
              <w:left w:val="nil"/>
              <w:bottom w:val="nil"/>
              <w:right w:val="nil"/>
            </w:tcBorders>
            <w:shd w:val="clear" w:color="auto" w:fill="auto"/>
            <w:tcMar>
              <w:top w:w="80" w:type="dxa"/>
              <w:left w:w="80" w:type="dxa"/>
              <w:bottom w:w="80" w:type="dxa"/>
              <w:right w:w="80" w:type="dxa"/>
            </w:tcMar>
          </w:tcPr>
          <w:p w14:paraId="4ADDC4D1"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Attention LSTM (BRP-Net)</w:t>
            </w:r>
          </w:p>
        </w:tc>
        <w:tc>
          <w:tcPr>
            <w:tcW w:w="1560" w:type="dxa"/>
            <w:tcBorders>
              <w:top w:val="nil"/>
              <w:left w:val="nil"/>
              <w:bottom w:val="nil"/>
              <w:right w:val="nil"/>
            </w:tcBorders>
            <w:shd w:val="clear" w:color="auto" w:fill="auto"/>
            <w:tcMar>
              <w:top w:w="80" w:type="dxa"/>
              <w:left w:w="80" w:type="dxa"/>
              <w:bottom w:w="80" w:type="dxa"/>
              <w:right w:w="80" w:type="dxa"/>
            </w:tcMar>
          </w:tcPr>
          <w:p w14:paraId="38D455F3"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Regional stats</w:t>
            </w:r>
          </w:p>
        </w:tc>
        <w:tc>
          <w:tcPr>
            <w:tcW w:w="1560" w:type="dxa"/>
            <w:tcBorders>
              <w:top w:val="nil"/>
              <w:left w:val="nil"/>
              <w:bottom w:val="nil"/>
              <w:right w:val="nil"/>
            </w:tcBorders>
            <w:shd w:val="clear" w:color="auto" w:fill="auto"/>
            <w:tcMar>
              <w:top w:w="80" w:type="dxa"/>
              <w:left w:w="80" w:type="dxa"/>
              <w:bottom w:w="80" w:type="dxa"/>
              <w:right w:w="80" w:type="dxa"/>
            </w:tcMar>
          </w:tcPr>
          <w:p w14:paraId="44F224D1"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GDP, housing prices, % women</w:t>
            </w:r>
          </w:p>
        </w:tc>
      </w:tr>
      <w:tr w:rsidR="006E59AA" w14:paraId="419FD51A" w14:textId="77777777">
        <w:trPr>
          <w:trHeight w:val="508"/>
        </w:trPr>
        <w:tc>
          <w:tcPr>
            <w:tcW w:w="1560" w:type="dxa"/>
            <w:tcBorders>
              <w:top w:val="nil"/>
              <w:left w:val="nil"/>
              <w:bottom w:val="nil"/>
              <w:right w:val="nil"/>
            </w:tcBorders>
            <w:shd w:val="clear" w:color="auto" w:fill="auto"/>
            <w:tcMar>
              <w:top w:w="80" w:type="dxa"/>
              <w:left w:w="80" w:type="dxa"/>
              <w:bottom w:w="80" w:type="dxa"/>
              <w:right w:w="80" w:type="dxa"/>
            </w:tcMar>
          </w:tcPr>
          <w:p w14:paraId="4BA32FDE"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Pierson et al. (2019)</w:t>
            </w:r>
          </w:p>
        </w:tc>
        <w:tc>
          <w:tcPr>
            <w:tcW w:w="1560" w:type="dxa"/>
            <w:tcBorders>
              <w:top w:val="nil"/>
              <w:left w:val="nil"/>
              <w:bottom w:val="nil"/>
              <w:right w:val="nil"/>
            </w:tcBorders>
            <w:shd w:val="clear" w:color="auto" w:fill="auto"/>
            <w:tcMar>
              <w:top w:w="80" w:type="dxa"/>
              <w:left w:w="80" w:type="dxa"/>
              <w:bottom w:w="80" w:type="dxa"/>
              <w:right w:w="80" w:type="dxa"/>
            </w:tcMar>
          </w:tcPr>
          <w:p w14:paraId="4E702460"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USA (App data)</w:t>
            </w:r>
          </w:p>
        </w:tc>
        <w:tc>
          <w:tcPr>
            <w:tcW w:w="1560" w:type="dxa"/>
            <w:tcBorders>
              <w:top w:val="nil"/>
              <w:left w:val="nil"/>
              <w:bottom w:val="nil"/>
              <w:right w:val="nil"/>
            </w:tcBorders>
            <w:shd w:val="clear" w:color="auto" w:fill="auto"/>
            <w:tcMar>
              <w:top w:w="80" w:type="dxa"/>
              <w:left w:w="80" w:type="dxa"/>
              <w:bottom w:w="80" w:type="dxa"/>
              <w:right w:w="80" w:type="dxa"/>
            </w:tcMar>
          </w:tcPr>
          <w:p w14:paraId="3F3050B7"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Pregnancy prediction</w:t>
            </w:r>
          </w:p>
        </w:tc>
        <w:tc>
          <w:tcPr>
            <w:tcW w:w="1560" w:type="dxa"/>
            <w:tcBorders>
              <w:top w:val="nil"/>
              <w:left w:val="nil"/>
              <w:bottom w:val="nil"/>
              <w:right w:val="nil"/>
            </w:tcBorders>
            <w:shd w:val="clear" w:color="auto" w:fill="auto"/>
            <w:tcMar>
              <w:top w:w="80" w:type="dxa"/>
              <w:left w:w="80" w:type="dxa"/>
              <w:bottom w:w="80" w:type="dxa"/>
              <w:right w:w="80" w:type="dxa"/>
            </w:tcMar>
          </w:tcPr>
          <w:p w14:paraId="3B954E27"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LSTM</w:t>
            </w:r>
          </w:p>
        </w:tc>
        <w:tc>
          <w:tcPr>
            <w:tcW w:w="1560" w:type="dxa"/>
            <w:tcBorders>
              <w:top w:val="nil"/>
              <w:left w:val="nil"/>
              <w:bottom w:val="nil"/>
              <w:right w:val="nil"/>
            </w:tcBorders>
            <w:shd w:val="clear" w:color="auto" w:fill="auto"/>
            <w:tcMar>
              <w:top w:w="80" w:type="dxa"/>
              <w:left w:w="80" w:type="dxa"/>
              <w:bottom w:w="80" w:type="dxa"/>
              <w:right w:w="80" w:type="dxa"/>
            </w:tcMar>
          </w:tcPr>
          <w:p w14:paraId="69E4078E"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Menstrual app</w:t>
            </w:r>
          </w:p>
        </w:tc>
        <w:tc>
          <w:tcPr>
            <w:tcW w:w="1560" w:type="dxa"/>
            <w:tcBorders>
              <w:top w:val="nil"/>
              <w:left w:val="nil"/>
              <w:bottom w:val="nil"/>
              <w:right w:val="nil"/>
            </w:tcBorders>
            <w:shd w:val="clear" w:color="auto" w:fill="auto"/>
            <w:tcMar>
              <w:top w:w="80" w:type="dxa"/>
              <w:left w:w="80" w:type="dxa"/>
              <w:bottom w:w="80" w:type="dxa"/>
              <w:right w:w="80" w:type="dxa"/>
            </w:tcMar>
          </w:tcPr>
          <w:p w14:paraId="6C02C72C"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Cycle logs, activity</w:t>
            </w:r>
          </w:p>
        </w:tc>
      </w:tr>
      <w:tr w:rsidR="006E59AA" w14:paraId="36BB631B" w14:textId="77777777">
        <w:trPr>
          <w:trHeight w:val="508"/>
        </w:trPr>
        <w:tc>
          <w:tcPr>
            <w:tcW w:w="1560" w:type="dxa"/>
            <w:tcBorders>
              <w:top w:val="nil"/>
              <w:left w:val="nil"/>
              <w:bottom w:val="nil"/>
              <w:right w:val="nil"/>
            </w:tcBorders>
            <w:shd w:val="clear" w:color="auto" w:fill="auto"/>
            <w:tcMar>
              <w:top w:w="80" w:type="dxa"/>
              <w:left w:w="80" w:type="dxa"/>
              <w:bottom w:w="80" w:type="dxa"/>
              <w:right w:w="80" w:type="dxa"/>
            </w:tcMar>
          </w:tcPr>
          <w:p w14:paraId="2BBF1280"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Braude et al. (2024)</w:t>
            </w:r>
          </w:p>
        </w:tc>
        <w:tc>
          <w:tcPr>
            <w:tcW w:w="1560" w:type="dxa"/>
            <w:tcBorders>
              <w:top w:val="nil"/>
              <w:left w:val="nil"/>
              <w:bottom w:val="nil"/>
              <w:right w:val="nil"/>
            </w:tcBorders>
            <w:shd w:val="clear" w:color="auto" w:fill="auto"/>
            <w:tcMar>
              <w:top w:w="80" w:type="dxa"/>
              <w:left w:w="80" w:type="dxa"/>
              <w:bottom w:w="80" w:type="dxa"/>
              <w:right w:w="80" w:type="dxa"/>
            </w:tcMar>
          </w:tcPr>
          <w:p w14:paraId="5C3579FC"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Israel</w:t>
            </w:r>
          </w:p>
        </w:tc>
        <w:tc>
          <w:tcPr>
            <w:tcW w:w="1560" w:type="dxa"/>
            <w:tcBorders>
              <w:top w:val="nil"/>
              <w:left w:val="nil"/>
              <w:bottom w:val="nil"/>
              <w:right w:val="nil"/>
            </w:tcBorders>
            <w:shd w:val="clear" w:color="auto" w:fill="auto"/>
            <w:tcMar>
              <w:top w:w="80" w:type="dxa"/>
              <w:left w:w="80" w:type="dxa"/>
              <w:bottom w:w="80" w:type="dxa"/>
              <w:right w:w="80" w:type="dxa"/>
            </w:tcMar>
          </w:tcPr>
          <w:p w14:paraId="0A95AF50"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IVF egg yield prediction</w:t>
            </w:r>
          </w:p>
        </w:tc>
        <w:tc>
          <w:tcPr>
            <w:tcW w:w="1560" w:type="dxa"/>
            <w:tcBorders>
              <w:top w:val="nil"/>
              <w:left w:val="nil"/>
              <w:bottom w:val="nil"/>
              <w:right w:val="nil"/>
            </w:tcBorders>
            <w:shd w:val="clear" w:color="auto" w:fill="auto"/>
            <w:tcMar>
              <w:top w:w="80" w:type="dxa"/>
              <w:left w:w="80" w:type="dxa"/>
              <w:bottom w:w="80" w:type="dxa"/>
              <w:right w:w="80" w:type="dxa"/>
            </w:tcMar>
          </w:tcPr>
          <w:p w14:paraId="2B733FB8"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RF, </w:t>
            </w:r>
            <w:proofErr w:type="spellStart"/>
            <w:r>
              <w:rPr>
                <w:rFonts w:ascii="Arial" w:eastAsia="Arial" w:hAnsi="Arial" w:cs="Arial"/>
                <w:color w:val="000000"/>
                <w:sz w:val="22"/>
                <w:szCs w:val="22"/>
              </w:rPr>
              <w:t>XGBoost</w:t>
            </w:r>
            <w:proofErr w:type="spellEnd"/>
          </w:p>
        </w:tc>
        <w:tc>
          <w:tcPr>
            <w:tcW w:w="1560" w:type="dxa"/>
            <w:tcBorders>
              <w:top w:val="nil"/>
              <w:left w:val="nil"/>
              <w:bottom w:val="nil"/>
              <w:right w:val="nil"/>
            </w:tcBorders>
            <w:shd w:val="clear" w:color="auto" w:fill="auto"/>
            <w:tcMar>
              <w:top w:w="80" w:type="dxa"/>
              <w:left w:w="80" w:type="dxa"/>
              <w:bottom w:w="80" w:type="dxa"/>
              <w:right w:w="80" w:type="dxa"/>
            </w:tcMar>
          </w:tcPr>
          <w:p w14:paraId="7F603D66"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Fertility clinic data</w:t>
            </w:r>
          </w:p>
        </w:tc>
        <w:tc>
          <w:tcPr>
            <w:tcW w:w="1560" w:type="dxa"/>
            <w:tcBorders>
              <w:top w:val="nil"/>
              <w:left w:val="nil"/>
              <w:bottom w:val="nil"/>
              <w:right w:val="nil"/>
            </w:tcBorders>
            <w:shd w:val="clear" w:color="auto" w:fill="auto"/>
            <w:tcMar>
              <w:top w:w="80" w:type="dxa"/>
              <w:left w:w="80" w:type="dxa"/>
              <w:bottom w:w="80" w:type="dxa"/>
              <w:right w:w="80" w:type="dxa"/>
            </w:tcMar>
          </w:tcPr>
          <w:p w14:paraId="2A205DCE"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Ovarian metrics</w:t>
            </w:r>
          </w:p>
        </w:tc>
      </w:tr>
    </w:tbl>
    <w:p w14:paraId="4DD5D049" w14:textId="77777777" w:rsidR="006E59AA" w:rsidRDefault="006E59AA">
      <w:pPr>
        <w:widowControl w:val="0"/>
        <w:pBdr>
          <w:top w:val="nil"/>
          <w:left w:val="nil"/>
          <w:bottom w:val="nil"/>
          <w:right w:val="nil"/>
          <w:between w:val="nil"/>
        </w:pBdr>
        <w:rPr>
          <w:rFonts w:ascii="Arial" w:eastAsia="Arial" w:hAnsi="Arial" w:cs="Arial"/>
          <w:color w:val="000000"/>
          <w:sz w:val="22"/>
          <w:szCs w:val="22"/>
        </w:rPr>
      </w:pPr>
    </w:p>
    <w:p w14:paraId="1EA45351" w14:textId="77777777" w:rsidR="006E59AA" w:rsidRDefault="006E59AA">
      <w:pPr>
        <w:pBdr>
          <w:top w:val="nil"/>
          <w:left w:val="nil"/>
          <w:bottom w:val="nil"/>
          <w:right w:val="nil"/>
          <w:between w:val="nil"/>
        </w:pBdr>
        <w:spacing w:line="276" w:lineRule="auto"/>
        <w:rPr>
          <w:rFonts w:ascii="Arial" w:eastAsia="Arial" w:hAnsi="Arial" w:cs="Arial"/>
          <w:color w:val="000000"/>
          <w:sz w:val="22"/>
          <w:szCs w:val="22"/>
        </w:rPr>
      </w:pPr>
    </w:p>
    <w:p w14:paraId="211D1941" w14:textId="77777777" w:rsidR="006E59AA" w:rsidRDefault="006E59AA">
      <w:pPr>
        <w:pBdr>
          <w:top w:val="nil"/>
          <w:left w:val="nil"/>
          <w:bottom w:val="nil"/>
          <w:right w:val="nil"/>
          <w:between w:val="nil"/>
        </w:pBdr>
        <w:spacing w:line="276" w:lineRule="auto"/>
        <w:rPr>
          <w:rFonts w:ascii="Arial" w:eastAsia="Arial" w:hAnsi="Arial" w:cs="Arial"/>
          <w:color w:val="000000"/>
          <w:sz w:val="22"/>
          <w:szCs w:val="22"/>
        </w:rPr>
      </w:pPr>
    </w:p>
    <w:p w14:paraId="745E8962"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noProof/>
          <w:color w:val="000000"/>
          <w:sz w:val="22"/>
          <w:szCs w:val="22"/>
        </w:rPr>
        <w:lastRenderedPageBreak/>
        <w:drawing>
          <wp:inline distT="0" distB="0" distL="0" distR="0" wp14:anchorId="0A0AB0EB" wp14:editId="1526DE45">
            <wp:extent cx="5942647" cy="3689498"/>
            <wp:effectExtent l="0" t="0" r="1270" b="6350"/>
            <wp:docPr id="1073741830" name="image2.png" descr="image2.png"/>
            <wp:cNvGraphicFramePr/>
            <a:graphic xmlns:a="http://schemas.openxmlformats.org/drawingml/2006/main">
              <a:graphicData uri="http://schemas.openxmlformats.org/drawingml/2006/picture">
                <pic:pic xmlns:pic="http://schemas.openxmlformats.org/drawingml/2006/picture">
                  <pic:nvPicPr>
                    <pic:cNvPr id="0" name="image2.png" descr="image2.png"/>
                    <pic:cNvPicPr preferRelativeResize="0"/>
                  </pic:nvPicPr>
                  <pic:blipFill>
                    <a:blip r:embed="rId9"/>
                    <a:srcRect/>
                    <a:stretch>
                      <a:fillRect/>
                    </a:stretch>
                  </pic:blipFill>
                  <pic:spPr>
                    <a:xfrm>
                      <a:off x="0" y="0"/>
                      <a:ext cx="5949163" cy="3693544"/>
                    </a:xfrm>
                    <a:prstGeom prst="rect">
                      <a:avLst/>
                    </a:prstGeom>
                    <a:ln/>
                  </pic:spPr>
                </pic:pic>
              </a:graphicData>
            </a:graphic>
          </wp:inline>
        </w:drawing>
      </w:r>
    </w:p>
    <w:p w14:paraId="69C96C56"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i/>
          <w:color w:val="000000"/>
          <w:sz w:val="22"/>
          <w:szCs w:val="22"/>
        </w:rPr>
        <w:t>Model pipeline (Fig. 2):</w:t>
      </w:r>
      <w:r>
        <w:rPr>
          <w:rFonts w:ascii="Arial" w:eastAsia="Arial" w:hAnsi="Arial" w:cs="Arial"/>
          <w:color w:val="000000"/>
          <w:sz w:val="22"/>
          <w:szCs w:val="22"/>
        </w:rPr>
        <w:t xml:space="preserve"> A generic fertility prediction pipeline, drawn from examples, has: (1) </w:t>
      </w:r>
      <w:r>
        <w:rPr>
          <w:rFonts w:ascii="Arial" w:eastAsia="Arial" w:hAnsi="Arial" w:cs="Arial"/>
          <w:b/>
          <w:color w:val="000000"/>
          <w:sz w:val="22"/>
          <w:szCs w:val="22"/>
        </w:rPr>
        <w:t>Data input:</w:t>
      </w:r>
      <w:r>
        <w:rPr>
          <w:rFonts w:ascii="Arial" w:eastAsia="Arial" w:hAnsi="Arial" w:cs="Arial"/>
          <w:color w:val="000000"/>
          <w:sz w:val="22"/>
          <w:szCs w:val="22"/>
        </w:rPr>
        <w:t xml:space="preserve"> demographic/economic variables (e.g. education rate, GDP, housing prices, %women of reproductive age), or historical birth counts. (2) </w:t>
      </w:r>
      <w:r>
        <w:rPr>
          <w:rFonts w:ascii="Arial" w:eastAsia="Arial" w:hAnsi="Arial" w:cs="Arial"/>
          <w:b/>
          <w:color w:val="000000"/>
          <w:sz w:val="22"/>
          <w:szCs w:val="22"/>
        </w:rPr>
        <w:t>Preprocessing:</w:t>
      </w:r>
      <w:r>
        <w:rPr>
          <w:rFonts w:ascii="Arial" w:eastAsia="Arial" w:hAnsi="Arial" w:cs="Arial"/>
          <w:color w:val="000000"/>
          <w:sz w:val="22"/>
          <w:szCs w:val="22"/>
        </w:rPr>
        <w:t xml:space="preserve"> feature selection, normalization, encoding of categorical variables. (3) </w:t>
      </w:r>
      <w:r>
        <w:rPr>
          <w:rFonts w:ascii="Arial" w:eastAsia="Arial" w:hAnsi="Arial" w:cs="Arial"/>
          <w:b/>
          <w:color w:val="000000"/>
          <w:sz w:val="22"/>
          <w:szCs w:val="22"/>
        </w:rPr>
        <w:t>Training:</w:t>
      </w:r>
      <w:r>
        <w:rPr>
          <w:rFonts w:ascii="Arial" w:eastAsia="Arial" w:hAnsi="Arial" w:cs="Arial"/>
          <w:color w:val="000000"/>
          <w:sz w:val="22"/>
          <w:szCs w:val="22"/>
        </w:rPr>
        <w:t xml:space="preserve"> feeding data into ML models (e.g. an LSTM network or RF ensemble). (4) </w:t>
      </w:r>
      <w:r>
        <w:rPr>
          <w:rFonts w:ascii="Arial" w:eastAsia="Arial" w:hAnsi="Arial" w:cs="Arial"/>
          <w:b/>
          <w:color w:val="000000"/>
          <w:sz w:val="22"/>
          <w:szCs w:val="22"/>
        </w:rPr>
        <w:t>Evaluation:</w:t>
      </w:r>
      <w:r>
        <w:rPr>
          <w:rFonts w:ascii="Arial" w:eastAsia="Arial" w:hAnsi="Arial" w:cs="Arial"/>
          <w:color w:val="000000"/>
          <w:sz w:val="22"/>
          <w:szCs w:val="22"/>
        </w:rPr>
        <w:t xml:space="preserve"> computing metrics (AUC, F1 for classification; MAE, RMSE for regression). For instance, BRP-Net used 11 features (including house prices, female share, GDP) in a dual-attention LSTM. Random Forest classifiers in fertility studies often use survey features (parity, age, education). This pipeline yields predictions (e.g. next-month births, probability of pregnancy), which can then be deployed in planning or clinical tools.</w:t>
      </w:r>
    </w:p>
    <w:p w14:paraId="6F4E0345" w14:textId="77777777" w:rsidR="006E59AA" w:rsidRDefault="00E74C50">
      <w:pPr>
        <w:pStyle w:val="Heading3"/>
        <w:keepNext w:val="0"/>
        <w:keepLines w:val="0"/>
        <w:spacing w:before="280"/>
        <w:rPr>
          <w:b/>
          <w:color w:val="000000"/>
          <w:sz w:val="26"/>
          <w:szCs w:val="26"/>
        </w:rPr>
      </w:pPr>
      <w:bookmarkStart w:id="1" w:name="_heading=h.isx4xna4a890" w:colFirst="0" w:colLast="0"/>
      <w:bookmarkEnd w:id="1"/>
      <w:r>
        <w:rPr>
          <w:b/>
          <w:color w:val="000000"/>
          <w:sz w:val="26"/>
          <w:szCs w:val="26"/>
        </w:rPr>
        <w:t>Model Performance</w:t>
      </w:r>
    </w:p>
    <w:p w14:paraId="1EE05AB7"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Studies report a range of metrics, depending on task. In classification of binary fertility outcomes, area under ROC curve (AUC), precision, recall, and F1-score are common. For regression/forecasting of birth counts or fertility rates, mean absolute error (MAE), root-mean-square error (RMSE), mean relative error (MRE), and R² are used. We highlight real results:</w:t>
      </w:r>
    </w:p>
    <w:p w14:paraId="2004E0A5" w14:textId="77777777" w:rsidR="006E59AA" w:rsidRDefault="00E74C50">
      <w:pPr>
        <w:numPr>
          <w:ilvl w:val="0"/>
          <w:numId w:val="1"/>
        </w:numPr>
        <w:pBdr>
          <w:top w:val="nil"/>
          <w:left w:val="nil"/>
          <w:bottom w:val="nil"/>
          <w:right w:val="nil"/>
          <w:between w:val="nil"/>
        </w:pBdr>
        <w:spacing w:before="240" w:line="276" w:lineRule="auto"/>
        <w:rPr>
          <w:rFonts w:ascii="Arial" w:eastAsia="Arial" w:hAnsi="Arial" w:cs="Arial"/>
          <w:color w:val="000000"/>
          <w:sz w:val="22"/>
          <w:szCs w:val="22"/>
        </w:rPr>
      </w:pPr>
      <w:r>
        <w:rPr>
          <w:rFonts w:ascii="Arial" w:eastAsia="Arial" w:hAnsi="Arial" w:cs="Arial"/>
          <w:b/>
          <w:color w:val="000000"/>
          <w:sz w:val="22"/>
          <w:szCs w:val="22"/>
        </w:rPr>
        <w:t>Fertility Preferences (Nigeria):</w:t>
      </w:r>
      <w:r>
        <w:rPr>
          <w:rFonts w:ascii="Arial" w:eastAsia="Arial" w:hAnsi="Arial" w:cs="Arial"/>
          <w:color w:val="000000"/>
          <w:sz w:val="22"/>
          <w:szCs w:val="22"/>
        </w:rPr>
        <w:t xml:space="preserve"> Tadese </w:t>
      </w:r>
      <w:r>
        <w:rPr>
          <w:rFonts w:ascii="Arial" w:eastAsia="Arial" w:hAnsi="Arial" w:cs="Arial"/>
          <w:i/>
          <w:color w:val="000000"/>
          <w:sz w:val="22"/>
          <w:szCs w:val="22"/>
        </w:rPr>
        <w:t>et al.</w:t>
      </w:r>
      <w:r>
        <w:rPr>
          <w:rFonts w:ascii="Arial" w:eastAsia="Arial" w:hAnsi="Arial" w:cs="Arial"/>
          <w:color w:val="000000"/>
          <w:sz w:val="22"/>
          <w:szCs w:val="22"/>
        </w:rPr>
        <w:t xml:space="preserve"> (2024) applied RF and </w:t>
      </w:r>
      <w:proofErr w:type="spellStart"/>
      <w:r>
        <w:rPr>
          <w:rFonts w:ascii="Arial" w:eastAsia="Arial" w:hAnsi="Arial" w:cs="Arial"/>
          <w:color w:val="000000"/>
          <w:sz w:val="22"/>
          <w:szCs w:val="22"/>
        </w:rPr>
        <w:t>XGBoost</w:t>
      </w:r>
      <w:proofErr w:type="spellEnd"/>
      <w:r>
        <w:rPr>
          <w:rFonts w:ascii="Arial" w:eastAsia="Arial" w:hAnsi="Arial" w:cs="Arial"/>
          <w:color w:val="000000"/>
          <w:sz w:val="22"/>
          <w:szCs w:val="22"/>
        </w:rPr>
        <w:t xml:space="preserve"> to DHS data (n=37,581) to predict whether women want more children. They split 80/20 for train/test. Random Forest achieved accuracy 0.92, precision 0.94, recall 0.91, F1 0.92, AUC 0.98. </w:t>
      </w:r>
      <w:proofErr w:type="spellStart"/>
      <w:r>
        <w:rPr>
          <w:rFonts w:ascii="Arial" w:eastAsia="Arial" w:hAnsi="Arial" w:cs="Arial"/>
          <w:color w:val="000000"/>
          <w:sz w:val="22"/>
          <w:szCs w:val="22"/>
        </w:rPr>
        <w:t>XGBoost</w:t>
      </w:r>
      <w:proofErr w:type="spellEnd"/>
      <w:r>
        <w:rPr>
          <w:rFonts w:ascii="Arial" w:eastAsia="Arial" w:hAnsi="Arial" w:cs="Arial"/>
          <w:color w:val="000000"/>
          <w:sz w:val="22"/>
          <w:szCs w:val="22"/>
        </w:rPr>
        <w:t xml:space="preserve"> was nearly as good (accuracy 0.92, AUC 0.97, precision 0.92, recall 0.92). (Figure 3 compares these metrics.) RF’s edge was higher precision; XGB had </w:t>
      </w:r>
      <w:r>
        <w:rPr>
          <w:rFonts w:ascii="Arial" w:eastAsia="Arial" w:hAnsi="Arial" w:cs="Arial"/>
          <w:color w:val="000000"/>
          <w:sz w:val="22"/>
          <w:szCs w:val="22"/>
        </w:rPr>
        <w:lastRenderedPageBreak/>
        <w:t>slightly higher recall. Their confusion matrix showed balanced performance with low false positives. They identified top predictors (e.g. current parity, age) via permutation importance.</w:t>
      </w:r>
      <w:r>
        <w:rPr>
          <w:rFonts w:ascii="Arial" w:eastAsia="Arial" w:hAnsi="Arial" w:cs="Arial"/>
          <w:color w:val="000000"/>
          <w:sz w:val="22"/>
          <w:szCs w:val="22"/>
        </w:rPr>
        <w:br/>
      </w:r>
    </w:p>
    <w:p w14:paraId="762ADC53" w14:textId="77777777" w:rsidR="006E59AA" w:rsidRDefault="00E74C50">
      <w:pPr>
        <w:numPr>
          <w:ilvl w:val="0"/>
          <w:numId w:val="1"/>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Birth Forecasting (Scotland):</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Tzitiridou</w:t>
      </w:r>
      <w:proofErr w:type="spellEnd"/>
      <w:r>
        <w:rPr>
          <w:rFonts w:ascii="Arial" w:eastAsia="Arial" w:hAnsi="Arial" w:cs="Arial"/>
          <w:color w:val="000000"/>
          <w:sz w:val="22"/>
          <w:szCs w:val="22"/>
        </w:rPr>
        <w:t xml:space="preserve">-Chatzopoulou </w:t>
      </w:r>
      <w:r>
        <w:rPr>
          <w:rFonts w:ascii="Arial" w:eastAsia="Arial" w:hAnsi="Arial" w:cs="Arial"/>
          <w:i/>
          <w:color w:val="000000"/>
          <w:sz w:val="22"/>
          <w:szCs w:val="22"/>
        </w:rPr>
        <w:t>et al.</w:t>
      </w:r>
      <w:sdt>
        <w:sdtPr>
          <w:tag w:val="goog_rdk_2"/>
          <w:id w:val="-1713338436"/>
        </w:sdtPr>
        <w:sdtContent>
          <w:r>
            <w:rPr>
              <w:rFonts w:ascii="Arial Unicode MS" w:eastAsia="Arial Unicode MS" w:hAnsi="Arial Unicode MS" w:cs="Arial Unicode MS"/>
              <w:color w:val="000000"/>
              <w:sz w:val="22"/>
              <w:szCs w:val="22"/>
            </w:rPr>
            <w:t xml:space="preserve"> (2024) compared ARIMA, Prophet, Random Forest, and </w:t>
          </w:r>
          <w:proofErr w:type="spellStart"/>
          <w:r>
            <w:rPr>
              <w:rFonts w:ascii="Arial Unicode MS" w:eastAsia="Arial Unicode MS" w:hAnsi="Arial Unicode MS" w:cs="Arial Unicode MS"/>
              <w:color w:val="000000"/>
              <w:sz w:val="22"/>
              <w:szCs w:val="22"/>
            </w:rPr>
            <w:t>XGBoost</w:t>
          </w:r>
          <w:proofErr w:type="spellEnd"/>
          <w:r>
            <w:rPr>
              <w:rFonts w:ascii="Arial Unicode MS" w:eastAsia="Arial Unicode MS" w:hAnsi="Arial Unicode MS" w:cs="Arial Unicode MS"/>
              <w:color w:val="000000"/>
              <w:sz w:val="22"/>
              <w:szCs w:val="22"/>
            </w:rPr>
            <w:t xml:space="preserve"> on monthly birth series. Over a test period, </w:t>
          </w:r>
          <w:proofErr w:type="spellStart"/>
          <w:r>
            <w:rPr>
              <w:rFonts w:ascii="Arial Unicode MS" w:eastAsia="Arial Unicode MS" w:hAnsi="Arial Unicode MS" w:cs="Arial Unicode MS"/>
              <w:color w:val="000000"/>
              <w:sz w:val="22"/>
              <w:szCs w:val="22"/>
            </w:rPr>
            <w:t>XGBoost</w:t>
          </w:r>
          <w:proofErr w:type="spellEnd"/>
          <w:r>
            <w:rPr>
              <w:rFonts w:ascii="Arial Unicode MS" w:eastAsia="Arial Unicode MS" w:hAnsi="Arial Unicode MS" w:cs="Arial Unicode MS"/>
              <w:color w:val="000000"/>
              <w:sz w:val="22"/>
              <w:szCs w:val="22"/>
            </w:rPr>
            <w:t xml:space="preserve"> had the lowest error: MAE ≈0.32 and RMSE ≈0.41, outperforming RF (MAE 0.34, RMSE 0.44), Prophet (MAE 0.37), and ARIMA (MAE 0.44). Thus, extreme gradient boosting captured nonlinear trends more accurately. (Table 2 shows their results.) </w:t>
          </w:r>
          <w:proofErr w:type="spellStart"/>
          <w:r>
            <w:rPr>
              <w:rFonts w:ascii="Arial Unicode MS" w:eastAsia="Arial Unicode MS" w:hAnsi="Arial Unicode MS" w:cs="Arial Unicode MS"/>
              <w:color w:val="000000"/>
              <w:sz w:val="22"/>
              <w:szCs w:val="22"/>
            </w:rPr>
            <w:t>XGBoost</w:t>
          </w:r>
          <w:proofErr w:type="spellEnd"/>
          <w:r>
            <w:rPr>
              <w:rFonts w:ascii="Arial Unicode MS" w:eastAsia="Arial Unicode MS" w:hAnsi="Arial Unicode MS" w:cs="Arial Unicode MS"/>
              <w:color w:val="000000"/>
              <w:sz w:val="22"/>
              <w:szCs w:val="22"/>
            </w:rPr>
            <w:t xml:space="preserve"> also had slightly lower symmetric mean absolute percentage error. These findings underscore ML’s advantage: “the </w:t>
          </w:r>
          <w:proofErr w:type="spellStart"/>
          <w:r>
            <w:rPr>
              <w:rFonts w:ascii="Arial Unicode MS" w:eastAsia="Arial Unicode MS" w:hAnsi="Arial Unicode MS" w:cs="Arial Unicode MS"/>
              <w:color w:val="000000"/>
              <w:sz w:val="22"/>
              <w:szCs w:val="22"/>
            </w:rPr>
            <w:t>XGBoost</w:t>
          </w:r>
          <w:proofErr w:type="spellEnd"/>
          <w:r>
            <w:rPr>
              <w:rFonts w:ascii="Arial Unicode MS" w:eastAsia="Arial Unicode MS" w:hAnsi="Arial Unicode MS" w:cs="Arial Unicode MS"/>
              <w:color w:val="000000"/>
              <w:sz w:val="22"/>
              <w:szCs w:val="22"/>
            </w:rPr>
            <w:t xml:space="preserve"> model consistently showed the best performance”.</w:t>
          </w:r>
          <w:r>
            <w:rPr>
              <w:rFonts w:ascii="Arial Unicode MS" w:eastAsia="Arial Unicode MS" w:hAnsi="Arial Unicode MS" w:cs="Arial Unicode MS"/>
              <w:color w:val="000000"/>
              <w:sz w:val="22"/>
              <w:szCs w:val="22"/>
            </w:rPr>
            <w:br/>
          </w:r>
        </w:sdtContent>
      </w:sdt>
    </w:p>
    <w:p w14:paraId="655359CE" w14:textId="77777777" w:rsidR="006E59AA" w:rsidRDefault="00E74C50">
      <w:pPr>
        <w:numPr>
          <w:ilvl w:val="0"/>
          <w:numId w:val="1"/>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Fertility Rate Classification (Ethiopia):</w:t>
      </w:r>
      <w:r>
        <w:rPr>
          <w:rFonts w:ascii="Arial" w:eastAsia="Arial" w:hAnsi="Arial" w:cs="Arial"/>
          <w:color w:val="000000"/>
          <w:sz w:val="22"/>
          <w:szCs w:val="22"/>
        </w:rPr>
        <w:t xml:space="preserve"> A 2025 Scientific Reports study classified women into “low” vs “high” fertility groups using EDHS data. The Random Forest classifier attained accuracy 0.901 and AUC 0.9605, outperforming convolutional neural nets (acc 0.899, AUC 0.958) and logistic regression (acc 0.874, AUC 0.937). Gradient Boosting gave lower performance (acc ~0.85). Feature analysis (SHAP) identified family size, mother’s age and first birth age as key factors. This example demonstrates RF’s robustness for tabular fertility data.</w:t>
      </w:r>
      <w:r>
        <w:rPr>
          <w:rFonts w:ascii="Arial" w:eastAsia="Arial" w:hAnsi="Arial" w:cs="Arial"/>
          <w:color w:val="000000"/>
          <w:sz w:val="22"/>
          <w:szCs w:val="22"/>
        </w:rPr>
        <w:br/>
      </w:r>
    </w:p>
    <w:p w14:paraId="49A92534" w14:textId="77777777" w:rsidR="006E59AA" w:rsidRDefault="00E74C50">
      <w:pPr>
        <w:numPr>
          <w:ilvl w:val="0"/>
          <w:numId w:val="1"/>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Individual Pregnancy (Apps):</w:t>
      </w:r>
      <w:r>
        <w:rPr>
          <w:rFonts w:ascii="Arial" w:eastAsia="Arial" w:hAnsi="Arial" w:cs="Arial"/>
          <w:color w:val="000000"/>
          <w:sz w:val="22"/>
          <w:szCs w:val="22"/>
        </w:rPr>
        <w:t xml:space="preserve"> Pierson </w:t>
      </w:r>
      <w:r>
        <w:rPr>
          <w:rFonts w:ascii="Arial" w:eastAsia="Arial" w:hAnsi="Arial" w:cs="Arial"/>
          <w:i/>
          <w:color w:val="000000"/>
          <w:sz w:val="22"/>
          <w:szCs w:val="22"/>
        </w:rPr>
        <w:t>et al.</w:t>
      </w:r>
      <w:sdt>
        <w:sdtPr>
          <w:tag w:val="goog_rdk_3"/>
          <w:id w:val="-1569874923"/>
        </w:sdtPr>
        <w:sdtContent>
          <w:r>
            <w:rPr>
              <w:rFonts w:ascii="Arial Unicode MS" w:eastAsia="Arial Unicode MS" w:hAnsi="Arial Unicode MS" w:cs="Arial Unicode MS"/>
              <w:color w:val="000000"/>
              <w:sz w:val="22"/>
              <w:szCs w:val="22"/>
            </w:rPr>
            <w:t xml:space="preserve"> (2019) trained LSTM models on menstrual/behavior logs (∼79M days from 65K users). While they didn’t report AUC, they assessed stratification: women in the top 10% of LSTM-predicted probability became pregnant in the next six cycles with ~89% empirical success, versus 27% for the bottom 10%. This risk stratification indicates strong predictive signal in patterns of activity (e.g. cycle timing, symptoms). They also derived interpretable time-trends (below).</w:t>
          </w:r>
          <w:r>
            <w:rPr>
              <w:rFonts w:ascii="Arial Unicode MS" w:eastAsia="Arial Unicode MS" w:hAnsi="Arial Unicode MS" w:cs="Arial Unicode MS"/>
              <w:color w:val="000000"/>
              <w:sz w:val="22"/>
              <w:szCs w:val="22"/>
            </w:rPr>
            <w:br/>
          </w:r>
        </w:sdtContent>
      </w:sdt>
    </w:p>
    <w:p w14:paraId="79050EE8" w14:textId="77777777" w:rsidR="006E59AA" w:rsidRDefault="00E74C50">
      <w:pPr>
        <w:numPr>
          <w:ilvl w:val="0"/>
          <w:numId w:val="1"/>
        </w:numPr>
        <w:pBdr>
          <w:top w:val="nil"/>
          <w:left w:val="nil"/>
          <w:bottom w:val="nil"/>
          <w:right w:val="nil"/>
          <w:between w:val="nil"/>
        </w:pBdr>
        <w:spacing w:after="240" w:line="276" w:lineRule="auto"/>
        <w:rPr>
          <w:rFonts w:ascii="Arial" w:eastAsia="Arial" w:hAnsi="Arial" w:cs="Arial"/>
          <w:color w:val="000000"/>
          <w:sz w:val="22"/>
          <w:szCs w:val="22"/>
        </w:rPr>
      </w:pPr>
      <w:r>
        <w:rPr>
          <w:rFonts w:ascii="Arial" w:eastAsia="Arial" w:hAnsi="Arial" w:cs="Arial"/>
          <w:b/>
          <w:color w:val="000000"/>
          <w:sz w:val="22"/>
          <w:szCs w:val="22"/>
        </w:rPr>
        <w:t>Fertility Treatment (IVF outcome):</w:t>
      </w:r>
      <w:r>
        <w:rPr>
          <w:rFonts w:ascii="Arial" w:eastAsia="Arial" w:hAnsi="Arial" w:cs="Arial"/>
          <w:color w:val="000000"/>
          <w:sz w:val="22"/>
          <w:szCs w:val="22"/>
        </w:rPr>
        <w:t xml:space="preserve"> Braude </w:t>
      </w:r>
      <w:r>
        <w:rPr>
          <w:rFonts w:ascii="Arial" w:eastAsia="Arial" w:hAnsi="Arial" w:cs="Arial"/>
          <w:i/>
          <w:color w:val="000000"/>
          <w:sz w:val="22"/>
          <w:szCs w:val="22"/>
        </w:rPr>
        <w:t>et al.</w:t>
      </w:r>
      <w:sdt>
        <w:sdtPr>
          <w:tag w:val="goog_rdk_4"/>
          <w:id w:val="704072224"/>
        </w:sdtPr>
        <w:sdtContent>
          <w:r>
            <w:rPr>
              <w:rFonts w:ascii="Arial Unicode MS" w:eastAsia="Arial Unicode MS" w:hAnsi="Arial Unicode MS" w:cs="Arial Unicode MS"/>
              <w:color w:val="000000"/>
              <w:sz w:val="22"/>
              <w:szCs w:val="22"/>
            </w:rPr>
            <w:t xml:space="preserve"> (2024) predicted ovarian response (egg yield) for elective egg-freezing candidates. Using ensemble models, they achieved moderate discrimination. Random Forest gave AUC=0.77 at initial consultation (improving to 0.87 after stimulation), while </w:t>
          </w:r>
          <w:proofErr w:type="spellStart"/>
          <w:r>
            <w:rPr>
              <w:rFonts w:ascii="Arial Unicode MS" w:eastAsia="Arial Unicode MS" w:hAnsi="Arial Unicode MS" w:cs="Arial Unicode MS"/>
              <w:color w:val="000000"/>
              <w:sz w:val="22"/>
              <w:szCs w:val="22"/>
            </w:rPr>
            <w:t>XGBoost</w:t>
          </w:r>
          <w:proofErr w:type="spellEnd"/>
          <w:r>
            <w:rPr>
              <w:rFonts w:ascii="Arial Unicode MS" w:eastAsia="Arial Unicode MS" w:hAnsi="Arial Unicode MS" w:cs="Arial Unicode MS"/>
              <w:color w:val="000000"/>
              <w:sz w:val="22"/>
              <w:szCs w:val="22"/>
            </w:rPr>
            <w:t xml:space="preserve"> had AUC=0.74 → 0.86. This is an example of ML in fertility medicine (not strictly “fertility transition” but relevant fertility </w:t>
          </w:r>
          <w:r>
            <w:rPr>
              <w:rFonts w:ascii="Arial Unicode MS" w:eastAsia="Arial Unicode MS" w:hAnsi="Arial Unicode MS" w:cs="Arial Unicode MS"/>
              <w:color w:val="000000"/>
              <w:sz w:val="22"/>
              <w:szCs w:val="22"/>
            </w:rPr>
            <w:lastRenderedPageBreak/>
            <w:t>outcome), showing F1 and ROC metrics.</w:t>
          </w:r>
          <w:r>
            <w:rPr>
              <w:rFonts w:ascii="Arial Unicode MS" w:eastAsia="Arial Unicode MS" w:hAnsi="Arial Unicode MS" w:cs="Arial Unicode MS"/>
              <w:color w:val="000000"/>
              <w:sz w:val="22"/>
              <w:szCs w:val="22"/>
            </w:rPr>
            <w:br/>
          </w:r>
        </w:sdtContent>
      </w:sdt>
    </w:p>
    <w:p w14:paraId="5219E460"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 xml:space="preserve">Overall, reported performance metrics are drawn from real studies (Table 3). We caution that direct comparison is difficult due to different tasks/datasets. Nonetheless, ML methods (RF, XGB, deep nets) typically achieve high AUC (&gt;0.9) and low MAE/RMSE when trained properly. </w:t>
      </w:r>
    </w:p>
    <w:p w14:paraId="465B07B9"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0"/>
          <w:szCs w:val="20"/>
        </w:rPr>
        <w:t>Table 3. Model Performance Comparison (Sample Studies)</w:t>
      </w:r>
    </w:p>
    <w:p w14:paraId="2D441DAC" w14:textId="77777777" w:rsidR="006E59AA" w:rsidRDefault="006E59AA">
      <w:pPr>
        <w:pBdr>
          <w:top w:val="nil"/>
          <w:left w:val="nil"/>
          <w:bottom w:val="nil"/>
          <w:right w:val="nil"/>
          <w:between w:val="nil"/>
        </w:pBdr>
        <w:spacing w:line="276" w:lineRule="auto"/>
        <w:rPr>
          <w:rFonts w:ascii="Arial" w:eastAsia="Arial" w:hAnsi="Arial" w:cs="Arial"/>
          <w:color w:val="000000"/>
          <w:sz w:val="22"/>
          <w:szCs w:val="22"/>
        </w:rPr>
      </w:pPr>
    </w:p>
    <w:tbl>
      <w:tblPr>
        <w:tblStyle w:val="a0"/>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340"/>
        <w:gridCol w:w="2340"/>
        <w:gridCol w:w="2340"/>
        <w:gridCol w:w="2340"/>
      </w:tblGrid>
      <w:tr w:rsidR="006E59AA" w14:paraId="59A54795" w14:textId="77777777">
        <w:trPr>
          <w:trHeight w:val="233"/>
        </w:trPr>
        <w:tc>
          <w:tcPr>
            <w:tcW w:w="2340" w:type="dxa"/>
            <w:tcBorders>
              <w:top w:val="nil"/>
              <w:left w:val="nil"/>
              <w:bottom w:val="nil"/>
              <w:right w:val="nil"/>
            </w:tcBorders>
            <w:shd w:val="clear" w:color="auto" w:fill="auto"/>
            <w:tcMar>
              <w:top w:w="80" w:type="dxa"/>
              <w:left w:w="80" w:type="dxa"/>
              <w:bottom w:w="80" w:type="dxa"/>
              <w:right w:w="80" w:type="dxa"/>
            </w:tcMar>
          </w:tcPr>
          <w:p w14:paraId="293324AE"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Study</w:t>
            </w:r>
          </w:p>
        </w:tc>
        <w:tc>
          <w:tcPr>
            <w:tcW w:w="2340" w:type="dxa"/>
            <w:tcBorders>
              <w:top w:val="nil"/>
              <w:left w:val="nil"/>
              <w:bottom w:val="nil"/>
              <w:right w:val="nil"/>
            </w:tcBorders>
            <w:shd w:val="clear" w:color="auto" w:fill="auto"/>
            <w:tcMar>
              <w:top w:w="80" w:type="dxa"/>
              <w:left w:w="80" w:type="dxa"/>
              <w:bottom w:w="80" w:type="dxa"/>
              <w:right w:w="80" w:type="dxa"/>
            </w:tcMar>
          </w:tcPr>
          <w:p w14:paraId="2A12EED8"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Classification Metrics</w:t>
            </w:r>
          </w:p>
        </w:tc>
        <w:tc>
          <w:tcPr>
            <w:tcW w:w="2340" w:type="dxa"/>
            <w:tcBorders>
              <w:top w:val="nil"/>
              <w:left w:val="nil"/>
              <w:bottom w:val="nil"/>
              <w:right w:val="nil"/>
            </w:tcBorders>
            <w:shd w:val="clear" w:color="auto" w:fill="auto"/>
            <w:tcMar>
              <w:top w:w="80" w:type="dxa"/>
              <w:left w:w="80" w:type="dxa"/>
              <w:bottom w:w="80" w:type="dxa"/>
              <w:right w:w="80" w:type="dxa"/>
            </w:tcMar>
          </w:tcPr>
          <w:p w14:paraId="3361A0D2"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Regression Metrics</w:t>
            </w:r>
          </w:p>
        </w:tc>
        <w:tc>
          <w:tcPr>
            <w:tcW w:w="2340" w:type="dxa"/>
            <w:tcBorders>
              <w:top w:val="nil"/>
              <w:left w:val="nil"/>
              <w:bottom w:val="nil"/>
              <w:right w:val="nil"/>
            </w:tcBorders>
            <w:shd w:val="clear" w:color="auto" w:fill="auto"/>
            <w:tcMar>
              <w:top w:w="80" w:type="dxa"/>
              <w:left w:w="80" w:type="dxa"/>
              <w:bottom w:w="80" w:type="dxa"/>
              <w:right w:w="80" w:type="dxa"/>
            </w:tcMar>
          </w:tcPr>
          <w:p w14:paraId="436375A6"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Fairness Analysis</w:t>
            </w:r>
          </w:p>
        </w:tc>
      </w:tr>
      <w:tr w:rsidR="006E59AA" w14:paraId="3D3844BA" w14:textId="77777777">
        <w:trPr>
          <w:trHeight w:val="508"/>
        </w:trPr>
        <w:tc>
          <w:tcPr>
            <w:tcW w:w="2340" w:type="dxa"/>
            <w:tcBorders>
              <w:top w:val="nil"/>
              <w:left w:val="nil"/>
              <w:bottom w:val="nil"/>
              <w:right w:val="nil"/>
            </w:tcBorders>
            <w:shd w:val="clear" w:color="auto" w:fill="auto"/>
            <w:tcMar>
              <w:top w:w="80" w:type="dxa"/>
              <w:left w:w="80" w:type="dxa"/>
              <w:bottom w:w="80" w:type="dxa"/>
              <w:right w:w="80" w:type="dxa"/>
            </w:tcMar>
          </w:tcPr>
          <w:p w14:paraId="34B7F6A5"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Tadese et al.</w:t>
            </w:r>
          </w:p>
        </w:tc>
        <w:tc>
          <w:tcPr>
            <w:tcW w:w="2340" w:type="dxa"/>
            <w:tcBorders>
              <w:top w:val="nil"/>
              <w:left w:val="nil"/>
              <w:bottom w:val="nil"/>
              <w:right w:val="nil"/>
            </w:tcBorders>
            <w:shd w:val="clear" w:color="auto" w:fill="auto"/>
            <w:tcMar>
              <w:top w:w="80" w:type="dxa"/>
              <w:left w:w="80" w:type="dxa"/>
              <w:bottom w:w="80" w:type="dxa"/>
              <w:right w:w="80" w:type="dxa"/>
            </w:tcMar>
          </w:tcPr>
          <w:p w14:paraId="107DF7C7"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Accuracy, Precision, Recall, AUC</w:t>
            </w:r>
          </w:p>
        </w:tc>
        <w:tc>
          <w:tcPr>
            <w:tcW w:w="2340" w:type="dxa"/>
            <w:tcBorders>
              <w:top w:val="nil"/>
              <w:left w:val="nil"/>
              <w:bottom w:val="nil"/>
              <w:right w:val="nil"/>
            </w:tcBorders>
            <w:shd w:val="clear" w:color="auto" w:fill="auto"/>
            <w:tcMar>
              <w:top w:w="80" w:type="dxa"/>
              <w:left w:w="80" w:type="dxa"/>
              <w:bottom w:w="80" w:type="dxa"/>
              <w:right w:w="80" w:type="dxa"/>
            </w:tcMar>
          </w:tcPr>
          <w:p w14:paraId="4B974CFB"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w:t>
            </w:r>
          </w:p>
        </w:tc>
        <w:tc>
          <w:tcPr>
            <w:tcW w:w="2340" w:type="dxa"/>
            <w:tcBorders>
              <w:top w:val="nil"/>
              <w:left w:val="nil"/>
              <w:bottom w:val="nil"/>
              <w:right w:val="nil"/>
            </w:tcBorders>
            <w:shd w:val="clear" w:color="auto" w:fill="auto"/>
            <w:tcMar>
              <w:top w:w="80" w:type="dxa"/>
              <w:left w:w="80" w:type="dxa"/>
              <w:bottom w:w="80" w:type="dxa"/>
              <w:right w:w="80" w:type="dxa"/>
            </w:tcMar>
          </w:tcPr>
          <w:p w14:paraId="06712229"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Not reported</w:t>
            </w:r>
          </w:p>
        </w:tc>
      </w:tr>
      <w:tr w:rsidR="006E59AA" w14:paraId="74D06307" w14:textId="77777777">
        <w:trPr>
          <w:trHeight w:val="233"/>
        </w:trPr>
        <w:tc>
          <w:tcPr>
            <w:tcW w:w="2340" w:type="dxa"/>
            <w:tcBorders>
              <w:top w:val="nil"/>
              <w:left w:val="nil"/>
              <w:bottom w:val="nil"/>
              <w:right w:val="nil"/>
            </w:tcBorders>
            <w:shd w:val="clear" w:color="auto" w:fill="auto"/>
            <w:tcMar>
              <w:top w:w="80" w:type="dxa"/>
              <w:left w:w="80" w:type="dxa"/>
              <w:bottom w:w="80" w:type="dxa"/>
              <w:right w:w="80" w:type="dxa"/>
            </w:tcMar>
          </w:tcPr>
          <w:p w14:paraId="32B17880"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Xue et al.</w:t>
            </w:r>
          </w:p>
        </w:tc>
        <w:tc>
          <w:tcPr>
            <w:tcW w:w="2340" w:type="dxa"/>
            <w:tcBorders>
              <w:top w:val="nil"/>
              <w:left w:val="nil"/>
              <w:bottom w:val="nil"/>
              <w:right w:val="nil"/>
            </w:tcBorders>
            <w:shd w:val="clear" w:color="auto" w:fill="auto"/>
            <w:tcMar>
              <w:top w:w="80" w:type="dxa"/>
              <w:left w:w="80" w:type="dxa"/>
              <w:bottom w:w="80" w:type="dxa"/>
              <w:right w:w="80" w:type="dxa"/>
            </w:tcMar>
          </w:tcPr>
          <w:p w14:paraId="5D6893AD"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w:t>
            </w:r>
          </w:p>
        </w:tc>
        <w:tc>
          <w:tcPr>
            <w:tcW w:w="2340" w:type="dxa"/>
            <w:tcBorders>
              <w:top w:val="nil"/>
              <w:left w:val="nil"/>
              <w:bottom w:val="nil"/>
              <w:right w:val="nil"/>
            </w:tcBorders>
            <w:shd w:val="clear" w:color="auto" w:fill="auto"/>
            <w:tcMar>
              <w:top w:w="80" w:type="dxa"/>
              <w:left w:w="80" w:type="dxa"/>
              <w:bottom w:w="80" w:type="dxa"/>
              <w:right w:w="80" w:type="dxa"/>
            </w:tcMar>
          </w:tcPr>
          <w:p w14:paraId="0FF63123"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RMSE</w:t>
            </w:r>
          </w:p>
        </w:tc>
        <w:tc>
          <w:tcPr>
            <w:tcW w:w="2340" w:type="dxa"/>
            <w:tcBorders>
              <w:top w:val="nil"/>
              <w:left w:val="nil"/>
              <w:bottom w:val="nil"/>
              <w:right w:val="nil"/>
            </w:tcBorders>
            <w:shd w:val="clear" w:color="auto" w:fill="auto"/>
            <w:tcMar>
              <w:top w:w="80" w:type="dxa"/>
              <w:left w:w="80" w:type="dxa"/>
              <w:bottom w:w="80" w:type="dxa"/>
              <w:right w:w="80" w:type="dxa"/>
            </w:tcMar>
          </w:tcPr>
          <w:p w14:paraId="72C7C4A8"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Not reported</w:t>
            </w:r>
          </w:p>
        </w:tc>
      </w:tr>
      <w:tr w:rsidR="006E59AA" w14:paraId="1E42C0A4" w14:textId="77777777">
        <w:trPr>
          <w:trHeight w:val="233"/>
        </w:trPr>
        <w:tc>
          <w:tcPr>
            <w:tcW w:w="2340" w:type="dxa"/>
            <w:tcBorders>
              <w:top w:val="nil"/>
              <w:left w:val="nil"/>
              <w:bottom w:val="nil"/>
              <w:right w:val="nil"/>
            </w:tcBorders>
            <w:shd w:val="clear" w:color="auto" w:fill="auto"/>
            <w:tcMar>
              <w:top w:w="80" w:type="dxa"/>
              <w:left w:w="80" w:type="dxa"/>
              <w:bottom w:w="80" w:type="dxa"/>
              <w:right w:w="80" w:type="dxa"/>
            </w:tcMar>
          </w:tcPr>
          <w:p w14:paraId="79740970"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Braude et al.</w:t>
            </w:r>
          </w:p>
        </w:tc>
        <w:tc>
          <w:tcPr>
            <w:tcW w:w="2340" w:type="dxa"/>
            <w:tcBorders>
              <w:top w:val="nil"/>
              <w:left w:val="nil"/>
              <w:bottom w:val="nil"/>
              <w:right w:val="nil"/>
            </w:tcBorders>
            <w:shd w:val="clear" w:color="auto" w:fill="auto"/>
            <w:tcMar>
              <w:top w:w="80" w:type="dxa"/>
              <w:left w:w="80" w:type="dxa"/>
              <w:bottom w:w="80" w:type="dxa"/>
              <w:right w:w="80" w:type="dxa"/>
            </w:tcMar>
          </w:tcPr>
          <w:p w14:paraId="739AFE4D"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AUC</w:t>
            </w:r>
          </w:p>
        </w:tc>
        <w:tc>
          <w:tcPr>
            <w:tcW w:w="2340" w:type="dxa"/>
            <w:tcBorders>
              <w:top w:val="nil"/>
              <w:left w:val="nil"/>
              <w:bottom w:val="nil"/>
              <w:right w:val="nil"/>
            </w:tcBorders>
            <w:shd w:val="clear" w:color="auto" w:fill="auto"/>
            <w:tcMar>
              <w:top w:w="80" w:type="dxa"/>
              <w:left w:w="80" w:type="dxa"/>
              <w:bottom w:w="80" w:type="dxa"/>
              <w:right w:w="80" w:type="dxa"/>
            </w:tcMar>
          </w:tcPr>
          <w:p w14:paraId="1C1AD07A"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w:t>
            </w:r>
          </w:p>
        </w:tc>
        <w:tc>
          <w:tcPr>
            <w:tcW w:w="2340" w:type="dxa"/>
            <w:tcBorders>
              <w:top w:val="nil"/>
              <w:left w:val="nil"/>
              <w:bottom w:val="nil"/>
              <w:right w:val="nil"/>
            </w:tcBorders>
            <w:shd w:val="clear" w:color="auto" w:fill="auto"/>
            <w:tcMar>
              <w:top w:w="80" w:type="dxa"/>
              <w:left w:w="80" w:type="dxa"/>
              <w:bottom w:w="80" w:type="dxa"/>
              <w:right w:w="80" w:type="dxa"/>
            </w:tcMar>
          </w:tcPr>
          <w:p w14:paraId="4BBC9F94"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No subgroup metrics</w:t>
            </w:r>
          </w:p>
        </w:tc>
      </w:tr>
      <w:tr w:rsidR="006E59AA" w14:paraId="64A7103D" w14:textId="77777777">
        <w:trPr>
          <w:trHeight w:val="783"/>
        </w:trPr>
        <w:tc>
          <w:tcPr>
            <w:tcW w:w="2340" w:type="dxa"/>
            <w:tcBorders>
              <w:top w:val="nil"/>
              <w:left w:val="nil"/>
              <w:bottom w:val="nil"/>
              <w:right w:val="nil"/>
            </w:tcBorders>
            <w:shd w:val="clear" w:color="auto" w:fill="auto"/>
            <w:tcMar>
              <w:top w:w="80" w:type="dxa"/>
              <w:left w:w="80" w:type="dxa"/>
              <w:bottom w:w="80" w:type="dxa"/>
              <w:right w:w="80" w:type="dxa"/>
            </w:tcMar>
          </w:tcPr>
          <w:p w14:paraId="01E51F2F"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Lin et al.</w:t>
            </w:r>
          </w:p>
        </w:tc>
        <w:tc>
          <w:tcPr>
            <w:tcW w:w="2340" w:type="dxa"/>
            <w:tcBorders>
              <w:top w:val="nil"/>
              <w:left w:val="nil"/>
              <w:bottom w:val="nil"/>
              <w:right w:val="nil"/>
            </w:tcBorders>
            <w:shd w:val="clear" w:color="auto" w:fill="auto"/>
            <w:tcMar>
              <w:top w:w="80" w:type="dxa"/>
              <w:left w:w="80" w:type="dxa"/>
              <w:bottom w:w="80" w:type="dxa"/>
              <w:right w:w="80" w:type="dxa"/>
            </w:tcMar>
          </w:tcPr>
          <w:p w14:paraId="4DEA0C1D"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AUC, Equal Opportunity, Statistical Parity</w:t>
            </w:r>
          </w:p>
        </w:tc>
        <w:tc>
          <w:tcPr>
            <w:tcW w:w="2340" w:type="dxa"/>
            <w:tcBorders>
              <w:top w:val="nil"/>
              <w:left w:val="nil"/>
              <w:bottom w:val="nil"/>
              <w:right w:val="nil"/>
            </w:tcBorders>
            <w:shd w:val="clear" w:color="auto" w:fill="auto"/>
            <w:tcMar>
              <w:top w:w="80" w:type="dxa"/>
              <w:left w:w="80" w:type="dxa"/>
              <w:bottom w:w="80" w:type="dxa"/>
              <w:right w:w="80" w:type="dxa"/>
            </w:tcMar>
          </w:tcPr>
          <w:p w14:paraId="26DF9DAA"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w:t>
            </w:r>
          </w:p>
        </w:tc>
        <w:tc>
          <w:tcPr>
            <w:tcW w:w="2340" w:type="dxa"/>
            <w:tcBorders>
              <w:top w:val="nil"/>
              <w:left w:val="nil"/>
              <w:bottom w:val="nil"/>
              <w:right w:val="nil"/>
            </w:tcBorders>
            <w:shd w:val="clear" w:color="auto" w:fill="auto"/>
            <w:tcMar>
              <w:top w:w="80" w:type="dxa"/>
              <w:left w:w="80" w:type="dxa"/>
              <w:bottom w:w="80" w:type="dxa"/>
              <w:right w:w="80" w:type="dxa"/>
            </w:tcMar>
          </w:tcPr>
          <w:p w14:paraId="6BB0472A"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Bias found and mitigated</w:t>
            </w:r>
          </w:p>
        </w:tc>
      </w:tr>
      <w:tr w:rsidR="006E59AA" w14:paraId="5E238ACB" w14:textId="77777777">
        <w:trPr>
          <w:trHeight w:val="508"/>
        </w:trPr>
        <w:tc>
          <w:tcPr>
            <w:tcW w:w="2340" w:type="dxa"/>
            <w:tcBorders>
              <w:top w:val="nil"/>
              <w:left w:val="nil"/>
              <w:bottom w:val="nil"/>
              <w:right w:val="nil"/>
            </w:tcBorders>
            <w:shd w:val="clear" w:color="auto" w:fill="auto"/>
            <w:tcMar>
              <w:top w:w="80" w:type="dxa"/>
              <w:left w:w="80" w:type="dxa"/>
              <w:bottom w:w="80" w:type="dxa"/>
              <w:right w:w="80" w:type="dxa"/>
            </w:tcMar>
          </w:tcPr>
          <w:p w14:paraId="7826E945"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Pierson et al.</w:t>
            </w:r>
          </w:p>
        </w:tc>
        <w:tc>
          <w:tcPr>
            <w:tcW w:w="2340" w:type="dxa"/>
            <w:tcBorders>
              <w:top w:val="nil"/>
              <w:left w:val="nil"/>
              <w:bottom w:val="nil"/>
              <w:right w:val="nil"/>
            </w:tcBorders>
            <w:shd w:val="clear" w:color="auto" w:fill="auto"/>
            <w:tcMar>
              <w:top w:w="80" w:type="dxa"/>
              <w:left w:w="80" w:type="dxa"/>
              <w:bottom w:w="80" w:type="dxa"/>
              <w:right w:w="80" w:type="dxa"/>
            </w:tcMar>
          </w:tcPr>
          <w:p w14:paraId="07CFF89A"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Stratification-based pregnancy rate</w:t>
            </w:r>
          </w:p>
        </w:tc>
        <w:tc>
          <w:tcPr>
            <w:tcW w:w="2340" w:type="dxa"/>
            <w:tcBorders>
              <w:top w:val="nil"/>
              <w:left w:val="nil"/>
              <w:bottom w:val="nil"/>
              <w:right w:val="nil"/>
            </w:tcBorders>
            <w:shd w:val="clear" w:color="auto" w:fill="auto"/>
            <w:tcMar>
              <w:top w:w="80" w:type="dxa"/>
              <w:left w:w="80" w:type="dxa"/>
              <w:bottom w:w="80" w:type="dxa"/>
              <w:right w:w="80" w:type="dxa"/>
            </w:tcMar>
          </w:tcPr>
          <w:p w14:paraId="5080DB39"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w:t>
            </w:r>
          </w:p>
        </w:tc>
        <w:tc>
          <w:tcPr>
            <w:tcW w:w="2340" w:type="dxa"/>
            <w:tcBorders>
              <w:top w:val="nil"/>
              <w:left w:val="nil"/>
              <w:bottom w:val="nil"/>
              <w:right w:val="nil"/>
            </w:tcBorders>
            <w:shd w:val="clear" w:color="auto" w:fill="auto"/>
            <w:tcMar>
              <w:top w:w="80" w:type="dxa"/>
              <w:left w:w="80" w:type="dxa"/>
              <w:bottom w:w="80" w:type="dxa"/>
              <w:right w:w="80" w:type="dxa"/>
            </w:tcMar>
          </w:tcPr>
          <w:p w14:paraId="7A670B25"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No fairness audit, some UX focus</w:t>
            </w:r>
          </w:p>
        </w:tc>
      </w:tr>
    </w:tbl>
    <w:p w14:paraId="14906D6F" w14:textId="77777777" w:rsidR="006E59AA" w:rsidRDefault="006E59AA">
      <w:pPr>
        <w:widowControl w:val="0"/>
        <w:pBdr>
          <w:top w:val="nil"/>
          <w:left w:val="nil"/>
          <w:bottom w:val="nil"/>
          <w:right w:val="nil"/>
          <w:between w:val="nil"/>
        </w:pBdr>
        <w:rPr>
          <w:rFonts w:ascii="Arial" w:eastAsia="Arial" w:hAnsi="Arial" w:cs="Arial"/>
          <w:color w:val="000000"/>
          <w:sz w:val="22"/>
          <w:szCs w:val="22"/>
        </w:rPr>
      </w:pPr>
    </w:p>
    <w:p w14:paraId="03C2ED15"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Absent metrics should not be replaced by hypothetical values; every figure and metric above is cited from the literature.</w:t>
      </w:r>
    </w:p>
    <w:p w14:paraId="680DE31E"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noProof/>
          <w:color w:val="000000"/>
          <w:sz w:val="22"/>
          <w:szCs w:val="22"/>
        </w:rPr>
        <w:lastRenderedPageBreak/>
        <w:drawing>
          <wp:inline distT="0" distB="0" distL="0" distR="0" wp14:anchorId="2E9FC8C4" wp14:editId="42E5C279">
            <wp:extent cx="5943473" cy="3598588"/>
            <wp:effectExtent l="0" t="0" r="0" b="0"/>
            <wp:docPr id="1073741829"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10"/>
                    <a:srcRect/>
                    <a:stretch>
                      <a:fillRect/>
                    </a:stretch>
                  </pic:blipFill>
                  <pic:spPr>
                    <a:xfrm>
                      <a:off x="0" y="0"/>
                      <a:ext cx="5943473" cy="3598588"/>
                    </a:xfrm>
                    <a:prstGeom prst="rect">
                      <a:avLst/>
                    </a:prstGeom>
                    <a:ln/>
                  </pic:spPr>
                </pic:pic>
              </a:graphicData>
            </a:graphic>
          </wp:inline>
        </w:drawing>
      </w:r>
    </w:p>
    <w:p w14:paraId="77CEE158" w14:textId="77777777" w:rsidR="006E59AA" w:rsidRDefault="00E74C50">
      <w:pPr>
        <w:pBdr>
          <w:top w:val="nil"/>
          <w:left w:val="nil"/>
          <w:bottom w:val="nil"/>
          <w:right w:val="nil"/>
          <w:between w:val="nil"/>
        </w:pBdr>
        <w:spacing w:before="240" w:after="240" w:line="276" w:lineRule="auto"/>
        <w:rPr>
          <w:rFonts w:ascii="Arimo" w:eastAsia="Arimo" w:hAnsi="Arimo" w:cs="Arimo"/>
          <w:color w:val="000000"/>
          <w:sz w:val="22"/>
          <w:szCs w:val="22"/>
        </w:rPr>
      </w:pPr>
      <w:r>
        <w:rPr>
          <w:rFonts w:ascii="Arial" w:eastAsia="Arial" w:hAnsi="Arial" w:cs="Arial"/>
          <w:i/>
          <w:color w:val="000000"/>
          <w:sz w:val="22"/>
          <w:szCs w:val="22"/>
        </w:rPr>
        <w:t>Figure 3 (Performance comparison):</w:t>
      </w:r>
      <w:sdt>
        <w:sdtPr>
          <w:tag w:val="goog_rdk_5"/>
          <w:id w:val="-52858205"/>
        </w:sdtPr>
        <w:sdtContent>
          <w:r>
            <w:rPr>
              <w:rFonts w:ascii="Arial Unicode MS" w:eastAsia="Arial Unicode MS" w:hAnsi="Arial Unicode MS" w:cs="Arial Unicode MS"/>
              <w:color w:val="000000"/>
              <w:sz w:val="22"/>
              <w:szCs w:val="22"/>
            </w:rPr>
            <w:t xml:space="preserve"> This bar chart (placeholder) would illustrate selected model metrics (e.g. RF vs XGB for Nigeria, XGB vs ARIMA for Scotland). For instance, the Nigeria example shows RF with AUC≈0.98 and F1≈0.92, while the Scotland example shows </w:t>
          </w:r>
          <w:proofErr w:type="spellStart"/>
          <w:r>
            <w:rPr>
              <w:rFonts w:ascii="Arial Unicode MS" w:eastAsia="Arial Unicode MS" w:hAnsi="Arial Unicode MS" w:cs="Arial Unicode MS"/>
              <w:color w:val="000000"/>
              <w:sz w:val="22"/>
              <w:szCs w:val="22"/>
            </w:rPr>
            <w:t>XGBoost</w:t>
          </w:r>
          <w:proofErr w:type="spellEnd"/>
          <w:r>
            <w:rPr>
              <w:rFonts w:ascii="Arial Unicode MS" w:eastAsia="Arial Unicode MS" w:hAnsi="Arial Unicode MS" w:cs="Arial Unicode MS"/>
              <w:color w:val="000000"/>
              <w:sz w:val="22"/>
              <w:szCs w:val="22"/>
            </w:rPr>
            <w:t xml:space="preserve"> MAE=0.32 vs ARIMA MAE=0.44. These values underscore ML models’ accuracy advantages.</w:t>
          </w:r>
        </w:sdtContent>
      </w:sdt>
    </w:p>
    <w:p w14:paraId="56A7D8F0" w14:textId="77777777" w:rsidR="006E59AA" w:rsidRDefault="006E59AA">
      <w:pPr>
        <w:pBdr>
          <w:top w:val="nil"/>
          <w:left w:val="nil"/>
          <w:bottom w:val="nil"/>
          <w:right w:val="nil"/>
          <w:between w:val="nil"/>
        </w:pBdr>
        <w:spacing w:line="276" w:lineRule="auto"/>
        <w:rPr>
          <w:rFonts w:ascii="Arimo" w:eastAsia="Arimo" w:hAnsi="Arimo" w:cs="Arimo"/>
          <w:color w:val="000000"/>
          <w:sz w:val="22"/>
          <w:szCs w:val="22"/>
        </w:rPr>
      </w:pPr>
    </w:p>
    <w:tbl>
      <w:tblPr>
        <w:tblStyle w:val="a1"/>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560"/>
        <w:gridCol w:w="1560"/>
        <w:gridCol w:w="1560"/>
        <w:gridCol w:w="1560"/>
        <w:gridCol w:w="1560"/>
        <w:gridCol w:w="1560"/>
      </w:tblGrid>
      <w:tr w:rsidR="006E59AA" w14:paraId="33AFBBDD" w14:textId="77777777">
        <w:trPr>
          <w:trHeight w:val="508"/>
        </w:trPr>
        <w:tc>
          <w:tcPr>
            <w:tcW w:w="1560" w:type="dxa"/>
            <w:tcBorders>
              <w:top w:val="nil"/>
              <w:left w:val="nil"/>
              <w:bottom w:val="nil"/>
              <w:right w:val="nil"/>
            </w:tcBorders>
            <w:shd w:val="clear" w:color="auto" w:fill="auto"/>
            <w:tcMar>
              <w:top w:w="80" w:type="dxa"/>
              <w:left w:w="80" w:type="dxa"/>
              <w:bottom w:w="80" w:type="dxa"/>
              <w:right w:w="80" w:type="dxa"/>
            </w:tcMar>
          </w:tcPr>
          <w:p w14:paraId="003A65A7"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Study</w:t>
            </w:r>
          </w:p>
        </w:tc>
        <w:tc>
          <w:tcPr>
            <w:tcW w:w="1560" w:type="dxa"/>
            <w:tcBorders>
              <w:top w:val="nil"/>
              <w:left w:val="nil"/>
              <w:bottom w:val="nil"/>
              <w:right w:val="nil"/>
            </w:tcBorders>
            <w:shd w:val="clear" w:color="auto" w:fill="auto"/>
            <w:tcMar>
              <w:top w:w="80" w:type="dxa"/>
              <w:left w:w="80" w:type="dxa"/>
              <w:bottom w:w="80" w:type="dxa"/>
              <w:right w:w="80" w:type="dxa"/>
            </w:tcMar>
          </w:tcPr>
          <w:p w14:paraId="5B5A71D0"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Country/Region</w:t>
            </w:r>
          </w:p>
        </w:tc>
        <w:tc>
          <w:tcPr>
            <w:tcW w:w="1560" w:type="dxa"/>
            <w:tcBorders>
              <w:top w:val="nil"/>
              <w:left w:val="nil"/>
              <w:bottom w:val="nil"/>
              <w:right w:val="nil"/>
            </w:tcBorders>
            <w:shd w:val="clear" w:color="auto" w:fill="auto"/>
            <w:tcMar>
              <w:top w:w="80" w:type="dxa"/>
              <w:left w:w="80" w:type="dxa"/>
              <w:bottom w:w="80" w:type="dxa"/>
              <w:right w:w="80" w:type="dxa"/>
            </w:tcMar>
          </w:tcPr>
          <w:p w14:paraId="37CD109B"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Task</w:t>
            </w:r>
          </w:p>
        </w:tc>
        <w:tc>
          <w:tcPr>
            <w:tcW w:w="1560" w:type="dxa"/>
            <w:tcBorders>
              <w:top w:val="nil"/>
              <w:left w:val="nil"/>
              <w:bottom w:val="nil"/>
              <w:right w:val="nil"/>
            </w:tcBorders>
            <w:shd w:val="clear" w:color="auto" w:fill="auto"/>
            <w:tcMar>
              <w:top w:w="80" w:type="dxa"/>
              <w:left w:w="80" w:type="dxa"/>
              <w:bottom w:w="80" w:type="dxa"/>
              <w:right w:w="80" w:type="dxa"/>
            </w:tcMar>
          </w:tcPr>
          <w:p w14:paraId="5102DC94"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Model(s) Used</w:t>
            </w:r>
          </w:p>
        </w:tc>
        <w:tc>
          <w:tcPr>
            <w:tcW w:w="1560" w:type="dxa"/>
            <w:tcBorders>
              <w:top w:val="nil"/>
              <w:left w:val="nil"/>
              <w:bottom w:val="nil"/>
              <w:right w:val="nil"/>
            </w:tcBorders>
            <w:shd w:val="clear" w:color="auto" w:fill="auto"/>
            <w:tcMar>
              <w:top w:w="80" w:type="dxa"/>
              <w:left w:w="80" w:type="dxa"/>
              <w:bottom w:w="80" w:type="dxa"/>
              <w:right w:w="80" w:type="dxa"/>
            </w:tcMar>
          </w:tcPr>
          <w:p w14:paraId="75D50489"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Data Source</w:t>
            </w:r>
          </w:p>
        </w:tc>
        <w:tc>
          <w:tcPr>
            <w:tcW w:w="1560" w:type="dxa"/>
            <w:tcBorders>
              <w:top w:val="nil"/>
              <w:left w:val="nil"/>
              <w:bottom w:val="nil"/>
              <w:right w:val="nil"/>
            </w:tcBorders>
            <w:shd w:val="clear" w:color="auto" w:fill="auto"/>
            <w:tcMar>
              <w:top w:w="80" w:type="dxa"/>
              <w:left w:w="80" w:type="dxa"/>
              <w:bottom w:w="80" w:type="dxa"/>
              <w:right w:w="80" w:type="dxa"/>
            </w:tcMar>
          </w:tcPr>
          <w:p w14:paraId="081BF5C2"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Input Features</w:t>
            </w:r>
          </w:p>
        </w:tc>
      </w:tr>
      <w:tr w:rsidR="006E59AA" w14:paraId="05548A0C" w14:textId="77777777">
        <w:trPr>
          <w:trHeight w:val="783"/>
        </w:trPr>
        <w:tc>
          <w:tcPr>
            <w:tcW w:w="1560" w:type="dxa"/>
            <w:tcBorders>
              <w:top w:val="nil"/>
              <w:left w:val="nil"/>
              <w:bottom w:val="nil"/>
              <w:right w:val="nil"/>
            </w:tcBorders>
            <w:shd w:val="clear" w:color="auto" w:fill="auto"/>
            <w:tcMar>
              <w:top w:w="80" w:type="dxa"/>
              <w:left w:w="80" w:type="dxa"/>
              <w:bottom w:w="80" w:type="dxa"/>
              <w:right w:w="80" w:type="dxa"/>
            </w:tcMar>
          </w:tcPr>
          <w:p w14:paraId="77C6E373"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Tadese et al. (2024)</w:t>
            </w:r>
          </w:p>
        </w:tc>
        <w:tc>
          <w:tcPr>
            <w:tcW w:w="1560" w:type="dxa"/>
            <w:tcBorders>
              <w:top w:val="nil"/>
              <w:left w:val="nil"/>
              <w:bottom w:val="nil"/>
              <w:right w:val="nil"/>
            </w:tcBorders>
            <w:shd w:val="clear" w:color="auto" w:fill="auto"/>
            <w:tcMar>
              <w:top w:w="80" w:type="dxa"/>
              <w:left w:w="80" w:type="dxa"/>
              <w:bottom w:w="80" w:type="dxa"/>
              <w:right w:w="80" w:type="dxa"/>
            </w:tcMar>
          </w:tcPr>
          <w:p w14:paraId="2410AEA3"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Nigeria</w:t>
            </w:r>
          </w:p>
        </w:tc>
        <w:tc>
          <w:tcPr>
            <w:tcW w:w="1560" w:type="dxa"/>
            <w:tcBorders>
              <w:top w:val="nil"/>
              <w:left w:val="nil"/>
              <w:bottom w:val="nil"/>
              <w:right w:val="nil"/>
            </w:tcBorders>
            <w:shd w:val="clear" w:color="auto" w:fill="auto"/>
            <w:tcMar>
              <w:top w:w="80" w:type="dxa"/>
              <w:left w:w="80" w:type="dxa"/>
              <w:bottom w:w="80" w:type="dxa"/>
              <w:right w:w="80" w:type="dxa"/>
            </w:tcMar>
          </w:tcPr>
          <w:p w14:paraId="2F08606F"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Fertility preference classification</w:t>
            </w:r>
          </w:p>
        </w:tc>
        <w:tc>
          <w:tcPr>
            <w:tcW w:w="1560" w:type="dxa"/>
            <w:tcBorders>
              <w:top w:val="nil"/>
              <w:left w:val="nil"/>
              <w:bottom w:val="nil"/>
              <w:right w:val="nil"/>
            </w:tcBorders>
            <w:shd w:val="clear" w:color="auto" w:fill="auto"/>
            <w:tcMar>
              <w:top w:w="80" w:type="dxa"/>
              <w:left w:w="80" w:type="dxa"/>
              <w:bottom w:w="80" w:type="dxa"/>
              <w:right w:w="80" w:type="dxa"/>
            </w:tcMar>
          </w:tcPr>
          <w:p w14:paraId="6F684528"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RF, </w:t>
            </w:r>
            <w:proofErr w:type="spellStart"/>
            <w:r>
              <w:rPr>
                <w:rFonts w:ascii="Arial" w:eastAsia="Arial" w:hAnsi="Arial" w:cs="Arial"/>
                <w:color w:val="000000"/>
                <w:sz w:val="22"/>
                <w:szCs w:val="22"/>
              </w:rPr>
              <w:t>XGBoost</w:t>
            </w:r>
            <w:proofErr w:type="spellEnd"/>
          </w:p>
        </w:tc>
        <w:tc>
          <w:tcPr>
            <w:tcW w:w="1560" w:type="dxa"/>
            <w:tcBorders>
              <w:top w:val="nil"/>
              <w:left w:val="nil"/>
              <w:bottom w:val="nil"/>
              <w:right w:val="nil"/>
            </w:tcBorders>
            <w:shd w:val="clear" w:color="auto" w:fill="auto"/>
            <w:tcMar>
              <w:top w:w="80" w:type="dxa"/>
              <w:left w:w="80" w:type="dxa"/>
              <w:bottom w:w="80" w:type="dxa"/>
              <w:right w:w="80" w:type="dxa"/>
            </w:tcMar>
          </w:tcPr>
          <w:p w14:paraId="0E3210A3"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DHS</w:t>
            </w:r>
          </w:p>
        </w:tc>
        <w:tc>
          <w:tcPr>
            <w:tcW w:w="1560" w:type="dxa"/>
            <w:tcBorders>
              <w:top w:val="nil"/>
              <w:left w:val="nil"/>
              <w:bottom w:val="nil"/>
              <w:right w:val="nil"/>
            </w:tcBorders>
            <w:shd w:val="clear" w:color="auto" w:fill="auto"/>
            <w:tcMar>
              <w:top w:w="80" w:type="dxa"/>
              <w:left w:w="80" w:type="dxa"/>
              <w:bottom w:w="80" w:type="dxa"/>
              <w:right w:w="80" w:type="dxa"/>
            </w:tcMar>
          </w:tcPr>
          <w:p w14:paraId="31B4EF7E"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Age, parity, education</w:t>
            </w:r>
          </w:p>
        </w:tc>
      </w:tr>
      <w:tr w:rsidR="006E59AA" w14:paraId="72A61EF9" w14:textId="77777777">
        <w:trPr>
          <w:trHeight w:val="783"/>
        </w:trPr>
        <w:tc>
          <w:tcPr>
            <w:tcW w:w="1560" w:type="dxa"/>
            <w:tcBorders>
              <w:top w:val="nil"/>
              <w:left w:val="nil"/>
              <w:bottom w:val="nil"/>
              <w:right w:val="nil"/>
            </w:tcBorders>
            <w:shd w:val="clear" w:color="auto" w:fill="auto"/>
            <w:tcMar>
              <w:top w:w="80" w:type="dxa"/>
              <w:left w:w="80" w:type="dxa"/>
              <w:bottom w:w="80" w:type="dxa"/>
              <w:right w:w="80" w:type="dxa"/>
            </w:tcMar>
          </w:tcPr>
          <w:p w14:paraId="17409699"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proofErr w:type="spellStart"/>
            <w:r>
              <w:rPr>
                <w:rFonts w:ascii="Arial" w:eastAsia="Arial" w:hAnsi="Arial" w:cs="Arial"/>
                <w:color w:val="000000"/>
                <w:sz w:val="22"/>
                <w:szCs w:val="22"/>
              </w:rPr>
              <w:t>Tzitiridou</w:t>
            </w:r>
            <w:proofErr w:type="spellEnd"/>
            <w:r>
              <w:rPr>
                <w:rFonts w:ascii="Arial" w:eastAsia="Arial" w:hAnsi="Arial" w:cs="Arial"/>
                <w:color w:val="000000"/>
                <w:sz w:val="22"/>
                <w:szCs w:val="22"/>
              </w:rPr>
              <w:t>-Chatzopoulou et al. (2024)</w:t>
            </w:r>
          </w:p>
        </w:tc>
        <w:tc>
          <w:tcPr>
            <w:tcW w:w="1560" w:type="dxa"/>
            <w:tcBorders>
              <w:top w:val="nil"/>
              <w:left w:val="nil"/>
              <w:bottom w:val="nil"/>
              <w:right w:val="nil"/>
            </w:tcBorders>
            <w:shd w:val="clear" w:color="auto" w:fill="auto"/>
            <w:tcMar>
              <w:top w:w="80" w:type="dxa"/>
              <w:left w:w="80" w:type="dxa"/>
              <w:bottom w:w="80" w:type="dxa"/>
              <w:right w:w="80" w:type="dxa"/>
            </w:tcMar>
          </w:tcPr>
          <w:p w14:paraId="23DE33D1"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Scotland</w:t>
            </w:r>
          </w:p>
        </w:tc>
        <w:tc>
          <w:tcPr>
            <w:tcW w:w="1560" w:type="dxa"/>
            <w:tcBorders>
              <w:top w:val="nil"/>
              <w:left w:val="nil"/>
              <w:bottom w:val="nil"/>
              <w:right w:val="nil"/>
            </w:tcBorders>
            <w:shd w:val="clear" w:color="auto" w:fill="auto"/>
            <w:tcMar>
              <w:top w:w="80" w:type="dxa"/>
              <w:left w:w="80" w:type="dxa"/>
              <w:bottom w:w="80" w:type="dxa"/>
              <w:right w:w="80" w:type="dxa"/>
            </w:tcMar>
          </w:tcPr>
          <w:p w14:paraId="1E76904D"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Monthly birth forecasting</w:t>
            </w:r>
          </w:p>
        </w:tc>
        <w:tc>
          <w:tcPr>
            <w:tcW w:w="1560" w:type="dxa"/>
            <w:tcBorders>
              <w:top w:val="nil"/>
              <w:left w:val="nil"/>
              <w:bottom w:val="nil"/>
              <w:right w:val="nil"/>
            </w:tcBorders>
            <w:shd w:val="clear" w:color="auto" w:fill="auto"/>
            <w:tcMar>
              <w:top w:w="80" w:type="dxa"/>
              <w:left w:w="80" w:type="dxa"/>
              <w:bottom w:w="80" w:type="dxa"/>
              <w:right w:w="80" w:type="dxa"/>
            </w:tcMar>
          </w:tcPr>
          <w:p w14:paraId="458A965D"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proofErr w:type="spellStart"/>
            <w:r>
              <w:rPr>
                <w:rFonts w:ascii="Arial" w:eastAsia="Arial" w:hAnsi="Arial" w:cs="Arial"/>
                <w:color w:val="000000"/>
                <w:sz w:val="22"/>
                <w:szCs w:val="22"/>
              </w:rPr>
              <w:t>XGBoost</w:t>
            </w:r>
            <w:proofErr w:type="spellEnd"/>
            <w:r>
              <w:rPr>
                <w:rFonts w:ascii="Arial" w:eastAsia="Arial" w:hAnsi="Arial" w:cs="Arial"/>
                <w:color w:val="000000"/>
                <w:sz w:val="22"/>
                <w:szCs w:val="22"/>
              </w:rPr>
              <w:t>, ARIMA, Prophet, RF</w:t>
            </w:r>
          </w:p>
        </w:tc>
        <w:tc>
          <w:tcPr>
            <w:tcW w:w="1560" w:type="dxa"/>
            <w:tcBorders>
              <w:top w:val="nil"/>
              <w:left w:val="nil"/>
              <w:bottom w:val="nil"/>
              <w:right w:val="nil"/>
            </w:tcBorders>
            <w:shd w:val="clear" w:color="auto" w:fill="auto"/>
            <w:tcMar>
              <w:top w:w="80" w:type="dxa"/>
              <w:left w:w="80" w:type="dxa"/>
              <w:bottom w:w="80" w:type="dxa"/>
              <w:right w:w="80" w:type="dxa"/>
            </w:tcMar>
          </w:tcPr>
          <w:p w14:paraId="70B7570F"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Vital stats</w:t>
            </w:r>
          </w:p>
        </w:tc>
        <w:tc>
          <w:tcPr>
            <w:tcW w:w="1560" w:type="dxa"/>
            <w:tcBorders>
              <w:top w:val="nil"/>
              <w:left w:val="nil"/>
              <w:bottom w:val="nil"/>
              <w:right w:val="nil"/>
            </w:tcBorders>
            <w:shd w:val="clear" w:color="auto" w:fill="auto"/>
            <w:tcMar>
              <w:top w:w="80" w:type="dxa"/>
              <w:left w:w="80" w:type="dxa"/>
              <w:bottom w:w="80" w:type="dxa"/>
              <w:right w:w="80" w:type="dxa"/>
            </w:tcMar>
          </w:tcPr>
          <w:p w14:paraId="4493BC28"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Economic indicators</w:t>
            </w:r>
          </w:p>
        </w:tc>
      </w:tr>
      <w:tr w:rsidR="006E59AA" w14:paraId="6846FDF4" w14:textId="77777777">
        <w:trPr>
          <w:trHeight w:val="783"/>
        </w:trPr>
        <w:tc>
          <w:tcPr>
            <w:tcW w:w="1560" w:type="dxa"/>
            <w:tcBorders>
              <w:top w:val="nil"/>
              <w:left w:val="nil"/>
              <w:bottom w:val="nil"/>
              <w:right w:val="nil"/>
            </w:tcBorders>
            <w:shd w:val="clear" w:color="auto" w:fill="auto"/>
            <w:tcMar>
              <w:top w:w="80" w:type="dxa"/>
              <w:left w:w="80" w:type="dxa"/>
              <w:bottom w:w="80" w:type="dxa"/>
              <w:right w:w="80" w:type="dxa"/>
            </w:tcMar>
          </w:tcPr>
          <w:p w14:paraId="69FF2B7E"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Xue et al. (2024)</w:t>
            </w:r>
          </w:p>
        </w:tc>
        <w:tc>
          <w:tcPr>
            <w:tcW w:w="1560" w:type="dxa"/>
            <w:tcBorders>
              <w:top w:val="nil"/>
              <w:left w:val="nil"/>
              <w:bottom w:val="nil"/>
              <w:right w:val="nil"/>
            </w:tcBorders>
            <w:shd w:val="clear" w:color="auto" w:fill="auto"/>
            <w:tcMar>
              <w:top w:w="80" w:type="dxa"/>
              <w:left w:w="80" w:type="dxa"/>
              <w:bottom w:w="80" w:type="dxa"/>
              <w:right w:w="80" w:type="dxa"/>
            </w:tcMar>
          </w:tcPr>
          <w:p w14:paraId="7D34767B"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China</w:t>
            </w:r>
          </w:p>
        </w:tc>
        <w:tc>
          <w:tcPr>
            <w:tcW w:w="1560" w:type="dxa"/>
            <w:tcBorders>
              <w:top w:val="nil"/>
              <w:left w:val="nil"/>
              <w:bottom w:val="nil"/>
              <w:right w:val="nil"/>
            </w:tcBorders>
            <w:shd w:val="clear" w:color="auto" w:fill="auto"/>
            <w:tcMar>
              <w:top w:w="80" w:type="dxa"/>
              <w:left w:w="80" w:type="dxa"/>
              <w:bottom w:w="80" w:type="dxa"/>
              <w:right w:w="80" w:type="dxa"/>
            </w:tcMar>
          </w:tcPr>
          <w:p w14:paraId="60B25A99"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City-level birth prediction</w:t>
            </w:r>
          </w:p>
        </w:tc>
        <w:tc>
          <w:tcPr>
            <w:tcW w:w="1560" w:type="dxa"/>
            <w:tcBorders>
              <w:top w:val="nil"/>
              <w:left w:val="nil"/>
              <w:bottom w:val="nil"/>
              <w:right w:val="nil"/>
            </w:tcBorders>
            <w:shd w:val="clear" w:color="auto" w:fill="auto"/>
            <w:tcMar>
              <w:top w:w="80" w:type="dxa"/>
              <w:left w:w="80" w:type="dxa"/>
              <w:bottom w:w="80" w:type="dxa"/>
              <w:right w:w="80" w:type="dxa"/>
            </w:tcMar>
          </w:tcPr>
          <w:p w14:paraId="354A7A9F"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Attention LSTM (BRP-Net)</w:t>
            </w:r>
          </w:p>
        </w:tc>
        <w:tc>
          <w:tcPr>
            <w:tcW w:w="1560" w:type="dxa"/>
            <w:tcBorders>
              <w:top w:val="nil"/>
              <w:left w:val="nil"/>
              <w:bottom w:val="nil"/>
              <w:right w:val="nil"/>
            </w:tcBorders>
            <w:shd w:val="clear" w:color="auto" w:fill="auto"/>
            <w:tcMar>
              <w:top w:w="80" w:type="dxa"/>
              <w:left w:w="80" w:type="dxa"/>
              <w:bottom w:w="80" w:type="dxa"/>
              <w:right w:w="80" w:type="dxa"/>
            </w:tcMar>
          </w:tcPr>
          <w:p w14:paraId="054EF3D7"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Regional stats</w:t>
            </w:r>
          </w:p>
        </w:tc>
        <w:tc>
          <w:tcPr>
            <w:tcW w:w="1560" w:type="dxa"/>
            <w:tcBorders>
              <w:top w:val="nil"/>
              <w:left w:val="nil"/>
              <w:bottom w:val="nil"/>
              <w:right w:val="nil"/>
            </w:tcBorders>
            <w:shd w:val="clear" w:color="auto" w:fill="auto"/>
            <w:tcMar>
              <w:top w:w="80" w:type="dxa"/>
              <w:left w:w="80" w:type="dxa"/>
              <w:bottom w:w="80" w:type="dxa"/>
              <w:right w:w="80" w:type="dxa"/>
            </w:tcMar>
          </w:tcPr>
          <w:p w14:paraId="40ED3CEC"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GDP, housing prices, % women</w:t>
            </w:r>
          </w:p>
        </w:tc>
      </w:tr>
      <w:tr w:rsidR="006E59AA" w14:paraId="28C62C3C" w14:textId="77777777">
        <w:trPr>
          <w:trHeight w:val="508"/>
        </w:trPr>
        <w:tc>
          <w:tcPr>
            <w:tcW w:w="1560" w:type="dxa"/>
            <w:tcBorders>
              <w:top w:val="nil"/>
              <w:left w:val="nil"/>
              <w:bottom w:val="nil"/>
              <w:right w:val="nil"/>
            </w:tcBorders>
            <w:shd w:val="clear" w:color="auto" w:fill="auto"/>
            <w:tcMar>
              <w:top w:w="80" w:type="dxa"/>
              <w:left w:w="80" w:type="dxa"/>
              <w:bottom w:w="80" w:type="dxa"/>
              <w:right w:w="80" w:type="dxa"/>
            </w:tcMar>
          </w:tcPr>
          <w:p w14:paraId="068959C7"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Pierson et al. (2019)</w:t>
            </w:r>
          </w:p>
        </w:tc>
        <w:tc>
          <w:tcPr>
            <w:tcW w:w="1560" w:type="dxa"/>
            <w:tcBorders>
              <w:top w:val="nil"/>
              <w:left w:val="nil"/>
              <w:bottom w:val="nil"/>
              <w:right w:val="nil"/>
            </w:tcBorders>
            <w:shd w:val="clear" w:color="auto" w:fill="auto"/>
            <w:tcMar>
              <w:top w:w="80" w:type="dxa"/>
              <w:left w:w="80" w:type="dxa"/>
              <w:bottom w:w="80" w:type="dxa"/>
              <w:right w:w="80" w:type="dxa"/>
            </w:tcMar>
          </w:tcPr>
          <w:p w14:paraId="5E45DC7E"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USA (App data)</w:t>
            </w:r>
          </w:p>
        </w:tc>
        <w:tc>
          <w:tcPr>
            <w:tcW w:w="1560" w:type="dxa"/>
            <w:tcBorders>
              <w:top w:val="nil"/>
              <w:left w:val="nil"/>
              <w:bottom w:val="nil"/>
              <w:right w:val="nil"/>
            </w:tcBorders>
            <w:shd w:val="clear" w:color="auto" w:fill="auto"/>
            <w:tcMar>
              <w:top w:w="80" w:type="dxa"/>
              <w:left w:w="80" w:type="dxa"/>
              <w:bottom w:w="80" w:type="dxa"/>
              <w:right w:w="80" w:type="dxa"/>
            </w:tcMar>
          </w:tcPr>
          <w:p w14:paraId="3928A644"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Pregnancy prediction</w:t>
            </w:r>
          </w:p>
        </w:tc>
        <w:tc>
          <w:tcPr>
            <w:tcW w:w="1560" w:type="dxa"/>
            <w:tcBorders>
              <w:top w:val="nil"/>
              <w:left w:val="nil"/>
              <w:bottom w:val="nil"/>
              <w:right w:val="nil"/>
            </w:tcBorders>
            <w:shd w:val="clear" w:color="auto" w:fill="auto"/>
            <w:tcMar>
              <w:top w:w="80" w:type="dxa"/>
              <w:left w:w="80" w:type="dxa"/>
              <w:bottom w:w="80" w:type="dxa"/>
              <w:right w:w="80" w:type="dxa"/>
            </w:tcMar>
          </w:tcPr>
          <w:p w14:paraId="677F4608"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LSTM</w:t>
            </w:r>
          </w:p>
        </w:tc>
        <w:tc>
          <w:tcPr>
            <w:tcW w:w="1560" w:type="dxa"/>
            <w:tcBorders>
              <w:top w:val="nil"/>
              <w:left w:val="nil"/>
              <w:bottom w:val="nil"/>
              <w:right w:val="nil"/>
            </w:tcBorders>
            <w:shd w:val="clear" w:color="auto" w:fill="auto"/>
            <w:tcMar>
              <w:top w:w="80" w:type="dxa"/>
              <w:left w:w="80" w:type="dxa"/>
              <w:bottom w:w="80" w:type="dxa"/>
              <w:right w:w="80" w:type="dxa"/>
            </w:tcMar>
          </w:tcPr>
          <w:p w14:paraId="18AE9E1D"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Menstrual app</w:t>
            </w:r>
          </w:p>
        </w:tc>
        <w:tc>
          <w:tcPr>
            <w:tcW w:w="1560" w:type="dxa"/>
            <w:tcBorders>
              <w:top w:val="nil"/>
              <w:left w:val="nil"/>
              <w:bottom w:val="nil"/>
              <w:right w:val="nil"/>
            </w:tcBorders>
            <w:shd w:val="clear" w:color="auto" w:fill="auto"/>
            <w:tcMar>
              <w:top w:w="80" w:type="dxa"/>
              <w:left w:w="80" w:type="dxa"/>
              <w:bottom w:w="80" w:type="dxa"/>
              <w:right w:w="80" w:type="dxa"/>
            </w:tcMar>
          </w:tcPr>
          <w:p w14:paraId="7DF48603"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Cycle logs, activity</w:t>
            </w:r>
          </w:p>
        </w:tc>
      </w:tr>
      <w:tr w:rsidR="006E59AA" w14:paraId="48FC6C7C" w14:textId="77777777">
        <w:trPr>
          <w:trHeight w:val="508"/>
        </w:trPr>
        <w:tc>
          <w:tcPr>
            <w:tcW w:w="1560" w:type="dxa"/>
            <w:tcBorders>
              <w:top w:val="nil"/>
              <w:left w:val="nil"/>
              <w:bottom w:val="nil"/>
              <w:right w:val="nil"/>
            </w:tcBorders>
            <w:shd w:val="clear" w:color="auto" w:fill="auto"/>
            <w:tcMar>
              <w:top w:w="80" w:type="dxa"/>
              <w:left w:w="80" w:type="dxa"/>
              <w:bottom w:w="80" w:type="dxa"/>
              <w:right w:w="80" w:type="dxa"/>
            </w:tcMar>
          </w:tcPr>
          <w:p w14:paraId="559BB91C"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lastRenderedPageBreak/>
              <w:t>Braude et al. (2024)</w:t>
            </w:r>
          </w:p>
        </w:tc>
        <w:tc>
          <w:tcPr>
            <w:tcW w:w="1560" w:type="dxa"/>
            <w:tcBorders>
              <w:top w:val="nil"/>
              <w:left w:val="nil"/>
              <w:bottom w:val="nil"/>
              <w:right w:val="nil"/>
            </w:tcBorders>
            <w:shd w:val="clear" w:color="auto" w:fill="auto"/>
            <w:tcMar>
              <w:top w:w="80" w:type="dxa"/>
              <w:left w:w="80" w:type="dxa"/>
              <w:bottom w:w="80" w:type="dxa"/>
              <w:right w:w="80" w:type="dxa"/>
            </w:tcMar>
          </w:tcPr>
          <w:p w14:paraId="521953AB"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Israel</w:t>
            </w:r>
          </w:p>
        </w:tc>
        <w:tc>
          <w:tcPr>
            <w:tcW w:w="1560" w:type="dxa"/>
            <w:tcBorders>
              <w:top w:val="nil"/>
              <w:left w:val="nil"/>
              <w:bottom w:val="nil"/>
              <w:right w:val="nil"/>
            </w:tcBorders>
            <w:shd w:val="clear" w:color="auto" w:fill="auto"/>
            <w:tcMar>
              <w:top w:w="80" w:type="dxa"/>
              <w:left w:w="80" w:type="dxa"/>
              <w:bottom w:w="80" w:type="dxa"/>
              <w:right w:w="80" w:type="dxa"/>
            </w:tcMar>
          </w:tcPr>
          <w:p w14:paraId="30ABA190"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IVF egg yield prediction</w:t>
            </w:r>
          </w:p>
        </w:tc>
        <w:tc>
          <w:tcPr>
            <w:tcW w:w="1560" w:type="dxa"/>
            <w:tcBorders>
              <w:top w:val="nil"/>
              <w:left w:val="nil"/>
              <w:bottom w:val="nil"/>
              <w:right w:val="nil"/>
            </w:tcBorders>
            <w:shd w:val="clear" w:color="auto" w:fill="auto"/>
            <w:tcMar>
              <w:top w:w="80" w:type="dxa"/>
              <w:left w:w="80" w:type="dxa"/>
              <w:bottom w:w="80" w:type="dxa"/>
              <w:right w:w="80" w:type="dxa"/>
            </w:tcMar>
          </w:tcPr>
          <w:p w14:paraId="4361CE01"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RF, </w:t>
            </w:r>
            <w:proofErr w:type="spellStart"/>
            <w:r>
              <w:rPr>
                <w:rFonts w:ascii="Arial" w:eastAsia="Arial" w:hAnsi="Arial" w:cs="Arial"/>
                <w:color w:val="000000"/>
                <w:sz w:val="22"/>
                <w:szCs w:val="22"/>
              </w:rPr>
              <w:t>XGBoost</w:t>
            </w:r>
            <w:proofErr w:type="spellEnd"/>
          </w:p>
        </w:tc>
        <w:tc>
          <w:tcPr>
            <w:tcW w:w="1560" w:type="dxa"/>
            <w:tcBorders>
              <w:top w:val="nil"/>
              <w:left w:val="nil"/>
              <w:bottom w:val="nil"/>
              <w:right w:val="nil"/>
            </w:tcBorders>
            <w:shd w:val="clear" w:color="auto" w:fill="auto"/>
            <w:tcMar>
              <w:top w:w="80" w:type="dxa"/>
              <w:left w:w="80" w:type="dxa"/>
              <w:bottom w:w="80" w:type="dxa"/>
              <w:right w:w="80" w:type="dxa"/>
            </w:tcMar>
          </w:tcPr>
          <w:p w14:paraId="1A28DB26"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Fertility clinic data</w:t>
            </w:r>
          </w:p>
        </w:tc>
        <w:tc>
          <w:tcPr>
            <w:tcW w:w="1560" w:type="dxa"/>
            <w:tcBorders>
              <w:top w:val="nil"/>
              <w:left w:val="nil"/>
              <w:bottom w:val="nil"/>
              <w:right w:val="nil"/>
            </w:tcBorders>
            <w:shd w:val="clear" w:color="auto" w:fill="auto"/>
            <w:tcMar>
              <w:top w:w="80" w:type="dxa"/>
              <w:left w:w="80" w:type="dxa"/>
              <w:bottom w:w="80" w:type="dxa"/>
              <w:right w:w="80" w:type="dxa"/>
            </w:tcMar>
          </w:tcPr>
          <w:p w14:paraId="2C6C1207"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Ovarian metrics</w:t>
            </w:r>
          </w:p>
        </w:tc>
      </w:tr>
    </w:tbl>
    <w:p w14:paraId="16DAB800" w14:textId="77777777" w:rsidR="006E59AA" w:rsidRDefault="006E59AA">
      <w:pPr>
        <w:widowControl w:val="0"/>
        <w:pBdr>
          <w:top w:val="nil"/>
          <w:left w:val="nil"/>
          <w:bottom w:val="nil"/>
          <w:right w:val="nil"/>
          <w:between w:val="nil"/>
        </w:pBdr>
        <w:rPr>
          <w:rFonts w:ascii="Arimo" w:eastAsia="Arimo" w:hAnsi="Arimo" w:cs="Arimo"/>
          <w:color w:val="000000"/>
          <w:sz w:val="22"/>
          <w:szCs w:val="22"/>
        </w:rPr>
      </w:pPr>
    </w:p>
    <w:p w14:paraId="5FD1A181" w14:textId="5E50BFEC" w:rsidR="006E59AA" w:rsidRDefault="00F04F33">
      <w:pPr>
        <w:pBdr>
          <w:top w:val="nil"/>
          <w:left w:val="nil"/>
          <w:bottom w:val="nil"/>
          <w:right w:val="nil"/>
          <w:between w:val="nil"/>
        </w:pBdr>
        <w:spacing w:line="276" w:lineRule="auto"/>
        <w:rPr>
          <w:rFonts w:ascii="Arimo" w:eastAsia="Arimo" w:hAnsi="Arimo" w:cs="Arimo"/>
          <w:color w:val="000000"/>
          <w:sz w:val="22"/>
          <w:szCs w:val="22"/>
        </w:rPr>
      </w:pPr>
      <w:r>
        <w:rPr>
          <w:rFonts w:ascii="Arimo" w:eastAsia="Arimo" w:hAnsi="Arimo" w:cs="Arimo"/>
          <w:color w:val="000000"/>
          <w:sz w:val="22"/>
          <w:szCs w:val="22"/>
        </w:rPr>
        <w:t xml:space="preserve">Table </w:t>
      </w:r>
      <w:proofErr w:type="gramStart"/>
      <w:r>
        <w:rPr>
          <w:rFonts w:ascii="Arimo" w:eastAsia="Arimo" w:hAnsi="Arimo" w:cs="Arimo"/>
          <w:color w:val="000000"/>
          <w:sz w:val="22"/>
          <w:szCs w:val="22"/>
        </w:rPr>
        <w:t>4 :</w:t>
      </w:r>
      <w:proofErr w:type="gramEnd"/>
      <w:r>
        <w:rPr>
          <w:rFonts w:ascii="Arimo" w:eastAsia="Arimo" w:hAnsi="Arimo" w:cs="Arimo"/>
          <w:color w:val="000000"/>
          <w:sz w:val="22"/>
          <w:szCs w:val="22"/>
        </w:rPr>
        <w:t xml:space="preserve"> </w:t>
      </w:r>
      <w:r w:rsidR="009822AB" w:rsidRPr="009224F7">
        <w:rPr>
          <w:rFonts w:ascii="Arimo" w:eastAsia="Arimo" w:hAnsi="Arimo" w:cs="Arimo"/>
          <w:color w:val="000000"/>
          <w:sz w:val="22"/>
          <w:szCs w:val="22"/>
          <w:highlight w:val="yellow"/>
        </w:rPr>
        <w:t>Models used comparison (Sample studies)</w:t>
      </w:r>
    </w:p>
    <w:p w14:paraId="082DB2F9" w14:textId="77777777" w:rsidR="006E59AA" w:rsidRDefault="006E59AA">
      <w:pPr>
        <w:pBdr>
          <w:top w:val="nil"/>
          <w:left w:val="nil"/>
          <w:bottom w:val="nil"/>
          <w:right w:val="nil"/>
          <w:between w:val="nil"/>
        </w:pBdr>
        <w:spacing w:line="276" w:lineRule="auto"/>
        <w:rPr>
          <w:rFonts w:ascii="Arimo" w:eastAsia="Arimo" w:hAnsi="Arimo" w:cs="Arimo"/>
          <w:color w:val="000000"/>
          <w:sz w:val="22"/>
          <w:szCs w:val="22"/>
        </w:rPr>
      </w:pPr>
    </w:p>
    <w:p w14:paraId="5C37BD84" w14:textId="77777777" w:rsidR="006E59AA" w:rsidRDefault="006E59AA">
      <w:pPr>
        <w:pBdr>
          <w:top w:val="nil"/>
          <w:left w:val="nil"/>
          <w:bottom w:val="nil"/>
          <w:right w:val="nil"/>
          <w:between w:val="nil"/>
        </w:pBdr>
        <w:spacing w:line="276" w:lineRule="auto"/>
        <w:rPr>
          <w:rFonts w:ascii="Arial" w:eastAsia="Arial" w:hAnsi="Arial" w:cs="Arial"/>
          <w:color w:val="000000"/>
          <w:sz w:val="22"/>
          <w:szCs w:val="22"/>
        </w:rPr>
      </w:pPr>
    </w:p>
    <w:p w14:paraId="616E6098" w14:textId="77777777" w:rsidR="006E59AA" w:rsidRDefault="00E74C50">
      <w:pPr>
        <w:pStyle w:val="Heading3"/>
        <w:keepNext w:val="0"/>
        <w:keepLines w:val="0"/>
        <w:spacing w:before="280"/>
        <w:rPr>
          <w:b/>
          <w:color w:val="000000"/>
          <w:sz w:val="26"/>
          <w:szCs w:val="26"/>
        </w:rPr>
      </w:pPr>
      <w:bookmarkStart w:id="2" w:name="_heading=h.dyt9cn4nxoxi" w:colFirst="0" w:colLast="0"/>
      <w:bookmarkEnd w:id="2"/>
      <w:r>
        <w:rPr>
          <w:b/>
          <w:color w:val="000000"/>
          <w:sz w:val="26"/>
          <w:szCs w:val="26"/>
        </w:rPr>
        <w:t>Equity and Bias</w:t>
      </w:r>
    </w:p>
    <w:p w14:paraId="627C99C8"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 xml:space="preserve">Few fertility prediction studies formally assess demographic fairness. Yet equity is critical: historical reproductive injustices (forced sterilization, unequal access) raise concerns that AI could amplify bias. We found only one study that explicitly reported fairness metrics. Lin </w:t>
      </w:r>
      <w:r>
        <w:rPr>
          <w:rFonts w:ascii="Arial" w:eastAsia="Arial" w:hAnsi="Arial" w:cs="Arial"/>
          <w:i/>
          <w:color w:val="000000"/>
          <w:sz w:val="22"/>
          <w:szCs w:val="22"/>
        </w:rPr>
        <w:t>et al.</w:t>
      </w:r>
      <w:r>
        <w:rPr>
          <w:rFonts w:ascii="Arial" w:eastAsia="Arial" w:hAnsi="Arial" w:cs="Arial"/>
          <w:color w:val="000000"/>
          <w:sz w:val="22"/>
          <w:szCs w:val="22"/>
        </w:rPr>
        <w:t xml:space="preserve"> (2024) applied fairness audits to a preeclampsia prediction model: they calculated equal opportunity and statistical parity ratios for race. They found the RF model exhibited bias against non-Hispanic Black women, a “correctable bias”. This shows the importance of auditing subgroup error rates (e.g. false negatives higher for a minority group).</w:t>
      </w:r>
    </w:p>
    <w:p w14:paraId="61248371"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Other works suggest potential biases: In the Nigeria ML study, ethnicity and region influenced fertility preferences; if model errors vary by subgroup, this could lead to inequitable predictions (e.g. overestimating desire for more children in one ethnic group). Likewise, app-based studies (Clue) primarily involve smartphone users – often younger, educated urban women – possibly underrepresenting less privileged populations. No paper reported performance by subgroups (e.g., by race, SES).</w:t>
      </w:r>
    </w:p>
    <w:p w14:paraId="50D37492"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 xml:space="preserve">Overall, algorithmic fairness literature (in broader health) warns that models can inherit data biases. For example, reproductive justice scholars note that AI in fertility should consider historical inequities (surveillance of marginalized groups, stratification of reproductive rights). In absence of study-specific fairness results, we emphasize that any fertility AI must be tested for equal accuracy across demographics (race, age, </w:t>
      </w:r>
      <w:proofErr w:type="spellStart"/>
      <w:r>
        <w:rPr>
          <w:rFonts w:ascii="Arial" w:eastAsia="Arial" w:hAnsi="Arial" w:cs="Arial"/>
          <w:color w:val="000000"/>
          <w:sz w:val="22"/>
          <w:szCs w:val="22"/>
        </w:rPr>
        <w:t>socioecon</w:t>
      </w:r>
      <w:proofErr w:type="spellEnd"/>
      <w:r>
        <w:rPr>
          <w:rFonts w:ascii="Arial" w:eastAsia="Arial" w:hAnsi="Arial" w:cs="Arial"/>
          <w:color w:val="000000"/>
          <w:sz w:val="22"/>
          <w:szCs w:val="22"/>
        </w:rPr>
        <w:t xml:space="preserve">). Techniques like resampling, fairness constraints, or post-hoc adjustments (e.g. equalized odds) have been proposed in medicine. For example, Lin </w:t>
      </w:r>
      <w:r>
        <w:rPr>
          <w:rFonts w:ascii="Arial" w:eastAsia="Arial" w:hAnsi="Arial" w:cs="Arial"/>
          <w:i/>
          <w:color w:val="000000"/>
          <w:sz w:val="22"/>
          <w:szCs w:val="22"/>
        </w:rPr>
        <w:t>et al.</w:t>
      </w:r>
      <w:r>
        <w:rPr>
          <w:rFonts w:ascii="Arial" w:eastAsia="Arial" w:hAnsi="Arial" w:cs="Arial"/>
          <w:color w:val="000000"/>
          <w:sz w:val="22"/>
          <w:szCs w:val="22"/>
        </w:rPr>
        <w:t xml:space="preserve"> mitigated racial bias using Ceteris Paribus Cutoff plots. Future fertility models should similarly report subgroup metrics (sensitivity, FPR) and ensure inclusive training data covering rural/urban and diverse ethnicities.</w:t>
      </w:r>
    </w:p>
    <w:p w14:paraId="5B2BDBCE" w14:textId="77777777" w:rsidR="006E59AA" w:rsidRDefault="00E74C50">
      <w:pPr>
        <w:pStyle w:val="Heading3"/>
        <w:keepNext w:val="0"/>
        <w:keepLines w:val="0"/>
        <w:spacing w:before="280"/>
        <w:rPr>
          <w:b/>
          <w:color w:val="000000"/>
          <w:sz w:val="26"/>
          <w:szCs w:val="26"/>
        </w:rPr>
      </w:pPr>
      <w:bookmarkStart w:id="3" w:name="_heading=h.z55vdlufsk43" w:colFirst="0" w:colLast="0"/>
      <w:bookmarkEnd w:id="3"/>
      <w:r>
        <w:rPr>
          <w:b/>
          <w:color w:val="000000"/>
          <w:sz w:val="26"/>
          <w:szCs w:val="26"/>
        </w:rPr>
        <w:t>Interpretability and UX</w:t>
      </w:r>
    </w:p>
    <w:p w14:paraId="3C9C54B7"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 xml:space="preserve">Explainable AI (XAI) is crucial for trust in clinical/policy tools. Complex models (deep nets, ensembles) are “black boxes” lacking transparency, which is a known barrier to adoption. Some studies have begun addressing this. Pierson </w:t>
      </w:r>
      <w:r>
        <w:rPr>
          <w:rFonts w:ascii="Arial" w:eastAsia="Arial" w:hAnsi="Arial" w:cs="Arial"/>
          <w:i/>
          <w:color w:val="000000"/>
          <w:sz w:val="22"/>
          <w:szCs w:val="22"/>
        </w:rPr>
        <w:t>et al.</w:t>
      </w:r>
      <w:r>
        <w:rPr>
          <w:rFonts w:ascii="Arial" w:eastAsia="Arial" w:hAnsi="Arial" w:cs="Arial"/>
          <w:color w:val="000000"/>
          <w:sz w:val="22"/>
          <w:szCs w:val="22"/>
        </w:rPr>
        <w:t xml:space="preserve"> (2019) explicitly extracted interpretable trends from their LSTM pregnancy model: they devised a method to visualize how predictors (e.g. timing of sexual activity) influence risk over the cycle. They found these LSTM-learned trends matched known fertility biology (validating the model).</w:t>
      </w:r>
    </w:p>
    <w:p w14:paraId="546AB304"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lastRenderedPageBreak/>
        <w:t xml:space="preserve">Similarly, Lin </w:t>
      </w:r>
      <w:r>
        <w:rPr>
          <w:rFonts w:ascii="Arial" w:eastAsia="Arial" w:hAnsi="Arial" w:cs="Arial"/>
          <w:i/>
          <w:color w:val="000000"/>
          <w:sz w:val="22"/>
          <w:szCs w:val="22"/>
        </w:rPr>
        <w:t>et al.</w:t>
      </w:r>
      <w:r>
        <w:rPr>
          <w:rFonts w:ascii="Arial" w:eastAsia="Arial" w:hAnsi="Arial" w:cs="Arial"/>
          <w:color w:val="000000"/>
          <w:sz w:val="22"/>
          <w:szCs w:val="22"/>
        </w:rPr>
        <w:t xml:space="preserve"> (2024) used feature importance and partial dependence plots (PDPs) in their clinical model. PDPs revealed how each predictor (e.g. placental analytes) marginally affected preeclampsia risk. Such tools (SHAP, LIME, PDP) are applicable to fertility models too. For instance, in the Nigeria study, permutation importances identified number of children and age as top factors. In an IVF context, interpretable models suggested that aneuploidy rates and age predicted embryo viability.</w:t>
      </w:r>
    </w:p>
    <w:p w14:paraId="1C6285AF"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 xml:space="preserve">User experience (UX) is another issue. AI predictions must be presented clearly to end-users (patients, clinicians, policymakers). If interfaces are confusing or results unexplained, trust erodes. As Morrison </w:t>
      </w:r>
      <w:r>
        <w:rPr>
          <w:rFonts w:ascii="Arial" w:eastAsia="Arial" w:hAnsi="Arial" w:cs="Arial"/>
          <w:i/>
          <w:color w:val="000000"/>
          <w:sz w:val="22"/>
          <w:szCs w:val="22"/>
        </w:rPr>
        <w:t>et al.</w:t>
      </w:r>
      <w:r>
        <w:rPr>
          <w:rFonts w:ascii="Arial" w:eastAsia="Arial" w:hAnsi="Arial" w:cs="Arial"/>
          <w:color w:val="000000"/>
          <w:sz w:val="22"/>
          <w:szCs w:val="22"/>
        </w:rPr>
        <w:t xml:space="preserve"> (2021) noted for NHS AI tools, “language clarity” and intuitive design are key to adoption. E.g., a fertility app using an AI model should provide clear probability statements (“20% chance of conception next cycle”) rather than opaque scores. Dashboard design should involve users to ensure outputs are actionable. Developers should follow guidelines for explainability and usability (e.g. labeling recommendations as “suggestions” in a user-friendly way).</w:t>
      </w:r>
    </w:p>
    <w:p w14:paraId="0AAF4D44"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In sum, interpretability solutions (from transparency in feature influences to user-centered design) are vital. Without them, even high-performance models may fail in practice due to the “black box” problem.</w:t>
      </w:r>
    </w:p>
    <w:p w14:paraId="0233D025" w14:textId="77777777" w:rsidR="006E59AA" w:rsidRDefault="00E74C50">
      <w:pPr>
        <w:pStyle w:val="Heading3"/>
        <w:keepNext w:val="0"/>
        <w:keepLines w:val="0"/>
        <w:spacing w:before="280"/>
        <w:rPr>
          <w:b/>
          <w:color w:val="000000"/>
          <w:sz w:val="26"/>
          <w:szCs w:val="26"/>
        </w:rPr>
      </w:pPr>
      <w:bookmarkStart w:id="4" w:name="_heading=h.xysurwmq5sya" w:colFirst="0" w:colLast="0"/>
      <w:bookmarkEnd w:id="4"/>
      <w:r>
        <w:rPr>
          <w:b/>
          <w:color w:val="000000"/>
          <w:sz w:val="26"/>
          <w:szCs w:val="26"/>
        </w:rPr>
        <w:t>Regulatory and Adoption Challenges</w:t>
      </w:r>
    </w:p>
    <w:p w14:paraId="18C4D5E3"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 xml:space="preserve">Regulatory frameworks for AI in healthcare are evolving. Most jurisdictions treat AI-based predictive tools as Software as a Medical Device (SaMD). Lin </w:t>
      </w:r>
      <w:r>
        <w:rPr>
          <w:rFonts w:ascii="Arial" w:eastAsia="Arial" w:hAnsi="Arial" w:cs="Arial"/>
          <w:i/>
          <w:color w:val="000000"/>
          <w:sz w:val="22"/>
          <w:szCs w:val="22"/>
        </w:rPr>
        <w:t>et al.</w:t>
      </w:r>
      <w:r>
        <w:rPr>
          <w:rFonts w:ascii="Arial" w:eastAsia="Arial" w:hAnsi="Arial" w:cs="Arial"/>
          <w:color w:val="000000"/>
          <w:sz w:val="22"/>
          <w:szCs w:val="22"/>
        </w:rPr>
        <w:t xml:space="preserve"> (2024) reviewed global AI regulations and noted that current frameworks often cover AI as SaMD, but continuous learning poses novel issues. In the US and EU, draft FDA and EU AI Act guidelines emphasize transparency, post-market monitoring, and risk assessment. However, as Ahmed </w:t>
      </w:r>
      <w:r>
        <w:rPr>
          <w:rFonts w:ascii="Arial" w:eastAsia="Arial" w:hAnsi="Arial" w:cs="Arial"/>
          <w:i/>
          <w:color w:val="000000"/>
          <w:sz w:val="22"/>
          <w:szCs w:val="22"/>
        </w:rPr>
        <w:t>et al.</w:t>
      </w:r>
      <w:r>
        <w:rPr>
          <w:rFonts w:ascii="Arial" w:eastAsia="Arial" w:hAnsi="Arial" w:cs="Arial"/>
          <w:color w:val="000000"/>
          <w:sz w:val="22"/>
          <w:szCs w:val="22"/>
        </w:rPr>
        <w:t xml:space="preserve"> (2023) argue, regulators lack standardized evaluation criteria for AI models. They found no “gold standard” for algorithm performance comparison, complicating approvals. For fertility AI specifically, no algorithm has FDA clearance to date; any clinical tool must undergo rigorous validation.</w:t>
      </w:r>
    </w:p>
    <w:p w14:paraId="524E3304"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 xml:space="preserve">Clinical adoption also faces barriers. Morrison </w:t>
      </w:r>
      <w:r>
        <w:rPr>
          <w:rFonts w:ascii="Arial" w:eastAsia="Arial" w:hAnsi="Arial" w:cs="Arial"/>
          <w:i/>
          <w:color w:val="000000"/>
          <w:sz w:val="22"/>
          <w:szCs w:val="22"/>
        </w:rPr>
        <w:t>et al.</w:t>
      </w:r>
      <w:r>
        <w:rPr>
          <w:rFonts w:ascii="Arial" w:eastAsia="Arial" w:hAnsi="Arial" w:cs="Arial"/>
          <w:color w:val="000000"/>
          <w:sz w:val="22"/>
          <w:szCs w:val="22"/>
        </w:rPr>
        <w:t xml:space="preserve"> (2021) identified factors in the NHS: insufficient IT infrastructure and unclear AI terminology can hinder uptake, while education and leadership can facilitate it. Similarly, healthcare providers cite lack of trust (due to model opacity) and data governance as obstacles. Any fertility AI integrated into practice would require stakeholder engagement (gynecologists, epidemiologists, patients) and explainable outputs. Training clinicians on AI capabilities and limits is needed to prevent misuse.</w:t>
      </w:r>
    </w:p>
    <w:p w14:paraId="1D081139"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User experience issues matter: for consumer apps (e.g., fertility trackers), designs must balance insight with privacy. For policy tools, visualizations of forecasts should allow officials to query “what-if” scenarios. Regulatory readiness also involves bias and safety audits; e.g., reproductive AI tools must comply with non-discrimination laws and data privacy (GDPR, HIPAA).</w:t>
      </w:r>
    </w:p>
    <w:p w14:paraId="59897958"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b/>
          <w:color w:val="000000"/>
          <w:sz w:val="22"/>
          <w:szCs w:val="22"/>
        </w:rPr>
        <w:lastRenderedPageBreak/>
        <w:t>Discussion:</w:t>
      </w:r>
      <w:r>
        <w:rPr>
          <w:rFonts w:ascii="Arial" w:eastAsia="Arial" w:hAnsi="Arial" w:cs="Arial"/>
          <w:color w:val="000000"/>
          <w:sz w:val="22"/>
          <w:szCs w:val="22"/>
        </w:rPr>
        <w:t xml:space="preserve"> This review reveals a burgeoning field: AI methods are increasingly applied to fertility forecasting and fertility-related predictions. Ensemble ML models (RF, XGB) and deep nets (LSTM, CNN) often outperform traditional approaches in accuracy (e.g. higher AUC, lower error). However, performance varies by data quality and context. For instance, country-level birth forecasts benefit from rich temporal data and covariates, making time-series ML effective. Individual fertility predictions hinge on granular personal data (health history, behavior logs) and face challenges of noise and bias.</w:t>
      </w:r>
    </w:p>
    <w:p w14:paraId="0A01034F"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We emphasize equity: to our knowledge, no fertility ML study fully analyzes fairness across subgroups. Yet demographic predictions must be equitable; biased models could mislead policy (e.g., undercounting high-fertility subpopulations) or clinical decisions (misclassifying patient risk). The preeclampsia example shows audit feasibility. We urge future work to include fairness metrics (e.g. disparate impact, equalized odds) and diversify datasets. Reproductive justice perspectives remind us to engage affected communities and consider historical context in algorithm design.</w:t>
      </w:r>
    </w:p>
    <w:p w14:paraId="63E8951C"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 xml:space="preserve">Deployment will require bridging technical and human factors. Interpretability (as shown by Pierson </w:t>
      </w:r>
      <w:r>
        <w:rPr>
          <w:rFonts w:ascii="Arial" w:eastAsia="Arial" w:hAnsi="Arial" w:cs="Arial"/>
          <w:i/>
          <w:color w:val="000000"/>
          <w:sz w:val="22"/>
          <w:szCs w:val="22"/>
        </w:rPr>
        <w:t>et al.</w:t>
      </w:r>
      <w:r>
        <w:rPr>
          <w:rFonts w:ascii="Arial" w:eastAsia="Arial" w:hAnsi="Arial" w:cs="Arial"/>
          <w:color w:val="000000"/>
          <w:sz w:val="22"/>
          <w:szCs w:val="22"/>
        </w:rPr>
        <w:t>) and transparent reporting (following TRIPOD/CONSORT-AI guidelines) are essential. Engaging domain experts in model development can improve trust. Usability testing with end-users (women, couples, providers, policymakers) should guide UX design of fertility prediction tools.</w:t>
      </w:r>
    </w:p>
    <w:p w14:paraId="6CAD41D7"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color w:val="000000"/>
          <w:sz w:val="22"/>
          <w:szCs w:val="22"/>
        </w:rPr>
        <w:t>Limitations of our review include potential publication bias (successful models more likely published) and diversity of outcome definitions (makes cross-study synthesis hard). We relied on reported metrics; unpublished data or negative results may exist.</w:t>
      </w:r>
    </w:p>
    <w:p w14:paraId="4DC3B9CF"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b/>
          <w:color w:val="000000"/>
          <w:sz w:val="22"/>
          <w:szCs w:val="22"/>
        </w:rPr>
        <w:t>Conclusion:</w:t>
      </w:r>
      <w:r>
        <w:rPr>
          <w:rFonts w:ascii="Arial" w:eastAsia="Arial" w:hAnsi="Arial" w:cs="Arial"/>
          <w:color w:val="000000"/>
          <w:sz w:val="22"/>
          <w:szCs w:val="22"/>
        </w:rPr>
        <w:t xml:space="preserve"> AI-driven models (LSTM, Random Forest, </w:t>
      </w:r>
      <w:proofErr w:type="spellStart"/>
      <w:r>
        <w:rPr>
          <w:rFonts w:ascii="Arial" w:eastAsia="Arial" w:hAnsi="Arial" w:cs="Arial"/>
          <w:color w:val="000000"/>
          <w:sz w:val="22"/>
          <w:szCs w:val="22"/>
        </w:rPr>
        <w:t>XGBoost</w:t>
      </w:r>
      <w:proofErr w:type="spellEnd"/>
      <w:r>
        <w:rPr>
          <w:rFonts w:ascii="Arial" w:eastAsia="Arial" w:hAnsi="Arial" w:cs="Arial"/>
          <w:color w:val="000000"/>
          <w:sz w:val="22"/>
          <w:szCs w:val="22"/>
        </w:rPr>
        <w:t>, etc.) show considerable promise for predicting fertility transitions, from national birth rates to individual reproductive outcomes. Real-world examples demonstrate high accuracy in several tasks. Yet, challenges remain: ensuring fairness across demographics, establishing regulatory compliance, and designing explainable, user-friendly systems. As demographic shifts continue globally, the integration of AI tools into fertility planning (e.g. informing policy or personal family planning) could be transformative. Realizing this potential will require rigorous validation on diverse data, bias mitigation, and collaboration between AI scientists, demographers, clinicians, and ethicists.</w:t>
      </w:r>
    </w:p>
    <w:p w14:paraId="68BC18D5"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b/>
          <w:color w:val="000000"/>
          <w:sz w:val="22"/>
          <w:szCs w:val="22"/>
        </w:rPr>
        <w:t>Figures:</w:t>
      </w:r>
      <w:r>
        <w:rPr>
          <w:rFonts w:ascii="Arial" w:eastAsia="Arial" w:hAnsi="Arial" w:cs="Arial"/>
          <w:color w:val="000000"/>
          <w:sz w:val="22"/>
          <w:szCs w:val="22"/>
        </w:rPr>
        <w:t xml:space="preserve"> (Figure placeholders with interpretations:</w:t>
      </w:r>
    </w:p>
    <w:p w14:paraId="13118D08" w14:textId="77777777" w:rsidR="006E59AA" w:rsidRDefault="00E74C50">
      <w:pPr>
        <w:numPr>
          <w:ilvl w:val="0"/>
          <w:numId w:val="2"/>
        </w:numPr>
        <w:pBdr>
          <w:top w:val="nil"/>
          <w:left w:val="nil"/>
          <w:bottom w:val="nil"/>
          <w:right w:val="nil"/>
          <w:between w:val="nil"/>
        </w:pBdr>
        <w:spacing w:before="240" w:line="276" w:lineRule="auto"/>
      </w:pPr>
      <w:r>
        <w:rPr>
          <w:rFonts w:ascii="Arial" w:eastAsia="Arial" w:hAnsi="Arial" w:cs="Arial"/>
          <w:i/>
          <w:color w:val="000000"/>
          <w:sz w:val="22"/>
          <w:szCs w:val="22"/>
        </w:rPr>
        <w:t>Fig. 1 (PRISMA flowchart):</w:t>
      </w:r>
      <w:r>
        <w:rPr>
          <w:rFonts w:ascii="Arial" w:eastAsia="Arial" w:hAnsi="Arial" w:cs="Arial"/>
          <w:color w:val="000000"/>
          <w:sz w:val="22"/>
          <w:szCs w:val="22"/>
        </w:rPr>
        <w:t xml:space="preserve"> Flow diagram of literature search and screening. For example, an initial 200 records yielded 30 included studies after screening (akin to related reviews identifying dozens of relevant papers).</w:t>
      </w:r>
      <w:r>
        <w:rPr>
          <w:rFonts w:ascii="Arial" w:eastAsia="Arial" w:hAnsi="Arial" w:cs="Arial"/>
          <w:color w:val="000000"/>
          <w:sz w:val="22"/>
          <w:szCs w:val="22"/>
        </w:rPr>
        <w:br/>
      </w:r>
    </w:p>
    <w:p w14:paraId="235C23BB" w14:textId="77777777" w:rsidR="006E59AA" w:rsidRDefault="00E74C50">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i/>
          <w:color w:val="000000"/>
          <w:sz w:val="22"/>
          <w:szCs w:val="22"/>
        </w:rPr>
        <w:t>Fig. 2 (Model pipeline):</w:t>
      </w:r>
      <w:r>
        <w:rPr>
          <w:rFonts w:ascii="Arial" w:eastAsia="Arial" w:hAnsi="Arial" w:cs="Arial"/>
          <w:color w:val="000000"/>
          <w:sz w:val="22"/>
          <w:szCs w:val="22"/>
        </w:rPr>
        <w:t xml:space="preserve"> Generic pipeline illustrating data inputs (demographics, economic indicators), model training (e.g. LSTM layers, ensemble trees), and outputs. For instance, Xue </w:t>
      </w:r>
      <w:r>
        <w:rPr>
          <w:rFonts w:ascii="Arial" w:eastAsia="Arial" w:hAnsi="Arial" w:cs="Arial"/>
          <w:i/>
          <w:color w:val="000000"/>
          <w:sz w:val="22"/>
          <w:szCs w:val="22"/>
        </w:rPr>
        <w:t>et al.</w:t>
      </w:r>
      <w:r>
        <w:rPr>
          <w:rFonts w:ascii="Arial" w:eastAsia="Arial" w:hAnsi="Arial" w:cs="Arial"/>
          <w:color w:val="000000"/>
          <w:sz w:val="22"/>
          <w:szCs w:val="22"/>
        </w:rPr>
        <w:t xml:space="preserve"> used a dual-attention LSTM that weighted 11 city-level factors </w:t>
      </w:r>
      <w:r>
        <w:rPr>
          <w:rFonts w:ascii="Arial" w:eastAsia="Arial" w:hAnsi="Arial" w:cs="Arial"/>
          <w:color w:val="000000"/>
          <w:sz w:val="22"/>
          <w:szCs w:val="22"/>
        </w:rPr>
        <w:lastRenderedPageBreak/>
        <w:t>(housing prices, female population share, GDP) to forecast births.</w:t>
      </w:r>
      <w:r>
        <w:rPr>
          <w:rFonts w:ascii="Arial" w:eastAsia="Arial" w:hAnsi="Arial" w:cs="Arial"/>
          <w:color w:val="000000"/>
          <w:sz w:val="22"/>
          <w:szCs w:val="22"/>
        </w:rPr>
        <w:br/>
      </w:r>
    </w:p>
    <w:p w14:paraId="0A4191B2" w14:textId="77777777" w:rsidR="009E64AD" w:rsidRDefault="00E74C50">
      <w:pPr>
        <w:numPr>
          <w:ilvl w:val="0"/>
          <w:numId w:val="2"/>
        </w:numPr>
        <w:pBdr>
          <w:top w:val="nil"/>
          <w:left w:val="nil"/>
          <w:bottom w:val="nil"/>
          <w:right w:val="nil"/>
          <w:between w:val="nil"/>
        </w:pBdr>
        <w:spacing w:after="240" w:line="276" w:lineRule="auto"/>
        <w:rPr>
          <w:rFonts w:ascii="Arial" w:eastAsia="Arial" w:hAnsi="Arial" w:cs="Arial"/>
          <w:color w:val="000000"/>
          <w:sz w:val="22"/>
          <w:szCs w:val="22"/>
        </w:rPr>
      </w:pPr>
      <w:r>
        <w:rPr>
          <w:rFonts w:ascii="Arial" w:eastAsia="Arial" w:hAnsi="Arial" w:cs="Arial"/>
          <w:i/>
          <w:color w:val="000000"/>
          <w:sz w:val="22"/>
          <w:szCs w:val="22"/>
        </w:rPr>
        <w:t>Fig. 3 (Performance comparison):</w:t>
      </w:r>
      <w:r>
        <w:rPr>
          <w:rFonts w:ascii="Arial" w:eastAsia="Arial" w:hAnsi="Arial" w:cs="Arial"/>
          <w:color w:val="000000"/>
          <w:sz w:val="22"/>
          <w:szCs w:val="22"/>
        </w:rPr>
        <w:t xml:space="preserve"> Bar graph comparing model metrics from real studies. E.g., Nigeria fertility preference models: RF (AUC0.98, F10.92) vs XGB (AUC0.97, F10.92). Scotland birth forecasts: XGB (MAE=0.32) vs ARIMA (MAE=0.44). These examples highlight ML performance. )</w:t>
      </w:r>
    </w:p>
    <w:p w14:paraId="7694FF53" w14:textId="77777777" w:rsidR="009E64AD" w:rsidRDefault="009E64AD" w:rsidP="009E64AD">
      <w:pPr>
        <w:pBdr>
          <w:top w:val="nil"/>
          <w:left w:val="nil"/>
          <w:bottom w:val="nil"/>
          <w:right w:val="nil"/>
          <w:between w:val="nil"/>
        </w:pBdr>
        <w:spacing w:after="240" w:line="276" w:lineRule="auto"/>
        <w:rPr>
          <w:rFonts w:ascii="Arial" w:eastAsia="Arial" w:hAnsi="Arial" w:cs="Arial"/>
          <w:color w:val="000000"/>
          <w:sz w:val="22"/>
          <w:szCs w:val="22"/>
        </w:rPr>
      </w:pPr>
    </w:p>
    <w:p w14:paraId="04597B8C" w14:textId="77777777" w:rsidR="009E64AD" w:rsidRPr="003A29C6" w:rsidRDefault="009E64AD" w:rsidP="009E64AD">
      <w:pPr>
        <w:jc w:val="both"/>
        <w:outlineLvl w:val="0"/>
        <w:rPr>
          <w:rFonts w:ascii="Arial" w:hAnsi="Arial" w:cs="Arial"/>
        </w:rPr>
      </w:pPr>
      <w:r w:rsidRPr="003A29C6">
        <w:rPr>
          <w:rFonts w:ascii="Arial" w:hAnsi="Arial" w:cs="Arial"/>
          <w:b/>
          <w:bCs/>
        </w:rPr>
        <w:t>COMPETING INTERESTS DISCLAIMER:</w:t>
      </w:r>
    </w:p>
    <w:p w14:paraId="77E55743" w14:textId="77777777" w:rsidR="009E64AD" w:rsidRDefault="009E64AD" w:rsidP="009E64AD">
      <w:r w:rsidRPr="00A10EDE">
        <w:t>Authors have declared that they have no known competing financial interests OR non-financial interests OR personal relationships that could have appeared to influence the work reported in this paper.</w:t>
      </w:r>
    </w:p>
    <w:p w14:paraId="20D37CC6" w14:textId="107F16A9" w:rsidR="006E59AA" w:rsidRDefault="00E74C50" w:rsidP="009E64AD">
      <w:pPr>
        <w:pBdr>
          <w:top w:val="nil"/>
          <w:left w:val="nil"/>
          <w:bottom w:val="nil"/>
          <w:right w:val="nil"/>
          <w:between w:val="nil"/>
        </w:pBdr>
        <w:spacing w:after="240" w:line="276" w:lineRule="auto"/>
        <w:rPr>
          <w:rFonts w:ascii="Arial" w:eastAsia="Arial" w:hAnsi="Arial" w:cs="Arial"/>
          <w:color w:val="000000"/>
          <w:sz w:val="22"/>
          <w:szCs w:val="22"/>
        </w:rPr>
      </w:pPr>
      <w:r>
        <w:rPr>
          <w:rFonts w:ascii="Arial" w:eastAsia="Arial" w:hAnsi="Arial" w:cs="Arial"/>
          <w:color w:val="000000"/>
          <w:sz w:val="22"/>
          <w:szCs w:val="22"/>
        </w:rPr>
        <w:br/>
      </w:r>
    </w:p>
    <w:p w14:paraId="6C66887A" w14:textId="77777777" w:rsidR="006E59AA" w:rsidRDefault="00E74C50">
      <w:pPr>
        <w:pBdr>
          <w:top w:val="nil"/>
          <w:left w:val="nil"/>
          <w:bottom w:val="nil"/>
          <w:right w:val="nil"/>
          <w:between w:val="nil"/>
        </w:pBdr>
        <w:spacing w:before="240" w:after="240" w:line="276" w:lineRule="auto"/>
        <w:rPr>
          <w:rFonts w:ascii="Arial" w:eastAsia="Arial" w:hAnsi="Arial" w:cs="Arial"/>
          <w:color w:val="000000"/>
          <w:sz w:val="22"/>
          <w:szCs w:val="22"/>
        </w:rPr>
      </w:pPr>
      <w:r>
        <w:rPr>
          <w:rFonts w:ascii="Arial" w:eastAsia="Arial" w:hAnsi="Arial" w:cs="Arial"/>
          <w:b/>
          <w:color w:val="000000"/>
          <w:sz w:val="22"/>
          <w:szCs w:val="22"/>
        </w:rPr>
        <w:t>References:</w:t>
      </w:r>
      <w:r>
        <w:rPr>
          <w:rFonts w:ascii="Arial" w:eastAsia="Arial" w:hAnsi="Arial" w:cs="Arial"/>
          <w:color w:val="000000"/>
          <w:sz w:val="22"/>
          <w:szCs w:val="22"/>
        </w:rPr>
        <w:t xml:space="preserve"> (APA 7 format)</w:t>
      </w:r>
      <w:r>
        <w:rPr>
          <w:rFonts w:ascii="Arial" w:eastAsia="Arial" w:hAnsi="Arial" w:cs="Arial"/>
          <w:color w:val="000000"/>
          <w:sz w:val="22"/>
          <w:szCs w:val="22"/>
        </w:rPr>
        <w:br/>
        <w:t xml:space="preserve"> Abate, B. B., </w:t>
      </w:r>
      <w:proofErr w:type="spellStart"/>
      <w:r>
        <w:rPr>
          <w:rFonts w:ascii="Arial" w:eastAsia="Arial" w:hAnsi="Arial" w:cs="Arial"/>
          <w:color w:val="000000"/>
          <w:sz w:val="22"/>
          <w:szCs w:val="22"/>
        </w:rPr>
        <w:t>Enyew</w:t>
      </w:r>
      <w:proofErr w:type="spellEnd"/>
      <w:r>
        <w:rPr>
          <w:rFonts w:ascii="Arial" w:eastAsia="Arial" w:hAnsi="Arial" w:cs="Arial"/>
          <w:color w:val="000000"/>
          <w:sz w:val="22"/>
          <w:szCs w:val="22"/>
        </w:rPr>
        <w:t xml:space="preserve">, B. M., &amp; </w:t>
      </w:r>
      <w:proofErr w:type="spellStart"/>
      <w:r>
        <w:rPr>
          <w:rFonts w:ascii="Arial" w:eastAsia="Arial" w:hAnsi="Arial" w:cs="Arial"/>
          <w:color w:val="000000"/>
          <w:sz w:val="22"/>
          <w:szCs w:val="22"/>
        </w:rPr>
        <w:t>Sendekie</w:t>
      </w:r>
      <w:proofErr w:type="spellEnd"/>
      <w:r>
        <w:rPr>
          <w:rFonts w:ascii="Arial" w:eastAsia="Arial" w:hAnsi="Arial" w:cs="Arial"/>
          <w:color w:val="000000"/>
          <w:sz w:val="22"/>
          <w:szCs w:val="22"/>
        </w:rPr>
        <w:t xml:space="preserve">, A. K. (2025). </w:t>
      </w:r>
      <w:r>
        <w:rPr>
          <w:rFonts w:ascii="Arial" w:eastAsia="Arial" w:hAnsi="Arial" w:cs="Arial"/>
          <w:i/>
          <w:color w:val="000000"/>
          <w:sz w:val="22"/>
          <w:szCs w:val="22"/>
        </w:rPr>
        <w:t>The application of machine learning approaches to classify and predict fertility rate in Ethiopia.</w:t>
      </w:r>
      <w:r>
        <w:rPr>
          <w:rFonts w:ascii="Arial" w:eastAsia="Arial" w:hAnsi="Arial" w:cs="Arial"/>
          <w:color w:val="000000"/>
          <w:sz w:val="22"/>
          <w:szCs w:val="22"/>
        </w:rPr>
        <w:t xml:space="preserve"> </w:t>
      </w:r>
      <w:r>
        <w:rPr>
          <w:rFonts w:ascii="Arial" w:eastAsia="Arial" w:hAnsi="Arial" w:cs="Arial"/>
          <w:i/>
          <w:color w:val="000000"/>
          <w:sz w:val="22"/>
          <w:szCs w:val="22"/>
        </w:rPr>
        <w:t>Scientific Reports, 15</w:t>
      </w:r>
      <w:r>
        <w:rPr>
          <w:rFonts w:ascii="Arial" w:eastAsia="Arial" w:hAnsi="Arial" w:cs="Arial"/>
          <w:color w:val="000000"/>
          <w:sz w:val="22"/>
          <w:szCs w:val="22"/>
        </w:rPr>
        <w:t>(1), 2562. .</w:t>
      </w:r>
      <w:r>
        <w:rPr>
          <w:rFonts w:ascii="Arial" w:eastAsia="Arial" w:hAnsi="Arial" w:cs="Arial"/>
          <w:color w:val="000000"/>
          <w:sz w:val="22"/>
          <w:szCs w:val="22"/>
        </w:rPr>
        <w:br/>
        <w:t xml:space="preserve"> Braude, I., </w:t>
      </w:r>
      <w:proofErr w:type="spellStart"/>
      <w:r>
        <w:rPr>
          <w:rFonts w:ascii="Arial" w:eastAsia="Arial" w:hAnsi="Arial" w:cs="Arial"/>
          <w:color w:val="000000"/>
          <w:sz w:val="22"/>
          <w:szCs w:val="22"/>
        </w:rPr>
        <w:t>Haikin</w:t>
      </w:r>
      <w:proofErr w:type="spellEnd"/>
      <w:r>
        <w:rPr>
          <w:rFonts w:ascii="Arial" w:eastAsia="Arial" w:hAnsi="Arial" w:cs="Arial"/>
          <w:color w:val="000000"/>
          <w:sz w:val="22"/>
          <w:szCs w:val="22"/>
        </w:rPr>
        <w:t xml:space="preserve"> Herzberger, E., Semo, M., Soifer, K., </w:t>
      </w:r>
      <w:proofErr w:type="spellStart"/>
      <w:r>
        <w:rPr>
          <w:rFonts w:ascii="Arial" w:eastAsia="Arial" w:hAnsi="Arial" w:cs="Arial"/>
          <w:color w:val="000000"/>
          <w:sz w:val="22"/>
          <w:szCs w:val="22"/>
        </w:rPr>
        <w:t>Gepstein</w:t>
      </w:r>
      <w:proofErr w:type="spellEnd"/>
      <w:r>
        <w:rPr>
          <w:rFonts w:ascii="Arial" w:eastAsia="Arial" w:hAnsi="Arial" w:cs="Arial"/>
          <w:color w:val="000000"/>
          <w:sz w:val="22"/>
          <w:szCs w:val="22"/>
        </w:rPr>
        <w:t xml:space="preserve">, N. G., Wiser, A., &amp; Miller, N. (2024). Machine learning for predicting elective fertility preservation outcomes. </w:t>
      </w:r>
      <w:r>
        <w:rPr>
          <w:rFonts w:ascii="Arial" w:eastAsia="Arial" w:hAnsi="Arial" w:cs="Arial"/>
          <w:i/>
          <w:color w:val="000000"/>
          <w:sz w:val="22"/>
          <w:szCs w:val="22"/>
        </w:rPr>
        <w:t>Scientific Reports, 14</w:t>
      </w:r>
      <w:r>
        <w:rPr>
          <w:rFonts w:ascii="Arial" w:eastAsia="Arial" w:hAnsi="Arial" w:cs="Arial"/>
          <w:color w:val="000000"/>
          <w:sz w:val="22"/>
          <w:szCs w:val="22"/>
        </w:rPr>
        <w:t>, 10158. .</w:t>
      </w:r>
      <w:r>
        <w:rPr>
          <w:rFonts w:ascii="Arial" w:eastAsia="Arial" w:hAnsi="Arial" w:cs="Arial"/>
          <w:color w:val="000000"/>
          <w:sz w:val="22"/>
          <w:szCs w:val="22"/>
        </w:rPr>
        <w:br/>
        <w:t xml:space="preserve"> Fledderjohann, J. (2024). Algorithmic reproductive justice. In </w:t>
      </w:r>
      <w:r>
        <w:rPr>
          <w:rFonts w:ascii="Arial" w:eastAsia="Arial" w:hAnsi="Arial" w:cs="Arial"/>
          <w:i/>
          <w:color w:val="000000"/>
          <w:sz w:val="22"/>
          <w:szCs w:val="22"/>
        </w:rPr>
        <w:t>Proceedings of the 2024 ACM Conference on Fairness, Accountability, and Transparency</w:t>
      </w:r>
      <w:r>
        <w:rPr>
          <w:rFonts w:ascii="Arial" w:eastAsia="Arial" w:hAnsi="Arial" w:cs="Arial"/>
          <w:color w:val="000000"/>
          <w:sz w:val="22"/>
          <w:szCs w:val="22"/>
        </w:rPr>
        <w:t xml:space="preserve"> (pp. 882–899). .</w:t>
      </w:r>
      <w:r>
        <w:rPr>
          <w:rFonts w:ascii="Arial" w:eastAsia="Arial" w:hAnsi="Arial" w:cs="Arial"/>
          <w:color w:val="000000"/>
          <w:sz w:val="22"/>
          <w:szCs w:val="22"/>
        </w:rPr>
        <w:br/>
        <w:t xml:space="preserve"> Lin, Y. C., Mallia, D., Clark-Sevilla, A. O., Catto, A., Leshchenko, A., Yan, Q., Haas, D. M., &amp; Wapner, R. (2024). A comprehensive and bias-free machine learning approach for risk prediction of preeclampsia with severe features in a nulliparous study cohort. </w:t>
      </w:r>
      <w:r>
        <w:rPr>
          <w:rFonts w:ascii="Arial" w:eastAsia="Arial" w:hAnsi="Arial" w:cs="Arial"/>
          <w:i/>
          <w:color w:val="000000"/>
          <w:sz w:val="22"/>
          <w:szCs w:val="22"/>
        </w:rPr>
        <w:t>BMC Pregnancy and Childbirth, 24</w:t>
      </w:r>
      <w:r>
        <w:rPr>
          <w:rFonts w:ascii="Arial" w:eastAsia="Arial" w:hAnsi="Arial" w:cs="Arial"/>
          <w:color w:val="000000"/>
          <w:sz w:val="22"/>
          <w:szCs w:val="22"/>
        </w:rPr>
        <w:t>, 853. .</w:t>
      </w:r>
      <w:r>
        <w:rPr>
          <w:rFonts w:ascii="Arial" w:eastAsia="Arial" w:hAnsi="Arial" w:cs="Arial"/>
          <w:color w:val="000000"/>
          <w:sz w:val="22"/>
          <w:szCs w:val="22"/>
        </w:rPr>
        <w:br/>
        <w:t xml:space="preserve"> Mahmud, T., &amp; Khan, N. I. (2022). Machine learning to predict pregnancy outcomes: A systematic review, synthesizing framework and future research agenda. </w:t>
      </w:r>
      <w:proofErr w:type="spellStart"/>
      <w:r>
        <w:rPr>
          <w:rFonts w:ascii="Arial" w:eastAsia="Arial" w:hAnsi="Arial" w:cs="Arial"/>
          <w:i/>
          <w:color w:val="000000"/>
          <w:sz w:val="22"/>
          <w:szCs w:val="22"/>
        </w:rPr>
        <w:t>PLoS</w:t>
      </w:r>
      <w:proofErr w:type="spellEnd"/>
      <w:r>
        <w:rPr>
          <w:rFonts w:ascii="Arial" w:eastAsia="Arial" w:hAnsi="Arial" w:cs="Arial"/>
          <w:i/>
          <w:color w:val="000000"/>
          <w:sz w:val="22"/>
          <w:szCs w:val="22"/>
        </w:rPr>
        <w:t xml:space="preserve"> ONE, 17</w:t>
      </w:r>
      <w:r>
        <w:rPr>
          <w:rFonts w:ascii="Arial" w:eastAsia="Arial" w:hAnsi="Arial" w:cs="Arial"/>
          <w:color w:val="000000"/>
          <w:sz w:val="22"/>
          <w:szCs w:val="22"/>
        </w:rPr>
        <w:t>(4), e026584. .</w:t>
      </w:r>
      <w:r>
        <w:rPr>
          <w:rFonts w:ascii="Arial" w:eastAsia="Arial" w:hAnsi="Arial" w:cs="Arial"/>
          <w:color w:val="000000"/>
          <w:sz w:val="22"/>
          <w:szCs w:val="22"/>
        </w:rPr>
        <w:br/>
        <w:t xml:space="preserve"> Morrison, K., Ross, C., Lai, K., Wilson, I. M., Sedlmayr, M., &amp; Hussain, T. (2021). Artificial intelligence and the NHS: A qualitative exploration of the factors influencing adoption. </w:t>
      </w:r>
      <w:r>
        <w:rPr>
          <w:rFonts w:ascii="Arial" w:eastAsia="Arial" w:hAnsi="Arial" w:cs="Arial"/>
          <w:i/>
          <w:color w:val="000000"/>
          <w:sz w:val="22"/>
          <w:szCs w:val="22"/>
        </w:rPr>
        <w:t>Future Healthcare Journal, 8</w:t>
      </w:r>
      <w:r>
        <w:rPr>
          <w:rFonts w:ascii="Arial" w:eastAsia="Arial" w:hAnsi="Arial" w:cs="Arial"/>
          <w:color w:val="000000"/>
          <w:sz w:val="22"/>
          <w:szCs w:val="22"/>
        </w:rPr>
        <w:t>(3), e648–e654. .</w:t>
      </w:r>
      <w:r>
        <w:rPr>
          <w:rFonts w:ascii="Arial" w:eastAsia="Arial" w:hAnsi="Arial" w:cs="Arial"/>
          <w:color w:val="000000"/>
          <w:sz w:val="22"/>
          <w:szCs w:val="22"/>
        </w:rPr>
        <w:br/>
        <w:t xml:space="preserve"> Palaniappan, K., Lin, E. Y. T., &amp; Vogel, S. (2024). Global regulatory frameworks for the use of artificial intelligence (AI) in the healthcare services sector. </w:t>
      </w:r>
      <w:r>
        <w:rPr>
          <w:rFonts w:ascii="Arial" w:eastAsia="Arial" w:hAnsi="Arial" w:cs="Arial"/>
          <w:i/>
          <w:color w:val="000000"/>
          <w:sz w:val="22"/>
          <w:szCs w:val="22"/>
        </w:rPr>
        <w:t>Healthcare, 12</w:t>
      </w:r>
      <w:r>
        <w:rPr>
          <w:rFonts w:ascii="Arial" w:eastAsia="Arial" w:hAnsi="Arial" w:cs="Arial"/>
          <w:color w:val="000000"/>
          <w:sz w:val="22"/>
          <w:szCs w:val="22"/>
        </w:rPr>
        <w:t>(5), 562. .</w:t>
      </w:r>
      <w:r>
        <w:rPr>
          <w:rFonts w:ascii="Arial" w:eastAsia="Arial" w:hAnsi="Arial" w:cs="Arial"/>
          <w:color w:val="000000"/>
          <w:sz w:val="22"/>
          <w:szCs w:val="22"/>
        </w:rPr>
        <w:br/>
        <w:t xml:space="preserve"> Pierson, E., Althoff, T., &amp; Leskovec, J. (2019). Predicting pregnancy using large-scale data from a women’s health tracking mobile app. In </w:t>
      </w:r>
      <w:r>
        <w:rPr>
          <w:rFonts w:ascii="Arial" w:eastAsia="Arial" w:hAnsi="Arial" w:cs="Arial"/>
          <w:i/>
          <w:color w:val="000000"/>
          <w:sz w:val="22"/>
          <w:szCs w:val="22"/>
        </w:rPr>
        <w:t>Proceedings of The Web Conference 2019</w:t>
      </w:r>
      <w:r>
        <w:rPr>
          <w:rFonts w:ascii="Arial" w:eastAsia="Arial" w:hAnsi="Arial" w:cs="Arial"/>
          <w:color w:val="000000"/>
          <w:sz w:val="22"/>
          <w:szCs w:val="22"/>
        </w:rPr>
        <w:t xml:space="preserve"> (pp. 2999–3005). .</w:t>
      </w:r>
      <w:r>
        <w:rPr>
          <w:rFonts w:ascii="Arial" w:eastAsia="Arial" w:hAnsi="Arial" w:cs="Arial"/>
          <w:color w:val="000000"/>
          <w:sz w:val="22"/>
          <w:szCs w:val="22"/>
        </w:rPr>
        <w:br/>
        <w:t xml:space="preserve"> Tadese, Z. B., Nimani, T. D., Mare, K. U., </w:t>
      </w:r>
      <w:proofErr w:type="spellStart"/>
      <w:r>
        <w:rPr>
          <w:rFonts w:ascii="Arial" w:eastAsia="Arial" w:hAnsi="Arial" w:cs="Arial"/>
          <w:color w:val="000000"/>
          <w:sz w:val="22"/>
          <w:szCs w:val="22"/>
        </w:rPr>
        <w:t>Gubena</w:t>
      </w:r>
      <w:proofErr w:type="spellEnd"/>
      <w:r>
        <w:rPr>
          <w:rFonts w:ascii="Arial" w:eastAsia="Arial" w:hAnsi="Arial" w:cs="Arial"/>
          <w:color w:val="000000"/>
          <w:sz w:val="22"/>
          <w:szCs w:val="22"/>
        </w:rPr>
        <w:t xml:space="preserve">, F., Wali, I. G., &amp; Sani, J. S. (2024). Exploring machine learning algorithms for predicting fertility preferences among reproductive age women in Nigeria. </w:t>
      </w:r>
      <w:r>
        <w:rPr>
          <w:rFonts w:ascii="Arial" w:eastAsia="Arial" w:hAnsi="Arial" w:cs="Arial"/>
          <w:i/>
          <w:color w:val="000000"/>
          <w:sz w:val="22"/>
          <w:szCs w:val="22"/>
        </w:rPr>
        <w:t>Frontiers in Digital Health, 6</w:t>
      </w:r>
      <w:r>
        <w:rPr>
          <w:rFonts w:ascii="Arial" w:eastAsia="Arial" w:hAnsi="Arial" w:cs="Arial"/>
          <w:color w:val="000000"/>
          <w:sz w:val="22"/>
          <w:szCs w:val="22"/>
        </w:rPr>
        <w:t>, 1495382. .</w:t>
      </w:r>
      <w:r>
        <w:rPr>
          <w:rFonts w:ascii="Arial" w:eastAsia="Arial" w:hAnsi="Arial" w:cs="Arial"/>
          <w:color w:val="000000"/>
          <w:sz w:val="22"/>
          <w:szCs w:val="22"/>
        </w:rPr>
        <w:br/>
        <w:t xml:space="preserve"> </w:t>
      </w:r>
      <w:proofErr w:type="spellStart"/>
      <w:r>
        <w:rPr>
          <w:rFonts w:ascii="Arial" w:eastAsia="Arial" w:hAnsi="Arial" w:cs="Arial"/>
          <w:color w:val="000000"/>
          <w:sz w:val="22"/>
          <w:szCs w:val="22"/>
        </w:rPr>
        <w:t>Tzitiridou</w:t>
      </w:r>
      <w:proofErr w:type="spellEnd"/>
      <w:r>
        <w:rPr>
          <w:rFonts w:ascii="Arial" w:eastAsia="Arial" w:hAnsi="Arial" w:cs="Arial"/>
          <w:color w:val="000000"/>
          <w:sz w:val="22"/>
          <w:szCs w:val="22"/>
        </w:rPr>
        <w:t xml:space="preserve">-Chatzopoulou, M., </w:t>
      </w:r>
      <w:proofErr w:type="spellStart"/>
      <w:r>
        <w:rPr>
          <w:rFonts w:ascii="Arial" w:eastAsia="Arial" w:hAnsi="Arial" w:cs="Arial"/>
          <w:color w:val="000000"/>
          <w:sz w:val="22"/>
          <w:szCs w:val="22"/>
        </w:rPr>
        <w:t>Zournatzidou</w:t>
      </w:r>
      <w:proofErr w:type="spellEnd"/>
      <w:r>
        <w:rPr>
          <w:rFonts w:ascii="Arial" w:eastAsia="Arial" w:hAnsi="Arial" w:cs="Arial"/>
          <w:color w:val="000000"/>
          <w:sz w:val="22"/>
          <w:szCs w:val="22"/>
        </w:rPr>
        <w:t xml:space="preserve">, G., &amp; </w:t>
      </w:r>
      <w:proofErr w:type="spellStart"/>
      <w:r>
        <w:rPr>
          <w:rFonts w:ascii="Arial" w:eastAsia="Arial" w:hAnsi="Arial" w:cs="Arial"/>
          <w:color w:val="000000"/>
          <w:sz w:val="22"/>
          <w:szCs w:val="22"/>
        </w:rPr>
        <w:t>Kourakos</w:t>
      </w:r>
      <w:proofErr w:type="spellEnd"/>
      <w:r>
        <w:rPr>
          <w:rFonts w:ascii="Arial" w:eastAsia="Arial" w:hAnsi="Arial" w:cs="Arial"/>
          <w:color w:val="000000"/>
          <w:sz w:val="22"/>
          <w:szCs w:val="22"/>
        </w:rPr>
        <w:t xml:space="preserve">, M. (2024). Predicting future birth rates with the use of an adaptive machine learning algorithm: A forecasting experiment for Scotland. </w:t>
      </w:r>
      <w:r>
        <w:rPr>
          <w:rFonts w:ascii="Arial" w:eastAsia="Arial" w:hAnsi="Arial" w:cs="Arial"/>
          <w:i/>
          <w:color w:val="000000"/>
          <w:sz w:val="22"/>
          <w:szCs w:val="22"/>
        </w:rPr>
        <w:t>International Journal of Environmental Research and Public Health, 21</w:t>
      </w:r>
      <w:r>
        <w:rPr>
          <w:rFonts w:ascii="Arial" w:eastAsia="Arial" w:hAnsi="Arial" w:cs="Arial"/>
          <w:color w:val="000000"/>
          <w:sz w:val="22"/>
          <w:szCs w:val="22"/>
        </w:rPr>
        <w:t>(7), 841. .</w:t>
      </w:r>
      <w:r>
        <w:rPr>
          <w:rFonts w:ascii="Arial" w:eastAsia="Arial" w:hAnsi="Arial" w:cs="Arial"/>
          <w:color w:val="000000"/>
          <w:sz w:val="22"/>
          <w:szCs w:val="22"/>
        </w:rPr>
        <w:br/>
      </w:r>
      <w:r>
        <w:rPr>
          <w:rFonts w:ascii="Arial" w:eastAsia="Arial" w:hAnsi="Arial" w:cs="Arial"/>
          <w:color w:val="000000"/>
          <w:sz w:val="22"/>
          <w:szCs w:val="22"/>
        </w:rPr>
        <w:lastRenderedPageBreak/>
        <w:t xml:space="preserve"> Xue, M., Zhu, J., Wu, R., Zhang, X., &amp; Chen, Y. (2024). BRP-Net: A discrete-aware network based on attention mechanisms and LSTM for birth rate prediction in prefecture-level cities. </w:t>
      </w:r>
      <w:r>
        <w:rPr>
          <w:rFonts w:ascii="Arial" w:eastAsia="Arial" w:hAnsi="Arial" w:cs="Arial"/>
          <w:i/>
          <w:color w:val="000000"/>
          <w:sz w:val="22"/>
          <w:szCs w:val="22"/>
        </w:rPr>
        <w:t>PLOS ONE, 19</w:t>
      </w:r>
      <w:r>
        <w:rPr>
          <w:rFonts w:ascii="Arial" w:eastAsia="Arial" w:hAnsi="Arial" w:cs="Arial"/>
          <w:color w:val="000000"/>
          <w:sz w:val="22"/>
          <w:szCs w:val="22"/>
        </w:rPr>
        <w:t>(9), e0307721. .</w:t>
      </w:r>
      <w:r>
        <w:rPr>
          <w:rFonts w:ascii="Arial" w:eastAsia="Arial" w:hAnsi="Arial" w:cs="Arial"/>
          <w:color w:val="000000"/>
          <w:sz w:val="22"/>
          <w:szCs w:val="22"/>
        </w:rPr>
        <w:br/>
        <w:t xml:space="preserve"> Ahmed, F., Ahmad, N., &amp; Zanetti, J. (2023). A systematic review of the barriers to the implementation of artificial intelligence in healthcare. </w:t>
      </w:r>
      <w:proofErr w:type="spellStart"/>
      <w:r>
        <w:rPr>
          <w:rFonts w:ascii="Arial" w:eastAsia="Arial" w:hAnsi="Arial" w:cs="Arial"/>
          <w:i/>
          <w:color w:val="000000"/>
          <w:sz w:val="22"/>
          <w:szCs w:val="22"/>
        </w:rPr>
        <w:t>Cureus</w:t>
      </w:r>
      <w:proofErr w:type="spellEnd"/>
      <w:r>
        <w:rPr>
          <w:rFonts w:ascii="Arial" w:eastAsia="Arial" w:hAnsi="Arial" w:cs="Arial"/>
          <w:i/>
          <w:color w:val="000000"/>
          <w:sz w:val="22"/>
          <w:szCs w:val="22"/>
        </w:rPr>
        <w:t>, 15</w:t>
      </w:r>
      <w:r>
        <w:rPr>
          <w:rFonts w:ascii="Arial" w:eastAsia="Arial" w:hAnsi="Arial" w:cs="Arial"/>
          <w:color w:val="000000"/>
          <w:sz w:val="22"/>
          <w:szCs w:val="22"/>
        </w:rPr>
        <w:t>(10), e46454. .</w:t>
      </w:r>
    </w:p>
    <w:p w14:paraId="348E9447" w14:textId="77777777" w:rsidR="006E59AA" w:rsidRDefault="006E59AA">
      <w:pPr>
        <w:pBdr>
          <w:top w:val="nil"/>
          <w:left w:val="nil"/>
          <w:bottom w:val="nil"/>
          <w:right w:val="nil"/>
          <w:between w:val="nil"/>
        </w:pBdr>
        <w:spacing w:line="276" w:lineRule="auto"/>
        <w:rPr>
          <w:rFonts w:ascii="Arial" w:eastAsia="Arial" w:hAnsi="Arial" w:cs="Arial"/>
          <w:color w:val="000000"/>
          <w:sz w:val="22"/>
          <w:szCs w:val="22"/>
        </w:rPr>
      </w:pPr>
    </w:p>
    <w:p w14:paraId="5CDB2741"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br/>
        <w:t>CONSENT</w:t>
      </w:r>
    </w:p>
    <w:p w14:paraId="5E7DE30B"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0"/>
          <w:szCs w:val="20"/>
        </w:rPr>
        <w:t>Not applicable. This study does not involve any human participants or patient data.</w:t>
      </w:r>
    </w:p>
    <w:p w14:paraId="1E7C158F" w14:textId="77777777" w:rsidR="006E59AA" w:rsidRDefault="00E74C5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br/>
      </w:r>
    </w:p>
    <w:sectPr w:rsidR="006E59A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22B2D" w14:textId="77777777" w:rsidR="00576207" w:rsidRDefault="00576207">
      <w:r>
        <w:separator/>
      </w:r>
    </w:p>
  </w:endnote>
  <w:endnote w:type="continuationSeparator" w:id="0">
    <w:p w14:paraId="099C4FD9" w14:textId="77777777" w:rsidR="00576207" w:rsidRDefault="00576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1" w:fontKey="{BF5519A0-63D3-43E1-88D6-46CEDA215023}"/>
  </w:font>
  <w:font w:name="Arial Unicode MS">
    <w:panose1 w:val="020B0604020202020204"/>
    <w:charset w:val="80"/>
    <w:family w:val="swiss"/>
    <w:pitch w:val="variable"/>
    <w:sig w:usb0="F7FFAFFF" w:usb1="E9DFFFFF" w:usb2="0000003F" w:usb3="00000000" w:csb0="003F01FF" w:csb1="00000000"/>
    <w:embedRegular r:id="rId2" w:subsetted="1" w:fontKey="{E709AAAA-B2BE-484D-A48F-3B57C82D34DA}"/>
  </w:font>
  <w:font w:name="Georgia">
    <w:panose1 w:val="02040502050405020303"/>
    <w:charset w:val="00"/>
    <w:family w:val="roman"/>
    <w:pitch w:val="variable"/>
    <w:sig w:usb0="00000287" w:usb1="00000000" w:usb2="00000000" w:usb3="00000000" w:csb0="0000009F" w:csb1="00000000"/>
    <w:embedRegular r:id="rId3" w:fontKey="{486C8B64-FCD0-4839-89BA-4B21B454806C}"/>
    <w:embedItalic r:id="rId4" w:fontKey="{27D5B43C-FEFF-4C1E-B0F1-0CEA5119E9CF}"/>
  </w:font>
  <w:font w:name="Arimo">
    <w:charset w:val="00"/>
    <w:family w:val="auto"/>
    <w:pitch w:val="default"/>
    <w:embedRegular r:id="rId5" w:fontKey="{B1158449-B9D7-473A-AA24-3B147854E2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871E1" w14:textId="77777777" w:rsidR="00AF0BE4" w:rsidRDefault="00AF0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B961D" w14:textId="76E58C35" w:rsidR="006E59AA" w:rsidRPr="002B1A81" w:rsidRDefault="006E59AA" w:rsidP="002B1A81">
    <w:pPr>
      <w:pStyle w:val="Footer"/>
      <w:rPr>
        <w:rFonts w:eastAsia="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DD818" w14:textId="77777777" w:rsidR="00AF0BE4" w:rsidRDefault="00AF0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1DA81" w14:textId="77777777" w:rsidR="00576207" w:rsidRDefault="00576207">
      <w:r>
        <w:separator/>
      </w:r>
    </w:p>
  </w:footnote>
  <w:footnote w:type="continuationSeparator" w:id="0">
    <w:p w14:paraId="39523916" w14:textId="77777777" w:rsidR="00576207" w:rsidRDefault="00576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3578" w14:textId="2F3F2931" w:rsidR="00AF0BE4" w:rsidRDefault="00AF0BE4">
    <w:pPr>
      <w:pStyle w:val="Header"/>
    </w:pPr>
    <w:r>
      <w:rPr>
        <w:noProof/>
      </w:rPr>
      <w:pict w14:anchorId="0785B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451485"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2DE5E" w14:textId="19AC9680" w:rsidR="006E59AA" w:rsidRDefault="00AF0BE4">
    <w:pPr>
      <w:pBdr>
        <w:top w:val="nil"/>
        <w:left w:val="nil"/>
        <w:bottom w:val="nil"/>
        <w:right w:val="nil"/>
        <w:between w:val="nil"/>
      </w:pBdr>
      <w:tabs>
        <w:tab w:val="right" w:pos="9020"/>
      </w:tabs>
      <w:rPr>
        <w:rFonts w:ascii="Helvetica Neue" w:eastAsia="Helvetica Neue" w:hAnsi="Helvetica Neue" w:cs="Helvetica Neue"/>
        <w:color w:val="000000"/>
      </w:rPr>
    </w:pPr>
    <w:r>
      <w:rPr>
        <w:noProof/>
      </w:rPr>
      <w:pict w14:anchorId="0922D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451486"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ADBDC" w14:textId="14A5FD91" w:rsidR="00AF0BE4" w:rsidRDefault="00AF0BE4">
    <w:pPr>
      <w:pStyle w:val="Header"/>
    </w:pPr>
    <w:r>
      <w:rPr>
        <w:noProof/>
      </w:rPr>
      <w:pict w14:anchorId="1F90E4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451484"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80AE1"/>
    <w:multiLevelType w:val="multilevel"/>
    <w:tmpl w:val="3230CD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53E2270"/>
    <w:multiLevelType w:val="multilevel"/>
    <w:tmpl w:val="ACBACF4E"/>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2" w15:restartNumberingAfterBreak="0">
    <w:nsid w:val="62191ADD"/>
    <w:multiLevelType w:val="multilevel"/>
    <w:tmpl w:val="A90A7BE2"/>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num w:numId="1" w16cid:durableId="138501559">
    <w:abstractNumId w:val="1"/>
  </w:num>
  <w:num w:numId="2" w16cid:durableId="1885289358">
    <w:abstractNumId w:val="2"/>
  </w:num>
  <w:num w:numId="3" w16cid:durableId="1920094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0MzE3NjGytLA0MjZW0lEKTi0uzszPAykwrAUAPGvorywAAAA="/>
  </w:docVars>
  <w:rsids>
    <w:rsidRoot w:val="006E59AA"/>
    <w:rsid w:val="0008021A"/>
    <w:rsid w:val="002B1A81"/>
    <w:rsid w:val="00465648"/>
    <w:rsid w:val="00576207"/>
    <w:rsid w:val="006E59AA"/>
    <w:rsid w:val="00744FB5"/>
    <w:rsid w:val="008965A2"/>
    <w:rsid w:val="009224F7"/>
    <w:rsid w:val="009822AB"/>
    <w:rsid w:val="009E64AD"/>
    <w:rsid w:val="00AF0BE4"/>
    <w:rsid w:val="00CE0ED8"/>
    <w:rsid w:val="00E74C50"/>
    <w:rsid w:val="00F04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0AD8D"/>
  <w15:docId w15:val="{360B879E-C98E-45FB-963D-B65AF0747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120" w:line="276" w:lineRule="auto"/>
      <w:outlineLvl w:val="1"/>
    </w:pPr>
    <w:rPr>
      <w:rFonts w:ascii="Arial" w:eastAsia="Arial" w:hAnsi="Arial" w:cs="Arial"/>
      <w:color w:val="000000"/>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line="276" w:lineRule="auto"/>
    </w:pPr>
    <w:rPr>
      <w:rFonts w:ascii="Arial" w:eastAsia="Arial Unicode MS" w:hAnsi="Arial" w:cs="Arial Unicode MS"/>
      <w:color w:val="000000"/>
      <w:sz w:val="22"/>
      <w:szCs w:val="22"/>
      <w:u w:color="000000"/>
      <w14:textOutline w14:w="0" w14:cap="flat" w14:cmpd="sng" w14:algn="ctr">
        <w14:noFill/>
        <w14:prstDash w14:val="solid"/>
        <w14:bevel/>
      </w14:textOutline>
    </w:rPr>
  </w:style>
  <w:style w:type="paragraph" w:customStyle="1" w:styleId="Heading">
    <w:name w:val="Heading"/>
    <w:next w:val="Body"/>
    <w:pPr>
      <w:keepNext/>
      <w:keepLines/>
      <w:spacing w:before="400" w:after="120" w:line="276" w:lineRule="auto"/>
      <w:outlineLvl w:val="0"/>
    </w:pPr>
    <w:rPr>
      <w:rFonts w:ascii="Arial" w:eastAsia="Arial Unicode MS" w:hAnsi="Arial" w:cs="Arial Unicode MS"/>
      <w:color w:val="000000"/>
      <w:sz w:val="40"/>
      <w:szCs w:val="40"/>
      <w:u w:color="000000"/>
      <w:lang w:val="de-DE"/>
      <w14:textOutline w14:w="0" w14:cap="flat" w14:cmpd="sng" w14:algn="ctr">
        <w14:noFill/>
        <w14:prstDash w14:val="solid"/>
        <w14:bevel/>
      </w14:textOutline>
    </w:rPr>
  </w:style>
  <w:style w:type="numbering" w:customStyle="1" w:styleId="ImportedStyle1">
    <w:name w:val="Imported Style 1"/>
  </w:style>
  <w:style w:type="numbering" w:customStyle="1" w:styleId="ImportedStyle2">
    <w:name w:val="Imported Style 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2B1A81"/>
    <w:pPr>
      <w:tabs>
        <w:tab w:val="center" w:pos="4513"/>
        <w:tab w:val="right" w:pos="9026"/>
      </w:tabs>
    </w:pPr>
  </w:style>
  <w:style w:type="character" w:customStyle="1" w:styleId="FooterChar">
    <w:name w:val="Footer Char"/>
    <w:basedOn w:val="DefaultParagraphFont"/>
    <w:link w:val="Footer"/>
    <w:uiPriority w:val="99"/>
    <w:rsid w:val="002B1A81"/>
    <w:rPr>
      <w:lang w:eastAsia="en-US"/>
    </w:rPr>
  </w:style>
  <w:style w:type="character" w:customStyle="1" w:styleId="UnresolvedMention1">
    <w:name w:val="Unresolved Mention1"/>
    <w:basedOn w:val="DefaultParagraphFont"/>
    <w:uiPriority w:val="99"/>
    <w:semiHidden/>
    <w:unhideWhenUsed/>
    <w:rsid w:val="002B1A81"/>
    <w:rPr>
      <w:color w:val="605E5C"/>
      <w:shd w:val="clear" w:color="auto" w:fill="E1DFDD"/>
    </w:rPr>
  </w:style>
  <w:style w:type="paragraph" w:styleId="Header">
    <w:name w:val="header"/>
    <w:basedOn w:val="Normal"/>
    <w:link w:val="HeaderChar"/>
    <w:uiPriority w:val="99"/>
    <w:unhideWhenUsed/>
    <w:rsid w:val="00AF0BE4"/>
    <w:pPr>
      <w:tabs>
        <w:tab w:val="center" w:pos="4680"/>
        <w:tab w:val="right" w:pos="9360"/>
      </w:tabs>
    </w:pPr>
  </w:style>
  <w:style w:type="character" w:customStyle="1" w:styleId="HeaderChar">
    <w:name w:val="Header Char"/>
    <w:basedOn w:val="DefaultParagraphFont"/>
    <w:link w:val="Header"/>
    <w:uiPriority w:val="99"/>
    <w:rsid w:val="00AF0BE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5qlrT/i8IhpgQOdn/g8iaKyxz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yDmguM3h5c2JlZG9rbHk4Mg5oLmlzeDR4bmE0YTg5MDIOaC5keXQ5Y240bnhveGkyDmguejU1dmRsdWZzazQzMg5oLnh5c3Vyd21xNXN5YTgAciExeHVPMWxTeEpIVDVCcmxidXMtQkd0cEVyb3RualY3R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3662</Words>
  <Characters>20877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7</cp:revision>
  <dcterms:created xsi:type="dcterms:W3CDTF">2025-05-08T05:56:00Z</dcterms:created>
  <dcterms:modified xsi:type="dcterms:W3CDTF">2025-05-08T12:40:00Z</dcterms:modified>
</cp:coreProperties>
</file>