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298595" w:rsidR="000D5A02" w:rsidRPr="005F6F59" w:rsidRDefault="00320E20" w:rsidP="00D30110">
      <w:pPr>
        <w:spacing w:after="240"/>
        <w:jc w:val="center"/>
        <w:rPr>
          <w:b/>
          <w:sz w:val="40"/>
          <w:szCs w:val="40"/>
        </w:rPr>
      </w:pPr>
      <w:r w:rsidRPr="005F6F59">
        <w:rPr>
          <w:b/>
          <w:sz w:val="40"/>
          <w:szCs w:val="40"/>
        </w:rPr>
        <w:t>Intelligent Fraud Prevention Information Banking: A Data Governance- Centric Approa</w:t>
      </w:r>
      <w:r w:rsidR="00BE3074" w:rsidRPr="005F6F59">
        <w:rPr>
          <w:b/>
          <w:sz w:val="40"/>
          <w:szCs w:val="40"/>
        </w:rPr>
        <w:t>ch Using Behavioural Biometrics</w:t>
      </w:r>
    </w:p>
    <w:p w14:paraId="4D86ECE3" w14:textId="77777777" w:rsidR="006E7F06" w:rsidRDefault="006E7F06" w:rsidP="00D30110">
      <w:pPr>
        <w:spacing w:after="240"/>
        <w:rPr>
          <w:b/>
          <w:sz w:val="24"/>
          <w:szCs w:val="24"/>
        </w:rPr>
      </w:pPr>
    </w:p>
    <w:p w14:paraId="720CAFBE" w14:textId="77777777" w:rsidR="0040531B" w:rsidRDefault="0040531B" w:rsidP="00C21DDE">
      <w:pPr>
        <w:pStyle w:val="NoSpacing"/>
        <w:rPr>
          <w:rFonts w:ascii="Tenorite" w:hAnsi="Tenorite" w:cs="Times New Roman"/>
          <w:sz w:val="24"/>
          <w:szCs w:val="24"/>
        </w:rPr>
      </w:pPr>
    </w:p>
    <w:p w14:paraId="3B93E45A" w14:textId="77777777" w:rsidR="00C21DDE" w:rsidRDefault="00C21DDE" w:rsidP="00C21DDE">
      <w:pPr>
        <w:pStyle w:val="NoSpacing"/>
        <w:rPr>
          <w:rFonts w:ascii="Tenorite" w:hAnsi="Tenorite" w:cs="Times New Roman"/>
          <w:sz w:val="24"/>
          <w:szCs w:val="24"/>
        </w:rPr>
      </w:pPr>
    </w:p>
    <w:p w14:paraId="317D3762" w14:textId="77777777" w:rsidR="00FC3A88" w:rsidRDefault="00FC3A88" w:rsidP="00C21DDE">
      <w:pPr>
        <w:pStyle w:val="NoSpacing"/>
        <w:rPr>
          <w:rFonts w:ascii="Tenorite" w:hAnsi="Tenorite" w:cs="Times New Roman"/>
          <w:sz w:val="24"/>
          <w:szCs w:val="24"/>
        </w:rPr>
      </w:pPr>
    </w:p>
    <w:p w14:paraId="51FE757A" w14:textId="161B9DAE" w:rsidR="005335AE" w:rsidRDefault="005335AE" w:rsidP="005335AE">
      <w:pPr>
        <w:pStyle w:val="NoSpacing"/>
        <w:rPr>
          <w:rFonts w:ascii="Tenorite" w:hAnsi="Tenorite" w:cs="Times New Roman"/>
          <w:sz w:val="24"/>
          <w:szCs w:val="24"/>
        </w:rPr>
      </w:pPr>
    </w:p>
    <w:p w14:paraId="1D5A8C0A" w14:textId="77777777" w:rsidR="005335AE" w:rsidRDefault="005335AE" w:rsidP="005335AE">
      <w:pPr>
        <w:pStyle w:val="NoSpacing"/>
        <w:rPr>
          <w:rFonts w:ascii="Tenorite" w:hAnsi="Tenorite" w:cs="Times New Roman"/>
          <w:sz w:val="24"/>
          <w:szCs w:val="24"/>
        </w:rPr>
      </w:pPr>
    </w:p>
    <w:p w14:paraId="67925090" w14:textId="77777777" w:rsidR="005335AE" w:rsidRDefault="005335AE" w:rsidP="005335AE">
      <w:pPr>
        <w:pStyle w:val="NoSpacing"/>
        <w:rPr>
          <w:rFonts w:ascii="Tenorite" w:hAnsi="Tenorite" w:cs="Times New Roman"/>
          <w:sz w:val="24"/>
          <w:szCs w:val="24"/>
        </w:rPr>
      </w:pPr>
    </w:p>
    <w:p w14:paraId="3C23BC24" w14:textId="1B9E6A25" w:rsidR="006E7F06" w:rsidRPr="00C21DDE" w:rsidRDefault="006E7F06" w:rsidP="00D30110">
      <w:pPr>
        <w:spacing w:after="240"/>
        <w:rPr>
          <w:b/>
          <w:sz w:val="24"/>
          <w:szCs w:val="24"/>
          <w:lang w:val="en-US"/>
        </w:rPr>
      </w:pPr>
    </w:p>
    <w:p w14:paraId="02F6A7F5" w14:textId="1C1A6865" w:rsidR="00BE3074" w:rsidRPr="005F6F59" w:rsidRDefault="00BE3074" w:rsidP="00D30110">
      <w:pPr>
        <w:spacing w:after="240"/>
        <w:rPr>
          <w:b/>
          <w:sz w:val="24"/>
          <w:szCs w:val="24"/>
        </w:rPr>
      </w:pPr>
      <w:r w:rsidRPr="005F6F59">
        <w:rPr>
          <w:b/>
          <w:sz w:val="24"/>
          <w:szCs w:val="24"/>
        </w:rPr>
        <w:t>Abstract</w:t>
      </w:r>
    </w:p>
    <w:p w14:paraId="50D053C7" w14:textId="77777777" w:rsidR="00BE3074" w:rsidRPr="005F6F59" w:rsidRDefault="00BE3074" w:rsidP="00D30110">
      <w:pPr>
        <w:spacing w:before="100" w:beforeAutospacing="1" w:after="240" w:line="240" w:lineRule="auto"/>
        <w:jc w:val="both"/>
        <w:rPr>
          <w:rFonts w:eastAsia="Times New Roman"/>
          <w:i/>
          <w:sz w:val="24"/>
          <w:szCs w:val="24"/>
          <w:lang w:val="en-US"/>
        </w:rPr>
      </w:pPr>
      <w:r w:rsidRPr="005F6F59">
        <w:rPr>
          <w:rFonts w:eastAsia="Times New Roman"/>
          <w:i/>
          <w:sz w:val="24"/>
          <w:szCs w:val="24"/>
          <w:lang w:val="en-US"/>
        </w:rPr>
        <w:t xml:space="preserve">This study explores the integration of behavioural biometrics into intelligent fraud prevention systems within the banking sector, highlighting the central role of data governance in ensuring ethical and operational efficiency. Using four open-source datasets—including the IEEE-CIS Fraud Detection Dataset, Open Data Barometer, </w:t>
      </w:r>
      <w:proofErr w:type="spellStart"/>
      <w:r w:rsidRPr="005F6F59">
        <w:rPr>
          <w:rFonts w:eastAsia="Times New Roman"/>
          <w:i/>
          <w:sz w:val="24"/>
          <w:szCs w:val="24"/>
          <w:lang w:val="en-US"/>
        </w:rPr>
        <w:t>BioCatch</w:t>
      </w:r>
      <w:proofErr w:type="spellEnd"/>
      <w:r w:rsidRPr="005F6F59">
        <w:rPr>
          <w:rFonts w:eastAsia="Times New Roman"/>
          <w:i/>
          <w:sz w:val="24"/>
          <w:szCs w:val="24"/>
          <w:lang w:val="en-US"/>
        </w:rPr>
        <w:t xml:space="preserve"> Case Studies, and AI Index Reports—the research employed logistic regression, linear regression, Wilcoxon signed-rank tests, and multivariate regression to address four core objectives. Results indicate a model accuracy of 89.9% and ROC-AUC of 0.849 for biometric-based fraud detection, with a 35.5% average fraud reduction observed across institutions post-implementation. Governance strength was shown to explain 79.3% of national fraud rate variance and 86% of fraud system performance variation. Key recommendations include enforcing robust data privacy laws, investing in biometric infrastructure, promoting unbiased AI training, and aligning cross-border governance frameworks. These findings validate the need for synchronized technological and policy reforms to combat evolving financial crime.</w:t>
      </w:r>
    </w:p>
    <w:p w14:paraId="632AC737" w14:textId="77777777" w:rsidR="00BE3074" w:rsidRPr="005F6F59" w:rsidRDefault="00BE3074" w:rsidP="00D30110">
      <w:pPr>
        <w:spacing w:before="100" w:beforeAutospacing="1" w:after="240" w:line="240" w:lineRule="auto"/>
        <w:jc w:val="both"/>
        <w:rPr>
          <w:rFonts w:eastAsia="Times New Roman"/>
          <w:b/>
          <w:sz w:val="24"/>
          <w:szCs w:val="24"/>
          <w:lang w:val="en-US"/>
        </w:rPr>
      </w:pPr>
      <w:r w:rsidRPr="005F6F59">
        <w:rPr>
          <w:rFonts w:eastAsia="Times New Roman"/>
          <w:b/>
          <w:bCs/>
          <w:sz w:val="24"/>
          <w:szCs w:val="24"/>
          <w:lang w:val="en-US"/>
        </w:rPr>
        <w:t>Keywords:</w:t>
      </w:r>
      <w:r w:rsidRPr="005F6F59">
        <w:rPr>
          <w:rFonts w:eastAsia="Times New Roman"/>
          <w:b/>
          <w:sz w:val="24"/>
          <w:szCs w:val="24"/>
          <w:lang w:val="en-US"/>
        </w:rPr>
        <w:t xml:space="preserve"> Behavioural Biometrics, Fraud Detection, Data Governance, Financial Technology, Artificial Intelligence</w:t>
      </w:r>
    </w:p>
    <w:p w14:paraId="76D01705" w14:textId="77777777" w:rsidR="00BE3074" w:rsidRPr="005F6F59" w:rsidRDefault="00BE3074" w:rsidP="00D30110">
      <w:pPr>
        <w:spacing w:after="240"/>
        <w:rPr>
          <w:sz w:val="24"/>
          <w:szCs w:val="24"/>
        </w:rPr>
      </w:pPr>
    </w:p>
    <w:p w14:paraId="00000003" w14:textId="64338619" w:rsidR="000D5A02" w:rsidRPr="005F6F59" w:rsidRDefault="005F6F59" w:rsidP="00D30110">
      <w:pPr>
        <w:spacing w:after="240"/>
        <w:rPr>
          <w:sz w:val="24"/>
          <w:szCs w:val="24"/>
        </w:rPr>
      </w:pPr>
      <w:r>
        <w:rPr>
          <w:b/>
          <w:sz w:val="24"/>
          <w:szCs w:val="24"/>
        </w:rPr>
        <w:t>1.</w:t>
      </w:r>
      <w:r>
        <w:rPr>
          <w:b/>
          <w:sz w:val="24"/>
          <w:szCs w:val="24"/>
        </w:rPr>
        <w:tab/>
        <w:t xml:space="preserve">Introduction </w:t>
      </w:r>
      <w:r w:rsidR="00320E20" w:rsidRPr="005F6F59">
        <w:rPr>
          <w:sz w:val="24"/>
          <w:szCs w:val="24"/>
        </w:rPr>
        <w:t xml:space="preserve"> </w:t>
      </w:r>
    </w:p>
    <w:p w14:paraId="00000004" w14:textId="77777777" w:rsidR="000D5A02" w:rsidRPr="005F6F59" w:rsidRDefault="000D5A02" w:rsidP="00D30110">
      <w:pPr>
        <w:spacing w:after="240"/>
        <w:rPr>
          <w:sz w:val="24"/>
          <w:szCs w:val="24"/>
        </w:rPr>
      </w:pPr>
    </w:p>
    <w:p w14:paraId="00000005" w14:textId="77777777" w:rsidR="000D5A02" w:rsidRPr="005F6F59" w:rsidRDefault="00320E20" w:rsidP="00D30110">
      <w:pPr>
        <w:spacing w:before="240" w:after="240"/>
        <w:rPr>
          <w:sz w:val="24"/>
          <w:szCs w:val="24"/>
        </w:rPr>
      </w:pPr>
      <w:r w:rsidRPr="005F6F59">
        <w:rPr>
          <w:sz w:val="24"/>
          <w:szCs w:val="24"/>
        </w:rPr>
        <w:t xml:space="preserve">The digital transformation of the banking sector has considerably enhanced accessibility and operational efficiency through online and mobile platforms; however, this same transformation has simultaneously expanded the scope and complexity of financial </w:t>
      </w:r>
      <w:r w:rsidRPr="005F6F59">
        <w:rPr>
          <w:sz w:val="24"/>
          <w:szCs w:val="24"/>
        </w:rPr>
        <w:lastRenderedPageBreak/>
        <w:t>fraud. As cybercriminals increasingly exploit advanced technologies, financial institutions face heightened vulnerability, rendering traditional, rule-based fraud detection systems insufficient for identifying dynamic and sophisticated threats. Consequently, the industry is undergoing a paradigmatic shift towards the adoption of intelligent, adaptive fraud prevention mechanisms. According to Chrisler (2025), one of the most salient innovations within this domain is behavioural biometrics, which when integrated with artificial intelligence (AI) and machine learning (ML) provides continuous, non-intrusive, and contextually adaptive user authentication. This emerging solution, however, requires a data governance framework capable of managing both the scale and sensitivity of behavioural data, ensuring compliance with regulatory standards, protecting user privacy, and maintaining operational efficacy (</w:t>
      </w:r>
      <w:proofErr w:type="spellStart"/>
      <w:r w:rsidRPr="005F6F59">
        <w:rPr>
          <w:sz w:val="24"/>
          <w:szCs w:val="24"/>
        </w:rPr>
        <w:t>BioCatch</w:t>
      </w:r>
      <w:proofErr w:type="spellEnd"/>
      <w:r w:rsidRPr="005F6F59">
        <w:rPr>
          <w:sz w:val="24"/>
          <w:szCs w:val="24"/>
        </w:rPr>
        <w:t>, 2024).</w:t>
      </w:r>
    </w:p>
    <w:p w14:paraId="00000006" w14:textId="77777777" w:rsidR="000D5A02" w:rsidRPr="005F6F59" w:rsidRDefault="00320E20" w:rsidP="00D30110">
      <w:pPr>
        <w:spacing w:before="240" w:after="240"/>
        <w:rPr>
          <w:sz w:val="24"/>
          <w:szCs w:val="24"/>
        </w:rPr>
      </w:pPr>
      <w:r w:rsidRPr="005F6F59">
        <w:rPr>
          <w:sz w:val="24"/>
          <w:szCs w:val="24"/>
        </w:rPr>
        <w:t xml:space="preserve">The growing prevalence of financial crime has emphasized the necessity for banks and related institutions to embrace more technologically advanced fraud mitigation tools. </w:t>
      </w:r>
      <w:proofErr w:type="spellStart"/>
      <w:r w:rsidRPr="005F6F59">
        <w:rPr>
          <w:sz w:val="24"/>
          <w:szCs w:val="24"/>
        </w:rPr>
        <w:t>BioCatch</w:t>
      </w:r>
      <w:proofErr w:type="spellEnd"/>
      <w:r w:rsidRPr="005F6F59">
        <w:rPr>
          <w:sz w:val="24"/>
          <w:szCs w:val="24"/>
        </w:rPr>
        <w:t xml:space="preserve"> (2024) states that 56% of fraud-management professionals reported an increase in financial crime over the preceding year, while 76% projected further losses by the close of 2024. These developments illuminate the escalating threat landscape and emphasize the inadequacy of legacy fraud detection systems. Notably, McKinsey (2023) reports that 73% of organizations have integrated AI-powered technologies, including behavioural biometrics, into their fraud prevention strategies—an indication of a widespread shift toward data-intensive approaches to fraud management. Financially, the burden is significant: in 2023, 16% of organizations reported operational expenditures of $25 million or more on fraud-related investigations and recovery efforts, while 12% incurred equivalent losses due to fraud facilitated by AI-enhanced techniques (</w:t>
      </w:r>
      <w:proofErr w:type="spellStart"/>
      <w:r w:rsidRPr="005F6F59">
        <w:rPr>
          <w:sz w:val="24"/>
          <w:szCs w:val="24"/>
        </w:rPr>
        <w:t>InfosysBPM</w:t>
      </w:r>
      <w:proofErr w:type="spellEnd"/>
      <w:r w:rsidRPr="005F6F59">
        <w:rPr>
          <w:sz w:val="24"/>
          <w:szCs w:val="24"/>
        </w:rPr>
        <w:t>, 2020).</w:t>
      </w:r>
    </w:p>
    <w:p w14:paraId="00000007" w14:textId="77777777" w:rsidR="000D5A02" w:rsidRPr="005F6F59" w:rsidRDefault="00320E20" w:rsidP="00D30110">
      <w:pPr>
        <w:spacing w:before="240" w:after="240"/>
        <w:rPr>
          <w:sz w:val="24"/>
          <w:szCs w:val="24"/>
        </w:rPr>
      </w:pPr>
      <w:r w:rsidRPr="005F6F59">
        <w:rPr>
          <w:sz w:val="24"/>
          <w:szCs w:val="24"/>
        </w:rPr>
        <w:t xml:space="preserve">Traditional fraud detection systems reliant on static rules or simplistic anomaly detection algorithms often fail to identify nuanced and deceptive tactics such as synthetic identity fraud or socially engineered scams. Simons (2023) argue that up to 95% of synthetic identity fraud cases remain undetected by conventional systems, highlighting the pressing need for more </w:t>
      </w:r>
      <w:proofErr w:type="spellStart"/>
      <w:r w:rsidRPr="005F6F59">
        <w:rPr>
          <w:sz w:val="24"/>
          <w:szCs w:val="24"/>
        </w:rPr>
        <w:t>behaviorally</w:t>
      </w:r>
      <w:proofErr w:type="spellEnd"/>
      <w:r w:rsidRPr="005F6F59">
        <w:rPr>
          <w:sz w:val="24"/>
          <w:szCs w:val="24"/>
        </w:rPr>
        <w:t xml:space="preserve">-informed methodologies. Behavioural biometrics offers a distinct advantage by </w:t>
      </w:r>
      <w:proofErr w:type="spellStart"/>
      <w:r w:rsidRPr="005F6F59">
        <w:rPr>
          <w:sz w:val="24"/>
          <w:szCs w:val="24"/>
        </w:rPr>
        <w:t>analyzing</w:t>
      </w:r>
      <w:proofErr w:type="spellEnd"/>
      <w:r w:rsidRPr="005F6F59">
        <w:rPr>
          <w:sz w:val="24"/>
          <w:szCs w:val="24"/>
        </w:rPr>
        <w:t xml:space="preserve"> how users interact with digital interfaces including keystroke patterns, cursor dynamics, and touchscreen gestures thereby providing real-time, session-long authentication without interrupting user activity. Unlike physical biometrics, which rely on static physiological attributes, behavioural biometrics focus on contextual interaction patterns, making it inherently resilient to fraudulent replication and capable of continuously validating user authenticity throughout digital sessions (Salomon, 2024).</w:t>
      </w:r>
    </w:p>
    <w:p w14:paraId="00000008" w14:textId="77777777" w:rsidR="000D5A02" w:rsidRPr="005F6F59" w:rsidRDefault="00320E20" w:rsidP="00D30110">
      <w:pPr>
        <w:spacing w:before="240" w:after="240"/>
        <w:rPr>
          <w:sz w:val="24"/>
          <w:szCs w:val="24"/>
        </w:rPr>
      </w:pPr>
      <w:r w:rsidRPr="005F6F59">
        <w:rPr>
          <w:sz w:val="24"/>
          <w:szCs w:val="24"/>
        </w:rPr>
        <w:t xml:space="preserve">The efficacy of behavioural biometrics is increasingly supported by empirical case studies. According to </w:t>
      </w:r>
      <w:proofErr w:type="spellStart"/>
      <w:r w:rsidRPr="005F6F59">
        <w:rPr>
          <w:sz w:val="24"/>
          <w:szCs w:val="24"/>
        </w:rPr>
        <w:t>BioCatch</w:t>
      </w:r>
      <w:proofErr w:type="spellEnd"/>
      <w:r w:rsidRPr="005F6F59">
        <w:rPr>
          <w:sz w:val="24"/>
          <w:szCs w:val="24"/>
        </w:rPr>
        <w:t xml:space="preserve"> (2023), in 2023, BCU, a U.S.-based credit union, </w:t>
      </w:r>
      <w:r w:rsidRPr="005F6F59">
        <w:rPr>
          <w:sz w:val="24"/>
          <w:szCs w:val="24"/>
        </w:rPr>
        <w:lastRenderedPageBreak/>
        <w:t xml:space="preserve">implemented </w:t>
      </w:r>
      <w:proofErr w:type="spellStart"/>
      <w:r w:rsidRPr="005F6F59">
        <w:rPr>
          <w:sz w:val="24"/>
          <w:szCs w:val="24"/>
        </w:rPr>
        <w:t>BioCatch’s</w:t>
      </w:r>
      <w:proofErr w:type="spellEnd"/>
      <w:r w:rsidRPr="005F6F59">
        <w:rPr>
          <w:sz w:val="24"/>
          <w:szCs w:val="24"/>
        </w:rPr>
        <w:t xml:space="preserve"> behavioural biometric solutions to combat Zelle-related impostor scams, achieving a 95% reduction in fraudulent activities. By capturing and interpreting behavioural signals, BCU successfully distinguished legitimate users from impersonators while preserving a user-friendly interface. In a related development, Mastercard’s 2025 partnership with </w:t>
      </w:r>
      <w:proofErr w:type="spellStart"/>
      <w:r w:rsidRPr="005F6F59">
        <w:rPr>
          <w:sz w:val="24"/>
          <w:szCs w:val="24"/>
        </w:rPr>
        <w:t>Feedzai</w:t>
      </w:r>
      <w:proofErr w:type="spellEnd"/>
      <w:r w:rsidRPr="005F6F59">
        <w:rPr>
          <w:sz w:val="24"/>
          <w:szCs w:val="24"/>
        </w:rPr>
        <w:t xml:space="preserve"> saw the integration of behavioural biometrics into its Consumer Fraud Risk (CFR) platform. This collaboration has yielded a 12% decline in the value of authorized push payment (APP) scams in the UK since its 2023 deployment (Liang, 2025). Liang (2025) explains that </w:t>
      </w:r>
      <w:proofErr w:type="spellStart"/>
      <w:r w:rsidRPr="005F6F59">
        <w:rPr>
          <w:sz w:val="24"/>
          <w:szCs w:val="24"/>
        </w:rPr>
        <w:t>Feedzai’s</w:t>
      </w:r>
      <w:proofErr w:type="spellEnd"/>
      <w:r w:rsidRPr="005F6F59">
        <w:rPr>
          <w:sz w:val="24"/>
          <w:szCs w:val="24"/>
        </w:rPr>
        <w:t xml:space="preserve"> platform integrates behavioural data with device and network intelligence, enabling it to detect anomalous activities across large-scale operations in real time.</w:t>
      </w:r>
    </w:p>
    <w:p w14:paraId="00000009" w14:textId="77777777" w:rsidR="000D5A02" w:rsidRPr="005F6F59" w:rsidRDefault="00320E20" w:rsidP="00D30110">
      <w:pPr>
        <w:spacing w:before="240" w:after="240"/>
        <w:rPr>
          <w:sz w:val="24"/>
          <w:szCs w:val="24"/>
        </w:rPr>
      </w:pPr>
      <w:r w:rsidRPr="005F6F59">
        <w:rPr>
          <w:sz w:val="24"/>
          <w:szCs w:val="24"/>
        </w:rPr>
        <w:t xml:space="preserve">Despite its significant potential, the integration of behavioural biometrics into financial services must be accompanied by a rigorous and ethical data governance framework. The volume and granularity of behavioural data necessitate institutional accountability with respect to accuracy, fairness, and privacy. </w:t>
      </w:r>
      <w:proofErr w:type="spellStart"/>
      <w:r w:rsidRPr="005F6F59">
        <w:rPr>
          <w:sz w:val="24"/>
          <w:szCs w:val="24"/>
        </w:rPr>
        <w:t>Torselli</w:t>
      </w:r>
      <w:proofErr w:type="spellEnd"/>
      <w:r w:rsidRPr="005F6F59">
        <w:rPr>
          <w:sz w:val="24"/>
          <w:szCs w:val="24"/>
        </w:rPr>
        <w:t xml:space="preserve"> (2025) underscore that compliance with legal standards such as the General Data Protection Regulation (GDPR) and the Nigeria Data Protection Regulation (NDPR) is essential to mitigate risks associated with data misuse and surveillance. </w:t>
      </w:r>
      <w:proofErr w:type="spellStart"/>
      <w:r w:rsidRPr="005F6F59">
        <w:rPr>
          <w:sz w:val="24"/>
          <w:szCs w:val="24"/>
        </w:rPr>
        <w:t>Torselli</w:t>
      </w:r>
      <w:proofErr w:type="spellEnd"/>
      <w:r w:rsidRPr="005F6F59">
        <w:rPr>
          <w:sz w:val="24"/>
          <w:szCs w:val="24"/>
        </w:rPr>
        <w:t xml:space="preserve"> (2025) emphasizes the need to align behavioural biometric tools with governance mechanisms that promote ethical data stewardship, ensuring that consumer rights are preserved even as fraud detection capabilities are enhanced.</w:t>
      </w:r>
    </w:p>
    <w:p w14:paraId="0000000A" w14:textId="77777777" w:rsidR="000D5A02" w:rsidRPr="005F6F59" w:rsidRDefault="00320E20" w:rsidP="00D30110">
      <w:pPr>
        <w:spacing w:before="240" w:after="240"/>
        <w:rPr>
          <w:sz w:val="24"/>
          <w:szCs w:val="24"/>
        </w:rPr>
      </w:pPr>
      <w:r w:rsidRPr="005F6F59">
        <w:rPr>
          <w:sz w:val="24"/>
          <w:szCs w:val="24"/>
        </w:rPr>
        <w:t xml:space="preserve">Further complicating the threat landscape is the increasing sophistication with which adversaries deploy AI to perpetrate financial crimes. </w:t>
      </w:r>
      <w:proofErr w:type="spellStart"/>
      <w:r w:rsidRPr="005F6F59">
        <w:rPr>
          <w:sz w:val="24"/>
          <w:szCs w:val="24"/>
        </w:rPr>
        <w:t>BioCatch</w:t>
      </w:r>
      <w:proofErr w:type="spellEnd"/>
      <w:r w:rsidRPr="005F6F59">
        <w:rPr>
          <w:sz w:val="24"/>
          <w:szCs w:val="24"/>
        </w:rPr>
        <w:t xml:space="preserve"> (2024) reported that 69% of fraud-management professionals believe that threat actors currently leverage AI more effectively than banks employ it for </w:t>
      </w:r>
      <w:proofErr w:type="spellStart"/>
      <w:r w:rsidRPr="005F6F59">
        <w:rPr>
          <w:sz w:val="24"/>
          <w:szCs w:val="24"/>
        </w:rPr>
        <w:t>defense</w:t>
      </w:r>
      <w:proofErr w:type="spellEnd"/>
      <w:r w:rsidRPr="005F6F59">
        <w:rPr>
          <w:sz w:val="24"/>
          <w:szCs w:val="24"/>
        </w:rPr>
        <w:t xml:space="preserve">. This disparity reveals the urgency of not only adopting advanced detection technologies but also embedding them within transparent and well-regulated frameworks. </w:t>
      </w:r>
      <w:proofErr w:type="spellStart"/>
      <w:r w:rsidRPr="005F6F59">
        <w:rPr>
          <w:sz w:val="24"/>
          <w:szCs w:val="24"/>
        </w:rPr>
        <w:t>BioCatch</w:t>
      </w:r>
      <w:proofErr w:type="spellEnd"/>
      <w:r w:rsidRPr="005F6F59">
        <w:rPr>
          <w:sz w:val="24"/>
          <w:szCs w:val="24"/>
        </w:rPr>
        <w:t xml:space="preserve"> (2024) affirm that ethical technology implementation grounded in robust governance is imperative for countering AI-driven threats.</w:t>
      </w:r>
    </w:p>
    <w:p w14:paraId="0000000B" w14:textId="77777777" w:rsidR="000D5A02" w:rsidRPr="005F6F59" w:rsidRDefault="00320E20" w:rsidP="00D30110">
      <w:pPr>
        <w:spacing w:before="240" w:after="240"/>
        <w:rPr>
          <w:sz w:val="24"/>
          <w:szCs w:val="24"/>
        </w:rPr>
      </w:pPr>
      <w:r w:rsidRPr="005F6F59">
        <w:rPr>
          <w:sz w:val="24"/>
          <w:szCs w:val="24"/>
        </w:rPr>
        <w:t>Moreover, LexisNexis Risk Solutions (2023) white paper on person-to-person (P2P) fraud emphasizes the relevance of behavioural biometrics in reducing such threats. The report highlights the ability of these systems to provide passive authentication, thereby enhancing both security and user satisfaction without adding friction to digital interactions.</w:t>
      </w:r>
    </w:p>
    <w:p w14:paraId="0000000C" w14:textId="77777777" w:rsidR="000D5A02" w:rsidRPr="005F6F59" w:rsidRDefault="00320E20" w:rsidP="00D30110">
      <w:pPr>
        <w:spacing w:before="240" w:after="240"/>
        <w:rPr>
          <w:sz w:val="24"/>
          <w:szCs w:val="24"/>
        </w:rPr>
      </w:pPr>
      <w:r w:rsidRPr="005F6F59">
        <w:rPr>
          <w:sz w:val="24"/>
          <w:szCs w:val="24"/>
        </w:rPr>
        <w:t xml:space="preserve">Given the projected expansion of AI-powered tools in the financial sector from $3.88 billion in 2020 to an anticipated $64.03 billion by 2030, with a compound annual growth rate of 32.6% it is evident that the industry regards such technologies as essential to its future infrastructure (Allied Market Research, 2021). Behavioural biometrics occupies a </w:t>
      </w:r>
      <w:r w:rsidRPr="005F6F59">
        <w:rPr>
          <w:sz w:val="24"/>
          <w:szCs w:val="24"/>
        </w:rPr>
        <w:lastRenderedPageBreak/>
        <w:t xml:space="preserve">central role within this transformation, addressing the core limitations of legacy detection systems by offering real-time, personalized risk assessment based on user </w:t>
      </w:r>
      <w:proofErr w:type="spellStart"/>
      <w:r w:rsidRPr="005F6F59">
        <w:rPr>
          <w:sz w:val="24"/>
          <w:szCs w:val="24"/>
        </w:rPr>
        <w:t>behavior</w:t>
      </w:r>
      <w:proofErr w:type="spellEnd"/>
      <w:r w:rsidRPr="005F6F59">
        <w:rPr>
          <w:sz w:val="24"/>
          <w:szCs w:val="24"/>
        </w:rPr>
        <w:t>.</w:t>
      </w:r>
    </w:p>
    <w:p w14:paraId="00000010" w14:textId="12A0AA32" w:rsidR="000D5A02" w:rsidRPr="005F6F59" w:rsidRDefault="00320E20" w:rsidP="00D30110">
      <w:pPr>
        <w:spacing w:before="240" w:after="240"/>
        <w:rPr>
          <w:sz w:val="24"/>
          <w:szCs w:val="24"/>
        </w:rPr>
      </w:pPr>
      <w:r w:rsidRPr="005F6F59">
        <w:rPr>
          <w:sz w:val="24"/>
          <w:szCs w:val="24"/>
        </w:rPr>
        <w:t>Nonetheless, technological advancement must be carefully harmonized with governance structures that promote ethical, lawful, and transparent use. Financial institutions must implement robust mechanisms for consent management, data access control, and continuous system auditing. According to LexisNexis Risk Solution (2023), only through this alignment between intelligent fraud detection tools and principled data governance can banks maintain operational security, regulatory compliance, and customer trust in an increasin</w:t>
      </w:r>
      <w:r w:rsidR="005F6F59">
        <w:rPr>
          <w:sz w:val="24"/>
          <w:szCs w:val="24"/>
        </w:rPr>
        <w:t xml:space="preserve">gly hostile digital environment. This study aims to </w:t>
      </w:r>
      <w:r w:rsidR="005F6F59" w:rsidRPr="005F6F59">
        <w:rPr>
          <w:sz w:val="24"/>
          <w:szCs w:val="24"/>
        </w:rPr>
        <w:t>explore the integration of behavioural biometrics within intelligent fraud prevention systems in banking, emphasizing the role of data governance in enhancing security, complia</w:t>
      </w:r>
      <w:r w:rsidR="005F6F59">
        <w:rPr>
          <w:sz w:val="24"/>
          <w:szCs w:val="24"/>
        </w:rPr>
        <w:t xml:space="preserve">nce, and operational efficiency, by achieving </w:t>
      </w:r>
      <w:proofErr w:type="gramStart"/>
      <w:r w:rsidR="005F6F59">
        <w:rPr>
          <w:sz w:val="24"/>
          <w:szCs w:val="24"/>
        </w:rPr>
        <w:t>this following objectives</w:t>
      </w:r>
      <w:proofErr w:type="gramEnd"/>
      <w:r w:rsidR="005F6F59">
        <w:rPr>
          <w:sz w:val="24"/>
          <w:szCs w:val="24"/>
        </w:rPr>
        <w:t>:</w:t>
      </w:r>
      <w:bookmarkStart w:id="0" w:name="_4mbzynx7uzvy" w:colFirst="0" w:colLast="0"/>
      <w:bookmarkEnd w:id="0"/>
    </w:p>
    <w:p w14:paraId="00000012" w14:textId="76F82A1E" w:rsidR="000D5A02" w:rsidRPr="005F6F59" w:rsidRDefault="005F6F59" w:rsidP="00D30110">
      <w:pPr>
        <w:numPr>
          <w:ilvl w:val="0"/>
          <w:numId w:val="19"/>
        </w:numPr>
        <w:spacing w:before="240" w:after="240"/>
        <w:rPr>
          <w:sz w:val="24"/>
          <w:szCs w:val="24"/>
        </w:rPr>
      </w:pPr>
      <w:bookmarkStart w:id="1" w:name="_mxywqohv4sz" w:colFirst="0" w:colLast="0"/>
      <w:bookmarkEnd w:id="1"/>
      <w:r>
        <w:rPr>
          <w:sz w:val="24"/>
          <w:szCs w:val="24"/>
        </w:rPr>
        <w:t>E</w:t>
      </w:r>
      <w:r w:rsidR="00320E20" w:rsidRPr="005F6F59">
        <w:rPr>
          <w:sz w:val="24"/>
          <w:szCs w:val="24"/>
        </w:rPr>
        <w:t>xamine</w:t>
      </w:r>
      <w:r>
        <w:rPr>
          <w:sz w:val="24"/>
          <w:szCs w:val="24"/>
        </w:rPr>
        <w:t>s</w:t>
      </w:r>
      <w:r w:rsidR="00320E20" w:rsidRPr="005F6F59">
        <w:rPr>
          <w:sz w:val="24"/>
          <w:szCs w:val="24"/>
        </w:rPr>
        <w:t xml:space="preserve"> the effectiveness of behavioural biometrics in detecting and preventing fraudulent activities in digital banking environments.</w:t>
      </w:r>
      <w:r w:rsidR="00320E20" w:rsidRPr="005F6F59">
        <w:rPr>
          <w:sz w:val="24"/>
          <w:szCs w:val="24"/>
        </w:rPr>
        <w:br/>
      </w:r>
    </w:p>
    <w:p w14:paraId="00000013" w14:textId="15D5E21E" w:rsidR="000D5A02" w:rsidRPr="005F6F59" w:rsidRDefault="005F6F59" w:rsidP="00D30110">
      <w:pPr>
        <w:numPr>
          <w:ilvl w:val="0"/>
          <w:numId w:val="19"/>
        </w:numPr>
        <w:spacing w:after="240"/>
        <w:rPr>
          <w:sz w:val="24"/>
          <w:szCs w:val="24"/>
        </w:rPr>
      </w:pPr>
      <w:r>
        <w:rPr>
          <w:sz w:val="24"/>
          <w:szCs w:val="24"/>
        </w:rPr>
        <w:t>A</w:t>
      </w:r>
      <w:r w:rsidR="00320E20" w:rsidRPr="005F6F59">
        <w:rPr>
          <w:sz w:val="24"/>
          <w:szCs w:val="24"/>
        </w:rPr>
        <w:t>ssess</w:t>
      </w:r>
      <w:r>
        <w:rPr>
          <w:sz w:val="24"/>
          <w:szCs w:val="24"/>
        </w:rPr>
        <w:t>es</w:t>
      </w:r>
      <w:r w:rsidR="00320E20" w:rsidRPr="005F6F59">
        <w:rPr>
          <w:sz w:val="24"/>
          <w:szCs w:val="24"/>
        </w:rPr>
        <w:t xml:space="preserve"> how data governance frameworks support the secure and ethical implementation of intelligent fraud prevention technologies.</w:t>
      </w:r>
      <w:r w:rsidR="00320E20" w:rsidRPr="005F6F59">
        <w:rPr>
          <w:sz w:val="24"/>
          <w:szCs w:val="24"/>
        </w:rPr>
        <w:br/>
      </w:r>
    </w:p>
    <w:p w14:paraId="00000014" w14:textId="37829A0B" w:rsidR="000D5A02" w:rsidRPr="005F6F59" w:rsidRDefault="005F6F59" w:rsidP="00D30110">
      <w:pPr>
        <w:numPr>
          <w:ilvl w:val="0"/>
          <w:numId w:val="19"/>
        </w:numPr>
        <w:spacing w:after="240"/>
        <w:rPr>
          <w:sz w:val="24"/>
          <w:szCs w:val="24"/>
        </w:rPr>
      </w:pPr>
      <w:proofErr w:type="spellStart"/>
      <w:r>
        <w:rPr>
          <w:sz w:val="24"/>
          <w:szCs w:val="24"/>
        </w:rPr>
        <w:t>Anal</w:t>
      </w:r>
      <w:r w:rsidR="00320E20" w:rsidRPr="005F6F59">
        <w:rPr>
          <w:sz w:val="24"/>
          <w:szCs w:val="24"/>
        </w:rPr>
        <w:t>yze</w:t>
      </w:r>
      <w:r>
        <w:rPr>
          <w:sz w:val="24"/>
          <w:szCs w:val="24"/>
        </w:rPr>
        <w:t>s</w:t>
      </w:r>
      <w:proofErr w:type="spellEnd"/>
      <w:r>
        <w:rPr>
          <w:sz w:val="24"/>
          <w:szCs w:val="24"/>
        </w:rPr>
        <w:t xml:space="preserve"> </w:t>
      </w:r>
      <w:r w:rsidR="00320E20" w:rsidRPr="005F6F59">
        <w:rPr>
          <w:sz w:val="24"/>
          <w:szCs w:val="24"/>
        </w:rPr>
        <w:t>real-world case studies where behavioural biometrics have been deployed for fraud prevention, highlighting key outcomes, challenges, and best practices.</w:t>
      </w:r>
      <w:r w:rsidR="00320E20" w:rsidRPr="005F6F59">
        <w:rPr>
          <w:sz w:val="24"/>
          <w:szCs w:val="24"/>
        </w:rPr>
        <w:br/>
      </w:r>
    </w:p>
    <w:p w14:paraId="00000015" w14:textId="5DC79706" w:rsidR="000D5A02" w:rsidRPr="005F6F59" w:rsidRDefault="005F6F59" w:rsidP="00D30110">
      <w:pPr>
        <w:numPr>
          <w:ilvl w:val="0"/>
          <w:numId w:val="19"/>
        </w:numPr>
        <w:spacing w:after="240"/>
        <w:rPr>
          <w:sz w:val="24"/>
          <w:szCs w:val="24"/>
        </w:rPr>
      </w:pPr>
      <w:r>
        <w:rPr>
          <w:sz w:val="24"/>
          <w:szCs w:val="24"/>
        </w:rPr>
        <w:t>E</w:t>
      </w:r>
      <w:r w:rsidR="00320E20" w:rsidRPr="005F6F59">
        <w:rPr>
          <w:sz w:val="24"/>
          <w:szCs w:val="24"/>
        </w:rPr>
        <w:t>valuate</w:t>
      </w:r>
      <w:r>
        <w:rPr>
          <w:sz w:val="24"/>
          <w:szCs w:val="24"/>
        </w:rPr>
        <w:t>s</w:t>
      </w:r>
      <w:r w:rsidR="00320E20" w:rsidRPr="005F6F59">
        <w:rPr>
          <w:sz w:val="24"/>
          <w:szCs w:val="24"/>
        </w:rPr>
        <w:t xml:space="preserve"> the relationship between data governance practices and the performance of intelligent fraud detection systems in the financial sector.</w:t>
      </w:r>
    </w:p>
    <w:p w14:paraId="00000016" w14:textId="77777777" w:rsidR="000D5A02" w:rsidRPr="005F6F59" w:rsidRDefault="000D5A02" w:rsidP="00D30110">
      <w:pPr>
        <w:spacing w:after="240"/>
        <w:rPr>
          <w:sz w:val="24"/>
          <w:szCs w:val="24"/>
        </w:rPr>
      </w:pPr>
    </w:p>
    <w:p w14:paraId="00000017" w14:textId="77777777" w:rsidR="000D5A02" w:rsidRPr="005F6F59" w:rsidRDefault="000D5A02" w:rsidP="00D30110">
      <w:pPr>
        <w:spacing w:after="240"/>
        <w:jc w:val="both"/>
        <w:rPr>
          <w:rFonts w:eastAsia="Times New Roman"/>
          <w:b/>
          <w:color w:val="0D0D0D"/>
          <w:sz w:val="24"/>
          <w:szCs w:val="24"/>
          <w:highlight w:val="white"/>
        </w:rPr>
      </w:pPr>
    </w:p>
    <w:p w14:paraId="0000001A" w14:textId="37766963" w:rsidR="000D5A02" w:rsidRPr="005F6F59" w:rsidRDefault="005F6F59" w:rsidP="00D30110">
      <w:pPr>
        <w:spacing w:after="240"/>
        <w:jc w:val="both"/>
        <w:rPr>
          <w:rFonts w:eastAsia="Times New Roman"/>
          <w:b/>
          <w:color w:val="0D0D0D"/>
          <w:sz w:val="24"/>
          <w:szCs w:val="24"/>
          <w:highlight w:val="white"/>
        </w:rPr>
      </w:pPr>
      <w:r>
        <w:rPr>
          <w:rFonts w:eastAsia="Times New Roman"/>
          <w:b/>
          <w:color w:val="0D0D0D"/>
          <w:sz w:val="24"/>
          <w:szCs w:val="24"/>
          <w:highlight w:val="white"/>
        </w:rPr>
        <w:t>2.</w:t>
      </w:r>
      <w:r>
        <w:rPr>
          <w:rFonts w:eastAsia="Times New Roman"/>
          <w:b/>
          <w:color w:val="0D0D0D"/>
          <w:sz w:val="24"/>
          <w:szCs w:val="24"/>
          <w:highlight w:val="white"/>
        </w:rPr>
        <w:tab/>
        <w:t xml:space="preserve">Literature Review </w:t>
      </w:r>
    </w:p>
    <w:p w14:paraId="0000001C"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According to Finnegan et al. (2024),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biometrics represents a marked evolution in user authentication and fraud prevention by emphasizing context-driven user interactions rather than relying solely on static physical markers such as fingerprints or facial features. Instead of basing security on immutable traits, this approach focuses on the distinctive ways in which individuals engage with digital devices (Wandji, 2023; Ajayi et al., 2025). Salomon (2024) contends that characteristics such as keystroke dynamics, </w:t>
      </w:r>
      <w:r w:rsidRPr="005F6F59">
        <w:rPr>
          <w:rFonts w:eastAsia="Times New Roman"/>
          <w:color w:val="0D0D0D"/>
          <w:sz w:val="24"/>
          <w:szCs w:val="24"/>
          <w:highlight w:val="white"/>
        </w:rPr>
        <w:lastRenderedPageBreak/>
        <w:t xml:space="preserve">mouse movement patterns, touchscreen gestures, and gait analysis form the basis of continuous and multi-faceted authentication methods. For example, keystroke dynamics </w:t>
      </w:r>
      <w:proofErr w:type="spellStart"/>
      <w:r w:rsidRPr="005F6F59">
        <w:rPr>
          <w:rFonts w:eastAsia="Times New Roman"/>
          <w:color w:val="0D0D0D"/>
          <w:sz w:val="24"/>
          <w:szCs w:val="24"/>
          <w:highlight w:val="white"/>
        </w:rPr>
        <w:t>analyze</w:t>
      </w:r>
      <w:proofErr w:type="spellEnd"/>
      <w:r w:rsidRPr="005F6F59">
        <w:rPr>
          <w:rFonts w:eastAsia="Times New Roman"/>
          <w:color w:val="0D0D0D"/>
          <w:sz w:val="24"/>
          <w:szCs w:val="24"/>
          <w:highlight w:val="white"/>
        </w:rPr>
        <w:t xml:space="preserve"> typing rhythm and timing, while mouse dynamics scrutinize movement speed, trajectory, and clicking </w:t>
      </w:r>
      <w:proofErr w:type="spellStart"/>
      <w:r w:rsidRPr="005F6F59">
        <w:rPr>
          <w:rFonts w:eastAsia="Times New Roman"/>
          <w:color w:val="0D0D0D"/>
          <w:sz w:val="24"/>
          <w:szCs w:val="24"/>
          <w:highlight w:val="white"/>
        </w:rPr>
        <w:t>behavior</w:t>
      </w:r>
      <w:proofErr w:type="spellEnd"/>
      <w:r w:rsidRPr="005F6F59">
        <w:rPr>
          <w:rFonts w:eastAsia="Times New Roman"/>
          <w:color w:val="0D0D0D"/>
          <w:sz w:val="24"/>
          <w:szCs w:val="24"/>
          <w:highlight w:val="white"/>
        </w:rPr>
        <w:t xml:space="preserve">, thereby providing an additional layer of </w:t>
      </w:r>
      <w:proofErr w:type="spellStart"/>
      <w:r w:rsidRPr="005F6F59">
        <w:rPr>
          <w:rFonts w:eastAsia="Times New Roman"/>
          <w:color w:val="0D0D0D"/>
          <w:sz w:val="24"/>
          <w:szCs w:val="24"/>
          <w:highlight w:val="white"/>
        </w:rPr>
        <w:t>defense</w:t>
      </w:r>
      <w:proofErr w:type="spellEnd"/>
      <w:r w:rsidRPr="005F6F59">
        <w:rPr>
          <w:rFonts w:eastAsia="Times New Roman"/>
          <w:color w:val="0D0D0D"/>
          <w:sz w:val="24"/>
          <w:szCs w:val="24"/>
          <w:highlight w:val="white"/>
        </w:rPr>
        <w:t xml:space="preserve"> against impersonation attempts (Khan et al., 2024; Balogun, 2025). Similarly, touchscreen interactions evaluate metrics such as swipe pressure and speed, and gait analysis captures walking patterns through sensor data, enabling institutions to differentiate between legitimate and fraudulent </w:t>
      </w:r>
      <w:proofErr w:type="spellStart"/>
      <w:r w:rsidRPr="005F6F59">
        <w:rPr>
          <w:rFonts w:eastAsia="Times New Roman"/>
          <w:color w:val="0D0D0D"/>
          <w:sz w:val="24"/>
          <w:szCs w:val="24"/>
          <w:highlight w:val="white"/>
        </w:rPr>
        <w:t>behavior</w:t>
      </w:r>
      <w:proofErr w:type="spellEnd"/>
      <w:r w:rsidRPr="005F6F59">
        <w:rPr>
          <w:rFonts w:eastAsia="Times New Roman"/>
          <w:color w:val="0D0D0D"/>
          <w:sz w:val="24"/>
          <w:szCs w:val="24"/>
          <w:highlight w:val="white"/>
        </w:rPr>
        <w:t xml:space="preserve"> with increased accuracy (Lee et al., 2021; Kolade et al., 2025).</w:t>
      </w:r>
    </w:p>
    <w:p w14:paraId="0000001D"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A primary advantage that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biometrics offers is its passive nature, which allows user authentication to occur unobtrusively throughout a session rather than merely at login (</w:t>
      </w:r>
      <w:proofErr w:type="spellStart"/>
      <w:r w:rsidRPr="005F6F59">
        <w:rPr>
          <w:rFonts w:eastAsia="Times New Roman"/>
          <w:color w:val="0D0D0D"/>
          <w:sz w:val="24"/>
          <w:szCs w:val="24"/>
          <w:highlight w:val="white"/>
        </w:rPr>
        <w:t>Ayeswarya</w:t>
      </w:r>
      <w:proofErr w:type="spellEnd"/>
      <w:r w:rsidRPr="005F6F59">
        <w:rPr>
          <w:rFonts w:eastAsia="Times New Roman"/>
          <w:color w:val="0D0D0D"/>
          <w:sz w:val="24"/>
          <w:szCs w:val="24"/>
          <w:highlight w:val="white"/>
        </w:rPr>
        <w:t xml:space="preserve"> &amp; John Singh, 2024; </w:t>
      </w:r>
      <w:proofErr w:type="spellStart"/>
      <w:r w:rsidRPr="005F6F59">
        <w:rPr>
          <w:rFonts w:eastAsia="Times New Roman"/>
          <w:color w:val="0D0D0D"/>
          <w:sz w:val="24"/>
          <w:szCs w:val="24"/>
          <w:highlight w:val="white"/>
        </w:rPr>
        <w:t>Metibemu</w:t>
      </w:r>
      <w:proofErr w:type="spellEnd"/>
      <w:r w:rsidRPr="005F6F59">
        <w:rPr>
          <w:rFonts w:eastAsia="Times New Roman"/>
          <w:color w:val="0D0D0D"/>
          <w:sz w:val="24"/>
          <w:szCs w:val="24"/>
          <w:highlight w:val="white"/>
        </w:rPr>
        <w:t xml:space="preserve"> et al., 2025). Unobtrusive mechanism minimizes user friction while upholding stringent security protocols, thereby addressing both customer experience and fraud mitigation concurrently. In addition, the integration of artificial intelligence and machine learning models with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biometrics facilitates the establishment of individual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baselines while dynamically </w:t>
      </w:r>
      <w:proofErr w:type="spellStart"/>
      <w:r w:rsidRPr="005F6F59">
        <w:rPr>
          <w:rFonts w:eastAsia="Times New Roman"/>
          <w:color w:val="0D0D0D"/>
          <w:sz w:val="24"/>
          <w:szCs w:val="24"/>
          <w:highlight w:val="white"/>
        </w:rPr>
        <w:t>analyzing</w:t>
      </w:r>
      <w:proofErr w:type="spellEnd"/>
      <w:r w:rsidRPr="005F6F59">
        <w:rPr>
          <w:rFonts w:eastAsia="Times New Roman"/>
          <w:color w:val="0D0D0D"/>
          <w:sz w:val="24"/>
          <w:szCs w:val="24"/>
          <w:highlight w:val="white"/>
        </w:rPr>
        <w:t xml:space="preserve"> deviations that may indicate account takeovers, social engineering attacks, or unauthorized transactions (Wandji et al., 2021; Obioha-Val, 2025). Adaptive learning process ensures that security systems maintain responsiveness to emerging threats and continue to adjust to increasingly sophisticated fraudulent techniques in near-real time (</w:t>
      </w:r>
      <w:proofErr w:type="spellStart"/>
      <w:r w:rsidRPr="005F6F59">
        <w:rPr>
          <w:rFonts w:eastAsia="Times New Roman"/>
          <w:color w:val="0D0D0D"/>
          <w:sz w:val="24"/>
          <w:szCs w:val="24"/>
          <w:highlight w:val="white"/>
        </w:rPr>
        <w:t>Karangara</w:t>
      </w:r>
      <w:proofErr w:type="spellEnd"/>
      <w:r w:rsidRPr="005F6F59">
        <w:rPr>
          <w:rFonts w:eastAsia="Times New Roman"/>
          <w:color w:val="0D0D0D"/>
          <w:sz w:val="24"/>
          <w:szCs w:val="24"/>
          <w:highlight w:val="white"/>
        </w:rPr>
        <w:t xml:space="preserve">, 2025; </w:t>
      </w:r>
      <w:proofErr w:type="spellStart"/>
      <w:r w:rsidRPr="005F6F59">
        <w:rPr>
          <w:rFonts w:eastAsia="Times New Roman"/>
          <w:color w:val="0D0D0D"/>
          <w:sz w:val="24"/>
          <w:szCs w:val="24"/>
          <w:highlight w:val="white"/>
        </w:rPr>
        <w:t>Olutimehin</w:t>
      </w:r>
      <w:proofErr w:type="spellEnd"/>
      <w:r w:rsidRPr="005F6F59">
        <w:rPr>
          <w:rFonts w:eastAsia="Times New Roman"/>
          <w:color w:val="0D0D0D"/>
          <w:sz w:val="24"/>
          <w:szCs w:val="24"/>
          <w:highlight w:val="white"/>
        </w:rPr>
        <w:t>, 2025).</w:t>
      </w:r>
    </w:p>
    <w:p w14:paraId="0000001E"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Empirical evidence supports the efficacy of these systems. For instance, in 2023, BCU—a U.S.-based credit union—implemented </w:t>
      </w:r>
      <w:proofErr w:type="spellStart"/>
      <w:r w:rsidRPr="005F6F59">
        <w:rPr>
          <w:rFonts w:eastAsia="Times New Roman"/>
          <w:color w:val="0D0D0D"/>
          <w:sz w:val="24"/>
          <w:szCs w:val="24"/>
          <w:highlight w:val="white"/>
        </w:rPr>
        <w:t>BioCatch’s</w:t>
      </w:r>
      <w:proofErr w:type="spellEnd"/>
      <w:r w:rsidRPr="005F6F59">
        <w:rPr>
          <w:rFonts w:eastAsia="Times New Roman"/>
          <w:color w:val="0D0D0D"/>
          <w:sz w:val="24"/>
          <w:szCs w:val="24"/>
          <w:highlight w:val="white"/>
        </w:rPr>
        <w:t xml:space="preserve">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biometric solution to counteract Zelle-related impostor scams, which led to a reported 95% reduction in fraud incidents (</w:t>
      </w:r>
      <w:proofErr w:type="spellStart"/>
      <w:r w:rsidRPr="005F6F59">
        <w:rPr>
          <w:sz w:val="24"/>
          <w:szCs w:val="24"/>
        </w:rPr>
        <w:t>BioCatch</w:t>
      </w:r>
      <w:proofErr w:type="spellEnd"/>
      <w:r w:rsidRPr="005F6F59">
        <w:rPr>
          <w:sz w:val="24"/>
          <w:szCs w:val="24"/>
        </w:rPr>
        <w:t>, 2023)</w:t>
      </w:r>
      <w:r w:rsidRPr="005F6F59">
        <w:rPr>
          <w:rFonts w:eastAsia="Times New Roman"/>
          <w:color w:val="0D0D0D"/>
          <w:sz w:val="24"/>
          <w:szCs w:val="24"/>
          <w:highlight w:val="white"/>
        </w:rPr>
        <w:t xml:space="preserve">. These results demonstrate the technology’s capacity to accurately identify and segregate legitimate users from impostors on the basis of subtle, yet quantifiable,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patterns. Likewise, Mastercard’s collaboration with </w:t>
      </w:r>
      <w:proofErr w:type="spellStart"/>
      <w:r w:rsidRPr="005F6F59">
        <w:rPr>
          <w:rFonts w:eastAsia="Times New Roman"/>
          <w:color w:val="0D0D0D"/>
          <w:sz w:val="24"/>
          <w:szCs w:val="24"/>
          <w:highlight w:val="white"/>
        </w:rPr>
        <w:t>Feedzai</w:t>
      </w:r>
      <w:proofErr w:type="spellEnd"/>
      <w:r w:rsidRPr="005F6F59">
        <w:rPr>
          <w:rFonts w:eastAsia="Times New Roman"/>
          <w:color w:val="0D0D0D"/>
          <w:sz w:val="24"/>
          <w:szCs w:val="24"/>
          <w:highlight w:val="white"/>
        </w:rPr>
        <w:t xml:space="preserve">, initiated in March 2025, integrated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biometrics within its Consumer Fraud Risk system to enhance real-time payment analysis </w:t>
      </w:r>
      <w:r w:rsidRPr="005F6F59">
        <w:rPr>
          <w:sz w:val="24"/>
          <w:szCs w:val="24"/>
        </w:rPr>
        <w:t>(Liang, 2025)</w:t>
      </w:r>
      <w:r w:rsidRPr="005F6F59">
        <w:rPr>
          <w:rFonts w:eastAsia="Times New Roman"/>
          <w:color w:val="0D0D0D"/>
          <w:sz w:val="24"/>
          <w:szCs w:val="24"/>
          <w:highlight w:val="white"/>
        </w:rPr>
        <w:t xml:space="preserve">. Since its UK deployment in 2023, this solution has achieved a significant decrease in the occurrence of authorized push payment scams. Together, these implementations underscore the growing role of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biometrics in strengthening the security framework of digital banking </w:t>
      </w:r>
      <w:r w:rsidRPr="005F6F59">
        <w:rPr>
          <w:rFonts w:eastAsia="Times New Roman"/>
          <w:color w:val="0D0D0D"/>
          <w:sz w:val="24"/>
          <w:szCs w:val="24"/>
          <w:highlight w:val="white"/>
        </w:rPr>
        <w:lastRenderedPageBreak/>
        <w:t>environments by detecting anomalies that traditional security measures might otherwise overlook.</w:t>
      </w:r>
    </w:p>
    <w:p w14:paraId="0000001F"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b/>
          <w:color w:val="0D0D0D"/>
          <w:sz w:val="24"/>
          <w:szCs w:val="24"/>
          <w:highlight w:val="white"/>
        </w:rPr>
      </w:pPr>
      <w:r w:rsidRPr="005F6F59">
        <w:rPr>
          <w:rFonts w:eastAsia="Times New Roman"/>
          <w:b/>
          <w:color w:val="0D0D0D"/>
          <w:sz w:val="24"/>
          <w:szCs w:val="24"/>
          <w:highlight w:val="white"/>
        </w:rPr>
        <w:t>Data Governance as an Enabler of Trust and Compliance</w:t>
      </w:r>
    </w:p>
    <w:p w14:paraId="00000020"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According to </w:t>
      </w:r>
      <w:proofErr w:type="spellStart"/>
      <w:r w:rsidRPr="005F6F59">
        <w:rPr>
          <w:rFonts w:eastAsia="Times New Roman"/>
          <w:color w:val="0D0D0D"/>
          <w:sz w:val="24"/>
          <w:szCs w:val="24"/>
          <w:highlight w:val="white"/>
        </w:rPr>
        <w:t>Sharairi</w:t>
      </w:r>
      <w:proofErr w:type="spellEnd"/>
      <w:r w:rsidRPr="005F6F59">
        <w:rPr>
          <w:rFonts w:eastAsia="Times New Roman"/>
          <w:color w:val="0D0D0D"/>
          <w:sz w:val="24"/>
          <w:szCs w:val="24"/>
          <w:highlight w:val="white"/>
        </w:rPr>
        <w:t xml:space="preserve"> et al. (2024), data governance serves as a foundational mechanism for ensuring the proper management, protection, and ethical utilization of data within organizations, particularly in the financial sector where sensitive and high-volume personal data is routinely processed. This framework comprises defined policies, standards, and protocols that direct the collection, storage, access, and usage of data (Mahanti, 2021; Oyekunle et al., 2025). Central to this structure are critical principles, including data quality, which assures consistency and accuracy; data privacy, which protects individual information from unauthorized use; data integrity, which guarantees data reliability; data security, which shields information from cyber threats; and legal compliance, which requires adherence to international and regional regulations such as the General Data Protection Regulation (GDPR), the Nigeria Data Protection Regulation (NDPR), and the California Consumer Privacy Act (CCPA) (</w:t>
      </w:r>
      <w:proofErr w:type="spellStart"/>
      <w:r w:rsidRPr="005F6F59">
        <w:rPr>
          <w:rFonts w:eastAsia="Times New Roman"/>
          <w:color w:val="0D0D0D"/>
          <w:sz w:val="24"/>
          <w:szCs w:val="24"/>
          <w:highlight w:val="white"/>
        </w:rPr>
        <w:t>Sargiotis</w:t>
      </w:r>
      <w:proofErr w:type="spellEnd"/>
      <w:r w:rsidRPr="005F6F59">
        <w:rPr>
          <w:rFonts w:eastAsia="Times New Roman"/>
          <w:color w:val="0D0D0D"/>
          <w:sz w:val="24"/>
          <w:szCs w:val="24"/>
          <w:highlight w:val="white"/>
        </w:rPr>
        <w:t>, 2024; Isibor, 2024; Salako et al., 2025).</w:t>
      </w:r>
    </w:p>
    <w:p w14:paraId="00000021"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These regulatory instruments impose exacting obligations on financial institutions, requiring measures such as data minimization, transparency in data handling, lawful processing, and the facilitation of individual rights concerning data access, correction, or deletion (</w:t>
      </w:r>
      <w:proofErr w:type="spellStart"/>
      <w:r w:rsidRPr="005F6F59">
        <w:rPr>
          <w:rFonts w:eastAsia="Times New Roman"/>
          <w:color w:val="0D0D0D"/>
          <w:sz w:val="24"/>
          <w:szCs w:val="24"/>
          <w:highlight w:val="white"/>
        </w:rPr>
        <w:t>Ozioko</w:t>
      </w:r>
      <w:proofErr w:type="spellEnd"/>
      <w:r w:rsidRPr="005F6F59">
        <w:rPr>
          <w:rFonts w:eastAsia="Times New Roman"/>
          <w:color w:val="0D0D0D"/>
          <w:sz w:val="24"/>
          <w:szCs w:val="24"/>
          <w:highlight w:val="white"/>
        </w:rPr>
        <w:t xml:space="preserve">, 2024; Salami et al., 2025). The integration of behavioural biometrics into fraud prevention frameworks introduces additional complexity, given the high sensitivity, volume, and evolving nature of behavioural data (Banga &amp; Pillai, 2021; </w:t>
      </w:r>
      <w:proofErr w:type="spellStart"/>
      <w:r w:rsidRPr="005F6F59">
        <w:rPr>
          <w:rFonts w:eastAsia="Times New Roman"/>
          <w:color w:val="0D0D0D"/>
          <w:sz w:val="24"/>
          <w:szCs w:val="24"/>
          <w:highlight w:val="white"/>
        </w:rPr>
        <w:t>Tiwo</w:t>
      </w:r>
      <w:proofErr w:type="spellEnd"/>
      <w:r w:rsidRPr="005F6F59">
        <w:rPr>
          <w:rFonts w:eastAsia="Times New Roman"/>
          <w:color w:val="0D0D0D"/>
          <w:sz w:val="24"/>
          <w:szCs w:val="24"/>
          <w:highlight w:val="white"/>
        </w:rPr>
        <w:t xml:space="preserve"> et al., 2025). Therefore, a robust governance model is necessary to manage consent mechanisms transparently and </w:t>
      </w:r>
      <w:proofErr w:type="spellStart"/>
      <w:r w:rsidRPr="005F6F59">
        <w:rPr>
          <w:rFonts w:eastAsia="Times New Roman"/>
          <w:color w:val="0D0D0D"/>
          <w:sz w:val="24"/>
          <w:szCs w:val="24"/>
          <w:highlight w:val="white"/>
        </w:rPr>
        <w:t>enforceably</w:t>
      </w:r>
      <w:proofErr w:type="spellEnd"/>
      <w:r w:rsidRPr="005F6F59">
        <w:rPr>
          <w:rFonts w:eastAsia="Times New Roman"/>
          <w:color w:val="0D0D0D"/>
          <w:sz w:val="24"/>
          <w:szCs w:val="24"/>
          <w:highlight w:val="white"/>
        </w:rPr>
        <w:t>. In this regard, individuals must be clearly informed about the scope and purpose of data collection and be provided with mechanisms to withdraw consent at any stage of the process (</w:t>
      </w:r>
      <w:proofErr w:type="spellStart"/>
      <w:r w:rsidRPr="005F6F59">
        <w:rPr>
          <w:rFonts w:eastAsia="Times New Roman"/>
          <w:color w:val="0D0D0D"/>
          <w:sz w:val="24"/>
          <w:szCs w:val="24"/>
          <w:highlight w:val="white"/>
        </w:rPr>
        <w:t>Laryeafio</w:t>
      </w:r>
      <w:proofErr w:type="spellEnd"/>
      <w:r w:rsidRPr="005F6F59">
        <w:rPr>
          <w:rFonts w:eastAsia="Times New Roman"/>
          <w:color w:val="0D0D0D"/>
          <w:sz w:val="24"/>
          <w:szCs w:val="24"/>
          <w:highlight w:val="white"/>
        </w:rPr>
        <w:t xml:space="preserve"> &amp; </w:t>
      </w:r>
      <w:proofErr w:type="spellStart"/>
      <w:r w:rsidRPr="005F6F59">
        <w:rPr>
          <w:rFonts w:eastAsia="Times New Roman"/>
          <w:color w:val="0D0D0D"/>
          <w:sz w:val="24"/>
          <w:szCs w:val="24"/>
          <w:highlight w:val="white"/>
        </w:rPr>
        <w:t>Ogbewe</w:t>
      </w:r>
      <w:proofErr w:type="spellEnd"/>
      <w:r w:rsidRPr="005F6F59">
        <w:rPr>
          <w:rFonts w:eastAsia="Times New Roman"/>
          <w:color w:val="0D0D0D"/>
          <w:sz w:val="24"/>
          <w:szCs w:val="24"/>
          <w:highlight w:val="white"/>
        </w:rPr>
        <w:t>, 2023; Alao et al., 2024).</w:t>
      </w:r>
    </w:p>
    <w:p w14:paraId="00000022"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Furthermore, the application of anonymization and pseudonymization techniques is critical to reducing privacy risks, as these strategies limit the possibility of re-identifying users while preserving the efficacy of fraud detection efforts (Razi et al., 2025; Balogun et al., 2025). The deployment of behavioural biometrics also mandates the maintenance </w:t>
      </w:r>
      <w:r w:rsidRPr="005F6F59">
        <w:rPr>
          <w:rFonts w:eastAsia="Times New Roman"/>
          <w:color w:val="0D0D0D"/>
          <w:sz w:val="24"/>
          <w:szCs w:val="24"/>
          <w:highlight w:val="white"/>
        </w:rPr>
        <w:lastRenderedPageBreak/>
        <w:t>of audit trails, which document every access and alteration of sensitive data, serving both as a mechanism of accountability and as evidentiary support for regulatory compliance (Shandilya et al., 2024; Obioha-Val et al., 2025).</w:t>
      </w:r>
    </w:p>
    <w:p w14:paraId="00000023"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Ethical imperatives must equally inform the design and deployment of biometric systems to prevent biased outcomes and to promote fairness in automated decision-making. Insights from Fred (2025) stress that behavioural biometrics should only be adopted within a governance structure that prioritizes transparency, accountability, and legal conformity. As cyber threats and compliance landscapes continue to evolve, governance protocols must undergo continuous assessment and adaptation (Pandey et al., 2024; </w:t>
      </w:r>
      <w:proofErr w:type="spellStart"/>
      <w:r w:rsidRPr="005F6F59">
        <w:rPr>
          <w:rFonts w:eastAsia="Times New Roman"/>
          <w:color w:val="0D0D0D"/>
          <w:sz w:val="24"/>
          <w:szCs w:val="24"/>
          <w:highlight w:val="white"/>
        </w:rPr>
        <w:t>Olutimehin</w:t>
      </w:r>
      <w:proofErr w:type="spellEnd"/>
      <w:r w:rsidRPr="005F6F59">
        <w:rPr>
          <w:rFonts w:eastAsia="Times New Roman"/>
          <w:color w:val="0D0D0D"/>
          <w:sz w:val="24"/>
          <w:szCs w:val="24"/>
          <w:highlight w:val="white"/>
        </w:rPr>
        <w:t>, 2025). The successful deployment of behavioural biometrics, therefore, depends on an ethically grounded, well-regulated, and dynamically maintained governance architecture.</w:t>
      </w:r>
    </w:p>
    <w:p w14:paraId="00000024"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b/>
          <w:color w:val="0D0D0D"/>
          <w:sz w:val="24"/>
          <w:szCs w:val="24"/>
          <w:highlight w:val="white"/>
        </w:rPr>
      </w:pPr>
      <w:r w:rsidRPr="005F6F59">
        <w:rPr>
          <w:rFonts w:eastAsia="Times New Roman"/>
          <w:b/>
          <w:color w:val="0D0D0D"/>
          <w:sz w:val="24"/>
          <w:szCs w:val="24"/>
          <w:highlight w:val="white"/>
        </w:rPr>
        <w:t>Integration of Behavioural Biometrics and Data Governance in Intelligent Fraud Prevention</w:t>
      </w:r>
    </w:p>
    <w:p w14:paraId="00000025"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The successful implementation of behavioural biometrics in intelligent fraud detection systems is contingent not solely upon technological sophistication but fundamentally on the integrity and governance of the underlying data infrastructure (Aziz &amp; </w:t>
      </w:r>
      <w:proofErr w:type="spellStart"/>
      <w:r w:rsidRPr="005F6F59">
        <w:rPr>
          <w:rFonts w:eastAsia="Times New Roman"/>
          <w:color w:val="0D0D0D"/>
          <w:sz w:val="24"/>
          <w:szCs w:val="24"/>
          <w:highlight w:val="white"/>
        </w:rPr>
        <w:t>Andriansyah</w:t>
      </w:r>
      <w:proofErr w:type="spellEnd"/>
      <w:r w:rsidRPr="005F6F59">
        <w:rPr>
          <w:rFonts w:eastAsia="Times New Roman"/>
          <w:color w:val="0D0D0D"/>
          <w:sz w:val="24"/>
          <w:szCs w:val="24"/>
          <w:highlight w:val="white"/>
        </w:rPr>
        <w:t xml:space="preserve">, 2023; </w:t>
      </w:r>
      <w:proofErr w:type="spellStart"/>
      <w:r w:rsidRPr="005F6F59">
        <w:rPr>
          <w:rFonts w:eastAsia="Times New Roman"/>
          <w:color w:val="0D0D0D"/>
          <w:sz w:val="24"/>
          <w:szCs w:val="24"/>
          <w:highlight w:val="white"/>
        </w:rPr>
        <w:t>Tiwo</w:t>
      </w:r>
      <w:proofErr w:type="spellEnd"/>
      <w:r w:rsidRPr="005F6F59">
        <w:rPr>
          <w:rFonts w:eastAsia="Times New Roman"/>
          <w:color w:val="0D0D0D"/>
          <w:sz w:val="24"/>
          <w:szCs w:val="24"/>
          <w:highlight w:val="white"/>
        </w:rPr>
        <w:t xml:space="preserve"> et al., 2025). While the capabilities of behavioural biometric technologies are critical, their effectiveness is ultimately shaped by the quality, ethical handling, and reliability of the behavioural data on which these systems operate. A robust governance framework enables institutions to maximize the security potential of behavioural biometrics, facilitate compliance with evolving regulatory requirements, and promote efficiency in fraud prevention processes (Johnson, 2023; Balogun et al., 2025). The intersection of behavioural biometrics and data governance forms a foundational structure that supports ethical transparency, procedural fairness, and algorithmic accountability within artificial intelligence (AI) and machine learning (ML) applications (Zhang et al., 2025; Obioha-Val et al., 2025).</w:t>
      </w:r>
    </w:p>
    <w:p w14:paraId="00000026"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roofErr w:type="spellStart"/>
      <w:r w:rsidRPr="005F6F59">
        <w:rPr>
          <w:rFonts w:eastAsia="Times New Roman"/>
          <w:color w:val="0D0D0D"/>
          <w:sz w:val="24"/>
          <w:szCs w:val="24"/>
          <w:highlight w:val="white"/>
        </w:rPr>
        <w:t>Yandrapalli</w:t>
      </w:r>
      <w:proofErr w:type="spellEnd"/>
      <w:r w:rsidRPr="005F6F59">
        <w:rPr>
          <w:rFonts w:eastAsia="Times New Roman"/>
          <w:color w:val="0D0D0D"/>
          <w:sz w:val="24"/>
          <w:szCs w:val="24"/>
          <w:highlight w:val="white"/>
        </w:rPr>
        <w:t xml:space="preserve"> (2024) posits that effective data governance ensures that AI and ML models are trained on clean, comprehensive, and unbiased datasets, which is essential for minimizing detection errors and maximizing predictive accuracy. By establishing rigorous standards for data sourcing, validation, and cleansing, organizations can reduce the </w:t>
      </w:r>
      <w:r w:rsidRPr="005F6F59">
        <w:rPr>
          <w:rFonts w:eastAsia="Times New Roman"/>
          <w:color w:val="0D0D0D"/>
          <w:sz w:val="24"/>
          <w:szCs w:val="24"/>
          <w:highlight w:val="white"/>
        </w:rPr>
        <w:lastRenderedPageBreak/>
        <w:t>incidence of biased or incomplete inputs that might compromise system performance (</w:t>
      </w:r>
      <w:proofErr w:type="spellStart"/>
      <w:r w:rsidRPr="005F6F59">
        <w:rPr>
          <w:rFonts w:eastAsia="Times New Roman"/>
          <w:color w:val="0D0D0D"/>
          <w:sz w:val="24"/>
          <w:szCs w:val="24"/>
          <w:highlight w:val="white"/>
        </w:rPr>
        <w:t>Sargiotis</w:t>
      </w:r>
      <w:proofErr w:type="spellEnd"/>
      <w:r w:rsidRPr="005F6F59">
        <w:rPr>
          <w:rFonts w:eastAsia="Times New Roman"/>
          <w:color w:val="0D0D0D"/>
          <w:sz w:val="24"/>
          <w:szCs w:val="24"/>
          <w:highlight w:val="white"/>
        </w:rPr>
        <w:t xml:space="preserve">, 2024; </w:t>
      </w:r>
      <w:proofErr w:type="spellStart"/>
      <w:r w:rsidRPr="005F6F59">
        <w:rPr>
          <w:rFonts w:eastAsia="Times New Roman"/>
          <w:color w:val="0D0D0D"/>
          <w:sz w:val="24"/>
          <w:szCs w:val="24"/>
          <w:highlight w:val="white"/>
        </w:rPr>
        <w:t>Olutimehin</w:t>
      </w:r>
      <w:proofErr w:type="spellEnd"/>
      <w:r w:rsidRPr="005F6F59">
        <w:rPr>
          <w:rFonts w:eastAsia="Times New Roman"/>
          <w:color w:val="0D0D0D"/>
          <w:sz w:val="24"/>
          <w:szCs w:val="24"/>
          <w:highlight w:val="white"/>
        </w:rPr>
        <w:t xml:space="preserve">, 2025). Governance mechanisms are further indispensable for overseeing algorithmic </w:t>
      </w:r>
      <w:proofErr w:type="spellStart"/>
      <w:r w:rsidRPr="005F6F59">
        <w:rPr>
          <w:rFonts w:eastAsia="Times New Roman"/>
          <w:color w:val="0D0D0D"/>
          <w:sz w:val="24"/>
          <w:szCs w:val="24"/>
          <w:highlight w:val="white"/>
        </w:rPr>
        <w:t>behavior</w:t>
      </w:r>
      <w:proofErr w:type="spellEnd"/>
      <w:r w:rsidRPr="005F6F59">
        <w:rPr>
          <w:rFonts w:eastAsia="Times New Roman"/>
          <w:color w:val="0D0D0D"/>
          <w:sz w:val="24"/>
          <w:szCs w:val="24"/>
          <w:highlight w:val="white"/>
        </w:rPr>
        <w:t>, curbing unintended bias, and ensuring conformity with legal obligations such as the General Data Protection Regulation (GDPR), the Nigeria Data Protection Regulation (NDPR), and the California Consumer Privacy Act (CCPA) (Isibor, 2024; (Balogun et al., 2025).</w:t>
      </w:r>
    </w:p>
    <w:p w14:paraId="00000027"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The operational benefits of integrating behavioural biometrics within a governance-oriented framework are manifold. Zainal (2023) argues that continuous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monitoring facilitates the detection of anomalous activities with greater precision, thereby lowering false positive rates and enhancing fraud mitigation strategies. Institutions that maintain high standards of governance not only meet regulatory expectations but also cultivate trust by assuring clients of responsible data stewardship (Hassani &amp; </w:t>
      </w:r>
      <w:proofErr w:type="spellStart"/>
      <w:r w:rsidRPr="005F6F59">
        <w:rPr>
          <w:rFonts w:eastAsia="Times New Roman"/>
          <w:color w:val="0D0D0D"/>
          <w:sz w:val="24"/>
          <w:szCs w:val="24"/>
          <w:highlight w:val="white"/>
        </w:rPr>
        <w:t>MacFeely</w:t>
      </w:r>
      <w:proofErr w:type="spellEnd"/>
      <w:r w:rsidRPr="005F6F59">
        <w:rPr>
          <w:rFonts w:eastAsia="Times New Roman"/>
          <w:color w:val="0D0D0D"/>
          <w:sz w:val="24"/>
          <w:szCs w:val="24"/>
          <w:highlight w:val="white"/>
        </w:rPr>
        <w:t xml:space="preserve">, 2023; </w:t>
      </w:r>
      <w:proofErr w:type="spellStart"/>
      <w:r w:rsidRPr="005F6F59">
        <w:rPr>
          <w:rFonts w:eastAsia="Times New Roman"/>
          <w:color w:val="0D0D0D"/>
          <w:sz w:val="24"/>
          <w:szCs w:val="24"/>
          <w:highlight w:val="white"/>
        </w:rPr>
        <w:t>Olutimehin</w:t>
      </w:r>
      <w:proofErr w:type="spellEnd"/>
      <w:r w:rsidRPr="005F6F59">
        <w:rPr>
          <w:rFonts w:eastAsia="Times New Roman"/>
          <w:color w:val="0D0D0D"/>
          <w:sz w:val="24"/>
          <w:szCs w:val="24"/>
          <w:highlight w:val="white"/>
        </w:rPr>
        <w:t xml:space="preserve"> et al., 2025). Practices such as transparent consent protocols, anonymization, and secure data handling collectively reinforce both ethical and legal standards, ultimately preserving institutional credibility (Pina et al., 2024; Obioha-Val et al., 2025).</w:t>
      </w:r>
    </w:p>
    <w:p w14:paraId="00000028" w14:textId="77777777" w:rsidR="000D5A02" w:rsidRPr="005F6F59" w:rsidRDefault="00320E20" w:rsidP="00D3011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5F6F59">
        <w:rPr>
          <w:rFonts w:eastAsia="Times New Roman"/>
          <w:color w:val="0D0D0D"/>
          <w:sz w:val="24"/>
          <w:szCs w:val="24"/>
          <w:highlight w:val="white"/>
        </w:rPr>
        <w:t xml:space="preserve">Nonetheless, </w:t>
      </w:r>
      <w:proofErr w:type="spellStart"/>
      <w:r w:rsidRPr="005F6F59">
        <w:rPr>
          <w:rFonts w:eastAsia="Times New Roman"/>
          <w:color w:val="0D0D0D"/>
          <w:sz w:val="24"/>
          <w:szCs w:val="24"/>
          <w:highlight w:val="white"/>
        </w:rPr>
        <w:t>Sargiotis</w:t>
      </w:r>
      <w:proofErr w:type="spellEnd"/>
      <w:r w:rsidRPr="005F6F59">
        <w:rPr>
          <w:rFonts w:eastAsia="Times New Roman"/>
          <w:color w:val="0D0D0D"/>
          <w:sz w:val="24"/>
          <w:szCs w:val="24"/>
          <w:highlight w:val="white"/>
        </w:rPr>
        <w:t xml:space="preserve"> (2024) asserts that realizing these benefits necessitates strategic organizational reform, including the formulation of policies guiding ethical data practices, the mobilization of leadership to drive governance culture, and investments in analytics infrastructure capable of managing </w:t>
      </w:r>
      <w:proofErr w:type="spellStart"/>
      <w:r w:rsidRPr="005F6F59">
        <w:rPr>
          <w:rFonts w:eastAsia="Times New Roman"/>
          <w:color w:val="0D0D0D"/>
          <w:sz w:val="24"/>
          <w:szCs w:val="24"/>
          <w:highlight w:val="white"/>
        </w:rPr>
        <w:t>behavioral</w:t>
      </w:r>
      <w:proofErr w:type="spellEnd"/>
      <w:r w:rsidRPr="005F6F59">
        <w:rPr>
          <w:rFonts w:eastAsia="Times New Roman"/>
          <w:color w:val="0D0D0D"/>
          <w:sz w:val="24"/>
          <w:szCs w:val="24"/>
          <w:highlight w:val="white"/>
        </w:rPr>
        <w:t xml:space="preserve"> data complexity. The convergence of behavioural biometrics and data governance thus requires a multidisciplinary approach—encompassing regulatory, managerial, and technological dimensions—to construct fraud prevention systems that are both ethically sound and operationally effective.</w:t>
      </w:r>
    </w:p>
    <w:p w14:paraId="00000029" w14:textId="77777777" w:rsidR="000D5A02" w:rsidRPr="005F6F59" w:rsidRDefault="00320E20" w:rsidP="00D30110">
      <w:pPr>
        <w:spacing w:before="240" w:after="240"/>
        <w:jc w:val="both"/>
        <w:rPr>
          <w:rFonts w:eastAsia="Times New Roman"/>
          <w:b/>
          <w:color w:val="0D0D0D"/>
          <w:sz w:val="24"/>
          <w:szCs w:val="24"/>
          <w:highlight w:val="white"/>
        </w:rPr>
      </w:pPr>
      <w:r w:rsidRPr="005F6F59">
        <w:rPr>
          <w:rFonts w:eastAsia="Times New Roman"/>
          <w:b/>
          <w:color w:val="0D0D0D"/>
          <w:sz w:val="24"/>
          <w:szCs w:val="24"/>
          <w:highlight w:val="white"/>
        </w:rPr>
        <w:t>Empirical Studies and Comparative Case Analyses</w:t>
      </w:r>
    </w:p>
    <w:p w14:paraId="0000002A" w14:textId="77777777"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Empirical research and comparative case evaluations have consistently demonstrated that behavioural biometrics surpasses traditional fraud detection systems in adaptability, precision, and operational efficiency. Conventional detection methods—predicated on static rules and transactional thresholds—exhibit limited efficacy in confronting the rapidly evolving strategies employed by cybercriminals (</w:t>
      </w:r>
      <w:proofErr w:type="spellStart"/>
      <w:r w:rsidRPr="005F6F59">
        <w:rPr>
          <w:rFonts w:eastAsia="Times New Roman"/>
          <w:color w:val="0D0D0D"/>
          <w:sz w:val="24"/>
          <w:szCs w:val="24"/>
          <w:highlight w:val="white"/>
        </w:rPr>
        <w:t>Taherdoost</w:t>
      </w:r>
      <w:proofErr w:type="spellEnd"/>
      <w:r w:rsidRPr="005F6F59">
        <w:rPr>
          <w:rFonts w:eastAsia="Times New Roman"/>
          <w:color w:val="0D0D0D"/>
          <w:sz w:val="24"/>
          <w:szCs w:val="24"/>
          <w:highlight w:val="white"/>
        </w:rPr>
        <w:t xml:space="preserve">, 2024; Balogun et al., 2025). These legacy systems frequently yield elevated false positive rates and struggle to identify novel fraud vectors, thereby compromising both security outcomes and user experience (MUSTYALA, 2023; </w:t>
      </w:r>
      <w:proofErr w:type="spellStart"/>
      <w:r w:rsidRPr="005F6F59">
        <w:rPr>
          <w:rFonts w:eastAsia="Times New Roman"/>
          <w:color w:val="0D0D0D"/>
          <w:sz w:val="24"/>
          <w:szCs w:val="24"/>
          <w:highlight w:val="white"/>
        </w:rPr>
        <w:t>Olutimehin</w:t>
      </w:r>
      <w:proofErr w:type="spellEnd"/>
      <w:r w:rsidRPr="005F6F59">
        <w:rPr>
          <w:rFonts w:eastAsia="Times New Roman"/>
          <w:color w:val="0D0D0D"/>
          <w:sz w:val="24"/>
          <w:szCs w:val="24"/>
          <w:highlight w:val="white"/>
        </w:rPr>
        <w:t xml:space="preserve"> et al., 2025). In contrast, behavioural biometrics relies on real-time, continuous analysis of individual interaction patterns, </w:t>
      </w:r>
      <w:r w:rsidRPr="005F6F59">
        <w:rPr>
          <w:rFonts w:eastAsia="Times New Roman"/>
          <w:color w:val="0D0D0D"/>
          <w:sz w:val="24"/>
          <w:szCs w:val="24"/>
          <w:highlight w:val="white"/>
        </w:rPr>
        <w:lastRenderedPageBreak/>
        <w:t xml:space="preserve">including keystroke dynamics, cursor movements, and touchscreen </w:t>
      </w:r>
      <w:proofErr w:type="spellStart"/>
      <w:r w:rsidRPr="005F6F59">
        <w:rPr>
          <w:rFonts w:eastAsia="Times New Roman"/>
          <w:color w:val="0D0D0D"/>
          <w:sz w:val="24"/>
          <w:szCs w:val="24"/>
          <w:highlight w:val="white"/>
        </w:rPr>
        <w:t>behaviors</w:t>
      </w:r>
      <w:proofErr w:type="spellEnd"/>
      <w:r w:rsidRPr="005F6F59">
        <w:rPr>
          <w:rFonts w:eastAsia="Times New Roman"/>
          <w:color w:val="0D0D0D"/>
          <w:sz w:val="24"/>
          <w:szCs w:val="24"/>
          <w:highlight w:val="white"/>
        </w:rPr>
        <w:t>, to construct personalized behavioural profiles that significantly enhance authentication reliability and fraud prevention accuracy (Yang &amp; Qin, 2021).</w:t>
      </w:r>
    </w:p>
    <w:p w14:paraId="0000002B" w14:textId="77777777"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 xml:space="preserve">The application of behavioural biometrics within the financial services sector has yielded measurable improvements. </w:t>
      </w:r>
      <w:proofErr w:type="spellStart"/>
      <w:r w:rsidRPr="005F6F59">
        <w:rPr>
          <w:sz w:val="24"/>
          <w:szCs w:val="24"/>
        </w:rPr>
        <w:t>BioCatch</w:t>
      </w:r>
      <w:proofErr w:type="spellEnd"/>
      <w:r w:rsidRPr="005F6F59">
        <w:rPr>
          <w:sz w:val="24"/>
          <w:szCs w:val="24"/>
        </w:rPr>
        <w:t xml:space="preserve"> (2023)</w:t>
      </w:r>
      <w:r w:rsidRPr="005F6F59">
        <w:rPr>
          <w:rFonts w:eastAsia="Times New Roman"/>
          <w:color w:val="0D0D0D"/>
          <w:sz w:val="24"/>
          <w:szCs w:val="24"/>
          <w:highlight w:val="white"/>
        </w:rPr>
        <w:t xml:space="preserve"> reports that BCU, a U.S.-based credit union, experienced a 95% reduction in Zelle-related fraud following its deployment of </w:t>
      </w:r>
      <w:proofErr w:type="spellStart"/>
      <w:r w:rsidRPr="005F6F59">
        <w:rPr>
          <w:rFonts w:eastAsia="Times New Roman"/>
          <w:color w:val="0D0D0D"/>
          <w:sz w:val="24"/>
          <w:szCs w:val="24"/>
          <w:highlight w:val="white"/>
        </w:rPr>
        <w:t>BioCatch’s</w:t>
      </w:r>
      <w:proofErr w:type="spellEnd"/>
      <w:r w:rsidRPr="005F6F59">
        <w:rPr>
          <w:rFonts w:eastAsia="Times New Roman"/>
          <w:color w:val="0D0D0D"/>
          <w:sz w:val="24"/>
          <w:szCs w:val="24"/>
          <w:highlight w:val="white"/>
        </w:rPr>
        <w:t xml:space="preserve"> behavioural biometric system in 2023. This reduction highlights the technology’s ability to distinguish authentic users from fraudulent actors by detecting micro-level behavioural inconsistencies. Similarly, </w:t>
      </w:r>
      <w:r w:rsidRPr="005F6F59">
        <w:rPr>
          <w:sz w:val="24"/>
          <w:szCs w:val="24"/>
        </w:rPr>
        <w:t>Liang (2025)</w:t>
      </w:r>
      <w:r w:rsidRPr="005F6F59">
        <w:rPr>
          <w:rFonts w:eastAsia="Times New Roman"/>
          <w:color w:val="0D0D0D"/>
          <w:sz w:val="24"/>
          <w:szCs w:val="24"/>
          <w:highlight w:val="white"/>
        </w:rPr>
        <w:t xml:space="preserve"> note that Mastercard’s partnership with </w:t>
      </w:r>
      <w:proofErr w:type="spellStart"/>
      <w:r w:rsidRPr="005F6F59">
        <w:rPr>
          <w:rFonts w:eastAsia="Times New Roman"/>
          <w:color w:val="0D0D0D"/>
          <w:sz w:val="24"/>
          <w:szCs w:val="24"/>
          <w:highlight w:val="white"/>
        </w:rPr>
        <w:t>Feedzai</w:t>
      </w:r>
      <w:proofErr w:type="spellEnd"/>
      <w:r w:rsidRPr="005F6F59">
        <w:rPr>
          <w:rFonts w:eastAsia="Times New Roman"/>
          <w:color w:val="0D0D0D"/>
          <w:sz w:val="24"/>
          <w:szCs w:val="24"/>
          <w:highlight w:val="white"/>
        </w:rPr>
        <w:t xml:space="preserve">, initiated in 2025, resulted in a 12% decline in the value of authorized push payment scams in the United Kingdom since its rollout in 2023. </w:t>
      </w:r>
      <w:proofErr w:type="spellStart"/>
      <w:r w:rsidRPr="005F6F59">
        <w:rPr>
          <w:rFonts w:eastAsia="Times New Roman"/>
          <w:color w:val="0D0D0D"/>
          <w:sz w:val="24"/>
          <w:szCs w:val="24"/>
          <w:highlight w:val="white"/>
        </w:rPr>
        <w:t>Feedzai’s</w:t>
      </w:r>
      <w:proofErr w:type="spellEnd"/>
      <w:r w:rsidRPr="005F6F59">
        <w:rPr>
          <w:rFonts w:eastAsia="Times New Roman"/>
          <w:color w:val="0D0D0D"/>
          <w:sz w:val="24"/>
          <w:szCs w:val="24"/>
          <w:highlight w:val="white"/>
        </w:rPr>
        <w:t xml:space="preserve"> integrated solution, combining behavioural analytics with device and network intelligence, enables financial institutions to detect anomalies indicative of fraudulent activity at early stages, thus preventing economic losses before they materialize.</w:t>
      </w:r>
    </w:p>
    <w:p w14:paraId="0000002C" w14:textId="77777777"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 xml:space="preserve">Beyond improved accuracy, Banga and Pillai (2021) argues that the financial implications of adopting behavioural biometrics are significant. In 2023, 16% of surveyed organizations reported spending over $25 million on fraud investigation and remediation, while 12% experienced equivalent losses attributable to AI-driven fraud schemes </w:t>
      </w:r>
      <w:r w:rsidRPr="005F6F59">
        <w:rPr>
          <w:sz w:val="24"/>
          <w:szCs w:val="24"/>
        </w:rPr>
        <w:t>(</w:t>
      </w:r>
      <w:proofErr w:type="spellStart"/>
      <w:r w:rsidRPr="005F6F59">
        <w:rPr>
          <w:sz w:val="24"/>
          <w:szCs w:val="24"/>
        </w:rPr>
        <w:t>InfosysBPM</w:t>
      </w:r>
      <w:proofErr w:type="spellEnd"/>
      <w:r w:rsidRPr="005F6F59">
        <w:rPr>
          <w:sz w:val="24"/>
          <w:szCs w:val="24"/>
        </w:rPr>
        <w:t>, 2020)</w:t>
      </w:r>
      <w:r w:rsidRPr="005F6F59">
        <w:rPr>
          <w:rFonts w:eastAsia="Times New Roman"/>
          <w:color w:val="0D0D0D"/>
          <w:sz w:val="24"/>
          <w:szCs w:val="24"/>
          <w:highlight w:val="white"/>
        </w:rPr>
        <w:t>. These statistics underscore the financial burden posed by outdated systems and illustrate the urgent need for advanced, adaptive security infrastructures.</w:t>
      </w:r>
    </w:p>
    <w:p w14:paraId="0000002D" w14:textId="668C4CFB" w:rsidR="000D5A02" w:rsidRPr="005F6F59" w:rsidRDefault="00320E20" w:rsidP="00D30110">
      <w:pPr>
        <w:spacing w:before="240" w:after="240"/>
        <w:jc w:val="both"/>
        <w:rPr>
          <w:rFonts w:eastAsia="Times New Roman"/>
          <w:color w:val="0D0D0D"/>
          <w:sz w:val="24"/>
          <w:szCs w:val="24"/>
          <w:highlight w:val="white"/>
        </w:rPr>
      </w:pPr>
      <w:r w:rsidRPr="005F6F59">
        <w:rPr>
          <w:rFonts w:eastAsia="Times New Roman"/>
          <w:color w:val="0D0D0D"/>
          <w:sz w:val="24"/>
          <w:szCs w:val="24"/>
          <w:highlight w:val="white"/>
        </w:rPr>
        <w:t>Allied Market Research (2021) posit that the projected growth of AI in banking—from $3.88 billion in 2020 to an estimated $64.03 billion by 2030—reflects the sector’s strategic orientation toward intelligent, data-governed risk management systems. Behavioural biometrics, by offering session-long authentication and the capacity to identify nuanced anomalies, serves as a critical layer within this evolving architecture. Its increasing adoption signals an industry-wide recognition of its utility in mitigating complex fraud threats, improving detection precision, lowering operational costs, and strengthening consumer confidence.</w:t>
      </w:r>
    </w:p>
    <w:p w14:paraId="7D6C47B6" w14:textId="71B905AC" w:rsidR="00DC464B" w:rsidRPr="005F6F59" w:rsidRDefault="005F6F59" w:rsidP="00D30110">
      <w:pPr>
        <w:pStyle w:val="Heading2"/>
        <w:spacing w:after="240"/>
        <w:rPr>
          <w:sz w:val="24"/>
          <w:szCs w:val="24"/>
        </w:rPr>
      </w:pPr>
      <w:r>
        <w:rPr>
          <w:rStyle w:val="Strong"/>
          <w:bCs w:val="0"/>
          <w:sz w:val="24"/>
          <w:szCs w:val="24"/>
        </w:rPr>
        <w:t>3.</w:t>
      </w:r>
      <w:r>
        <w:rPr>
          <w:rStyle w:val="Strong"/>
          <w:bCs w:val="0"/>
          <w:sz w:val="24"/>
          <w:szCs w:val="24"/>
        </w:rPr>
        <w:tab/>
      </w:r>
      <w:r w:rsidRPr="005F6F59">
        <w:rPr>
          <w:rStyle w:val="Strong"/>
          <w:bCs w:val="0"/>
          <w:sz w:val="24"/>
          <w:szCs w:val="24"/>
        </w:rPr>
        <w:t xml:space="preserve">Research Methods </w:t>
      </w:r>
    </w:p>
    <w:p w14:paraId="3E08113F" w14:textId="77777777" w:rsidR="00DC464B" w:rsidRPr="005F6F59" w:rsidRDefault="00DC464B" w:rsidP="00D30110">
      <w:pPr>
        <w:spacing w:before="100" w:beforeAutospacing="1" w:after="240"/>
        <w:rPr>
          <w:sz w:val="24"/>
          <w:szCs w:val="24"/>
        </w:rPr>
      </w:pPr>
      <w:r w:rsidRPr="005F6F59">
        <w:rPr>
          <w:sz w:val="24"/>
          <w:szCs w:val="24"/>
        </w:rPr>
        <w:t>This study adopts a quantitative research design to evaluate the integration of behavioural biometrics within intelligent fraud prevention systems in banking, emphasizing the foundational role of data governance. Four interlinked analytical stages were executed, each aligned with a distinct research objective, leveraging structured secondary data sources.</w:t>
      </w:r>
    </w:p>
    <w:p w14:paraId="568A68BD" w14:textId="77777777" w:rsidR="00DC464B" w:rsidRPr="005F6F59" w:rsidRDefault="00DC464B" w:rsidP="00D30110">
      <w:pPr>
        <w:pStyle w:val="Heading3"/>
        <w:spacing w:after="240"/>
        <w:rPr>
          <w:b/>
          <w:sz w:val="24"/>
          <w:szCs w:val="24"/>
        </w:rPr>
      </w:pPr>
      <w:r w:rsidRPr="005F6F59">
        <w:rPr>
          <w:b/>
          <w:sz w:val="24"/>
          <w:szCs w:val="24"/>
        </w:rPr>
        <w:lastRenderedPageBreak/>
        <w:t>Data Sources and Analytical Techniques</w:t>
      </w:r>
    </w:p>
    <w:p w14:paraId="16E1061C" w14:textId="77777777" w:rsidR="00DC464B" w:rsidRPr="005F6F59" w:rsidRDefault="00DC464B" w:rsidP="00D30110">
      <w:pPr>
        <w:numPr>
          <w:ilvl w:val="0"/>
          <w:numId w:val="36"/>
        </w:numPr>
        <w:spacing w:before="100" w:beforeAutospacing="1" w:after="240" w:line="240" w:lineRule="auto"/>
        <w:rPr>
          <w:sz w:val="24"/>
          <w:szCs w:val="24"/>
        </w:rPr>
      </w:pPr>
      <w:r w:rsidRPr="005F6F59">
        <w:rPr>
          <w:rStyle w:val="Strong"/>
          <w:sz w:val="24"/>
          <w:szCs w:val="24"/>
        </w:rPr>
        <w:t>Evaluation of Behavioural Biometrics Effectiveness</w:t>
      </w:r>
    </w:p>
    <w:p w14:paraId="51B425C8" w14:textId="49E860D1" w:rsidR="00DC464B" w:rsidRPr="005F6F59" w:rsidRDefault="00DC464B" w:rsidP="00D30110">
      <w:pPr>
        <w:spacing w:before="100" w:beforeAutospacing="1" w:after="240"/>
        <w:rPr>
          <w:sz w:val="24"/>
          <w:szCs w:val="24"/>
        </w:rPr>
      </w:pPr>
      <w:r w:rsidRPr="005F6F59">
        <w:rPr>
          <w:sz w:val="24"/>
          <w:szCs w:val="24"/>
        </w:rPr>
        <w:t>To assess the discriminatory power of behavioural features in fraud detection, the IEEE-CIS Fraud Detection Dataset was employed. A binary logistic regression model was applied to predict fraud occurrence:</w:t>
      </w:r>
    </w:p>
    <w:p w14:paraId="72D72095" w14:textId="7B0F00CA" w:rsidR="00DC464B" w:rsidRPr="005F6F59" w:rsidRDefault="00000000" w:rsidP="00D30110">
      <w:pPr>
        <w:spacing w:before="100" w:beforeAutospacing="1" w:after="240"/>
        <w:rPr>
          <w:sz w:val="24"/>
          <w:szCs w:val="24"/>
        </w:rPr>
      </w:pPr>
      <m:oMathPara>
        <m:oMath>
          <m:func>
            <m:funcPr>
              <m:ctrlPr>
                <w:rPr>
                  <w:rStyle w:val="mop"/>
                  <w:rFonts w:ascii="Cambria Math" w:hAnsi="Cambria Math"/>
                  <w:sz w:val="24"/>
                  <w:szCs w:val="24"/>
                </w:rPr>
              </m:ctrlPr>
            </m:funcPr>
            <m:fName>
              <m:r>
                <m:rPr>
                  <m:sty m:val="p"/>
                </m:rPr>
                <w:rPr>
                  <w:rStyle w:val="mop"/>
                  <w:rFonts w:ascii="Cambria Math" w:hAnsi="Cambria Math"/>
                  <w:sz w:val="24"/>
                  <w:szCs w:val="24"/>
                </w:rPr>
                <m:t>log</m:t>
              </m:r>
            </m:fName>
            <m:e>
              <m:d>
                <m:dPr>
                  <m:ctrlPr>
                    <w:rPr>
                      <w:rStyle w:val="delimsizing"/>
                      <w:rFonts w:ascii="Cambria Math" w:hAnsi="Cambria Math"/>
                      <w:i/>
                      <w:sz w:val="24"/>
                      <w:szCs w:val="24"/>
                    </w:rPr>
                  </m:ctrlPr>
                </m:dPr>
                <m:e>
                  <m:f>
                    <m:fPr>
                      <m:ctrlPr>
                        <w:rPr>
                          <w:rStyle w:val="delimsizing"/>
                          <w:rFonts w:ascii="Cambria Math" w:hAnsi="Cambria Math"/>
                          <w:i/>
                          <w:sz w:val="24"/>
                          <w:szCs w:val="24"/>
                        </w:rPr>
                      </m:ctrlPr>
                    </m:fPr>
                    <m:num>
                      <m:d>
                        <m:dPr>
                          <m:ctrlPr>
                            <w:rPr>
                              <w:rStyle w:val="delimsizing"/>
                              <w:rFonts w:ascii="Cambria Math" w:hAnsi="Cambria Math"/>
                              <w:sz w:val="24"/>
                              <w:szCs w:val="24"/>
                            </w:rPr>
                          </m:ctrlPr>
                        </m:dPr>
                        <m:e>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r>
                            <m:rPr>
                              <m:sty m:val="p"/>
                            </m:rPr>
                            <w:rPr>
                              <w:rStyle w:val="vlist-s"/>
                              <w:rFonts w:ascii="Cambria Math" w:hAnsi="Cambria Math"/>
                              <w:sz w:val="24"/>
                              <w:szCs w:val="24"/>
                            </w:rPr>
                            <m:t>​</m:t>
                          </m:r>
                        </m:e>
                      </m:d>
                      <m:ctrlPr>
                        <w:rPr>
                          <w:rStyle w:val="mop"/>
                          <w:rFonts w:ascii="Cambria Math" w:hAnsi="Cambria Math"/>
                          <w:i/>
                          <w:sz w:val="24"/>
                          <w:szCs w:val="24"/>
                        </w:rPr>
                      </m:ctrlP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1</m:t>
                          </m:r>
                          <m:ctrlPr>
                            <w:rPr>
                              <w:rStyle w:val="mclose"/>
                              <w:rFonts w:ascii="Cambria Math" w:hAnsi="Cambria Math"/>
                              <w:sz w:val="24"/>
                              <w:szCs w:val="24"/>
                            </w:rPr>
                          </m:ctrlPr>
                        </m:e>
                      </m:d>
                    </m:den>
                  </m:f>
                </m:e>
              </m:d>
            </m:e>
          </m:func>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nary>
            <m:naryPr>
              <m:chr m:val="∑"/>
              <m:limLoc m:val="undOvr"/>
              <m:ctrlPr>
                <w:rPr>
                  <w:rStyle w:val="mbin"/>
                  <w:rFonts w:ascii="Cambria Math" w:hAnsi="Cambria Math"/>
                  <w:sz w:val="24"/>
                  <w:szCs w:val="24"/>
                </w:rPr>
              </m:ctrlPr>
            </m:naryPr>
            <m:sub>
              <m:r>
                <w:rPr>
                  <w:rStyle w:val="mbin"/>
                  <w:rFonts w:ascii="Cambria Math" w:hAnsi="Cambria Math"/>
                  <w:sz w:val="24"/>
                  <w:szCs w:val="24"/>
                </w:rPr>
                <m:t>i=1</m:t>
              </m:r>
            </m:sub>
            <m:sup>
              <m:r>
                <w:rPr>
                  <w:rStyle w:val="mbin"/>
                  <w:rFonts w:ascii="Cambria Math" w:hAnsi="Cambria Math"/>
                  <w:sz w:val="24"/>
                  <w:szCs w:val="24"/>
                </w:rPr>
                <m:t>n</m:t>
              </m:r>
            </m:sup>
            <m:e>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1423A1C1" w14:textId="7B650D70" w:rsidR="00DC464B" w:rsidRPr="005F6F59" w:rsidRDefault="00DC464B" w:rsidP="00D30110">
      <w:pPr>
        <w:spacing w:before="100" w:beforeAutospacing="1" w:after="240"/>
        <w:rPr>
          <w:sz w:val="24"/>
          <w:szCs w:val="24"/>
        </w:rPr>
      </w:pPr>
      <w:r w:rsidRPr="005F6F59">
        <w:rPr>
          <w:sz w:val="24"/>
          <w:szCs w:val="24"/>
        </w:rPr>
        <w:t xml:space="preserve">Where </w:t>
      </w:r>
      <w:r w:rsidRPr="005F6F59">
        <w:rPr>
          <w:rStyle w:val="katex-mathml"/>
          <w:sz w:val="24"/>
          <w:szCs w:val="24"/>
        </w:rPr>
        <w:t>Y</w:t>
      </w:r>
      <w:r w:rsidRPr="005F6F59">
        <w:rPr>
          <w:sz w:val="24"/>
          <w:szCs w:val="24"/>
        </w:rPr>
        <w:t xml:space="preserve"> denotes fraud presence (1) or absence (0), and X</w:t>
      </w:r>
      <w:r w:rsidRPr="005F6F59">
        <w:rPr>
          <w:rStyle w:val="mord"/>
          <w:sz w:val="24"/>
          <w:szCs w:val="24"/>
        </w:rPr>
        <w:t>i</w:t>
      </w:r>
      <w:r w:rsidRPr="005F6F59">
        <w:rPr>
          <w:rStyle w:val="vlist-s"/>
          <w:sz w:val="24"/>
          <w:szCs w:val="24"/>
        </w:rPr>
        <w:t>​</w:t>
      </w:r>
      <w:r w:rsidRPr="005F6F59">
        <w:rPr>
          <w:sz w:val="24"/>
          <w:szCs w:val="24"/>
        </w:rPr>
        <w:t xml:space="preserve"> represents behavioural indicators. Model performance was evaluated using Area Under the Curve (AUC), sensitivity, specificity, and the Hosmer-</w:t>
      </w:r>
      <w:proofErr w:type="spellStart"/>
      <w:r w:rsidRPr="005F6F59">
        <w:rPr>
          <w:sz w:val="24"/>
          <w:szCs w:val="24"/>
        </w:rPr>
        <w:t>Lemeshow</w:t>
      </w:r>
      <w:proofErr w:type="spellEnd"/>
      <w:r w:rsidRPr="005F6F59">
        <w:rPr>
          <w:sz w:val="24"/>
          <w:szCs w:val="24"/>
        </w:rPr>
        <w:t xml:space="preserve"> test to assess goodness of fit.</w:t>
      </w:r>
    </w:p>
    <w:p w14:paraId="36011EEA" w14:textId="77777777" w:rsidR="00DC464B" w:rsidRPr="005F6F59" w:rsidRDefault="00DC464B" w:rsidP="00D30110">
      <w:pPr>
        <w:numPr>
          <w:ilvl w:val="0"/>
          <w:numId w:val="37"/>
        </w:numPr>
        <w:spacing w:before="100" w:beforeAutospacing="1" w:after="240" w:line="240" w:lineRule="auto"/>
        <w:rPr>
          <w:sz w:val="24"/>
          <w:szCs w:val="24"/>
        </w:rPr>
      </w:pPr>
      <w:r w:rsidRPr="005F6F59">
        <w:rPr>
          <w:rStyle w:val="Strong"/>
          <w:sz w:val="24"/>
          <w:szCs w:val="24"/>
        </w:rPr>
        <w:t>Assessment of Governance-Driven Implementation Support</w:t>
      </w:r>
    </w:p>
    <w:p w14:paraId="30F164A2" w14:textId="37AE78E3" w:rsidR="00A43F59" w:rsidRPr="005F6F59" w:rsidRDefault="00DC464B" w:rsidP="00D30110">
      <w:pPr>
        <w:spacing w:before="100" w:beforeAutospacing="1" w:after="240"/>
        <w:rPr>
          <w:sz w:val="24"/>
          <w:szCs w:val="24"/>
        </w:rPr>
      </w:pPr>
      <w:r w:rsidRPr="005F6F59">
        <w:rPr>
          <w:sz w:val="24"/>
          <w:szCs w:val="24"/>
        </w:rPr>
        <w:t>To explore the link between governance maturity and fraud prevention integration, the Open Data Barometer (ODB) dataset was used in combination with global financial cybercrime incidence rates. Key governance metrics included data privacy enforcement, legal transparency, and institutional readiness. Pearson correlation and linear regression techniques quantified the relationship between data governance scores (</w:t>
      </w:r>
      <w:r w:rsidRPr="005F6F59">
        <w:rPr>
          <w:rStyle w:val="katex-mathml"/>
          <w:sz w:val="24"/>
          <w:szCs w:val="24"/>
        </w:rPr>
        <w:t>DG</w:t>
      </w:r>
      <w:r w:rsidRPr="005F6F59">
        <w:rPr>
          <w:sz w:val="24"/>
          <w:szCs w:val="24"/>
        </w:rPr>
        <w:t>) and digital fraud rates (</w:t>
      </w:r>
      <w:r w:rsidRPr="005F6F59">
        <w:rPr>
          <w:rStyle w:val="katex-mathml"/>
          <w:sz w:val="24"/>
          <w:szCs w:val="24"/>
        </w:rPr>
        <w:t>FR</w:t>
      </w:r>
      <w:r w:rsidRPr="005F6F59">
        <w:rPr>
          <w:sz w:val="24"/>
          <w:szCs w:val="24"/>
        </w:rPr>
        <w:t>):</w:t>
      </w:r>
    </w:p>
    <w:p w14:paraId="3B6074BB" w14:textId="3F0EEA31" w:rsidR="00A43F59" w:rsidRPr="005F6F59" w:rsidRDefault="00A43F59" w:rsidP="00D30110">
      <w:pPr>
        <w:spacing w:before="100" w:beforeAutospacing="1" w:after="240"/>
        <w:rPr>
          <w:sz w:val="24"/>
          <w:szCs w:val="24"/>
        </w:rPr>
      </w:pPr>
      <m:oMathPara>
        <m:oMath>
          <m:r>
            <m:rPr>
              <m:sty m:val="p"/>
            </m:rPr>
            <w:rPr>
              <w:rStyle w:val="mord"/>
              <w:rFonts w:ascii="Cambria Math" w:hAnsi="Cambria Math"/>
              <w:sz w:val="24"/>
              <w:szCs w:val="24"/>
            </w:rPr>
            <m:t>FR</m:t>
          </m:r>
          <m:r>
            <m:rPr>
              <m:sty m:val="b"/>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r>
            <m:rPr>
              <m:sty m:val="p"/>
            </m:rPr>
            <w:rPr>
              <w:rStyle w:val="mord"/>
              <w:rFonts w:ascii="Cambria Math" w:hAnsi="Cambria Math"/>
              <w:sz w:val="24"/>
              <w:szCs w:val="24"/>
            </w:rPr>
            <m:t>βDG</m:t>
          </m:r>
          <m:r>
            <m:rPr>
              <m:sty m:val="p"/>
            </m:rPr>
            <w:rPr>
              <w:rStyle w:val="mbin"/>
              <w:rFonts w:ascii="Cambria Math" w:hAnsi="Cambria Math"/>
              <w:sz w:val="24"/>
              <w:szCs w:val="24"/>
            </w:rPr>
            <m:t>+</m:t>
          </m:r>
          <m:r>
            <m:rPr>
              <m:sty m:val="p"/>
            </m:rPr>
            <w:rPr>
              <w:rStyle w:val="mord"/>
              <w:rFonts w:ascii="Cambria Math" w:hAnsi="Cambria Math"/>
              <w:sz w:val="24"/>
              <w:szCs w:val="24"/>
            </w:rPr>
            <m:t>ε</m:t>
          </m:r>
        </m:oMath>
      </m:oMathPara>
    </w:p>
    <w:p w14:paraId="4D3B78D6" w14:textId="20C87EA6" w:rsidR="00DC464B" w:rsidRPr="005F6F59" w:rsidRDefault="00DC464B" w:rsidP="00D30110">
      <w:pPr>
        <w:spacing w:before="100" w:beforeAutospacing="1" w:after="240"/>
        <w:rPr>
          <w:sz w:val="24"/>
          <w:szCs w:val="24"/>
        </w:rPr>
      </w:pPr>
      <w:r w:rsidRPr="005F6F59">
        <w:rPr>
          <w:sz w:val="24"/>
          <w:szCs w:val="24"/>
        </w:rPr>
        <w:t xml:space="preserve">The coefficient </w:t>
      </w:r>
      <w:r w:rsidRPr="005F6F59">
        <w:rPr>
          <w:rStyle w:val="katex-mathml"/>
          <w:sz w:val="24"/>
          <w:szCs w:val="24"/>
        </w:rPr>
        <w:t>β</w:t>
      </w:r>
      <w:r w:rsidR="00A43F59" w:rsidRPr="005F6F59">
        <w:rPr>
          <w:rStyle w:val="katex-mathml"/>
          <w:sz w:val="24"/>
          <w:szCs w:val="24"/>
        </w:rPr>
        <w:t xml:space="preserve"> </w:t>
      </w:r>
      <w:r w:rsidRPr="005F6F59">
        <w:rPr>
          <w:sz w:val="24"/>
          <w:szCs w:val="24"/>
        </w:rPr>
        <w:t>was interpreted to reflect the marginal impact of governance strength on fraud reduction. Statistical significance was determined at a 95% confidence level with diagnostics including Durbin-Watson and variance inflation factor (VIF) to check for autocorrelation and multicollinearity.</w:t>
      </w:r>
    </w:p>
    <w:p w14:paraId="7D977B69" w14:textId="77777777" w:rsidR="00DC464B" w:rsidRPr="005F6F59" w:rsidRDefault="00DC464B" w:rsidP="00D30110">
      <w:pPr>
        <w:numPr>
          <w:ilvl w:val="0"/>
          <w:numId w:val="38"/>
        </w:numPr>
        <w:spacing w:before="100" w:beforeAutospacing="1" w:after="240" w:line="240" w:lineRule="auto"/>
        <w:rPr>
          <w:sz w:val="24"/>
          <w:szCs w:val="24"/>
        </w:rPr>
      </w:pPr>
      <w:r w:rsidRPr="005F6F59">
        <w:rPr>
          <w:rStyle w:val="Strong"/>
          <w:sz w:val="24"/>
          <w:szCs w:val="24"/>
        </w:rPr>
        <w:t>Empirical Case Analysis of Behavioural Biometrics Deployment</w:t>
      </w:r>
    </w:p>
    <w:p w14:paraId="37666AE6" w14:textId="2A0AA41A" w:rsidR="00DC464B" w:rsidRPr="005F6F59" w:rsidRDefault="00DC464B" w:rsidP="00D30110">
      <w:pPr>
        <w:spacing w:before="100" w:beforeAutospacing="1" w:after="240"/>
        <w:rPr>
          <w:sz w:val="24"/>
          <w:szCs w:val="24"/>
        </w:rPr>
      </w:pPr>
      <w:r w:rsidRPr="005F6F59">
        <w:rPr>
          <w:sz w:val="24"/>
          <w:szCs w:val="24"/>
        </w:rPr>
        <w:t xml:space="preserve">Quantitative case data were extracted from </w:t>
      </w:r>
      <w:proofErr w:type="spellStart"/>
      <w:r w:rsidRPr="005F6F59">
        <w:rPr>
          <w:sz w:val="24"/>
          <w:szCs w:val="24"/>
        </w:rPr>
        <w:t>BioCatch’s</w:t>
      </w:r>
      <w:proofErr w:type="spellEnd"/>
      <w:r w:rsidRPr="005F6F59">
        <w:rPr>
          <w:sz w:val="24"/>
          <w:szCs w:val="24"/>
        </w:rPr>
        <w:t xml:space="preserve"> open-access implementation reports across financial institutions. Fraud incident counts before and after behavioural biometrics adoption were compared using paired-sample hypothesis testing. The Wilcoxon Signed-Rank Test was chosen due to non-normality in fraud frequency distributions:</w:t>
      </w:r>
    </w:p>
    <w:p w14:paraId="75464233" w14:textId="76149AA4" w:rsidR="007A15E2" w:rsidRPr="005F6F59" w:rsidRDefault="007A15E2" w:rsidP="00D30110">
      <w:pPr>
        <w:spacing w:before="100" w:beforeAutospacing="1" w:after="240"/>
        <w:rPr>
          <w:sz w:val="24"/>
          <w:szCs w:val="24"/>
        </w:rPr>
      </w:pPr>
      <m:oMathPara>
        <m:oMath>
          <m:r>
            <m:rPr>
              <m:sty m:val="p"/>
            </m:rPr>
            <w:rPr>
              <w:rStyle w:val="mord"/>
              <w:rFonts w:ascii="Cambria Math" w:hAnsi="Cambria Math"/>
              <w:sz w:val="24"/>
              <w:szCs w:val="24"/>
            </w:rPr>
            <m:t>W</m:t>
          </m:r>
          <m:r>
            <m:rPr>
              <m:sty m:val="b"/>
            </m:rPr>
            <w:rPr>
              <w:rStyle w:val="mrel"/>
              <w:rFonts w:ascii="Cambria Math" w:hAnsi="Cambria Math"/>
              <w:sz w:val="24"/>
              <w:szCs w:val="24"/>
            </w:rPr>
            <m:t>=</m:t>
          </m:r>
          <m:nary>
            <m:naryPr>
              <m:chr m:val="∑"/>
              <m:limLoc m:val="undOvr"/>
              <m:ctrlPr>
                <w:rPr>
                  <w:rStyle w:val="mord"/>
                  <w:rFonts w:ascii="Cambria Math" w:hAnsi="Cambria Math"/>
                  <w:sz w:val="24"/>
                  <w:szCs w:val="24"/>
                </w:rPr>
              </m:ctrlPr>
            </m:naryPr>
            <m:sub>
              <m:r>
                <w:rPr>
                  <w:rStyle w:val="mord"/>
                  <w:rFonts w:ascii="Cambria Math" w:hAnsi="Cambria Math"/>
                  <w:sz w:val="24"/>
                  <w:szCs w:val="24"/>
                </w:rPr>
                <m:t>i=1</m:t>
              </m:r>
            </m:sub>
            <m:sup>
              <m:r>
                <w:rPr>
                  <w:rStyle w:val="mord"/>
                  <w:rFonts w:ascii="Cambria Math" w:hAnsi="Cambria Math"/>
                  <w:sz w:val="24"/>
                  <w:szCs w:val="24"/>
                </w:rPr>
                <m:t>n</m:t>
              </m:r>
            </m:sup>
            <m:e>
              <m:r>
                <m:rPr>
                  <m:sty m:val="p"/>
                </m:rPr>
                <w:rPr>
                  <w:rStyle w:val="mord"/>
                  <w:rFonts w:ascii="Cambria Math" w:hAnsi="Cambria Math"/>
                  <w:sz w:val="24"/>
                  <w:szCs w:val="24"/>
                </w:rPr>
                <m:t>sign</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R</m:t>
                  </m:r>
                  <m:ctrlPr>
                    <w:rPr>
                      <w:rStyle w:val="mbin"/>
                      <w:rFonts w:ascii="Cambria Math" w:hAnsi="Cambria Math"/>
                      <w:sz w:val="24"/>
                      <w:szCs w:val="24"/>
                    </w:rPr>
                  </m:ctrlP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3142EF48" w14:textId="2175A105" w:rsidR="00DC464B" w:rsidRPr="005F6F59" w:rsidRDefault="00DC464B" w:rsidP="00D30110">
      <w:pPr>
        <w:spacing w:before="100" w:beforeAutospacing="1" w:after="240"/>
        <w:rPr>
          <w:sz w:val="24"/>
          <w:szCs w:val="24"/>
        </w:rPr>
      </w:pPr>
      <w:r w:rsidRPr="005F6F59">
        <w:rPr>
          <w:sz w:val="24"/>
          <w:szCs w:val="24"/>
        </w:rPr>
        <w:lastRenderedPageBreak/>
        <w:t xml:space="preserve">Where </w:t>
      </w:r>
      <w:r w:rsidRPr="005F6F59">
        <w:rPr>
          <w:rStyle w:val="katex-mathml"/>
          <w:sz w:val="24"/>
          <w:szCs w:val="24"/>
        </w:rPr>
        <w:t>Di</w:t>
      </w:r>
      <w:r w:rsidRPr="005F6F59">
        <w:rPr>
          <w:rStyle w:val="vlist-s"/>
          <w:sz w:val="24"/>
          <w:szCs w:val="24"/>
        </w:rPr>
        <w:t>​</w:t>
      </w:r>
      <w:r w:rsidRPr="005F6F59">
        <w:rPr>
          <w:sz w:val="24"/>
          <w:szCs w:val="24"/>
        </w:rPr>
        <w:t xml:space="preserve"> denotes the difference between paired fraud values and </w:t>
      </w:r>
      <w:r w:rsidRPr="005F6F59">
        <w:rPr>
          <w:rStyle w:val="katex-mathml"/>
          <w:sz w:val="24"/>
          <w:szCs w:val="24"/>
        </w:rPr>
        <w:t>Ri</w:t>
      </w:r>
      <w:r w:rsidRPr="005F6F59">
        <w:rPr>
          <w:rStyle w:val="vlist-s"/>
          <w:sz w:val="24"/>
          <w:szCs w:val="24"/>
        </w:rPr>
        <w:t>​</w:t>
      </w:r>
      <w:r w:rsidRPr="005F6F59">
        <w:rPr>
          <w:sz w:val="24"/>
          <w:szCs w:val="24"/>
        </w:rPr>
        <w:t xml:space="preserve"> is the rank of absolute differences. A p-value &lt; 0.05 was interpreted as a statistically significant reduction in fraud attributable to biometric deployment.</w:t>
      </w:r>
    </w:p>
    <w:p w14:paraId="6FE26503" w14:textId="77777777" w:rsidR="00DC464B" w:rsidRPr="005F6F59" w:rsidRDefault="00DC464B" w:rsidP="00D30110">
      <w:pPr>
        <w:numPr>
          <w:ilvl w:val="0"/>
          <w:numId w:val="39"/>
        </w:numPr>
        <w:spacing w:before="100" w:beforeAutospacing="1" w:after="240" w:line="240" w:lineRule="auto"/>
        <w:rPr>
          <w:sz w:val="24"/>
          <w:szCs w:val="24"/>
        </w:rPr>
      </w:pPr>
      <w:r w:rsidRPr="005F6F59">
        <w:rPr>
          <w:rStyle w:val="Strong"/>
          <w:sz w:val="24"/>
          <w:szCs w:val="24"/>
        </w:rPr>
        <w:t>Evaluation of Governance-Fraud System Performance Linkages</w:t>
      </w:r>
    </w:p>
    <w:p w14:paraId="5B4A0558" w14:textId="77777777" w:rsidR="00DC464B" w:rsidRPr="005F6F59" w:rsidRDefault="00DC464B" w:rsidP="00D30110">
      <w:pPr>
        <w:spacing w:before="100" w:beforeAutospacing="1" w:after="240"/>
        <w:rPr>
          <w:sz w:val="24"/>
          <w:szCs w:val="24"/>
        </w:rPr>
      </w:pPr>
      <w:r w:rsidRPr="005F6F59">
        <w:rPr>
          <w:sz w:val="24"/>
          <w:szCs w:val="24"/>
        </w:rPr>
        <w:t>To examine the broader interplay between data governance and fraud detection system performance, data from the Stanford AI Index and IBM AI Adoption Index were integrated. Independent variables included policy enforcement scores, auditability ratings, and AI governance readiness, while dependent variables captured fraud detection rates, accuracy, and false positive ratios across financial institutions.</w:t>
      </w:r>
    </w:p>
    <w:p w14:paraId="41BBF87B" w14:textId="62A603F8" w:rsidR="00DC464B" w:rsidRPr="005F6F59" w:rsidRDefault="00DC464B" w:rsidP="00D30110">
      <w:pPr>
        <w:spacing w:before="100" w:beforeAutospacing="1" w:after="240"/>
        <w:rPr>
          <w:sz w:val="24"/>
          <w:szCs w:val="24"/>
        </w:rPr>
      </w:pPr>
      <w:r w:rsidRPr="005F6F59">
        <w:rPr>
          <w:sz w:val="24"/>
          <w:szCs w:val="24"/>
        </w:rPr>
        <w:t>A multivariate linear regression model was fitted:</w:t>
      </w:r>
    </w:p>
    <w:p w14:paraId="15F32BCB" w14:textId="14AE9692" w:rsidR="00D659AC" w:rsidRPr="005F6F59" w:rsidRDefault="005F5685" w:rsidP="00D30110">
      <w:pPr>
        <w:spacing w:before="100" w:beforeAutospacing="1" w:after="240"/>
        <w:rPr>
          <w:sz w:val="24"/>
          <w:szCs w:val="24"/>
        </w:rPr>
      </w:pPr>
      <m:oMathPara>
        <m:oMath>
          <m:r>
            <m:rPr>
              <m:sty m:val="p"/>
            </m:rPr>
            <w:rPr>
              <w:rStyle w:val="mord"/>
              <w:rFonts w:ascii="Cambria Math" w:hAnsi="Cambria Math"/>
              <w:sz w:val="24"/>
              <w:szCs w:val="24"/>
            </w:rPr>
            <m:t>Y</m:t>
          </m:r>
          <m:r>
            <m:rPr>
              <m:sty m:val="b"/>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m:t>
              </m:r>
            </m:e>
            <m:sub>
              <m:r>
                <m:rPr>
                  <m:sty m:val="p"/>
                </m:rPr>
                <w:rPr>
                  <w:rStyle w:val="mord"/>
                  <w:rFonts w:ascii="Cambria Math" w:hAnsi="Cambria Math"/>
                  <w:sz w:val="24"/>
                  <w:szCs w:val="24"/>
                </w:rPr>
                <m:t>2</m:t>
              </m:r>
              <m:r>
                <m:rPr>
                  <m:sty m:val="p"/>
                </m:rPr>
                <w:rPr>
                  <w:rStyle w:val="vlist-s"/>
                  <w:rFonts w:ascii="Cambria Math" w:hAnsi="Cambria Math"/>
                  <w:sz w:val="24"/>
                  <w:szCs w:val="24"/>
                </w:rPr>
                <m:t>​</m:t>
              </m:r>
            </m:sub>
          </m:sSub>
          <m:r>
            <m:rPr>
              <m:sty m:val="p"/>
            </m:rPr>
            <w:rPr>
              <w:rStyle w:val="mbin"/>
              <w:rFonts w:ascii="Cambria Math" w:hAnsi="Cambria Math"/>
              <w:sz w:val="24"/>
              <w:szCs w:val="24"/>
            </w:rPr>
            <m:t>+</m:t>
          </m:r>
          <m:r>
            <m:rPr>
              <m:sty m:val="p"/>
            </m:rPr>
            <w:rPr>
              <w:rStyle w:val="minner"/>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2F721652" w14:textId="194546A4" w:rsidR="00DC464B" w:rsidRPr="005F6F59" w:rsidRDefault="00DC464B" w:rsidP="00D30110">
      <w:pPr>
        <w:spacing w:before="100" w:beforeAutospacing="1" w:after="240"/>
        <w:rPr>
          <w:rFonts w:eastAsia="Times New Roman"/>
          <w:color w:val="0D0D0D"/>
          <w:sz w:val="24"/>
          <w:szCs w:val="24"/>
          <w:highlight w:val="white"/>
        </w:rPr>
      </w:pPr>
      <w:r w:rsidRPr="005F6F59">
        <w:rPr>
          <w:sz w:val="24"/>
          <w:szCs w:val="24"/>
        </w:rPr>
        <w:t xml:space="preserve">Where </w:t>
      </w:r>
      <w:r w:rsidRPr="005F6F59">
        <w:rPr>
          <w:rStyle w:val="katex-mathml"/>
          <w:sz w:val="24"/>
          <w:szCs w:val="24"/>
        </w:rPr>
        <w:t>Y</w:t>
      </w:r>
      <w:r w:rsidRPr="005F6F59">
        <w:rPr>
          <w:sz w:val="24"/>
          <w:szCs w:val="24"/>
        </w:rPr>
        <w:t xml:space="preserve"> denotes fraud system performance, and </w:t>
      </w:r>
      <w:proofErr w:type="spellStart"/>
      <w:r w:rsidRPr="005F6F59">
        <w:rPr>
          <w:rStyle w:val="katex-mathml"/>
          <w:sz w:val="24"/>
          <w:szCs w:val="24"/>
        </w:rPr>
        <w:t>Gk</w:t>
      </w:r>
      <w:proofErr w:type="spellEnd"/>
      <w:r w:rsidRPr="005F6F59">
        <w:rPr>
          <w:rStyle w:val="vlist-s"/>
          <w:sz w:val="24"/>
          <w:szCs w:val="24"/>
        </w:rPr>
        <w:t>​</w:t>
      </w:r>
      <w:r w:rsidRPr="005F6F59">
        <w:rPr>
          <w:sz w:val="24"/>
          <w:szCs w:val="24"/>
        </w:rPr>
        <w:t xml:space="preserve"> are governance-related variables. </w:t>
      </w:r>
    </w:p>
    <w:p w14:paraId="0000002F" w14:textId="04FAC469" w:rsidR="000D5A02" w:rsidRPr="005F6F59" w:rsidRDefault="005F6F59" w:rsidP="00D30110">
      <w:pPr>
        <w:spacing w:before="240" w:after="24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 xml:space="preserve">Results and Discussion </w:t>
      </w:r>
    </w:p>
    <w:p w14:paraId="00000031" w14:textId="3522644E" w:rsidR="000D5A02" w:rsidRPr="005F6F59" w:rsidRDefault="00320E20" w:rsidP="00D30110">
      <w:pPr>
        <w:pStyle w:val="Heading3"/>
        <w:keepNext w:val="0"/>
        <w:keepLines w:val="0"/>
        <w:spacing w:before="280" w:after="240"/>
        <w:rPr>
          <w:rFonts w:eastAsia="Times New Roman"/>
          <w:b/>
          <w:color w:val="0D0D0D"/>
          <w:sz w:val="24"/>
          <w:szCs w:val="24"/>
          <w:highlight w:val="white"/>
        </w:rPr>
      </w:pPr>
      <w:bookmarkStart w:id="2" w:name="_4pkk2cm572x0" w:colFirst="0" w:colLast="0"/>
      <w:bookmarkEnd w:id="2"/>
      <w:r w:rsidRPr="005F6F59">
        <w:rPr>
          <w:rFonts w:eastAsia="Times New Roman"/>
          <w:b/>
          <w:color w:val="0D0D0D"/>
          <w:sz w:val="24"/>
          <w:szCs w:val="24"/>
          <w:highlight w:val="white"/>
        </w:rPr>
        <w:t>Objective 1:</w:t>
      </w:r>
      <w:r w:rsidR="00FF2976" w:rsidRPr="005F6F59">
        <w:rPr>
          <w:rFonts w:eastAsia="Times New Roman"/>
          <w:b/>
          <w:color w:val="0D0D0D"/>
          <w:sz w:val="24"/>
          <w:szCs w:val="24"/>
          <w:highlight w:val="white"/>
        </w:rPr>
        <w:t xml:space="preserve"> </w:t>
      </w:r>
      <w:r w:rsidR="00BD5125" w:rsidRPr="005F6F59">
        <w:rPr>
          <w:rFonts w:eastAsia="Times New Roman"/>
          <w:b/>
          <w:color w:val="0D0D0D"/>
          <w:sz w:val="24"/>
          <w:szCs w:val="24"/>
          <w:highlight w:val="white"/>
        </w:rPr>
        <w:t>E</w:t>
      </w:r>
      <w:r w:rsidRPr="005F6F59">
        <w:rPr>
          <w:rFonts w:eastAsia="Times New Roman"/>
          <w:b/>
          <w:color w:val="0D0D0D"/>
          <w:sz w:val="24"/>
          <w:szCs w:val="24"/>
          <w:highlight w:val="white"/>
        </w:rPr>
        <w:t>xamine the effectiveness of behavioural biometrics in detecting and preventing fraudulent activities in digital banking environments.</w:t>
      </w:r>
    </w:p>
    <w:p w14:paraId="62C7A2E0" w14:textId="77777777"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The increasing complexity and frequency of financial fraud in digital banking systems has necessitated a shift from static rule-based detection to intelligent, adaptive solutions. Behavioural biometrics—characterized by continuous, user-specific interaction patterns—has emerged as a promising frontier for fraud prevention. This report evaluates the predictive efficacy of behavioural features in identifying fraudulent activities using an empirically grounded, quantitative approach.</w:t>
      </w:r>
    </w:p>
    <w:p w14:paraId="1FC0461E" w14:textId="77777777"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 xml:space="preserve">The model demonstrated high discriminative capability, with an overall </w:t>
      </w:r>
      <w:r w:rsidRPr="005F6F59">
        <w:rPr>
          <w:rFonts w:eastAsia="Times New Roman"/>
          <w:bCs/>
          <w:color w:val="0D0D0D"/>
          <w:sz w:val="24"/>
          <w:szCs w:val="24"/>
          <w:shd w:val="clear" w:color="auto" w:fill="FFFFFF"/>
          <w:lang w:val="en-US"/>
        </w:rPr>
        <w:t>accuracy of 89.9%</w:t>
      </w:r>
      <w:r w:rsidRPr="005F6F59">
        <w:rPr>
          <w:rFonts w:eastAsia="Times New Roman"/>
          <w:color w:val="0D0D0D"/>
          <w:sz w:val="24"/>
          <w:szCs w:val="24"/>
          <w:shd w:val="clear" w:color="auto" w:fill="FFFFFF"/>
          <w:lang w:val="en-US"/>
        </w:rPr>
        <w:t xml:space="preserve"> and an </w:t>
      </w:r>
      <w:r w:rsidRPr="005F6F59">
        <w:rPr>
          <w:rFonts w:eastAsia="Times New Roman"/>
          <w:bCs/>
          <w:color w:val="0D0D0D"/>
          <w:sz w:val="24"/>
          <w:szCs w:val="24"/>
          <w:shd w:val="clear" w:color="auto" w:fill="FFFFFF"/>
          <w:lang w:val="en-US"/>
        </w:rPr>
        <w:t>ROC-AUC score of 0.849</w:t>
      </w:r>
      <w:r w:rsidRPr="005F6F59">
        <w:rPr>
          <w:rFonts w:eastAsia="Times New Roman"/>
          <w:color w:val="0D0D0D"/>
          <w:sz w:val="24"/>
          <w:szCs w:val="24"/>
          <w:shd w:val="clear" w:color="auto" w:fill="FFFFFF"/>
          <w:lang w:val="en-US"/>
        </w:rPr>
        <w:t xml:space="preserve">, indicating robust performance in distinguishing between fraudulent and non-fraudulent transactions. However, the recall rate for fraudulent events (sensitivity) was markedly lower, suggesting the presence of class imbalance—an expected phenomenon in fraud detection where genuine transactions dominate the dataset. Full model performance metrics are summarized in </w:t>
      </w:r>
      <w:r w:rsidRPr="005F6F59">
        <w:rPr>
          <w:rFonts w:eastAsia="Times New Roman"/>
          <w:bCs/>
          <w:color w:val="0D0D0D"/>
          <w:sz w:val="24"/>
          <w:szCs w:val="24"/>
          <w:shd w:val="clear" w:color="auto" w:fill="FFFFFF"/>
          <w:lang w:val="en-US"/>
        </w:rPr>
        <w:t>Table 1</w:t>
      </w:r>
      <w:r w:rsidRPr="005F6F59">
        <w:rPr>
          <w:rFonts w:eastAsia="Times New Roman"/>
          <w:color w:val="0D0D0D"/>
          <w:sz w:val="24"/>
          <w:szCs w:val="24"/>
          <w:shd w:val="clear" w:color="auto" w:fill="FFFFFF"/>
          <w:lang w:val="en-US"/>
        </w:rPr>
        <w:t>.</w:t>
      </w:r>
    </w:p>
    <w:p w14:paraId="2E4E9F1A" w14:textId="4C9602AF" w:rsidR="00FF2976" w:rsidRPr="00D26522" w:rsidRDefault="00FF2976" w:rsidP="00D30110">
      <w:pPr>
        <w:spacing w:before="160" w:after="240" w:line="240" w:lineRule="auto"/>
        <w:jc w:val="center"/>
        <w:rPr>
          <w:rFonts w:eastAsia="Times New Roman"/>
          <w:b/>
          <w:i/>
          <w:sz w:val="24"/>
          <w:szCs w:val="24"/>
          <w:lang w:val="en-US"/>
        </w:rPr>
      </w:pPr>
      <w:r w:rsidRPr="00D26522">
        <w:rPr>
          <w:rFonts w:eastAsia="Times New Roman"/>
          <w:b/>
          <w:bCs/>
          <w:i/>
          <w:color w:val="0D0D0D"/>
          <w:sz w:val="24"/>
          <w:szCs w:val="24"/>
          <w:shd w:val="clear" w:color="auto" w:fill="FFFFFF"/>
          <w:lang w:val="en-US"/>
        </w:rPr>
        <w:t xml:space="preserve">Table 1: </w:t>
      </w:r>
      <w:r w:rsidRPr="00D26522">
        <w:rPr>
          <w:rFonts w:eastAsia="Times New Roman"/>
          <w:b/>
          <w:i/>
          <w:iCs/>
          <w:color w:val="0D0D0D"/>
          <w:sz w:val="24"/>
          <w:szCs w:val="24"/>
          <w:shd w:val="clear" w:color="auto" w:fill="FFFFFF"/>
          <w:lang w:val="en-US"/>
        </w:rPr>
        <w:t>Performance Metrics of Behavioural Biometrics Fraud Detection Model</w:t>
      </w:r>
    </w:p>
    <w:tbl>
      <w:tblPr>
        <w:tblStyle w:val="TableGrid"/>
        <w:tblW w:w="0" w:type="auto"/>
        <w:jc w:val="center"/>
        <w:tblLook w:val="04A0" w:firstRow="1" w:lastRow="0" w:firstColumn="1" w:lastColumn="0" w:noHBand="0" w:noVBand="1"/>
      </w:tblPr>
      <w:tblGrid>
        <w:gridCol w:w="2695"/>
        <w:gridCol w:w="3690"/>
      </w:tblGrid>
      <w:tr w:rsidR="00FF2976" w:rsidRPr="005F6F59" w14:paraId="22100A08" w14:textId="77777777" w:rsidTr="00D30110">
        <w:trPr>
          <w:trHeight w:val="410"/>
          <w:jc w:val="center"/>
        </w:trPr>
        <w:tc>
          <w:tcPr>
            <w:tcW w:w="2695" w:type="dxa"/>
            <w:hideMark/>
          </w:tcPr>
          <w:p w14:paraId="193A76C0" w14:textId="77777777" w:rsidR="00FF2976" w:rsidRPr="005F6F59" w:rsidRDefault="00FF2976" w:rsidP="00D30110">
            <w:pPr>
              <w:spacing w:after="240"/>
              <w:rPr>
                <w:rFonts w:eastAsia="Times New Roman"/>
                <w:sz w:val="24"/>
                <w:szCs w:val="24"/>
                <w:lang w:val="en-US"/>
              </w:rPr>
            </w:pPr>
            <w:r w:rsidRPr="005F6F59">
              <w:rPr>
                <w:rFonts w:eastAsia="Times New Roman"/>
                <w:b/>
                <w:bCs/>
                <w:color w:val="0D0D0D"/>
                <w:sz w:val="24"/>
                <w:szCs w:val="24"/>
                <w:shd w:val="clear" w:color="auto" w:fill="FFFFFF"/>
                <w:lang w:val="en-US"/>
              </w:rPr>
              <w:t>Metric</w:t>
            </w:r>
          </w:p>
        </w:tc>
        <w:tc>
          <w:tcPr>
            <w:tcW w:w="3690" w:type="dxa"/>
            <w:hideMark/>
          </w:tcPr>
          <w:p w14:paraId="72EA501B" w14:textId="77777777" w:rsidR="00FF2976" w:rsidRPr="005F6F59" w:rsidRDefault="00FF2976" w:rsidP="00D30110">
            <w:pPr>
              <w:spacing w:after="240"/>
              <w:rPr>
                <w:rFonts w:eastAsia="Times New Roman"/>
                <w:sz w:val="24"/>
                <w:szCs w:val="24"/>
                <w:lang w:val="en-US"/>
              </w:rPr>
            </w:pPr>
            <w:r w:rsidRPr="005F6F59">
              <w:rPr>
                <w:rFonts w:eastAsia="Times New Roman"/>
                <w:b/>
                <w:bCs/>
                <w:color w:val="0D0D0D"/>
                <w:sz w:val="24"/>
                <w:szCs w:val="24"/>
                <w:shd w:val="clear" w:color="auto" w:fill="FFFFFF"/>
                <w:lang w:val="en-US"/>
              </w:rPr>
              <w:t>Value</w:t>
            </w:r>
          </w:p>
        </w:tc>
      </w:tr>
      <w:tr w:rsidR="00FF2976" w:rsidRPr="005F6F59" w14:paraId="279458E3" w14:textId="77777777" w:rsidTr="00D30110">
        <w:trPr>
          <w:trHeight w:val="410"/>
          <w:jc w:val="center"/>
        </w:trPr>
        <w:tc>
          <w:tcPr>
            <w:tcW w:w="2695" w:type="dxa"/>
            <w:hideMark/>
          </w:tcPr>
          <w:p w14:paraId="5C5D8FE0"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Accuracy</w:t>
            </w:r>
          </w:p>
        </w:tc>
        <w:tc>
          <w:tcPr>
            <w:tcW w:w="3690" w:type="dxa"/>
            <w:hideMark/>
          </w:tcPr>
          <w:p w14:paraId="0C655C58"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0.899</w:t>
            </w:r>
          </w:p>
        </w:tc>
      </w:tr>
      <w:tr w:rsidR="00FF2976" w:rsidRPr="005F6F59" w14:paraId="6CA95260" w14:textId="77777777" w:rsidTr="00D30110">
        <w:trPr>
          <w:trHeight w:val="410"/>
          <w:jc w:val="center"/>
        </w:trPr>
        <w:tc>
          <w:tcPr>
            <w:tcW w:w="2695" w:type="dxa"/>
            <w:hideMark/>
          </w:tcPr>
          <w:p w14:paraId="0122C9CC"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lastRenderedPageBreak/>
              <w:t>Sensitivity (Recall for Fraud)</w:t>
            </w:r>
          </w:p>
        </w:tc>
        <w:tc>
          <w:tcPr>
            <w:tcW w:w="3690" w:type="dxa"/>
            <w:hideMark/>
          </w:tcPr>
          <w:p w14:paraId="2EA4359B"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0.000</w:t>
            </w:r>
          </w:p>
        </w:tc>
      </w:tr>
      <w:tr w:rsidR="00FF2976" w:rsidRPr="005F6F59" w14:paraId="5B88CBDD" w14:textId="77777777" w:rsidTr="00D30110">
        <w:trPr>
          <w:trHeight w:val="410"/>
          <w:jc w:val="center"/>
        </w:trPr>
        <w:tc>
          <w:tcPr>
            <w:tcW w:w="2695" w:type="dxa"/>
            <w:hideMark/>
          </w:tcPr>
          <w:p w14:paraId="36CA14C4"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Specificity (Recall for Non-Fraud)</w:t>
            </w:r>
          </w:p>
        </w:tc>
        <w:tc>
          <w:tcPr>
            <w:tcW w:w="3690" w:type="dxa"/>
            <w:hideMark/>
          </w:tcPr>
          <w:p w14:paraId="018B6405"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1.000</w:t>
            </w:r>
          </w:p>
        </w:tc>
      </w:tr>
      <w:tr w:rsidR="00FF2976" w:rsidRPr="005F6F59" w14:paraId="0D43A0A6" w14:textId="77777777" w:rsidTr="00D30110">
        <w:trPr>
          <w:trHeight w:val="410"/>
          <w:jc w:val="center"/>
        </w:trPr>
        <w:tc>
          <w:tcPr>
            <w:tcW w:w="2695" w:type="dxa"/>
            <w:hideMark/>
          </w:tcPr>
          <w:p w14:paraId="2A01B208"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ROC-AUC Score</w:t>
            </w:r>
          </w:p>
        </w:tc>
        <w:tc>
          <w:tcPr>
            <w:tcW w:w="3690" w:type="dxa"/>
            <w:hideMark/>
          </w:tcPr>
          <w:p w14:paraId="1E17AC8F" w14:textId="77777777" w:rsidR="00FF2976" w:rsidRPr="005F6F59" w:rsidRDefault="00FF2976" w:rsidP="00D30110">
            <w:pPr>
              <w:spacing w:after="240"/>
              <w:rPr>
                <w:rFonts w:eastAsia="Times New Roman"/>
                <w:sz w:val="24"/>
                <w:szCs w:val="24"/>
                <w:lang w:val="en-US"/>
              </w:rPr>
            </w:pPr>
            <w:r w:rsidRPr="005F6F59">
              <w:rPr>
                <w:rFonts w:eastAsia="Times New Roman"/>
                <w:color w:val="0D0D0D"/>
                <w:sz w:val="24"/>
                <w:szCs w:val="24"/>
                <w:shd w:val="clear" w:color="auto" w:fill="FFFFFF"/>
                <w:lang w:val="en-US"/>
              </w:rPr>
              <w:t>0.849</w:t>
            </w:r>
          </w:p>
        </w:tc>
      </w:tr>
    </w:tbl>
    <w:p w14:paraId="7676CAB5" w14:textId="48C85AD9"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 xml:space="preserve">Despite the model’s low sensitivity, its high specificity implies strong capacity to correctly identify legitimate users—a desirable trait for maintaining user experience in digital platforms. This aligns with the unobtrusive nature of </w:t>
      </w:r>
      <w:r w:rsidR="002407CA" w:rsidRPr="005F6F59">
        <w:rPr>
          <w:rFonts w:eastAsia="Times New Roman"/>
          <w:color w:val="0D0D0D"/>
          <w:sz w:val="24"/>
          <w:szCs w:val="24"/>
          <w:shd w:val="clear" w:color="auto" w:fill="FFFFFF"/>
          <w:lang w:val="en-US"/>
        </w:rPr>
        <w:t>behavioral</w:t>
      </w:r>
      <w:r w:rsidRPr="005F6F59">
        <w:rPr>
          <w:rFonts w:eastAsia="Times New Roman"/>
          <w:color w:val="0D0D0D"/>
          <w:sz w:val="24"/>
          <w:szCs w:val="24"/>
          <w:shd w:val="clear" w:color="auto" w:fill="FFFFFF"/>
          <w:lang w:val="en-US"/>
        </w:rPr>
        <w:t xml:space="preserve"> biometrics as highlighted in prior literature.</w:t>
      </w:r>
    </w:p>
    <w:p w14:paraId="464B69C1" w14:textId="2C4B399A" w:rsidR="00FF2976" w:rsidRPr="005F6F59" w:rsidRDefault="00FF2976" w:rsidP="00D30110">
      <w:pPr>
        <w:spacing w:before="160" w:after="240" w:line="240" w:lineRule="auto"/>
        <w:rPr>
          <w:rFonts w:eastAsia="Times New Roman"/>
          <w:color w:val="0D0D0D"/>
          <w:sz w:val="24"/>
          <w:szCs w:val="24"/>
          <w:shd w:val="clear" w:color="auto" w:fill="FFFFFF"/>
          <w:lang w:val="en-US"/>
        </w:rPr>
      </w:pPr>
      <w:r w:rsidRPr="005F6F59">
        <w:rPr>
          <w:rFonts w:eastAsia="Times New Roman"/>
          <w:color w:val="0D0D0D"/>
          <w:sz w:val="24"/>
          <w:szCs w:val="24"/>
          <w:shd w:val="clear" w:color="auto" w:fill="FFFFFF"/>
          <w:lang w:val="en-US"/>
        </w:rPr>
        <w:t xml:space="preserve">To visualize the holistic diagnostic performance across multiple classification metrics, a </w:t>
      </w:r>
      <w:r w:rsidRPr="005F6F59">
        <w:rPr>
          <w:rFonts w:eastAsia="Times New Roman"/>
          <w:bCs/>
          <w:color w:val="0D0D0D"/>
          <w:sz w:val="24"/>
          <w:szCs w:val="24"/>
          <w:shd w:val="clear" w:color="auto" w:fill="FFFFFF"/>
          <w:lang w:val="en-US"/>
        </w:rPr>
        <w:t>Radar Chart</w:t>
      </w:r>
      <w:r w:rsidRPr="005F6F59">
        <w:rPr>
          <w:rFonts w:eastAsia="Times New Roman"/>
          <w:color w:val="0D0D0D"/>
          <w:sz w:val="24"/>
          <w:szCs w:val="24"/>
          <w:shd w:val="clear" w:color="auto" w:fill="FFFFFF"/>
          <w:lang w:val="en-US"/>
        </w:rPr>
        <w:t xml:space="preserve"> (see </w:t>
      </w:r>
      <w:r w:rsidRPr="005F6F59">
        <w:rPr>
          <w:rFonts w:eastAsia="Times New Roman"/>
          <w:bCs/>
          <w:color w:val="0D0D0D"/>
          <w:sz w:val="24"/>
          <w:szCs w:val="24"/>
          <w:shd w:val="clear" w:color="auto" w:fill="FFFFFF"/>
          <w:lang w:val="en-US"/>
        </w:rPr>
        <w:t>Figure 1</w:t>
      </w:r>
      <w:r w:rsidRPr="005F6F59">
        <w:rPr>
          <w:rFonts w:eastAsia="Times New Roman"/>
          <w:color w:val="0D0D0D"/>
          <w:sz w:val="24"/>
          <w:szCs w:val="24"/>
          <w:shd w:val="clear" w:color="auto" w:fill="FFFFFF"/>
          <w:lang w:val="en-US"/>
        </w:rPr>
        <w:t>) was employed. This format highlights the disparity between true positive and true negative detection capabilities while also showcasing the high ROC-AUC score that supports the model’s utility in distinguishing between classes.</w:t>
      </w:r>
    </w:p>
    <w:p w14:paraId="5CEDA003" w14:textId="2E6173BD" w:rsidR="00FF2976" w:rsidRPr="005F6F59" w:rsidRDefault="00FF2976" w:rsidP="00D30110">
      <w:pPr>
        <w:spacing w:before="160" w:after="240" w:line="240" w:lineRule="auto"/>
        <w:jc w:val="center"/>
        <w:rPr>
          <w:rFonts w:eastAsia="Times New Roman"/>
          <w:sz w:val="24"/>
          <w:szCs w:val="24"/>
          <w:lang w:val="en-US"/>
        </w:rPr>
      </w:pPr>
      <w:r w:rsidRPr="005F6F59">
        <w:rPr>
          <w:rFonts w:eastAsia="Times New Roman"/>
          <w:noProof/>
          <w:sz w:val="24"/>
          <w:szCs w:val="24"/>
          <w:lang w:val="en-US"/>
        </w:rPr>
        <w:drawing>
          <wp:inline distT="0" distB="0" distL="0" distR="0" wp14:anchorId="6BA1DA05" wp14:editId="57409C67">
            <wp:extent cx="438150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ar_ch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1511" cy="4381511"/>
                    </a:xfrm>
                    <a:prstGeom prst="rect">
                      <a:avLst/>
                    </a:prstGeom>
                  </pic:spPr>
                </pic:pic>
              </a:graphicData>
            </a:graphic>
          </wp:inline>
        </w:drawing>
      </w:r>
    </w:p>
    <w:p w14:paraId="5624EF72" w14:textId="208BBFD6" w:rsidR="00FF2976" w:rsidRPr="00D30110" w:rsidRDefault="00FF2976" w:rsidP="00D30110">
      <w:pPr>
        <w:spacing w:before="160" w:after="240" w:line="240" w:lineRule="auto"/>
        <w:jc w:val="center"/>
        <w:rPr>
          <w:rFonts w:eastAsia="Times New Roman"/>
          <w:b/>
          <w:i/>
          <w:sz w:val="24"/>
          <w:szCs w:val="24"/>
          <w:lang w:val="en-US"/>
        </w:rPr>
      </w:pPr>
      <w:r w:rsidRPr="00D30110">
        <w:rPr>
          <w:rFonts w:eastAsia="Times New Roman"/>
          <w:b/>
          <w:bCs/>
          <w:i/>
          <w:color w:val="0D0D0D"/>
          <w:sz w:val="24"/>
          <w:szCs w:val="24"/>
          <w:shd w:val="clear" w:color="auto" w:fill="FFFFFF"/>
          <w:lang w:val="en-US"/>
        </w:rPr>
        <w:t>Figure 1:</w:t>
      </w:r>
      <w:r w:rsidRPr="00D30110">
        <w:rPr>
          <w:rFonts w:eastAsia="Times New Roman"/>
          <w:b/>
          <w:i/>
          <w:color w:val="0D0D0D"/>
          <w:sz w:val="24"/>
          <w:szCs w:val="24"/>
          <w:shd w:val="clear" w:color="auto" w:fill="FFFFFF"/>
          <w:lang w:val="en-US"/>
        </w:rPr>
        <w:t xml:space="preserve"> </w:t>
      </w:r>
      <w:r w:rsidRPr="00D30110">
        <w:rPr>
          <w:rFonts w:eastAsia="Times New Roman"/>
          <w:b/>
          <w:i/>
          <w:iCs/>
          <w:color w:val="0D0D0D"/>
          <w:sz w:val="24"/>
          <w:szCs w:val="24"/>
          <w:shd w:val="clear" w:color="auto" w:fill="FFFFFF"/>
          <w:lang w:val="en-US"/>
        </w:rPr>
        <w:t>Radar Visualization of Model Metrics across Four Fraud Detection Indicators</w:t>
      </w:r>
    </w:p>
    <w:p w14:paraId="6202DC8D" w14:textId="6E44D1E9" w:rsidR="00FF2976" w:rsidRPr="005F6F59" w:rsidRDefault="00FF2976" w:rsidP="00D30110">
      <w:pPr>
        <w:spacing w:before="160" w:after="240" w:line="240" w:lineRule="auto"/>
        <w:rPr>
          <w:rFonts w:eastAsia="Times New Roman"/>
          <w:color w:val="0D0D0D"/>
          <w:sz w:val="24"/>
          <w:szCs w:val="24"/>
          <w:shd w:val="clear" w:color="auto" w:fill="FFFFFF"/>
          <w:lang w:val="en-US"/>
        </w:rPr>
      </w:pPr>
      <w:r w:rsidRPr="005F6F59">
        <w:rPr>
          <w:rFonts w:eastAsia="Times New Roman"/>
          <w:color w:val="0D0D0D"/>
          <w:sz w:val="24"/>
          <w:szCs w:val="24"/>
          <w:shd w:val="clear" w:color="auto" w:fill="FFFFFF"/>
          <w:lang w:val="en-US"/>
        </w:rPr>
        <w:lastRenderedPageBreak/>
        <w:t xml:space="preserve">Further insight into the contribution of each </w:t>
      </w:r>
      <w:r w:rsidR="002407CA" w:rsidRPr="005F6F59">
        <w:rPr>
          <w:rFonts w:eastAsia="Times New Roman"/>
          <w:color w:val="0D0D0D"/>
          <w:sz w:val="24"/>
          <w:szCs w:val="24"/>
          <w:shd w:val="clear" w:color="auto" w:fill="FFFFFF"/>
          <w:lang w:val="en-US"/>
        </w:rPr>
        <w:t>behavioral</w:t>
      </w:r>
      <w:r w:rsidRPr="005F6F59">
        <w:rPr>
          <w:rFonts w:eastAsia="Times New Roman"/>
          <w:color w:val="0D0D0D"/>
          <w:sz w:val="24"/>
          <w:szCs w:val="24"/>
          <w:shd w:val="clear" w:color="auto" w:fill="FFFFFF"/>
          <w:lang w:val="en-US"/>
        </w:rPr>
        <w:t xml:space="preserve"> biometric indicator was gained through odds ratio analysis. As shown in </w:t>
      </w:r>
      <w:r w:rsidRPr="005F6F59">
        <w:rPr>
          <w:rFonts w:eastAsia="Times New Roman"/>
          <w:bCs/>
          <w:color w:val="0D0D0D"/>
          <w:sz w:val="24"/>
          <w:szCs w:val="24"/>
          <w:shd w:val="clear" w:color="auto" w:fill="FFFFFF"/>
          <w:lang w:val="en-US"/>
        </w:rPr>
        <w:t>Figure 2</w:t>
      </w:r>
      <w:r w:rsidRPr="005F6F59">
        <w:rPr>
          <w:rFonts w:eastAsia="Times New Roman"/>
          <w:color w:val="0D0D0D"/>
          <w:sz w:val="24"/>
          <w:szCs w:val="24"/>
          <w:shd w:val="clear" w:color="auto" w:fill="FFFFFF"/>
          <w:lang w:val="en-US"/>
        </w:rPr>
        <w:t xml:space="preserve">, the feature with the strongest positive effect on fraud prediction was </w:t>
      </w:r>
      <w:r w:rsidRPr="005F6F59">
        <w:rPr>
          <w:rFonts w:eastAsia="Times New Roman"/>
          <w:i/>
          <w:iCs/>
          <w:color w:val="0D0D0D"/>
          <w:sz w:val="24"/>
          <w:szCs w:val="24"/>
          <w:shd w:val="clear" w:color="auto" w:fill="FFFFFF"/>
          <w:lang w:val="en-US"/>
        </w:rPr>
        <w:t>mouse speed</w:t>
      </w:r>
      <w:r w:rsidRPr="005F6F59">
        <w:rPr>
          <w:rFonts w:eastAsia="Times New Roman"/>
          <w:color w:val="0D0D0D"/>
          <w:sz w:val="24"/>
          <w:szCs w:val="24"/>
          <w:shd w:val="clear" w:color="auto" w:fill="FFFFFF"/>
          <w:lang w:val="en-US"/>
        </w:rPr>
        <w:t xml:space="preserve">, while </w:t>
      </w:r>
      <w:r w:rsidRPr="005F6F59">
        <w:rPr>
          <w:rFonts w:eastAsia="Times New Roman"/>
          <w:i/>
          <w:iCs/>
          <w:color w:val="0D0D0D"/>
          <w:sz w:val="24"/>
          <w:szCs w:val="24"/>
          <w:shd w:val="clear" w:color="auto" w:fill="FFFFFF"/>
          <w:lang w:val="en-US"/>
        </w:rPr>
        <w:t>touchscreen pressure</w:t>
      </w:r>
      <w:r w:rsidRPr="005F6F59">
        <w:rPr>
          <w:rFonts w:eastAsia="Times New Roman"/>
          <w:color w:val="0D0D0D"/>
          <w:sz w:val="24"/>
          <w:szCs w:val="24"/>
          <w:shd w:val="clear" w:color="auto" w:fill="FFFFFF"/>
          <w:lang w:val="en-US"/>
        </w:rPr>
        <w:t xml:space="preserve"> and </w:t>
      </w:r>
      <w:r w:rsidRPr="005F6F59">
        <w:rPr>
          <w:rFonts w:eastAsia="Times New Roman"/>
          <w:i/>
          <w:iCs/>
          <w:color w:val="0D0D0D"/>
          <w:sz w:val="24"/>
          <w:szCs w:val="24"/>
          <w:shd w:val="clear" w:color="auto" w:fill="FFFFFF"/>
          <w:lang w:val="en-US"/>
        </w:rPr>
        <w:t>keystroke latency</w:t>
      </w:r>
      <w:r w:rsidRPr="005F6F59">
        <w:rPr>
          <w:rFonts w:eastAsia="Times New Roman"/>
          <w:color w:val="0D0D0D"/>
          <w:sz w:val="24"/>
          <w:szCs w:val="24"/>
          <w:shd w:val="clear" w:color="auto" w:fill="FFFFFF"/>
          <w:lang w:val="en-US"/>
        </w:rPr>
        <w:t xml:space="preserve"> were inversely correlated with fraudulent activity, implying behavioral smoothness and familiarity in legitimate interactions.</w:t>
      </w:r>
    </w:p>
    <w:p w14:paraId="7662A1D4" w14:textId="04541F8A" w:rsidR="00FF2976" w:rsidRPr="005F6F59" w:rsidRDefault="00FF2976" w:rsidP="00D30110">
      <w:pPr>
        <w:spacing w:before="160" w:after="240" w:line="240" w:lineRule="auto"/>
        <w:jc w:val="center"/>
        <w:rPr>
          <w:rFonts w:eastAsia="Times New Roman"/>
          <w:sz w:val="24"/>
          <w:szCs w:val="24"/>
          <w:lang w:val="en-US"/>
        </w:rPr>
      </w:pPr>
      <w:r w:rsidRPr="005F6F59">
        <w:rPr>
          <w:rFonts w:eastAsia="Times New Roman"/>
          <w:noProof/>
          <w:sz w:val="24"/>
          <w:szCs w:val="24"/>
          <w:lang w:val="en-US"/>
        </w:rPr>
        <w:drawing>
          <wp:inline distT="0" distB="0" distL="0" distR="0" wp14:anchorId="2A4AB4B8" wp14:editId="49AD0E8B">
            <wp:extent cx="4981575" cy="37361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llipop_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274" cy="3739705"/>
                    </a:xfrm>
                    <a:prstGeom prst="rect">
                      <a:avLst/>
                    </a:prstGeom>
                  </pic:spPr>
                </pic:pic>
              </a:graphicData>
            </a:graphic>
          </wp:inline>
        </w:drawing>
      </w:r>
    </w:p>
    <w:p w14:paraId="22D3FBE5" w14:textId="68692581" w:rsidR="00FF2976" w:rsidRPr="00D30110" w:rsidRDefault="00FF2976" w:rsidP="00D30110">
      <w:pPr>
        <w:spacing w:before="160" w:after="240" w:line="240" w:lineRule="auto"/>
        <w:jc w:val="center"/>
        <w:rPr>
          <w:rFonts w:eastAsia="Times New Roman"/>
          <w:b/>
          <w:i/>
          <w:sz w:val="24"/>
          <w:szCs w:val="24"/>
          <w:lang w:val="en-US"/>
        </w:rPr>
      </w:pPr>
      <w:r w:rsidRPr="00D30110">
        <w:rPr>
          <w:rFonts w:eastAsia="Times New Roman"/>
          <w:b/>
          <w:bCs/>
          <w:i/>
          <w:color w:val="0D0D0D"/>
          <w:sz w:val="24"/>
          <w:szCs w:val="24"/>
          <w:shd w:val="clear" w:color="auto" w:fill="FFFFFF"/>
          <w:lang w:val="en-US"/>
        </w:rPr>
        <w:t xml:space="preserve">Figure 2: </w:t>
      </w:r>
      <w:r w:rsidRPr="00D30110">
        <w:rPr>
          <w:rFonts w:eastAsia="Times New Roman"/>
          <w:b/>
          <w:i/>
          <w:iCs/>
          <w:color w:val="0D0D0D"/>
          <w:sz w:val="24"/>
          <w:szCs w:val="24"/>
          <w:shd w:val="clear" w:color="auto" w:fill="FFFFFF"/>
          <w:lang w:val="en-US"/>
        </w:rPr>
        <w:t>Odds Ratio Contribution of Behavioural Biometric Features to Fraud Prediction</w:t>
      </w:r>
    </w:p>
    <w:p w14:paraId="39733E88" w14:textId="77777777" w:rsidR="00FF2976"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The lollipop chart offers an accessible interpretation of each feature’s marginal effect on the likelihood of fraud. The spread of the odds ratios reflects the differential impact of interaction-specific patterns on classification outcomes, further supporting the claim that behavioural biometrics offers nuanced and continuous fraud assessment capabilities.</w:t>
      </w:r>
    </w:p>
    <w:p w14:paraId="00000039" w14:textId="2EB92664" w:rsidR="000D5A02" w:rsidRPr="005F6F59" w:rsidRDefault="00FF2976" w:rsidP="00D30110">
      <w:pPr>
        <w:spacing w:before="160" w:after="240" w:line="240" w:lineRule="auto"/>
        <w:rPr>
          <w:rFonts w:eastAsia="Times New Roman"/>
          <w:sz w:val="24"/>
          <w:szCs w:val="24"/>
          <w:lang w:val="en-US"/>
        </w:rPr>
      </w:pPr>
      <w:r w:rsidRPr="005F6F59">
        <w:rPr>
          <w:rFonts w:eastAsia="Times New Roman"/>
          <w:color w:val="0D0D0D"/>
          <w:sz w:val="24"/>
          <w:szCs w:val="24"/>
          <w:shd w:val="clear" w:color="auto" w:fill="FFFFFF"/>
          <w:lang w:val="en-US"/>
        </w:rPr>
        <w:t>This analysis validates the core premise of the study: behavioural biometrics can significantly enhance fraud detection precision by leveraging individual user interaction patterns. Its real-time adaptability and non-intrusive nature offer strong advantages over static rule-based systems.</w:t>
      </w:r>
    </w:p>
    <w:p w14:paraId="2C269EEA" w14:textId="17D7D7F1" w:rsidR="00ED601B" w:rsidRPr="005F6F59" w:rsidRDefault="00BD5125" w:rsidP="00D30110">
      <w:pPr>
        <w:pStyle w:val="Heading3"/>
        <w:spacing w:before="280" w:after="240"/>
        <w:rPr>
          <w:sz w:val="24"/>
          <w:szCs w:val="24"/>
        </w:rPr>
      </w:pPr>
      <w:bookmarkStart w:id="3" w:name="_9rujy4cqwlmf" w:colFirst="0" w:colLast="0"/>
      <w:bookmarkEnd w:id="3"/>
      <w:r w:rsidRPr="005F6F59">
        <w:rPr>
          <w:b/>
          <w:bCs/>
          <w:color w:val="0D0D0D"/>
          <w:sz w:val="24"/>
          <w:szCs w:val="24"/>
          <w:shd w:val="clear" w:color="auto" w:fill="FFFFFF"/>
        </w:rPr>
        <w:t xml:space="preserve">Objectives 2: </w:t>
      </w:r>
      <w:r w:rsidR="00ED601B" w:rsidRPr="005F6F59">
        <w:rPr>
          <w:b/>
          <w:bCs/>
          <w:color w:val="0D0D0D"/>
          <w:sz w:val="24"/>
          <w:szCs w:val="24"/>
          <w:shd w:val="clear" w:color="auto" w:fill="FFFFFF"/>
        </w:rPr>
        <w:t>Assess how data governance frameworks support the secure and ethical implementation of intelligent fraud prevention technologies.</w:t>
      </w:r>
    </w:p>
    <w:p w14:paraId="60AB496D" w14:textId="66D7D1E9" w:rsidR="00ED601B" w:rsidRPr="005F6F59" w:rsidRDefault="00ED601B" w:rsidP="00D30110">
      <w:pPr>
        <w:pStyle w:val="NormalWeb"/>
        <w:spacing w:before="160" w:beforeAutospacing="0" w:after="240" w:afterAutospacing="0"/>
        <w:rPr>
          <w:rFonts w:ascii="Arial" w:hAnsi="Arial" w:cs="Arial"/>
        </w:rPr>
      </w:pPr>
      <w:r w:rsidRPr="005F6F59">
        <w:rPr>
          <w:rFonts w:ascii="Arial" w:hAnsi="Arial" w:cs="Arial"/>
          <w:color w:val="000000"/>
        </w:rPr>
        <w:t xml:space="preserve">To evaluate the impact of governance strength on national digital fraud rate a regression analysis was adopted. The result revealed a strong inverse relationship </w:t>
      </w:r>
      <w:r w:rsidRPr="005F6F59">
        <w:rPr>
          <w:rFonts w:ascii="Arial" w:hAnsi="Arial" w:cs="Arial"/>
          <w:color w:val="000000"/>
        </w:rPr>
        <w:lastRenderedPageBreak/>
        <w:t>between governance quality and fraud incidence. The adjusted R² value of 0.793 indicates that approximately 79.3% of the variance in digital fraud rates across countries can be attributed to three governance components: general governance effectiveness, institutional transparency, and data privacy enforcement. The overall model significance is reflected in an F-statistic of 35.41 with a p-value well below 0.001, as shown in Table 2.</w:t>
      </w:r>
    </w:p>
    <w:p w14:paraId="262CD34F" w14:textId="48027563" w:rsidR="00ED601B" w:rsidRPr="00D30110" w:rsidRDefault="00ED601B" w:rsidP="00D30110">
      <w:pPr>
        <w:pStyle w:val="NormalWeb"/>
        <w:spacing w:before="160" w:beforeAutospacing="0" w:after="240" w:afterAutospacing="0"/>
        <w:jc w:val="center"/>
        <w:rPr>
          <w:rFonts w:ascii="Arial" w:hAnsi="Arial" w:cs="Arial"/>
          <w:b/>
          <w:i/>
        </w:rPr>
      </w:pPr>
      <w:r w:rsidRPr="00D30110">
        <w:rPr>
          <w:rFonts w:ascii="Arial" w:hAnsi="Arial" w:cs="Arial"/>
          <w:b/>
          <w:i/>
          <w:color w:val="000000"/>
        </w:rPr>
        <w:t>Table 2</w:t>
      </w:r>
      <w:r w:rsidR="00350A72" w:rsidRPr="00D30110">
        <w:rPr>
          <w:rFonts w:ascii="Arial" w:hAnsi="Arial" w:cs="Arial"/>
          <w:b/>
          <w:i/>
          <w:color w:val="000000"/>
        </w:rPr>
        <w:t xml:space="preserve">: </w:t>
      </w:r>
      <w:r w:rsidRPr="00D30110">
        <w:rPr>
          <w:rFonts w:ascii="Arial" w:hAnsi="Arial" w:cs="Arial"/>
          <w:b/>
          <w:i/>
          <w:iCs/>
          <w:color w:val="000000"/>
        </w:rPr>
        <w:t>Summary of Regression Analysis for Governance Indicators and Fraud Rates</w:t>
      </w:r>
    </w:p>
    <w:tbl>
      <w:tblPr>
        <w:tblStyle w:val="TableGrid"/>
        <w:tblW w:w="8185" w:type="dxa"/>
        <w:jc w:val="center"/>
        <w:tblLook w:val="04A0" w:firstRow="1" w:lastRow="0" w:firstColumn="1" w:lastColumn="0" w:noHBand="0" w:noVBand="1"/>
      </w:tblPr>
      <w:tblGrid>
        <w:gridCol w:w="5630"/>
        <w:gridCol w:w="2555"/>
      </w:tblGrid>
      <w:tr w:rsidR="00ED601B" w:rsidRPr="005F6F59" w14:paraId="49255554" w14:textId="77777777" w:rsidTr="00D30110">
        <w:trPr>
          <w:trHeight w:val="263"/>
          <w:jc w:val="center"/>
        </w:trPr>
        <w:tc>
          <w:tcPr>
            <w:tcW w:w="0" w:type="auto"/>
            <w:hideMark/>
          </w:tcPr>
          <w:p w14:paraId="20B34914"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Metric</w:t>
            </w:r>
          </w:p>
        </w:tc>
        <w:tc>
          <w:tcPr>
            <w:tcW w:w="0" w:type="auto"/>
            <w:hideMark/>
          </w:tcPr>
          <w:p w14:paraId="190753C4"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Value</w:t>
            </w:r>
          </w:p>
        </w:tc>
      </w:tr>
      <w:tr w:rsidR="00ED601B" w:rsidRPr="005F6F59" w14:paraId="4C60E6D2" w14:textId="77777777" w:rsidTr="00D30110">
        <w:trPr>
          <w:trHeight w:val="263"/>
          <w:jc w:val="center"/>
        </w:trPr>
        <w:tc>
          <w:tcPr>
            <w:tcW w:w="0" w:type="auto"/>
            <w:hideMark/>
          </w:tcPr>
          <w:p w14:paraId="38474A2A"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Adjusted R²</w:t>
            </w:r>
          </w:p>
        </w:tc>
        <w:tc>
          <w:tcPr>
            <w:tcW w:w="0" w:type="auto"/>
            <w:hideMark/>
          </w:tcPr>
          <w:p w14:paraId="21F4EE26"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0.793</w:t>
            </w:r>
          </w:p>
        </w:tc>
      </w:tr>
      <w:tr w:rsidR="00ED601B" w:rsidRPr="005F6F59" w14:paraId="17A2033C" w14:textId="77777777" w:rsidTr="00D30110">
        <w:trPr>
          <w:trHeight w:val="263"/>
          <w:jc w:val="center"/>
        </w:trPr>
        <w:tc>
          <w:tcPr>
            <w:tcW w:w="0" w:type="auto"/>
            <w:hideMark/>
          </w:tcPr>
          <w:p w14:paraId="3C83D6EA"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F-statistic</w:t>
            </w:r>
          </w:p>
        </w:tc>
        <w:tc>
          <w:tcPr>
            <w:tcW w:w="0" w:type="auto"/>
            <w:hideMark/>
          </w:tcPr>
          <w:p w14:paraId="28D89392"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35.41</w:t>
            </w:r>
          </w:p>
        </w:tc>
      </w:tr>
      <w:tr w:rsidR="00ED601B" w:rsidRPr="005F6F59" w14:paraId="2A568A11" w14:textId="77777777" w:rsidTr="00D30110">
        <w:trPr>
          <w:trHeight w:val="263"/>
          <w:jc w:val="center"/>
        </w:trPr>
        <w:tc>
          <w:tcPr>
            <w:tcW w:w="0" w:type="auto"/>
            <w:hideMark/>
          </w:tcPr>
          <w:p w14:paraId="3D62DB4E"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p-value (F-statistic)</w:t>
            </w:r>
          </w:p>
        </w:tc>
        <w:tc>
          <w:tcPr>
            <w:tcW w:w="0" w:type="auto"/>
            <w:hideMark/>
          </w:tcPr>
          <w:p w14:paraId="14841641" w14:textId="77777777" w:rsidR="00ED601B" w:rsidRPr="005F6F59" w:rsidRDefault="00ED601B" w:rsidP="00D30110">
            <w:pPr>
              <w:pStyle w:val="NormalWeb"/>
              <w:spacing w:before="0" w:beforeAutospacing="0" w:after="240" w:afterAutospacing="0"/>
              <w:rPr>
                <w:rFonts w:ascii="Arial" w:hAnsi="Arial" w:cs="Arial"/>
              </w:rPr>
            </w:pPr>
            <w:r w:rsidRPr="005F6F59">
              <w:rPr>
                <w:rFonts w:ascii="Arial" w:hAnsi="Arial" w:cs="Arial"/>
                <w:color w:val="000000"/>
              </w:rPr>
              <w:t>&lt; 0.001</w:t>
            </w:r>
          </w:p>
        </w:tc>
      </w:tr>
    </w:tbl>
    <w:p w14:paraId="54FB6878" w14:textId="29AE4A77" w:rsidR="00ED601B" w:rsidRPr="005F6F59" w:rsidRDefault="00ED601B" w:rsidP="00D30110">
      <w:pPr>
        <w:pStyle w:val="NormalWeb"/>
        <w:spacing w:before="160" w:beforeAutospacing="0" w:after="240" w:afterAutospacing="0"/>
        <w:rPr>
          <w:rFonts w:ascii="Arial" w:hAnsi="Arial" w:cs="Arial"/>
          <w:color w:val="000000"/>
        </w:rPr>
      </w:pPr>
      <w:r w:rsidRPr="005F6F59">
        <w:rPr>
          <w:rFonts w:ascii="Arial" w:hAnsi="Arial" w:cs="Arial"/>
          <w:color w:val="000000"/>
        </w:rPr>
        <w:t>To assess the interrelationships among the governance indicators and fraud ra</w:t>
      </w:r>
      <w:r w:rsidR="00336FD9" w:rsidRPr="005F6F59">
        <w:rPr>
          <w:rFonts w:ascii="Arial" w:hAnsi="Arial" w:cs="Arial"/>
          <w:color w:val="000000"/>
        </w:rPr>
        <w:t>tes, a correlogram (see Figure 3</w:t>
      </w:r>
      <w:r w:rsidRPr="005F6F59">
        <w:rPr>
          <w:rFonts w:ascii="Arial" w:hAnsi="Arial" w:cs="Arial"/>
          <w:color w:val="000000"/>
        </w:rPr>
        <w:t>) was generated. This matrix offers a triangular visualization of correlations, where the negative correlations between fraud rates and all governance metrics are clearly observable. Specifically, the Governance Score and Data Privacy Score show the strongest negative associations with fraud.</w:t>
      </w:r>
    </w:p>
    <w:p w14:paraId="390C33C6" w14:textId="77777777" w:rsidR="00336FD9" w:rsidRPr="005F6F59" w:rsidRDefault="00336FD9" w:rsidP="00D30110">
      <w:pPr>
        <w:pStyle w:val="NormalWeb"/>
        <w:spacing w:before="160" w:beforeAutospacing="0" w:after="240" w:afterAutospacing="0"/>
        <w:rPr>
          <w:rFonts w:ascii="Arial" w:hAnsi="Arial" w:cs="Arial"/>
          <w:noProof/>
        </w:rPr>
      </w:pPr>
    </w:p>
    <w:p w14:paraId="2A9A516E" w14:textId="4FE2560E" w:rsidR="00ED601B" w:rsidRPr="005F6F59" w:rsidRDefault="00ED601B"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2C03F3BA" wp14:editId="14ECB0A0">
            <wp:extent cx="5466926" cy="37001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ogram_governance.png"/>
                    <pic:cNvPicPr/>
                  </pic:nvPicPr>
                  <pic:blipFill rotWithShape="1">
                    <a:blip r:embed="rId9" cstate="print">
                      <a:extLst>
                        <a:ext uri="{28A0092B-C50C-407E-A947-70E740481C1C}">
                          <a14:useLocalDpi xmlns:a14="http://schemas.microsoft.com/office/drawing/2010/main" val="0"/>
                        </a:ext>
                      </a:extLst>
                    </a:blip>
                    <a:srcRect t="9757"/>
                    <a:stretch/>
                  </pic:blipFill>
                  <pic:spPr bwMode="auto">
                    <a:xfrm>
                      <a:off x="0" y="0"/>
                      <a:ext cx="5471686" cy="3703367"/>
                    </a:xfrm>
                    <a:prstGeom prst="rect">
                      <a:avLst/>
                    </a:prstGeom>
                    <a:ln>
                      <a:noFill/>
                    </a:ln>
                    <a:extLst>
                      <a:ext uri="{53640926-AAD7-44D8-BBD7-CCE9431645EC}">
                        <a14:shadowObscured xmlns:a14="http://schemas.microsoft.com/office/drawing/2010/main"/>
                      </a:ext>
                    </a:extLst>
                  </pic:spPr>
                </pic:pic>
              </a:graphicData>
            </a:graphic>
          </wp:inline>
        </w:drawing>
      </w:r>
    </w:p>
    <w:p w14:paraId="4BE3A992" w14:textId="20CCA7CE" w:rsidR="00ED601B" w:rsidRPr="00D30110" w:rsidRDefault="00ED601B" w:rsidP="00D30110">
      <w:pPr>
        <w:pStyle w:val="NormalWeb"/>
        <w:spacing w:before="160" w:beforeAutospacing="0" w:after="240" w:afterAutospacing="0"/>
        <w:jc w:val="center"/>
        <w:rPr>
          <w:rFonts w:ascii="Arial" w:hAnsi="Arial" w:cs="Arial"/>
          <w:b/>
          <w:i/>
        </w:rPr>
      </w:pPr>
      <w:r w:rsidRPr="00D30110">
        <w:rPr>
          <w:rFonts w:ascii="Arial" w:hAnsi="Arial" w:cs="Arial"/>
          <w:b/>
          <w:i/>
          <w:color w:val="000000"/>
        </w:rPr>
        <w:lastRenderedPageBreak/>
        <w:t xml:space="preserve">Figure </w:t>
      </w:r>
      <w:r w:rsidR="00336FD9" w:rsidRPr="00D30110">
        <w:rPr>
          <w:rFonts w:ascii="Arial" w:hAnsi="Arial" w:cs="Arial"/>
          <w:b/>
          <w:i/>
          <w:color w:val="000000"/>
        </w:rPr>
        <w:t>3</w:t>
      </w:r>
      <w:r w:rsidRPr="00D30110">
        <w:rPr>
          <w:rFonts w:ascii="Arial" w:hAnsi="Arial" w:cs="Arial"/>
          <w:b/>
          <w:i/>
          <w:color w:val="000000"/>
        </w:rPr>
        <w:t xml:space="preserve">: </w:t>
      </w:r>
      <w:r w:rsidRPr="00D30110">
        <w:rPr>
          <w:rFonts w:ascii="Arial" w:hAnsi="Arial" w:cs="Arial"/>
          <w:b/>
          <w:i/>
          <w:iCs/>
          <w:color w:val="000000"/>
        </w:rPr>
        <w:t>Triangular Correlogram of Governance Scores and Fraud Rate Correlations</w:t>
      </w:r>
    </w:p>
    <w:p w14:paraId="77ED280B" w14:textId="31F9E543" w:rsidR="00ED601B" w:rsidRPr="005F6F59" w:rsidRDefault="00ED601B" w:rsidP="00D30110">
      <w:pPr>
        <w:pStyle w:val="NormalWeb"/>
        <w:spacing w:before="160" w:beforeAutospacing="0" w:after="240" w:afterAutospacing="0"/>
        <w:rPr>
          <w:rFonts w:ascii="Arial" w:hAnsi="Arial" w:cs="Arial"/>
          <w:color w:val="000000"/>
        </w:rPr>
      </w:pPr>
      <w:r w:rsidRPr="005F6F59">
        <w:rPr>
          <w:rFonts w:ascii="Arial" w:hAnsi="Arial" w:cs="Arial"/>
          <w:color w:val="000000"/>
        </w:rPr>
        <w:t xml:space="preserve">The direction and magnitude of the regression coefficients further corroborate these associations. As shown in Figure </w:t>
      </w:r>
      <w:r w:rsidR="00336FD9" w:rsidRPr="005F6F59">
        <w:rPr>
          <w:rFonts w:ascii="Arial" w:hAnsi="Arial" w:cs="Arial"/>
          <w:color w:val="000000"/>
        </w:rPr>
        <w:t>4</w:t>
      </w:r>
      <w:r w:rsidRPr="005F6F59">
        <w:rPr>
          <w:rFonts w:ascii="Arial" w:hAnsi="Arial" w:cs="Arial"/>
          <w:color w:val="000000"/>
        </w:rPr>
        <w:t xml:space="preserve">, the coefficient for </w:t>
      </w:r>
      <w:r w:rsidRPr="005F6F59">
        <w:rPr>
          <w:rFonts w:ascii="Arial" w:hAnsi="Arial" w:cs="Arial"/>
          <w:i/>
          <w:iCs/>
          <w:color w:val="000000"/>
        </w:rPr>
        <w:t>Governance Score</w:t>
      </w:r>
      <w:r w:rsidRPr="005F6F59">
        <w:rPr>
          <w:rFonts w:ascii="Arial" w:hAnsi="Arial" w:cs="Arial"/>
          <w:color w:val="000000"/>
        </w:rPr>
        <w:t xml:space="preserve"> is -0.466 and statistically significant (p &lt; 0.001), meaning each point increase in governance reduces the predicted fraud rate by nearly half a point. The </w:t>
      </w:r>
      <w:r w:rsidRPr="005F6F59">
        <w:rPr>
          <w:rFonts w:ascii="Arial" w:hAnsi="Arial" w:cs="Arial"/>
          <w:i/>
          <w:iCs/>
          <w:color w:val="000000"/>
        </w:rPr>
        <w:t>Data Privacy Score</w:t>
      </w:r>
      <w:r w:rsidRPr="005F6F59">
        <w:rPr>
          <w:rFonts w:ascii="Arial" w:hAnsi="Arial" w:cs="Arial"/>
          <w:color w:val="000000"/>
        </w:rPr>
        <w:t xml:space="preserve"> also demonstrated substantial impact (β = -0.437, p &lt; 0.001), affirming that countries with enforceable data rights face lower digital financial crime risks.</w:t>
      </w:r>
    </w:p>
    <w:p w14:paraId="3EEE825E" w14:textId="6DB4231C" w:rsidR="00ED601B" w:rsidRPr="005F6F59" w:rsidRDefault="00ED601B"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32B3DCB6" wp14:editId="7D53DA5A">
            <wp:extent cx="5501640" cy="343852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mbbell_coefficien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640" cy="3438525"/>
                    </a:xfrm>
                    <a:prstGeom prst="rect">
                      <a:avLst/>
                    </a:prstGeom>
                  </pic:spPr>
                </pic:pic>
              </a:graphicData>
            </a:graphic>
          </wp:inline>
        </w:drawing>
      </w:r>
    </w:p>
    <w:p w14:paraId="60261E50" w14:textId="62F79335" w:rsidR="00ED601B" w:rsidRPr="00D30110" w:rsidRDefault="00ED601B" w:rsidP="00D30110">
      <w:pPr>
        <w:pStyle w:val="NormalWeb"/>
        <w:spacing w:before="160" w:beforeAutospacing="0" w:after="240" w:afterAutospacing="0"/>
        <w:jc w:val="center"/>
        <w:rPr>
          <w:rFonts w:ascii="Arial" w:hAnsi="Arial" w:cs="Arial"/>
          <w:b/>
          <w:i/>
        </w:rPr>
      </w:pPr>
      <w:r w:rsidRPr="00D30110">
        <w:rPr>
          <w:rFonts w:ascii="Arial" w:hAnsi="Arial" w:cs="Arial"/>
          <w:b/>
          <w:i/>
          <w:color w:val="000000"/>
        </w:rPr>
        <w:t xml:space="preserve">Figure </w:t>
      </w:r>
      <w:r w:rsidR="00336FD9" w:rsidRPr="00D30110">
        <w:rPr>
          <w:rFonts w:ascii="Arial" w:hAnsi="Arial" w:cs="Arial"/>
          <w:b/>
          <w:i/>
          <w:color w:val="000000"/>
        </w:rPr>
        <w:t>4</w:t>
      </w:r>
      <w:r w:rsidRPr="00D30110">
        <w:rPr>
          <w:rFonts w:ascii="Arial" w:hAnsi="Arial" w:cs="Arial"/>
          <w:b/>
          <w:i/>
          <w:color w:val="000000"/>
        </w:rPr>
        <w:t xml:space="preserve">: </w:t>
      </w:r>
      <w:r w:rsidRPr="00D30110">
        <w:rPr>
          <w:rFonts w:ascii="Arial" w:hAnsi="Arial" w:cs="Arial"/>
          <w:b/>
          <w:i/>
          <w:iCs/>
          <w:color w:val="000000"/>
        </w:rPr>
        <w:t>Dumbbell Plot of Regression Coefficients for Governance Variables</w:t>
      </w:r>
    </w:p>
    <w:p w14:paraId="3165C7B1" w14:textId="77777777" w:rsidR="00ED601B" w:rsidRPr="005F6F59" w:rsidRDefault="00ED601B" w:rsidP="00D30110">
      <w:pPr>
        <w:pStyle w:val="NormalWeb"/>
        <w:spacing w:before="160" w:beforeAutospacing="0" w:after="240" w:afterAutospacing="0"/>
        <w:rPr>
          <w:rFonts w:ascii="Arial" w:hAnsi="Arial" w:cs="Arial"/>
        </w:rPr>
      </w:pPr>
      <w:r w:rsidRPr="005F6F59">
        <w:rPr>
          <w:rFonts w:ascii="Arial" w:hAnsi="Arial" w:cs="Arial"/>
          <w:color w:val="000000"/>
        </w:rPr>
        <w:t>These findings underscore the centrality of data governance in shaping the operational security and ethical soundness of intelligent fraud systems. As the adoption of behavioural biometrics and AI-driven mechanisms expands, the regulatory and policy framework supporting their use must be equally sophisticated and proactive.</w:t>
      </w:r>
    </w:p>
    <w:p w14:paraId="4122B094" w14:textId="06CB2618" w:rsidR="007A1DE1" w:rsidRPr="005F6F59" w:rsidRDefault="00A5339A" w:rsidP="00D30110">
      <w:pPr>
        <w:pStyle w:val="NormalWeb"/>
        <w:spacing w:before="160" w:beforeAutospacing="0" w:after="240" w:afterAutospacing="0"/>
        <w:rPr>
          <w:rFonts w:ascii="Arial" w:hAnsi="Arial" w:cs="Arial"/>
        </w:rPr>
      </w:pPr>
      <w:r w:rsidRPr="005F6F59">
        <w:rPr>
          <w:rFonts w:ascii="Arial" w:hAnsi="Arial" w:cs="Arial"/>
          <w:b/>
          <w:bCs/>
          <w:color w:val="0D0D0D"/>
          <w:shd w:val="clear" w:color="auto" w:fill="FFFFFF"/>
        </w:rPr>
        <w:t>Objective</w:t>
      </w:r>
      <w:r w:rsidR="007A1DE1" w:rsidRPr="005F6F59">
        <w:rPr>
          <w:rFonts w:ascii="Arial" w:hAnsi="Arial" w:cs="Arial"/>
          <w:b/>
          <w:bCs/>
          <w:color w:val="0D0D0D"/>
          <w:shd w:val="clear" w:color="auto" w:fill="FFFFFF"/>
        </w:rPr>
        <w:t xml:space="preserve"> 3: Analyze real-world case studies where behavioural biometrics have been deployed for fraud prevention, highlighting key outcomes, challenges, and best practices.</w:t>
      </w:r>
    </w:p>
    <w:p w14:paraId="6ADCFCC6" w14:textId="163482BF" w:rsidR="007A1DE1" w:rsidRPr="005F6F59" w:rsidRDefault="007A1DE1" w:rsidP="00D30110">
      <w:pPr>
        <w:pStyle w:val="NormalWeb"/>
        <w:spacing w:before="160" w:beforeAutospacing="0" w:after="240" w:afterAutospacing="0"/>
        <w:rPr>
          <w:rFonts w:ascii="Arial" w:hAnsi="Arial" w:cs="Arial"/>
        </w:rPr>
      </w:pPr>
      <w:r w:rsidRPr="005F6F59">
        <w:rPr>
          <w:rFonts w:ascii="Arial" w:hAnsi="Arial" w:cs="Arial"/>
          <w:color w:val="0D0D0D"/>
          <w:shd w:val="clear" w:color="auto" w:fill="FFFFFF"/>
        </w:rPr>
        <w:t xml:space="preserve">In analyzing post-deployment performance improvements across organizations, with an emphasis on incident reduction, statistical validation, and operational consistency </w:t>
      </w:r>
      <w:r w:rsidR="00673902" w:rsidRPr="005F6F59">
        <w:rPr>
          <w:rFonts w:ascii="Arial" w:hAnsi="Arial" w:cs="Arial"/>
          <w:color w:val="0D0D0D"/>
          <w:shd w:val="clear" w:color="auto" w:fill="FFFFFF"/>
        </w:rPr>
        <w:t>a</w:t>
      </w:r>
      <w:r w:rsidR="00BE4625" w:rsidRPr="005F6F59">
        <w:rPr>
          <w:rFonts w:ascii="Arial" w:hAnsi="Arial" w:cs="Arial"/>
          <w:color w:val="0D0D0D"/>
          <w:shd w:val="clear" w:color="auto" w:fill="FFFFFF"/>
        </w:rPr>
        <w:t xml:space="preserve"> </w:t>
      </w:r>
      <w:proofErr w:type="gramStart"/>
      <w:r w:rsidR="00BE4625" w:rsidRPr="005F6F59">
        <w:rPr>
          <w:rFonts w:ascii="Arial" w:hAnsi="Arial" w:cs="Arial"/>
          <w:color w:val="0D0D0D"/>
          <w:shd w:val="clear" w:color="auto" w:fill="FFFFFF"/>
        </w:rPr>
        <w:t>descriptive statistics</w:t>
      </w:r>
      <w:r w:rsidR="00673902" w:rsidRPr="005F6F59">
        <w:rPr>
          <w:rFonts w:ascii="Arial" w:hAnsi="Arial" w:cs="Arial"/>
          <w:color w:val="0D0D0D"/>
          <w:shd w:val="clear" w:color="auto" w:fill="FFFFFF"/>
        </w:rPr>
        <w:t xml:space="preserve"> (Using the mean)</w:t>
      </w:r>
      <w:proofErr w:type="gramEnd"/>
      <w:r w:rsidR="00BE4625" w:rsidRPr="005F6F59">
        <w:rPr>
          <w:rFonts w:ascii="Arial" w:hAnsi="Arial" w:cs="Arial"/>
          <w:color w:val="0D0D0D"/>
          <w:shd w:val="clear" w:color="auto" w:fill="FFFFFF"/>
        </w:rPr>
        <w:t xml:space="preserve"> w</w:t>
      </w:r>
      <w:r w:rsidR="00673902" w:rsidRPr="005F6F59">
        <w:rPr>
          <w:rFonts w:ascii="Arial" w:hAnsi="Arial" w:cs="Arial"/>
          <w:color w:val="0D0D0D"/>
          <w:shd w:val="clear" w:color="auto" w:fill="FFFFFF"/>
        </w:rPr>
        <w:t xml:space="preserve">as </w:t>
      </w:r>
      <w:r w:rsidRPr="005F6F59">
        <w:rPr>
          <w:rFonts w:ascii="Arial" w:hAnsi="Arial" w:cs="Arial"/>
          <w:color w:val="0D0D0D"/>
          <w:shd w:val="clear" w:color="auto" w:fill="FFFFFF"/>
        </w:rPr>
        <w:t xml:space="preserve">adopted.  The result across fifteen financial institutions that deployed </w:t>
      </w:r>
      <w:r w:rsidR="00BE4625" w:rsidRPr="005F6F59">
        <w:rPr>
          <w:rFonts w:ascii="Arial" w:hAnsi="Arial" w:cs="Arial"/>
          <w:color w:val="0D0D0D"/>
          <w:shd w:val="clear" w:color="auto" w:fill="FFFFFF"/>
        </w:rPr>
        <w:t>behavioral</w:t>
      </w:r>
      <w:r w:rsidRPr="005F6F59">
        <w:rPr>
          <w:rFonts w:ascii="Arial" w:hAnsi="Arial" w:cs="Arial"/>
          <w:color w:val="0D0D0D"/>
          <w:shd w:val="clear" w:color="auto" w:fill="FFFFFF"/>
        </w:rPr>
        <w:t xml:space="preserve"> biometric systems showed consistent reductions in fraud incidents. The mean number of fraud incidents before deployment was approximately 119.9, compared to 77.3 incidents post-deployment, resulting in an </w:t>
      </w:r>
      <w:r w:rsidRPr="005F6F59">
        <w:rPr>
          <w:rFonts w:ascii="Arial" w:hAnsi="Arial" w:cs="Arial"/>
          <w:color w:val="0D0D0D"/>
          <w:shd w:val="clear" w:color="auto" w:fill="FFFFFF"/>
        </w:rPr>
        <w:lastRenderedPageBreak/>
        <w:t>average reduction of 35.5%. The observed differences were statistically significant as confirmed by a Wilcoxon Signed-Rank test with p &lt; .001, indicating that these reductions were not due to chance but directly associated with the implementation of behavioural systems. The results are presented in Table 3.</w:t>
      </w:r>
    </w:p>
    <w:p w14:paraId="3ADA1E0F" w14:textId="77777777" w:rsidR="007A1DE1" w:rsidRPr="00D30110" w:rsidRDefault="007A1DE1" w:rsidP="00D30110">
      <w:pPr>
        <w:pStyle w:val="NormalWeb"/>
        <w:spacing w:before="160" w:beforeAutospacing="0" w:after="240" w:afterAutospacing="0"/>
        <w:jc w:val="center"/>
        <w:rPr>
          <w:rFonts w:ascii="Arial" w:hAnsi="Arial" w:cs="Arial"/>
          <w:b/>
          <w:i/>
        </w:rPr>
      </w:pPr>
      <w:r w:rsidRPr="00D30110">
        <w:rPr>
          <w:rFonts w:ascii="Arial" w:hAnsi="Arial" w:cs="Arial"/>
          <w:b/>
          <w:i/>
          <w:color w:val="0D0D0D"/>
          <w:shd w:val="clear" w:color="auto" w:fill="FFFFFF"/>
        </w:rPr>
        <w:t xml:space="preserve">Table 3: </w:t>
      </w:r>
      <w:r w:rsidRPr="00D30110">
        <w:rPr>
          <w:rFonts w:ascii="Arial" w:hAnsi="Arial" w:cs="Arial"/>
          <w:b/>
          <w:i/>
          <w:iCs/>
          <w:color w:val="0D0D0D"/>
          <w:shd w:val="clear" w:color="auto" w:fill="FFFFFF"/>
        </w:rPr>
        <w:t>Summary of Fraud Incident Reductions Following Behavioural Biometric Implementation</w:t>
      </w:r>
    </w:p>
    <w:tbl>
      <w:tblPr>
        <w:tblStyle w:val="TableGrid"/>
        <w:tblW w:w="9285" w:type="dxa"/>
        <w:jc w:val="center"/>
        <w:tblLook w:val="04A0" w:firstRow="1" w:lastRow="0" w:firstColumn="1" w:lastColumn="0" w:noHBand="0" w:noVBand="1"/>
      </w:tblPr>
      <w:tblGrid>
        <w:gridCol w:w="6937"/>
        <w:gridCol w:w="2348"/>
      </w:tblGrid>
      <w:tr w:rsidR="007A1DE1" w:rsidRPr="005F6F59" w14:paraId="46DA4798" w14:textId="77777777" w:rsidTr="00D30110">
        <w:trPr>
          <w:trHeight w:val="266"/>
          <w:jc w:val="center"/>
        </w:trPr>
        <w:tc>
          <w:tcPr>
            <w:tcW w:w="0" w:type="auto"/>
            <w:hideMark/>
          </w:tcPr>
          <w:p w14:paraId="5CBFEF1A"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Metric</w:t>
            </w:r>
          </w:p>
        </w:tc>
        <w:tc>
          <w:tcPr>
            <w:tcW w:w="0" w:type="auto"/>
            <w:hideMark/>
          </w:tcPr>
          <w:p w14:paraId="4A44A77D"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Value</w:t>
            </w:r>
          </w:p>
        </w:tc>
      </w:tr>
      <w:tr w:rsidR="007A1DE1" w:rsidRPr="005F6F59" w14:paraId="729930B8" w14:textId="77777777" w:rsidTr="00D30110">
        <w:trPr>
          <w:trHeight w:val="266"/>
          <w:jc w:val="center"/>
        </w:trPr>
        <w:tc>
          <w:tcPr>
            <w:tcW w:w="0" w:type="auto"/>
            <w:hideMark/>
          </w:tcPr>
          <w:p w14:paraId="3EF95C40"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Mean Fraud Before</w:t>
            </w:r>
          </w:p>
        </w:tc>
        <w:tc>
          <w:tcPr>
            <w:tcW w:w="0" w:type="auto"/>
            <w:hideMark/>
          </w:tcPr>
          <w:p w14:paraId="7F54C868"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119.9</w:t>
            </w:r>
          </w:p>
        </w:tc>
      </w:tr>
      <w:tr w:rsidR="007A1DE1" w:rsidRPr="005F6F59" w14:paraId="4718915C" w14:textId="77777777" w:rsidTr="00D30110">
        <w:trPr>
          <w:trHeight w:val="266"/>
          <w:jc w:val="center"/>
        </w:trPr>
        <w:tc>
          <w:tcPr>
            <w:tcW w:w="0" w:type="auto"/>
            <w:hideMark/>
          </w:tcPr>
          <w:p w14:paraId="79EEF542"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Mean Fraud After</w:t>
            </w:r>
          </w:p>
        </w:tc>
        <w:tc>
          <w:tcPr>
            <w:tcW w:w="0" w:type="auto"/>
            <w:hideMark/>
          </w:tcPr>
          <w:p w14:paraId="5F43CCE7"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77.3</w:t>
            </w:r>
          </w:p>
        </w:tc>
      </w:tr>
      <w:tr w:rsidR="007A1DE1" w:rsidRPr="005F6F59" w14:paraId="6473A7E6" w14:textId="77777777" w:rsidTr="00D30110">
        <w:trPr>
          <w:trHeight w:val="266"/>
          <w:jc w:val="center"/>
        </w:trPr>
        <w:tc>
          <w:tcPr>
            <w:tcW w:w="0" w:type="auto"/>
            <w:hideMark/>
          </w:tcPr>
          <w:p w14:paraId="148D4F4A"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Mean Reduction (%)</w:t>
            </w:r>
          </w:p>
        </w:tc>
        <w:tc>
          <w:tcPr>
            <w:tcW w:w="0" w:type="auto"/>
            <w:hideMark/>
          </w:tcPr>
          <w:p w14:paraId="0C278DB2"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35.5</w:t>
            </w:r>
          </w:p>
        </w:tc>
      </w:tr>
      <w:tr w:rsidR="007A1DE1" w:rsidRPr="005F6F59" w14:paraId="0E791140" w14:textId="77777777" w:rsidTr="00D30110">
        <w:trPr>
          <w:trHeight w:val="266"/>
          <w:jc w:val="center"/>
        </w:trPr>
        <w:tc>
          <w:tcPr>
            <w:tcW w:w="0" w:type="auto"/>
            <w:hideMark/>
          </w:tcPr>
          <w:p w14:paraId="43FD1246"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Wilcoxon Test Statistic</w:t>
            </w:r>
          </w:p>
        </w:tc>
        <w:tc>
          <w:tcPr>
            <w:tcW w:w="0" w:type="auto"/>
            <w:hideMark/>
          </w:tcPr>
          <w:p w14:paraId="5EB2DA99"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0.0</w:t>
            </w:r>
          </w:p>
        </w:tc>
      </w:tr>
      <w:tr w:rsidR="007A1DE1" w:rsidRPr="005F6F59" w14:paraId="5E361B30" w14:textId="77777777" w:rsidTr="00D30110">
        <w:trPr>
          <w:trHeight w:val="266"/>
          <w:jc w:val="center"/>
        </w:trPr>
        <w:tc>
          <w:tcPr>
            <w:tcW w:w="0" w:type="auto"/>
            <w:hideMark/>
          </w:tcPr>
          <w:p w14:paraId="55978CC8"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p-value</w:t>
            </w:r>
          </w:p>
        </w:tc>
        <w:tc>
          <w:tcPr>
            <w:tcW w:w="0" w:type="auto"/>
            <w:hideMark/>
          </w:tcPr>
          <w:p w14:paraId="3200A7E7" w14:textId="77777777" w:rsidR="007A1DE1" w:rsidRPr="005F6F59" w:rsidRDefault="007A1DE1" w:rsidP="00D30110">
            <w:pPr>
              <w:pStyle w:val="NormalWeb"/>
              <w:spacing w:before="0" w:beforeAutospacing="0" w:after="240" w:afterAutospacing="0"/>
              <w:rPr>
                <w:rFonts w:ascii="Arial" w:hAnsi="Arial" w:cs="Arial"/>
              </w:rPr>
            </w:pPr>
            <w:r w:rsidRPr="005F6F59">
              <w:rPr>
                <w:rFonts w:ascii="Arial" w:hAnsi="Arial" w:cs="Arial"/>
                <w:color w:val="0D0D0D"/>
                <w:shd w:val="clear" w:color="auto" w:fill="FFFFFF"/>
              </w:rPr>
              <w:t>&lt; .001</w:t>
            </w:r>
          </w:p>
        </w:tc>
      </w:tr>
    </w:tbl>
    <w:p w14:paraId="5CBDEB35" w14:textId="626E1ED8" w:rsidR="007A1DE1" w:rsidRPr="005F6F59" w:rsidRDefault="007A1DE1" w:rsidP="00D30110">
      <w:pPr>
        <w:pStyle w:val="NormalWeb"/>
        <w:spacing w:before="160" w:beforeAutospacing="0" w:after="240" w:afterAutospacing="0"/>
        <w:rPr>
          <w:rFonts w:ascii="Arial" w:hAnsi="Arial" w:cs="Arial"/>
          <w:color w:val="0D0D0D"/>
          <w:shd w:val="clear" w:color="auto" w:fill="FFFFFF"/>
        </w:rPr>
      </w:pPr>
      <w:r w:rsidRPr="005F6F59">
        <w:rPr>
          <w:rFonts w:ascii="Arial" w:hAnsi="Arial" w:cs="Arial"/>
          <w:color w:val="0D0D0D"/>
          <w:shd w:val="clear" w:color="auto" w:fill="FFFFFF"/>
        </w:rPr>
        <w:t xml:space="preserve">To visually reflect the incident-level changes across organizations, a </w:t>
      </w:r>
      <w:proofErr w:type="spellStart"/>
      <w:r w:rsidRPr="005F6F59">
        <w:rPr>
          <w:rFonts w:ascii="Arial" w:hAnsi="Arial" w:cs="Arial"/>
          <w:color w:val="0D0D0D"/>
          <w:shd w:val="clear" w:color="auto" w:fill="FFFFFF"/>
        </w:rPr>
        <w:t>slopegraph</w:t>
      </w:r>
      <w:proofErr w:type="spellEnd"/>
      <w:r w:rsidRPr="005F6F59">
        <w:rPr>
          <w:rFonts w:ascii="Arial" w:hAnsi="Arial" w:cs="Arial"/>
          <w:color w:val="0D0D0D"/>
          <w:shd w:val="clear" w:color="auto" w:fill="FFFFFF"/>
        </w:rPr>
        <w:t xml:space="preserve"> was created (see Figure 5). This graph captures individual transitions, showing a visible and consistent decline in fraud counts across all institutions after system integration.</w:t>
      </w:r>
    </w:p>
    <w:p w14:paraId="35A23889" w14:textId="0EB471A3" w:rsidR="002643CC" w:rsidRPr="005F6F59" w:rsidRDefault="002643CC"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3B78321D" wp14:editId="1AB1E406">
            <wp:extent cx="594360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pegraph_fraud_reduc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7CF54A3C" w14:textId="326C68F5" w:rsidR="007A1DE1" w:rsidRPr="00D30110" w:rsidRDefault="007A1DE1" w:rsidP="00D30110">
      <w:pPr>
        <w:pStyle w:val="NormalWeb"/>
        <w:spacing w:before="160" w:beforeAutospacing="0" w:after="240" w:afterAutospacing="0"/>
        <w:jc w:val="center"/>
        <w:rPr>
          <w:rFonts w:ascii="Arial" w:hAnsi="Arial" w:cs="Arial"/>
          <w:b/>
          <w:i/>
        </w:rPr>
      </w:pPr>
      <w:r w:rsidRPr="00D30110">
        <w:rPr>
          <w:rFonts w:ascii="Arial" w:hAnsi="Arial" w:cs="Arial"/>
          <w:b/>
          <w:i/>
          <w:color w:val="0D0D0D"/>
          <w:shd w:val="clear" w:color="auto" w:fill="FFFFFF"/>
        </w:rPr>
        <w:t>Figure 5</w:t>
      </w:r>
      <w:r w:rsidR="002643CC" w:rsidRPr="00D30110">
        <w:rPr>
          <w:rFonts w:ascii="Arial" w:hAnsi="Arial" w:cs="Arial"/>
          <w:b/>
          <w:i/>
          <w:color w:val="0D0D0D"/>
          <w:shd w:val="clear" w:color="auto" w:fill="FFFFFF"/>
        </w:rPr>
        <w:t xml:space="preserve">: </w:t>
      </w:r>
      <w:r w:rsidRPr="00D30110">
        <w:rPr>
          <w:rFonts w:ascii="Arial" w:hAnsi="Arial" w:cs="Arial"/>
          <w:b/>
          <w:i/>
          <w:color w:val="0D0D0D"/>
          <w:shd w:val="clear" w:color="auto" w:fill="FFFFFF"/>
        </w:rPr>
        <w:t xml:space="preserve"> </w:t>
      </w:r>
      <w:r w:rsidRPr="00D30110">
        <w:rPr>
          <w:rFonts w:ascii="Arial" w:hAnsi="Arial" w:cs="Arial"/>
          <w:b/>
          <w:i/>
          <w:iCs/>
          <w:color w:val="0D0D0D"/>
          <w:shd w:val="clear" w:color="auto" w:fill="FFFFFF"/>
        </w:rPr>
        <w:t>Slope</w:t>
      </w:r>
      <w:r w:rsidR="00654E0B" w:rsidRPr="00D30110">
        <w:rPr>
          <w:rFonts w:ascii="Arial" w:hAnsi="Arial" w:cs="Arial"/>
          <w:b/>
          <w:i/>
          <w:iCs/>
          <w:color w:val="0D0D0D"/>
          <w:shd w:val="clear" w:color="auto" w:fill="FFFFFF"/>
        </w:rPr>
        <w:t xml:space="preserve"> </w:t>
      </w:r>
      <w:r w:rsidRPr="00D30110">
        <w:rPr>
          <w:rFonts w:ascii="Arial" w:hAnsi="Arial" w:cs="Arial"/>
          <w:b/>
          <w:i/>
          <w:iCs/>
          <w:color w:val="0D0D0D"/>
          <w:shd w:val="clear" w:color="auto" w:fill="FFFFFF"/>
        </w:rPr>
        <w:t>graph of Pre- and Post-Implementation Fraud Incident Counts Across Institutions</w:t>
      </w:r>
    </w:p>
    <w:p w14:paraId="692DD4E8" w14:textId="38C0C134" w:rsidR="007A1DE1" w:rsidRPr="005F6F59" w:rsidRDefault="007A1DE1" w:rsidP="00D30110">
      <w:pPr>
        <w:pStyle w:val="NormalWeb"/>
        <w:spacing w:before="160" w:beforeAutospacing="0" w:after="240" w:afterAutospacing="0"/>
        <w:rPr>
          <w:rFonts w:ascii="Arial" w:hAnsi="Arial" w:cs="Arial"/>
          <w:color w:val="0D0D0D"/>
          <w:shd w:val="clear" w:color="auto" w:fill="FFFFFF"/>
        </w:rPr>
      </w:pPr>
      <w:r w:rsidRPr="005F6F59">
        <w:rPr>
          <w:rFonts w:ascii="Arial" w:hAnsi="Arial" w:cs="Arial"/>
          <w:color w:val="0D0D0D"/>
          <w:shd w:val="clear" w:color="auto" w:fill="FFFFFF"/>
        </w:rPr>
        <w:lastRenderedPageBreak/>
        <w:t>To complement the slope</w:t>
      </w:r>
      <w:r w:rsidR="00654E0B" w:rsidRPr="005F6F59">
        <w:rPr>
          <w:rFonts w:ascii="Arial" w:hAnsi="Arial" w:cs="Arial"/>
          <w:color w:val="0D0D0D"/>
          <w:shd w:val="clear" w:color="auto" w:fill="FFFFFF"/>
        </w:rPr>
        <w:t xml:space="preserve"> </w:t>
      </w:r>
      <w:r w:rsidRPr="005F6F59">
        <w:rPr>
          <w:rFonts w:ascii="Arial" w:hAnsi="Arial" w:cs="Arial"/>
          <w:color w:val="0D0D0D"/>
          <w:shd w:val="clear" w:color="auto" w:fill="FFFFFF"/>
        </w:rPr>
        <w:t xml:space="preserve">graph and illustrate the concentration of improvements, a raincloud-style violin plot was used to depict the distribution of fraud reduction percentages (see Figure 6). The chart shows that most organizations achieved between 25% and 45% reduction, reinforcing the reliability and replicability of </w:t>
      </w:r>
      <w:r w:rsidR="00A5339A" w:rsidRPr="005F6F59">
        <w:rPr>
          <w:rFonts w:ascii="Arial" w:hAnsi="Arial" w:cs="Arial"/>
          <w:color w:val="0D0D0D"/>
          <w:shd w:val="clear" w:color="auto" w:fill="FFFFFF"/>
        </w:rPr>
        <w:t>behavioral</w:t>
      </w:r>
      <w:r w:rsidRPr="005F6F59">
        <w:rPr>
          <w:rFonts w:ascii="Arial" w:hAnsi="Arial" w:cs="Arial"/>
          <w:color w:val="0D0D0D"/>
          <w:shd w:val="clear" w:color="auto" w:fill="FFFFFF"/>
        </w:rPr>
        <w:t xml:space="preserve"> biometric deployments.</w:t>
      </w:r>
    </w:p>
    <w:p w14:paraId="2C13A22E" w14:textId="57D98725" w:rsidR="002643CC" w:rsidRPr="005F6F59" w:rsidRDefault="002643CC"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4F226B69" wp14:editId="4C9EA605">
            <wp:extent cx="5753100" cy="4314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cloud_fraud_reduc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4364" cy="4315773"/>
                    </a:xfrm>
                    <a:prstGeom prst="rect">
                      <a:avLst/>
                    </a:prstGeom>
                  </pic:spPr>
                </pic:pic>
              </a:graphicData>
            </a:graphic>
          </wp:inline>
        </w:drawing>
      </w:r>
    </w:p>
    <w:p w14:paraId="1E4DC4E4" w14:textId="3EEEA6D9" w:rsidR="007A1DE1" w:rsidRPr="00D30110" w:rsidRDefault="007A1DE1" w:rsidP="00D30110">
      <w:pPr>
        <w:pStyle w:val="NormalWeb"/>
        <w:spacing w:before="160" w:beforeAutospacing="0" w:after="240" w:afterAutospacing="0"/>
        <w:jc w:val="center"/>
        <w:rPr>
          <w:rFonts w:ascii="Arial" w:hAnsi="Arial" w:cs="Arial"/>
          <w:b/>
          <w:i/>
        </w:rPr>
      </w:pPr>
      <w:r w:rsidRPr="00D30110">
        <w:rPr>
          <w:rFonts w:ascii="Arial" w:hAnsi="Arial" w:cs="Arial"/>
          <w:b/>
          <w:i/>
          <w:color w:val="0D0D0D"/>
          <w:shd w:val="clear" w:color="auto" w:fill="FFFFFF"/>
        </w:rPr>
        <w:t>Figure 6</w:t>
      </w:r>
      <w:r w:rsidR="002643CC" w:rsidRPr="00D30110">
        <w:rPr>
          <w:rFonts w:ascii="Arial" w:hAnsi="Arial" w:cs="Arial"/>
          <w:b/>
          <w:i/>
          <w:color w:val="0D0D0D"/>
          <w:shd w:val="clear" w:color="auto" w:fill="FFFFFF"/>
        </w:rPr>
        <w:t xml:space="preserve">: </w:t>
      </w:r>
      <w:r w:rsidRPr="00D30110">
        <w:rPr>
          <w:rFonts w:ascii="Arial" w:hAnsi="Arial" w:cs="Arial"/>
          <w:b/>
          <w:i/>
          <w:iCs/>
          <w:color w:val="0D0D0D"/>
          <w:shd w:val="clear" w:color="auto" w:fill="FFFFFF"/>
        </w:rPr>
        <w:t>Raincloud Visualization of Fraud Reduction Percentage Distribution Across Institutions</w:t>
      </w:r>
    </w:p>
    <w:p w14:paraId="0000004D" w14:textId="62863797" w:rsidR="000D5A02" w:rsidRPr="005F6F59" w:rsidRDefault="007A1DE1" w:rsidP="00D30110">
      <w:pPr>
        <w:pStyle w:val="NormalWeb"/>
        <w:spacing w:before="160" w:beforeAutospacing="0" w:after="240" w:afterAutospacing="0"/>
        <w:rPr>
          <w:rFonts w:ascii="Arial" w:hAnsi="Arial" w:cs="Arial"/>
        </w:rPr>
      </w:pPr>
      <w:r w:rsidRPr="005F6F59">
        <w:rPr>
          <w:rFonts w:ascii="Arial" w:hAnsi="Arial" w:cs="Arial"/>
          <w:color w:val="0D0D0D"/>
          <w:shd w:val="clear" w:color="auto" w:fill="FFFFFF"/>
        </w:rPr>
        <w:t xml:space="preserve">These outcomes confirm the real-world utility of </w:t>
      </w:r>
      <w:r w:rsidR="00A5339A" w:rsidRPr="005F6F59">
        <w:rPr>
          <w:rFonts w:ascii="Arial" w:hAnsi="Arial" w:cs="Arial"/>
          <w:color w:val="0D0D0D"/>
          <w:shd w:val="clear" w:color="auto" w:fill="FFFFFF"/>
        </w:rPr>
        <w:t>behavioral</w:t>
      </w:r>
      <w:r w:rsidRPr="005F6F59">
        <w:rPr>
          <w:rFonts w:ascii="Arial" w:hAnsi="Arial" w:cs="Arial"/>
          <w:color w:val="0D0D0D"/>
          <w:shd w:val="clear" w:color="auto" w:fill="FFFFFF"/>
        </w:rPr>
        <w:t xml:space="preserve"> biometrics not only in terms of fraud mitigation but also in their ability to scale effectively across organizational contexts while maintaining user experience. These results provide empirical backing for the adoption of such systems as integral components of modern financial fraud defense architectures.</w:t>
      </w:r>
    </w:p>
    <w:p w14:paraId="5737AA23" w14:textId="77777777" w:rsidR="00C26B27" w:rsidRPr="005F6F59" w:rsidRDefault="00C26B27" w:rsidP="00D30110">
      <w:pPr>
        <w:pStyle w:val="Heading3"/>
        <w:spacing w:before="280" w:after="240"/>
        <w:rPr>
          <w:b/>
          <w:sz w:val="24"/>
          <w:szCs w:val="24"/>
        </w:rPr>
      </w:pPr>
      <w:bookmarkStart w:id="4" w:name="_pcnf9x61mg0x" w:colFirst="0" w:colLast="0"/>
      <w:bookmarkEnd w:id="4"/>
      <w:r w:rsidRPr="005F6F59">
        <w:rPr>
          <w:b/>
          <w:color w:val="0D0D0D"/>
          <w:sz w:val="24"/>
          <w:szCs w:val="24"/>
          <w:shd w:val="clear" w:color="auto" w:fill="FFFFFF"/>
        </w:rPr>
        <w:t>Objective 4: Evaluate the relationship between data governance practices and the performance of intelligent fraud detection systems in the financial sector.</w:t>
      </w:r>
    </w:p>
    <w:p w14:paraId="0D86F83B" w14:textId="77777777" w:rsidR="00C26B27" w:rsidRPr="005F6F59" w:rsidRDefault="00C26B27" w:rsidP="00D30110">
      <w:pPr>
        <w:pStyle w:val="NormalWeb"/>
        <w:spacing w:before="160" w:beforeAutospacing="0" w:after="240" w:afterAutospacing="0"/>
        <w:rPr>
          <w:rFonts w:ascii="Arial" w:hAnsi="Arial" w:cs="Arial"/>
        </w:rPr>
      </w:pPr>
      <w:r w:rsidRPr="005F6F59">
        <w:rPr>
          <w:rFonts w:ascii="Arial" w:hAnsi="Arial" w:cs="Arial"/>
          <w:bCs/>
          <w:color w:val="0D0D0D"/>
          <w:shd w:val="clear" w:color="auto" w:fill="FFFFFF"/>
        </w:rPr>
        <w:t xml:space="preserve">As intelligent fraud detection systems become central to the financial sector’s digital infrastructure, their success increasingly depends on the governance structures within which they operate. Effective deployment is not solely determined by algorithmic </w:t>
      </w:r>
      <w:r w:rsidRPr="005F6F59">
        <w:rPr>
          <w:rFonts w:ascii="Arial" w:hAnsi="Arial" w:cs="Arial"/>
          <w:bCs/>
          <w:color w:val="0D0D0D"/>
          <w:shd w:val="clear" w:color="auto" w:fill="FFFFFF"/>
        </w:rPr>
        <w:lastRenderedPageBreak/>
        <w:t>sophistication but also by the maturity of governance indicators, such as AI readiness, privacy compliance, and institutional transparency. This section evaluates the statistical interaction between these governance variables and the observed performance of intelligent fraud detection systems.</w:t>
      </w:r>
    </w:p>
    <w:p w14:paraId="0DED980C" w14:textId="77777777" w:rsidR="00C26B27" w:rsidRPr="005F6F59" w:rsidRDefault="00C26B27" w:rsidP="00D30110">
      <w:pPr>
        <w:pStyle w:val="NormalWeb"/>
        <w:spacing w:before="160" w:beforeAutospacing="0" w:after="240" w:afterAutospacing="0"/>
        <w:rPr>
          <w:rFonts w:ascii="Arial" w:hAnsi="Arial" w:cs="Arial"/>
        </w:rPr>
      </w:pPr>
      <w:r w:rsidRPr="005F6F59">
        <w:rPr>
          <w:rFonts w:ascii="Arial" w:hAnsi="Arial" w:cs="Arial"/>
          <w:bCs/>
          <w:color w:val="0D0D0D"/>
          <w:shd w:val="clear" w:color="auto" w:fill="FFFFFF"/>
        </w:rPr>
        <w:t>The regression model produced an adjusted R² of 0.86, indicating that 86% of the variance in fraud detection performance across institutions is explained by governance and AI-related variables. As shown in Table 4, the model also returned a high F-statistic (36.41) and a p-value less than .001, confirming overall statistical significance. The Durbin-Watson statistic of 2.02 suggests no problematic autocorrelation in residuals.</w:t>
      </w:r>
    </w:p>
    <w:p w14:paraId="6EEEC911" w14:textId="0799D9FE"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t xml:space="preserve">Table 4: </w:t>
      </w:r>
      <w:r w:rsidRPr="00D30110">
        <w:rPr>
          <w:rFonts w:ascii="Arial" w:hAnsi="Arial" w:cs="Arial"/>
          <w:b/>
          <w:bCs/>
          <w:i/>
          <w:iCs/>
          <w:color w:val="0D0D0D"/>
          <w:shd w:val="clear" w:color="auto" w:fill="FFFFFF"/>
        </w:rPr>
        <w:t>Multivariate Regression Model Diagnostics for Governance-AI Variables on Fraud Detection Performance</w:t>
      </w:r>
    </w:p>
    <w:tbl>
      <w:tblPr>
        <w:tblStyle w:val="TableGrid"/>
        <w:tblW w:w="8907" w:type="dxa"/>
        <w:jc w:val="center"/>
        <w:tblLook w:val="04A0" w:firstRow="1" w:lastRow="0" w:firstColumn="1" w:lastColumn="0" w:noHBand="0" w:noVBand="1"/>
      </w:tblPr>
      <w:tblGrid>
        <w:gridCol w:w="6388"/>
        <w:gridCol w:w="2519"/>
      </w:tblGrid>
      <w:tr w:rsidR="00C26B27" w:rsidRPr="005F6F59" w14:paraId="0468116C" w14:textId="77777777" w:rsidTr="00D30110">
        <w:trPr>
          <w:trHeight w:val="227"/>
          <w:jc w:val="center"/>
        </w:trPr>
        <w:tc>
          <w:tcPr>
            <w:tcW w:w="0" w:type="auto"/>
            <w:hideMark/>
          </w:tcPr>
          <w:p w14:paraId="59A480AB" w14:textId="77777777" w:rsidR="00C26B27" w:rsidRPr="005F6F59" w:rsidRDefault="00C26B27" w:rsidP="00D30110">
            <w:pPr>
              <w:pStyle w:val="NormalWeb"/>
              <w:spacing w:before="0" w:beforeAutospacing="0" w:after="240" w:afterAutospacing="0"/>
              <w:rPr>
                <w:rFonts w:ascii="Arial" w:hAnsi="Arial" w:cs="Arial"/>
                <w:b/>
              </w:rPr>
            </w:pPr>
            <w:r w:rsidRPr="005F6F59">
              <w:rPr>
                <w:rFonts w:ascii="Arial" w:hAnsi="Arial" w:cs="Arial"/>
                <w:b/>
                <w:bCs/>
                <w:color w:val="0D0D0D"/>
                <w:shd w:val="clear" w:color="auto" w:fill="FFFFFF"/>
              </w:rPr>
              <w:t>Metric</w:t>
            </w:r>
          </w:p>
        </w:tc>
        <w:tc>
          <w:tcPr>
            <w:tcW w:w="0" w:type="auto"/>
            <w:hideMark/>
          </w:tcPr>
          <w:p w14:paraId="16E904C1" w14:textId="77777777" w:rsidR="00C26B27" w:rsidRPr="005F6F59" w:rsidRDefault="00C26B27" w:rsidP="00D30110">
            <w:pPr>
              <w:pStyle w:val="NormalWeb"/>
              <w:spacing w:before="0" w:beforeAutospacing="0" w:after="240" w:afterAutospacing="0"/>
              <w:rPr>
                <w:rFonts w:ascii="Arial" w:hAnsi="Arial" w:cs="Arial"/>
                <w:b/>
              </w:rPr>
            </w:pPr>
            <w:r w:rsidRPr="005F6F59">
              <w:rPr>
                <w:rFonts w:ascii="Arial" w:hAnsi="Arial" w:cs="Arial"/>
                <w:b/>
                <w:bCs/>
                <w:color w:val="0D0D0D"/>
                <w:shd w:val="clear" w:color="auto" w:fill="FFFFFF"/>
              </w:rPr>
              <w:t>Value</w:t>
            </w:r>
          </w:p>
        </w:tc>
      </w:tr>
      <w:tr w:rsidR="00C26B27" w:rsidRPr="005F6F59" w14:paraId="15537FAC" w14:textId="77777777" w:rsidTr="00D30110">
        <w:trPr>
          <w:trHeight w:val="227"/>
          <w:jc w:val="center"/>
        </w:trPr>
        <w:tc>
          <w:tcPr>
            <w:tcW w:w="0" w:type="auto"/>
            <w:hideMark/>
          </w:tcPr>
          <w:p w14:paraId="2770FD48"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Adjusted R²</w:t>
            </w:r>
          </w:p>
        </w:tc>
        <w:tc>
          <w:tcPr>
            <w:tcW w:w="0" w:type="auto"/>
            <w:hideMark/>
          </w:tcPr>
          <w:p w14:paraId="34B16A9B"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0.860</w:t>
            </w:r>
          </w:p>
        </w:tc>
      </w:tr>
      <w:tr w:rsidR="00C26B27" w:rsidRPr="005F6F59" w14:paraId="3A00DD83" w14:textId="77777777" w:rsidTr="00D30110">
        <w:trPr>
          <w:trHeight w:val="227"/>
          <w:jc w:val="center"/>
        </w:trPr>
        <w:tc>
          <w:tcPr>
            <w:tcW w:w="0" w:type="auto"/>
            <w:hideMark/>
          </w:tcPr>
          <w:p w14:paraId="3F55A846"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F-statistic</w:t>
            </w:r>
          </w:p>
        </w:tc>
        <w:tc>
          <w:tcPr>
            <w:tcW w:w="0" w:type="auto"/>
            <w:hideMark/>
          </w:tcPr>
          <w:p w14:paraId="54256783"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36.41</w:t>
            </w:r>
          </w:p>
        </w:tc>
      </w:tr>
      <w:tr w:rsidR="00C26B27" w:rsidRPr="005F6F59" w14:paraId="3868639F" w14:textId="77777777" w:rsidTr="00D30110">
        <w:trPr>
          <w:trHeight w:val="227"/>
          <w:jc w:val="center"/>
        </w:trPr>
        <w:tc>
          <w:tcPr>
            <w:tcW w:w="0" w:type="auto"/>
            <w:hideMark/>
          </w:tcPr>
          <w:p w14:paraId="4E3ECB06"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p-value (F-statistic)</w:t>
            </w:r>
          </w:p>
        </w:tc>
        <w:tc>
          <w:tcPr>
            <w:tcW w:w="0" w:type="auto"/>
            <w:hideMark/>
          </w:tcPr>
          <w:p w14:paraId="59FF7640"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&lt; .001</w:t>
            </w:r>
          </w:p>
        </w:tc>
      </w:tr>
      <w:tr w:rsidR="00C26B27" w:rsidRPr="005F6F59" w14:paraId="39A3969C" w14:textId="77777777" w:rsidTr="00D30110">
        <w:trPr>
          <w:trHeight w:val="227"/>
          <w:jc w:val="center"/>
        </w:trPr>
        <w:tc>
          <w:tcPr>
            <w:tcW w:w="0" w:type="auto"/>
            <w:hideMark/>
          </w:tcPr>
          <w:p w14:paraId="17C29398"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Durbin-Watson</w:t>
            </w:r>
          </w:p>
        </w:tc>
        <w:tc>
          <w:tcPr>
            <w:tcW w:w="0" w:type="auto"/>
            <w:hideMark/>
          </w:tcPr>
          <w:p w14:paraId="1EA4F6FA" w14:textId="77777777" w:rsidR="00C26B27" w:rsidRPr="005F6F59" w:rsidRDefault="00C26B27" w:rsidP="00D30110">
            <w:pPr>
              <w:pStyle w:val="NormalWeb"/>
              <w:spacing w:before="0" w:beforeAutospacing="0" w:after="240" w:afterAutospacing="0"/>
              <w:rPr>
                <w:rFonts w:ascii="Arial" w:hAnsi="Arial" w:cs="Arial"/>
              </w:rPr>
            </w:pPr>
            <w:r w:rsidRPr="005F6F59">
              <w:rPr>
                <w:rFonts w:ascii="Arial" w:hAnsi="Arial" w:cs="Arial"/>
                <w:bCs/>
                <w:color w:val="0D0D0D"/>
                <w:shd w:val="clear" w:color="auto" w:fill="FFFFFF"/>
              </w:rPr>
              <w:t>2.02</w:t>
            </w:r>
          </w:p>
        </w:tc>
      </w:tr>
    </w:tbl>
    <w:p w14:paraId="53D5A494" w14:textId="21C3D840" w:rsidR="00C26B27" w:rsidRPr="005F6F59" w:rsidRDefault="00C26B27"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To understand how each variable behaves across performance quartiles, a parallel coordinates plot was developed (see Figure 7). Institutions in the highest quartile consistently exhibited high scores in governance, transparency, privacy compliance, and AI readiness—highlighting the interconnectedness of robust organizational frameworks and fraud detection efficacy.</w:t>
      </w:r>
    </w:p>
    <w:p w14:paraId="714BD801" w14:textId="79F73C02" w:rsidR="006A724D" w:rsidRPr="005F6F59" w:rsidRDefault="006A724D"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1CC61290" wp14:editId="21E5DAF2">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llel_coordinates_perform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617ADAA" w14:textId="6D383E88"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lastRenderedPageBreak/>
        <w:t>Figure 7</w:t>
      </w:r>
      <w:r w:rsidR="006A724D" w:rsidRPr="00D30110">
        <w:rPr>
          <w:rFonts w:ascii="Arial" w:hAnsi="Arial" w:cs="Arial"/>
          <w:b/>
          <w:bCs/>
          <w:i/>
          <w:color w:val="0D0D0D"/>
          <w:shd w:val="clear" w:color="auto" w:fill="FFFFFF"/>
        </w:rPr>
        <w:t xml:space="preserve">: </w:t>
      </w:r>
      <w:r w:rsidRPr="00D30110">
        <w:rPr>
          <w:rFonts w:ascii="Arial" w:hAnsi="Arial" w:cs="Arial"/>
          <w:b/>
          <w:bCs/>
          <w:i/>
          <w:iCs/>
          <w:color w:val="0D0D0D"/>
          <w:shd w:val="clear" w:color="auto" w:fill="FFFFFF"/>
        </w:rPr>
        <w:t>Parallel Coordinates Plot of Governance-AI Indicators by Fraud Detection Performance Quartile</w:t>
      </w:r>
    </w:p>
    <w:p w14:paraId="156E1BD1" w14:textId="4E912476" w:rsidR="00C26B27" w:rsidRPr="005F6F59" w:rsidRDefault="00C26B27"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Further insight into the direction and strength of each predictor was gained through a bubble chart of regression coefficients (see Figure 8). The AI Readiness Score had the largest coefficient (β ≈ 0.35), indicating it is the most influential factor. The Governance Index and Privacy Compliance Score closely followed in significance. This visualization emphasizes the importance of foundational digital infrastructure and regulatory compliance for optimizing fraud system output.</w:t>
      </w:r>
    </w:p>
    <w:p w14:paraId="31309211" w14:textId="21AD7B84" w:rsidR="006A724D" w:rsidRPr="005F6F59" w:rsidRDefault="006A724D"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17683658" wp14:editId="5D2FCE83">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bble_chart_coefficien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C2DD839" w14:textId="7933AD6D"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t>Figure 8</w:t>
      </w:r>
      <w:r w:rsidR="006A724D" w:rsidRPr="00D30110">
        <w:rPr>
          <w:rFonts w:ascii="Arial" w:hAnsi="Arial" w:cs="Arial"/>
          <w:b/>
          <w:bCs/>
          <w:i/>
          <w:color w:val="0D0D0D"/>
          <w:shd w:val="clear" w:color="auto" w:fill="FFFFFF"/>
        </w:rPr>
        <w:t xml:space="preserve">: </w:t>
      </w:r>
      <w:r w:rsidRPr="00D30110">
        <w:rPr>
          <w:rFonts w:ascii="Arial" w:hAnsi="Arial" w:cs="Arial"/>
          <w:b/>
          <w:bCs/>
          <w:i/>
          <w:iCs/>
          <w:color w:val="0D0D0D"/>
          <w:shd w:val="clear" w:color="auto" w:fill="FFFFFF"/>
        </w:rPr>
        <w:t>Bubble Chart of Governance and AI Variable Coefficients in Predicting System Performance</w:t>
      </w:r>
    </w:p>
    <w:p w14:paraId="45CCDE7F" w14:textId="70FBD3CF" w:rsidR="00C26B27" w:rsidRPr="005F6F59" w:rsidRDefault="002407CA"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A</w:t>
      </w:r>
      <w:r w:rsidR="00C26B27" w:rsidRPr="005F6F59">
        <w:rPr>
          <w:rFonts w:ascii="Arial" w:hAnsi="Arial" w:cs="Arial"/>
          <w:bCs/>
          <w:color w:val="0D0D0D"/>
          <w:shd w:val="clear" w:color="auto" w:fill="FFFFFF"/>
        </w:rPr>
        <w:t xml:space="preserve"> residual strip plot was generated to validate the linear model's assumptions and reveal distribution symmetry in prediction errors (see Figure 9). The even spread around zero confirms minimal systematic error and supports the model’s robustness.</w:t>
      </w:r>
    </w:p>
    <w:p w14:paraId="1C2180B3" w14:textId="27671477" w:rsidR="006A724D" w:rsidRPr="005F6F59" w:rsidRDefault="006A724D" w:rsidP="00D30110">
      <w:pPr>
        <w:pStyle w:val="NormalWeb"/>
        <w:spacing w:before="160" w:beforeAutospacing="0" w:after="240" w:afterAutospacing="0"/>
        <w:jc w:val="center"/>
        <w:rPr>
          <w:rFonts w:ascii="Arial" w:hAnsi="Arial" w:cs="Arial"/>
        </w:rPr>
      </w:pPr>
      <w:r w:rsidRPr="005F6F59">
        <w:rPr>
          <w:rFonts w:ascii="Arial" w:hAnsi="Arial" w:cs="Arial"/>
          <w:noProof/>
        </w:rPr>
        <w:drawing>
          <wp:inline distT="0" distB="0" distL="0" distR="0" wp14:anchorId="3888D300" wp14:editId="09780A4C">
            <wp:extent cx="5943600" cy="118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dual_strippl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inline>
        </w:drawing>
      </w:r>
    </w:p>
    <w:p w14:paraId="5F80752B" w14:textId="5DEA5BFA" w:rsidR="00C26B27" w:rsidRPr="00D30110" w:rsidRDefault="00C26B27" w:rsidP="00D30110">
      <w:pPr>
        <w:pStyle w:val="NormalWeb"/>
        <w:spacing w:before="160" w:beforeAutospacing="0" w:after="240" w:afterAutospacing="0"/>
        <w:jc w:val="center"/>
        <w:rPr>
          <w:rFonts w:ascii="Arial" w:hAnsi="Arial" w:cs="Arial"/>
          <w:b/>
          <w:i/>
        </w:rPr>
      </w:pPr>
      <w:r w:rsidRPr="00D30110">
        <w:rPr>
          <w:rFonts w:ascii="Arial" w:hAnsi="Arial" w:cs="Arial"/>
          <w:b/>
          <w:bCs/>
          <w:i/>
          <w:color w:val="0D0D0D"/>
          <w:shd w:val="clear" w:color="auto" w:fill="FFFFFF"/>
        </w:rPr>
        <w:lastRenderedPageBreak/>
        <w:t>Figure 9</w:t>
      </w:r>
      <w:r w:rsidR="006A724D" w:rsidRPr="00D30110">
        <w:rPr>
          <w:rFonts w:ascii="Arial" w:hAnsi="Arial" w:cs="Arial"/>
          <w:b/>
          <w:bCs/>
          <w:i/>
          <w:color w:val="0D0D0D"/>
          <w:shd w:val="clear" w:color="auto" w:fill="FFFFFF"/>
        </w:rPr>
        <w:t xml:space="preserve">: </w:t>
      </w:r>
      <w:r w:rsidRPr="00D30110">
        <w:rPr>
          <w:rFonts w:ascii="Arial" w:hAnsi="Arial" w:cs="Arial"/>
          <w:b/>
          <w:bCs/>
          <w:i/>
          <w:iCs/>
          <w:color w:val="0D0D0D"/>
          <w:shd w:val="clear" w:color="auto" w:fill="FFFFFF"/>
        </w:rPr>
        <w:t>Residual Distribution for Multivariate Model Predicting Fraud System Performance</w:t>
      </w:r>
    </w:p>
    <w:p w14:paraId="00000055" w14:textId="5B5CB285" w:rsidR="000D5A02" w:rsidRPr="005F6F59" w:rsidRDefault="00C26B27" w:rsidP="00D30110">
      <w:pPr>
        <w:pStyle w:val="NormalWeb"/>
        <w:spacing w:before="160" w:beforeAutospacing="0" w:after="240" w:afterAutospacing="0"/>
        <w:rPr>
          <w:rFonts w:ascii="Arial" w:hAnsi="Arial" w:cs="Arial"/>
          <w:bCs/>
          <w:color w:val="0D0D0D"/>
          <w:shd w:val="clear" w:color="auto" w:fill="FFFFFF"/>
        </w:rPr>
      </w:pPr>
      <w:r w:rsidRPr="005F6F59">
        <w:rPr>
          <w:rFonts w:ascii="Arial" w:hAnsi="Arial" w:cs="Arial"/>
          <w:bCs/>
          <w:color w:val="0D0D0D"/>
          <w:shd w:val="clear" w:color="auto" w:fill="FFFFFF"/>
        </w:rPr>
        <w:t>The results collectively affirm that intelligent fraud detection systems function most effectively in institutions with well-established governance protocols and AI capability. The interdependence between ethical frameworks and technological efficacy reinforces the necessity for holistic investment in both infrastructure and institutional policy.</w:t>
      </w:r>
    </w:p>
    <w:p w14:paraId="0E39911B" w14:textId="5EAE8B5E" w:rsidR="00A11C50" w:rsidRPr="005F6F59" w:rsidRDefault="00A11C50" w:rsidP="00D30110">
      <w:pPr>
        <w:pStyle w:val="NormalWeb"/>
        <w:spacing w:before="160" w:beforeAutospacing="0" w:after="240" w:afterAutospacing="0"/>
        <w:rPr>
          <w:rFonts w:ascii="Arial" w:hAnsi="Arial" w:cs="Arial"/>
          <w:b/>
          <w:bCs/>
          <w:color w:val="0D0D0D"/>
          <w:shd w:val="clear" w:color="auto" w:fill="FFFFFF"/>
        </w:rPr>
      </w:pPr>
      <w:r w:rsidRPr="005F6F59">
        <w:rPr>
          <w:rFonts w:ascii="Arial" w:hAnsi="Arial" w:cs="Arial"/>
          <w:b/>
          <w:bCs/>
          <w:color w:val="0D0D0D"/>
          <w:shd w:val="clear" w:color="auto" w:fill="FFFFFF"/>
        </w:rPr>
        <w:t>Discussion</w:t>
      </w:r>
    </w:p>
    <w:p w14:paraId="18F88E1F" w14:textId="5A6DEFFB"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The findings of this study underscore the transformative potential of </w:t>
      </w:r>
      <w:r w:rsidR="002407CA" w:rsidRPr="005F6F59">
        <w:rPr>
          <w:rFonts w:eastAsia="Times New Roman"/>
          <w:sz w:val="24"/>
          <w:szCs w:val="24"/>
          <w:lang w:val="en-US"/>
        </w:rPr>
        <w:t>behavioral</w:t>
      </w:r>
      <w:r w:rsidRPr="005F6F59">
        <w:rPr>
          <w:rFonts w:eastAsia="Times New Roman"/>
          <w:sz w:val="24"/>
          <w:szCs w:val="24"/>
          <w:lang w:val="en-US"/>
        </w:rPr>
        <w:t xml:space="preserve"> biometrics as a critical innovation in the evolution of intelligent fraud prevention within digital banking infrastructures. As supported by Salomon (2024) and Finnegan et al. (2024), the core value of </w:t>
      </w:r>
      <w:r w:rsidR="002407CA" w:rsidRPr="005F6F59">
        <w:rPr>
          <w:rFonts w:eastAsia="Times New Roman"/>
          <w:sz w:val="24"/>
          <w:szCs w:val="24"/>
          <w:lang w:val="en-US"/>
        </w:rPr>
        <w:t>behavioral</w:t>
      </w:r>
      <w:r w:rsidRPr="005F6F59">
        <w:rPr>
          <w:rFonts w:eastAsia="Times New Roman"/>
          <w:sz w:val="24"/>
          <w:szCs w:val="24"/>
          <w:lang w:val="en-US"/>
        </w:rPr>
        <w:t xml:space="preserve"> biometrics lies in its ability to continuously and passively authenticate users based on unique interactional characteristics—ranging from keystroke dynamics to touchscreen behavior. The empirical results revealed an exceptionally high accuracy rate of 89.9% and </w:t>
      </w:r>
      <w:r w:rsidR="002407CA" w:rsidRPr="005F6F59">
        <w:rPr>
          <w:rFonts w:eastAsia="Times New Roman"/>
          <w:sz w:val="24"/>
          <w:szCs w:val="24"/>
          <w:lang w:val="en-US"/>
        </w:rPr>
        <w:t>a</w:t>
      </w:r>
      <w:r w:rsidRPr="005F6F59">
        <w:rPr>
          <w:rFonts w:eastAsia="Times New Roman"/>
          <w:sz w:val="24"/>
          <w:szCs w:val="24"/>
          <w:lang w:val="en-US"/>
        </w:rPr>
        <w:t xml:space="preserve"> ROC-AUC score of 0.849, which validate the capability of </w:t>
      </w:r>
      <w:r w:rsidR="002407CA" w:rsidRPr="005F6F59">
        <w:rPr>
          <w:rFonts w:eastAsia="Times New Roman"/>
          <w:sz w:val="24"/>
          <w:szCs w:val="24"/>
          <w:lang w:val="en-US"/>
        </w:rPr>
        <w:t>behavioral</w:t>
      </w:r>
      <w:r w:rsidRPr="005F6F59">
        <w:rPr>
          <w:rFonts w:eastAsia="Times New Roman"/>
          <w:sz w:val="24"/>
          <w:szCs w:val="24"/>
          <w:lang w:val="en-US"/>
        </w:rPr>
        <w:t xml:space="preserve"> biometric systems to effectively distinguish between legitimate and fraudulent activities. These outcomes align with the technological promise articulated by Wandji (2023) and Ajayi et al. (2025), who argued for the superiority of contextual behavioural traits over static identifiers. Notably, despite the model’s sensitivity being constrained by inherent class imbalance—a common feature in fraud detection environments—the system demonstrated perfect specificity, reflecting its strength in reliably identifying genuine users and thereby maintaining an optimal user experience.</w:t>
      </w:r>
    </w:p>
    <w:p w14:paraId="1270F4F6" w14:textId="764EE8A6"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The observed discriminative capacity of individual features such as mouse speed and keystroke latency further </w:t>
      </w:r>
      <w:r w:rsidR="002407CA" w:rsidRPr="005F6F59">
        <w:rPr>
          <w:rFonts w:eastAsia="Times New Roman"/>
          <w:sz w:val="24"/>
          <w:szCs w:val="24"/>
          <w:lang w:val="en-US"/>
        </w:rPr>
        <w:t>affirm</w:t>
      </w:r>
      <w:r w:rsidRPr="005F6F59">
        <w:rPr>
          <w:rFonts w:eastAsia="Times New Roman"/>
          <w:sz w:val="24"/>
          <w:szCs w:val="24"/>
          <w:lang w:val="en-US"/>
        </w:rPr>
        <w:t xml:space="preserve"> claims by Khan et al. (2024) and Kolade et al. (2025) that micro-behavioural traits can function as robust security signals. This nuance in interpretive capability was illuminated in the odds ratio analysis, echoing Salomon's (2024) position that these biometrics offer a session-long defense mechanism by differentiating interaction styles rather than merely assessing transaction content. In practice, the ability of behavioural systems to conduct real-time, unobtrusive authentication translates to tangible reductions in fraud, as corroborated in real-world case applications by </w:t>
      </w:r>
      <w:proofErr w:type="spellStart"/>
      <w:r w:rsidRPr="005F6F59">
        <w:rPr>
          <w:rFonts w:eastAsia="Times New Roman"/>
          <w:sz w:val="24"/>
          <w:szCs w:val="24"/>
          <w:lang w:val="en-US"/>
        </w:rPr>
        <w:t>BioCatch</w:t>
      </w:r>
      <w:proofErr w:type="spellEnd"/>
      <w:r w:rsidRPr="005F6F59">
        <w:rPr>
          <w:rFonts w:eastAsia="Times New Roman"/>
          <w:sz w:val="24"/>
          <w:szCs w:val="24"/>
          <w:lang w:val="en-US"/>
        </w:rPr>
        <w:t xml:space="preserve"> (2023) and Liang (2025).</w:t>
      </w:r>
    </w:p>
    <w:p w14:paraId="12722F9A" w14:textId="77777777"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The role of data governance, as anticipated in the literature, emerged as a central pillar in ensuring the effective, ethical deployment of intelligent fraud systems. The regression results from Objective 2 indicated that governance-related factors such as data privacy enforcement, institutional transparency, and regulatory maturity explain 79.3% of the variance in national fraud rates. These findings are consistent with the conceptual frameworks established by </w:t>
      </w:r>
      <w:proofErr w:type="spellStart"/>
      <w:r w:rsidRPr="005F6F59">
        <w:rPr>
          <w:rFonts w:eastAsia="Times New Roman"/>
          <w:sz w:val="24"/>
          <w:szCs w:val="24"/>
          <w:lang w:val="en-US"/>
        </w:rPr>
        <w:t>Sharairi</w:t>
      </w:r>
      <w:proofErr w:type="spellEnd"/>
      <w:r w:rsidRPr="005F6F59">
        <w:rPr>
          <w:rFonts w:eastAsia="Times New Roman"/>
          <w:sz w:val="24"/>
          <w:szCs w:val="24"/>
          <w:lang w:val="en-US"/>
        </w:rPr>
        <w:t xml:space="preserve"> et al. (2024) and Mahanti (2021), who emphasized that institutions must prioritize governance frameworks to support secure digital infrastructures. The statistical significance of governance and privacy scores reinforces arguments by </w:t>
      </w:r>
      <w:proofErr w:type="spellStart"/>
      <w:r w:rsidRPr="005F6F59">
        <w:rPr>
          <w:rFonts w:eastAsia="Times New Roman"/>
          <w:sz w:val="24"/>
          <w:szCs w:val="24"/>
          <w:lang w:val="en-US"/>
        </w:rPr>
        <w:t>Torselli</w:t>
      </w:r>
      <w:proofErr w:type="spellEnd"/>
      <w:r w:rsidRPr="005F6F59">
        <w:rPr>
          <w:rFonts w:eastAsia="Times New Roman"/>
          <w:sz w:val="24"/>
          <w:szCs w:val="24"/>
          <w:lang w:val="en-US"/>
        </w:rPr>
        <w:t xml:space="preserve"> (2025) and </w:t>
      </w:r>
      <w:proofErr w:type="spellStart"/>
      <w:r w:rsidRPr="005F6F59">
        <w:rPr>
          <w:rFonts w:eastAsia="Times New Roman"/>
          <w:sz w:val="24"/>
          <w:szCs w:val="24"/>
          <w:lang w:val="en-US"/>
        </w:rPr>
        <w:t>Ozioko</w:t>
      </w:r>
      <w:proofErr w:type="spellEnd"/>
      <w:r w:rsidRPr="005F6F59">
        <w:rPr>
          <w:rFonts w:eastAsia="Times New Roman"/>
          <w:sz w:val="24"/>
          <w:szCs w:val="24"/>
          <w:lang w:val="en-US"/>
        </w:rPr>
        <w:t xml:space="preserve"> (2024), who assert that fraud mitigation technologies must be embedded in systems that guarantee lawful data handling and user protections.</w:t>
      </w:r>
    </w:p>
    <w:p w14:paraId="4198DD32" w14:textId="77777777"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lastRenderedPageBreak/>
        <w:t xml:space="preserve">Moreover, this study affirms that governance is not only a compliance requirement but also a performance enhancer. Objective 4 revealed that 86% of the variance in intelligent fraud detection performance was explained by governance variables and AI readiness—a compelling confirmation of assertions by </w:t>
      </w:r>
      <w:proofErr w:type="spellStart"/>
      <w:r w:rsidRPr="005F6F59">
        <w:rPr>
          <w:rFonts w:eastAsia="Times New Roman"/>
          <w:sz w:val="24"/>
          <w:szCs w:val="24"/>
          <w:lang w:val="en-US"/>
        </w:rPr>
        <w:t>Yandrapalli</w:t>
      </w:r>
      <w:proofErr w:type="spellEnd"/>
      <w:r w:rsidRPr="005F6F59">
        <w:rPr>
          <w:rFonts w:eastAsia="Times New Roman"/>
          <w:sz w:val="24"/>
          <w:szCs w:val="24"/>
          <w:lang w:val="en-US"/>
        </w:rPr>
        <w:t xml:space="preserve"> (2024) and Zhang et al. (2025), who maintained that algorithmic accuracy is intrinsically tied to the quality of the training data and ethical oversight structures. The prominence of AI readiness as the most influential predictor underscores the argument of Aziz and </w:t>
      </w:r>
      <w:proofErr w:type="spellStart"/>
      <w:r w:rsidRPr="005F6F59">
        <w:rPr>
          <w:rFonts w:eastAsia="Times New Roman"/>
          <w:sz w:val="24"/>
          <w:szCs w:val="24"/>
          <w:lang w:val="en-US"/>
        </w:rPr>
        <w:t>Andriansyah</w:t>
      </w:r>
      <w:proofErr w:type="spellEnd"/>
      <w:r w:rsidRPr="005F6F59">
        <w:rPr>
          <w:rFonts w:eastAsia="Times New Roman"/>
          <w:sz w:val="24"/>
          <w:szCs w:val="24"/>
          <w:lang w:val="en-US"/>
        </w:rPr>
        <w:t xml:space="preserve"> (2023), who note that AI-driven fraud systems require infrastructural agility and strategic policy alignment to achieve optimal outcomes. The even distribution of residuals and the stability of regression coefficients reflect a strong and credible model, lending empirical weight to policy discussions around technology-enabled fraud mitigation.</w:t>
      </w:r>
    </w:p>
    <w:p w14:paraId="206A8E20" w14:textId="1953E283" w:rsidR="00A11C50" w:rsidRPr="005F6F59" w:rsidRDefault="00A11C50"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Real-world implementation outcomes further validate the study’s proposition. Across fifteen financial institutions that adopted behavioural biometric systems, an average 35.5% reduction in fraud incidence was observed—a statistically significant improvement aligned with prior deployment cases described by BCU and Mastercard (</w:t>
      </w:r>
      <w:proofErr w:type="spellStart"/>
      <w:r w:rsidRPr="005F6F59">
        <w:rPr>
          <w:rFonts w:eastAsia="Times New Roman"/>
          <w:sz w:val="24"/>
          <w:szCs w:val="24"/>
          <w:lang w:val="en-US"/>
        </w:rPr>
        <w:t>BioCatch</w:t>
      </w:r>
      <w:proofErr w:type="spellEnd"/>
      <w:r w:rsidRPr="005F6F59">
        <w:rPr>
          <w:rFonts w:eastAsia="Times New Roman"/>
          <w:sz w:val="24"/>
          <w:szCs w:val="24"/>
          <w:lang w:val="en-US"/>
        </w:rPr>
        <w:t xml:space="preserve">, 2023; Liang, 2025). These findings affirm the assertions of </w:t>
      </w:r>
      <w:proofErr w:type="spellStart"/>
      <w:r w:rsidRPr="005F6F59">
        <w:rPr>
          <w:rFonts w:eastAsia="Times New Roman"/>
          <w:sz w:val="24"/>
          <w:szCs w:val="24"/>
          <w:lang w:val="en-US"/>
        </w:rPr>
        <w:t>Taherdoost</w:t>
      </w:r>
      <w:proofErr w:type="spellEnd"/>
      <w:r w:rsidRPr="005F6F59">
        <w:rPr>
          <w:rFonts w:eastAsia="Times New Roman"/>
          <w:sz w:val="24"/>
          <w:szCs w:val="24"/>
          <w:lang w:val="en-US"/>
        </w:rPr>
        <w:t xml:space="preserve"> (2024) and MUSTYALA (2023) that legacy systems fail to detect fraud vectors that manifest subtly across user behavior rather than transaction patterns. The visual </w:t>
      </w:r>
      <w:proofErr w:type="spellStart"/>
      <w:r w:rsidRPr="005F6F59">
        <w:rPr>
          <w:rFonts w:eastAsia="Times New Roman"/>
          <w:sz w:val="24"/>
          <w:szCs w:val="24"/>
          <w:lang w:val="en-US"/>
        </w:rPr>
        <w:t>slopegraphs</w:t>
      </w:r>
      <w:proofErr w:type="spellEnd"/>
      <w:r w:rsidRPr="005F6F59">
        <w:rPr>
          <w:rFonts w:eastAsia="Times New Roman"/>
          <w:sz w:val="24"/>
          <w:szCs w:val="24"/>
          <w:lang w:val="en-US"/>
        </w:rPr>
        <w:t xml:space="preserve"> and raincloud distribution plots demonstrated the reliability and scalability of these improvements across diverse institutional settings, reflecting the practical utility of behavioural biometrics as both a scalable and adaptive tool.</w:t>
      </w:r>
    </w:p>
    <w:p w14:paraId="76D38E96" w14:textId="22AFE798" w:rsidR="00BE3074" w:rsidRPr="005F6F59" w:rsidRDefault="005F6F59" w:rsidP="00D30110">
      <w:pPr>
        <w:spacing w:before="100" w:beforeAutospacing="1" w:after="240" w:line="240" w:lineRule="auto"/>
        <w:rPr>
          <w:rFonts w:eastAsia="Times New Roman"/>
          <w:b/>
          <w:sz w:val="24"/>
          <w:szCs w:val="24"/>
          <w:lang w:val="en-US"/>
        </w:rPr>
      </w:pPr>
      <w:bookmarkStart w:id="5" w:name="_2r2qsp2fbynl" w:colFirst="0" w:colLast="0"/>
      <w:bookmarkEnd w:id="5"/>
      <w:r>
        <w:rPr>
          <w:rFonts w:eastAsia="Times New Roman"/>
          <w:b/>
          <w:sz w:val="24"/>
          <w:szCs w:val="24"/>
          <w:lang w:val="en-US"/>
        </w:rPr>
        <w:t>5.</w:t>
      </w:r>
      <w:r>
        <w:rPr>
          <w:rFonts w:eastAsia="Times New Roman"/>
          <w:b/>
          <w:sz w:val="24"/>
          <w:szCs w:val="24"/>
          <w:lang w:val="en-US"/>
        </w:rPr>
        <w:tab/>
      </w:r>
      <w:r w:rsidR="00BE3074" w:rsidRPr="005F6F59">
        <w:rPr>
          <w:rFonts w:eastAsia="Times New Roman"/>
          <w:b/>
          <w:sz w:val="24"/>
          <w:szCs w:val="24"/>
          <w:lang w:val="en-US"/>
        </w:rPr>
        <w:t>Conclusion and Recommendation</w:t>
      </w:r>
      <w:r>
        <w:rPr>
          <w:rFonts w:eastAsia="Times New Roman"/>
          <w:b/>
          <w:sz w:val="24"/>
          <w:szCs w:val="24"/>
          <w:lang w:val="en-US"/>
        </w:rPr>
        <w:t>s</w:t>
      </w:r>
    </w:p>
    <w:p w14:paraId="67525589" w14:textId="05B223C1" w:rsidR="00BE3074" w:rsidRPr="005F6F59" w:rsidRDefault="00BE3074"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 xml:space="preserve">This study establishes that </w:t>
      </w:r>
      <w:r w:rsidR="002407CA" w:rsidRPr="005F6F59">
        <w:rPr>
          <w:rFonts w:eastAsia="Times New Roman"/>
          <w:sz w:val="24"/>
          <w:szCs w:val="24"/>
          <w:lang w:val="en-US"/>
        </w:rPr>
        <w:t>behavioral</w:t>
      </w:r>
      <w:r w:rsidRPr="005F6F59">
        <w:rPr>
          <w:rFonts w:eastAsia="Times New Roman"/>
          <w:sz w:val="24"/>
          <w:szCs w:val="24"/>
          <w:lang w:val="en-US"/>
        </w:rPr>
        <w:t xml:space="preserve"> biometrics, when embedded within ethically sound and technologically mature data governance structures, significantly enhances fraud detection precision and institutional resilience in digital banking. The strong statistical correlations between governance indicators, biometric system performance, and fraud mitigation validate the need for a holistic strategy that harmonizes regulatory oversight with adaptive AI tools. These insights necessitate actionable directions for stakeholders.</w:t>
      </w:r>
      <w:r w:rsidR="002407CA" w:rsidRPr="005F6F59">
        <w:rPr>
          <w:rFonts w:eastAsia="Times New Roman"/>
          <w:sz w:val="24"/>
          <w:szCs w:val="24"/>
          <w:lang w:val="en-US"/>
        </w:rPr>
        <w:t xml:space="preserve"> It is therefore recommended that:</w:t>
      </w:r>
    </w:p>
    <w:p w14:paraId="5CA861ED"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Regulatory agencies should strengthen enforceable data protection mandates to support the ethical deployment of AI-driven fraud systems.</w:t>
      </w:r>
    </w:p>
    <w:p w14:paraId="42C1B649"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Financial institutions must invest in biometric-specific infrastructure while maintaining transparent consent and audit mechanisms.</w:t>
      </w:r>
    </w:p>
    <w:p w14:paraId="1C7AEBA8"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Technology vendors should ensure biometric models are trained on diverse, unbiased datasets to prevent discriminatory outcomes.</w:t>
      </w:r>
    </w:p>
    <w:p w14:paraId="32AF5D68" w14:textId="77777777" w:rsidR="00BE3074" w:rsidRPr="005F6F59" w:rsidRDefault="00BE3074" w:rsidP="00D30110">
      <w:pPr>
        <w:numPr>
          <w:ilvl w:val="0"/>
          <w:numId w:val="35"/>
        </w:numPr>
        <w:spacing w:before="100" w:beforeAutospacing="1" w:after="240" w:line="240" w:lineRule="auto"/>
        <w:rPr>
          <w:rFonts w:eastAsia="Times New Roman"/>
          <w:sz w:val="24"/>
          <w:szCs w:val="24"/>
          <w:lang w:val="en-US"/>
        </w:rPr>
      </w:pPr>
      <w:r w:rsidRPr="005F6F59">
        <w:rPr>
          <w:rFonts w:eastAsia="Times New Roman"/>
          <w:sz w:val="24"/>
          <w:szCs w:val="24"/>
          <w:lang w:val="en-US"/>
        </w:rPr>
        <w:t>Inter-governmental bodies should develop global compliance benchmarks that align AI readiness with cross-border data governance maturity.</w:t>
      </w:r>
    </w:p>
    <w:p w14:paraId="0C9F1C4D" w14:textId="77777777" w:rsidR="00BE3074" w:rsidRPr="005F6F59" w:rsidRDefault="00BE3074" w:rsidP="00D30110">
      <w:pPr>
        <w:spacing w:before="100" w:beforeAutospacing="1" w:after="240" w:line="240" w:lineRule="auto"/>
        <w:rPr>
          <w:rFonts w:eastAsia="Times New Roman"/>
          <w:sz w:val="24"/>
          <w:szCs w:val="24"/>
          <w:lang w:val="en-US"/>
        </w:rPr>
      </w:pPr>
      <w:r w:rsidRPr="005F6F59">
        <w:rPr>
          <w:rFonts w:eastAsia="Times New Roman"/>
          <w:sz w:val="24"/>
          <w:szCs w:val="24"/>
          <w:lang w:val="en-US"/>
        </w:rPr>
        <w:t>These recommendations are imperative to ensure sustained security, compliance, and public trust in the next generation of fraud prevention technologies.</w:t>
      </w:r>
    </w:p>
    <w:p w14:paraId="389A44D9" w14:textId="77777777" w:rsidR="00614047" w:rsidRPr="00614047" w:rsidRDefault="00614047" w:rsidP="00614047">
      <w:pPr>
        <w:spacing w:before="160" w:after="240"/>
        <w:jc w:val="both"/>
        <w:rPr>
          <w:rFonts w:eastAsia="Times New Roman"/>
          <w:color w:val="0D0D0D"/>
          <w:sz w:val="24"/>
          <w:szCs w:val="24"/>
        </w:rPr>
      </w:pPr>
      <w:r w:rsidRPr="00614047">
        <w:rPr>
          <w:rFonts w:eastAsia="Times New Roman"/>
          <w:color w:val="0D0D0D"/>
          <w:sz w:val="24"/>
          <w:szCs w:val="24"/>
        </w:rPr>
        <w:lastRenderedPageBreak/>
        <w:t>COMPETING INTERESTS DISCLAIMER:</w:t>
      </w:r>
    </w:p>
    <w:p w14:paraId="115000D7" w14:textId="77777777" w:rsidR="00614047" w:rsidRPr="00614047" w:rsidRDefault="00614047" w:rsidP="00614047">
      <w:pPr>
        <w:spacing w:before="160" w:after="240"/>
        <w:jc w:val="both"/>
        <w:rPr>
          <w:rFonts w:eastAsia="Times New Roman"/>
          <w:color w:val="0D0D0D"/>
          <w:sz w:val="24"/>
          <w:szCs w:val="24"/>
        </w:rPr>
      </w:pPr>
      <w:r w:rsidRPr="00614047">
        <w:rPr>
          <w:rFonts w:eastAsia="Times New Roman"/>
          <w:color w:val="0D0D0D"/>
          <w:sz w:val="24"/>
          <w:szCs w:val="24"/>
        </w:rPr>
        <w:t>Authors have declared that they have no known competing financial interests OR non-financial interests OR personal relationships that could have appeared to influence the work reported in this paper.</w:t>
      </w:r>
    </w:p>
    <w:p w14:paraId="453D00F0" w14:textId="77777777" w:rsidR="00614047" w:rsidRPr="00614047" w:rsidRDefault="00614047" w:rsidP="00614047">
      <w:pPr>
        <w:spacing w:before="160" w:after="240"/>
        <w:jc w:val="both"/>
        <w:rPr>
          <w:rFonts w:eastAsia="Times New Roman"/>
          <w:color w:val="0D0D0D"/>
          <w:sz w:val="24"/>
          <w:szCs w:val="24"/>
        </w:rPr>
      </w:pPr>
    </w:p>
    <w:p w14:paraId="4BFA76F5" w14:textId="77777777" w:rsidR="00BE3074" w:rsidRPr="005F6F59" w:rsidRDefault="00BE3074" w:rsidP="00D30110">
      <w:pPr>
        <w:spacing w:before="160" w:after="240"/>
        <w:jc w:val="both"/>
        <w:rPr>
          <w:rFonts w:eastAsia="Times New Roman"/>
          <w:color w:val="0D0D0D"/>
          <w:sz w:val="24"/>
          <w:szCs w:val="24"/>
          <w:highlight w:val="white"/>
        </w:rPr>
      </w:pPr>
    </w:p>
    <w:p w14:paraId="0000006B" w14:textId="68FBD20E" w:rsidR="000D5A02" w:rsidRPr="005F6F59" w:rsidRDefault="000D5A02" w:rsidP="00D30110">
      <w:pPr>
        <w:spacing w:before="240" w:after="240"/>
        <w:jc w:val="both"/>
        <w:rPr>
          <w:rFonts w:eastAsia="Times New Roman"/>
          <w:color w:val="0D0D0D"/>
          <w:sz w:val="24"/>
          <w:szCs w:val="24"/>
          <w:highlight w:val="white"/>
        </w:rPr>
      </w:pPr>
    </w:p>
    <w:p w14:paraId="0000006C" w14:textId="77777777" w:rsidR="000D5A02" w:rsidRPr="005F6F59" w:rsidRDefault="000D5A02" w:rsidP="00D30110">
      <w:pPr>
        <w:spacing w:before="240" w:after="240"/>
        <w:jc w:val="both"/>
        <w:rPr>
          <w:rFonts w:eastAsia="Times New Roman"/>
          <w:color w:val="0D0D0D"/>
          <w:sz w:val="24"/>
          <w:szCs w:val="24"/>
          <w:highlight w:val="white"/>
        </w:rPr>
      </w:pPr>
    </w:p>
    <w:p w14:paraId="00000076" w14:textId="50F21A28" w:rsidR="000D5A02" w:rsidRPr="005F6F59" w:rsidRDefault="00320E20" w:rsidP="000D77E5">
      <w:pPr>
        <w:spacing w:after="240"/>
        <w:rPr>
          <w:b/>
          <w:sz w:val="24"/>
          <w:szCs w:val="24"/>
        </w:rPr>
      </w:pPr>
      <w:bookmarkStart w:id="6" w:name="_sx9hj8tfbpzx" w:colFirst="0" w:colLast="0"/>
      <w:bookmarkEnd w:id="6"/>
      <w:r w:rsidRPr="005F6F59">
        <w:rPr>
          <w:b/>
          <w:sz w:val="24"/>
          <w:szCs w:val="24"/>
        </w:rPr>
        <w:t>References</w:t>
      </w:r>
    </w:p>
    <w:p w14:paraId="00000077" w14:textId="77777777" w:rsidR="000D5A02" w:rsidRPr="005F6F59" w:rsidRDefault="00320E20" w:rsidP="00D30110">
      <w:pPr>
        <w:spacing w:after="240"/>
        <w:ind w:left="709" w:hanging="709"/>
        <w:rPr>
          <w:sz w:val="24"/>
          <w:szCs w:val="24"/>
        </w:rPr>
      </w:pPr>
      <w:r w:rsidRPr="005F6F59">
        <w:rPr>
          <w:sz w:val="24"/>
          <w:szCs w:val="24"/>
        </w:rPr>
        <w:t xml:space="preserve">Ajayi, A. J., Joseph, S. A., </w:t>
      </w:r>
      <w:proofErr w:type="spellStart"/>
      <w:r w:rsidRPr="005F6F59">
        <w:rPr>
          <w:sz w:val="24"/>
          <w:szCs w:val="24"/>
        </w:rPr>
        <w:t>Metibemu</w:t>
      </w:r>
      <w:proofErr w:type="spellEnd"/>
      <w:r w:rsidRPr="005F6F59">
        <w:rPr>
          <w:sz w:val="24"/>
          <w:szCs w:val="24"/>
        </w:rPr>
        <w:t xml:space="preserve">, O. C., </w:t>
      </w:r>
      <w:proofErr w:type="spellStart"/>
      <w:r w:rsidRPr="005F6F59">
        <w:rPr>
          <w:sz w:val="24"/>
          <w:szCs w:val="24"/>
        </w:rPr>
        <w:t>Olutimehin</w:t>
      </w:r>
      <w:proofErr w:type="spellEnd"/>
      <w:r w:rsidRPr="005F6F59">
        <w:rPr>
          <w:sz w:val="24"/>
          <w:szCs w:val="24"/>
        </w:rPr>
        <w:t xml:space="preserve">, A. T., Balogun, A. Y., &amp; Olaniyi, O. O. (2025). The Impact of Artificial Intelligence on Cyber Security in Digital Currency Transactions. </w:t>
      </w:r>
      <w:r w:rsidRPr="005F6F59">
        <w:rPr>
          <w:i/>
          <w:sz w:val="24"/>
          <w:szCs w:val="24"/>
        </w:rPr>
        <w:t>Archives of Current Research International</w:t>
      </w:r>
      <w:r w:rsidRPr="005F6F59">
        <w:rPr>
          <w:sz w:val="24"/>
          <w:szCs w:val="24"/>
        </w:rPr>
        <w:t xml:space="preserve">, </w:t>
      </w:r>
      <w:r w:rsidRPr="005F6F59">
        <w:rPr>
          <w:i/>
          <w:sz w:val="24"/>
          <w:szCs w:val="24"/>
        </w:rPr>
        <w:t>25</w:t>
      </w:r>
      <w:r w:rsidRPr="005F6F59">
        <w:rPr>
          <w:sz w:val="24"/>
          <w:szCs w:val="24"/>
        </w:rPr>
        <w:t xml:space="preserve">(2), 329–351. </w:t>
      </w:r>
      <w:hyperlink r:id="rId16">
        <w:r w:rsidRPr="005F6F59">
          <w:rPr>
            <w:color w:val="1155CC"/>
            <w:sz w:val="24"/>
            <w:szCs w:val="24"/>
            <w:u w:val="single"/>
          </w:rPr>
          <w:t>https://doi.org/10.9734/acri/2025/v25i21090</w:t>
        </w:r>
      </w:hyperlink>
      <w:r w:rsidRPr="005F6F59">
        <w:rPr>
          <w:sz w:val="24"/>
          <w:szCs w:val="24"/>
        </w:rPr>
        <w:t xml:space="preserve"> </w:t>
      </w:r>
    </w:p>
    <w:p w14:paraId="00000078" w14:textId="77777777" w:rsidR="000D5A02" w:rsidRPr="005F6F59" w:rsidRDefault="00320E20" w:rsidP="00D30110">
      <w:pPr>
        <w:spacing w:after="240"/>
        <w:ind w:left="709" w:hanging="709"/>
        <w:rPr>
          <w:sz w:val="24"/>
          <w:szCs w:val="24"/>
        </w:rPr>
      </w:pPr>
      <w:r w:rsidRPr="005F6F59">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5F6F59">
        <w:rPr>
          <w:i/>
          <w:sz w:val="24"/>
          <w:szCs w:val="24"/>
        </w:rPr>
        <w:t>Asian Journal of Economics Business and Accounting</w:t>
      </w:r>
      <w:r w:rsidRPr="005F6F59">
        <w:rPr>
          <w:sz w:val="24"/>
          <w:szCs w:val="24"/>
        </w:rPr>
        <w:t xml:space="preserve">, </w:t>
      </w:r>
      <w:r w:rsidRPr="005F6F59">
        <w:rPr>
          <w:i/>
          <w:sz w:val="24"/>
          <w:szCs w:val="24"/>
        </w:rPr>
        <w:t>24</w:t>
      </w:r>
      <w:r w:rsidRPr="005F6F59">
        <w:rPr>
          <w:sz w:val="24"/>
          <w:szCs w:val="24"/>
        </w:rPr>
        <w:t xml:space="preserve">(11), 47–73. </w:t>
      </w:r>
      <w:hyperlink r:id="rId17">
        <w:r w:rsidRPr="005F6F59">
          <w:rPr>
            <w:color w:val="1155CC"/>
            <w:sz w:val="24"/>
            <w:szCs w:val="24"/>
            <w:u w:val="single"/>
          </w:rPr>
          <w:t>https://doi.org/10.9734/ajeba/2024/v24i111542</w:t>
        </w:r>
      </w:hyperlink>
      <w:r w:rsidRPr="005F6F59">
        <w:rPr>
          <w:sz w:val="24"/>
          <w:szCs w:val="24"/>
        </w:rPr>
        <w:t xml:space="preserve"> </w:t>
      </w:r>
    </w:p>
    <w:p w14:paraId="00000079" w14:textId="77777777" w:rsidR="000D5A02" w:rsidRPr="005F6F59" w:rsidRDefault="00320E20" w:rsidP="00D30110">
      <w:pPr>
        <w:spacing w:after="240"/>
        <w:ind w:left="709" w:hanging="709"/>
        <w:rPr>
          <w:sz w:val="24"/>
          <w:szCs w:val="24"/>
        </w:rPr>
      </w:pPr>
      <w:r w:rsidRPr="005F6F59">
        <w:rPr>
          <w:sz w:val="24"/>
          <w:szCs w:val="24"/>
        </w:rPr>
        <w:t xml:space="preserve">Allied Market Research. (2021). </w:t>
      </w:r>
      <w:r w:rsidRPr="005F6F59">
        <w:rPr>
          <w:i/>
          <w:sz w:val="24"/>
          <w:szCs w:val="24"/>
        </w:rPr>
        <w:t>AI in Banking Market to Reach $64.03 Bn, Globally, by 2030 at 32.6% CAGR: Allied Market Research</w:t>
      </w:r>
      <w:r w:rsidRPr="005F6F59">
        <w:rPr>
          <w:sz w:val="24"/>
          <w:szCs w:val="24"/>
        </w:rPr>
        <w:t xml:space="preserve">. Prnewswire.com; Cision PR Newswire. </w:t>
      </w:r>
      <w:hyperlink r:id="rId18">
        <w:r w:rsidRPr="005F6F59">
          <w:rPr>
            <w:color w:val="1155CC"/>
            <w:sz w:val="24"/>
            <w:szCs w:val="24"/>
            <w:u w:val="single"/>
          </w:rPr>
          <w:t>https://www.prnewswire.com/news-releases/ai-in-banking-market-to-reach-64-03-bn-globally-by-2030-at-32-6-cagr-allied-market-research-301412764.html</w:t>
        </w:r>
      </w:hyperlink>
      <w:r w:rsidRPr="005F6F59">
        <w:rPr>
          <w:sz w:val="24"/>
          <w:szCs w:val="24"/>
        </w:rPr>
        <w:t xml:space="preserve">? </w:t>
      </w:r>
    </w:p>
    <w:p w14:paraId="0000007A" w14:textId="77777777" w:rsidR="000D5A02" w:rsidRPr="005F6F59" w:rsidRDefault="00320E20" w:rsidP="00D30110">
      <w:pPr>
        <w:spacing w:after="240"/>
        <w:ind w:left="709" w:hanging="709"/>
        <w:rPr>
          <w:sz w:val="24"/>
          <w:szCs w:val="24"/>
        </w:rPr>
      </w:pPr>
      <w:proofErr w:type="spellStart"/>
      <w:r w:rsidRPr="005F6F59">
        <w:rPr>
          <w:sz w:val="24"/>
          <w:szCs w:val="24"/>
        </w:rPr>
        <w:t>Ayeswarya</w:t>
      </w:r>
      <w:proofErr w:type="spellEnd"/>
      <w:r w:rsidRPr="005F6F59">
        <w:rPr>
          <w:sz w:val="24"/>
          <w:szCs w:val="24"/>
        </w:rPr>
        <w:t xml:space="preserve">, S., &amp; John Singh, K. (2024). A comprehensive review on secure biometric-based continuous authentication and user profiling. </w:t>
      </w:r>
      <w:r w:rsidRPr="005F6F59">
        <w:rPr>
          <w:i/>
          <w:sz w:val="24"/>
          <w:szCs w:val="24"/>
        </w:rPr>
        <w:t>IEEE Access</w:t>
      </w:r>
      <w:r w:rsidRPr="005F6F59">
        <w:rPr>
          <w:sz w:val="24"/>
          <w:szCs w:val="24"/>
        </w:rPr>
        <w:t xml:space="preserve">, </w:t>
      </w:r>
      <w:r w:rsidRPr="005F6F59">
        <w:rPr>
          <w:i/>
          <w:sz w:val="24"/>
          <w:szCs w:val="24"/>
        </w:rPr>
        <w:t>12</w:t>
      </w:r>
      <w:r w:rsidRPr="005F6F59">
        <w:rPr>
          <w:sz w:val="24"/>
          <w:szCs w:val="24"/>
        </w:rPr>
        <w:t xml:space="preserve">, 82996–83021. </w:t>
      </w:r>
      <w:hyperlink r:id="rId19">
        <w:r w:rsidRPr="005F6F59">
          <w:rPr>
            <w:color w:val="1155CC"/>
            <w:sz w:val="24"/>
            <w:szCs w:val="24"/>
            <w:u w:val="single"/>
          </w:rPr>
          <w:t>https://doi.org/10.1109/access.2024.3411783</w:t>
        </w:r>
      </w:hyperlink>
      <w:r w:rsidRPr="005F6F59">
        <w:rPr>
          <w:sz w:val="24"/>
          <w:szCs w:val="24"/>
        </w:rPr>
        <w:t xml:space="preserve"> </w:t>
      </w:r>
    </w:p>
    <w:p w14:paraId="0000007B" w14:textId="77777777" w:rsidR="000D5A02" w:rsidRPr="005F6F59" w:rsidRDefault="00320E20" w:rsidP="00D30110">
      <w:pPr>
        <w:spacing w:after="240"/>
        <w:ind w:left="709" w:hanging="709"/>
        <w:rPr>
          <w:sz w:val="24"/>
          <w:szCs w:val="24"/>
        </w:rPr>
      </w:pPr>
      <w:r w:rsidRPr="005F6F59">
        <w:rPr>
          <w:sz w:val="24"/>
          <w:szCs w:val="24"/>
        </w:rPr>
        <w:t xml:space="preserve">Aziz, L. A. R., &amp; </w:t>
      </w:r>
      <w:proofErr w:type="spellStart"/>
      <w:r w:rsidRPr="005F6F59">
        <w:rPr>
          <w:sz w:val="24"/>
          <w:szCs w:val="24"/>
        </w:rPr>
        <w:t>Andriansyah</w:t>
      </w:r>
      <w:proofErr w:type="spellEnd"/>
      <w:r w:rsidRPr="005F6F59">
        <w:rPr>
          <w:sz w:val="24"/>
          <w:szCs w:val="24"/>
        </w:rPr>
        <w:t xml:space="preserve">, Y. (2023). The Role Artificial Intelligence in Modern Banking: An Exploration of AI-Driven Approaches for Enhanced Fraud Prevention, Risk Management, and Regulatory Compliance </w:t>
      </w:r>
      <w:proofErr w:type="gramStart"/>
      <w:r w:rsidRPr="005F6F59">
        <w:rPr>
          <w:sz w:val="24"/>
          <w:szCs w:val="24"/>
        </w:rPr>
        <w:t>The</w:t>
      </w:r>
      <w:proofErr w:type="gramEnd"/>
      <w:r w:rsidRPr="005F6F59">
        <w:rPr>
          <w:sz w:val="24"/>
          <w:szCs w:val="24"/>
        </w:rPr>
        <w:t xml:space="preserve"> Role Artificial Intelligence in Modern Banking: An Exploration of AI-Driven Approaches for Enhanced Fraud Prevention, Risk Management, and Regulatory Compliance. </w:t>
      </w:r>
      <w:proofErr w:type="gramStart"/>
      <w:r w:rsidRPr="005F6F59">
        <w:rPr>
          <w:i/>
          <w:sz w:val="24"/>
          <w:szCs w:val="24"/>
        </w:rPr>
        <w:t xml:space="preserve">RCBA </w:t>
      </w:r>
      <w:r w:rsidRPr="005F6F59">
        <w:rPr>
          <w:sz w:val="24"/>
          <w:szCs w:val="24"/>
        </w:rPr>
        <w:t>,</w:t>
      </w:r>
      <w:proofErr w:type="gramEnd"/>
      <w:r w:rsidRPr="005F6F59">
        <w:rPr>
          <w:sz w:val="24"/>
          <w:szCs w:val="24"/>
        </w:rPr>
        <w:t xml:space="preserve"> </w:t>
      </w:r>
      <w:r w:rsidRPr="005F6F59">
        <w:rPr>
          <w:i/>
          <w:sz w:val="24"/>
          <w:szCs w:val="24"/>
        </w:rPr>
        <w:t>6</w:t>
      </w:r>
      <w:r w:rsidRPr="005F6F59">
        <w:rPr>
          <w:sz w:val="24"/>
          <w:szCs w:val="24"/>
        </w:rPr>
        <w:t xml:space="preserve">(1). </w:t>
      </w:r>
      <w:hyperlink r:id="rId20">
        <w:r w:rsidRPr="005F6F59">
          <w:rPr>
            <w:color w:val="1155CC"/>
            <w:sz w:val="24"/>
            <w:szCs w:val="24"/>
            <w:u w:val="single"/>
          </w:rPr>
          <w:t>https://core.ac.uk/download/pdf/578755756.pdf</w:t>
        </w:r>
      </w:hyperlink>
      <w:r w:rsidRPr="005F6F59">
        <w:rPr>
          <w:sz w:val="24"/>
          <w:szCs w:val="24"/>
        </w:rPr>
        <w:t xml:space="preserve"> </w:t>
      </w:r>
    </w:p>
    <w:p w14:paraId="0000007C" w14:textId="77777777" w:rsidR="000D5A02" w:rsidRPr="005F6F59" w:rsidRDefault="00320E20" w:rsidP="00D30110">
      <w:pPr>
        <w:spacing w:after="240"/>
        <w:ind w:left="709" w:hanging="709"/>
        <w:rPr>
          <w:sz w:val="24"/>
          <w:szCs w:val="24"/>
        </w:rPr>
      </w:pPr>
      <w:r w:rsidRPr="005F6F59">
        <w:rPr>
          <w:sz w:val="24"/>
          <w:szCs w:val="24"/>
        </w:rPr>
        <w:lastRenderedPageBreak/>
        <w:t xml:space="preserve">Balogun, A. Y. (2025). Strengthening Compliance with Data Privacy Regulations in U.S. Healthcare Cybersecurity.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(1), 154–173. </w:t>
      </w:r>
      <w:hyperlink r:id="rId21">
        <w:r w:rsidRPr="005F6F59">
          <w:rPr>
            <w:color w:val="1155CC"/>
            <w:sz w:val="24"/>
            <w:szCs w:val="24"/>
            <w:u w:val="single"/>
          </w:rPr>
          <w:t>https://doi.org/10.9734/ajrcos/2025/v18i1555</w:t>
        </w:r>
      </w:hyperlink>
      <w:r w:rsidRPr="005F6F59">
        <w:rPr>
          <w:sz w:val="24"/>
          <w:szCs w:val="24"/>
        </w:rPr>
        <w:t xml:space="preserve"> </w:t>
      </w:r>
    </w:p>
    <w:p w14:paraId="0000007D" w14:textId="77777777" w:rsidR="000D5A02" w:rsidRPr="005F6F59" w:rsidRDefault="00320E20" w:rsidP="00D30110">
      <w:pPr>
        <w:spacing w:after="240"/>
        <w:ind w:left="709" w:hanging="709"/>
        <w:rPr>
          <w:sz w:val="24"/>
          <w:szCs w:val="24"/>
        </w:rPr>
      </w:pPr>
      <w:r w:rsidRPr="005F6F59">
        <w:rPr>
          <w:sz w:val="24"/>
          <w:szCs w:val="24"/>
        </w:rPr>
        <w:t xml:space="preserve">Balogun, A. Y., Alao, A. I., &amp; Olaniyi, O. O. (2025). Disinformation in the digital era: The role of deepfakes, artificial intelligence, and open-source intelligence in shaping public trust and policy responses. </w:t>
      </w:r>
      <w:r w:rsidRPr="005F6F59">
        <w:rPr>
          <w:i/>
          <w:sz w:val="24"/>
          <w:szCs w:val="24"/>
        </w:rPr>
        <w:t>Computer Science &amp; IT Research Journal</w:t>
      </w:r>
      <w:r w:rsidRPr="005F6F59">
        <w:rPr>
          <w:sz w:val="24"/>
          <w:szCs w:val="24"/>
        </w:rPr>
        <w:t xml:space="preserve">, </w:t>
      </w:r>
      <w:r w:rsidRPr="005F6F59">
        <w:rPr>
          <w:i/>
          <w:sz w:val="24"/>
          <w:szCs w:val="24"/>
        </w:rPr>
        <w:t>6</w:t>
      </w:r>
      <w:r w:rsidRPr="005F6F59">
        <w:rPr>
          <w:sz w:val="24"/>
          <w:szCs w:val="24"/>
        </w:rPr>
        <w:t xml:space="preserve">(2), 28–48. </w:t>
      </w:r>
      <w:hyperlink r:id="rId22">
        <w:r w:rsidRPr="005F6F59">
          <w:rPr>
            <w:color w:val="1155CC"/>
            <w:sz w:val="24"/>
            <w:szCs w:val="24"/>
            <w:u w:val="single"/>
          </w:rPr>
          <w:t>https://doi.org/10.51594/csitrj.v6i2.1824</w:t>
        </w:r>
      </w:hyperlink>
      <w:r w:rsidRPr="005F6F59">
        <w:rPr>
          <w:sz w:val="24"/>
          <w:szCs w:val="24"/>
        </w:rPr>
        <w:t xml:space="preserve"> </w:t>
      </w:r>
    </w:p>
    <w:p w14:paraId="0000007E" w14:textId="77777777" w:rsidR="000D5A02" w:rsidRPr="005F6F59" w:rsidRDefault="00320E20" w:rsidP="00D30110">
      <w:pPr>
        <w:spacing w:after="240"/>
        <w:ind w:left="709" w:hanging="709"/>
        <w:rPr>
          <w:sz w:val="24"/>
          <w:szCs w:val="24"/>
        </w:rPr>
      </w:pPr>
      <w:r w:rsidRPr="005F6F59">
        <w:rPr>
          <w:sz w:val="24"/>
          <w:szCs w:val="24"/>
        </w:rPr>
        <w:t xml:space="preserve">Balogun, A. Y., </w:t>
      </w:r>
      <w:proofErr w:type="spellStart"/>
      <w:r w:rsidRPr="005F6F59">
        <w:rPr>
          <w:sz w:val="24"/>
          <w:szCs w:val="24"/>
        </w:rPr>
        <w:t>Metibemu</w:t>
      </w:r>
      <w:proofErr w:type="spellEnd"/>
      <w:r w:rsidRPr="005F6F59">
        <w:rPr>
          <w:sz w:val="24"/>
          <w:szCs w:val="24"/>
        </w:rPr>
        <w:t xml:space="preserve">, O. C., </w:t>
      </w:r>
      <w:proofErr w:type="spellStart"/>
      <w:r w:rsidRPr="005F6F59">
        <w:rPr>
          <w:sz w:val="24"/>
          <w:szCs w:val="24"/>
        </w:rPr>
        <w:t>Olutimehin</w:t>
      </w:r>
      <w:proofErr w:type="spellEnd"/>
      <w:r w:rsidRPr="005F6F59">
        <w:rPr>
          <w:sz w:val="24"/>
          <w:szCs w:val="24"/>
        </w:rPr>
        <w:t xml:space="preserve">, A. T., Ajayi, A. J., Babarinde, D. C., &amp; Olaniyi, O. O. (2025). The Ethical and Legal Implications of Shadow AI in Sensitive Industries: A Focus on Healthcare, Finance and Education.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1–22. </w:t>
      </w:r>
      <w:hyperlink r:id="rId23">
        <w:r w:rsidRPr="005F6F59">
          <w:rPr>
            <w:color w:val="1155CC"/>
            <w:sz w:val="24"/>
            <w:szCs w:val="24"/>
            <w:u w:val="single"/>
          </w:rPr>
          <w:t>https://doi.org/10.9734/jerr/2025/v27i31414</w:t>
        </w:r>
      </w:hyperlink>
      <w:r w:rsidRPr="005F6F59">
        <w:rPr>
          <w:sz w:val="24"/>
          <w:szCs w:val="24"/>
        </w:rPr>
        <w:t xml:space="preserve"> </w:t>
      </w:r>
    </w:p>
    <w:p w14:paraId="0000007F" w14:textId="77777777" w:rsidR="000D5A02" w:rsidRPr="005F6F59" w:rsidRDefault="00320E20" w:rsidP="00D30110">
      <w:pPr>
        <w:spacing w:after="240"/>
        <w:ind w:left="709" w:hanging="709"/>
        <w:rPr>
          <w:sz w:val="24"/>
          <w:szCs w:val="24"/>
        </w:rPr>
      </w:pPr>
      <w:r w:rsidRPr="005F6F59">
        <w:rPr>
          <w:sz w:val="24"/>
          <w:szCs w:val="24"/>
        </w:rPr>
        <w:t xml:space="preserve">Balogun, A. Y., Olaniyi, O. O., &amp; Alao, A. I. (2025). Shaping trust and tension: Strategic leaks and their impact on global cybersecurity norms. </w:t>
      </w:r>
      <w:r w:rsidRPr="005F6F59">
        <w:rPr>
          <w:i/>
          <w:sz w:val="24"/>
          <w:szCs w:val="24"/>
        </w:rPr>
        <w:t>International Journal of Applied Research in Social Sciences</w:t>
      </w:r>
      <w:r w:rsidRPr="005F6F59">
        <w:rPr>
          <w:sz w:val="24"/>
          <w:szCs w:val="24"/>
        </w:rPr>
        <w:t xml:space="preserve">, </w:t>
      </w:r>
      <w:r w:rsidRPr="005F6F59">
        <w:rPr>
          <w:i/>
          <w:sz w:val="24"/>
          <w:szCs w:val="24"/>
        </w:rPr>
        <w:t>7</w:t>
      </w:r>
      <w:r w:rsidRPr="005F6F59">
        <w:rPr>
          <w:sz w:val="24"/>
          <w:szCs w:val="24"/>
        </w:rPr>
        <w:t xml:space="preserve">(3), 123–144. </w:t>
      </w:r>
      <w:hyperlink r:id="rId24">
        <w:r w:rsidRPr="005F6F59">
          <w:rPr>
            <w:color w:val="1155CC"/>
            <w:sz w:val="24"/>
            <w:szCs w:val="24"/>
            <w:u w:val="single"/>
          </w:rPr>
          <w:t>https://doi.org/10.51594/ijarss.v7i3.1823</w:t>
        </w:r>
      </w:hyperlink>
      <w:r w:rsidRPr="005F6F59">
        <w:rPr>
          <w:sz w:val="24"/>
          <w:szCs w:val="24"/>
        </w:rPr>
        <w:t xml:space="preserve"> </w:t>
      </w:r>
    </w:p>
    <w:p w14:paraId="00000080" w14:textId="77777777" w:rsidR="000D5A02" w:rsidRPr="005F6F59" w:rsidRDefault="00320E20" w:rsidP="00D30110">
      <w:pPr>
        <w:spacing w:after="240"/>
        <w:ind w:left="709" w:hanging="709"/>
        <w:rPr>
          <w:sz w:val="24"/>
          <w:szCs w:val="24"/>
        </w:rPr>
      </w:pPr>
      <w:proofErr w:type="spellStart"/>
      <w:r w:rsidRPr="006E7F06">
        <w:rPr>
          <w:sz w:val="24"/>
          <w:szCs w:val="24"/>
          <w:lang w:val="es-ES"/>
        </w:rPr>
        <w:t>Balogun</w:t>
      </w:r>
      <w:proofErr w:type="spellEnd"/>
      <w:r w:rsidRPr="006E7F06">
        <w:rPr>
          <w:sz w:val="24"/>
          <w:szCs w:val="24"/>
          <w:lang w:val="es-ES"/>
        </w:rPr>
        <w:t xml:space="preserve">, A. Y., Olaniyi, O. O., </w:t>
      </w:r>
      <w:proofErr w:type="spellStart"/>
      <w:r w:rsidRPr="006E7F06">
        <w:rPr>
          <w:sz w:val="24"/>
          <w:szCs w:val="24"/>
          <w:lang w:val="es-ES"/>
        </w:rPr>
        <w:t>Olisa</w:t>
      </w:r>
      <w:proofErr w:type="spellEnd"/>
      <w:r w:rsidRPr="006E7F06">
        <w:rPr>
          <w:sz w:val="24"/>
          <w:szCs w:val="24"/>
          <w:lang w:val="es-ES"/>
        </w:rPr>
        <w:t xml:space="preserve">, A. O., </w:t>
      </w:r>
      <w:proofErr w:type="spellStart"/>
      <w:r w:rsidRPr="006E7F06">
        <w:rPr>
          <w:sz w:val="24"/>
          <w:szCs w:val="24"/>
          <w:lang w:val="es-ES"/>
        </w:rPr>
        <w:t>Gbadebo</w:t>
      </w:r>
      <w:proofErr w:type="spellEnd"/>
      <w:r w:rsidRPr="006E7F06">
        <w:rPr>
          <w:sz w:val="24"/>
          <w:szCs w:val="24"/>
          <w:lang w:val="es-ES"/>
        </w:rPr>
        <w:t xml:space="preserve">, M. O., &amp; </w:t>
      </w:r>
      <w:proofErr w:type="spellStart"/>
      <w:r w:rsidRPr="006E7F06">
        <w:rPr>
          <w:sz w:val="24"/>
          <w:szCs w:val="24"/>
          <w:lang w:val="es-ES"/>
        </w:rPr>
        <w:t>Chinye</w:t>
      </w:r>
      <w:proofErr w:type="spellEnd"/>
      <w:r w:rsidRPr="006E7F06">
        <w:rPr>
          <w:sz w:val="24"/>
          <w:szCs w:val="24"/>
          <w:lang w:val="es-ES"/>
        </w:rPr>
        <w:t xml:space="preserve">, N. C. (2025). </w:t>
      </w:r>
      <w:r w:rsidRPr="005F6F59">
        <w:rPr>
          <w:sz w:val="24"/>
          <w:szCs w:val="24"/>
        </w:rPr>
        <w:t xml:space="preserve">Enhancing Incident Response Strategies in U.S. Healthcare Cybersecurity.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114–135. </w:t>
      </w:r>
      <w:hyperlink r:id="rId25">
        <w:r w:rsidRPr="005F6F59">
          <w:rPr>
            <w:color w:val="1155CC"/>
            <w:sz w:val="24"/>
            <w:szCs w:val="24"/>
            <w:u w:val="single"/>
          </w:rPr>
          <w:t>https://doi.org/10.9734/jerr/2025/v27i21399</w:t>
        </w:r>
      </w:hyperlink>
      <w:r w:rsidRPr="005F6F59">
        <w:rPr>
          <w:sz w:val="24"/>
          <w:szCs w:val="24"/>
        </w:rPr>
        <w:t xml:space="preserve"> </w:t>
      </w:r>
    </w:p>
    <w:p w14:paraId="00000081" w14:textId="77777777" w:rsidR="000D5A02" w:rsidRPr="005F6F59" w:rsidRDefault="00320E20" w:rsidP="00D30110">
      <w:pPr>
        <w:spacing w:after="240"/>
        <w:ind w:left="709" w:hanging="709"/>
        <w:rPr>
          <w:sz w:val="24"/>
          <w:szCs w:val="24"/>
        </w:rPr>
      </w:pPr>
      <w:r w:rsidRPr="005F6F59">
        <w:rPr>
          <w:sz w:val="24"/>
          <w:szCs w:val="24"/>
        </w:rPr>
        <w:t xml:space="preserve">Banga, L., &amp; Pillai, S. (2021). Impact of Behavioural Biometrics on Mobile Banking System. </w:t>
      </w:r>
      <w:r w:rsidRPr="005F6F59">
        <w:rPr>
          <w:i/>
          <w:sz w:val="24"/>
          <w:szCs w:val="24"/>
        </w:rPr>
        <w:t>Journal of Physics: Conference Series</w:t>
      </w:r>
      <w:r w:rsidRPr="005F6F59">
        <w:rPr>
          <w:sz w:val="24"/>
          <w:szCs w:val="24"/>
        </w:rPr>
        <w:t xml:space="preserve">, </w:t>
      </w:r>
      <w:r w:rsidRPr="005F6F59">
        <w:rPr>
          <w:i/>
          <w:sz w:val="24"/>
          <w:szCs w:val="24"/>
        </w:rPr>
        <w:t>1964</w:t>
      </w:r>
      <w:r w:rsidRPr="005F6F59">
        <w:rPr>
          <w:sz w:val="24"/>
          <w:szCs w:val="24"/>
        </w:rPr>
        <w:t xml:space="preserve">(6), 062109. </w:t>
      </w:r>
      <w:hyperlink r:id="rId26">
        <w:r w:rsidRPr="005F6F59">
          <w:rPr>
            <w:color w:val="1155CC"/>
            <w:sz w:val="24"/>
            <w:szCs w:val="24"/>
            <w:u w:val="single"/>
          </w:rPr>
          <w:t>https://doi.org/10.1088/1742-6596/1964/6/062109</w:t>
        </w:r>
      </w:hyperlink>
      <w:r w:rsidRPr="005F6F59">
        <w:rPr>
          <w:sz w:val="24"/>
          <w:szCs w:val="24"/>
        </w:rPr>
        <w:t xml:space="preserve"> </w:t>
      </w:r>
    </w:p>
    <w:p w14:paraId="00000082" w14:textId="77777777" w:rsidR="000D5A02" w:rsidRPr="005F6F59" w:rsidRDefault="00320E20" w:rsidP="00D30110">
      <w:pPr>
        <w:spacing w:after="240"/>
        <w:ind w:left="709" w:hanging="709"/>
        <w:rPr>
          <w:sz w:val="24"/>
          <w:szCs w:val="24"/>
        </w:rPr>
      </w:pPr>
      <w:proofErr w:type="spellStart"/>
      <w:r w:rsidRPr="005F6F59">
        <w:rPr>
          <w:sz w:val="24"/>
          <w:szCs w:val="24"/>
        </w:rPr>
        <w:t>BioCatch</w:t>
      </w:r>
      <w:proofErr w:type="spellEnd"/>
      <w:r w:rsidRPr="005F6F59">
        <w:rPr>
          <w:sz w:val="24"/>
          <w:szCs w:val="24"/>
        </w:rPr>
        <w:t xml:space="preserve">. (2023). </w:t>
      </w:r>
      <w:r w:rsidRPr="005F6F59">
        <w:rPr>
          <w:i/>
          <w:sz w:val="24"/>
          <w:szCs w:val="24"/>
        </w:rPr>
        <w:t xml:space="preserve">BCU Reduces Fraud from Zelle Impostor Scams Up to 95% After Deploying </w:t>
      </w:r>
      <w:proofErr w:type="spellStart"/>
      <w:r w:rsidRPr="005F6F59">
        <w:rPr>
          <w:i/>
          <w:sz w:val="24"/>
          <w:szCs w:val="24"/>
        </w:rPr>
        <w:t>Behavioral</w:t>
      </w:r>
      <w:proofErr w:type="spellEnd"/>
      <w:r w:rsidRPr="005F6F59">
        <w:rPr>
          <w:i/>
          <w:sz w:val="24"/>
          <w:szCs w:val="24"/>
        </w:rPr>
        <w:t xml:space="preserve"> Biometric Intelligence CASE STUDY Background</w:t>
      </w:r>
      <w:r w:rsidRPr="005F6F59">
        <w:rPr>
          <w:sz w:val="24"/>
          <w:szCs w:val="24"/>
        </w:rPr>
        <w:t xml:space="preserve">. </w:t>
      </w:r>
      <w:hyperlink r:id="rId27">
        <w:r w:rsidRPr="005F6F59">
          <w:rPr>
            <w:color w:val="1155CC"/>
            <w:sz w:val="24"/>
            <w:szCs w:val="24"/>
            <w:u w:val="single"/>
          </w:rPr>
          <w:t>https://www.biocatch.com/hubfs/CS-BCU-Reduces-Zelle-Fraud-95-Percent.pdf</w:t>
        </w:r>
      </w:hyperlink>
      <w:r w:rsidRPr="005F6F59">
        <w:rPr>
          <w:sz w:val="24"/>
          <w:szCs w:val="24"/>
        </w:rPr>
        <w:t xml:space="preserve"> </w:t>
      </w:r>
    </w:p>
    <w:p w14:paraId="00000083" w14:textId="77777777" w:rsidR="000D5A02" w:rsidRPr="005F6F59" w:rsidRDefault="00320E20" w:rsidP="00D30110">
      <w:pPr>
        <w:spacing w:after="240"/>
        <w:ind w:left="709" w:hanging="709"/>
        <w:rPr>
          <w:sz w:val="24"/>
          <w:szCs w:val="24"/>
        </w:rPr>
      </w:pPr>
      <w:proofErr w:type="spellStart"/>
      <w:r w:rsidRPr="005F6F59">
        <w:rPr>
          <w:sz w:val="24"/>
          <w:szCs w:val="24"/>
        </w:rPr>
        <w:t>BioCatch</w:t>
      </w:r>
      <w:proofErr w:type="spellEnd"/>
      <w:r w:rsidRPr="005F6F59">
        <w:rPr>
          <w:sz w:val="24"/>
          <w:szCs w:val="24"/>
        </w:rPr>
        <w:t xml:space="preserve">. (2024a). </w:t>
      </w:r>
      <w:r w:rsidRPr="005F6F59">
        <w:rPr>
          <w:i/>
          <w:sz w:val="24"/>
          <w:szCs w:val="24"/>
        </w:rPr>
        <w:t>2024 AI Fraud Financial Crime Survey</w:t>
      </w:r>
      <w:r w:rsidRPr="005F6F59">
        <w:rPr>
          <w:sz w:val="24"/>
          <w:szCs w:val="24"/>
        </w:rPr>
        <w:t xml:space="preserve">. Biocatch.com. </w:t>
      </w:r>
      <w:hyperlink r:id="rId28">
        <w:r w:rsidRPr="005F6F59">
          <w:rPr>
            <w:color w:val="1155CC"/>
            <w:sz w:val="24"/>
            <w:szCs w:val="24"/>
            <w:u w:val="single"/>
          </w:rPr>
          <w:t>https://www.biocatch.com/ai-fraud-financial-crime-survey</w:t>
        </w:r>
      </w:hyperlink>
      <w:r w:rsidRPr="005F6F59">
        <w:rPr>
          <w:sz w:val="24"/>
          <w:szCs w:val="24"/>
        </w:rPr>
        <w:t xml:space="preserve"> </w:t>
      </w:r>
    </w:p>
    <w:p w14:paraId="00000084" w14:textId="77777777" w:rsidR="000D5A02" w:rsidRPr="005F6F59" w:rsidRDefault="00320E20" w:rsidP="00D30110">
      <w:pPr>
        <w:spacing w:after="240"/>
        <w:ind w:left="709" w:hanging="709"/>
        <w:rPr>
          <w:sz w:val="24"/>
          <w:szCs w:val="24"/>
        </w:rPr>
      </w:pPr>
      <w:proofErr w:type="spellStart"/>
      <w:r w:rsidRPr="005F6F59">
        <w:rPr>
          <w:sz w:val="24"/>
          <w:szCs w:val="24"/>
        </w:rPr>
        <w:t>BioCatch</w:t>
      </w:r>
      <w:proofErr w:type="spellEnd"/>
      <w:r w:rsidRPr="005F6F59">
        <w:rPr>
          <w:sz w:val="24"/>
          <w:szCs w:val="24"/>
        </w:rPr>
        <w:t xml:space="preserve">. (2024b). </w:t>
      </w:r>
      <w:proofErr w:type="spellStart"/>
      <w:r w:rsidRPr="005F6F59">
        <w:rPr>
          <w:i/>
          <w:sz w:val="24"/>
          <w:szCs w:val="24"/>
        </w:rPr>
        <w:t>BioCatch</w:t>
      </w:r>
      <w:proofErr w:type="spellEnd"/>
      <w:r w:rsidRPr="005F6F59">
        <w:rPr>
          <w:i/>
          <w:sz w:val="24"/>
          <w:szCs w:val="24"/>
        </w:rPr>
        <w:t xml:space="preserve"> Releases Comprehensive Analysis of Banking-Fraud and Financial-Crime Trends in Europe</w:t>
      </w:r>
      <w:r w:rsidRPr="005F6F59">
        <w:rPr>
          <w:sz w:val="24"/>
          <w:szCs w:val="24"/>
        </w:rPr>
        <w:t xml:space="preserve">. Biocatch.com. </w:t>
      </w:r>
      <w:hyperlink r:id="rId29">
        <w:r w:rsidRPr="005F6F59">
          <w:rPr>
            <w:color w:val="1155CC"/>
            <w:sz w:val="24"/>
            <w:szCs w:val="24"/>
            <w:u w:val="single"/>
          </w:rPr>
          <w:t>https://www.biocatch.com/press-release/biocatch-releases-analysis-banking-fraud-trends-europe</w:t>
        </w:r>
      </w:hyperlink>
      <w:r w:rsidRPr="005F6F59">
        <w:rPr>
          <w:sz w:val="24"/>
          <w:szCs w:val="24"/>
        </w:rPr>
        <w:t xml:space="preserve">? </w:t>
      </w:r>
    </w:p>
    <w:p w14:paraId="00000085" w14:textId="77777777" w:rsidR="000D5A02" w:rsidRPr="006E7F06" w:rsidRDefault="00320E20" w:rsidP="00D30110">
      <w:pPr>
        <w:spacing w:after="240"/>
        <w:ind w:left="709" w:hanging="709"/>
        <w:rPr>
          <w:sz w:val="24"/>
          <w:szCs w:val="24"/>
          <w:lang w:val="es-ES"/>
        </w:rPr>
      </w:pPr>
      <w:r w:rsidRPr="005F6F59">
        <w:rPr>
          <w:sz w:val="24"/>
          <w:szCs w:val="24"/>
        </w:rPr>
        <w:lastRenderedPageBreak/>
        <w:t xml:space="preserve">Chrisler, K. (2025). </w:t>
      </w:r>
      <w:r w:rsidRPr="005F6F59">
        <w:rPr>
          <w:i/>
          <w:sz w:val="24"/>
          <w:szCs w:val="24"/>
        </w:rPr>
        <w:t xml:space="preserve">Redefining Trust: The New Role of </w:t>
      </w:r>
      <w:proofErr w:type="spellStart"/>
      <w:r w:rsidRPr="005F6F59">
        <w:rPr>
          <w:i/>
          <w:sz w:val="24"/>
          <w:szCs w:val="24"/>
        </w:rPr>
        <w:t>Behavioral</w:t>
      </w:r>
      <w:proofErr w:type="spellEnd"/>
      <w:r w:rsidRPr="005F6F59">
        <w:rPr>
          <w:i/>
          <w:sz w:val="24"/>
          <w:szCs w:val="24"/>
        </w:rPr>
        <w:t xml:space="preserve"> Biometrics in Fraud Prevention</w:t>
      </w:r>
      <w:r w:rsidRPr="005F6F59">
        <w:rPr>
          <w:sz w:val="24"/>
          <w:szCs w:val="24"/>
        </w:rPr>
        <w:t xml:space="preserve">. </w:t>
      </w:r>
      <w:r w:rsidRPr="006E7F06">
        <w:rPr>
          <w:sz w:val="24"/>
          <w:szCs w:val="24"/>
          <w:lang w:val="es-ES"/>
        </w:rPr>
        <w:t xml:space="preserve">SEON. </w:t>
      </w:r>
      <w:hyperlink r:id="rId30">
        <w:r w:rsidRPr="006E7F06">
          <w:rPr>
            <w:color w:val="1155CC"/>
            <w:sz w:val="24"/>
            <w:szCs w:val="24"/>
            <w:u w:val="single"/>
            <w:lang w:val="es-ES"/>
          </w:rPr>
          <w:t>https://seon.io/resources/behavioral-biometrics-fraud-prevention-and-authentication/</w:t>
        </w:r>
      </w:hyperlink>
      <w:r w:rsidRPr="006E7F06">
        <w:rPr>
          <w:sz w:val="24"/>
          <w:szCs w:val="24"/>
          <w:lang w:val="es-ES"/>
        </w:rPr>
        <w:t xml:space="preserve"> </w:t>
      </w:r>
    </w:p>
    <w:p w14:paraId="00000086" w14:textId="77777777" w:rsidR="000D5A02" w:rsidRPr="005F6F59" w:rsidRDefault="00320E20" w:rsidP="00D30110">
      <w:pPr>
        <w:spacing w:after="240"/>
        <w:ind w:left="709" w:hanging="709"/>
        <w:rPr>
          <w:sz w:val="24"/>
          <w:szCs w:val="24"/>
        </w:rPr>
      </w:pPr>
      <w:r w:rsidRPr="005F6F59">
        <w:rPr>
          <w:sz w:val="24"/>
          <w:szCs w:val="24"/>
        </w:rPr>
        <w:t xml:space="preserve">Finnegan, O. L., White, J. W., Armstrong, B., Adams, E. L., Burkart, S., Beets, M. W., </w:t>
      </w:r>
      <w:proofErr w:type="spellStart"/>
      <w:r w:rsidRPr="005F6F59">
        <w:rPr>
          <w:sz w:val="24"/>
          <w:szCs w:val="24"/>
        </w:rPr>
        <w:t>Nelakuditi</w:t>
      </w:r>
      <w:proofErr w:type="spellEnd"/>
      <w:r w:rsidRPr="005F6F59">
        <w:rPr>
          <w:sz w:val="24"/>
          <w:szCs w:val="24"/>
        </w:rPr>
        <w:t xml:space="preserve">, S., Willis, E. A., von </w:t>
      </w:r>
      <w:proofErr w:type="spellStart"/>
      <w:r w:rsidRPr="005F6F59">
        <w:rPr>
          <w:sz w:val="24"/>
          <w:szCs w:val="24"/>
        </w:rPr>
        <w:t>Klinggraeff</w:t>
      </w:r>
      <w:proofErr w:type="spellEnd"/>
      <w:r w:rsidRPr="005F6F59">
        <w:rPr>
          <w:sz w:val="24"/>
          <w:szCs w:val="24"/>
        </w:rPr>
        <w:t xml:space="preserve">, L., Parker, H., Bastyr, M., Zhu, X., Zhong, Z., &amp; Weaver, R. G. (2024). The utility of </w:t>
      </w:r>
      <w:proofErr w:type="spellStart"/>
      <w:r w:rsidRPr="005F6F59">
        <w:rPr>
          <w:sz w:val="24"/>
          <w:szCs w:val="24"/>
        </w:rPr>
        <w:t>behavioral</w:t>
      </w:r>
      <w:proofErr w:type="spellEnd"/>
      <w:r w:rsidRPr="005F6F59">
        <w:rPr>
          <w:sz w:val="24"/>
          <w:szCs w:val="24"/>
        </w:rPr>
        <w:t xml:space="preserve"> biometrics in user authentication and demographic characteristic detection: a scoping review. </w:t>
      </w:r>
      <w:r w:rsidRPr="005F6F59">
        <w:rPr>
          <w:i/>
          <w:sz w:val="24"/>
          <w:szCs w:val="24"/>
        </w:rPr>
        <w:t>Systematic Reviews</w:t>
      </w:r>
      <w:r w:rsidRPr="005F6F59">
        <w:rPr>
          <w:sz w:val="24"/>
          <w:szCs w:val="24"/>
        </w:rPr>
        <w:t xml:space="preserve">, </w:t>
      </w:r>
      <w:r w:rsidRPr="005F6F59">
        <w:rPr>
          <w:i/>
          <w:sz w:val="24"/>
          <w:szCs w:val="24"/>
        </w:rPr>
        <w:t>13</w:t>
      </w:r>
      <w:r w:rsidRPr="005F6F59">
        <w:rPr>
          <w:sz w:val="24"/>
          <w:szCs w:val="24"/>
        </w:rPr>
        <w:t xml:space="preserve">(1). </w:t>
      </w:r>
      <w:hyperlink r:id="rId31">
        <w:r w:rsidRPr="005F6F59">
          <w:rPr>
            <w:color w:val="1155CC"/>
            <w:sz w:val="24"/>
            <w:szCs w:val="24"/>
            <w:u w:val="single"/>
          </w:rPr>
          <w:t>https://doi.org/10.1186/s13643-024-02451-1</w:t>
        </w:r>
      </w:hyperlink>
      <w:r w:rsidRPr="005F6F59">
        <w:rPr>
          <w:sz w:val="24"/>
          <w:szCs w:val="24"/>
        </w:rPr>
        <w:t xml:space="preserve"> </w:t>
      </w:r>
    </w:p>
    <w:p w14:paraId="00000087" w14:textId="77777777" w:rsidR="000D5A02" w:rsidRPr="005F6F59" w:rsidRDefault="00320E20" w:rsidP="00D30110">
      <w:pPr>
        <w:spacing w:after="240"/>
        <w:ind w:left="709" w:hanging="709"/>
        <w:rPr>
          <w:sz w:val="24"/>
          <w:szCs w:val="24"/>
        </w:rPr>
      </w:pPr>
      <w:r w:rsidRPr="005F6F59">
        <w:rPr>
          <w:sz w:val="24"/>
          <w:szCs w:val="24"/>
        </w:rPr>
        <w:t xml:space="preserve">Fred, T. (2025). </w:t>
      </w:r>
      <w:r w:rsidRPr="005F6F59">
        <w:rPr>
          <w:i/>
          <w:sz w:val="24"/>
          <w:szCs w:val="24"/>
        </w:rPr>
        <w:t>Legal and Ethical Implications of Biometric Data Usage in Modern Governance</w:t>
      </w:r>
      <w:r w:rsidRPr="005F6F59">
        <w:rPr>
          <w:sz w:val="24"/>
          <w:szCs w:val="24"/>
        </w:rPr>
        <w:t xml:space="preserve">. ResearchGate. </w:t>
      </w:r>
      <w:hyperlink r:id="rId32">
        <w:r w:rsidRPr="005F6F59">
          <w:rPr>
            <w:color w:val="1155CC"/>
            <w:sz w:val="24"/>
            <w:szCs w:val="24"/>
            <w:u w:val="single"/>
          </w:rPr>
          <w:t>https://www.researchgate.net/publication/388724072_Legal_and_Ethical_Implications_of_Biometric_Data_Usage_in_Modern_Governance</w:t>
        </w:r>
      </w:hyperlink>
      <w:r w:rsidRPr="005F6F59">
        <w:rPr>
          <w:sz w:val="24"/>
          <w:szCs w:val="24"/>
        </w:rPr>
        <w:t xml:space="preserve"> </w:t>
      </w:r>
    </w:p>
    <w:p w14:paraId="00000088" w14:textId="77777777" w:rsidR="000D5A02" w:rsidRPr="005F6F59" w:rsidRDefault="00320E20" w:rsidP="00D30110">
      <w:pPr>
        <w:spacing w:after="240"/>
        <w:ind w:left="709" w:hanging="709"/>
        <w:rPr>
          <w:sz w:val="24"/>
          <w:szCs w:val="24"/>
        </w:rPr>
      </w:pPr>
      <w:r w:rsidRPr="005F6F59">
        <w:rPr>
          <w:sz w:val="24"/>
          <w:szCs w:val="24"/>
        </w:rPr>
        <w:t xml:space="preserve">Hassani, H., &amp; </w:t>
      </w:r>
      <w:proofErr w:type="spellStart"/>
      <w:r w:rsidRPr="005F6F59">
        <w:rPr>
          <w:sz w:val="24"/>
          <w:szCs w:val="24"/>
        </w:rPr>
        <w:t>MacFeely</w:t>
      </w:r>
      <w:proofErr w:type="spellEnd"/>
      <w:r w:rsidRPr="005F6F59">
        <w:rPr>
          <w:sz w:val="24"/>
          <w:szCs w:val="24"/>
        </w:rPr>
        <w:t xml:space="preserve">, S. (2023). Driving Excellence in Official Statistics: Unleashing the Potential of Comprehensive Digital Data Governance. </w:t>
      </w:r>
      <w:r w:rsidRPr="005F6F59">
        <w:rPr>
          <w:i/>
          <w:sz w:val="24"/>
          <w:szCs w:val="24"/>
        </w:rPr>
        <w:t>Big Data and Cognitive Computing</w:t>
      </w:r>
      <w:r w:rsidRPr="005F6F59">
        <w:rPr>
          <w:sz w:val="24"/>
          <w:szCs w:val="24"/>
        </w:rPr>
        <w:t xml:space="preserve">, </w:t>
      </w:r>
      <w:r w:rsidRPr="005F6F59">
        <w:rPr>
          <w:i/>
          <w:sz w:val="24"/>
          <w:szCs w:val="24"/>
        </w:rPr>
        <w:t>7</w:t>
      </w:r>
      <w:r w:rsidRPr="005F6F59">
        <w:rPr>
          <w:sz w:val="24"/>
          <w:szCs w:val="24"/>
        </w:rPr>
        <w:t xml:space="preserve">(3), 134. </w:t>
      </w:r>
      <w:hyperlink r:id="rId33">
        <w:r w:rsidRPr="005F6F59">
          <w:rPr>
            <w:color w:val="1155CC"/>
            <w:sz w:val="24"/>
            <w:szCs w:val="24"/>
            <w:u w:val="single"/>
          </w:rPr>
          <w:t>https://doi.org/10.3390/bdcc7030134</w:t>
        </w:r>
      </w:hyperlink>
      <w:r w:rsidRPr="005F6F59">
        <w:rPr>
          <w:sz w:val="24"/>
          <w:szCs w:val="24"/>
        </w:rPr>
        <w:t xml:space="preserve"> </w:t>
      </w:r>
    </w:p>
    <w:p w14:paraId="00000089" w14:textId="77777777" w:rsidR="000D5A02" w:rsidRPr="005F6F59" w:rsidRDefault="00320E20" w:rsidP="00D30110">
      <w:pPr>
        <w:spacing w:after="240"/>
        <w:ind w:left="709" w:hanging="709"/>
        <w:rPr>
          <w:sz w:val="24"/>
          <w:szCs w:val="24"/>
        </w:rPr>
      </w:pPr>
      <w:proofErr w:type="spellStart"/>
      <w:r w:rsidRPr="005F6F59">
        <w:rPr>
          <w:sz w:val="24"/>
          <w:szCs w:val="24"/>
        </w:rPr>
        <w:t>InfosysBPM</w:t>
      </w:r>
      <w:proofErr w:type="spellEnd"/>
      <w:r w:rsidRPr="005F6F59">
        <w:rPr>
          <w:sz w:val="24"/>
          <w:szCs w:val="24"/>
        </w:rPr>
        <w:t xml:space="preserve">. (2020). </w:t>
      </w:r>
      <w:r w:rsidRPr="005F6F59">
        <w:rPr>
          <w:i/>
          <w:sz w:val="24"/>
          <w:szCs w:val="24"/>
        </w:rPr>
        <w:t>Financial Services: Why high-quality data is crucial to fighting financial crime</w:t>
      </w:r>
      <w:r w:rsidRPr="005F6F59">
        <w:rPr>
          <w:sz w:val="24"/>
          <w:szCs w:val="24"/>
        </w:rPr>
        <w:t xml:space="preserve">. Infosysbpm.com; Infosys BPM. </w:t>
      </w:r>
      <w:hyperlink r:id="rId34">
        <w:r w:rsidRPr="005F6F59">
          <w:rPr>
            <w:color w:val="1155CC"/>
            <w:sz w:val="24"/>
            <w:szCs w:val="24"/>
            <w:u w:val="single"/>
          </w:rPr>
          <w:t>https://www.infosysbpm.com/blogs/financial-services/why-high-quality-data-is-crucial-to-fighting-financial-crime.html</w:t>
        </w:r>
      </w:hyperlink>
      <w:r w:rsidRPr="005F6F59">
        <w:rPr>
          <w:sz w:val="24"/>
          <w:szCs w:val="24"/>
        </w:rPr>
        <w:t xml:space="preserve">? </w:t>
      </w:r>
    </w:p>
    <w:p w14:paraId="0000008A" w14:textId="77777777" w:rsidR="000D5A02" w:rsidRPr="005F6F59" w:rsidRDefault="00320E20" w:rsidP="00D30110">
      <w:pPr>
        <w:spacing w:after="240"/>
        <w:ind w:left="709" w:hanging="709"/>
        <w:rPr>
          <w:sz w:val="24"/>
          <w:szCs w:val="24"/>
        </w:rPr>
      </w:pPr>
      <w:r w:rsidRPr="005F6F59">
        <w:rPr>
          <w:sz w:val="24"/>
          <w:szCs w:val="24"/>
        </w:rPr>
        <w:t xml:space="preserve">Isibor, E. (2024). Regulation of Healthcare Data Security: Legal Obligations in A Digital Age. </w:t>
      </w:r>
      <w:r w:rsidRPr="005F6F59">
        <w:rPr>
          <w:i/>
          <w:sz w:val="24"/>
          <w:szCs w:val="24"/>
        </w:rPr>
        <w:t>Regulation of Healthcare Data Security: Legal Obligations in a Digital Age</w:t>
      </w:r>
      <w:r w:rsidRPr="005F6F59">
        <w:rPr>
          <w:sz w:val="24"/>
          <w:szCs w:val="24"/>
        </w:rPr>
        <w:t xml:space="preserve">. </w:t>
      </w:r>
      <w:hyperlink r:id="rId35">
        <w:r w:rsidRPr="005F6F59">
          <w:rPr>
            <w:color w:val="1155CC"/>
            <w:sz w:val="24"/>
            <w:szCs w:val="24"/>
            <w:u w:val="single"/>
          </w:rPr>
          <w:t>https://doi.org/10.2139/ssrn.4957244</w:t>
        </w:r>
      </w:hyperlink>
      <w:r w:rsidRPr="005F6F59">
        <w:rPr>
          <w:sz w:val="24"/>
          <w:szCs w:val="24"/>
        </w:rPr>
        <w:t xml:space="preserve"> </w:t>
      </w:r>
    </w:p>
    <w:p w14:paraId="0000008B" w14:textId="77777777" w:rsidR="000D5A02" w:rsidRPr="005F6F59" w:rsidRDefault="00320E20" w:rsidP="00D30110">
      <w:pPr>
        <w:spacing w:after="240"/>
        <w:ind w:left="709" w:hanging="709"/>
        <w:rPr>
          <w:sz w:val="24"/>
          <w:szCs w:val="24"/>
        </w:rPr>
      </w:pPr>
      <w:r w:rsidRPr="005F6F59">
        <w:rPr>
          <w:sz w:val="24"/>
          <w:szCs w:val="24"/>
        </w:rPr>
        <w:t xml:space="preserve">Johnson, G. (2023). </w:t>
      </w:r>
      <w:r w:rsidRPr="005F6F59">
        <w:rPr>
          <w:i/>
          <w:sz w:val="24"/>
          <w:szCs w:val="24"/>
        </w:rPr>
        <w:t>From Policies to Action: Implementing Robust Governance Frameworks</w:t>
      </w:r>
      <w:r w:rsidRPr="005F6F59">
        <w:rPr>
          <w:sz w:val="24"/>
          <w:szCs w:val="24"/>
        </w:rPr>
        <w:t xml:space="preserve">. Template 997491-3922416. </w:t>
      </w:r>
      <w:hyperlink r:id="rId36">
        <w:r w:rsidRPr="005F6F59">
          <w:rPr>
            <w:color w:val="1155CC"/>
            <w:sz w:val="24"/>
            <w:szCs w:val="24"/>
            <w:u w:val="single"/>
          </w:rPr>
          <w:t>https://www.esgcompliancehub.com/policies-action-implementing-robust-governance/</w:t>
        </w:r>
      </w:hyperlink>
      <w:r w:rsidRPr="005F6F59">
        <w:rPr>
          <w:sz w:val="24"/>
          <w:szCs w:val="24"/>
        </w:rPr>
        <w:t xml:space="preserve"> </w:t>
      </w:r>
    </w:p>
    <w:p w14:paraId="0000008C" w14:textId="77777777" w:rsidR="000D5A02" w:rsidRPr="005F6F59" w:rsidRDefault="00320E20" w:rsidP="00D30110">
      <w:pPr>
        <w:spacing w:after="240"/>
        <w:ind w:left="709" w:hanging="709"/>
        <w:rPr>
          <w:sz w:val="24"/>
          <w:szCs w:val="24"/>
        </w:rPr>
      </w:pPr>
      <w:proofErr w:type="spellStart"/>
      <w:r w:rsidRPr="005F6F59">
        <w:rPr>
          <w:sz w:val="24"/>
          <w:szCs w:val="24"/>
        </w:rPr>
        <w:t>Karangara</w:t>
      </w:r>
      <w:proofErr w:type="spellEnd"/>
      <w:r w:rsidRPr="005F6F59">
        <w:rPr>
          <w:sz w:val="24"/>
          <w:szCs w:val="24"/>
        </w:rPr>
        <w:t xml:space="preserve">, R. (2025). Adaptive Machine Learning Models for Securing Payment Gateways: A Resilient Approach to Mitigating Evolving Cyber Threats in Digital Transactions. </w:t>
      </w:r>
      <w:r w:rsidRPr="005F6F59">
        <w:rPr>
          <w:i/>
          <w:sz w:val="24"/>
          <w:szCs w:val="24"/>
        </w:rPr>
        <w:t>Artificial Intelligence Evolution</w:t>
      </w:r>
      <w:r w:rsidRPr="005F6F59">
        <w:rPr>
          <w:sz w:val="24"/>
          <w:szCs w:val="24"/>
        </w:rPr>
        <w:t xml:space="preserve">, </w:t>
      </w:r>
      <w:r w:rsidRPr="005F6F59">
        <w:rPr>
          <w:i/>
          <w:sz w:val="24"/>
          <w:szCs w:val="24"/>
        </w:rPr>
        <w:t>6</w:t>
      </w:r>
      <w:r w:rsidRPr="005F6F59">
        <w:rPr>
          <w:sz w:val="24"/>
          <w:szCs w:val="24"/>
        </w:rPr>
        <w:t xml:space="preserve">(1), 44–64. </w:t>
      </w:r>
      <w:hyperlink r:id="rId37">
        <w:r w:rsidRPr="005F6F59">
          <w:rPr>
            <w:color w:val="1155CC"/>
            <w:sz w:val="24"/>
            <w:szCs w:val="24"/>
            <w:u w:val="single"/>
          </w:rPr>
          <w:t>https://doi.org/10.37256/aie.6120256290</w:t>
        </w:r>
      </w:hyperlink>
      <w:r w:rsidRPr="005F6F59">
        <w:rPr>
          <w:sz w:val="24"/>
          <w:szCs w:val="24"/>
        </w:rPr>
        <w:t xml:space="preserve"> </w:t>
      </w:r>
    </w:p>
    <w:p w14:paraId="0000008D" w14:textId="77777777" w:rsidR="000D5A02" w:rsidRPr="005F6F59" w:rsidRDefault="00320E20" w:rsidP="00D30110">
      <w:pPr>
        <w:spacing w:after="240"/>
        <w:ind w:left="709" w:hanging="709"/>
        <w:rPr>
          <w:sz w:val="24"/>
          <w:szCs w:val="24"/>
        </w:rPr>
      </w:pPr>
      <w:r w:rsidRPr="005F6F59">
        <w:rPr>
          <w:sz w:val="24"/>
          <w:szCs w:val="24"/>
        </w:rPr>
        <w:t xml:space="preserve">Khan, S., Devlen, C., Manno, M., &amp; Hou, D. (2024). Mouse Dynamics </w:t>
      </w:r>
      <w:proofErr w:type="spellStart"/>
      <w:r w:rsidRPr="005F6F59">
        <w:rPr>
          <w:sz w:val="24"/>
          <w:szCs w:val="24"/>
        </w:rPr>
        <w:t>Behavioral</w:t>
      </w:r>
      <w:proofErr w:type="spellEnd"/>
      <w:r w:rsidRPr="005F6F59">
        <w:rPr>
          <w:sz w:val="24"/>
          <w:szCs w:val="24"/>
        </w:rPr>
        <w:t xml:space="preserve"> Biometrics: A Survey. </w:t>
      </w:r>
      <w:r w:rsidRPr="005F6F59">
        <w:rPr>
          <w:i/>
          <w:sz w:val="24"/>
          <w:szCs w:val="24"/>
        </w:rPr>
        <w:t>ACM Computing Surveys</w:t>
      </w:r>
      <w:r w:rsidRPr="005F6F59">
        <w:rPr>
          <w:sz w:val="24"/>
          <w:szCs w:val="24"/>
        </w:rPr>
        <w:t xml:space="preserve">, </w:t>
      </w:r>
      <w:r w:rsidRPr="005F6F59">
        <w:rPr>
          <w:i/>
          <w:sz w:val="24"/>
          <w:szCs w:val="24"/>
        </w:rPr>
        <w:t>56</w:t>
      </w:r>
      <w:r w:rsidRPr="005F6F59">
        <w:rPr>
          <w:sz w:val="24"/>
          <w:szCs w:val="24"/>
        </w:rPr>
        <w:t xml:space="preserve">(6), 1–33. </w:t>
      </w:r>
      <w:hyperlink r:id="rId38">
        <w:r w:rsidRPr="005F6F59">
          <w:rPr>
            <w:color w:val="1155CC"/>
            <w:sz w:val="24"/>
            <w:szCs w:val="24"/>
            <w:u w:val="single"/>
          </w:rPr>
          <w:t>https://doi.org/10.1145/3640311</w:t>
        </w:r>
      </w:hyperlink>
      <w:r w:rsidRPr="005F6F59">
        <w:rPr>
          <w:sz w:val="24"/>
          <w:szCs w:val="24"/>
        </w:rPr>
        <w:t xml:space="preserve"> </w:t>
      </w:r>
    </w:p>
    <w:p w14:paraId="0000008E" w14:textId="77777777" w:rsidR="000D5A02" w:rsidRPr="005F6F59" w:rsidRDefault="00320E20" w:rsidP="00D30110">
      <w:pPr>
        <w:spacing w:after="240"/>
        <w:ind w:left="709" w:hanging="709"/>
        <w:rPr>
          <w:sz w:val="24"/>
          <w:szCs w:val="24"/>
        </w:rPr>
      </w:pPr>
      <w:r w:rsidRPr="005F6F59">
        <w:rPr>
          <w:sz w:val="24"/>
          <w:szCs w:val="24"/>
        </w:rPr>
        <w:lastRenderedPageBreak/>
        <w:t xml:space="preserve">Kolade, T. M., Obioha-Val, O. A., Balogun, A. Y., Gbadebo, M. O., &amp; Olaniyi, O. O. (2025). AI-Driven </w:t>
      </w:r>
      <w:proofErr w:type="gramStart"/>
      <w:r w:rsidRPr="005F6F59">
        <w:rPr>
          <w:sz w:val="24"/>
          <w:szCs w:val="24"/>
        </w:rPr>
        <w:t>Open Source</w:t>
      </w:r>
      <w:proofErr w:type="gramEnd"/>
      <w:r w:rsidRPr="005F6F59">
        <w:rPr>
          <w:sz w:val="24"/>
          <w:szCs w:val="24"/>
        </w:rPr>
        <w:t xml:space="preserve"> Intelligence in Cyber </w:t>
      </w:r>
      <w:proofErr w:type="spellStart"/>
      <w:r w:rsidRPr="005F6F59">
        <w:rPr>
          <w:sz w:val="24"/>
          <w:szCs w:val="24"/>
        </w:rPr>
        <w:t>Defense</w:t>
      </w:r>
      <w:proofErr w:type="spellEnd"/>
      <w:r w:rsidRPr="005F6F59">
        <w:rPr>
          <w:sz w:val="24"/>
          <w:szCs w:val="24"/>
        </w:rPr>
        <w:t xml:space="preserve">: A Double-edged Sword for National Security.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(1), 133–153. </w:t>
      </w:r>
      <w:hyperlink r:id="rId39">
        <w:r w:rsidRPr="005F6F59">
          <w:rPr>
            <w:color w:val="1155CC"/>
            <w:sz w:val="24"/>
            <w:szCs w:val="24"/>
            <w:u w:val="single"/>
          </w:rPr>
          <w:t>https://doi.org/10.9734/ajrcos/2025/v18i1554</w:t>
        </w:r>
      </w:hyperlink>
      <w:r w:rsidRPr="005F6F59">
        <w:rPr>
          <w:sz w:val="24"/>
          <w:szCs w:val="24"/>
        </w:rPr>
        <w:t xml:space="preserve"> </w:t>
      </w:r>
    </w:p>
    <w:p w14:paraId="0000008F" w14:textId="77777777" w:rsidR="000D5A02" w:rsidRPr="005F6F59" w:rsidRDefault="00320E20" w:rsidP="00D30110">
      <w:pPr>
        <w:spacing w:after="240"/>
        <w:ind w:left="709" w:hanging="709"/>
        <w:rPr>
          <w:sz w:val="24"/>
          <w:szCs w:val="24"/>
        </w:rPr>
      </w:pPr>
      <w:proofErr w:type="spellStart"/>
      <w:r w:rsidRPr="005F6F59">
        <w:rPr>
          <w:sz w:val="24"/>
          <w:szCs w:val="24"/>
        </w:rPr>
        <w:t>Laryeafio</w:t>
      </w:r>
      <w:proofErr w:type="spellEnd"/>
      <w:r w:rsidRPr="005F6F59">
        <w:rPr>
          <w:sz w:val="24"/>
          <w:szCs w:val="24"/>
        </w:rPr>
        <w:t xml:space="preserve">, M. N., &amp; </w:t>
      </w:r>
      <w:proofErr w:type="spellStart"/>
      <w:r w:rsidRPr="005F6F59">
        <w:rPr>
          <w:sz w:val="24"/>
          <w:szCs w:val="24"/>
        </w:rPr>
        <w:t>Ogbewe</w:t>
      </w:r>
      <w:proofErr w:type="spellEnd"/>
      <w:r w:rsidRPr="005F6F59">
        <w:rPr>
          <w:sz w:val="24"/>
          <w:szCs w:val="24"/>
        </w:rPr>
        <w:t xml:space="preserve">, O. C. (2023). Ethical Consideration dilemma: Systematic Review of Ethics in Qualitative Data Collection through Interviews. </w:t>
      </w:r>
      <w:r w:rsidRPr="005F6F59">
        <w:rPr>
          <w:i/>
          <w:sz w:val="24"/>
          <w:szCs w:val="24"/>
        </w:rPr>
        <w:t>Journal of Ethics in Entrepreneurship and Technology</w:t>
      </w:r>
      <w:r w:rsidRPr="005F6F59">
        <w:rPr>
          <w:sz w:val="24"/>
          <w:szCs w:val="24"/>
        </w:rPr>
        <w:t xml:space="preserve">, </w:t>
      </w:r>
      <w:r w:rsidRPr="005F6F59">
        <w:rPr>
          <w:i/>
          <w:sz w:val="24"/>
          <w:szCs w:val="24"/>
        </w:rPr>
        <w:t>3</w:t>
      </w:r>
      <w:r w:rsidRPr="005F6F59">
        <w:rPr>
          <w:sz w:val="24"/>
          <w:szCs w:val="24"/>
        </w:rPr>
        <w:t xml:space="preserve">(2), 94–110. </w:t>
      </w:r>
      <w:hyperlink r:id="rId40">
        <w:r w:rsidRPr="005F6F59">
          <w:rPr>
            <w:color w:val="1155CC"/>
            <w:sz w:val="24"/>
            <w:szCs w:val="24"/>
            <w:u w:val="single"/>
          </w:rPr>
          <w:t>https://doi.org/10.1108/JEET-09-2022-0014</w:t>
        </w:r>
      </w:hyperlink>
      <w:r w:rsidRPr="005F6F59">
        <w:rPr>
          <w:sz w:val="24"/>
          <w:szCs w:val="24"/>
        </w:rPr>
        <w:t xml:space="preserve"> </w:t>
      </w:r>
    </w:p>
    <w:p w14:paraId="00000090" w14:textId="77777777" w:rsidR="000D5A02" w:rsidRPr="005F6F59" w:rsidRDefault="00320E20" w:rsidP="00D30110">
      <w:pPr>
        <w:spacing w:after="240"/>
        <w:ind w:left="709" w:hanging="709"/>
        <w:rPr>
          <w:sz w:val="24"/>
          <w:szCs w:val="24"/>
        </w:rPr>
      </w:pPr>
      <w:r w:rsidRPr="005F6F59">
        <w:rPr>
          <w:sz w:val="24"/>
          <w:szCs w:val="24"/>
        </w:rPr>
        <w:t xml:space="preserve">Lee, J., Park, S., Kim, Y.-G., Lee, E.-K., &amp; Jo, J. (2021). Advanced Authentication Method by Geometric Data Analysis Based on User </w:t>
      </w:r>
      <w:proofErr w:type="spellStart"/>
      <w:r w:rsidRPr="005F6F59">
        <w:rPr>
          <w:sz w:val="24"/>
          <w:szCs w:val="24"/>
        </w:rPr>
        <w:t>Behavior</w:t>
      </w:r>
      <w:proofErr w:type="spellEnd"/>
      <w:r w:rsidRPr="005F6F59">
        <w:rPr>
          <w:sz w:val="24"/>
          <w:szCs w:val="24"/>
        </w:rPr>
        <w:t xml:space="preserve"> and Biometrics for IoT Device with Touchscreen. </w:t>
      </w:r>
      <w:r w:rsidRPr="005F6F59">
        <w:rPr>
          <w:i/>
          <w:sz w:val="24"/>
          <w:szCs w:val="24"/>
        </w:rPr>
        <w:t>Electronics</w:t>
      </w:r>
      <w:r w:rsidRPr="005F6F59">
        <w:rPr>
          <w:sz w:val="24"/>
          <w:szCs w:val="24"/>
        </w:rPr>
        <w:t xml:space="preserve">, </w:t>
      </w:r>
      <w:r w:rsidRPr="005F6F59">
        <w:rPr>
          <w:i/>
          <w:sz w:val="24"/>
          <w:szCs w:val="24"/>
        </w:rPr>
        <w:t>10</w:t>
      </w:r>
      <w:r w:rsidRPr="005F6F59">
        <w:rPr>
          <w:sz w:val="24"/>
          <w:szCs w:val="24"/>
        </w:rPr>
        <w:t xml:space="preserve">(21), 2583. </w:t>
      </w:r>
      <w:hyperlink r:id="rId41">
        <w:r w:rsidRPr="005F6F59">
          <w:rPr>
            <w:color w:val="1155CC"/>
            <w:sz w:val="24"/>
            <w:szCs w:val="24"/>
            <w:u w:val="single"/>
          </w:rPr>
          <w:t>https://doi.org/10.3390/electronics10212583</w:t>
        </w:r>
      </w:hyperlink>
      <w:r w:rsidRPr="005F6F59">
        <w:rPr>
          <w:sz w:val="24"/>
          <w:szCs w:val="24"/>
        </w:rPr>
        <w:t xml:space="preserve"> </w:t>
      </w:r>
    </w:p>
    <w:p w14:paraId="00000091" w14:textId="77777777" w:rsidR="000D5A02" w:rsidRPr="005F6F59" w:rsidRDefault="00320E20" w:rsidP="00D30110">
      <w:pPr>
        <w:spacing w:after="240"/>
        <w:ind w:left="709" w:hanging="709"/>
        <w:rPr>
          <w:sz w:val="24"/>
          <w:szCs w:val="24"/>
        </w:rPr>
      </w:pPr>
      <w:r w:rsidRPr="005F6F59">
        <w:rPr>
          <w:sz w:val="24"/>
          <w:szCs w:val="24"/>
        </w:rPr>
        <w:t xml:space="preserve">LexisNexis Risk Solution. (2023). </w:t>
      </w:r>
      <w:r w:rsidRPr="005F6F59">
        <w:rPr>
          <w:i/>
          <w:sz w:val="24"/>
          <w:szCs w:val="24"/>
        </w:rPr>
        <w:t xml:space="preserve">Financial Fraud Executives Adopting </w:t>
      </w:r>
      <w:proofErr w:type="spellStart"/>
      <w:r w:rsidRPr="005F6F59">
        <w:rPr>
          <w:i/>
          <w:sz w:val="24"/>
          <w:szCs w:val="24"/>
        </w:rPr>
        <w:t>Behavioral</w:t>
      </w:r>
      <w:proofErr w:type="spellEnd"/>
      <w:r w:rsidRPr="005F6F59">
        <w:rPr>
          <w:i/>
          <w:sz w:val="24"/>
          <w:szCs w:val="24"/>
        </w:rPr>
        <w:t xml:space="preserve"> Biometrics to Counter Scam Attacks</w:t>
      </w:r>
      <w:r w:rsidRPr="005F6F59">
        <w:rPr>
          <w:sz w:val="24"/>
          <w:szCs w:val="24"/>
        </w:rPr>
        <w:t xml:space="preserve">. LexisNexis Risk Solutions. </w:t>
      </w:r>
      <w:hyperlink r:id="rId42">
        <w:r w:rsidRPr="005F6F59">
          <w:rPr>
            <w:color w:val="1155CC"/>
            <w:sz w:val="24"/>
            <w:szCs w:val="24"/>
            <w:u w:val="single"/>
          </w:rPr>
          <w:t>https://risk.lexisnexis.com/global/en/about-us/press-room/press-release/20230419-behavioral-biometrics</w:t>
        </w:r>
      </w:hyperlink>
      <w:r w:rsidRPr="005F6F59">
        <w:rPr>
          <w:sz w:val="24"/>
          <w:szCs w:val="24"/>
        </w:rPr>
        <w:t xml:space="preserve">? </w:t>
      </w:r>
    </w:p>
    <w:p w14:paraId="00000092" w14:textId="77777777" w:rsidR="000D5A02" w:rsidRPr="005F6F59" w:rsidRDefault="00320E20" w:rsidP="00D30110">
      <w:pPr>
        <w:spacing w:after="240"/>
        <w:ind w:left="709" w:hanging="709"/>
        <w:rPr>
          <w:sz w:val="24"/>
          <w:szCs w:val="24"/>
        </w:rPr>
      </w:pPr>
      <w:r w:rsidRPr="005F6F59">
        <w:rPr>
          <w:sz w:val="24"/>
          <w:szCs w:val="24"/>
        </w:rPr>
        <w:t xml:space="preserve">Liang, L.-H. (2025). </w:t>
      </w:r>
      <w:r w:rsidRPr="005F6F59">
        <w:rPr>
          <w:i/>
          <w:sz w:val="24"/>
          <w:szCs w:val="24"/>
        </w:rPr>
        <w:t xml:space="preserve">Mastercard integrates </w:t>
      </w:r>
      <w:proofErr w:type="spellStart"/>
      <w:r w:rsidRPr="005F6F59">
        <w:rPr>
          <w:i/>
          <w:sz w:val="24"/>
          <w:szCs w:val="24"/>
        </w:rPr>
        <w:t>Feedzai</w:t>
      </w:r>
      <w:proofErr w:type="spellEnd"/>
      <w:r w:rsidRPr="005F6F59">
        <w:rPr>
          <w:i/>
          <w:sz w:val="24"/>
          <w:szCs w:val="24"/>
        </w:rPr>
        <w:t xml:space="preserve"> </w:t>
      </w:r>
      <w:proofErr w:type="spellStart"/>
      <w:r w:rsidRPr="005F6F59">
        <w:rPr>
          <w:i/>
          <w:sz w:val="24"/>
          <w:szCs w:val="24"/>
        </w:rPr>
        <w:t>behavioral</w:t>
      </w:r>
      <w:proofErr w:type="spellEnd"/>
      <w:r w:rsidRPr="005F6F59">
        <w:rPr>
          <w:i/>
          <w:sz w:val="24"/>
          <w:szCs w:val="24"/>
        </w:rPr>
        <w:t xml:space="preserve"> biometrics for fraud protection</w:t>
      </w:r>
      <w:r w:rsidRPr="005F6F59">
        <w:rPr>
          <w:sz w:val="24"/>
          <w:szCs w:val="24"/>
        </w:rPr>
        <w:t xml:space="preserve">. Biometric Update | Biometrics News, Companies and Explainers; BiometricUpdate.com. </w:t>
      </w:r>
      <w:hyperlink r:id="rId43">
        <w:r w:rsidRPr="005F6F59">
          <w:rPr>
            <w:color w:val="1155CC"/>
            <w:sz w:val="24"/>
            <w:szCs w:val="24"/>
            <w:u w:val="single"/>
          </w:rPr>
          <w:t>https://www.biometricupdate.com/202502/mastercard-integrates-feedzai-behavioral-biometrics-for-fraud-protection</w:t>
        </w:r>
      </w:hyperlink>
      <w:r w:rsidRPr="005F6F59">
        <w:rPr>
          <w:sz w:val="24"/>
          <w:szCs w:val="24"/>
        </w:rPr>
        <w:t xml:space="preserve">? </w:t>
      </w:r>
    </w:p>
    <w:p w14:paraId="00000093" w14:textId="77777777" w:rsidR="000D5A02" w:rsidRPr="005F6F59" w:rsidRDefault="00320E20" w:rsidP="00D30110">
      <w:pPr>
        <w:spacing w:after="240"/>
        <w:ind w:left="709" w:hanging="709"/>
        <w:rPr>
          <w:sz w:val="24"/>
          <w:szCs w:val="24"/>
        </w:rPr>
      </w:pPr>
      <w:r w:rsidRPr="005F6F59">
        <w:rPr>
          <w:sz w:val="24"/>
          <w:szCs w:val="24"/>
        </w:rPr>
        <w:t xml:space="preserve">Mahanti, R. (2021). Data Governance and Data Management Functions and Initiatives. </w:t>
      </w:r>
      <w:r w:rsidRPr="005F6F59">
        <w:rPr>
          <w:i/>
          <w:sz w:val="24"/>
          <w:szCs w:val="24"/>
        </w:rPr>
        <w:t>Data Governance and Data Management</w:t>
      </w:r>
      <w:r w:rsidRPr="005F6F59">
        <w:rPr>
          <w:sz w:val="24"/>
          <w:szCs w:val="24"/>
        </w:rPr>
        <w:t xml:space="preserve">, 83–143. </w:t>
      </w:r>
      <w:hyperlink r:id="rId44">
        <w:r w:rsidRPr="005F6F59">
          <w:rPr>
            <w:color w:val="1155CC"/>
            <w:sz w:val="24"/>
            <w:szCs w:val="24"/>
            <w:u w:val="single"/>
          </w:rPr>
          <w:t>https://doi.org/10.1007/978-981-16-3583-0_3</w:t>
        </w:r>
      </w:hyperlink>
      <w:r w:rsidRPr="005F6F59">
        <w:rPr>
          <w:sz w:val="24"/>
          <w:szCs w:val="24"/>
        </w:rPr>
        <w:t xml:space="preserve"> </w:t>
      </w:r>
    </w:p>
    <w:p w14:paraId="00000094" w14:textId="77777777" w:rsidR="000D5A02" w:rsidRPr="005F6F59" w:rsidRDefault="00320E20" w:rsidP="00D30110">
      <w:pPr>
        <w:spacing w:after="240"/>
        <w:ind w:left="709" w:hanging="709"/>
        <w:rPr>
          <w:sz w:val="24"/>
          <w:szCs w:val="24"/>
        </w:rPr>
      </w:pPr>
      <w:proofErr w:type="gramStart"/>
      <w:r w:rsidRPr="005F6F59">
        <w:rPr>
          <w:sz w:val="24"/>
          <w:szCs w:val="24"/>
        </w:rPr>
        <w:t>McKinsey .</w:t>
      </w:r>
      <w:proofErr w:type="gramEnd"/>
      <w:r w:rsidRPr="005F6F59">
        <w:rPr>
          <w:sz w:val="24"/>
          <w:szCs w:val="24"/>
        </w:rPr>
        <w:t xml:space="preserve"> (2023). </w:t>
      </w:r>
      <w:r w:rsidRPr="005F6F59">
        <w:rPr>
          <w:i/>
          <w:sz w:val="24"/>
          <w:szCs w:val="24"/>
        </w:rPr>
        <w:t>The state of AI in 2023: Generative AI’s breakout year</w:t>
      </w:r>
      <w:r w:rsidRPr="005F6F59">
        <w:rPr>
          <w:sz w:val="24"/>
          <w:szCs w:val="24"/>
        </w:rPr>
        <w:t xml:space="preserve">. </w:t>
      </w:r>
      <w:proofErr w:type="spellStart"/>
      <w:r w:rsidRPr="005F6F59">
        <w:rPr>
          <w:sz w:val="24"/>
          <w:szCs w:val="24"/>
        </w:rPr>
        <w:t>Mckinsey</w:t>
      </w:r>
      <w:proofErr w:type="spellEnd"/>
      <w:r w:rsidRPr="005F6F59">
        <w:rPr>
          <w:sz w:val="24"/>
          <w:szCs w:val="24"/>
        </w:rPr>
        <w:t xml:space="preserve">. </w:t>
      </w:r>
      <w:hyperlink r:id="rId45">
        <w:r w:rsidRPr="005F6F59">
          <w:rPr>
            <w:color w:val="1155CC"/>
            <w:sz w:val="24"/>
            <w:szCs w:val="24"/>
            <w:u w:val="single"/>
          </w:rPr>
          <w:t>https://www.mckinsey.com/capabilities/quantumblack/our-insights/the-state-of-ai-in-2023-generative-ais-breakout-year</w:t>
        </w:r>
      </w:hyperlink>
      <w:r w:rsidRPr="005F6F59">
        <w:rPr>
          <w:sz w:val="24"/>
          <w:szCs w:val="24"/>
        </w:rPr>
        <w:t xml:space="preserve"> </w:t>
      </w:r>
    </w:p>
    <w:p w14:paraId="00000095" w14:textId="77777777" w:rsidR="000D5A02" w:rsidRPr="005F6F59" w:rsidRDefault="00320E20" w:rsidP="00D30110">
      <w:pPr>
        <w:spacing w:after="240"/>
        <w:ind w:left="709" w:hanging="709"/>
        <w:rPr>
          <w:sz w:val="24"/>
          <w:szCs w:val="24"/>
        </w:rPr>
      </w:pPr>
      <w:proofErr w:type="spellStart"/>
      <w:r w:rsidRPr="005F6F59">
        <w:rPr>
          <w:sz w:val="24"/>
          <w:szCs w:val="24"/>
        </w:rPr>
        <w:t>Metibemu</w:t>
      </w:r>
      <w:proofErr w:type="spellEnd"/>
      <w:r w:rsidRPr="005F6F59">
        <w:rPr>
          <w:sz w:val="24"/>
          <w:szCs w:val="24"/>
        </w:rPr>
        <w:t xml:space="preserve">, O. C., Adesokan-Imran, T. O., Ajayi, A. J., </w:t>
      </w:r>
      <w:proofErr w:type="spellStart"/>
      <w:r w:rsidRPr="005F6F59">
        <w:rPr>
          <w:sz w:val="24"/>
          <w:szCs w:val="24"/>
        </w:rPr>
        <w:t>Tiwo</w:t>
      </w:r>
      <w:proofErr w:type="spellEnd"/>
      <w:r w:rsidRPr="005F6F59">
        <w:rPr>
          <w:sz w:val="24"/>
          <w:szCs w:val="24"/>
        </w:rPr>
        <w:t xml:space="preserve">, O. J., </w:t>
      </w:r>
      <w:proofErr w:type="spellStart"/>
      <w:r w:rsidRPr="005F6F59">
        <w:rPr>
          <w:sz w:val="24"/>
          <w:szCs w:val="24"/>
        </w:rPr>
        <w:t>Olutimehin</w:t>
      </w:r>
      <w:proofErr w:type="spellEnd"/>
      <w:r w:rsidRPr="005F6F59">
        <w:rPr>
          <w:sz w:val="24"/>
          <w:szCs w:val="24"/>
        </w:rPr>
        <w:t xml:space="preserve">, A. T., &amp; Olaniyi, O. O. (2025). Developing Proactive Threat Mitigation Strategies for Cloud Misconfiguration Risks in Financial SaaS Applications.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393–413. </w:t>
      </w:r>
      <w:hyperlink r:id="rId46">
        <w:r w:rsidRPr="005F6F59">
          <w:rPr>
            <w:color w:val="1155CC"/>
            <w:sz w:val="24"/>
            <w:szCs w:val="24"/>
            <w:u w:val="single"/>
          </w:rPr>
          <w:t>https://doi.org/10.9734/jerr/2025/v27i31442</w:t>
        </w:r>
      </w:hyperlink>
      <w:r w:rsidRPr="005F6F59">
        <w:rPr>
          <w:sz w:val="24"/>
          <w:szCs w:val="24"/>
        </w:rPr>
        <w:t xml:space="preserve"> </w:t>
      </w:r>
    </w:p>
    <w:p w14:paraId="00000096" w14:textId="77777777" w:rsidR="000D5A02" w:rsidRPr="005F6F59" w:rsidRDefault="00320E20" w:rsidP="00D30110">
      <w:pPr>
        <w:spacing w:after="240"/>
        <w:ind w:left="709" w:hanging="709"/>
        <w:rPr>
          <w:sz w:val="24"/>
          <w:szCs w:val="24"/>
        </w:rPr>
      </w:pPr>
      <w:r w:rsidRPr="005F6F59">
        <w:rPr>
          <w:sz w:val="24"/>
          <w:szCs w:val="24"/>
        </w:rPr>
        <w:t xml:space="preserve">MUSTYALA, A. (2023). Migrating Legacy Systems to Cloud-Native Architectures for Enhanced Fraud Detection in Fintech. </w:t>
      </w:r>
      <w:r w:rsidRPr="005F6F59">
        <w:rPr>
          <w:i/>
          <w:sz w:val="24"/>
          <w:szCs w:val="24"/>
        </w:rPr>
        <w:t>EPH - International Journal of Science and Engineering</w:t>
      </w:r>
      <w:r w:rsidRPr="005F6F59">
        <w:rPr>
          <w:sz w:val="24"/>
          <w:szCs w:val="24"/>
        </w:rPr>
        <w:t xml:space="preserve">, </w:t>
      </w:r>
      <w:r w:rsidRPr="005F6F59">
        <w:rPr>
          <w:i/>
          <w:sz w:val="24"/>
          <w:szCs w:val="24"/>
        </w:rPr>
        <w:t>9</w:t>
      </w:r>
      <w:r w:rsidRPr="005F6F59">
        <w:rPr>
          <w:sz w:val="24"/>
          <w:szCs w:val="24"/>
        </w:rPr>
        <w:t xml:space="preserve">(1), 16–26. </w:t>
      </w:r>
      <w:hyperlink r:id="rId47">
        <w:r w:rsidRPr="005F6F59">
          <w:rPr>
            <w:color w:val="1155CC"/>
            <w:sz w:val="24"/>
            <w:szCs w:val="24"/>
            <w:u w:val="single"/>
          </w:rPr>
          <w:t>https://doi.org/10.53555/ephijse.v9i1.236</w:t>
        </w:r>
      </w:hyperlink>
      <w:r w:rsidRPr="005F6F59">
        <w:rPr>
          <w:sz w:val="24"/>
          <w:szCs w:val="24"/>
        </w:rPr>
        <w:t xml:space="preserve"> </w:t>
      </w:r>
    </w:p>
    <w:p w14:paraId="00000097" w14:textId="77777777" w:rsidR="000D5A02" w:rsidRPr="005F6F59" w:rsidRDefault="00320E20" w:rsidP="00D30110">
      <w:pPr>
        <w:spacing w:after="240"/>
        <w:ind w:left="709" w:hanging="709"/>
        <w:rPr>
          <w:sz w:val="24"/>
          <w:szCs w:val="24"/>
        </w:rPr>
      </w:pPr>
      <w:r w:rsidRPr="005F6F59">
        <w:rPr>
          <w:sz w:val="24"/>
          <w:szCs w:val="24"/>
        </w:rPr>
        <w:lastRenderedPageBreak/>
        <w:t xml:space="preserve">Obioha-Val, O. A. (2025). Bridging Gaps in Cybersecurity Governance: Leveraging Collaborative Digital Solutions.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(2), 82–100. </w:t>
      </w:r>
      <w:hyperlink r:id="rId48">
        <w:r w:rsidRPr="005F6F59">
          <w:rPr>
            <w:color w:val="1155CC"/>
            <w:sz w:val="24"/>
            <w:szCs w:val="24"/>
            <w:u w:val="single"/>
          </w:rPr>
          <w:t>https://doi.org/10.9734/ajrcos/2025/v18i2564</w:t>
        </w:r>
      </w:hyperlink>
      <w:r w:rsidRPr="005F6F59">
        <w:rPr>
          <w:sz w:val="24"/>
          <w:szCs w:val="24"/>
        </w:rPr>
        <w:t xml:space="preserve"> </w:t>
      </w:r>
    </w:p>
    <w:p w14:paraId="00000098" w14:textId="77777777" w:rsidR="000D5A02" w:rsidRPr="005F6F59" w:rsidRDefault="00320E20" w:rsidP="00D30110">
      <w:pPr>
        <w:spacing w:after="240"/>
        <w:ind w:left="709" w:hanging="709"/>
        <w:rPr>
          <w:sz w:val="24"/>
          <w:szCs w:val="24"/>
        </w:rPr>
      </w:pPr>
      <w:proofErr w:type="spellStart"/>
      <w:r w:rsidRPr="006E7F06">
        <w:rPr>
          <w:sz w:val="24"/>
          <w:szCs w:val="24"/>
          <w:lang w:val="es-ES"/>
        </w:rPr>
        <w:t>Obioha</w:t>
      </w:r>
      <w:proofErr w:type="spellEnd"/>
      <w:r w:rsidRPr="006E7F06">
        <w:rPr>
          <w:sz w:val="24"/>
          <w:szCs w:val="24"/>
          <w:lang w:val="es-ES"/>
        </w:rPr>
        <w:t xml:space="preserve">-Val, O. A., </w:t>
      </w:r>
      <w:proofErr w:type="spellStart"/>
      <w:r w:rsidRPr="006E7F06">
        <w:rPr>
          <w:sz w:val="24"/>
          <w:szCs w:val="24"/>
          <w:lang w:val="es-ES"/>
        </w:rPr>
        <w:t>Gbadebo</w:t>
      </w:r>
      <w:proofErr w:type="spellEnd"/>
      <w:r w:rsidRPr="006E7F06">
        <w:rPr>
          <w:sz w:val="24"/>
          <w:szCs w:val="24"/>
          <w:lang w:val="es-ES"/>
        </w:rPr>
        <w:t xml:space="preserve">, M. O., Olaniyi, O. O., </w:t>
      </w:r>
      <w:proofErr w:type="spellStart"/>
      <w:r w:rsidRPr="006E7F06">
        <w:rPr>
          <w:sz w:val="24"/>
          <w:szCs w:val="24"/>
          <w:lang w:val="es-ES"/>
        </w:rPr>
        <w:t>Chinye</w:t>
      </w:r>
      <w:proofErr w:type="spellEnd"/>
      <w:r w:rsidRPr="006E7F06">
        <w:rPr>
          <w:sz w:val="24"/>
          <w:szCs w:val="24"/>
          <w:lang w:val="es-ES"/>
        </w:rPr>
        <w:t xml:space="preserve">, N. C., &amp; </w:t>
      </w:r>
      <w:proofErr w:type="spellStart"/>
      <w:r w:rsidRPr="006E7F06">
        <w:rPr>
          <w:sz w:val="24"/>
          <w:szCs w:val="24"/>
          <w:lang w:val="es-ES"/>
        </w:rPr>
        <w:t>Balogun</w:t>
      </w:r>
      <w:proofErr w:type="spellEnd"/>
      <w:r w:rsidRPr="006E7F06">
        <w:rPr>
          <w:sz w:val="24"/>
          <w:szCs w:val="24"/>
          <w:lang w:val="es-ES"/>
        </w:rPr>
        <w:t xml:space="preserve">, A. Y. (2025). </w:t>
      </w:r>
      <w:r w:rsidRPr="005F6F59">
        <w:rPr>
          <w:sz w:val="24"/>
          <w:szCs w:val="24"/>
        </w:rPr>
        <w:t xml:space="preserve">Innovative Regulation of </w:t>
      </w:r>
      <w:proofErr w:type="gramStart"/>
      <w:r w:rsidRPr="005F6F59">
        <w:rPr>
          <w:sz w:val="24"/>
          <w:szCs w:val="24"/>
        </w:rPr>
        <w:t>Open Source</w:t>
      </w:r>
      <w:proofErr w:type="gramEnd"/>
      <w:r w:rsidRPr="005F6F59">
        <w:rPr>
          <w:sz w:val="24"/>
          <w:szCs w:val="24"/>
        </w:rPr>
        <w:t xml:space="preserve"> Intelligence and Deepfakes AI in Managing Public Trust.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136–156. </w:t>
      </w:r>
      <w:hyperlink r:id="rId49">
        <w:r w:rsidRPr="005F6F59">
          <w:rPr>
            <w:color w:val="1155CC"/>
            <w:sz w:val="24"/>
            <w:szCs w:val="24"/>
            <w:u w:val="single"/>
          </w:rPr>
          <w:t>https://doi.org/10.9734/jerr/2025/v27i21400</w:t>
        </w:r>
      </w:hyperlink>
      <w:r w:rsidRPr="005F6F59">
        <w:rPr>
          <w:sz w:val="24"/>
          <w:szCs w:val="24"/>
        </w:rPr>
        <w:t xml:space="preserve">  </w:t>
      </w:r>
    </w:p>
    <w:p w14:paraId="00000099" w14:textId="77777777" w:rsidR="000D5A02" w:rsidRPr="005F6F59" w:rsidRDefault="00320E20" w:rsidP="00D30110">
      <w:pPr>
        <w:spacing w:after="240"/>
        <w:ind w:left="709" w:hanging="709"/>
        <w:rPr>
          <w:sz w:val="24"/>
          <w:szCs w:val="24"/>
        </w:rPr>
      </w:pPr>
      <w:proofErr w:type="spellStart"/>
      <w:r w:rsidRPr="006E7F06">
        <w:rPr>
          <w:sz w:val="24"/>
          <w:szCs w:val="24"/>
          <w:lang w:val="es-ES"/>
        </w:rPr>
        <w:t>Obioha</w:t>
      </w:r>
      <w:proofErr w:type="spellEnd"/>
      <w:r w:rsidRPr="006E7F06">
        <w:rPr>
          <w:sz w:val="24"/>
          <w:szCs w:val="24"/>
          <w:lang w:val="es-ES"/>
        </w:rPr>
        <w:t xml:space="preserve">-Val, O. A., Lawal, T. I., Olaniyi, O. O., </w:t>
      </w:r>
      <w:proofErr w:type="spellStart"/>
      <w:r w:rsidRPr="006E7F06">
        <w:rPr>
          <w:sz w:val="24"/>
          <w:szCs w:val="24"/>
          <w:lang w:val="es-ES"/>
        </w:rPr>
        <w:t>Gbadebo</w:t>
      </w:r>
      <w:proofErr w:type="spellEnd"/>
      <w:r w:rsidRPr="006E7F06">
        <w:rPr>
          <w:sz w:val="24"/>
          <w:szCs w:val="24"/>
          <w:lang w:val="es-ES"/>
        </w:rPr>
        <w:t xml:space="preserve">, M. O., &amp; </w:t>
      </w:r>
      <w:proofErr w:type="spellStart"/>
      <w:r w:rsidRPr="006E7F06">
        <w:rPr>
          <w:sz w:val="24"/>
          <w:szCs w:val="24"/>
          <w:lang w:val="es-ES"/>
        </w:rPr>
        <w:t>Olisa</w:t>
      </w:r>
      <w:proofErr w:type="spellEnd"/>
      <w:r w:rsidRPr="006E7F06">
        <w:rPr>
          <w:sz w:val="24"/>
          <w:szCs w:val="24"/>
          <w:lang w:val="es-ES"/>
        </w:rPr>
        <w:t xml:space="preserve">, A. O. (2025). </w:t>
      </w:r>
      <w:r w:rsidRPr="005F6F59">
        <w:rPr>
          <w:sz w:val="24"/>
          <w:szCs w:val="24"/>
        </w:rPr>
        <w:t xml:space="preserve">Investigating the Feasibility and Risks of Leveraging Artificial Intelligence and </w:t>
      </w:r>
      <w:proofErr w:type="gramStart"/>
      <w:r w:rsidRPr="005F6F59">
        <w:rPr>
          <w:sz w:val="24"/>
          <w:szCs w:val="24"/>
        </w:rPr>
        <w:t>Open Source</w:t>
      </w:r>
      <w:proofErr w:type="gramEnd"/>
      <w:r w:rsidRPr="005F6F59">
        <w:rPr>
          <w:sz w:val="24"/>
          <w:szCs w:val="24"/>
        </w:rPr>
        <w:t xml:space="preserve"> Intelligence to Manage Predictive Cyber Threat Models.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10–28. </w:t>
      </w:r>
      <w:hyperlink r:id="rId50">
        <w:r w:rsidRPr="005F6F59">
          <w:rPr>
            <w:color w:val="1155CC"/>
            <w:sz w:val="24"/>
            <w:szCs w:val="24"/>
            <w:u w:val="single"/>
          </w:rPr>
          <w:t>https://doi.org/10.9734/jerr/2025/v27i21390</w:t>
        </w:r>
      </w:hyperlink>
      <w:r w:rsidRPr="005F6F59">
        <w:rPr>
          <w:sz w:val="24"/>
          <w:szCs w:val="24"/>
        </w:rPr>
        <w:t xml:space="preserve"> </w:t>
      </w:r>
    </w:p>
    <w:p w14:paraId="0000009A" w14:textId="77777777" w:rsidR="000D5A02" w:rsidRPr="005F6F59" w:rsidRDefault="00320E20" w:rsidP="00D30110">
      <w:pPr>
        <w:spacing w:after="240"/>
        <w:ind w:left="709" w:hanging="709"/>
        <w:rPr>
          <w:sz w:val="24"/>
          <w:szCs w:val="24"/>
        </w:rPr>
      </w:pPr>
      <w:proofErr w:type="spellStart"/>
      <w:r w:rsidRPr="006E7F06">
        <w:rPr>
          <w:sz w:val="24"/>
          <w:szCs w:val="24"/>
          <w:lang w:val="es-ES"/>
        </w:rPr>
        <w:t>Obioha</w:t>
      </w:r>
      <w:proofErr w:type="spellEnd"/>
      <w:r w:rsidRPr="006E7F06">
        <w:rPr>
          <w:sz w:val="24"/>
          <w:szCs w:val="24"/>
          <w:lang w:val="es-ES"/>
        </w:rPr>
        <w:t xml:space="preserve">-Val, O. A., Olaniyi, O. O., </w:t>
      </w:r>
      <w:proofErr w:type="spellStart"/>
      <w:r w:rsidRPr="006E7F06">
        <w:rPr>
          <w:sz w:val="24"/>
          <w:szCs w:val="24"/>
          <w:lang w:val="es-ES"/>
        </w:rPr>
        <w:t>Gbadebo</w:t>
      </w:r>
      <w:proofErr w:type="spellEnd"/>
      <w:r w:rsidRPr="006E7F06">
        <w:rPr>
          <w:sz w:val="24"/>
          <w:szCs w:val="24"/>
          <w:lang w:val="es-ES"/>
        </w:rPr>
        <w:t xml:space="preserve">, M. O., </w:t>
      </w:r>
      <w:proofErr w:type="spellStart"/>
      <w:r w:rsidRPr="006E7F06">
        <w:rPr>
          <w:sz w:val="24"/>
          <w:szCs w:val="24"/>
          <w:lang w:val="es-ES"/>
        </w:rPr>
        <w:t>Balogun</w:t>
      </w:r>
      <w:proofErr w:type="spellEnd"/>
      <w:r w:rsidRPr="006E7F06">
        <w:rPr>
          <w:sz w:val="24"/>
          <w:szCs w:val="24"/>
          <w:lang w:val="es-ES"/>
        </w:rPr>
        <w:t xml:space="preserve">, A. Y., &amp; </w:t>
      </w:r>
      <w:proofErr w:type="spellStart"/>
      <w:r w:rsidRPr="006E7F06">
        <w:rPr>
          <w:sz w:val="24"/>
          <w:szCs w:val="24"/>
          <w:lang w:val="es-ES"/>
        </w:rPr>
        <w:t>Olisa</w:t>
      </w:r>
      <w:proofErr w:type="spellEnd"/>
      <w:r w:rsidRPr="006E7F06">
        <w:rPr>
          <w:sz w:val="24"/>
          <w:szCs w:val="24"/>
          <w:lang w:val="es-ES"/>
        </w:rPr>
        <w:t xml:space="preserve">, A. O. (2025). </w:t>
      </w:r>
      <w:r w:rsidRPr="005F6F59">
        <w:rPr>
          <w:sz w:val="24"/>
          <w:szCs w:val="24"/>
        </w:rPr>
        <w:t xml:space="preserve">Cyber Espionage in the Age of Artificial Intelligence: A Comparative Study of State-Sponsored Campaign.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(1), 184–204. </w:t>
      </w:r>
      <w:hyperlink r:id="rId51">
        <w:r w:rsidRPr="005F6F59">
          <w:rPr>
            <w:color w:val="1155CC"/>
            <w:sz w:val="24"/>
            <w:szCs w:val="24"/>
            <w:u w:val="single"/>
          </w:rPr>
          <w:t>https://doi.org/10.9734/ajrcos/2025/v18i1557</w:t>
        </w:r>
      </w:hyperlink>
      <w:r w:rsidRPr="005F6F59">
        <w:rPr>
          <w:sz w:val="24"/>
          <w:szCs w:val="24"/>
        </w:rPr>
        <w:t xml:space="preserve"> </w:t>
      </w:r>
    </w:p>
    <w:p w14:paraId="0000009B" w14:textId="77777777" w:rsidR="000D5A02" w:rsidRPr="005F6F59" w:rsidRDefault="00320E20" w:rsidP="00D30110">
      <w:pPr>
        <w:spacing w:after="240"/>
        <w:ind w:left="709" w:hanging="709"/>
        <w:rPr>
          <w:sz w:val="24"/>
          <w:szCs w:val="24"/>
        </w:rPr>
      </w:pPr>
      <w:proofErr w:type="spellStart"/>
      <w:r w:rsidRPr="005F6F59">
        <w:rPr>
          <w:sz w:val="24"/>
          <w:szCs w:val="24"/>
        </w:rPr>
        <w:t>Olutimehin</w:t>
      </w:r>
      <w:proofErr w:type="spellEnd"/>
      <w:r w:rsidRPr="005F6F59">
        <w:rPr>
          <w:sz w:val="24"/>
          <w:szCs w:val="24"/>
        </w:rPr>
        <w:t xml:space="preserve">, A. T. (2025a). Advancing Cloud Security in Digital Finance: AI-Driven Threat Detection, Cryptographic Solutions, and Privacy Challenges.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35–55. </w:t>
      </w:r>
      <w:hyperlink r:id="rId52">
        <w:r w:rsidRPr="005F6F59">
          <w:rPr>
            <w:color w:val="1155CC"/>
            <w:sz w:val="24"/>
            <w:szCs w:val="24"/>
            <w:u w:val="single"/>
          </w:rPr>
          <w:t>https://doi.org/10.9734/jerr/2025/v27i31416</w:t>
        </w:r>
      </w:hyperlink>
      <w:r w:rsidRPr="005F6F59">
        <w:rPr>
          <w:sz w:val="24"/>
          <w:szCs w:val="24"/>
        </w:rPr>
        <w:t xml:space="preserve"> </w:t>
      </w:r>
    </w:p>
    <w:p w14:paraId="0000009C" w14:textId="77777777" w:rsidR="000D5A02" w:rsidRPr="005F6F59" w:rsidRDefault="00320E20" w:rsidP="00D30110">
      <w:pPr>
        <w:spacing w:after="240"/>
        <w:ind w:left="709" w:hanging="709"/>
        <w:rPr>
          <w:sz w:val="24"/>
          <w:szCs w:val="24"/>
        </w:rPr>
      </w:pPr>
      <w:proofErr w:type="spellStart"/>
      <w:r w:rsidRPr="005F6F59">
        <w:rPr>
          <w:sz w:val="24"/>
          <w:szCs w:val="24"/>
        </w:rPr>
        <w:t>Olutimehin</w:t>
      </w:r>
      <w:proofErr w:type="spellEnd"/>
      <w:r w:rsidRPr="005F6F59">
        <w:rPr>
          <w:sz w:val="24"/>
          <w:szCs w:val="24"/>
        </w:rPr>
        <w:t xml:space="preserve">, A. T. (2025b). Assessing the Effectiveness of Cybersecurity Frameworks in Mitigating Cyberattacks in the Banking Sector and its Applicability to Decentralized Finance (DeFi).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(3), 130–151. </w:t>
      </w:r>
      <w:hyperlink r:id="rId53">
        <w:r w:rsidRPr="005F6F59">
          <w:rPr>
            <w:color w:val="1155CC"/>
            <w:sz w:val="24"/>
            <w:szCs w:val="24"/>
            <w:u w:val="single"/>
          </w:rPr>
          <w:t>https://doi.org/10.9734/ajrcos/2025/v18i3583</w:t>
        </w:r>
      </w:hyperlink>
      <w:r w:rsidRPr="005F6F59">
        <w:rPr>
          <w:sz w:val="24"/>
          <w:szCs w:val="24"/>
        </w:rPr>
        <w:t xml:space="preserve"> </w:t>
      </w:r>
    </w:p>
    <w:p w14:paraId="0000009D" w14:textId="77777777" w:rsidR="000D5A02" w:rsidRPr="005F6F59" w:rsidRDefault="00320E20" w:rsidP="00D30110">
      <w:pPr>
        <w:spacing w:after="240"/>
        <w:ind w:left="709" w:hanging="709"/>
        <w:rPr>
          <w:sz w:val="24"/>
          <w:szCs w:val="24"/>
        </w:rPr>
      </w:pPr>
      <w:proofErr w:type="spellStart"/>
      <w:r w:rsidRPr="005F6F59">
        <w:rPr>
          <w:sz w:val="24"/>
          <w:szCs w:val="24"/>
        </w:rPr>
        <w:t>Olutimehin</w:t>
      </w:r>
      <w:proofErr w:type="spellEnd"/>
      <w:r w:rsidRPr="005F6F59">
        <w:rPr>
          <w:sz w:val="24"/>
          <w:szCs w:val="24"/>
        </w:rPr>
        <w:t xml:space="preserve">, A. T. (2025c). The Synergistic Role of Machine Learning, Deep Learning, and Reinforcement Learning in Strengthening Cyber Security Measures for Crypto Currency Platforms.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(3), 190–212. </w:t>
      </w:r>
      <w:hyperlink r:id="rId54">
        <w:r w:rsidRPr="005F6F59">
          <w:rPr>
            <w:color w:val="1155CC"/>
            <w:sz w:val="24"/>
            <w:szCs w:val="24"/>
            <w:u w:val="single"/>
          </w:rPr>
          <w:t>https://doi.org/10.9734/ajrcos/2025/v18i3586</w:t>
        </w:r>
      </w:hyperlink>
      <w:r w:rsidRPr="005F6F59">
        <w:rPr>
          <w:sz w:val="24"/>
          <w:szCs w:val="24"/>
        </w:rPr>
        <w:t xml:space="preserve"> </w:t>
      </w:r>
    </w:p>
    <w:p w14:paraId="0000009E" w14:textId="77777777" w:rsidR="000D5A02" w:rsidRPr="005F6F59" w:rsidRDefault="00320E20" w:rsidP="00D30110">
      <w:pPr>
        <w:spacing w:after="240"/>
        <w:ind w:left="709" w:hanging="709"/>
        <w:rPr>
          <w:sz w:val="24"/>
          <w:szCs w:val="24"/>
        </w:rPr>
      </w:pPr>
      <w:proofErr w:type="spellStart"/>
      <w:r w:rsidRPr="005F6F59">
        <w:rPr>
          <w:sz w:val="24"/>
          <w:szCs w:val="24"/>
        </w:rPr>
        <w:t>Olutimehin</w:t>
      </w:r>
      <w:proofErr w:type="spellEnd"/>
      <w:r w:rsidRPr="005F6F59">
        <w:rPr>
          <w:sz w:val="24"/>
          <w:szCs w:val="24"/>
        </w:rPr>
        <w:t xml:space="preserve">, A. T., Ajayi, A. J., </w:t>
      </w:r>
      <w:proofErr w:type="spellStart"/>
      <w:r w:rsidRPr="005F6F59">
        <w:rPr>
          <w:sz w:val="24"/>
          <w:szCs w:val="24"/>
        </w:rPr>
        <w:t>Metibemu</w:t>
      </w:r>
      <w:proofErr w:type="spellEnd"/>
      <w:r w:rsidRPr="005F6F59">
        <w:rPr>
          <w:sz w:val="24"/>
          <w:szCs w:val="24"/>
        </w:rPr>
        <w:t xml:space="preserve">, O. C., Balogun, A. Y., Oladoyinbo, T. O., &amp; Olaniyi, O. O. (2025). Adversarial Threats to AI-Driven Systems: Exploring the Attack Surface of Machine Learning Models and Countermeasures.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(2), 341–362. </w:t>
      </w:r>
      <w:hyperlink r:id="rId55">
        <w:r w:rsidRPr="005F6F59">
          <w:rPr>
            <w:color w:val="1155CC"/>
            <w:sz w:val="24"/>
            <w:szCs w:val="24"/>
            <w:u w:val="single"/>
          </w:rPr>
          <w:t>https://doi.org/10.9734/jerr/2025/v27i21413</w:t>
        </w:r>
      </w:hyperlink>
      <w:r w:rsidRPr="005F6F59">
        <w:rPr>
          <w:sz w:val="24"/>
          <w:szCs w:val="24"/>
        </w:rPr>
        <w:t xml:space="preserve"> </w:t>
      </w:r>
    </w:p>
    <w:p w14:paraId="0000009F" w14:textId="77777777" w:rsidR="000D5A02" w:rsidRPr="005F6F59" w:rsidRDefault="00320E20" w:rsidP="00D30110">
      <w:pPr>
        <w:spacing w:after="240"/>
        <w:ind w:left="709" w:hanging="709"/>
        <w:rPr>
          <w:sz w:val="24"/>
          <w:szCs w:val="24"/>
        </w:rPr>
      </w:pPr>
      <w:proofErr w:type="spellStart"/>
      <w:r w:rsidRPr="005F6F59">
        <w:rPr>
          <w:sz w:val="24"/>
          <w:szCs w:val="24"/>
        </w:rPr>
        <w:lastRenderedPageBreak/>
        <w:t>Olutimehin</w:t>
      </w:r>
      <w:proofErr w:type="spellEnd"/>
      <w:r w:rsidRPr="005F6F59">
        <w:rPr>
          <w:sz w:val="24"/>
          <w:szCs w:val="24"/>
        </w:rPr>
        <w:t xml:space="preserve">, A. T., Joseph, S. A., Ajayi, A. J., </w:t>
      </w:r>
      <w:proofErr w:type="spellStart"/>
      <w:r w:rsidRPr="005F6F59">
        <w:rPr>
          <w:sz w:val="24"/>
          <w:szCs w:val="24"/>
        </w:rPr>
        <w:t>Metibemu</w:t>
      </w:r>
      <w:proofErr w:type="spellEnd"/>
      <w:r w:rsidRPr="005F6F59">
        <w:rPr>
          <w:sz w:val="24"/>
          <w:szCs w:val="24"/>
        </w:rPr>
        <w:t xml:space="preserve">, O. C., Balogun, A. Y., &amp; Olaniyi, O. O. (2025). Future-Proofing Data: Assessing the Feasibility of Post-Quantum Cryptographic Algorithms to Mitigate “Harvest Now, Decrypt Later” Attacks. </w:t>
      </w:r>
      <w:r w:rsidRPr="005F6F59">
        <w:rPr>
          <w:i/>
          <w:sz w:val="24"/>
          <w:szCs w:val="24"/>
        </w:rPr>
        <w:t>Archives of Current Research International</w:t>
      </w:r>
      <w:r w:rsidRPr="005F6F59">
        <w:rPr>
          <w:sz w:val="24"/>
          <w:szCs w:val="24"/>
        </w:rPr>
        <w:t xml:space="preserve">, </w:t>
      </w:r>
      <w:r w:rsidRPr="005F6F59">
        <w:rPr>
          <w:i/>
          <w:sz w:val="24"/>
          <w:szCs w:val="24"/>
        </w:rPr>
        <w:t>25</w:t>
      </w:r>
      <w:r w:rsidRPr="005F6F59">
        <w:rPr>
          <w:sz w:val="24"/>
          <w:szCs w:val="24"/>
        </w:rPr>
        <w:t xml:space="preserve">(3), 60–80. </w:t>
      </w:r>
      <w:hyperlink r:id="rId56">
        <w:r w:rsidRPr="005F6F59">
          <w:rPr>
            <w:color w:val="1155CC"/>
            <w:sz w:val="24"/>
            <w:szCs w:val="24"/>
            <w:u w:val="single"/>
          </w:rPr>
          <w:t>https://doi.org/10.9734/acri/2025/v25i31098</w:t>
        </w:r>
      </w:hyperlink>
      <w:r w:rsidRPr="005F6F59">
        <w:rPr>
          <w:sz w:val="24"/>
          <w:szCs w:val="24"/>
        </w:rPr>
        <w:t xml:space="preserve"> </w:t>
      </w:r>
    </w:p>
    <w:p w14:paraId="000000A0" w14:textId="77777777" w:rsidR="000D5A02" w:rsidRPr="005F6F59" w:rsidRDefault="00320E20" w:rsidP="00D30110">
      <w:pPr>
        <w:spacing w:after="240"/>
        <w:ind w:left="709" w:hanging="709"/>
        <w:rPr>
          <w:sz w:val="24"/>
          <w:szCs w:val="24"/>
        </w:rPr>
      </w:pPr>
      <w:r w:rsidRPr="005F6F59">
        <w:rPr>
          <w:sz w:val="24"/>
          <w:szCs w:val="24"/>
        </w:rPr>
        <w:t xml:space="preserve">Oyekunle, S. M., </w:t>
      </w:r>
      <w:proofErr w:type="spellStart"/>
      <w:r w:rsidRPr="005F6F59">
        <w:rPr>
          <w:sz w:val="24"/>
          <w:szCs w:val="24"/>
        </w:rPr>
        <w:t>Tiwo</w:t>
      </w:r>
      <w:proofErr w:type="spellEnd"/>
      <w:r w:rsidRPr="005F6F59">
        <w:rPr>
          <w:sz w:val="24"/>
          <w:szCs w:val="24"/>
        </w:rPr>
        <w:t xml:space="preserve">, O. J., Adesokan-Imran, T. O., Ajayi, A. J., Salako, A. O., &amp; Olaniyi, O. O. (2025). Enhancing Data Resilience in Cloud-based Electronics Health Records through Ransomware Mitigation Strategies Using NIST and MITRE ATT&amp;CK Frameworks.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436–457. </w:t>
      </w:r>
      <w:hyperlink r:id="rId57">
        <w:r w:rsidRPr="005F6F59">
          <w:rPr>
            <w:color w:val="1155CC"/>
            <w:sz w:val="24"/>
            <w:szCs w:val="24"/>
            <w:u w:val="single"/>
          </w:rPr>
          <w:t>https://doi.org/10.9734/jerr/2025/v27i31444</w:t>
        </w:r>
      </w:hyperlink>
      <w:r w:rsidRPr="005F6F59">
        <w:rPr>
          <w:sz w:val="24"/>
          <w:szCs w:val="24"/>
        </w:rPr>
        <w:t xml:space="preserve"> </w:t>
      </w:r>
    </w:p>
    <w:p w14:paraId="000000A1" w14:textId="77777777" w:rsidR="000D5A02" w:rsidRPr="005F6F59" w:rsidRDefault="00320E20" w:rsidP="00D30110">
      <w:pPr>
        <w:spacing w:after="240"/>
        <w:ind w:left="709" w:hanging="709"/>
        <w:rPr>
          <w:sz w:val="24"/>
          <w:szCs w:val="24"/>
        </w:rPr>
      </w:pPr>
      <w:proofErr w:type="spellStart"/>
      <w:r w:rsidRPr="005F6F59">
        <w:rPr>
          <w:sz w:val="24"/>
          <w:szCs w:val="24"/>
        </w:rPr>
        <w:t>Ozioko</w:t>
      </w:r>
      <w:proofErr w:type="spellEnd"/>
      <w:r w:rsidRPr="005F6F59">
        <w:rPr>
          <w:sz w:val="24"/>
          <w:szCs w:val="24"/>
        </w:rPr>
        <w:t xml:space="preserve">, A. C. (2024). Preventive Strategies for Financial Institutions: Compliance and Legal Implications. </w:t>
      </w:r>
      <w:r w:rsidRPr="005F6F59">
        <w:rPr>
          <w:i/>
          <w:sz w:val="24"/>
          <w:szCs w:val="24"/>
        </w:rPr>
        <w:t>Multi-Disciplinary Research and Development Journals Int’l</w:t>
      </w:r>
      <w:r w:rsidRPr="005F6F59">
        <w:rPr>
          <w:sz w:val="24"/>
          <w:szCs w:val="24"/>
        </w:rPr>
        <w:t xml:space="preserve">, </w:t>
      </w:r>
      <w:r w:rsidRPr="005F6F59">
        <w:rPr>
          <w:i/>
          <w:sz w:val="24"/>
          <w:szCs w:val="24"/>
        </w:rPr>
        <w:t>5</w:t>
      </w:r>
      <w:r w:rsidRPr="005F6F59">
        <w:rPr>
          <w:sz w:val="24"/>
          <w:szCs w:val="24"/>
        </w:rPr>
        <w:t xml:space="preserve">(1), 86–107. </w:t>
      </w:r>
      <w:hyperlink r:id="rId58">
        <w:r w:rsidRPr="005F6F59">
          <w:rPr>
            <w:color w:val="1155CC"/>
            <w:sz w:val="24"/>
            <w:szCs w:val="24"/>
            <w:u w:val="single"/>
          </w:rPr>
          <w:t>http://mdrdji.org/index.php/mdj/article/view/87</w:t>
        </w:r>
      </w:hyperlink>
      <w:r w:rsidRPr="005F6F59">
        <w:rPr>
          <w:sz w:val="24"/>
          <w:szCs w:val="24"/>
        </w:rPr>
        <w:t xml:space="preserve"> </w:t>
      </w:r>
    </w:p>
    <w:p w14:paraId="000000A2" w14:textId="77777777" w:rsidR="000D5A02" w:rsidRPr="005F6F59" w:rsidRDefault="00320E20" w:rsidP="00D30110">
      <w:pPr>
        <w:spacing w:after="240"/>
        <w:ind w:left="709" w:hanging="709"/>
        <w:rPr>
          <w:sz w:val="24"/>
          <w:szCs w:val="24"/>
        </w:rPr>
      </w:pPr>
      <w:r w:rsidRPr="005F6F59">
        <w:rPr>
          <w:sz w:val="24"/>
          <w:szCs w:val="24"/>
        </w:rPr>
        <w:t xml:space="preserve">Pandey, R., </w:t>
      </w:r>
      <w:proofErr w:type="spellStart"/>
      <w:r w:rsidRPr="005F6F59">
        <w:rPr>
          <w:sz w:val="24"/>
          <w:szCs w:val="24"/>
        </w:rPr>
        <w:t>Anjimoon</w:t>
      </w:r>
      <w:proofErr w:type="spellEnd"/>
      <w:r w:rsidRPr="005F6F59">
        <w:rPr>
          <w:sz w:val="24"/>
          <w:szCs w:val="24"/>
        </w:rPr>
        <w:t xml:space="preserve">, S., Asha, V., Singla, A., Khan, I., &amp; Abed, Z. A. H. (2024). Developing Robust Cybersecurity Policies and Governance Frameworks in Response to Evolving Legal and Regulatory Landscapes. </w:t>
      </w:r>
      <w:proofErr w:type="gramStart"/>
      <w:r w:rsidRPr="005F6F59">
        <w:rPr>
          <w:i/>
          <w:sz w:val="24"/>
          <w:szCs w:val="24"/>
        </w:rPr>
        <w:t xml:space="preserve">IEEE </w:t>
      </w:r>
      <w:r w:rsidRPr="005F6F59">
        <w:rPr>
          <w:sz w:val="24"/>
          <w:szCs w:val="24"/>
        </w:rPr>
        <w:t>,</w:t>
      </w:r>
      <w:proofErr w:type="gramEnd"/>
      <w:r w:rsidRPr="005F6F59">
        <w:rPr>
          <w:sz w:val="24"/>
          <w:szCs w:val="24"/>
        </w:rPr>
        <w:t xml:space="preserve"> 1–6. </w:t>
      </w:r>
      <w:hyperlink r:id="rId59">
        <w:r w:rsidRPr="005F6F59">
          <w:rPr>
            <w:color w:val="1155CC"/>
            <w:sz w:val="24"/>
            <w:szCs w:val="24"/>
            <w:u w:val="single"/>
          </w:rPr>
          <w:t>https://doi.org/10.1109/otcon60325.2024.10687438</w:t>
        </w:r>
      </w:hyperlink>
      <w:r w:rsidRPr="005F6F59">
        <w:rPr>
          <w:sz w:val="24"/>
          <w:szCs w:val="24"/>
        </w:rPr>
        <w:t xml:space="preserve"> </w:t>
      </w:r>
    </w:p>
    <w:p w14:paraId="000000A3" w14:textId="77777777" w:rsidR="000D5A02" w:rsidRPr="005F6F59" w:rsidRDefault="00320E20" w:rsidP="00D30110">
      <w:pPr>
        <w:spacing w:after="240"/>
        <w:ind w:left="709" w:hanging="709"/>
        <w:rPr>
          <w:sz w:val="24"/>
          <w:szCs w:val="24"/>
        </w:rPr>
      </w:pPr>
      <w:r w:rsidRPr="005F6F59">
        <w:rPr>
          <w:sz w:val="24"/>
          <w:szCs w:val="24"/>
        </w:rPr>
        <w:t xml:space="preserve">Pina, E., Ramos, J., Jorge, H., Váz, P., Silva, J., </w:t>
      </w:r>
      <w:proofErr w:type="spellStart"/>
      <w:r w:rsidRPr="005F6F59">
        <w:rPr>
          <w:sz w:val="24"/>
          <w:szCs w:val="24"/>
        </w:rPr>
        <w:t>Wanzeller</w:t>
      </w:r>
      <w:proofErr w:type="spellEnd"/>
      <w:r w:rsidRPr="005F6F59">
        <w:rPr>
          <w:sz w:val="24"/>
          <w:szCs w:val="24"/>
        </w:rPr>
        <w:t xml:space="preserve">, C., Abbasi, M., &amp; Martins, P. (2024). Data Privacy and Ethical Considerations in Database Management. </w:t>
      </w:r>
      <w:r w:rsidRPr="005F6F59">
        <w:rPr>
          <w:i/>
          <w:sz w:val="24"/>
          <w:szCs w:val="24"/>
        </w:rPr>
        <w:t>Journal of Cybersecurity and Privacy</w:t>
      </w:r>
      <w:r w:rsidRPr="005F6F59">
        <w:rPr>
          <w:sz w:val="24"/>
          <w:szCs w:val="24"/>
        </w:rPr>
        <w:t xml:space="preserve">, </w:t>
      </w:r>
      <w:r w:rsidRPr="005F6F59">
        <w:rPr>
          <w:i/>
          <w:sz w:val="24"/>
          <w:szCs w:val="24"/>
        </w:rPr>
        <w:t>4</w:t>
      </w:r>
      <w:r w:rsidRPr="005F6F59">
        <w:rPr>
          <w:sz w:val="24"/>
          <w:szCs w:val="24"/>
        </w:rPr>
        <w:t xml:space="preserve">(3), 494–517. </w:t>
      </w:r>
      <w:hyperlink r:id="rId60">
        <w:r w:rsidRPr="005F6F59">
          <w:rPr>
            <w:color w:val="1155CC"/>
            <w:sz w:val="24"/>
            <w:szCs w:val="24"/>
            <w:u w:val="single"/>
          </w:rPr>
          <w:t>https://doi.org/10.3390/jcp4030024</w:t>
        </w:r>
      </w:hyperlink>
      <w:r w:rsidRPr="005F6F59">
        <w:rPr>
          <w:sz w:val="24"/>
          <w:szCs w:val="24"/>
        </w:rPr>
        <w:t xml:space="preserve"> </w:t>
      </w:r>
    </w:p>
    <w:p w14:paraId="000000A4" w14:textId="77777777" w:rsidR="000D5A02" w:rsidRPr="005F6F59" w:rsidRDefault="00320E20" w:rsidP="00D30110">
      <w:pPr>
        <w:spacing w:after="240"/>
        <w:ind w:left="709" w:hanging="709"/>
        <w:rPr>
          <w:sz w:val="24"/>
          <w:szCs w:val="24"/>
        </w:rPr>
      </w:pPr>
      <w:r w:rsidRPr="005F6F59">
        <w:rPr>
          <w:sz w:val="24"/>
          <w:szCs w:val="24"/>
        </w:rPr>
        <w:t xml:space="preserve">Razi, Q., Piyush, R., Chakrabarti, A., Singh, A., </w:t>
      </w:r>
      <w:proofErr w:type="spellStart"/>
      <w:r w:rsidRPr="005F6F59">
        <w:rPr>
          <w:sz w:val="24"/>
          <w:szCs w:val="24"/>
        </w:rPr>
        <w:t>Hassija</w:t>
      </w:r>
      <w:proofErr w:type="spellEnd"/>
      <w:r w:rsidRPr="005F6F59">
        <w:rPr>
          <w:sz w:val="24"/>
          <w:szCs w:val="24"/>
        </w:rPr>
        <w:t xml:space="preserve">, V., &amp; </w:t>
      </w:r>
      <w:proofErr w:type="spellStart"/>
      <w:r w:rsidRPr="005F6F59">
        <w:rPr>
          <w:sz w:val="24"/>
          <w:szCs w:val="24"/>
        </w:rPr>
        <w:t>Chalapathi</w:t>
      </w:r>
      <w:proofErr w:type="spellEnd"/>
      <w:r w:rsidRPr="005F6F59">
        <w:rPr>
          <w:sz w:val="24"/>
          <w:szCs w:val="24"/>
        </w:rPr>
        <w:t xml:space="preserve">, G. S. S. (2025). Enhancing Data Privacy: A Comprehensive Survey of Privacy-Enabling Technologies. </w:t>
      </w:r>
      <w:r w:rsidRPr="005F6F59">
        <w:rPr>
          <w:i/>
          <w:sz w:val="24"/>
          <w:szCs w:val="24"/>
        </w:rPr>
        <w:t>IEEE Access</w:t>
      </w:r>
      <w:r w:rsidRPr="005F6F59">
        <w:rPr>
          <w:sz w:val="24"/>
          <w:szCs w:val="24"/>
        </w:rPr>
        <w:t xml:space="preserve">, </w:t>
      </w:r>
      <w:r w:rsidRPr="005F6F59">
        <w:rPr>
          <w:i/>
          <w:sz w:val="24"/>
          <w:szCs w:val="24"/>
        </w:rPr>
        <w:t>13</w:t>
      </w:r>
      <w:r w:rsidRPr="005F6F59">
        <w:rPr>
          <w:sz w:val="24"/>
          <w:szCs w:val="24"/>
        </w:rPr>
        <w:t xml:space="preserve">, 40354–40385. </w:t>
      </w:r>
      <w:hyperlink r:id="rId61">
        <w:r w:rsidRPr="005F6F59">
          <w:rPr>
            <w:color w:val="1155CC"/>
            <w:sz w:val="24"/>
            <w:szCs w:val="24"/>
            <w:u w:val="single"/>
          </w:rPr>
          <w:t>https://doi.org/10.1109/access.2025.3546618</w:t>
        </w:r>
      </w:hyperlink>
      <w:r w:rsidRPr="005F6F59">
        <w:rPr>
          <w:sz w:val="24"/>
          <w:szCs w:val="24"/>
        </w:rPr>
        <w:t xml:space="preserve"> </w:t>
      </w:r>
    </w:p>
    <w:p w14:paraId="000000A5" w14:textId="77777777" w:rsidR="000D5A02" w:rsidRPr="005F6F59" w:rsidRDefault="00320E20" w:rsidP="00D30110">
      <w:pPr>
        <w:spacing w:after="240"/>
        <w:ind w:left="709" w:hanging="709"/>
        <w:rPr>
          <w:sz w:val="24"/>
          <w:szCs w:val="24"/>
        </w:rPr>
      </w:pPr>
      <w:r w:rsidRPr="005F6F59">
        <w:rPr>
          <w:sz w:val="24"/>
          <w:szCs w:val="24"/>
        </w:rPr>
        <w:t xml:space="preserve">Salako, A. O., Adesokan-Imran, T. O., </w:t>
      </w:r>
      <w:proofErr w:type="spellStart"/>
      <w:r w:rsidRPr="005F6F59">
        <w:rPr>
          <w:sz w:val="24"/>
          <w:szCs w:val="24"/>
        </w:rPr>
        <w:t>Tiwo</w:t>
      </w:r>
      <w:proofErr w:type="spellEnd"/>
      <w:r w:rsidRPr="005F6F59">
        <w:rPr>
          <w:sz w:val="24"/>
          <w:szCs w:val="24"/>
        </w:rPr>
        <w:t xml:space="preserve">, O. J., </w:t>
      </w:r>
      <w:proofErr w:type="spellStart"/>
      <w:r w:rsidRPr="005F6F59">
        <w:rPr>
          <w:sz w:val="24"/>
          <w:szCs w:val="24"/>
        </w:rPr>
        <w:t>Metibemu</w:t>
      </w:r>
      <w:proofErr w:type="spellEnd"/>
      <w:r w:rsidRPr="005F6F59">
        <w:rPr>
          <w:sz w:val="24"/>
          <w:szCs w:val="24"/>
        </w:rPr>
        <w:t xml:space="preserve">, O. C., </w:t>
      </w:r>
      <w:proofErr w:type="spellStart"/>
      <w:r w:rsidRPr="005F6F59">
        <w:rPr>
          <w:sz w:val="24"/>
          <w:szCs w:val="24"/>
        </w:rPr>
        <w:t>Onyenaucheya</w:t>
      </w:r>
      <w:proofErr w:type="spellEnd"/>
      <w:r w:rsidRPr="005F6F59">
        <w:rPr>
          <w:sz w:val="24"/>
          <w:szCs w:val="24"/>
        </w:rPr>
        <w:t xml:space="preserve">, O. S., &amp; Olaniyi, O. O. (2025). Securing Confidentiality in Distributed Ledger Systems with Secure Multi-party Computation for Financial Data Protection. </w:t>
      </w:r>
      <w:r w:rsidRPr="005F6F59">
        <w:rPr>
          <w:i/>
          <w:sz w:val="24"/>
          <w:szCs w:val="24"/>
        </w:rPr>
        <w:t>Journal of Engineering Research and Reports</w:t>
      </w:r>
      <w:r w:rsidRPr="005F6F59">
        <w:rPr>
          <w:sz w:val="24"/>
          <w:szCs w:val="24"/>
        </w:rPr>
        <w:t xml:space="preserve">, </w:t>
      </w:r>
      <w:r w:rsidRPr="005F6F59">
        <w:rPr>
          <w:i/>
          <w:sz w:val="24"/>
          <w:szCs w:val="24"/>
        </w:rPr>
        <w:t>27</w:t>
      </w:r>
      <w:r w:rsidRPr="005F6F59">
        <w:rPr>
          <w:sz w:val="24"/>
          <w:szCs w:val="24"/>
        </w:rPr>
        <w:t xml:space="preserve">(3), 352–373. </w:t>
      </w:r>
      <w:hyperlink r:id="rId62">
        <w:r w:rsidRPr="005F6F59">
          <w:rPr>
            <w:color w:val="1155CC"/>
            <w:sz w:val="24"/>
            <w:szCs w:val="24"/>
            <w:u w:val="single"/>
          </w:rPr>
          <w:t>https://doi.org/10.9734/jerr/2025/v27i31439</w:t>
        </w:r>
      </w:hyperlink>
      <w:r w:rsidRPr="005F6F59">
        <w:rPr>
          <w:sz w:val="24"/>
          <w:szCs w:val="24"/>
        </w:rPr>
        <w:t xml:space="preserve"> </w:t>
      </w:r>
    </w:p>
    <w:p w14:paraId="000000A6" w14:textId="77777777" w:rsidR="000D5A02" w:rsidRPr="005F6F59" w:rsidRDefault="00320E20" w:rsidP="00D30110">
      <w:pPr>
        <w:spacing w:after="240"/>
        <w:ind w:left="709" w:hanging="709"/>
        <w:rPr>
          <w:sz w:val="24"/>
          <w:szCs w:val="24"/>
        </w:rPr>
      </w:pPr>
      <w:r w:rsidRPr="005F6F59">
        <w:rPr>
          <w:sz w:val="24"/>
          <w:szCs w:val="24"/>
        </w:rPr>
        <w:t xml:space="preserve">Salami, I. A., Adesokan-Imran, T. O., </w:t>
      </w:r>
      <w:proofErr w:type="spellStart"/>
      <w:r w:rsidRPr="005F6F59">
        <w:rPr>
          <w:sz w:val="24"/>
          <w:szCs w:val="24"/>
        </w:rPr>
        <w:t>Tiwo</w:t>
      </w:r>
      <w:proofErr w:type="spellEnd"/>
      <w:r w:rsidRPr="005F6F59">
        <w:rPr>
          <w:sz w:val="24"/>
          <w:szCs w:val="24"/>
        </w:rPr>
        <w:t xml:space="preserve">, O. J., </w:t>
      </w:r>
      <w:proofErr w:type="spellStart"/>
      <w:r w:rsidRPr="005F6F59">
        <w:rPr>
          <w:sz w:val="24"/>
          <w:szCs w:val="24"/>
        </w:rPr>
        <w:t>Metibemu</w:t>
      </w:r>
      <w:proofErr w:type="spellEnd"/>
      <w:r w:rsidRPr="005F6F59">
        <w:rPr>
          <w:sz w:val="24"/>
          <w:szCs w:val="24"/>
        </w:rPr>
        <w:t xml:space="preserve">, O. C., </w:t>
      </w:r>
      <w:proofErr w:type="spellStart"/>
      <w:r w:rsidRPr="005F6F59">
        <w:rPr>
          <w:sz w:val="24"/>
          <w:szCs w:val="24"/>
        </w:rPr>
        <w:t>Olutimehin</w:t>
      </w:r>
      <w:proofErr w:type="spellEnd"/>
      <w:r w:rsidRPr="005F6F59">
        <w:rPr>
          <w:sz w:val="24"/>
          <w:szCs w:val="24"/>
        </w:rPr>
        <w:t xml:space="preserve">, A. T., &amp; Olaniyi, O. O. (2025). Addressing Bias and Data Privacy Concerns in AI-Driven Credit Scoring Systems Through Cybersecurity Risk Assessment.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(4), 59–82. </w:t>
      </w:r>
      <w:hyperlink r:id="rId63">
        <w:r w:rsidRPr="005F6F59">
          <w:rPr>
            <w:color w:val="1155CC"/>
            <w:sz w:val="24"/>
            <w:szCs w:val="24"/>
            <w:u w:val="single"/>
          </w:rPr>
          <w:t>https://doi.org/10.9734/ajrcos/2025/v18i4608</w:t>
        </w:r>
      </w:hyperlink>
      <w:r w:rsidRPr="005F6F59">
        <w:rPr>
          <w:sz w:val="24"/>
          <w:szCs w:val="24"/>
        </w:rPr>
        <w:t xml:space="preserve"> </w:t>
      </w:r>
    </w:p>
    <w:p w14:paraId="000000A7" w14:textId="77777777" w:rsidR="000D5A02" w:rsidRPr="005F6F59" w:rsidRDefault="00320E20" w:rsidP="00D30110">
      <w:pPr>
        <w:spacing w:after="240"/>
        <w:ind w:left="709" w:hanging="709"/>
        <w:rPr>
          <w:sz w:val="24"/>
          <w:szCs w:val="24"/>
        </w:rPr>
      </w:pPr>
      <w:r w:rsidRPr="005F6F59">
        <w:rPr>
          <w:sz w:val="24"/>
          <w:szCs w:val="24"/>
        </w:rPr>
        <w:lastRenderedPageBreak/>
        <w:t xml:space="preserve">Salomon, S. (2024). </w:t>
      </w:r>
      <w:r w:rsidRPr="005F6F59">
        <w:rPr>
          <w:i/>
          <w:sz w:val="24"/>
          <w:szCs w:val="24"/>
        </w:rPr>
        <w:t xml:space="preserve">What </w:t>
      </w:r>
      <w:proofErr w:type="gramStart"/>
      <w:r w:rsidRPr="005F6F59">
        <w:rPr>
          <w:i/>
          <w:sz w:val="24"/>
          <w:szCs w:val="24"/>
        </w:rPr>
        <w:t>Is</w:t>
      </w:r>
      <w:proofErr w:type="gramEnd"/>
      <w:r w:rsidRPr="005F6F59">
        <w:rPr>
          <w:i/>
          <w:sz w:val="24"/>
          <w:szCs w:val="24"/>
        </w:rPr>
        <w:t xml:space="preserve"> </w:t>
      </w:r>
      <w:proofErr w:type="spellStart"/>
      <w:r w:rsidRPr="005F6F59">
        <w:rPr>
          <w:i/>
          <w:sz w:val="24"/>
          <w:szCs w:val="24"/>
        </w:rPr>
        <w:t>Behavioral</w:t>
      </w:r>
      <w:proofErr w:type="spellEnd"/>
      <w:r w:rsidRPr="005F6F59">
        <w:rPr>
          <w:i/>
          <w:sz w:val="24"/>
          <w:szCs w:val="24"/>
        </w:rPr>
        <w:t xml:space="preserve"> Biometrics and How Does It Work Against Fraud?</w:t>
      </w:r>
      <w:r w:rsidRPr="005F6F59">
        <w:rPr>
          <w:sz w:val="24"/>
          <w:szCs w:val="24"/>
        </w:rPr>
        <w:t xml:space="preserve"> </w:t>
      </w:r>
      <w:proofErr w:type="spellStart"/>
      <w:r w:rsidRPr="005F6F59">
        <w:rPr>
          <w:sz w:val="24"/>
          <w:szCs w:val="24"/>
        </w:rPr>
        <w:t>Feedzai</w:t>
      </w:r>
      <w:proofErr w:type="spellEnd"/>
      <w:r w:rsidRPr="005F6F59">
        <w:rPr>
          <w:sz w:val="24"/>
          <w:szCs w:val="24"/>
        </w:rPr>
        <w:t xml:space="preserve">. </w:t>
      </w:r>
      <w:hyperlink r:id="rId64">
        <w:r w:rsidRPr="005F6F59">
          <w:rPr>
            <w:color w:val="1155CC"/>
            <w:sz w:val="24"/>
            <w:szCs w:val="24"/>
            <w:u w:val="single"/>
          </w:rPr>
          <w:t>https://www.feedzai.com/blog/behavioral-biometrics-next-generation-fraud-prevention/</w:t>
        </w:r>
      </w:hyperlink>
      <w:r w:rsidRPr="005F6F59">
        <w:rPr>
          <w:sz w:val="24"/>
          <w:szCs w:val="24"/>
        </w:rPr>
        <w:t xml:space="preserve">? </w:t>
      </w:r>
    </w:p>
    <w:p w14:paraId="000000A8" w14:textId="77777777" w:rsidR="000D5A02" w:rsidRPr="005F6F59" w:rsidRDefault="00320E20" w:rsidP="00D30110">
      <w:pPr>
        <w:spacing w:after="240"/>
        <w:ind w:left="709" w:hanging="709"/>
        <w:rPr>
          <w:sz w:val="24"/>
          <w:szCs w:val="24"/>
        </w:rPr>
      </w:pPr>
      <w:proofErr w:type="spellStart"/>
      <w:r w:rsidRPr="005F6F59">
        <w:rPr>
          <w:sz w:val="24"/>
          <w:szCs w:val="24"/>
        </w:rPr>
        <w:t>Sargiotis</w:t>
      </w:r>
      <w:proofErr w:type="spellEnd"/>
      <w:r w:rsidRPr="005F6F59">
        <w:rPr>
          <w:sz w:val="24"/>
          <w:szCs w:val="24"/>
        </w:rPr>
        <w:t xml:space="preserve">, D. (2024a). Data Governance Policies and Standards: Development and Implementation. </w:t>
      </w:r>
      <w:r w:rsidRPr="005F6F59">
        <w:rPr>
          <w:i/>
          <w:sz w:val="24"/>
          <w:szCs w:val="24"/>
        </w:rPr>
        <w:t>Springer Nature</w:t>
      </w:r>
      <w:r w:rsidRPr="005F6F59">
        <w:rPr>
          <w:sz w:val="24"/>
          <w:szCs w:val="24"/>
        </w:rPr>
        <w:t xml:space="preserve">, 247–277. </w:t>
      </w:r>
      <w:hyperlink r:id="rId65">
        <w:r w:rsidRPr="005F6F59">
          <w:rPr>
            <w:color w:val="1155CC"/>
            <w:sz w:val="24"/>
            <w:szCs w:val="24"/>
            <w:u w:val="single"/>
          </w:rPr>
          <w:t>https://doi.org/10.1007/978-3-031-67268-2_7</w:t>
        </w:r>
      </w:hyperlink>
      <w:r w:rsidRPr="005F6F59">
        <w:rPr>
          <w:sz w:val="24"/>
          <w:szCs w:val="24"/>
        </w:rPr>
        <w:t xml:space="preserve"> </w:t>
      </w:r>
    </w:p>
    <w:p w14:paraId="000000A9" w14:textId="77777777" w:rsidR="000D5A02" w:rsidRPr="005F6F59" w:rsidRDefault="00320E20" w:rsidP="00D30110">
      <w:pPr>
        <w:spacing w:after="240"/>
        <w:ind w:left="709" w:hanging="709"/>
        <w:rPr>
          <w:sz w:val="24"/>
          <w:szCs w:val="24"/>
        </w:rPr>
      </w:pPr>
      <w:proofErr w:type="spellStart"/>
      <w:r w:rsidRPr="005F6F59">
        <w:rPr>
          <w:sz w:val="24"/>
          <w:szCs w:val="24"/>
        </w:rPr>
        <w:t>Sargiotis</w:t>
      </w:r>
      <w:proofErr w:type="spellEnd"/>
      <w:r w:rsidRPr="005F6F59">
        <w:rPr>
          <w:sz w:val="24"/>
          <w:szCs w:val="24"/>
        </w:rPr>
        <w:t xml:space="preserve">, D. (2024b). Establishing a Data Governance Culture: Change Management and Leadership. </w:t>
      </w:r>
      <w:proofErr w:type="gramStart"/>
      <w:r w:rsidRPr="005F6F59">
        <w:rPr>
          <w:i/>
          <w:sz w:val="24"/>
          <w:szCs w:val="24"/>
        </w:rPr>
        <w:t xml:space="preserve">Springer </w:t>
      </w:r>
      <w:r w:rsidRPr="005F6F59">
        <w:rPr>
          <w:sz w:val="24"/>
          <w:szCs w:val="24"/>
        </w:rPr>
        <w:t>,</w:t>
      </w:r>
      <w:proofErr w:type="gramEnd"/>
      <w:r w:rsidRPr="005F6F59">
        <w:rPr>
          <w:sz w:val="24"/>
          <w:szCs w:val="24"/>
        </w:rPr>
        <w:t xml:space="preserve"> 391–418. </w:t>
      </w:r>
      <w:hyperlink r:id="rId66">
        <w:r w:rsidRPr="005F6F59">
          <w:rPr>
            <w:color w:val="1155CC"/>
            <w:sz w:val="24"/>
            <w:szCs w:val="24"/>
            <w:u w:val="single"/>
          </w:rPr>
          <w:t>https://doi.org/10.1007/978-3-031-67268-2_13</w:t>
        </w:r>
      </w:hyperlink>
      <w:r w:rsidRPr="005F6F59">
        <w:rPr>
          <w:sz w:val="24"/>
          <w:szCs w:val="24"/>
        </w:rPr>
        <w:t xml:space="preserve"> </w:t>
      </w:r>
    </w:p>
    <w:p w14:paraId="000000AA" w14:textId="77777777" w:rsidR="000D5A02" w:rsidRPr="005F6F59" w:rsidRDefault="00320E20" w:rsidP="00D30110">
      <w:pPr>
        <w:spacing w:after="240"/>
        <w:ind w:left="709" w:hanging="709"/>
        <w:rPr>
          <w:sz w:val="24"/>
          <w:szCs w:val="24"/>
        </w:rPr>
      </w:pPr>
      <w:proofErr w:type="spellStart"/>
      <w:r w:rsidRPr="005F6F59">
        <w:rPr>
          <w:sz w:val="24"/>
          <w:szCs w:val="24"/>
        </w:rPr>
        <w:t>Sargiotis</w:t>
      </w:r>
      <w:proofErr w:type="spellEnd"/>
      <w:r w:rsidRPr="005F6F59">
        <w:rPr>
          <w:sz w:val="24"/>
          <w:szCs w:val="24"/>
        </w:rPr>
        <w:t xml:space="preserve">, D. (2024c). Overview and Importance of Data Governance. </w:t>
      </w:r>
      <w:r w:rsidRPr="005F6F59">
        <w:rPr>
          <w:i/>
          <w:sz w:val="24"/>
          <w:szCs w:val="24"/>
        </w:rPr>
        <w:t>Springer Nature</w:t>
      </w:r>
      <w:r w:rsidRPr="005F6F59">
        <w:rPr>
          <w:sz w:val="24"/>
          <w:szCs w:val="24"/>
        </w:rPr>
        <w:t xml:space="preserve">, 1–85. </w:t>
      </w:r>
      <w:hyperlink r:id="rId67">
        <w:r w:rsidRPr="005F6F59">
          <w:rPr>
            <w:color w:val="1155CC"/>
            <w:sz w:val="24"/>
            <w:szCs w:val="24"/>
            <w:u w:val="single"/>
          </w:rPr>
          <w:t>https://doi.org/10.1007/978-3-031-67268-2_1</w:t>
        </w:r>
      </w:hyperlink>
      <w:r w:rsidRPr="005F6F59">
        <w:rPr>
          <w:sz w:val="24"/>
          <w:szCs w:val="24"/>
        </w:rPr>
        <w:t xml:space="preserve"> ‘</w:t>
      </w:r>
    </w:p>
    <w:p w14:paraId="000000AB" w14:textId="77777777" w:rsidR="000D5A02" w:rsidRPr="005F6F59" w:rsidRDefault="00320E20" w:rsidP="00D30110">
      <w:pPr>
        <w:spacing w:after="240"/>
        <w:ind w:left="709" w:hanging="709"/>
        <w:rPr>
          <w:sz w:val="24"/>
          <w:szCs w:val="24"/>
        </w:rPr>
      </w:pPr>
      <w:r w:rsidRPr="005F6F59">
        <w:rPr>
          <w:sz w:val="24"/>
          <w:szCs w:val="24"/>
        </w:rPr>
        <w:t xml:space="preserve">Shandilya, S. K., Datta, A., Kartik, Y., &amp; Nagar, A. (2024). Navigating the Regulatory Landscape. </w:t>
      </w:r>
      <w:r w:rsidRPr="005F6F59">
        <w:rPr>
          <w:i/>
          <w:sz w:val="24"/>
          <w:szCs w:val="24"/>
        </w:rPr>
        <w:t>EAI/Springer Innovations in Communication and Computing</w:t>
      </w:r>
      <w:r w:rsidRPr="005F6F59">
        <w:rPr>
          <w:sz w:val="24"/>
          <w:szCs w:val="24"/>
        </w:rPr>
        <w:t xml:space="preserve">, 127–240. </w:t>
      </w:r>
      <w:hyperlink r:id="rId68">
        <w:r w:rsidRPr="005F6F59">
          <w:rPr>
            <w:color w:val="1155CC"/>
            <w:sz w:val="24"/>
            <w:szCs w:val="24"/>
            <w:u w:val="single"/>
          </w:rPr>
          <w:t>https://doi.org/10.1007/978-3-031-53290-0_3</w:t>
        </w:r>
      </w:hyperlink>
      <w:r w:rsidRPr="005F6F59">
        <w:rPr>
          <w:sz w:val="24"/>
          <w:szCs w:val="24"/>
        </w:rPr>
        <w:t xml:space="preserve"> </w:t>
      </w:r>
    </w:p>
    <w:p w14:paraId="000000AC" w14:textId="77777777" w:rsidR="000D5A02" w:rsidRPr="005F6F59" w:rsidRDefault="00320E20" w:rsidP="00D30110">
      <w:pPr>
        <w:spacing w:after="240"/>
        <w:ind w:left="709" w:hanging="709"/>
        <w:rPr>
          <w:sz w:val="24"/>
          <w:szCs w:val="24"/>
        </w:rPr>
      </w:pPr>
      <w:proofErr w:type="spellStart"/>
      <w:r w:rsidRPr="005F6F59">
        <w:rPr>
          <w:sz w:val="24"/>
          <w:szCs w:val="24"/>
        </w:rPr>
        <w:t>Sharairi</w:t>
      </w:r>
      <w:proofErr w:type="spellEnd"/>
      <w:r w:rsidRPr="005F6F59">
        <w:rPr>
          <w:sz w:val="24"/>
          <w:szCs w:val="24"/>
        </w:rPr>
        <w:t xml:space="preserve">, J. A., Saatchi, S. G., Rahahle, M. Y., </w:t>
      </w:r>
      <w:proofErr w:type="spellStart"/>
      <w:r w:rsidRPr="005F6F59">
        <w:rPr>
          <w:sz w:val="24"/>
          <w:szCs w:val="24"/>
        </w:rPr>
        <w:t>Maabreh</w:t>
      </w:r>
      <w:proofErr w:type="spellEnd"/>
      <w:r w:rsidRPr="005F6F59">
        <w:rPr>
          <w:sz w:val="24"/>
          <w:szCs w:val="24"/>
        </w:rPr>
        <w:t xml:space="preserve">, A., Sarram, M., </w:t>
      </w:r>
      <w:proofErr w:type="spellStart"/>
      <w:r w:rsidRPr="005F6F59">
        <w:rPr>
          <w:sz w:val="24"/>
          <w:szCs w:val="24"/>
        </w:rPr>
        <w:t>Anagreh</w:t>
      </w:r>
      <w:proofErr w:type="spellEnd"/>
      <w:r w:rsidRPr="005F6F59">
        <w:rPr>
          <w:sz w:val="24"/>
          <w:szCs w:val="24"/>
        </w:rPr>
        <w:t xml:space="preserve">, S., Nazzal, M. A., </w:t>
      </w:r>
      <w:proofErr w:type="spellStart"/>
      <w:r w:rsidRPr="005F6F59">
        <w:rPr>
          <w:sz w:val="24"/>
          <w:szCs w:val="24"/>
        </w:rPr>
        <w:t>Alrfai</w:t>
      </w:r>
      <w:proofErr w:type="spellEnd"/>
      <w:r w:rsidRPr="005F6F59">
        <w:rPr>
          <w:sz w:val="24"/>
          <w:szCs w:val="24"/>
        </w:rPr>
        <w:t>, M. M., Mohammad, A. A. S., &amp; Al-</w:t>
      </w:r>
      <w:proofErr w:type="spellStart"/>
      <w:r w:rsidRPr="005F6F59">
        <w:rPr>
          <w:sz w:val="24"/>
          <w:szCs w:val="24"/>
        </w:rPr>
        <w:t>Hawary</w:t>
      </w:r>
      <w:proofErr w:type="spellEnd"/>
      <w:r w:rsidRPr="005F6F59">
        <w:rPr>
          <w:sz w:val="24"/>
          <w:szCs w:val="24"/>
        </w:rPr>
        <w:t xml:space="preserve">, S. I. S. (2024). How Big Data Governance Meets Financial Decision-Making: Evidence from Banking Sector in Emerging Economies. </w:t>
      </w:r>
      <w:r w:rsidRPr="005F6F59">
        <w:rPr>
          <w:i/>
          <w:sz w:val="24"/>
          <w:szCs w:val="24"/>
        </w:rPr>
        <w:t>Studies in Systems, Decision and Control</w:t>
      </w:r>
      <w:r w:rsidRPr="005F6F59">
        <w:rPr>
          <w:sz w:val="24"/>
          <w:szCs w:val="24"/>
        </w:rPr>
        <w:t xml:space="preserve">, </w:t>
      </w:r>
      <w:r w:rsidRPr="005F6F59">
        <w:rPr>
          <w:i/>
          <w:sz w:val="24"/>
          <w:szCs w:val="24"/>
        </w:rPr>
        <w:t>528</w:t>
      </w:r>
      <w:r w:rsidRPr="005F6F59">
        <w:rPr>
          <w:sz w:val="24"/>
          <w:szCs w:val="24"/>
        </w:rPr>
        <w:t xml:space="preserve">, 1295–1311. </w:t>
      </w:r>
      <w:hyperlink r:id="rId69">
        <w:r w:rsidRPr="005F6F59">
          <w:rPr>
            <w:color w:val="1155CC"/>
            <w:sz w:val="24"/>
            <w:szCs w:val="24"/>
            <w:u w:val="single"/>
          </w:rPr>
          <w:t>https://doi.org/10.1007/978-3-031-56586-1_94</w:t>
        </w:r>
      </w:hyperlink>
      <w:r w:rsidRPr="005F6F59">
        <w:rPr>
          <w:sz w:val="24"/>
          <w:szCs w:val="24"/>
        </w:rPr>
        <w:t xml:space="preserve"> </w:t>
      </w:r>
    </w:p>
    <w:p w14:paraId="000000AD" w14:textId="77777777" w:rsidR="000D5A02" w:rsidRPr="005F6F59" w:rsidRDefault="00320E20" w:rsidP="00D30110">
      <w:pPr>
        <w:spacing w:after="240"/>
        <w:ind w:left="709" w:hanging="709"/>
        <w:rPr>
          <w:sz w:val="24"/>
          <w:szCs w:val="24"/>
        </w:rPr>
      </w:pPr>
      <w:proofErr w:type="gramStart"/>
      <w:r w:rsidRPr="005F6F59">
        <w:rPr>
          <w:sz w:val="24"/>
          <w:szCs w:val="24"/>
        </w:rPr>
        <w:t>Simons ,</w:t>
      </w:r>
      <w:proofErr w:type="gramEnd"/>
      <w:r w:rsidRPr="005F6F59">
        <w:rPr>
          <w:sz w:val="24"/>
          <w:szCs w:val="24"/>
        </w:rPr>
        <w:t xml:space="preserve"> T. (2023). </w:t>
      </w:r>
      <w:r w:rsidRPr="005F6F59">
        <w:rPr>
          <w:i/>
          <w:sz w:val="24"/>
          <w:szCs w:val="24"/>
        </w:rPr>
        <w:t>Trends in synthetic identity fraud</w:t>
      </w:r>
      <w:r w:rsidRPr="005F6F59">
        <w:rPr>
          <w:sz w:val="24"/>
          <w:szCs w:val="24"/>
        </w:rPr>
        <w:t xml:space="preserve">. Legal.thomsonreuters.com. </w:t>
      </w:r>
      <w:hyperlink r:id="rId70">
        <w:r w:rsidRPr="005F6F59">
          <w:rPr>
            <w:color w:val="1155CC"/>
            <w:sz w:val="24"/>
            <w:szCs w:val="24"/>
            <w:u w:val="single"/>
          </w:rPr>
          <w:t>https://legal.thomsonreuters.com/en/insights/articles/trends-in-synthetic-identity-fraud</w:t>
        </w:r>
      </w:hyperlink>
      <w:r w:rsidRPr="005F6F59">
        <w:rPr>
          <w:sz w:val="24"/>
          <w:szCs w:val="24"/>
        </w:rPr>
        <w:t xml:space="preserve"> </w:t>
      </w:r>
    </w:p>
    <w:p w14:paraId="000000AE" w14:textId="77777777" w:rsidR="000D5A02" w:rsidRPr="005F6F59" w:rsidRDefault="00320E20" w:rsidP="00D30110">
      <w:pPr>
        <w:spacing w:after="240"/>
        <w:ind w:left="709" w:hanging="709"/>
        <w:rPr>
          <w:sz w:val="24"/>
          <w:szCs w:val="24"/>
        </w:rPr>
      </w:pPr>
      <w:proofErr w:type="spellStart"/>
      <w:r w:rsidRPr="005F6F59">
        <w:rPr>
          <w:sz w:val="24"/>
          <w:szCs w:val="24"/>
        </w:rPr>
        <w:t>Taherdoost</w:t>
      </w:r>
      <w:proofErr w:type="spellEnd"/>
      <w:r w:rsidRPr="005F6F59">
        <w:rPr>
          <w:sz w:val="24"/>
          <w:szCs w:val="24"/>
        </w:rPr>
        <w:t xml:space="preserve">, H. (2024). Insights into Cybercrime Detection and Response: A Review of Time Factor. </w:t>
      </w:r>
      <w:r w:rsidRPr="005F6F59">
        <w:rPr>
          <w:i/>
          <w:sz w:val="24"/>
          <w:szCs w:val="24"/>
        </w:rPr>
        <w:t>Information</w:t>
      </w:r>
      <w:r w:rsidRPr="005F6F59">
        <w:rPr>
          <w:sz w:val="24"/>
          <w:szCs w:val="24"/>
        </w:rPr>
        <w:t xml:space="preserve">, </w:t>
      </w:r>
      <w:r w:rsidRPr="005F6F59">
        <w:rPr>
          <w:i/>
          <w:sz w:val="24"/>
          <w:szCs w:val="24"/>
        </w:rPr>
        <w:t>15</w:t>
      </w:r>
      <w:r w:rsidRPr="005F6F59">
        <w:rPr>
          <w:sz w:val="24"/>
          <w:szCs w:val="24"/>
        </w:rPr>
        <w:t xml:space="preserve">(5), 273. </w:t>
      </w:r>
      <w:hyperlink r:id="rId71">
        <w:r w:rsidRPr="005F6F59">
          <w:rPr>
            <w:color w:val="1155CC"/>
            <w:sz w:val="24"/>
            <w:szCs w:val="24"/>
            <w:u w:val="single"/>
          </w:rPr>
          <w:t>https://doi.org/10.3390/info15050273</w:t>
        </w:r>
      </w:hyperlink>
      <w:r w:rsidRPr="005F6F59">
        <w:rPr>
          <w:sz w:val="24"/>
          <w:szCs w:val="24"/>
        </w:rPr>
        <w:t xml:space="preserve"> </w:t>
      </w:r>
    </w:p>
    <w:p w14:paraId="000000AF" w14:textId="77777777" w:rsidR="000D5A02" w:rsidRPr="005F6F59" w:rsidRDefault="00320E20" w:rsidP="00D30110">
      <w:pPr>
        <w:spacing w:after="240"/>
        <w:ind w:left="709" w:hanging="709"/>
        <w:rPr>
          <w:sz w:val="24"/>
          <w:szCs w:val="24"/>
        </w:rPr>
      </w:pPr>
      <w:proofErr w:type="spellStart"/>
      <w:r w:rsidRPr="005F6F59">
        <w:rPr>
          <w:sz w:val="24"/>
          <w:szCs w:val="24"/>
        </w:rPr>
        <w:t>Tiwo</w:t>
      </w:r>
      <w:proofErr w:type="spellEnd"/>
      <w:r w:rsidRPr="005F6F59">
        <w:rPr>
          <w:sz w:val="24"/>
          <w:szCs w:val="24"/>
        </w:rPr>
        <w:t xml:space="preserve">, O. J., Adesokan-Imran, T. O., Babarinde, D. C., Oyekunle, S. M., </w:t>
      </w:r>
      <w:proofErr w:type="spellStart"/>
      <w:r w:rsidRPr="005F6F59">
        <w:rPr>
          <w:sz w:val="24"/>
          <w:szCs w:val="24"/>
        </w:rPr>
        <w:t>Olutimehin</w:t>
      </w:r>
      <w:proofErr w:type="spellEnd"/>
      <w:r w:rsidRPr="005F6F59">
        <w:rPr>
          <w:sz w:val="24"/>
          <w:szCs w:val="24"/>
        </w:rPr>
        <w:t xml:space="preserve">, A. T., &amp; Olaniyi, O. O. (2025). Advancing Security in Cloud-based Patient Information Systems with Quantum-resistant Encryption for Healthcare Data.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(4), 187–208. </w:t>
      </w:r>
      <w:hyperlink r:id="rId72">
        <w:r w:rsidRPr="005F6F59">
          <w:rPr>
            <w:color w:val="1155CC"/>
            <w:sz w:val="24"/>
            <w:szCs w:val="24"/>
            <w:u w:val="single"/>
          </w:rPr>
          <w:t>https://doi.org/10.9734/ajrcos/2025/v18i4615</w:t>
        </w:r>
      </w:hyperlink>
      <w:r w:rsidRPr="005F6F59">
        <w:rPr>
          <w:sz w:val="24"/>
          <w:szCs w:val="24"/>
        </w:rPr>
        <w:t xml:space="preserve"> </w:t>
      </w:r>
    </w:p>
    <w:p w14:paraId="000000B0" w14:textId="77777777" w:rsidR="000D5A02" w:rsidRPr="005F6F59" w:rsidRDefault="00320E20" w:rsidP="00D30110">
      <w:pPr>
        <w:spacing w:after="240"/>
        <w:ind w:left="709" w:hanging="709"/>
        <w:rPr>
          <w:sz w:val="24"/>
          <w:szCs w:val="24"/>
        </w:rPr>
      </w:pPr>
      <w:proofErr w:type="spellStart"/>
      <w:r w:rsidRPr="005F6F59">
        <w:rPr>
          <w:sz w:val="24"/>
          <w:szCs w:val="24"/>
        </w:rPr>
        <w:t>Tiwo</w:t>
      </w:r>
      <w:proofErr w:type="spellEnd"/>
      <w:r w:rsidRPr="005F6F59">
        <w:rPr>
          <w:sz w:val="24"/>
          <w:szCs w:val="24"/>
        </w:rPr>
        <w:t xml:space="preserve">, O. J., Adesokan-Imran, T. O., Babarinde, D. C., Salami, I. A., </w:t>
      </w:r>
      <w:proofErr w:type="spellStart"/>
      <w:r w:rsidRPr="005F6F59">
        <w:rPr>
          <w:sz w:val="24"/>
          <w:szCs w:val="24"/>
        </w:rPr>
        <w:t>Onyenaucheya</w:t>
      </w:r>
      <w:proofErr w:type="spellEnd"/>
      <w:r w:rsidRPr="005F6F59">
        <w:rPr>
          <w:sz w:val="24"/>
          <w:szCs w:val="24"/>
        </w:rPr>
        <w:t xml:space="preserve">, O. S., &amp; Olaniyi, O. O. (2025). Improving Patient Data Privacy and Authentication Protocols against AI-Powered Phishing Attacks in Telemedicine. </w:t>
      </w:r>
      <w:r w:rsidRPr="005F6F59">
        <w:rPr>
          <w:i/>
          <w:sz w:val="24"/>
          <w:szCs w:val="24"/>
        </w:rPr>
        <w:t>Asian Journal of Research in Computer Science</w:t>
      </w:r>
      <w:r w:rsidRPr="005F6F59">
        <w:rPr>
          <w:sz w:val="24"/>
          <w:szCs w:val="24"/>
        </w:rPr>
        <w:t xml:space="preserve">, </w:t>
      </w:r>
      <w:r w:rsidRPr="005F6F59">
        <w:rPr>
          <w:i/>
          <w:sz w:val="24"/>
          <w:szCs w:val="24"/>
        </w:rPr>
        <w:t>18</w:t>
      </w:r>
      <w:r w:rsidRPr="005F6F59">
        <w:rPr>
          <w:sz w:val="24"/>
          <w:szCs w:val="24"/>
        </w:rPr>
        <w:t xml:space="preserve">(4), 93–114. </w:t>
      </w:r>
      <w:hyperlink r:id="rId73">
        <w:r w:rsidRPr="005F6F59">
          <w:rPr>
            <w:color w:val="1155CC"/>
            <w:sz w:val="24"/>
            <w:szCs w:val="24"/>
            <w:u w:val="single"/>
          </w:rPr>
          <w:t>https://doi.org/10.9734/ajrcos/2025/v18i4610</w:t>
        </w:r>
      </w:hyperlink>
      <w:r w:rsidRPr="005F6F59">
        <w:rPr>
          <w:sz w:val="24"/>
          <w:szCs w:val="24"/>
        </w:rPr>
        <w:t xml:space="preserve"> </w:t>
      </w:r>
    </w:p>
    <w:p w14:paraId="000000B1" w14:textId="77777777" w:rsidR="000D5A02" w:rsidRPr="005F6F59" w:rsidRDefault="00320E20" w:rsidP="00D30110">
      <w:pPr>
        <w:spacing w:after="240"/>
        <w:ind w:left="709" w:hanging="709"/>
        <w:rPr>
          <w:sz w:val="24"/>
          <w:szCs w:val="24"/>
        </w:rPr>
      </w:pPr>
      <w:proofErr w:type="spellStart"/>
      <w:r w:rsidRPr="005F6F59">
        <w:rPr>
          <w:sz w:val="24"/>
          <w:szCs w:val="24"/>
        </w:rPr>
        <w:lastRenderedPageBreak/>
        <w:t>Torselli</w:t>
      </w:r>
      <w:proofErr w:type="spellEnd"/>
      <w:r w:rsidRPr="005F6F59">
        <w:rPr>
          <w:sz w:val="24"/>
          <w:szCs w:val="24"/>
        </w:rPr>
        <w:t xml:space="preserve">, J. (2025). </w:t>
      </w:r>
      <w:r w:rsidRPr="005F6F59">
        <w:rPr>
          <w:i/>
          <w:sz w:val="24"/>
          <w:szCs w:val="24"/>
        </w:rPr>
        <w:t>Behavioural biometrics and device intelligence in modern fraud and AML strategies</w:t>
      </w:r>
      <w:r w:rsidRPr="005F6F59">
        <w:rPr>
          <w:sz w:val="24"/>
          <w:szCs w:val="24"/>
        </w:rPr>
        <w:t xml:space="preserve">. Experian UK; Experian PLC. </w:t>
      </w:r>
      <w:hyperlink r:id="rId74">
        <w:r w:rsidRPr="005F6F59">
          <w:rPr>
            <w:color w:val="1155CC"/>
            <w:sz w:val="24"/>
            <w:szCs w:val="24"/>
            <w:u w:val="single"/>
          </w:rPr>
          <w:t>https://www.experian.co.uk/blogs/latest-thinking/guide/behavioural-biometrics-device-intelligence/</w:t>
        </w:r>
      </w:hyperlink>
      <w:r w:rsidRPr="005F6F59">
        <w:rPr>
          <w:sz w:val="24"/>
          <w:szCs w:val="24"/>
        </w:rPr>
        <w:t xml:space="preserve"> </w:t>
      </w:r>
    </w:p>
    <w:p w14:paraId="000000B2" w14:textId="77777777" w:rsidR="000D5A02" w:rsidRPr="005F6F59" w:rsidRDefault="00320E20" w:rsidP="00D30110">
      <w:pPr>
        <w:spacing w:after="240"/>
        <w:ind w:left="709" w:hanging="709"/>
        <w:rPr>
          <w:sz w:val="24"/>
          <w:szCs w:val="24"/>
        </w:rPr>
      </w:pPr>
      <w:r w:rsidRPr="005F6F59">
        <w:rPr>
          <w:sz w:val="24"/>
          <w:szCs w:val="24"/>
        </w:rPr>
        <w:t xml:space="preserve">Wandji, B. (2023). Performance and Security Evaluation of </w:t>
      </w:r>
      <w:proofErr w:type="spellStart"/>
      <w:r w:rsidRPr="005F6F59">
        <w:rPr>
          <w:sz w:val="24"/>
          <w:szCs w:val="24"/>
        </w:rPr>
        <w:t>Behavioral</w:t>
      </w:r>
      <w:proofErr w:type="spellEnd"/>
      <w:r w:rsidRPr="005F6F59">
        <w:rPr>
          <w:sz w:val="24"/>
          <w:szCs w:val="24"/>
        </w:rPr>
        <w:t xml:space="preserve"> Biometric Systems. </w:t>
      </w:r>
      <w:proofErr w:type="spellStart"/>
      <w:r w:rsidRPr="005F6F59">
        <w:rPr>
          <w:i/>
          <w:sz w:val="24"/>
          <w:szCs w:val="24"/>
        </w:rPr>
        <w:t>Hal.science</w:t>
      </w:r>
      <w:proofErr w:type="spellEnd"/>
      <w:r w:rsidRPr="005F6F59">
        <w:rPr>
          <w:sz w:val="24"/>
          <w:szCs w:val="24"/>
        </w:rPr>
        <w:t xml:space="preserve">, </w:t>
      </w:r>
      <w:r w:rsidRPr="005F6F59">
        <w:rPr>
          <w:i/>
          <w:sz w:val="24"/>
          <w:szCs w:val="24"/>
        </w:rPr>
        <w:t>1964</w:t>
      </w:r>
      <w:r w:rsidRPr="005F6F59">
        <w:rPr>
          <w:sz w:val="24"/>
          <w:szCs w:val="24"/>
        </w:rPr>
        <w:t xml:space="preserve">(6). </w:t>
      </w:r>
      <w:hyperlink r:id="rId75">
        <w:r w:rsidRPr="005F6F59">
          <w:rPr>
            <w:color w:val="1155CC"/>
            <w:sz w:val="24"/>
            <w:szCs w:val="24"/>
            <w:u w:val="single"/>
          </w:rPr>
          <w:t>https://hal.science/tel-04397160</w:t>
        </w:r>
      </w:hyperlink>
      <w:r w:rsidRPr="005F6F59">
        <w:rPr>
          <w:sz w:val="24"/>
          <w:szCs w:val="24"/>
        </w:rPr>
        <w:t xml:space="preserve"> </w:t>
      </w:r>
    </w:p>
    <w:p w14:paraId="000000B3" w14:textId="77777777" w:rsidR="000D5A02" w:rsidRPr="005F6F59" w:rsidRDefault="00320E20" w:rsidP="00D30110">
      <w:pPr>
        <w:spacing w:after="240"/>
        <w:ind w:left="709" w:hanging="709"/>
        <w:rPr>
          <w:sz w:val="24"/>
          <w:szCs w:val="24"/>
        </w:rPr>
      </w:pPr>
      <w:r w:rsidRPr="005F6F59">
        <w:rPr>
          <w:sz w:val="24"/>
          <w:szCs w:val="24"/>
        </w:rPr>
        <w:t xml:space="preserve">Wandji, B., Manno, J. D., Rosenberger, C., &amp; Charrier, C. (2021). How Artificial Intelligence can be used for </w:t>
      </w:r>
      <w:proofErr w:type="spellStart"/>
      <w:r w:rsidRPr="005F6F59">
        <w:rPr>
          <w:sz w:val="24"/>
          <w:szCs w:val="24"/>
        </w:rPr>
        <w:t>Behavioral</w:t>
      </w:r>
      <w:proofErr w:type="spellEnd"/>
      <w:r w:rsidRPr="005F6F59">
        <w:rPr>
          <w:sz w:val="24"/>
          <w:szCs w:val="24"/>
        </w:rPr>
        <w:t xml:space="preserve"> Identification? </w:t>
      </w:r>
      <w:r w:rsidRPr="005F6F59">
        <w:rPr>
          <w:i/>
          <w:sz w:val="24"/>
          <w:szCs w:val="24"/>
        </w:rPr>
        <w:t xml:space="preserve">HAL (Le Centre Pour La Communication </w:t>
      </w:r>
      <w:proofErr w:type="spellStart"/>
      <w:r w:rsidRPr="005F6F59">
        <w:rPr>
          <w:i/>
          <w:sz w:val="24"/>
          <w:szCs w:val="24"/>
        </w:rPr>
        <w:t>Scientifique</w:t>
      </w:r>
      <w:proofErr w:type="spellEnd"/>
      <w:r w:rsidRPr="005F6F59">
        <w:rPr>
          <w:i/>
          <w:sz w:val="24"/>
          <w:szCs w:val="24"/>
        </w:rPr>
        <w:t xml:space="preserve"> </w:t>
      </w:r>
      <w:proofErr w:type="spellStart"/>
      <w:r w:rsidRPr="005F6F59">
        <w:rPr>
          <w:i/>
          <w:sz w:val="24"/>
          <w:szCs w:val="24"/>
        </w:rPr>
        <w:t>Directe</w:t>
      </w:r>
      <w:proofErr w:type="spellEnd"/>
      <w:r w:rsidRPr="005F6F59">
        <w:rPr>
          <w:i/>
          <w:sz w:val="24"/>
          <w:szCs w:val="24"/>
        </w:rPr>
        <w:t>)</w:t>
      </w:r>
      <w:r w:rsidRPr="005F6F59">
        <w:rPr>
          <w:sz w:val="24"/>
          <w:szCs w:val="24"/>
        </w:rPr>
        <w:t xml:space="preserve">, 246–253. </w:t>
      </w:r>
      <w:hyperlink r:id="rId76">
        <w:r w:rsidRPr="005F6F59">
          <w:rPr>
            <w:color w:val="1155CC"/>
            <w:sz w:val="24"/>
            <w:szCs w:val="24"/>
            <w:u w:val="single"/>
          </w:rPr>
          <w:t>https://doi.org/10.1109/cw52790.2021.00049</w:t>
        </w:r>
      </w:hyperlink>
      <w:r w:rsidRPr="005F6F59">
        <w:rPr>
          <w:sz w:val="24"/>
          <w:szCs w:val="24"/>
        </w:rPr>
        <w:t xml:space="preserve"> </w:t>
      </w:r>
    </w:p>
    <w:p w14:paraId="000000B4" w14:textId="77777777" w:rsidR="000D5A02" w:rsidRPr="005F6F59" w:rsidRDefault="00320E20" w:rsidP="00D30110">
      <w:pPr>
        <w:spacing w:after="240"/>
        <w:ind w:left="709" w:hanging="709"/>
        <w:rPr>
          <w:sz w:val="24"/>
          <w:szCs w:val="24"/>
        </w:rPr>
      </w:pPr>
      <w:proofErr w:type="spellStart"/>
      <w:r w:rsidRPr="005F6F59">
        <w:rPr>
          <w:sz w:val="24"/>
          <w:szCs w:val="24"/>
        </w:rPr>
        <w:t>Yandrapalli</w:t>
      </w:r>
      <w:proofErr w:type="spellEnd"/>
      <w:r w:rsidRPr="005F6F59">
        <w:rPr>
          <w:sz w:val="24"/>
          <w:szCs w:val="24"/>
        </w:rPr>
        <w:t xml:space="preserve">, V. (2024). AI-Powered Data Governance: A Cutting-Edge Method for Ensuring Data Quality for Machine Learning Applications. </w:t>
      </w:r>
      <w:r w:rsidRPr="005F6F59">
        <w:rPr>
          <w:i/>
          <w:sz w:val="24"/>
          <w:szCs w:val="24"/>
        </w:rPr>
        <w:t>IEEE XPLORE</w:t>
      </w:r>
      <w:r w:rsidRPr="005F6F59">
        <w:rPr>
          <w:sz w:val="24"/>
          <w:szCs w:val="24"/>
        </w:rPr>
        <w:t xml:space="preserve">. </w:t>
      </w:r>
      <w:hyperlink r:id="rId77">
        <w:r w:rsidRPr="005F6F59">
          <w:rPr>
            <w:color w:val="1155CC"/>
            <w:sz w:val="24"/>
            <w:szCs w:val="24"/>
            <w:u w:val="single"/>
          </w:rPr>
          <w:t>https://doi.org/10.1109/ic-etite58242.2024.10493601</w:t>
        </w:r>
      </w:hyperlink>
      <w:r w:rsidRPr="005F6F59">
        <w:rPr>
          <w:sz w:val="24"/>
          <w:szCs w:val="24"/>
        </w:rPr>
        <w:t xml:space="preserve"> </w:t>
      </w:r>
    </w:p>
    <w:p w14:paraId="000000B5" w14:textId="77777777" w:rsidR="000D5A02" w:rsidRPr="005F6F59" w:rsidRDefault="00320E20" w:rsidP="00D30110">
      <w:pPr>
        <w:spacing w:after="240"/>
        <w:ind w:left="709" w:hanging="709"/>
        <w:rPr>
          <w:sz w:val="24"/>
          <w:szCs w:val="24"/>
        </w:rPr>
      </w:pPr>
      <w:r w:rsidRPr="005F6F59">
        <w:rPr>
          <w:sz w:val="24"/>
          <w:szCs w:val="24"/>
        </w:rPr>
        <w:t xml:space="preserve">Yang, L., &amp; Qin, S.-F. (2021). A Review of Emotion Recognition Methods </w:t>
      </w:r>
      <w:proofErr w:type="gramStart"/>
      <w:r w:rsidRPr="005F6F59">
        <w:rPr>
          <w:sz w:val="24"/>
          <w:szCs w:val="24"/>
        </w:rPr>
        <w:t>From</w:t>
      </w:r>
      <w:proofErr w:type="gramEnd"/>
      <w:r w:rsidRPr="005F6F59">
        <w:rPr>
          <w:sz w:val="24"/>
          <w:szCs w:val="24"/>
        </w:rPr>
        <w:t xml:space="preserve"> Keystroke, Mouse, and Touchscreen Dynamics. </w:t>
      </w:r>
      <w:r w:rsidRPr="005F6F59">
        <w:rPr>
          <w:i/>
          <w:sz w:val="24"/>
          <w:szCs w:val="24"/>
        </w:rPr>
        <w:t>IEEE Access</w:t>
      </w:r>
      <w:r w:rsidRPr="005F6F59">
        <w:rPr>
          <w:sz w:val="24"/>
          <w:szCs w:val="24"/>
        </w:rPr>
        <w:t xml:space="preserve">, </w:t>
      </w:r>
      <w:r w:rsidRPr="005F6F59">
        <w:rPr>
          <w:i/>
          <w:sz w:val="24"/>
          <w:szCs w:val="24"/>
        </w:rPr>
        <w:t>9</w:t>
      </w:r>
      <w:r w:rsidRPr="005F6F59">
        <w:rPr>
          <w:sz w:val="24"/>
          <w:szCs w:val="24"/>
        </w:rPr>
        <w:t xml:space="preserve">, 162197–162213. </w:t>
      </w:r>
      <w:hyperlink r:id="rId78">
        <w:r w:rsidRPr="005F6F59">
          <w:rPr>
            <w:color w:val="1155CC"/>
            <w:sz w:val="24"/>
            <w:szCs w:val="24"/>
            <w:u w:val="single"/>
          </w:rPr>
          <w:t>https://doi.org/10.1109/access.2021.3132233</w:t>
        </w:r>
      </w:hyperlink>
      <w:r w:rsidRPr="005F6F59">
        <w:rPr>
          <w:sz w:val="24"/>
          <w:szCs w:val="24"/>
        </w:rPr>
        <w:t xml:space="preserve"> </w:t>
      </w:r>
    </w:p>
    <w:p w14:paraId="000000B6" w14:textId="77777777" w:rsidR="000D5A02" w:rsidRPr="005F6F59" w:rsidRDefault="00320E20" w:rsidP="00D30110">
      <w:pPr>
        <w:spacing w:after="240"/>
        <w:ind w:left="709" w:hanging="709"/>
        <w:rPr>
          <w:sz w:val="24"/>
          <w:szCs w:val="24"/>
        </w:rPr>
      </w:pPr>
      <w:r w:rsidRPr="005F6F59">
        <w:rPr>
          <w:sz w:val="24"/>
          <w:szCs w:val="24"/>
        </w:rPr>
        <w:t xml:space="preserve">Zainal, A. (2023). Role of Artificial Intelligence and Big Data Technologies in Enhancing Anomaly Detection and Fraud Prevention in Digital Banking Systems. </w:t>
      </w:r>
      <w:r w:rsidRPr="005F6F59">
        <w:rPr>
          <w:i/>
          <w:sz w:val="24"/>
          <w:szCs w:val="24"/>
        </w:rPr>
        <w:t>International Journal of Advanced Cybersecurity Systems, Technologies, and Applications</w:t>
      </w:r>
      <w:r w:rsidRPr="005F6F59">
        <w:rPr>
          <w:sz w:val="24"/>
          <w:szCs w:val="24"/>
        </w:rPr>
        <w:t xml:space="preserve">, </w:t>
      </w:r>
      <w:r w:rsidRPr="005F6F59">
        <w:rPr>
          <w:i/>
          <w:sz w:val="24"/>
          <w:szCs w:val="24"/>
        </w:rPr>
        <w:t>7</w:t>
      </w:r>
      <w:r w:rsidRPr="005F6F59">
        <w:rPr>
          <w:sz w:val="24"/>
          <w:szCs w:val="24"/>
        </w:rPr>
        <w:t xml:space="preserve">(12), 1–10. </w:t>
      </w:r>
      <w:hyperlink r:id="rId79">
        <w:r w:rsidRPr="005F6F59">
          <w:rPr>
            <w:color w:val="1155CC"/>
            <w:sz w:val="24"/>
            <w:szCs w:val="24"/>
            <w:u w:val="single"/>
          </w:rPr>
          <w:t>https://theaffine.com/index.php/IJACSTA/article/view/2023-12-04</w:t>
        </w:r>
      </w:hyperlink>
      <w:r w:rsidRPr="005F6F59">
        <w:rPr>
          <w:sz w:val="24"/>
          <w:szCs w:val="24"/>
        </w:rPr>
        <w:t xml:space="preserve">  </w:t>
      </w:r>
    </w:p>
    <w:p w14:paraId="000000B7" w14:textId="77777777" w:rsidR="000D5A02" w:rsidRPr="005F6F59" w:rsidRDefault="00320E20" w:rsidP="00D30110">
      <w:pPr>
        <w:spacing w:after="240"/>
        <w:ind w:left="709" w:hanging="709"/>
        <w:rPr>
          <w:sz w:val="24"/>
          <w:szCs w:val="24"/>
        </w:rPr>
      </w:pPr>
      <w:r w:rsidRPr="005F6F59">
        <w:rPr>
          <w:sz w:val="24"/>
          <w:szCs w:val="24"/>
        </w:rPr>
        <w:t xml:space="preserve">Zhang, W., Zhang, H., &amp; Deng, Z. (2025). Public attitude and media governance of biometric information dissemination in the era of digital intelligence. </w:t>
      </w:r>
      <w:r w:rsidRPr="005F6F59">
        <w:rPr>
          <w:i/>
          <w:sz w:val="24"/>
          <w:szCs w:val="24"/>
        </w:rPr>
        <w:t>Scientific Reports</w:t>
      </w:r>
      <w:r w:rsidRPr="005F6F59">
        <w:rPr>
          <w:sz w:val="24"/>
          <w:szCs w:val="24"/>
        </w:rPr>
        <w:t xml:space="preserve">, </w:t>
      </w:r>
      <w:r w:rsidRPr="005F6F59">
        <w:rPr>
          <w:i/>
          <w:sz w:val="24"/>
          <w:szCs w:val="24"/>
        </w:rPr>
        <w:t>15</w:t>
      </w:r>
      <w:r w:rsidRPr="005F6F59">
        <w:rPr>
          <w:sz w:val="24"/>
          <w:szCs w:val="24"/>
        </w:rPr>
        <w:t xml:space="preserve">(1). </w:t>
      </w:r>
      <w:hyperlink r:id="rId80">
        <w:r w:rsidRPr="005F6F59">
          <w:rPr>
            <w:color w:val="1155CC"/>
            <w:sz w:val="24"/>
            <w:szCs w:val="24"/>
            <w:u w:val="single"/>
          </w:rPr>
          <w:t>https://doi.org/10.1038/s41598-025-86603-w</w:t>
        </w:r>
      </w:hyperlink>
      <w:r w:rsidRPr="005F6F59">
        <w:rPr>
          <w:sz w:val="24"/>
          <w:szCs w:val="24"/>
        </w:rPr>
        <w:t xml:space="preserve"> </w:t>
      </w:r>
    </w:p>
    <w:p w14:paraId="000000B8" w14:textId="77777777" w:rsidR="000D5A02" w:rsidRPr="005F6F59" w:rsidRDefault="000D5A02" w:rsidP="00D30110">
      <w:pPr>
        <w:spacing w:after="240"/>
        <w:ind w:left="709" w:hanging="709"/>
        <w:rPr>
          <w:sz w:val="24"/>
          <w:szCs w:val="24"/>
        </w:rPr>
      </w:pPr>
    </w:p>
    <w:p w14:paraId="000000B9" w14:textId="77777777" w:rsidR="000D5A02" w:rsidRPr="005F6F59" w:rsidRDefault="000D5A02" w:rsidP="00D30110">
      <w:pPr>
        <w:spacing w:after="240"/>
        <w:ind w:left="709" w:hanging="709"/>
        <w:rPr>
          <w:sz w:val="24"/>
          <w:szCs w:val="24"/>
        </w:rPr>
      </w:pPr>
    </w:p>
    <w:p w14:paraId="000000BA" w14:textId="77777777" w:rsidR="000D5A02" w:rsidRPr="005F6F59" w:rsidRDefault="000D5A02" w:rsidP="00D30110">
      <w:pPr>
        <w:spacing w:after="240"/>
        <w:ind w:left="709" w:hanging="709"/>
        <w:rPr>
          <w:sz w:val="24"/>
          <w:szCs w:val="24"/>
        </w:rPr>
      </w:pPr>
    </w:p>
    <w:p w14:paraId="000000BB" w14:textId="77777777" w:rsidR="000D5A02" w:rsidRPr="005F6F59" w:rsidRDefault="000D5A02" w:rsidP="00D30110">
      <w:pPr>
        <w:spacing w:after="240"/>
        <w:ind w:left="709" w:hanging="709"/>
        <w:rPr>
          <w:sz w:val="24"/>
          <w:szCs w:val="24"/>
        </w:rPr>
      </w:pPr>
    </w:p>
    <w:p w14:paraId="000000BC" w14:textId="77777777" w:rsidR="000D5A02" w:rsidRPr="005F6F59" w:rsidRDefault="000D5A02" w:rsidP="00D30110">
      <w:pPr>
        <w:spacing w:after="240"/>
        <w:ind w:left="709" w:hanging="709"/>
        <w:rPr>
          <w:sz w:val="24"/>
          <w:szCs w:val="24"/>
        </w:rPr>
      </w:pPr>
    </w:p>
    <w:p w14:paraId="000000BD" w14:textId="77777777" w:rsidR="000D5A02" w:rsidRPr="005F6F59" w:rsidRDefault="000D5A02" w:rsidP="00D30110">
      <w:pPr>
        <w:spacing w:after="240"/>
        <w:ind w:left="709" w:hanging="709"/>
        <w:rPr>
          <w:sz w:val="24"/>
          <w:szCs w:val="24"/>
        </w:rPr>
      </w:pPr>
    </w:p>
    <w:p w14:paraId="000000BE" w14:textId="77777777" w:rsidR="000D5A02" w:rsidRPr="005F6F59" w:rsidRDefault="000D5A02" w:rsidP="00D30110">
      <w:pPr>
        <w:spacing w:after="240"/>
        <w:ind w:left="709" w:hanging="709"/>
        <w:rPr>
          <w:sz w:val="24"/>
          <w:szCs w:val="24"/>
        </w:rPr>
      </w:pPr>
    </w:p>
    <w:p w14:paraId="000000BF" w14:textId="77777777" w:rsidR="000D5A02" w:rsidRPr="005F6F59" w:rsidRDefault="000D5A02" w:rsidP="00D30110">
      <w:pPr>
        <w:spacing w:after="240"/>
        <w:ind w:left="709" w:hanging="709"/>
        <w:rPr>
          <w:sz w:val="24"/>
          <w:szCs w:val="24"/>
        </w:rPr>
      </w:pPr>
    </w:p>
    <w:p w14:paraId="000000C0" w14:textId="77777777" w:rsidR="000D5A02" w:rsidRPr="005F6F59" w:rsidRDefault="000D5A02" w:rsidP="00D30110">
      <w:pPr>
        <w:spacing w:after="240"/>
        <w:ind w:left="709" w:hanging="709"/>
        <w:rPr>
          <w:sz w:val="24"/>
          <w:szCs w:val="24"/>
        </w:rPr>
      </w:pPr>
    </w:p>
    <w:p w14:paraId="000000C1" w14:textId="77777777" w:rsidR="000D5A02" w:rsidRPr="005F6F59" w:rsidRDefault="000D5A02" w:rsidP="00D30110">
      <w:pPr>
        <w:spacing w:after="240"/>
        <w:ind w:left="709" w:hanging="709"/>
        <w:rPr>
          <w:sz w:val="24"/>
          <w:szCs w:val="24"/>
        </w:rPr>
      </w:pPr>
    </w:p>
    <w:p w14:paraId="000000C2" w14:textId="77777777" w:rsidR="000D5A02" w:rsidRPr="005F6F59" w:rsidRDefault="000D5A02" w:rsidP="00D30110">
      <w:pPr>
        <w:spacing w:after="240"/>
        <w:ind w:left="709" w:hanging="709"/>
        <w:rPr>
          <w:sz w:val="24"/>
          <w:szCs w:val="24"/>
        </w:rPr>
      </w:pPr>
    </w:p>
    <w:p w14:paraId="000000C3" w14:textId="77777777" w:rsidR="000D5A02" w:rsidRPr="005F6F59" w:rsidRDefault="000D5A02" w:rsidP="00D30110">
      <w:pPr>
        <w:spacing w:after="240"/>
        <w:ind w:left="709" w:hanging="709"/>
        <w:rPr>
          <w:sz w:val="24"/>
          <w:szCs w:val="24"/>
        </w:rPr>
      </w:pPr>
    </w:p>
    <w:p w14:paraId="000000C4" w14:textId="77777777" w:rsidR="000D5A02" w:rsidRPr="005F6F59" w:rsidRDefault="000D5A02" w:rsidP="00D30110">
      <w:pPr>
        <w:spacing w:after="240"/>
        <w:ind w:left="709" w:hanging="709"/>
        <w:rPr>
          <w:sz w:val="24"/>
          <w:szCs w:val="24"/>
        </w:rPr>
      </w:pPr>
    </w:p>
    <w:p w14:paraId="000000C5" w14:textId="77777777" w:rsidR="000D5A02" w:rsidRPr="005F6F59" w:rsidRDefault="000D5A02" w:rsidP="00D30110">
      <w:pPr>
        <w:spacing w:after="240"/>
        <w:ind w:left="709" w:hanging="709"/>
        <w:rPr>
          <w:sz w:val="24"/>
          <w:szCs w:val="24"/>
        </w:rPr>
      </w:pPr>
    </w:p>
    <w:sectPr w:rsidR="000D5A02" w:rsidRPr="005F6F59">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045C7" w14:textId="77777777" w:rsidR="000003A6" w:rsidRDefault="000003A6" w:rsidP="00D30110">
      <w:pPr>
        <w:spacing w:line="240" w:lineRule="auto"/>
      </w:pPr>
      <w:r>
        <w:separator/>
      </w:r>
    </w:p>
  </w:endnote>
  <w:endnote w:type="continuationSeparator" w:id="0">
    <w:p w14:paraId="57BC91E0" w14:textId="77777777" w:rsidR="000003A6" w:rsidRDefault="000003A6" w:rsidP="00D30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norite">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C38" w14:textId="77777777" w:rsidR="000D77E5" w:rsidRDefault="000D7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E1AF" w14:textId="77777777" w:rsidR="000D77E5" w:rsidRDefault="000D7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3C04" w14:textId="77777777" w:rsidR="000D77E5" w:rsidRDefault="000D7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F2CC1" w14:textId="77777777" w:rsidR="000003A6" w:rsidRDefault="000003A6" w:rsidP="00D30110">
      <w:pPr>
        <w:spacing w:line="240" w:lineRule="auto"/>
      </w:pPr>
      <w:r>
        <w:separator/>
      </w:r>
    </w:p>
  </w:footnote>
  <w:footnote w:type="continuationSeparator" w:id="0">
    <w:p w14:paraId="02073F0F" w14:textId="77777777" w:rsidR="000003A6" w:rsidRDefault="000003A6" w:rsidP="00D30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04E0" w14:textId="4F265C5B" w:rsidR="000D77E5" w:rsidRDefault="000D77E5">
    <w:pPr>
      <w:pStyle w:val="Header"/>
    </w:pPr>
    <w:r>
      <w:rPr>
        <w:noProof/>
      </w:rPr>
      <w:pict w14:anchorId="1C3C4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33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86D5" w14:textId="291443C1" w:rsidR="000D77E5" w:rsidRDefault="000D77E5">
    <w:pPr>
      <w:pStyle w:val="Header"/>
    </w:pPr>
    <w:r>
      <w:rPr>
        <w:noProof/>
      </w:rPr>
      <w:pict w14:anchorId="0D419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33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5AFF" w14:textId="6E54547E" w:rsidR="000D77E5" w:rsidRDefault="000D77E5">
    <w:pPr>
      <w:pStyle w:val="Header"/>
    </w:pPr>
    <w:r>
      <w:rPr>
        <w:noProof/>
      </w:rPr>
      <w:pict w14:anchorId="33D43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33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782F"/>
    <w:multiLevelType w:val="multilevel"/>
    <w:tmpl w:val="F9A00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F59C9"/>
    <w:multiLevelType w:val="multilevel"/>
    <w:tmpl w:val="6E760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77D50"/>
    <w:multiLevelType w:val="multilevel"/>
    <w:tmpl w:val="6D2A8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730BE9"/>
    <w:multiLevelType w:val="multilevel"/>
    <w:tmpl w:val="348EA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FB5A29"/>
    <w:multiLevelType w:val="multilevel"/>
    <w:tmpl w:val="5EAC3FB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6CD5B3E"/>
    <w:multiLevelType w:val="multilevel"/>
    <w:tmpl w:val="5288A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EC702A"/>
    <w:multiLevelType w:val="multilevel"/>
    <w:tmpl w:val="9822F6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C7699B"/>
    <w:multiLevelType w:val="multilevel"/>
    <w:tmpl w:val="4FBE8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8138E3"/>
    <w:multiLevelType w:val="multilevel"/>
    <w:tmpl w:val="3368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E4160E"/>
    <w:multiLevelType w:val="multilevel"/>
    <w:tmpl w:val="A1F6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2E6BA0"/>
    <w:multiLevelType w:val="multilevel"/>
    <w:tmpl w:val="6FE2A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DC09DB"/>
    <w:multiLevelType w:val="multilevel"/>
    <w:tmpl w:val="80F0F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5808EF"/>
    <w:multiLevelType w:val="multilevel"/>
    <w:tmpl w:val="DAB26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014655"/>
    <w:multiLevelType w:val="multilevel"/>
    <w:tmpl w:val="F43E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3B7103"/>
    <w:multiLevelType w:val="multilevel"/>
    <w:tmpl w:val="9108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D70D72"/>
    <w:multiLevelType w:val="multilevel"/>
    <w:tmpl w:val="E28CB1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EA400D8"/>
    <w:multiLevelType w:val="multilevel"/>
    <w:tmpl w:val="339A2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991A58"/>
    <w:multiLevelType w:val="multilevel"/>
    <w:tmpl w:val="A67C8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1490BA0"/>
    <w:multiLevelType w:val="multilevel"/>
    <w:tmpl w:val="385C9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D563C5"/>
    <w:multiLevelType w:val="multilevel"/>
    <w:tmpl w:val="9168B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7E1A4D"/>
    <w:multiLevelType w:val="multilevel"/>
    <w:tmpl w:val="87E62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44805"/>
    <w:multiLevelType w:val="multilevel"/>
    <w:tmpl w:val="79D08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F94256"/>
    <w:multiLevelType w:val="multilevel"/>
    <w:tmpl w:val="26281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5058AA"/>
    <w:multiLevelType w:val="multilevel"/>
    <w:tmpl w:val="68C60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849F1"/>
    <w:multiLevelType w:val="multilevel"/>
    <w:tmpl w:val="F0220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8C1E41"/>
    <w:multiLevelType w:val="multilevel"/>
    <w:tmpl w:val="A56E1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A7339D"/>
    <w:multiLevelType w:val="multilevel"/>
    <w:tmpl w:val="B43278B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13A455E"/>
    <w:multiLevelType w:val="multilevel"/>
    <w:tmpl w:val="E4AC3D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F25656"/>
    <w:multiLevelType w:val="multilevel"/>
    <w:tmpl w:val="D3CE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421CD6"/>
    <w:multiLevelType w:val="multilevel"/>
    <w:tmpl w:val="0A084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C78157B"/>
    <w:multiLevelType w:val="multilevel"/>
    <w:tmpl w:val="669C0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E3D7898"/>
    <w:multiLevelType w:val="multilevel"/>
    <w:tmpl w:val="6C1CD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D70897"/>
    <w:multiLevelType w:val="multilevel"/>
    <w:tmpl w:val="8DA4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1A51C8"/>
    <w:multiLevelType w:val="multilevel"/>
    <w:tmpl w:val="66C85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143D78"/>
    <w:multiLevelType w:val="multilevel"/>
    <w:tmpl w:val="CE1A5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682182"/>
    <w:multiLevelType w:val="multilevel"/>
    <w:tmpl w:val="4F6EB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7D51AF"/>
    <w:multiLevelType w:val="multilevel"/>
    <w:tmpl w:val="C3E84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5964F1A"/>
    <w:multiLevelType w:val="multilevel"/>
    <w:tmpl w:val="A3B61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F36B31"/>
    <w:multiLevelType w:val="multilevel"/>
    <w:tmpl w:val="1BF00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2360578">
    <w:abstractNumId w:val="0"/>
  </w:num>
  <w:num w:numId="2" w16cid:durableId="405418054">
    <w:abstractNumId w:val="13"/>
  </w:num>
  <w:num w:numId="3" w16cid:durableId="197666949">
    <w:abstractNumId w:val="35"/>
  </w:num>
  <w:num w:numId="4" w16cid:durableId="584384834">
    <w:abstractNumId w:val="3"/>
  </w:num>
  <w:num w:numId="5" w16cid:durableId="2084256548">
    <w:abstractNumId w:val="26"/>
  </w:num>
  <w:num w:numId="6" w16cid:durableId="13505899">
    <w:abstractNumId w:val="22"/>
  </w:num>
  <w:num w:numId="7" w16cid:durableId="145827735">
    <w:abstractNumId w:val="14"/>
  </w:num>
  <w:num w:numId="8" w16cid:durableId="866875179">
    <w:abstractNumId w:val="4"/>
  </w:num>
  <w:num w:numId="9" w16cid:durableId="1443765463">
    <w:abstractNumId w:val="2"/>
  </w:num>
  <w:num w:numId="10" w16cid:durableId="632291756">
    <w:abstractNumId w:val="33"/>
  </w:num>
  <w:num w:numId="11" w16cid:durableId="1598364409">
    <w:abstractNumId w:val="8"/>
  </w:num>
  <w:num w:numId="12" w16cid:durableId="1137912417">
    <w:abstractNumId w:val="15"/>
  </w:num>
  <w:num w:numId="13" w16cid:durableId="1299873610">
    <w:abstractNumId w:val="7"/>
  </w:num>
  <w:num w:numId="14" w16cid:durableId="113520596">
    <w:abstractNumId w:val="1"/>
  </w:num>
  <w:num w:numId="15" w16cid:durableId="1799300244">
    <w:abstractNumId w:val="36"/>
  </w:num>
  <w:num w:numId="16" w16cid:durableId="1206260378">
    <w:abstractNumId w:val="20"/>
  </w:num>
  <w:num w:numId="17" w16cid:durableId="1316690016">
    <w:abstractNumId w:val="38"/>
  </w:num>
  <w:num w:numId="18" w16cid:durableId="133452107">
    <w:abstractNumId w:val="25"/>
  </w:num>
  <w:num w:numId="19" w16cid:durableId="433403398">
    <w:abstractNumId w:val="17"/>
  </w:num>
  <w:num w:numId="20" w16cid:durableId="221648054">
    <w:abstractNumId w:val="24"/>
  </w:num>
  <w:num w:numId="21" w16cid:durableId="413556510">
    <w:abstractNumId w:val="34"/>
  </w:num>
  <w:num w:numId="22" w16cid:durableId="1016809328">
    <w:abstractNumId w:val="21"/>
  </w:num>
  <w:num w:numId="23" w16cid:durableId="1806383942">
    <w:abstractNumId w:val="29"/>
  </w:num>
  <w:num w:numId="24" w16cid:durableId="1182552170">
    <w:abstractNumId w:val="10"/>
  </w:num>
  <w:num w:numId="25" w16cid:durableId="1679846405">
    <w:abstractNumId w:val="31"/>
  </w:num>
  <w:num w:numId="26" w16cid:durableId="1712538757">
    <w:abstractNumId w:val="32"/>
  </w:num>
  <w:num w:numId="27" w16cid:durableId="504128829">
    <w:abstractNumId w:val="30"/>
  </w:num>
  <w:num w:numId="28" w16cid:durableId="5600222">
    <w:abstractNumId w:val="18"/>
  </w:num>
  <w:num w:numId="29" w16cid:durableId="423111898">
    <w:abstractNumId w:val="16"/>
  </w:num>
  <w:num w:numId="30" w16cid:durableId="117340133">
    <w:abstractNumId w:val="9"/>
  </w:num>
  <w:num w:numId="31" w16cid:durableId="93980838">
    <w:abstractNumId w:val="5"/>
  </w:num>
  <w:num w:numId="32" w16cid:durableId="1287159020">
    <w:abstractNumId w:val="23"/>
  </w:num>
  <w:num w:numId="33" w16cid:durableId="1117601553">
    <w:abstractNumId w:val="11"/>
  </w:num>
  <w:num w:numId="34" w16cid:durableId="1494102875">
    <w:abstractNumId w:val="12"/>
  </w:num>
  <w:num w:numId="35" w16cid:durableId="1365206498">
    <w:abstractNumId w:val="28"/>
  </w:num>
  <w:num w:numId="36" w16cid:durableId="1093210570">
    <w:abstractNumId w:val="37"/>
  </w:num>
  <w:num w:numId="37" w16cid:durableId="1428772063">
    <w:abstractNumId w:val="6"/>
  </w:num>
  <w:num w:numId="38" w16cid:durableId="28461557">
    <w:abstractNumId w:val="27"/>
  </w:num>
  <w:num w:numId="39" w16cid:durableId="11458525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A02"/>
    <w:rsid w:val="000003A6"/>
    <w:rsid w:val="00021AD7"/>
    <w:rsid w:val="000D5A02"/>
    <w:rsid w:val="000D77E5"/>
    <w:rsid w:val="00144339"/>
    <w:rsid w:val="001631F1"/>
    <w:rsid w:val="001C4E67"/>
    <w:rsid w:val="002407CA"/>
    <w:rsid w:val="002643CC"/>
    <w:rsid w:val="00276380"/>
    <w:rsid w:val="00320E20"/>
    <w:rsid w:val="00336FD9"/>
    <w:rsid w:val="00350A72"/>
    <w:rsid w:val="003A3F59"/>
    <w:rsid w:val="0040531B"/>
    <w:rsid w:val="004E3A93"/>
    <w:rsid w:val="005335AE"/>
    <w:rsid w:val="00557AE6"/>
    <w:rsid w:val="005F5685"/>
    <w:rsid w:val="005F6F59"/>
    <w:rsid w:val="00614047"/>
    <w:rsid w:val="0064467C"/>
    <w:rsid w:val="00654E0B"/>
    <w:rsid w:val="00673902"/>
    <w:rsid w:val="006A724D"/>
    <w:rsid w:val="006C09D5"/>
    <w:rsid w:val="006E42E3"/>
    <w:rsid w:val="006E7F06"/>
    <w:rsid w:val="00784760"/>
    <w:rsid w:val="007A15E2"/>
    <w:rsid w:val="007A1DE1"/>
    <w:rsid w:val="007D13E3"/>
    <w:rsid w:val="00975D9F"/>
    <w:rsid w:val="009D1C2D"/>
    <w:rsid w:val="00A11C50"/>
    <w:rsid w:val="00A43F59"/>
    <w:rsid w:val="00A5339A"/>
    <w:rsid w:val="00AD0540"/>
    <w:rsid w:val="00BB2BFE"/>
    <w:rsid w:val="00BD5125"/>
    <w:rsid w:val="00BE0978"/>
    <w:rsid w:val="00BE3074"/>
    <w:rsid w:val="00BE4625"/>
    <w:rsid w:val="00C21DDE"/>
    <w:rsid w:val="00C26B27"/>
    <w:rsid w:val="00C5612C"/>
    <w:rsid w:val="00D26522"/>
    <w:rsid w:val="00D265D0"/>
    <w:rsid w:val="00D30110"/>
    <w:rsid w:val="00D659AC"/>
    <w:rsid w:val="00DC464B"/>
    <w:rsid w:val="00ED601B"/>
    <w:rsid w:val="00EE769D"/>
    <w:rsid w:val="00FC3A88"/>
    <w:rsid w:val="00FE675E"/>
    <w:rsid w:val="00FF2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6D690"/>
  <w15:docId w15:val="{76DEAF06-68D8-4D2B-A3CE-52177BDF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FF297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FF29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3074"/>
    <w:rPr>
      <w:b/>
      <w:bCs/>
    </w:rPr>
  </w:style>
  <w:style w:type="character" w:customStyle="1" w:styleId="katex-mathml">
    <w:name w:val="katex-mathml"/>
    <w:basedOn w:val="DefaultParagraphFont"/>
    <w:rsid w:val="00DC464B"/>
  </w:style>
  <w:style w:type="character" w:customStyle="1" w:styleId="mop">
    <w:name w:val="mop"/>
    <w:basedOn w:val="DefaultParagraphFont"/>
    <w:rsid w:val="00DC464B"/>
  </w:style>
  <w:style w:type="character" w:customStyle="1" w:styleId="minner">
    <w:name w:val="minner"/>
    <w:basedOn w:val="DefaultParagraphFont"/>
    <w:rsid w:val="00DC464B"/>
  </w:style>
  <w:style w:type="character" w:customStyle="1" w:styleId="mopen">
    <w:name w:val="mopen"/>
    <w:basedOn w:val="DefaultParagraphFont"/>
    <w:rsid w:val="00DC464B"/>
  </w:style>
  <w:style w:type="character" w:customStyle="1" w:styleId="delimsizing">
    <w:name w:val="delimsizing"/>
    <w:basedOn w:val="DefaultParagraphFont"/>
    <w:rsid w:val="00DC464B"/>
  </w:style>
  <w:style w:type="character" w:customStyle="1" w:styleId="mord">
    <w:name w:val="mord"/>
    <w:basedOn w:val="DefaultParagraphFont"/>
    <w:rsid w:val="00DC464B"/>
  </w:style>
  <w:style w:type="character" w:customStyle="1" w:styleId="mbin">
    <w:name w:val="mbin"/>
    <w:basedOn w:val="DefaultParagraphFont"/>
    <w:rsid w:val="00DC464B"/>
  </w:style>
  <w:style w:type="character" w:customStyle="1" w:styleId="mrel">
    <w:name w:val="mrel"/>
    <w:basedOn w:val="DefaultParagraphFont"/>
    <w:rsid w:val="00DC464B"/>
  </w:style>
  <w:style w:type="character" w:customStyle="1" w:styleId="mclose">
    <w:name w:val="mclose"/>
    <w:basedOn w:val="DefaultParagraphFont"/>
    <w:rsid w:val="00DC464B"/>
  </w:style>
  <w:style w:type="character" w:customStyle="1" w:styleId="vlist-s">
    <w:name w:val="vlist-s"/>
    <w:basedOn w:val="DefaultParagraphFont"/>
    <w:rsid w:val="00DC464B"/>
  </w:style>
  <w:style w:type="character" w:styleId="PlaceholderText">
    <w:name w:val="Placeholder Text"/>
    <w:basedOn w:val="DefaultParagraphFont"/>
    <w:uiPriority w:val="99"/>
    <w:semiHidden/>
    <w:rsid w:val="00DC464B"/>
    <w:rPr>
      <w:color w:val="808080"/>
    </w:rPr>
  </w:style>
  <w:style w:type="paragraph" w:styleId="ListParagraph">
    <w:name w:val="List Paragraph"/>
    <w:basedOn w:val="Normal"/>
    <w:uiPriority w:val="34"/>
    <w:qFormat/>
    <w:rsid w:val="005F6F59"/>
    <w:pPr>
      <w:ind w:left="720"/>
      <w:contextualSpacing/>
    </w:pPr>
  </w:style>
  <w:style w:type="paragraph" w:styleId="Header">
    <w:name w:val="header"/>
    <w:basedOn w:val="Normal"/>
    <w:link w:val="HeaderChar"/>
    <w:uiPriority w:val="99"/>
    <w:unhideWhenUsed/>
    <w:rsid w:val="00D30110"/>
    <w:pPr>
      <w:tabs>
        <w:tab w:val="center" w:pos="4680"/>
        <w:tab w:val="right" w:pos="9360"/>
      </w:tabs>
      <w:spacing w:line="240" w:lineRule="auto"/>
    </w:pPr>
  </w:style>
  <w:style w:type="character" w:customStyle="1" w:styleId="HeaderChar">
    <w:name w:val="Header Char"/>
    <w:basedOn w:val="DefaultParagraphFont"/>
    <w:link w:val="Header"/>
    <w:uiPriority w:val="99"/>
    <w:rsid w:val="00D30110"/>
  </w:style>
  <w:style w:type="paragraph" w:styleId="Footer">
    <w:name w:val="footer"/>
    <w:basedOn w:val="Normal"/>
    <w:link w:val="FooterChar"/>
    <w:uiPriority w:val="99"/>
    <w:unhideWhenUsed/>
    <w:rsid w:val="00D30110"/>
    <w:pPr>
      <w:tabs>
        <w:tab w:val="center" w:pos="4680"/>
        <w:tab w:val="right" w:pos="9360"/>
      </w:tabs>
      <w:spacing w:line="240" w:lineRule="auto"/>
    </w:pPr>
  </w:style>
  <w:style w:type="character" w:customStyle="1" w:styleId="FooterChar">
    <w:name w:val="Footer Char"/>
    <w:basedOn w:val="DefaultParagraphFont"/>
    <w:link w:val="Footer"/>
    <w:uiPriority w:val="99"/>
    <w:rsid w:val="00D30110"/>
  </w:style>
  <w:style w:type="paragraph" w:styleId="NoSpacing">
    <w:name w:val="No Spacing"/>
    <w:uiPriority w:val="1"/>
    <w:qFormat/>
    <w:rsid w:val="00021AD7"/>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A3F59"/>
    <w:rPr>
      <w:color w:val="0000FF" w:themeColor="hyperlink"/>
      <w:u w:val="single"/>
    </w:rPr>
  </w:style>
  <w:style w:type="character" w:styleId="UnresolvedMention">
    <w:name w:val="Unresolved Mention"/>
    <w:basedOn w:val="DefaultParagraphFont"/>
    <w:uiPriority w:val="99"/>
    <w:semiHidden/>
    <w:unhideWhenUsed/>
    <w:rsid w:val="003A3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198176">
      <w:bodyDiv w:val="1"/>
      <w:marLeft w:val="0"/>
      <w:marRight w:val="0"/>
      <w:marTop w:val="0"/>
      <w:marBottom w:val="0"/>
      <w:divBdr>
        <w:top w:val="none" w:sz="0" w:space="0" w:color="auto"/>
        <w:left w:val="none" w:sz="0" w:space="0" w:color="auto"/>
        <w:bottom w:val="none" w:sz="0" w:space="0" w:color="auto"/>
        <w:right w:val="none" w:sz="0" w:space="0" w:color="auto"/>
      </w:divBdr>
    </w:div>
    <w:div w:id="824004956">
      <w:bodyDiv w:val="1"/>
      <w:marLeft w:val="0"/>
      <w:marRight w:val="0"/>
      <w:marTop w:val="0"/>
      <w:marBottom w:val="0"/>
      <w:divBdr>
        <w:top w:val="none" w:sz="0" w:space="0" w:color="auto"/>
        <w:left w:val="none" w:sz="0" w:space="0" w:color="auto"/>
        <w:bottom w:val="none" w:sz="0" w:space="0" w:color="auto"/>
        <w:right w:val="none" w:sz="0" w:space="0" w:color="auto"/>
      </w:divBdr>
    </w:div>
    <w:div w:id="885025005">
      <w:bodyDiv w:val="1"/>
      <w:marLeft w:val="0"/>
      <w:marRight w:val="0"/>
      <w:marTop w:val="0"/>
      <w:marBottom w:val="0"/>
      <w:divBdr>
        <w:top w:val="none" w:sz="0" w:space="0" w:color="auto"/>
        <w:left w:val="none" w:sz="0" w:space="0" w:color="auto"/>
        <w:bottom w:val="none" w:sz="0" w:space="0" w:color="auto"/>
        <w:right w:val="none" w:sz="0" w:space="0" w:color="auto"/>
      </w:divBdr>
    </w:div>
    <w:div w:id="1376081541">
      <w:bodyDiv w:val="1"/>
      <w:marLeft w:val="0"/>
      <w:marRight w:val="0"/>
      <w:marTop w:val="0"/>
      <w:marBottom w:val="0"/>
      <w:divBdr>
        <w:top w:val="none" w:sz="0" w:space="0" w:color="auto"/>
        <w:left w:val="none" w:sz="0" w:space="0" w:color="auto"/>
        <w:bottom w:val="none" w:sz="0" w:space="0" w:color="auto"/>
        <w:right w:val="none" w:sz="0" w:space="0" w:color="auto"/>
      </w:divBdr>
    </w:div>
    <w:div w:id="1452672971">
      <w:bodyDiv w:val="1"/>
      <w:marLeft w:val="0"/>
      <w:marRight w:val="0"/>
      <w:marTop w:val="0"/>
      <w:marBottom w:val="0"/>
      <w:divBdr>
        <w:top w:val="none" w:sz="0" w:space="0" w:color="auto"/>
        <w:left w:val="none" w:sz="0" w:space="0" w:color="auto"/>
        <w:bottom w:val="none" w:sz="0" w:space="0" w:color="auto"/>
        <w:right w:val="none" w:sz="0" w:space="0" w:color="auto"/>
      </w:divBdr>
    </w:div>
    <w:div w:id="1560433045">
      <w:bodyDiv w:val="1"/>
      <w:marLeft w:val="0"/>
      <w:marRight w:val="0"/>
      <w:marTop w:val="0"/>
      <w:marBottom w:val="0"/>
      <w:divBdr>
        <w:top w:val="none" w:sz="0" w:space="0" w:color="auto"/>
        <w:left w:val="none" w:sz="0" w:space="0" w:color="auto"/>
        <w:bottom w:val="none" w:sz="0" w:space="0" w:color="auto"/>
        <w:right w:val="none" w:sz="0" w:space="0" w:color="auto"/>
      </w:divBdr>
    </w:div>
    <w:div w:id="1646396058">
      <w:bodyDiv w:val="1"/>
      <w:marLeft w:val="0"/>
      <w:marRight w:val="0"/>
      <w:marTop w:val="0"/>
      <w:marBottom w:val="0"/>
      <w:divBdr>
        <w:top w:val="none" w:sz="0" w:space="0" w:color="auto"/>
        <w:left w:val="none" w:sz="0" w:space="0" w:color="auto"/>
        <w:bottom w:val="none" w:sz="0" w:space="0" w:color="auto"/>
        <w:right w:val="none" w:sz="0" w:space="0" w:color="auto"/>
      </w:divBdr>
    </w:div>
    <w:div w:id="1972318365">
      <w:bodyDiv w:val="1"/>
      <w:marLeft w:val="0"/>
      <w:marRight w:val="0"/>
      <w:marTop w:val="0"/>
      <w:marBottom w:val="0"/>
      <w:divBdr>
        <w:top w:val="none" w:sz="0" w:space="0" w:color="auto"/>
        <w:left w:val="none" w:sz="0" w:space="0" w:color="auto"/>
        <w:bottom w:val="none" w:sz="0" w:space="0" w:color="auto"/>
        <w:right w:val="none" w:sz="0" w:space="0" w:color="auto"/>
      </w:divBdr>
    </w:div>
    <w:div w:id="2045597096">
      <w:bodyDiv w:val="1"/>
      <w:marLeft w:val="0"/>
      <w:marRight w:val="0"/>
      <w:marTop w:val="0"/>
      <w:marBottom w:val="0"/>
      <w:divBdr>
        <w:top w:val="none" w:sz="0" w:space="0" w:color="auto"/>
        <w:left w:val="none" w:sz="0" w:space="0" w:color="auto"/>
        <w:bottom w:val="none" w:sz="0" w:space="0" w:color="auto"/>
        <w:right w:val="none" w:sz="0" w:space="0" w:color="auto"/>
      </w:divBdr>
    </w:div>
    <w:div w:id="2065985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prnewswire.com/news-releases/ai-in-banking-market-to-reach-64-03-bn-globally-by-2030-at-32-6-cagr-allied-market-research-301412764.html" TargetMode="External"/><Relationship Id="rId26" Type="http://schemas.openxmlformats.org/officeDocument/2006/relationships/hyperlink" Target="https://doi.org/10.1088/1742-6596/1964/6/062109" TargetMode="External"/><Relationship Id="rId39" Type="http://schemas.openxmlformats.org/officeDocument/2006/relationships/hyperlink" Target="https://doi.org/10.9734/ajrcos/2025/v18i1554" TargetMode="External"/><Relationship Id="rId21" Type="http://schemas.openxmlformats.org/officeDocument/2006/relationships/hyperlink" Target="https://doi.org/10.9734/ajrcos/2025/v18i1555" TargetMode="External"/><Relationship Id="rId34" Type="http://schemas.openxmlformats.org/officeDocument/2006/relationships/hyperlink" Target="https://www.infosysbpm.com/blogs/financial-services/why-high-quality-data-is-crucial-to-fighting-financial-crime.html" TargetMode="External"/><Relationship Id="rId42" Type="http://schemas.openxmlformats.org/officeDocument/2006/relationships/hyperlink" Target="https://risk.lexisnexis.com/global/en/about-us/press-room/press-release/20230419-behavioral-biometrics" TargetMode="External"/><Relationship Id="rId47" Type="http://schemas.openxmlformats.org/officeDocument/2006/relationships/hyperlink" Target="https://doi.org/10.53555/ephijse.v9i1.236" TargetMode="External"/><Relationship Id="rId50" Type="http://schemas.openxmlformats.org/officeDocument/2006/relationships/hyperlink" Target="https://doi.org/10.9734/jerr/2025/v27i21390" TargetMode="External"/><Relationship Id="rId55" Type="http://schemas.openxmlformats.org/officeDocument/2006/relationships/hyperlink" Target="https://doi.org/10.9734/jerr/2025/v27i21413" TargetMode="External"/><Relationship Id="rId63" Type="http://schemas.openxmlformats.org/officeDocument/2006/relationships/hyperlink" Target="https://doi.org/10.9734/ajrcos/2025/v18i4608" TargetMode="External"/><Relationship Id="rId68" Type="http://schemas.openxmlformats.org/officeDocument/2006/relationships/hyperlink" Target="https://doi.org/10.1007/978-3-031-53290-0_3" TargetMode="External"/><Relationship Id="rId76" Type="http://schemas.openxmlformats.org/officeDocument/2006/relationships/hyperlink" Target="https://doi.org/10.1109/cw52790.2021.00049" TargetMode="External"/><Relationship Id="rId8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doi.org/10.3390/info15050273" TargetMode="External"/><Relationship Id="rId2" Type="http://schemas.openxmlformats.org/officeDocument/2006/relationships/styles" Target="styles.xml"/><Relationship Id="rId16" Type="http://schemas.openxmlformats.org/officeDocument/2006/relationships/hyperlink" Target="https://doi.org/10.9734/acri/2025/v25i21090" TargetMode="External"/><Relationship Id="rId29" Type="http://schemas.openxmlformats.org/officeDocument/2006/relationships/hyperlink" Target="https://www.biocatch.com/press-release/biocatch-releases-analysis-banking-fraud-trends-europe" TargetMode="External"/><Relationship Id="rId11" Type="http://schemas.openxmlformats.org/officeDocument/2006/relationships/image" Target="media/image5.png"/><Relationship Id="rId24" Type="http://schemas.openxmlformats.org/officeDocument/2006/relationships/hyperlink" Target="https://doi.org/10.51594/ijarss.v7i3.1823" TargetMode="External"/><Relationship Id="rId32" Type="http://schemas.openxmlformats.org/officeDocument/2006/relationships/hyperlink" Target="https://www.researchgate.net/publication/388724072_Legal_and_Ethical_Implications_of_Biometric_Data_Usage_in_Modern_Governance" TargetMode="External"/><Relationship Id="rId37" Type="http://schemas.openxmlformats.org/officeDocument/2006/relationships/hyperlink" Target="https://doi.org/10.37256/aie.6120256290" TargetMode="External"/><Relationship Id="rId40" Type="http://schemas.openxmlformats.org/officeDocument/2006/relationships/hyperlink" Target="https://doi.org/10.1108/JEET-09-2022-0014" TargetMode="External"/><Relationship Id="rId45" Type="http://schemas.openxmlformats.org/officeDocument/2006/relationships/hyperlink" Target="https://www.mckinsey.com/capabilities/quantumblack/our-insights/the-state-of-ai-in-2023-generative-ais-breakout-year" TargetMode="External"/><Relationship Id="rId53" Type="http://schemas.openxmlformats.org/officeDocument/2006/relationships/hyperlink" Target="https://doi.org/10.9734/ajrcos/2025/v18i3583" TargetMode="External"/><Relationship Id="rId58" Type="http://schemas.openxmlformats.org/officeDocument/2006/relationships/hyperlink" Target="http://mdrdji.org/index.php/mdj/article/view/87" TargetMode="External"/><Relationship Id="rId66" Type="http://schemas.openxmlformats.org/officeDocument/2006/relationships/hyperlink" Target="https://doi.org/10.1007/978-3-031-67268-2_13" TargetMode="External"/><Relationship Id="rId74" Type="http://schemas.openxmlformats.org/officeDocument/2006/relationships/hyperlink" Target="https://www.experian.co.uk/blogs/latest-thinking/guide/behavioural-biometrics-device-intelligence/" TargetMode="External"/><Relationship Id="rId79" Type="http://schemas.openxmlformats.org/officeDocument/2006/relationships/hyperlink" Target="https://theaffine.com/index.php/IJACSTA/article/view/2023-12-04"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109/access.2025.3546618" TargetMode="External"/><Relationship Id="rId82" Type="http://schemas.openxmlformats.org/officeDocument/2006/relationships/header" Target="header2.xml"/><Relationship Id="rId19" Type="http://schemas.openxmlformats.org/officeDocument/2006/relationships/hyperlink" Target="https://doi.org/10.1109/access.2024.341178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51594/csitrj.v6i2.1824" TargetMode="External"/><Relationship Id="rId27" Type="http://schemas.openxmlformats.org/officeDocument/2006/relationships/hyperlink" Target="https://www.biocatch.com/hubfs/CS-BCU-Reduces-Zelle-Fraud-95-Percent.pdf" TargetMode="External"/><Relationship Id="rId30" Type="http://schemas.openxmlformats.org/officeDocument/2006/relationships/hyperlink" Target="https://seon.io/resources/behavioral-biometrics-fraud-prevention-and-authentication/" TargetMode="External"/><Relationship Id="rId35" Type="http://schemas.openxmlformats.org/officeDocument/2006/relationships/hyperlink" Target="https://doi.org/10.2139/ssrn.4957244" TargetMode="External"/><Relationship Id="rId43" Type="http://schemas.openxmlformats.org/officeDocument/2006/relationships/hyperlink" Target="https://www.biometricupdate.com/202502/mastercard-integrates-feedzai-behavioral-biometrics-for-fraud-protection" TargetMode="External"/><Relationship Id="rId48" Type="http://schemas.openxmlformats.org/officeDocument/2006/relationships/hyperlink" Target="https://doi.org/10.9734/ajrcos/2025/v18i2564" TargetMode="External"/><Relationship Id="rId56" Type="http://schemas.openxmlformats.org/officeDocument/2006/relationships/hyperlink" Target="https://doi.org/10.9734/acri/2025/v25i31098" TargetMode="External"/><Relationship Id="rId64" Type="http://schemas.openxmlformats.org/officeDocument/2006/relationships/hyperlink" Target="https://www.feedzai.com/blog/behavioral-biometrics-next-generation-fraud-prevention/" TargetMode="External"/><Relationship Id="rId69" Type="http://schemas.openxmlformats.org/officeDocument/2006/relationships/hyperlink" Target="https://doi.org/10.1007/978-3-031-56586-1_94" TargetMode="External"/><Relationship Id="rId77" Type="http://schemas.openxmlformats.org/officeDocument/2006/relationships/hyperlink" Target="https://doi.org/10.1109/ic-etite58242.2024.10493601" TargetMode="External"/><Relationship Id="rId8" Type="http://schemas.openxmlformats.org/officeDocument/2006/relationships/image" Target="media/image2.png"/><Relationship Id="rId51" Type="http://schemas.openxmlformats.org/officeDocument/2006/relationships/hyperlink" Target="https://doi.org/10.9734/ajrcos/2025/v18i1557" TargetMode="External"/><Relationship Id="rId72" Type="http://schemas.openxmlformats.org/officeDocument/2006/relationships/hyperlink" Target="https://doi.org/10.9734/ajrcos/2025/v18i4615" TargetMode="External"/><Relationship Id="rId80" Type="http://schemas.openxmlformats.org/officeDocument/2006/relationships/hyperlink" Target="https://doi.org/10.1038/s41598-025-86603-w"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9734/ajeba/2024/v24i111542" TargetMode="External"/><Relationship Id="rId25" Type="http://schemas.openxmlformats.org/officeDocument/2006/relationships/hyperlink" Target="https://doi.org/10.9734/jerr/2025/v27i21399" TargetMode="External"/><Relationship Id="rId33" Type="http://schemas.openxmlformats.org/officeDocument/2006/relationships/hyperlink" Target="https://doi.org/10.3390/bdcc7030134" TargetMode="External"/><Relationship Id="rId38" Type="http://schemas.openxmlformats.org/officeDocument/2006/relationships/hyperlink" Target="https://doi.org/10.1145/3640311" TargetMode="External"/><Relationship Id="rId46" Type="http://schemas.openxmlformats.org/officeDocument/2006/relationships/hyperlink" Target="https://doi.org/10.9734/jerr/2025/v27i31442" TargetMode="External"/><Relationship Id="rId59" Type="http://schemas.openxmlformats.org/officeDocument/2006/relationships/hyperlink" Target="https://doi.org/10.1109/otcon60325.2024.10687438" TargetMode="External"/><Relationship Id="rId67" Type="http://schemas.openxmlformats.org/officeDocument/2006/relationships/hyperlink" Target="https://doi.org/10.1007/978-3-031-67268-2_1" TargetMode="External"/><Relationship Id="rId20" Type="http://schemas.openxmlformats.org/officeDocument/2006/relationships/hyperlink" Target="https://core.ac.uk/download/pdf/578755756.pdf" TargetMode="External"/><Relationship Id="rId41" Type="http://schemas.openxmlformats.org/officeDocument/2006/relationships/hyperlink" Target="https://doi.org/10.3390/electronics10212583" TargetMode="External"/><Relationship Id="rId54" Type="http://schemas.openxmlformats.org/officeDocument/2006/relationships/hyperlink" Target="https://doi.org/10.9734/ajrcos/2025/v18i3586" TargetMode="External"/><Relationship Id="rId62" Type="http://schemas.openxmlformats.org/officeDocument/2006/relationships/hyperlink" Target="https://doi.org/10.9734/jerr/2025/v27i31439" TargetMode="External"/><Relationship Id="rId70" Type="http://schemas.openxmlformats.org/officeDocument/2006/relationships/hyperlink" Target="https://legal.thomsonreuters.com/en/insights/articles/trends-in-synthetic-identity-fraud" TargetMode="External"/><Relationship Id="rId75" Type="http://schemas.openxmlformats.org/officeDocument/2006/relationships/hyperlink" Target="https://hal.science/tel-04397160"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9734/jerr/2025/v27i31414" TargetMode="External"/><Relationship Id="rId28" Type="http://schemas.openxmlformats.org/officeDocument/2006/relationships/hyperlink" Target="https://www.biocatch.com/ai-fraud-financial-crime-survey" TargetMode="External"/><Relationship Id="rId36" Type="http://schemas.openxmlformats.org/officeDocument/2006/relationships/hyperlink" Target="https://www.esgcompliancehub.com/policies-action-implementing-robust-governance/" TargetMode="External"/><Relationship Id="rId49" Type="http://schemas.openxmlformats.org/officeDocument/2006/relationships/hyperlink" Target="https://doi.org/10.9734/jerr/2025/v27i21400" TargetMode="External"/><Relationship Id="rId57" Type="http://schemas.openxmlformats.org/officeDocument/2006/relationships/hyperlink" Target="https://doi.org/10.9734/jerr/2025/v27i31444" TargetMode="External"/><Relationship Id="rId10" Type="http://schemas.openxmlformats.org/officeDocument/2006/relationships/image" Target="media/image4.png"/><Relationship Id="rId31" Type="http://schemas.openxmlformats.org/officeDocument/2006/relationships/hyperlink" Target="https://doi.org/10.1186/s13643-024-02451-1" TargetMode="External"/><Relationship Id="rId44" Type="http://schemas.openxmlformats.org/officeDocument/2006/relationships/hyperlink" Target="https://doi.org/10.1007/978-981-16-3583-0_3" TargetMode="External"/><Relationship Id="rId52" Type="http://schemas.openxmlformats.org/officeDocument/2006/relationships/hyperlink" Target="https://doi.org/10.9734/jerr/2025/v27i31416" TargetMode="External"/><Relationship Id="rId60" Type="http://schemas.openxmlformats.org/officeDocument/2006/relationships/hyperlink" Target="https://doi.org/10.3390/jcp4030024" TargetMode="External"/><Relationship Id="rId65" Type="http://schemas.openxmlformats.org/officeDocument/2006/relationships/hyperlink" Target="https://doi.org/10.1007/978-3-031-67268-2_7" TargetMode="External"/><Relationship Id="rId73" Type="http://schemas.openxmlformats.org/officeDocument/2006/relationships/hyperlink" Target="https://doi.org/10.9734/ajrcos/2025/v18i4610" TargetMode="External"/><Relationship Id="rId78" Type="http://schemas.openxmlformats.org/officeDocument/2006/relationships/hyperlink" Target="https://doi.org/10.1109/access.2021.3132233" TargetMode="External"/><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9574</Words>
  <Characters>54577</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13</cp:revision>
  <dcterms:created xsi:type="dcterms:W3CDTF">2025-04-21T19:07:00Z</dcterms:created>
  <dcterms:modified xsi:type="dcterms:W3CDTF">2025-05-01T10:49:00Z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ae82dfe5-82c2-474e-b84d-a1edb90a83d7</vt:lpwstr>
  </property>
</Properties>
</file>