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A67E6" w14:textId="467C7723" w:rsidR="006C43A0" w:rsidRPr="005101DB" w:rsidRDefault="00045A1B" w:rsidP="005101DB">
      <w:pPr>
        <w:spacing w:line="276" w:lineRule="auto"/>
        <w:jc w:val="center"/>
        <w:rPr>
          <w:rFonts w:ascii="Times New Roman" w:hAnsi="Times New Roman" w:cs="Times New Roman"/>
          <w:b/>
          <w:bCs/>
          <w:lang w:val="en-IN"/>
        </w:rPr>
      </w:pPr>
      <w:bookmarkStart w:id="0" w:name="_Hlk197008951"/>
      <w:r w:rsidRPr="005101DB">
        <w:rPr>
          <w:rFonts w:ascii="Times New Roman" w:hAnsi="Times New Roman" w:cs="Times New Roman"/>
          <w:b/>
          <w:bCs/>
          <w:lang w:val="en-IN"/>
        </w:rPr>
        <w:t xml:space="preserve">Vanadium Supplementation </w:t>
      </w:r>
      <w:bookmarkEnd w:id="0"/>
      <w:r w:rsidRPr="005101DB">
        <w:rPr>
          <w:rFonts w:ascii="Times New Roman" w:hAnsi="Times New Roman" w:cs="Times New Roman"/>
          <w:b/>
          <w:bCs/>
          <w:lang w:val="en-IN"/>
        </w:rPr>
        <w:t>Improves Growth Efficiency in Growing Murrah Buffalo Calves</w:t>
      </w:r>
    </w:p>
    <w:p w14:paraId="2FF98F89" w14:textId="77777777" w:rsidR="001027B6" w:rsidRPr="005101DB" w:rsidRDefault="001027B6" w:rsidP="005101DB">
      <w:pPr>
        <w:spacing w:line="276" w:lineRule="auto"/>
        <w:jc w:val="center"/>
        <w:rPr>
          <w:rFonts w:ascii="Times New Roman" w:hAnsi="Times New Roman" w:cs="Times New Roman"/>
          <w:b/>
          <w:bCs/>
          <w:lang w:val="en-IN"/>
        </w:rPr>
      </w:pPr>
    </w:p>
    <w:p w14:paraId="1A658687" w14:textId="43E69A0C" w:rsidR="005101DB" w:rsidRPr="005101DB" w:rsidRDefault="006C43A0"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Abstract</w:t>
      </w:r>
    </w:p>
    <w:p w14:paraId="73316DD1" w14:textId="6032DD6D" w:rsidR="006C43A0" w:rsidRPr="005101DB" w:rsidRDefault="006C43A0"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The present study investigates the effect of vanadium supplementation on the growth performance of growing Murrah buffalo calves. A total of 21 calves (aged 6–12 months; average body weight 146.48 ± 5.24 kg) were randomly assigned to three dietary groups: control (V</w:t>
      </w:r>
      <w:r w:rsidRPr="005101DB">
        <w:rPr>
          <w:rFonts w:ascii="Times New Roman" w:hAnsi="Times New Roman" w:cs="Times New Roman"/>
          <w:vertAlign w:val="subscript"/>
          <w:lang w:val="en-IN"/>
        </w:rPr>
        <w:t>0</w:t>
      </w:r>
      <w:r w:rsidRPr="005101DB">
        <w:rPr>
          <w:rFonts w:ascii="Times New Roman" w:hAnsi="Times New Roman" w:cs="Times New Roman"/>
          <w:lang w:val="en-IN"/>
        </w:rPr>
        <w:t>, 0 mg vanadium/kg dry matter), V</w:t>
      </w:r>
      <w:r w:rsidRPr="005101DB">
        <w:rPr>
          <w:rFonts w:ascii="Times New Roman" w:hAnsi="Times New Roman" w:cs="Times New Roman"/>
          <w:vertAlign w:val="subscript"/>
          <w:lang w:val="en-IN"/>
        </w:rPr>
        <w:t xml:space="preserve">4 </w:t>
      </w:r>
      <w:r w:rsidRPr="005101DB">
        <w:rPr>
          <w:rFonts w:ascii="Times New Roman" w:hAnsi="Times New Roman" w:cs="Times New Roman"/>
          <w:lang w:val="en-IN"/>
        </w:rPr>
        <w:t>(4.0 mg/kg DM), and V</w:t>
      </w:r>
      <w:r w:rsidRPr="005101DB">
        <w:rPr>
          <w:rFonts w:ascii="Times New Roman" w:hAnsi="Times New Roman" w:cs="Times New Roman"/>
          <w:vertAlign w:val="subscript"/>
          <w:lang w:val="en-IN"/>
        </w:rPr>
        <w:t>6</w:t>
      </w:r>
      <w:r w:rsidRPr="005101DB">
        <w:rPr>
          <w:rFonts w:ascii="Times New Roman" w:hAnsi="Times New Roman" w:cs="Times New Roman"/>
          <w:lang w:val="en-IN"/>
        </w:rPr>
        <w:t xml:space="preserve"> (6.0 mg/kg DM). All animals were fed a total mixed ration (TMR) for a period of 90 days and key growth parameters body weight, average daily gain (ADG), feed intake, and feed conversion ratio (FCR) were recorded fortnightly. Results revealed that calves in the V</w:t>
      </w:r>
      <w:r w:rsidRPr="005101DB">
        <w:rPr>
          <w:rFonts w:ascii="Times New Roman" w:hAnsi="Times New Roman" w:cs="Times New Roman"/>
          <w:vertAlign w:val="subscript"/>
          <w:lang w:val="en-IN"/>
        </w:rPr>
        <w:t>4</w:t>
      </w:r>
      <w:r w:rsidRPr="005101DB">
        <w:rPr>
          <w:rFonts w:ascii="Times New Roman" w:hAnsi="Times New Roman" w:cs="Times New Roman"/>
          <w:lang w:val="en-IN"/>
        </w:rPr>
        <w:t xml:space="preserve"> and V</w:t>
      </w:r>
      <w:r w:rsidRPr="005101DB">
        <w:rPr>
          <w:rFonts w:ascii="Times New Roman" w:hAnsi="Times New Roman" w:cs="Times New Roman"/>
          <w:vertAlign w:val="subscript"/>
          <w:lang w:val="en-IN"/>
        </w:rPr>
        <w:t>6</w:t>
      </w:r>
      <w:r w:rsidRPr="005101DB">
        <w:rPr>
          <w:rFonts w:ascii="Times New Roman" w:hAnsi="Times New Roman" w:cs="Times New Roman"/>
          <w:lang w:val="en-IN"/>
        </w:rPr>
        <w:t xml:space="preserve"> groups exhibited significantly higher weight gain (P &lt; 0.05) and improved feed efficiency, as indicated by lower FCR values (V</w:t>
      </w:r>
      <w:r w:rsidRPr="00F9449C">
        <w:rPr>
          <w:rFonts w:ascii="Times New Roman" w:hAnsi="Times New Roman" w:cs="Times New Roman"/>
          <w:vertAlign w:val="subscript"/>
          <w:lang w:val="en-IN"/>
        </w:rPr>
        <w:t>4</w:t>
      </w:r>
      <w:r w:rsidRPr="005101DB">
        <w:rPr>
          <w:rFonts w:ascii="Times New Roman" w:hAnsi="Times New Roman" w:cs="Times New Roman"/>
          <w:lang w:val="en-IN"/>
        </w:rPr>
        <w:t>: 10.63; V</w:t>
      </w:r>
      <w:r w:rsidRPr="00F9449C">
        <w:rPr>
          <w:rFonts w:ascii="Times New Roman" w:hAnsi="Times New Roman" w:cs="Times New Roman"/>
          <w:vertAlign w:val="subscript"/>
          <w:lang w:val="en-IN"/>
        </w:rPr>
        <w:t>6</w:t>
      </w:r>
      <w:r w:rsidRPr="005101DB">
        <w:rPr>
          <w:rFonts w:ascii="Times New Roman" w:hAnsi="Times New Roman" w:cs="Times New Roman"/>
          <w:lang w:val="en-IN"/>
        </w:rPr>
        <w:t>: 9.88) compared to the control group (V</w:t>
      </w:r>
      <w:r w:rsidRPr="00F9449C">
        <w:rPr>
          <w:rFonts w:ascii="Times New Roman" w:hAnsi="Times New Roman" w:cs="Times New Roman"/>
          <w:vertAlign w:val="subscript"/>
          <w:lang w:val="en-IN"/>
        </w:rPr>
        <w:t>0</w:t>
      </w:r>
      <w:r w:rsidRPr="005101DB">
        <w:rPr>
          <w:rFonts w:ascii="Times New Roman" w:hAnsi="Times New Roman" w:cs="Times New Roman"/>
          <w:lang w:val="en-IN"/>
        </w:rPr>
        <w:t>: 12.23). However, differences in overall body weight and feed intake among the groups were not statistically significant (P &gt; 0.05). These findings demonstrate that vanadium supplementation at 4.0 and 6.0 mg/kg DM can effectively enhance growth efficiency in Murrah buffalo calves, highlighting its potential as a strategic nutritional intervention in buffalo production systems.</w:t>
      </w:r>
    </w:p>
    <w:p w14:paraId="222EF80B" w14:textId="3CE8AC70" w:rsidR="008C1CB4" w:rsidRPr="005101DB" w:rsidRDefault="00045A1B" w:rsidP="005101DB">
      <w:pPr>
        <w:spacing w:line="276" w:lineRule="auto"/>
        <w:jc w:val="both"/>
        <w:rPr>
          <w:rFonts w:ascii="Times New Roman" w:hAnsi="Times New Roman" w:cs="Times New Roman"/>
          <w:lang w:val="en-IN"/>
        </w:rPr>
      </w:pPr>
      <w:r w:rsidRPr="005101DB">
        <w:rPr>
          <w:rFonts w:ascii="Times New Roman" w:hAnsi="Times New Roman" w:cs="Times New Roman"/>
          <w:b/>
          <w:bCs/>
          <w:lang w:val="en-IN"/>
        </w:rPr>
        <w:t>Keywords</w:t>
      </w:r>
      <w:r w:rsidR="006C43A0" w:rsidRPr="005101DB">
        <w:rPr>
          <w:rFonts w:ascii="Times New Roman" w:hAnsi="Times New Roman" w:cs="Times New Roman"/>
          <w:b/>
          <w:bCs/>
          <w:lang w:val="en-IN"/>
        </w:rPr>
        <w:t xml:space="preserve">: </w:t>
      </w:r>
      <w:r w:rsidR="004E3713" w:rsidRPr="005101DB">
        <w:rPr>
          <w:rFonts w:ascii="Times New Roman" w:hAnsi="Times New Roman" w:cs="Times New Roman"/>
          <w:lang w:val="en-IN"/>
        </w:rPr>
        <w:t xml:space="preserve">Calves, </w:t>
      </w:r>
      <w:r w:rsidR="008C1CB4" w:rsidRPr="005101DB">
        <w:rPr>
          <w:rFonts w:ascii="Times New Roman" w:hAnsi="Times New Roman" w:cs="Times New Roman"/>
          <w:lang w:val="en-IN"/>
        </w:rPr>
        <w:t>Growth Performance, Murrah and Vanadium</w:t>
      </w:r>
    </w:p>
    <w:p w14:paraId="39CA5F1B" w14:textId="77777777" w:rsidR="008C1CB4" w:rsidRPr="005101DB" w:rsidRDefault="00045A1B"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 xml:space="preserve">Introduction </w:t>
      </w:r>
    </w:p>
    <w:p w14:paraId="0590C71A" w14:textId="77777777" w:rsidR="004D7CAB" w:rsidRPr="005101DB" w:rsidRDefault="004D7CAB"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Buffaloes play a pivotal role in the dairy and meat industries of Southeast Asia, contributing significantly to the region’s economy. In India alone, buffaloes account for approximately 55% of the total milk yield and 31% of meat production (APEDA, 2014). Despite their economic value, male buffaloes are often hindered by late puberty and delayed sexual maturity, typically reaching puberty between 24 to 30 months (</w:t>
      </w:r>
      <w:proofErr w:type="spellStart"/>
      <w:r w:rsidRPr="005101DB">
        <w:rPr>
          <w:rFonts w:ascii="Times New Roman" w:hAnsi="Times New Roman" w:cs="Times New Roman"/>
          <w:lang w:val="en-IN"/>
        </w:rPr>
        <w:t>Kotayya</w:t>
      </w:r>
      <w:proofErr w:type="spellEnd"/>
      <w:r w:rsidRPr="005101DB">
        <w:rPr>
          <w:rFonts w:ascii="Times New Roman" w:hAnsi="Times New Roman" w:cs="Times New Roman"/>
          <w:lang w:val="en-IN"/>
        </w:rPr>
        <w:t xml:space="preserve"> and </w:t>
      </w:r>
      <w:proofErr w:type="spellStart"/>
      <w:r w:rsidRPr="005101DB">
        <w:rPr>
          <w:rFonts w:ascii="Times New Roman" w:hAnsi="Times New Roman" w:cs="Times New Roman"/>
          <w:lang w:val="en-IN"/>
        </w:rPr>
        <w:t>Narasimaharao</w:t>
      </w:r>
      <w:proofErr w:type="spellEnd"/>
      <w:r w:rsidRPr="005101DB">
        <w:rPr>
          <w:rFonts w:ascii="Times New Roman" w:hAnsi="Times New Roman" w:cs="Times New Roman"/>
          <w:lang w:val="en-IN"/>
        </w:rPr>
        <w:t>, 1972). Gulia et al. (2010) also reported lower testosterone levels in buffalo bulls compared to their bovine counterparts such as Sahiwal and Karan Fries.</w:t>
      </w:r>
    </w:p>
    <w:p w14:paraId="1E32D649" w14:textId="06CBD2F9" w:rsidR="004D7CAB" w:rsidRPr="005101DB" w:rsidRDefault="004D7CAB"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The efficiency of feed utilisation in livestock systems is crucial, given that feed costs represent around 60% of total production expenses. Improving this efficiency not only enhances profitability but also helps reduce the time and resources required for animals to reach market or reproductive maturity. In buffaloes, a significant portion</w:t>
      </w:r>
      <w:r w:rsidR="00F9449C">
        <w:rPr>
          <w:rFonts w:ascii="Times New Roman" w:hAnsi="Times New Roman" w:cs="Times New Roman"/>
          <w:lang w:val="en-IN"/>
        </w:rPr>
        <w:t xml:space="preserve"> </w:t>
      </w:r>
      <w:r w:rsidRPr="005101DB">
        <w:rPr>
          <w:rFonts w:ascii="Times New Roman" w:hAnsi="Times New Roman" w:cs="Times New Roman"/>
          <w:lang w:val="en-IN"/>
        </w:rPr>
        <w:t>up to 75%</w:t>
      </w:r>
      <w:r w:rsidR="00F9449C">
        <w:rPr>
          <w:rFonts w:ascii="Times New Roman" w:hAnsi="Times New Roman" w:cs="Times New Roman"/>
          <w:lang w:val="en-IN"/>
        </w:rPr>
        <w:t xml:space="preserve"> </w:t>
      </w:r>
      <w:r w:rsidRPr="005101DB">
        <w:rPr>
          <w:rFonts w:ascii="Times New Roman" w:hAnsi="Times New Roman" w:cs="Times New Roman"/>
          <w:lang w:val="en-IN"/>
        </w:rPr>
        <w:t>of energy is allocated for maintenance rather than productive functions (ICAR, 2013). Traditional measures of feed efficiency like gross feed efficiency are limited in scope as they are influenced by growth rate and body size. Alternatively, residual feed intake (RFI), which represents the difference between observed and expected feed intake, is a better predictor of metabolic efficiency as it is independent of size and growth rate (Koch et al., 1963; Richardson and Herd, 2004).</w:t>
      </w:r>
    </w:p>
    <w:p w14:paraId="1F537DF2" w14:textId="77777777" w:rsidR="004D7CAB" w:rsidRPr="005101DB" w:rsidRDefault="004D7CAB"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lastRenderedPageBreak/>
        <w:t>Trace elements are integral to enzymatic and physiological processes governing immunity, metabolism, reproduction, and productivity in livestock (Spears, 2003; Suttle, 2010). While essential minerals like zinc, selenium, and copper have been extensively studied, attention has now shifted to ultra-trace elements such as vanadium. Vanadium, although historically considered non-essential, has demonstrated biological significance in several species. It functions primarily through its interactions with key enzymes like ATPases and phosphatases and exists in multiple oxidation states, primarily +3, +4, and +5 under physiological conditions (Hirano et al., 1996; Nielsen, 1984).</w:t>
      </w:r>
    </w:p>
    <w:p w14:paraId="61137511" w14:textId="77777777" w:rsidR="004D7CAB" w:rsidRPr="005101DB" w:rsidRDefault="004D7CAB"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 xml:space="preserve">Vanadium supplementation has been associated with improved antioxidant status, glucose metabolism, and immune function in rodents and poultry (Francik et al., 2011; Harati et al., 2006; Liu et al., 2015). In goats, vanadium-deficient diets were linked to reproductive issues and reduced milk production (Anke et al., 2005). Positive responses to dietary vanadium have also been observed in broilers and kids, indicating its potential role in enhancing growth performance and feed conversion efficiency (Balos et al., 2017; </w:t>
      </w:r>
      <w:proofErr w:type="spellStart"/>
      <w:r w:rsidRPr="005101DB">
        <w:rPr>
          <w:rFonts w:ascii="Times New Roman" w:hAnsi="Times New Roman" w:cs="Times New Roman"/>
          <w:lang w:val="en-IN"/>
        </w:rPr>
        <w:t>Zarqami</w:t>
      </w:r>
      <w:proofErr w:type="spellEnd"/>
      <w:r w:rsidRPr="005101DB">
        <w:rPr>
          <w:rFonts w:ascii="Times New Roman" w:hAnsi="Times New Roman" w:cs="Times New Roman"/>
          <w:lang w:val="en-IN"/>
        </w:rPr>
        <w:t xml:space="preserve"> et al., 2018).</w:t>
      </w:r>
    </w:p>
    <w:p w14:paraId="0B6DB538" w14:textId="5A367BF3" w:rsidR="00392F53" w:rsidRPr="005101DB" w:rsidRDefault="004D7CAB"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Though vanadium has shown promising effects in non-ruminant species, its role in ruminant nutrition remains largely unexplored. Moreover, the concept of supra-nutritional supplementation providing nutrients at levels above their established dietary requirements—has opened new avenues in livestock nutrition for improving productivity and health (Rayman et al., 2005; Maylor et al., 2006; N</w:t>
      </w:r>
      <w:r w:rsidR="00853603" w:rsidRPr="005101DB">
        <w:rPr>
          <w:rFonts w:ascii="Times New Roman" w:hAnsi="Times New Roman" w:cs="Times New Roman"/>
          <w:lang w:val="en-IN"/>
        </w:rPr>
        <w:t>i</w:t>
      </w:r>
      <w:r w:rsidRPr="005101DB">
        <w:rPr>
          <w:rFonts w:ascii="Times New Roman" w:hAnsi="Times New Roman" w:cs="Times New Roman"/>
          <w:lang w:val="en-IN"/>
        </w:rPr>
        <w:t>elson et al., 2004). The present investigation was undertaken to evaluate the effect of vanadium supplementation on the growth performance of growing Murrah buffalo calves. This study aims to explore the possibility of using vanadium as a nutritional tool to enhance feed efficiency and promote optimal growth in buffaloes.</w:t>
      </w:r>
    </w:p>
    <w:p w14:paraId="7BAFA603" w14:textId="28B85F55" w:rsidR="00045A1B" w:rsidRPr="005101DB" w:rsidRDefault="00045A1B"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 xml:space="preserve">Materials and Methods </w:t>
      </w:r>
    </w:p>
    <w:p w14:paraId="177302A3" w14:textId="3087F5F6" w:rsidR="00392F53" w:rsidRPr="005101DB" w:rsidRDefault="00392F53"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 xml:space="preserve">The study was conducted at the Livestock Research </w:t>
      </w:r>
      <w:r w:rsidR="00F9449C" w:rsidRPr="005101DB">
        <w:rPr>
          <w:rFonts w:ascii="Times New Roman" w:hAnsi="Times New Roman" w:cs="Times New Roman"/>
          <w:lang w:val="en-IN"/>
        </w:rPr>
        <w:t>Centre</w:t>
      </w:r>
      <w:r w:rsidRPr="005101DB">
        <w:rPr>
          <w:rFonts w:ascii="Times New Roman" w:hAnsi="Times New Roman" w:cs="Times New Roman"/>
          <w:lang w:val="en-IN"/>
        </w:rPr>
        <w:t>, Sardar Vallabhbhai Patel University of Agriculture and Technology, Meerut, Uttar Pradesh, India, located at 29°01” N, 77°45” E, and 224.659 m</w:t>
      </w:r>
      <w:r w:rsidR="003C1563">
        <w:rPr>
          <w:rFonts w:ascii="Times New Roman" w:hAnsi="Times New Roman" w:cs="Times New Roman"/>
          <w:lang w:val="en-IN"/>
        </w:rPr>
        <w:t>.</w:t>
      </w:r>
      <w:r w:rsidRPr="005101DB">
        <w:rPr>
          <w:rFonts w:ascii="Times New Roman" w:hAnsi="Times New Roman" w:cs="Times New Roman"/>
          <w:lang w:val="en-IN"/>
        </w:rPr>
        <w:t xml:space="preserve"> altitude. The subtropical climate during the experimental period (October 2020–January 2021) featured temperatures ranging from 20 to 35°C. Twenty-one growing Murrah buffalo calves, aged 6 to 12 months with a mean body weight of 146.48 ± 5.24 kg and mean age of 9.14 ± 0.88 months, were selected for the 90-day trial. To ensure balanced baseline characteristics, calves were stratified by body weight and age and randomly assigned to three treatment groups of seven animals each. The control group (V</w:t>
      </w:r>
      <w:r w:rsidRPr="00F9449C">
        <w:rPr>
          <w:rFonts w:ascii="Times New Roman" w:hAnsi="Times New Roman" w:cs="Times New Roman"/>
          <w:vertAlign w:val="subscript"/>
          <w:lang w:val="en-IN"/>
        </w:rPr>
        <w:t>0</w:t>
      </w:r>
      <w:r w:rsidRPr="005101DB">
        <w:rPr>
          <w:rFonts w:ascii="Times New Roman" w:hAnsi="Times New Roman" w:cs="Times New Roman"/>
          <w:lang w:val="en-IN"/>
        </w:rPr>
        <w:t>) received a total mixed ration (TMR) without vanadium supplementation, while the V</w:t>
      </w:r>
      <w:r w:rsidRPr="005101DB">
        <w:rPr>
          <w:rFonts w:ascii="Times New Roman" w:hAnsi="Times New Roman" w:cs="Times New Roman"/>
          <w:vertAlign w:val="subscript"/>
          <w:lang w:val="en-IN"/>
        </w:rPr>
        <w:t>4</w:t>
      </w:r>
      <w:r w:rsidRPr="005101DB">
        <w:rPr>
          <w:rFonts w:ascii="Times New Roman" w:hAnsi="Times New Roman" w:cs="Times New Roman"/>
          <w:lang w:val="en-IN"/>
        </w:rPr>
        <w:t xml:space="preserve"> and V</w:t>
      </w:r>
      <w:r w:rsidRPr="005101DB">
        <w:rPr>
          <w:rFonts w:ascii="Times New Roman" w:hAnsi="Times New Roman" w:cs="Times New Roman"/>
          <w:vertAlign w:val="subscript"/>
          <w:lang w:val="en-IN"/>
        </w:rPr>
        <w:t>6</w:t>
      </w:r>
      <w:r w:rsidRPr="005101DB">
        <w:rPr>
          <w:rFonts w:ascii="Times New Roman" w:hAnsi="Times New Roman" w:cs="Times New Roman"/>
          <w:lang w:val="en-IN"/>
        </w:rPr>
        <w:t xml:space="preserve"> groups received TMR supplemented with 4.0 mg and 6.0 mg vanadium per kg dry matter (DM), respectively, using vanadyl </w:t>
      </w:r>
      <w:r w:rsidR="00F9449C" w:rsidRPr="005101DB">
        <w:rPr>
          <w:rFonts w:ascii="Times New Roman" w:hAnsi="Times New Roman" w:cs="Times New Roman"/>
          <w:lang w:val="en-IN"/>
        </w:rPr>
        <w:t>sulphate</w:t>
      </w:r>
      <w:r w:rsidRPr="005101DB">
        <w:rPr>
          <w:rFonts w:ascii="Times New Roman" w:hAnsi="Times New Roman" w:cs="Times New Roman"/>
          <w:lang w:val="en-IN"/>
        </w:rPr>
        <w:t>. A 7-day adaptation period preceded the trial to acclimate calves to the TMR and housing conditions.</w:t>
      </w:r>
    </w:p>
    <w:p w14:paraId="3238E87B" w14:textId="4626FACA" w:rsidR="00392F53" w:rsidRPr="005101DB" w:rsidRDefault="00392F53"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 xml:space="preserve">The TMR was formulated according to NRC guidelines, comprising 45% concentrate (maize, soybean meal, wheat bran), 35% maize silage, and 20% wheat straw, with approximately 12% crude protein and 65% total digestible nutrients. Diets were iso-nitrogenous and iso-caloric </w:t>
      </w:r>
      <w:r w:rsidRPr="005101DB">
        <w:rPr>
          <w:rFonts w:ascii="Times New Roman" w:hAnsi="Times New Roman" w:cs="Times New Roman"/>
          <w:lang w:val="en-IN"/>
        </w:rPr>
        <w:lastRenderedPageBreak/>
        <w:t>across groups, and vanadium was incorporated into the concentrate and mixed thoroughly to ensure uniform distribution. Calves were housed in a tie barn system with individual feeding troughs to prevent feed sharing, and the facility was cleaned daily. Clean drinking water was provided ad-libitum. Before the trial, calves were dewormed with albendazole, vaccinated against foot-and-mouth disease, and monitored daily for health, with no adverse events reported during the study.</w:t>
      </w:r>
    </w:p>
    <w:p w14:paraId="1A476B0C" w14:textId="741CC860" w:rsidR="002B713A" w:rsidRPr="005101DB" w:rsidRDefault="002B713A"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 xml:space="preserve">Data were </w:t>
      </w:r>
      <w:r w:rsidR="00F9449C" w:rsidRPr="005101DB">
        <w:rPr>
          <w:rFonts w:ascii="Times New Roman" w:hAnsi="Times New Roman" w:cs="Times New Roman"/>
          <w:lang w:val="en-IN"/>
        </w:rPr>
        <w:t>analysed</w:t>
      </w:r>
      <w:r w:rsidRPr="005101DB">
        <w:rPr>
          <w:rFonts w:ascii="Times New Roman" w:hAnsi="Times New Roman" w:cs="Times New Roman"/>
          <w:lang w:val="en-IN"/>
        </w:rPr>
        <w:t xml:space="preserve"> using mixed models in SPSS version 20.0 (SPSS, Inc., Chicago, IL, USA) to evaluate the effects of vanadium supplementation (0, 4.0, 6.0 mg/kg DM) on growth performance of Murrah buffalo calves over 90 days. The model will be used as follows:</w:t>
      </w:r>
    </w:p>
    <w:p w14:paraId="7A73F2E6" w14:textId="4D3A5FBC" w:rsidR="002B713A" w:rsidRPr="005101DB" w:rsidRDefault="002B713A" w:rsidP="005101DB">
      <w:pPr>
        <w:spacing w:line="276" w:lineRule="auto"/>
        <w:jc w:val="center"/>
        <w:rPr>
          <w:rFonts w:ascii="Times New Roman" w:hAnsi="Times New Roman" w:cs="Times New Roman"/>
          <w:b/>
          <w:bCs/>
          <w:lang w:val="en-IN"/>
        </w:rPr>
      </w:pPr>
      <w:proofErr w:type="spellStart"/>
      <w:r w:rsidRPr="005101DB">
        <w:rPr>
          <w:rFonts w:ascii="Times New Roman" w:hAnsi="Times New Roman" w:cs="Times New Roman"/>
          <w:b/>
          <w:bCs/>
          <w:lang w:val="en-IN"/>
        </w:rPr>
        <w:t>Yij</w:t>
      </w:r>
      <w:proofErr w:type="spellEnd"/>
      <w:r w:rsidRPr="005101DB">
        <w:rPr>
          <w:rFonts w:ascii="Times New Roman" w:hAnsi="Times New Roman" w:cs="Times New Roman"/>
          <w:b/>
          <w:bCs/>
          <w:lang w:val="en-IN"/>
        </w:rPr>
        <w:t xml:space="preserve"> = µ + </w:t>
      </w:r>
      <w:proofErr w:type="spellStart"/>
      <w:r w:rsidRPr="005101DB">
        <w:rPr>
          <w:rFonts w:ascii="Times New Roman" w:hAnsi="Times New Roman" w:cs="Times New Roman"/>
          <w:b/>
          <w:bCs/>
          <w:lang w:val="en-IN"/>
        </w:rPr>
        <w:t>Ti</w:t>
      </w:r>
      <w:proofErr w:type="spellEnd"/>
      <w:r w:rsidRPr="005101DB">
        <w:rPr>
          <w:rFonts w:ascii="Times New Roman" w:hAnsi="Times New Roman" w:cs="Times New Roman"/>
          <w:b/>
          <w:bCs/>
          <w:lang w:val="en-IN"/>
        </w:rPr>
        <w:t xml:space="preserve">+ Fj+ + </w:t>
      </w:r>
      <w:proofErr w:type="spellStart"/>
      <w:r w:rsidRPr="005101DB">
        <w:rPr>
          <w:rFonts w:ascii="Times New Roman" w:hAnsi="Times New Roman" w:cs="Times New Roman"/>
          <w:b/>
          <w:bCs/>
          <w:lang w:val="en-IN"/>
        </w:rPr>
        <w:t>eij</w:t>
      </w:r>
      <w:proofErr w:type="spellEnd"/>
    </w:p>
    <w:p w14:paraId="2B285D26" w14:textId="468A3EEA" w:rsidR="002B713A" w:rsidRPr="005101DB" w:rsidRDefault="002B713A" w:rsidP="005101DB">
      <w:pPr>
        <w:spacing w:line="276" w:lineRule="auto"/>
        <w:jc w:val="both"/>
        <w:rPr>
          <w:rFonts w:ascii="Times New Roman" w:hAnsi="Times New Roman" w:cs="Times New Roman"/>
          <w:lang w:val="en-IN"/>
        </w:rPr>
      </w:pPr>
      <w:r w:rsidRPr="003C1563">
        <w:rPr>
          <w:rFonts w:ascii="Times New Roman" w:hAnsi="Times New Roman" w:cs="Times New Roman"/>
          <w:b/>
          <w:bCs/>
          <w:lang w:val="en-IN"/>
        </w:rPr>
        <w:t>Where</w:t>
      </w:r>
      <w:r w:rsidRPr="005101DB">
        <w:rPr>
          <w:rFonts w:ascii="Times New Roman" w:hAnsi="Times New Roman" w:cs="Times New Roman"/>
          <w:lang w:val="en-IN"/>
        </w:rPr>
        <w:t xml:space="preserve">, </w:t>
      </w:r>
      <w:proofErr w:type="spellStart"/>
      <w:r w:rsidRPr="005101DB">
        <w:rPr>
          <w:rFonts w:ascii="Times New Roman" w:hAnsi="Times New Roman" w:cs="Times New Roman"/>
          <w:lang w:val="en-IN"/>
        </w:rPr>
        <w:t>Yij</w:t>
      </w:r>
      <w:proofErr w:type="spellEnd"/>
      <w:r w:rsidRPr="005101DB">
        <w:rPr>
          <w:rFonts w:ascii="Times New Roman" w:hAnsi="Times New Roman" w:cs="Times New Roman"/>
          <w:lang w:val="en-IN"/>
        </w:rPr>
        <w:t xml:space="preserve"> = dependent variable; µ = overall mean of a population; Ti = effect of the treatment (different doses of V) (</w:t>
      </w:r>
      <w:proofErr w:type="spellStart"/>
      <w:r w:rsidRPr="005101DB">
        <w:rPr>
          <w:rFonts w:ascii="Times New Roman" w:hAnsi="Times New Roman" w:cs="Times New Roman"/>
          <w:lang w:val="en-IN"/>
        </w:rPr>
        <w:t>i</w:t>
      </w:r>
      <w:proofErr w:type="spellEnd"/>
      <w:r w:rsidRPr="005101DB">
        <w:rPr>
          <w:rFonts w:ascii="Times New Roman" w:hAnsi="Times New Roman" w:cs="Times New Roman"/>
          <w:lang w:val="en-IN"/>
        </w:rPr>
        <w:t xml:space="preserve"> = 1….3); Fj= effect of fortnight (j = 0….6); (T×F) </w:t>
      </w:r>
      <w:proofErr w:type="spellStart"/>
      <w:r w:rsidRPr="005101DB">
        <w:rPr>
          <w:rFonts w:ascii="Times New Roman" w:hAnsi="Times New Roman" w:cs="Times New Roman"/>
          <w:lang w:val="en-IN"/>
        </w:rPr>
        <w:t>ij</w:t>
      </w:r>
      <w:proofErr w:type="spellEnd"/>
      <w:r w:rsidRPr="005101DB">
        <w:rPr>
          <w:rFonts w:ascii="Times New Roman" w:hAnsi="Times New Roman" w:cs="Times New Roman"/>
          <w:lang w:val="en-IN"/>
        </w:rPr>
        <w:t xml:space="preserve"> = effect of the interaction between effect of treatments and fortnights; </w:t>
      </w:r>
      <w:proofErr w:type="spellStart"/>
      <w:r w:rsidRPr="005101DB">
        <w:rPr>
          <w:rFonts w:ascii="Times New Roman" w:hAnsi="Times New Roman" w:cs="Times New Roman"/>
          <w:lang w:val="en-IN"/>
        </w:rPr>
        <w:t>eij</w:t>
      </w:r>
      <w:proofErr w:type="spellEnd"/>
      <w:r w:rsidRPr="005101DB">
        <w:rPr>
          <w:rFonts w:ascii="Times New Roman" w:hAnsi="Times New Roman" w:cs="Times New Roman"/>
          <w:lang w:val="en-IN"/>
        </w:rPr>
        <w:t xml:space="preserve">=random error. </w:t>
      </w:r>
    </w:p>
    <w:p w14:paraId="5188575B" w14:textId="7762613C" w:rsidR="00392F53" w:rsidRPr="005101DB" w:rsidRDefault="002B713A" w:rsidP="005101DB">
      <w:pPr>
        <w:spacing w:line="276" w:lineRule="auto"/>
        <w:jc w:val="both"/>
        <w:rPr>
          <w:rFonts w:ascii="Times New Roman" w:hAnsi="Times New Roman" w:cs="Times New Roman"/>
          <w:lang w:val="en-IN"/>
        </w:rPr>
      </w:pPr>
      <w:r w:rsidRPr="005101DB">
        <w:rPr>
          <w:rFonts w:ascii="Times New Roman" w:hAnsi="Times New Roman" w:cs="Times New Roman"/>
          <w:lang w:val="en-IN"/>
        </w:rPr>
        <w:t>The pair-wise comparison of means will be carried out using ‘Tukey’s Multiple Range Test’.</w:t>
      </w:r>
    </w:p>
    <w:p w14:paraId="791B1941" w14:textId="1C5B5897" w:rsidR="00A01A25" w:rsidRPr="005101DB" w:rsidRDefault="00A01A25"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Results</w:t>
      </w:r>
    </w:p>
    <w:p w14:paraId="106F36BB" w14:textId="4CEC2299" w:rsidR="00A01A25" w:rsidRPr="005101DB" w:rsidRDefault="00A01A25"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 xml:space="preserve">The influence of vanadium supplementation on body weight in Murrah buffalo calves is summarized in </w:t>
      </w:r>
      <w:r w:rsidRPr="005101DB">
        <w:rPr>
          <w:rFonts w:ascii="Times New Roman" w:hAnsi="Times New Roman" w:cs="Times New Roman"/>
          <w:b/>
          <w:bCs/>
          <w:lang w:val="en-IN"/>
        </w:rPr>
        <w:t>Table 1</w:t>
      </w:r>
      <w:r w:rsidRPr="005101DB">
        <w:rPr>
          <w:rFonts w:ascii="Times New Roman" w:hAnsi="Times New Roman" w:cs="Times New Roman"/>
          <w:lang w:val="en-IN"/>
        </w:rPr>
        <w:t>. The initial (0 day) body weights were comparable across all groups, with values of 146.33 kg (V</w:t>
      </w:r>
      <w:r w:rsidRPr="005101DB">
        <w:rPr>
          <w:rFonts w:ascii="Times New Roman" w:hAnsi="Times New Roman" w:cs="Times New Roman"/>
          <w:vertAlign w:val="subscript"/>
          <w:lang w:val="en-IN"/>
        </w:rPr>
        <w:t>0</w:t>
      </w:r>
      <w:r w:rsidRPr="005101DB">
        <w:rPr>
          <w:rFonts w:ascii="Times New Roman" w:hAnsi="Times New Roman" w:cs="Times New Roman"/>
          <w:lang w:val="en-IN"/>
        </w:rPr>
        <w:t>), 146.98 kg (V</w:t>
      </w:r>
      <w:r w:rsidRPr="005101DB">
        <w:rPr>
          <w:rFonts w:ascii="Times New Roman" w:hAnsi="Times New Roman" w:cs="Times New Roman"/>
          <w:vertAlign w:val="subscript"/>
          <w:lang w:val="en-IN"/>
        </w:rPr>
        <w:t>4</w:t>
      </w:r>
      <w:r w:rsidRPr="005101DB">
        <w:rPr>
          <w:rFonts w:ascii="Times New Roman" w:hAnsi="Times New Roman" w:cs="Times New Roman"/>
          <w:lang w:val="en-IN"/>
        </w:rPr>
        <w:t>), and 146.14 kg (V</w:t>
      </w:r>
      <w:r w:rsidRPr="005101DB">
        <w:rPr>
          <w:rFonts w:ascii="Times New Roman" w:hAnsi="Times New Roman" w:cs="Times New Roman"/>
          <w:vertAlign w:val="subscript"/>
          <w:lang w:val="en-IN"/>
        </w:rPr>
        <w:t>6</w:t>
      </w:r>
      <w:r w:rsidRPr="005101DB">
        <w:rPr>
          <w:rFonts w:ascii="Times New Roman" w:hAnsi="Times New Roman" w:cs="Times New Roman"/>
          <w:lang w:val="en-IN"/>
        </w:rPr>
        <w:t>). By the end of the 90-day feeding trial, the body weights increased to 179.50 kg, 185.86 kg, and 187.93 kg for V</w:t>
      </w:r>
      <w:r w:rsidRPr="005101DB">
        <w:rPr>
          <w:rFonts w:ascii="Times New Roman" w:hAnsi="Times New Roman" w:cs="Times New Roman"/>
          <w:vertAlign w:val="subscript"/>
          <w:lang w:val="en-IN"/>
        </w:rPr>
        <w:t>0</w:t>
      </w:r>
      <w:r w:rsidRPr="005101DB">
        <w:rPr>
          <w:rFonts w:ascii="Times New Roman" w:hAnsi="Times New Roman" w:cs="Times New Roman"/>
          <w:lang w:val="en-IN"/>
        </w:rPr>
        <w:t>, V</w:t>
      </w:r>
      <w:r w:rsidRPr="005101DB">
        <w:rPr>
          <w:rFonts w:ascii="Times New Roman" w:hAnsi="Times New Roman" w:cs="Times New Roman"/>
          <w:vertAlign w:val="subscript"/>
          <w:lang w:val="en-IN"/>
        </w:rPr>
        <w:t>4</w:t>
      </w:r>
      <w:r w:rsidRPr="005101DB">
        <w:rPr>
          <w:rFonts w:ascii="Times New Roman" w:hAnsi="Times New Roman" w:cs="Times New Roman"/>
          <w:lang w:val="en-IN"/>
        </w:rPr>
        <w:t>, and V</w:t>
      </w:r>
      <w:r w:rsidRPr="005101DB">
        <w:rPr>
          <w:rFonts w:ascii="Times New Roman" w:hAnsi="Times New Roman" w:cs="Times New Roman"/>
          <w:vertAlign w:val="subscript"/>
          <w:lang w:val="en-IN"/>
        </w:rPr>
        <w:t>6</w:t>
      </w:r>
      <w:r w:rsidRPr="005101DB">
        <w:rPr>
          <w:rFonts w:ascii="Times New Roman" w:hAnsi="Times New Roman" w:cs="Times New Roman"/>
          <w:lang w:val="en-IN"/>
        </w:rPr>
        <w:t xml:space="preserve"> groups, respectively. Although numerical differences were observed, statistical analysis revealed no significant variation (P &gt; 0.05) in body weight among the treatment groups at any observation point (0, 15, 30, 45, 60, 75, and 90 days).</w:t>
      </w:r>
    </w:p>
    <w:p w14:paraId="15934B80" w14:textId="0DD46BA1" w:rsidR="00A01A25" w:rsidRPr="005101DB" w:rsidRDefault="00A01A25"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 xml:space="preserve">The effect of vanadium supplementation on body weight gain is presented in </w:t>
      </w:r>
      <w:r w:rsidRPr="005101DB">
        <w:rPr>
          <w:rFonts w:ascii="Times New Roman" w:hAnsi="Times New Roman" w:cs="Times New Roman"/>
          <w:b/>
          <w:bCs/>
          <w:lang w:val="en-IN"/>
        </w:rPr>
        <w:t>Table 2</w:t>
      </w:r>
      <w:r w:rsidRPr="005101DB">
        <w:rPr>
          <w:rFonts w:ascii="Times New Roman" w:hAnsi="Times New Roman" w:cs="Times New Roman"/>
          <w:lang w:val="en-IN"/>
        </w:rPr>
        <w:t>. On day 15, average daily gains were 0.36 kg (V</w:t>
      </w:r>
      <w:r w:rsidRPr="005101DB">
        <w:rPr>
          <w:rFonts w:ascii="Times New Roman" w:hAnsi="Times New Roman" w:cs="Times New Roman"/>
          <w:vertAlign w:val="subscript"/>
          <w:lang w:val="en-IN"/>
        </w:rPr>
        <w:t>0</w:t>
      </w:r>
      <w:r w:rsidRPr="005101DB">
        <w:rPr>
          <w:rFonts w:ascii="Times New Roman" w:hAnsi="Times New Roman" w:cs="Times New Roman"/>
          <w:lang w:val="en-IN"/>
        </w:rPr>
        <w:t>), 0.43 kg (V</w:t>
      </w:r>
      <w:r w:rsidRPr="005101DB">
        <w:rPr>
          <w:rFonts w:ascii="Times New Roman" w:hAnsi="Times New Roman" w:cs="Times New Roman"/>
          <w:vertAlign w:val="subscript"/>
          <w:lang w:val="en-IN"/>
        </w:rPr>
        <w:t>4</w:t>
      </w:r>
      <w:r w:rsidRPr="005101DB">
        <w:rPr>
          <w:rFonts w:ascii="Times New Roman" w:hAnsi="Times New Roman" w:cs="Times New Roman"/>
          <w:lang w:val="en-IN"/>
        </w:rPr>
        <w:t>), and 0.47 kg (V</w:t>
      </w:r>
      <w:r w:rsidRPr="005101DB">
        <w:rPr>
          <w:rFonts w:ascii="Times New Roman" w:hAnsi="Times New Roman" w:cs="Times New Roman"/>
          <w:vertAlign w:val="subscript"/>
          <w:lang w:val="en-IN"/>
        </w:rPr>
        <w:t>6</w:t>
      </w:r>
      <w:r w:rsidRPr="005101DB">
        <w:rPr>
          <w:rFonts w:ascii="Times New Roman" w:hAnsi="Times New Roman" w:cs="Times New Roman"/>
          <w:lang w:val="en-IN"/>
        </w:rPr>
        <w:t>). The overall mean daily body weight gain across the study period was 0.37, 0.43, and 0.46 kg/day in V</w:t>
      </w:r>
      <w:r w:rsidRPr="005101DB">
        <w:rPr>
          <w:rFonts w:ascii="Times New Roman" w:hAnsi="Times New Roman" w:cs="Times New Roman"/>
          <w:vertAlign w:val="subscript"/>
          <w:lang w:val="en-IN"/>
        </w:rPr>
        <w:t>0</w:t>
      </w:r>
      <w:r w:rsidRPr="005101DB">
        <w:rPr>
          <w:rFonts w:ascii="Times New Roman" w:hAnsi="Times New Roman" w:cs="Times New Roman"/>
          <w:lang w:val="en-IN"/>
        </w:rPr>
        <w:t>, V</w:t>
      </w:r>
      <w:r w:rsidRPr="005101DB">
        <w:rPr>
          <w:rFonts w:ascii="Times New Roman" w:hAnsi="Times New Roman" w:cs="Times New Roman"/>
          <w:vertAlign w:val="subscript"/>
          <w:lang w:val="en-IN"/>
        </w:rPr>
        <w:t>4</w:t>
      </w:r>
      <w:r w:rsidRPr="005101DB">
        <w:rPr>
          <w:rFonts w:ascii="Times New Roman" w:hAnsi="Times New Roman" w:cs="Times New Roman"/>
          <w:lang w:val="en-IN"/>
        </w:rPr>
        <w:t>, and V</w:t>
      </w:r>
      <w:r w:rsidRPr="005101DB">
        <w:rPr>
          <w:rFonts w:ascii="Times New Roman" w:hAnsi="Times New Roman" w:cs="Times New Roman"/>
          <w:vertAlign w:val="subscript"/>
          <w:lang w:val="en-IN"/>
        </w:rPr>
        <w:t>6</w:t>
      </w:r>
      <w:r w:rsidRPr="005101DB">
        <w:rPr>
          <w:rFonts w:ascii="Times New Roman" w:hAnsi="Times New Roman" w:cs="Times New Roman"/>
          <w:lang w:val="en-IN"/>
        </w:rPr>
        <w:t>, respectively. Notably, the BWG was significantly higher (P &lt; 0.05) in the vanadium-supplemented groups (V</w:t>
      </w:r>
      <w:r w:rsidRPr="005101DB">
        <w:rPr>
          <w:rFonts w:ascii="Times New Roman" w:hAnsi="Times New Roman" w:cs="Times New Roman"/>
          <w:vertAlign w:val="subscript"/>
          <w:lang w:val="en-IN"/>
        </w:rPr>
        <w:t>4</w:t>
      </w:r>
      <w:r w:rsidRPr="005101DB">
        <w:rPr>
          <w:rFonts w:ascii="Times New Roman" w:hAnsi="Times New Roman" w:cs="Times New Roman"/>
          <w:lang w:val="en-IN"/>
        </w:rPr>
        <w:t xml:space="preserve"> and V</w:t>
      </w:r>
      <w:r w:rsidRPr="005101DB">
        <w:rPr>
          <w:rFonts w:ascii="Times New Roman" w:hAnsi="Times New Roman" w:cs="Times New Roman"/>
          <w:vertAlign w:val="subscript"/>
          <w:lang w:val="en-IN"/>
        </w:rPr>
        <w:t>6</w:t>
      </w:r>
      <w:r w:rsidRPr="005101DB">
        <w:rPr>
          <w:rFonts w:ascii="Times New Roman" w:hAnsi="Times New Roman" w:cs="Times New Roman"/>
          <w:lang w:val="en-IN"/>
        </w:rPr>
        <w:t>) compared to the control (V</w:t>
      </w:r>
      <w:r w:rsidRPr="005101DB">
        <w:rPr>
          <w:rFonts w:ascii="Times New Roman" w:hAnsi="Times New Roman" w:cs="Times New Roman"/>
          <w:vertAlign w:val="subscript"/>
          <w:lang w:val="en-IN"/>
        </w:rPr>
        <w:t>0</w:t>
      </w:r>
      <w:r w:rsidRPr="005101DB">
        <w:rPr>
          <w:rFonts w:ascii="Times New Roman" w:hAnsi="Times New Roman" w:cs="Times New Roman"/>
          <w:lang w:val="en-IN"/>
        </w:rPr>
        <w:t>). Furthermore, the V</w:t>
      </w:r>
      <w:r w:rsidRPr="009D5B6E">
        <w:rPr>
          <w:rFonts w:ascii="Times New Roman" w:hAnsi="Times New Roman" w:cs="Times New Roman"/>
          <w:vertAlign w:val="subscript"/>
          <w:lang w:val="en-IN"/>
        </w:rPr>
        <w:t>6</w:t>
      </w:r>
      <w:r w:rsidRPr="005101DB">
        <w:rPr>
          <w:rFonts w:ascii="Times New Roman" w:hAnsi="Times New Roman" w:cs="Times New Roman"/>
          <w:lang w:val="en-IN"/>
        </w:rPr>
        <w:t xml:space="preserve"> group demonstrated significantly greater weight gain (P &lt; 0.05) on days 15, 45, and 75 compared to the other groups, indicating a dose-responsive effect of vanadium supplementation on growth performance.</w:t>
      </w:r>
    </w:p>
    <w:p w14:paraId="54A7EEB3" w14:textId="6E0E5F2F" w:rsidR="00A01A25" w:rsidRPr="005101DB" w:rsidRDefault="00A01A25"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 xml:space="preserve">Daily feed intake data are depicted in </w:t>
      </w:r>
      <w:r w:rsidRPr="005101DB">
        <w:rPr>
          <w:rFonts w:ascii="Times New Roman" w:hAnsi="Times New Roman" w:cs="Times New Roman"/>
          <w:b/>
          <w:bCs/>
          <w:lang w:val="en-IN"/>
        </w:rPr>
        <w:t>Table 3</w:t>
      </w:r>
      <w:r w:rsidRPr="005101DB">
        <w:rPr>
          <w:rFonts w:ascii="Times New Roman" w:hAnsi="Times New Roman" w:cs="Times New Roman"/>
          <w:lang w:val="en-IN"/>
        </w:rPr>
        <w:t>. The mean feed consumption during the trial was 4.50 kg/day (V</w:t>
      </w:r>
      <w:r w:rsidRPr="005101DB">
        <w:rPr>
          <w:rFonts w:ascii="Times New Roman" w:hAnsi="Times New Roman" w:cs="Times New Roman"/>
          <w:vertAlign w:val="subscript"/>
          <w:lang w:val="en-IN"/>
        </w:rPr>
        <w:t>0</w:t>
      </w:r>
      <w:r w:rsidRPr="005101DB">
        <w:rPr>
          <w:rFonts w:ascii="Times New Roman" w:hAnsi="Times New Roman" w:cs="Times New Roman"/>
          <w:lang w:val="en-IN"/>
        </w:rPr>
        <w:t>), 4.57 kg/day (V</w:t>
      </w:r>
      <w:r w:rsidRPr="005101DB">
        <w:rPr>
          <w:rFonts w:ascii="Times New Roman" w:hAnsi="Times New Roman" w:cs="Times New Roman"/>
          <w:vertAlign w:val="subscript"/>
          <w:lang w:val="en-IN"/>
        </w:rPr>
        <w:t>4</w:t>
      </w:r>
      <w:r w:rsidRPr="005101DB">
        <w:rPr>
          <w:rFonts w:ascii="Times New Roman" w:hAnsi="Times New Roman" w:cs="Times New Roman"/>
          <w:lang w:val="en-IN"/>
        </w:rPr>
        <w:t>), and 4.58 kg/day (V</w:t>
      </w:r>
      <w:r w:rsidRPr="005101DB">
        <w:rPr>
          <w:rFonts w:ascii="Times New Roman" w:hAnsi="Times New Roman" w:cs="Times New Roman"/>
          <w:vertAlign w:val="subscript"/>
          <w:lang w:val="en-IN"/>
        </w:rPr>
        <w:t>6</w:t>
      </w:r>
      <w:r w:rsidRPr="005101DB">
        <w:rPr>
          <w:rFonts w:ascii="Times New Roman" w:hAnsi="Times New Roman" w:cs="Times New Roman"/>
          <w:lang w:val="en-IN"/>
        </w:rPr>
        <w:t>). Although feed intake was numerically higher in the vanadium-fed groups, the differences were not statistically significant (P &gt; 0.05). Additionally, feed consumption patterns across the observation intervals did not show significant variation among the groups.</w:t>
      </w:r>
    </w:p>
    <w:p w14:paraId="7DE3C817" w14:textId="6F3B8D69" w:rsidR="00A01A25" w:rsidRPr="005101DB" w:rsidRDefault="00A01A25"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 xml:space="preserve">Feed conversion efficiency is illustrated in </w:t>
      </w:r>
      <w:r w:rsidRPr="005101DB">
        <w:rPr>
          <w:rFonts w:ascii="Times New Roman" w:hAnsi="Times New Roman" w:cs="Times New Roman"/>
          <w:b/>
          <w:bCs/>
          <w:lang w:val="en-IN"/>
        </w:rPr>
        <w:t>Table 4</w:t>
      </w:r>
      <w:r w:rsidRPr="005101DB">
        <w:rPr>
          <w:rFonts w:ascii="Times New Roman" w:hAnsi="Times New Roman" w:cs="Times New Roman"/>
          <w:lang w:val="en-IN"/>
        </w:rPr>
        <w:t>. The FCR values were 11.28 (V</w:t>
      </w:r>
      <w:r w:rsidRPr="005101DB">
        <w:rPr>
          <w:rFonts w:ascii="Times New Roman" w:hAnsi="Times New Roman" w:cs="Times New Roman"/>
          <w:vertAlign w:val="subscript"/>
          <w:lang w:val="en-IN"/>
        </w:rPr>
        <w:t>0</w:t>
      </w:r>
      <w:r w:rsidRPr="005101DB">
        <w:rPr>
          <w:rFonts w:ascii="Times New Roman" w:hAnsi="Times New Roman" w:cs="Times New Roman"/>
          <w:lang w:val="en-IN"/>
        </w:rPr>
        <w:t>), 9.69 (V</w:t>
      </w:r>
      <w:r w:rsidRPr="005101DB">
        <w:rPr>
          <w:rFonts w:ascii="Times New Roman" w:hAnsi="Times New Roman" w:cs="Times New Roman"/>
          <w:vertAlign w:val="subscript"/>
          <w:lang w:val="en-IN"/>
        </w:rPr>
        <w:t>4</w:t>
      </w:r>
      <w:r w:rsidRPr="005101DB">
        <w:rPr>
          <w:rFonts w:ascii="Times New Roman" w:hAnsi="Times New Roman" w:cs="Times New Roman"/>
          <w:lang w:val="en-IN"/>
        </w:rPr>
        <w:t>), and 8.</w:t>
      </w:r>
      <w:r w:rsidR="009D5B6E">
        <w:rPr>
          <w:rFonts w:ascii="Times New Roman" w:hAnsi="Times New Roman" w:cs="Times New Roman"/>
          <w:lang w:val="en-IN"/>
        </w:rPr>
        <w:t>8</w:t>
      </w:r>
      <w:r w:rsidRPr="005101DB">
        <w:rPr>
          <w:rFonts w:ascii="Times New Roman" w:hAnsi="Times New Roman" w:cs="Times New Roman"/>
          <w:lang w:val="en-IN"/>
        </w:rPr>
        <w:t>1 (V</w:t>
      </w:r>
      <w:r w:rsidRPr="005101DB">
        <w:rPr>
          <w:rFonts w:ascii="Times New Roman" w:hAnsi="Times New Roman" w:cs="Times New Roman"/>
          <w:vertAlign w:val="subscript"/>
          <w:lang w:val="en-IN"/>
        </w:rPr>
        <w:t>6</w:t>
      </w:r>
      <w:r w:rsidRPr="005101DB">
        <w:rPr>
          <w:rFonts w:ascii="Times New Roman" w:hAnsi="Times New Roman" w:cs="Times New Roman"/>
          <w:lang w:val="en-IN"/>
        </w:rPr>
        <w:t xml:space="preserve">), indicating improved feed efficiency in vanadium-supplemented groups. </w:t>
      </w:r>
      <w:r w:rsidRPr="005101DB">
        <w:rPr>
          <w:rFonts w:ascii="Times New Roman" w:hAnsi="Times New Roman" w:cs="Times New Roman"/>
          <w:lang w:val="en-IN"/>
        </w:rPr>
        <w:lastRenderedPageBreak/>
        <w:t>Statistical analysis showed a significant reduction in FCR (P &lt; 0.05) in both V</w:t>
      </w:r>
      <w:r w:rsidRPr="009D5B6E">
        <w:rPr>
          <w:rFonts w:ascii="Times New Roman" w:hAnsi="Times New Roman" w:cs="Times New Roman"/>
          <w:vertAlign w:val="subscript"/>
          <w:lang w:val="en-IN"/>
        </w:rPr>
        <w:t>4</w:t>
      </w:r>
      <w:r w:rsidRPr="005101DB">
        <w:rPr>
          <w:rFonts w:ascii="Times New Roman" w:hAnsi="Times New Roman" w:cs="Times New Roman"/>
          <w:lang w:val="en-IN"/>
        </w:rPr>
        <w:t xml:space="preserve"> and V</w:t>
      </w:r>
      <w:r w:rsidRPr="009D5B6E">
        <w:rPr>
          <w:rFonts w:ascii="Times New Roman" w:hAnsi="Times New Roman" w:cs="Times New Roman"/>
          <w:vertAlign w:val="subscript"/>
          <w:lang w:val="en-IN"/>
        </w:rPr>
        <w:t>6</w:t>
      </w:r>
      <w:r w:rsidRPr="005101DB">
        <w:rPr>
          <w:rFonts w:ascii="Times New Roman" w:hAnsi="Times New Roman" w:cs="Times New Roman"/>
          <w:lang w:val="en-IN"/>
        </w:rPr>
        <w:t xml:space="preserve"> groups compared to the control, particularly during days 15, 30, and 60 of the study. This suggests enhanced nutrient utilization and better growth efficiency in buffalo calves receiving vanadium supplementation.</w:t>
      </w:r>
    </w:p>
    <w:p w14:paraId="2A931F2E" w14:textId="3D5B047E" w:rsidR="00045A1B" w:rsidRPr="005101DB" w:rsidRDefault="00045A1B"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 xml:space="preserve">Discussion </w:t>
      </w:r>
    </w:p>
    <w:p w14:paraId="680980AA" w14:textId="5DB35ACB" w:rsidR="00A01A25" w:rsidRPr="005101DB" w:rsidRDefault="00A01A25"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In the present study, the effects of dietary vanadium supplementation at 4.0 and 6.0 mg/kg DM were evaluated in growing Murrah buffalo calves to assess its potential role in enhancing growth performance. Interestingly, no significant improvement in final body weight was observed across the treatment groups. This result aligns with the findings of Hansard et al. (1982), who also reported no notable impact of vanadium on body weight in sheep.</w:t>
      </w:r>
      <w:r w:rsidR="00402DEC" w:rsidRPr="005101DB">
        <w:rPr>
          <w:rFonts w:ascii="Times New Roman" w:hAnsi="Times New Roman" w:cs="Times New Roman"/>
          <w:lang w:val="en-IN"/>
        </w:rPr>
        <w:t xml:space="preserve"> </w:t>
      </w:r>
      <w:r w:rsidRPr="005101DB">
        <w:rPr>
          <w:rFonts w:ascii="Times New Roman" w:hAnsi="Times New Roman" w:cs="Times New Roman"/>
          <w:lang w:val="en-IN"/>
        </w:rPr>
        <w:t>However, literature on this topic presents mixed results. Kumar et al. (2017) in crossbred calves and Digvijay et al. (2019) in Sahiwal calves have both reported that vanadium supplementation positively influenced body weight, indicating that breed differences, environmental factors, or dietary interactions might account for the variation in outcomes.</w:t>
      </w:r>
    </w:p>
    <w:p w14:paraId="4F99E594" w14:textId="77777777" w:rsidR="00A01A25" w:rsidRPr="005101DB" w:rsidRDefault="00A01A25"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 xml:space="preserve">While overall body weight remained statistically unchanged, the daily body weight gain (BWG) revealed a more promising trend. Calves receiving 6.0 mg/kg DM vanadium showed a significant increase in BWG, suggesting better nutrient utilization and growth rate under supplemented conditions. This observation is consistent with the findings of </w:t>
      </w:r>
      <w:proofErr w:type="spellStart"/>
      <w:r w:rsidRPr="005101DB">
        <w:rPr>
          <w:rFonts w:ascii="Times New Roman" w:hAnsi="Times New Roman" w:cs="Times New Roman"/>
          <w:lang w:val="en-IN"/>
        </w:rPr>
        <w:t>Zarqami</w:t>
      </w:r>
      <w:proofErr w:type="spellEnd"/>
      <w:r w:rsidRPr="005101DB">
        <w:rPr>
          <w:rFonts w:ascii="Times New Roman" w:hAnsi="Times New Roman" w:cs="Times New Roman"/>
          <w:lang w:val="en-IN"/>
        </w:rPr>
        <w:t xml:space="preserve"> et al. (2018) in goat kids, Yang et al. (2019) in yaks, and Gupta et al. (2020) in Haryana heifers. On the other hand, Singh et al. (2020) reported no such effect in Sahiwal calves supplemented with 3, 6, or 9 mg/kg DM vanadium, showing that responses may vary based on specific physiological and management conditions.</w:t>
      </w:r>
    </w:p>
    <w:p w14:paraId="5E094737" w14:textId="77777777" w:rsidR="00A01A25" w:rsidRPr="005101DB" w:rsidRDefault="00A01A25"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Regarding feed consumption, the results indicated no significant difference between groups, implying that vanadium supplementation did not stimulate appetite or voluntary feed intake. These findings are in agreement with earlier reports by Haenlein and Anke (2011) in goats, Heidari et al. (2016) in cows, Tripathi et al. (2019) in lactating goats, and Singh et al. (2020) in Sahiwal calves. However, some conflicting reports exist—Digvijay et al. (2019) observed lower feed intake at higher vanadium doses in Sahiwal calves, while Gupta et al. (2020) reported increased intake in Haryana heifers.</w:t>
      </w:r>
    </w:p>
    <w:p w14:paraId="413BE3FC" w14:textId="430B0F57" w:rsidR="00827EE6" w:rsidRPr="005101DB" w:rsidRDefault="00A01A25" w:rsidP="00F31824">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 xml:space="preserve">The most consistent and notable outcome was the improvement in Feed Conversion Ratio (FCR). Calves fed with vanadium at 4.0 or 6.0 mg/kg DM exhibited a significantly lower FCR, indicating improved efficiency in converting feed into body mass. These findings are well-supported by previous studies such as Ousterhout and Berg (1981) and </w:t>
      </w:r>
      <w:proofErr w:type="spellStart"/>
      <w:r w:rsidRPr="005101DB">
        <w:rPr>
          <w:rFonts w:ascii="Times New Roman" w:hAnsi="Times New Roman" w:cs="Times New Roman"/>
          <w:lang w:val="en-IN"/>
        </w:rPr>
        <w:t>Benabdeljelil</w:t>
      </w:r>
      <w:proofErr w:type="spellEnd"/>
      <w:r w:rsidRPr="005101DB">
        <w:rPr>
          <w:rFonts w:ascii="Times New Roman" w:hAnsi="Times New Roman" w:cs="Times New Roman"/>
          <w:lang w:val="en-IN"/>
        </w:rPr>
        <w:t xml:space="preserve"> and Jensen (1990) in poultry, and Pal et al. (2018) in crossbred calves, where vanadium supplementation led to enhanced feed efficiency.</w:t>
      </w:r>
    </w:p>
    <w:p w14:paraId="53E95C65" w14:textId="7B8F77EF" w:rsidR="00045A1B" w:rsidRPr="005101DB" w:rsidRDefault="00045A1B"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 xml:space="preserve">Conclusion </w:t>
      </w:r>
    </w:p>
    <w:p w14:paraId="49B93894" w14:textId="4ECE96C4" w:rsidR="00A01A25" w:rsidRPr="005101DB" w:rsidRDefault="00A01A25"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lastRenderedPageBreak/>
        <w:t xml:space="preserve">The present study aimed to evaluate the effects of vanadium supplementation at doses of 4.0 and 6.0 mg/kg DM on the growth performance of Murrah buffalo calves. While vanadium supplementation did not result in significant improvements in final body weight or feed </w:t>
      </w:r>
      <w:r w:rsidR="009D5B6E">
        <w:rPr>
          <w:rFonts w:ascii="Times New Roman" w:hAnsi="Times New Roman" w:cs="Times New Roman"/>
          <w:lang w:val="en-IN"/>
        </w:rPr>
        <w:t>intake</w:t>
      </w:r>
      <w:r w:rsidRPr="005101DB">
        <w:rPr>
          <w:rFonts w:ascii="Times New Roman" w:hAnsi="Times New Roman" w:cs="Times New Roman"/>
          <w:lang w:val="en-IN"/>
        </w:rPr>
        <w:t>, it did show a marked effect on body weight gain (BWG), particularly at the higher dose of 6.0 mg/kg DM. This suggests that vanadium may enhance nutrient utilization and growth efficiency in buffalo calves, even in the absence of substantial changes in feed intake. The Feed Conversion Ratio (FCR) was significantly improved in the supplemented groups, indicating enhanced feed efficiency. These findings support the potential role of vanadium as an effective nutritional supplement for improving feed efficiency and growth performance in buffalo calves. However, further research is necessary to explore the mechanisms underlying vanadium's effects, as well as the long-term impacts on health and productivity. Given the variability in responses across different species and breeds, more studies are warranted to determine the optimal dosage and sustainable application of vanadium supplementation in various livestock systems.</w:t>
      </w:r>
    </w:p>
    <w:p w14:paraId="5EE2EF81" w14:textId="77777777" w:rsidR="00F31824" w:rsidRPr="005101DB" w:rsidRDefault="00F31824" w:rsidP="005101DB">
      <w:pPr>
        <w:spacing w:line="276" w:lineRule="auto"/>
        <w:jc w:val="both"/>
        <w:rPr>
          <w:rFonts w:ascii="Times New Roman" w:hAnsi="Times New Roman" w:cs="Times New Roman"/>
          <w:lang w:val="en-IN"/>
        </w:rPr>
      </w:pPr>
      <w:bookmarkStart w:id="1" w:name="_GoBack"/>
      <w:bookmarkEnd w:id="1"/>
    </w:p>
    <w:p w14:paraId="3C56A212" w14:textId="62944F26" w:rsidR="001027B6" w:rsidRPr="005101DB" w:rsidRDefault="00045A1B"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 xml:space="preserve">References </w:t>
      </w:r>
    </w:p>
    <w:p w14:paraId="58E42BF5"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[APEDA] Agricultural and Processed Food Products Export Development Authority. 2014. Government of India: ministry of commerce and industry; [cited 2014 Mar 13]. Available from: </w:t>
      </w:r>
      <w:hyperlink r:id="rId7" w:history="1">
        <w:r w:rsidRPr="00196767">
          <w:rPr>
            <w:rStyle w:val="Hyperlink"/>
            <w:rFonts w:ascii="Times New Roman" w:hAnsi="Times New Roman" w:cs="Times New Roman"/>
            <w:lang w:val="en-IN"/>
          </w:rPr>
          <w:t>http://apeda.gov.in/apedawebsite/index.html/</w:t>
        </w:r>
      </w:hyperlink>
    </w:p>
    <w:p w14:paraId="44773790"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Anke, M., Illing-Günther, H. and Schäfer, U. (2005). Recent progress on essentiality of the </w:t>
      </w:r>
      <w:proofErr w:type="spellStart"/>
      <w:r w:rsidRPr="00196767">
        <w:rPr>
          <w:rFonts w:ascii="Times New Roman" w:hAnsi="Times New Roman" w:cs="Times New Roman"/>
          <w:lang w:val="en-IN"/>
        </w:rPr>
        <w:t>ultratrace</w:t>
      </w:r>
      <w:proofErr w:type="spellEnd"/>
      <w:r w:rsidRPr="00196767">
        <w:rPr>
          <w:rFonts w:ascii="Times New Roman" w:hAnsi="Times New Roman" w:cs="Times New Roman"/>
          <w:lang w:val="en-IN"/>
        </w:rPr>
        <w:t xml:space="preserve"> element vanadium in the nutrition of animal and man, Biomedical </w:t>
      </w:r>
      <w:proofErr w:type="spellStart"/>
      <w:r w:rsidRPr="00196767">
        <w:rPr>
          <w:rFonts w:ascii="Times New Roman" w:hAnsi="Times New Roman" w:cs="Times New Roman"/>
          <w:lang w:val="en-IN"/>
        </w:rPr>
        <w:t>Ressearch</w:t>
      </w:r>
      <w:proofErr w:type="spellEnd"/>
      <w:r w:rsidRPr="00196767">
        <w:rPr>
          <w:rFonts w:ascii="Times New Roman" w:hAnsi="Times New Roman" w:cs="Times New Roman"/>
          <w:lang w:val="en-IN"/>
        </w:rPr>
        <w:t xml:space="preserve"> Trace Elements. 16: 208–214.</w:t>
      </w:r>
    </w:p>
    <w:p w14:paraId="2C9B55D2"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proofErr w:type="spellStart"/>
      <w:r w:rsidRPr="00196767">
        <w:rPr>
          <w:rFonts w:ascii="Times New Roman" w:hAnsi="Times New Roman" w:cs="Times New Roman"/>
          <w:lang w:val="en-IN"/>
        </w:rPr>
        <w:t>Balos</w:t>
      </w:r>
      <w:proofErr w:type="spellEnd"/>
      <w:r w:rsidRPr="00196767">
        <w:rPr>
          <w:rFonts w:ascii="Times New Roman" w:hAnsi="Times New Roman" w:cs="Times New Roman"/>
          <w:lang w:val="en-IN"/>
        </w:rPr>
        <w:t xml:space="preserve">, M.Z., </w:t>
      </w:r>
      <w:proofErr w:type="spellStart"/>
      <w:r w:rsidRPr="00196767">
        <w:rPr>
          <w:rFonts w:ascii="Times New Roman" w:hAnsi="Times New Roman" w:cs="Times New Roman"/>
          <w:lang w:val="en-IN"/>
        </w:rPr>
        <w:t>Ljubojevic</w:t>
      </w:r>
      <w:proofErr w:type="spellEnd"/>
      <w:r w:rsidRPr="00196767">
        <w:rPr>
          <w:rFonts w:ascii="Times New Roman" w:hAnsi="Times New Roman" w:cs="Times New Roman"/>
          <w:lang w:val="en-IN"/>
        </w:rPr>
        <w:t xml:space="preserve">, D., Jaksic, S., </w:t>
      </w:r>
      <w:proofErr w:type="spellStart"/>
      <w:r w:rsidRPr="00196767">
        <w:rPr>
          <w:rFonts w:ascii="Times New Roman" w:hAnsi="Times New Roman" w:cs="Times New Roman"/>
          <w:lang w:val="en-IN"/>
        </w:rPr>
        <w:t>Mihaljev</w:t>
      </w:r>
      <w:proofErr w:type="spellEnd"/>
      <w:r w:rsidRPr="00196767">
        <w:rPr>
          <w:rFonts w:ascii="Times New Roman" w:hAnsi="Times New Roman" w:cs="Times New Roman"/>
          <w:lang w:val="en-IN"/>
        </w:rPr>
        <w:t xml:space="preserve">, Z., </w:t>
      </w:r>
      <w:proofErr w:type="spellStart"/>
      <w:r w:rsidRPr="00196767">
        <w:rPr>
          <w:rFonts w:ascii="Times New Roman" w:hAnsi="Times New Roman" w:cs="Times New Roman"/>
          <w:lang w:val="en-IN"/>
        </w:rPr>
        <w:t>PeliC</w:t>
      </w:r>
      <w:proofErr w:type="spellEnd"/>
      <w:r w:rsidRPr="00196767">
        <w:rPr>
          <w:rFonts w:ascii="Times New Roman" w:hAnsi="Times New Roman" w:cs="Times New Roman"/>
          <w:lang w:val="en-IN"/>
        </w:rPr>
        <w:t>, M., Petrovic, T. and Sefer, D. (2017). Vanadium in poultry nutrition.</w:t>
      </w:r>
    </w:p>
    <w:p w14:paraId="5E383034"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proofErr w:type="spellStart"/>
      <w:r w:rsidRPr="00196767">
        <w:rPr>
          <w:rFonts w:ascii="Times New Roman" w:hAnsi="Times New Roman" w:cs="Times New Roman"/>
          <w:lang w:val="en-IN"/>
        </w:rPr>
        <w:t>Benabdeljeli</w:t>
      </w:r>
      <w:proofErr w:type="spellEnd"/>
      <w:r w:rsidRPr="00196767">
        <w:rPr>
          <w:rFonts w:ascii="Times New Roman" w:hAnsi="Times New Roman" w:cs="Times New Roman"/>
          <w:lang w:val="en-IN"/>
        </w:rPr>
        <w:t>, l. K. and Jensen, L. S. (1990). Effectiveness of ascorbic acid and chromium in counteracting the negative effects of dietary vanadium on interior egg quality. Poultry Science, 69(5): 781-786.</w:t>
      </w:r>
    </w:p>
    <w:p w14:paraId="2C9E2FB5"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Digvijay, S., Chander, D., Akash, M., Swati, S., Ritika, G. and Veena, M. (2019). Effect of dietary vanadium supplementation on growth performance, mineral balance and antioxidant activity in male Sahiwal calves. Indian Journal of Animal Sciences, 89(5): 543-548.</w:t>
      </w:r>
    </w:p>
    <w:p w14:paraId="4B98ED0C"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Digvijay, S., Chander, D., Akash, M., Swati, S., Ritika, G. and Veena, M. (2019). Effect of dietary vanadium supplementation on growth performance, mineral balance and antioxidant activity in male Sahiwal calves. Indian Journal of Animal Sciences, 89(5): 543-548.</w:t>
      </w:r>
    </w:p>
    <w:p w14:paraId="44CACB56"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proofErr w:type="spellStart"/>
      <w:r w:rsidRPr="00196767">
        <w:rPr>
          <w:rFonts w:ascii="Times New Roman" w:hAnsi="Times New Roman" w:cs="Times New Roman"/>
          <w:lang w:val="en-IN"/>
        </w:rPr>
        <w:t>Francik</w:t>
      </w:r>
      <w:proofErr w:type="spellEnd"/>
      <w:r w:rsidRPr="00196767">
        <w:rPr>
          <w:rFonts w:ascii="Times New Roman" w:hAnsi="Times New Roman" w:cs="Times New Roman"/>
          <w:lang w:val="en-IN"/>
        </w:rPr>
        <w:t xml:space="preserve"> R, </w:t>
      </w:r>
      <w:proofErr w:type="spellStart"/>
      <w:r w:rsidRPr="00196767">
        <w:rPr>
          <w:rFonts w:ascii="Times New Roman" w:hAnsi="Times New Roman" w:cs="Times New Roman"/>
          <w:lang w:val="en-IN"/>
        </w:rPr>
        <w:t>Krosniak</w:t>
      </w:r>
      <w:proofErr w:type="spellEnd"/>
      <w:r w:rsidRPr="00196767">
        <w:rPr>
          <w:rFonts w:ascii="Times New Roman" w:hAnsi="Times New Roman" w:cs="Times New Roman"/>
          <w:lang w:val="en-IN"/>
        </w:rPr>
        <w:t xml:space="preserve"> M, </w:t>
      </w:r>
      <w:proofErr w:type="spellStart"/>
      <w:r w:rsidRPr="00196767">
        <w:rPr>
          <w:rFonts w:ascii="Times New Roman" w:hAnsi="Times New Roman" w:cs="Times New Roman"/>
          <w:lang w:val="en-IN"/>
        </w:rPr>
        <w:t>Barlik</w:t>
      </w:r>
      <w:proofErr w:type="spellEnd"/>
      <w:r w:rsidRPr="00196767">
        <w:rPr>
          <w:rFonts w:ascii="Times New Roman" w:hAnsi="Times New Roman" w:cs="Times New Roman"/>
          <w:lang w:val="en-IN"/>
        </w:rPr>
        <w:t xml:space="preserve"> M, </w:t>
      </w:r>
      <w:proofErr w:type="spellStart"/>
      <w:r w:rsidRPr="00196767">
        <w:rPr>
          <w:rFonts w:ascii="Times New Roman" w:hAnsi="Times New Roman" w:cs="Times New Roman"/>
          <w:lang w:val="en-IN"/>
        </w:rPr>
        <w:t>Kudla</w:t>
      </w:r>
      <w:proofErr w:type="spellEnd"/>
      <w:r w:rsidRPr="00196767">
        <w:rPr>
          <w:rFonts w:ascii="Times New Roman" w:hAnsi="Times New Roman" w:cs="Times New Roman"/>
          <w:lang w:val="en-IN"/>
        </w:rPr>
        <w:t xml:space="preserve"> A, </w:t>
      </w:r>
      <w:proofErr w:type="spellStart"/>
      <w:r w:rsidRPr="00196767">
        <w:rPr>
          <w:rFonts w:ascii="Times New Roman" w:hAnsi="Times New Roman" w:cs="Times New Roman"/>
          <w:lang w:val="en-IN"/>
        </w:rPr>
        <w:t>Grybos</w:t>
      </w:r>
      <w:proofErr w:type="spellEnd"/>
      <w:r w:rsidRPr="00196767">
        <w:rPr>
          <w:rFonts w:ascii="Times New Roman" w:hAnsi="Times New Roman" w:cs="Times New Roman"/>
          <w:lang w:val="en-IN"/>
        </w:rPr>
        <w:t xml:space="preserve"> R and </w:t>
      </w:r>
      <w:proofErr w:type="spellStart"/>
      <w:r w:rsidRPr="00196767">
        <w:rPr>
          <w:rFonts w:ascii="Times New Roman" w:hAnsi="Times New Roman" w:cs="Times New Roman"/>
          <w:lang w:val="en-IN"/>
        </w:rPr>
        <w:t>Librowski</w:t>
      </w:r>
      <w:proofErr w:type="spellEnd"/>
      <w:r w:rsidRPr="00196767">
        <w:rPr>
          <w:rFonts w:ascii="Times New Roman" w:hAnsi="Times New Roman" w:cs="Times New Roman"/>
          <w:lang w:val="en-IN"/>
        </w:rPr>
        <w:t xml:space="preserve"> T. 2011. Impact of vanadium complexes treatment on the oxidative stress factors in </w:t>
      </w:r>
      <w:proofErr w:type="spellStart"/>
      <w:r w:rsidRPr="00196767">
        <w:rPr>
          <w:rFonts w:ascii="Times New Roman" w:hAnsi="Times New Roman" w:cs="Times New Roman"/>
          <w:lang w:val="en-IN"/>
        </w:rPr>
        <w:t>Wistarrats</w:t>
      </w:r>
      <w:proofErr w:type="spellEnd"/>
      <w:r w:rsidRPr="00196767">
        <w:rPr>
          <w:rFonts w:ascii="Times New Roman" w:hAnsi="Times New Roman" w:cs="Times New Roman"/>
          <w:lang w:val="en-IN"/>
        </w:rPr>
        <w:t xml:space="preserve"> plasma. Bioinorganic Chemicals Applications 16: 1–8.</w:t>
      </w:r>
    </w:p>
    <w:p w14:paraId="32E78440"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Gulia, S., M. Sarkar, V. Kumar, H.H.D. Meyer and B.S. Prakash. 2010. Divergent development of testosterone secretion in male zebu (Bos indicus) and crossbred (Bos </w:t>
      </w:r>
      <w:r w:rsidRPr="00196767">
        <w:rPr>
          <w:rFonts w:ascii="Times New Roman" w:hAnsi="Times New Roman" w:cs="Times New Roman"/>
          <w:lang w:val="en-IN"/>
        </w:rPr>
        <w:lastRenderedPageBreak/>
        <w:t>indicus × Bos Taurus) and buffaloes (Bubalus bubalis) during growth. Trop. Anim. Health Pro., 42: 1143-1148.</w:t>
      </w:r>
    </w:p>
    <w:p w14:paraId="76C95534"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Gupta, P. K., Vaswani, S., Kumar, V., Roy, D., Kumar, M., Kushwaha, R. and Shukla, A. (2020). Investigations on modulating effect of vanadium supplementation on </w:t>
      </w:r>
      <w:proofErr w:type="spellStart"/>
      <w:r w:rsidRPr="00196767">
        <w:rPr>
          <w:rFonts w:ascii="Times New Roman" w:hAnsi="Times New Roman" w:cs="Times New Roman"/>
          <w:lang w:val="en-IN"/>
        </w:rPr>
        <w:t>growthand</w:t>
      </w:r>
      <w:proofErr w:type="spellEnd"/>
      <w:r w:rsidRPr="00196767">
        <w:rPr>
          <w:rFonts w:ascii="Times New Roman" w:hAnsi="Times New Roman" w:cs="Times New Roman"/>
          <w:lang w:val="en-IN"/>
        </w:rPr>
        <w:t xml:space="preserve"> metabolism through improved immune response, antioxidative profile and endocrine variables in </w:t>
      </w:r>
      <w:proofErr w:type="spellStart"/>
      <w:r w:rsidRPr="00196767">
        <w:rPr>
          <w:rFonts w:ascii="Times New Roman" w:hAnsi="Times New Roman" w:cs="Times New Roman"/>
          <w:lang w:val="en-IN"/>
        </w:rPr>
        <w:t>Hariana</w:t>
      </w:r>
      <w:proofErr w:type="spellEnd"/>
      <w:r w:rsidRPr="00196767">
        <w:rPr>
          <w:rFonts w:ascii="Times New Roman" w:hAnsi="Times New Roman" w:cs="Times New Roman"/>
          <w:lang w:val="en-IN"/>
        </w:rPr>
        <w:t xml:space="preserve"> heifers. Biological Trace Element Research, 194(2): 379- 389.</w:t>
      </w:r>
    </w:p>
    <w:p w14:paraId="24D69072"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Gupta, P. K., Vaswani, S., Kumar, V., Roy, D., Kumar, M., Kushwaha, R. and Shukla, A. (2020). Investigations on modulating effect of vanadium supplementation on </w:t>
      </w:r>
      <w:proofErr w:type="spellStart"/>
      <w:r w:rsidRPr="00196767">
        <w:rPr>
          <w:rFonts w:ascii="Times New Roman" w:hAnsi="Times New Roman" w:cs="Times New Roman"/>
          <w:lang w:val="en-IN"/>
        </w:rPr>
        <w:t>growthand</w:t>
      </w:r>
      <w:proofErr w:type="spellEnd"/>
      <w:r w:rsidRPr="00196767">
        <w:rPr>
          <w:rFonts w:ascii="Times New Roman" w:hAnsi="Times New Roman" w:cs="Times New Roman"/>
          <w:lang w:val="en-IN"/>
        </w:rPr>
        <w:t xml:space="preserve"> metabolism through improved immune response, antioxidative profile and endocrine variables in </w:t>
      </w:r>
      <w:proofErr w:type="spellStart"/>
      <w:r w:rsidRPr="00196767">
        <w:rPr>
          <w:rFonts w:ascii="Times New Roman" w:hAnsi="Times New Roman" w:cs="Times New Roman"/>
          <w:lang w:val="en-IN"/>
        </w:rPr>
        <w:t>Hariana</w:t>
      </w:r>
      <w:proofErr w:type="spellEnd"/>
      <w:r w:rsidRPr="00196767">
        <w:rPr>
          <w:rFonts w:ascii="Times New Roman" w:hAnsi="Times New Roman" w:cs="Times New Roman"/>
          <w:lang w:val="en-IN"/>
        </w:rPr>
        <w:t xml:space="preserve"> heifers. Biological Trace Element Research, 194(2): 379- 389.</w:t>
      </w:r>
    </w:p>
    <w:p w14:paraId="56703643"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Haenlein, G. F. W. and Anke, M. (2011). Mineral and trace element research in goats: A review. Small Ruminant Research, 95(1): 2-19.</w:t>
      </w:r>
    </w:p>
    <w:p w14:paraId="29DE81CE" w14:textId="46678628"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Hansard, S. L., Ammerman, C. B., Fick, K. R. and Miller, S. </w:t>
      </w:r>
      <w:r w:rsidR="00053086" w:rsidRPr="00196767">
        <w:rPr>
          <w:rFonts w:ascii="Times New Roman" w:hAnsi="Times New Roman" w:cs="Times New Roman"/>
          <w:lang w:val="en-IN"/>
        </w:rPr>
        <w:t>M. (</w:t>
      </w:r>
      <w:r w:rsidRPr="00196767">
        <w:rPr>
          <w:rFonts w:ascii="Times New Roman" w:hAnsi="Times New Roman" w:cs="Times New Roman"/>
          <w:lang w:val="en-IN"/>
        </w:rPr>
        <w:t>1978). Performance and vanadium content of tissues in sheep as influenced by dietary vanadium. Journal of Animal Science, 46(4):1091-1095.</w:t>
      </w:r>
    </w:p>
    <w:p w14:paraId="58269107"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Harati M and Ani M. 2006. Low doses of vanadyl </w:t>
      </w:r>
      <w:proofErr w:type="spellStart"/>
      <w:r w:rsidRPr="00196767">
        <w:rPr>
          <w:rFonts w:ascii="Times New Roman" w:hAnsi="Times New Roman" w:cs="Times New Roman"/>
          <w:lang w:val="en-IN"/>
        </w:rPr>
        <w:t>sulfate</w:t>
      </w:r>
      <w:proofErr w:type="spellEnd"/>
      <w:r w:rsidRPr="00196767">
        <w:rPr>
          <w:rFonts w:ascii="Times New Roman" w:hAnsi="Times New Roman" w:cs="Times New Roman"/>
          <w:lang w:val="en-IN"/>
        </w:rPr>
        <w:t xml:space="preserve"> protects rats from lipid peroxidation and </w:t>
      </w:r>
      <w:proofErr w:type="spellStart"/>
      <w:r w:rsidRPr="00196767">
        <w:rPr>
          <w:rFonts w:ascii="Times New Roman" w:hAnsi="Times New Roman" w:cs="Times New Roman"/>
          <w:lang w:val="en-IN"/>
        </w:rPr>
        <w:t>hypertriglyceridemic</w:t>
      </w:r>
      <w:proofErr w:type="spellEnd"/>
      <w:r w:rsidRPr="00196767">
        <w:rPr>
          <w:rFonts w:ascii="Times New Roman" w:hAnsi="Times New Roman" w:cs="Times New Roman"/>
          <w:lang w:val="en-IN"/>
        </w:rPr>
        <w:t xml:space="preserve"> effects of fructose-enriched diet. International Journal of Diabetes Metabolism 14: 134.</w:t>
      </w:r>
    </w:p>
    <w:p w14:paraId="5A96A789"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Heidari, S. R., </w:t>
      </w:r>
      <w:proofErr w:type="spellStart"/>
      <w:r w:rsidRPr="00196767">
        <w:rPr>
          <w:rFonts w:ascii="Times New Roman" w:hAnsi="Times New Roman" w:cs="Times New Roman"/>
          <w:lang w:val="en-IN"/>
        </w:rPr>
        <w:t>Ganjkhanlou</w:t>
      </w:r>
      <w:proofErr w:type="spellEnd"/>
      <w:r w:rsidRPr="00196767">
        <w:rPr>
          <w:rFonts w:ascii="Times New Roman" w:hAnsi="Times New Roman" w:cs="Times New Roman"/>
          <w:lang w:val="en-IN"/>
        </w:rPr>
        <w:t xml:space="preserve">, M., Zali, A., Ghorbani, G. R., </w:t>
      </w:r>
      <w:proofErr w:type="spellStart"/>
      <w:r w:rsidRPr="00196767">
        <w:rPr>
          <w:rFonts w:ascii="Times New Roman" w:hAnsi="Times New Roman" w:cs="Times New Roman"/>
          <w:lang w:val="en-IN"/>
        </w:rPr>
        <w:t>Dehghan-Banadaky</w:t>
      </w:r>
      <w:proofErr w:type="spellEnd"/>
      <w:r w:rsidRPr="00196767">
        <w:rPr>
          <w:rFonts w:ascii="Times New Roman" w:hAnsi="Times New Roman" w:cs="Times New Roman"/>
          <w:lang w:val="en-IN"/>
        </w:rPr>
        <w:t xml:space="preserve">, M. and </w:t>
      </w:r>
      <w:proofErr w:type="spellStart"/>
      <w:r w:rsidRPr="00196767">
        <w:rPr>
          <w:rFonts w:ascii="Times New Roman" w:hAnsi="Times New Roman" w:cs="Times New Roman"/>
          <w:lang w:val="en-IN"/>
        </w:rPr>
        <w:t>Hayirli</w:t>
      </w:r>
      <w:proofErr w:type="spellEnd"/>
      <w:r w:rsidRPr="00196767">
        <w:rPr>
          <w:rFonts w:ascii="Times New Roman" w:hAnsi="Times New Roman" w:cs="Times New Roman"/>
          <w:lang w:val="en-IN"/>
        </w:rPr>
        <w:t>, A. (2016). Effects of vanadium supplementation on performance and metabolic parameters in periparturient dairy cows. Animal Feed Science and Technology, 216: 138- 145.</w:t>
      </w:r>
    </w:p>
    <w:p w14:paraId="60A6257C"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Hirano S and Suzuki K T. 1996. Exposure metabolism and toxicity for rare earths and related compounds. Environmental Health Perspectives 104: 85–95.</w:t>
      </w:r>
    </w:p>
    <w:p w14:paraId="60F8E368"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ICAR. 2013. Nutrient Requirements of Cattle and Buffaloes. 3rd </w:t>
      </w:r>
      <w:proofErr w:type="spellStart"/>
      <w:r w:rsidRPr="00196767">
        <w:rPr>
          <w:rFonts w:ascii="Times New Roman" w:hAnsi="Times New Roman" w:cs="Times New Roman"/>
          <w:lang w:val="en-IN"/>
        </w:rPr>
        <w:t>edn</w:t>
      </w:r>
      <w:proofErr w:type="spellEnd"/>
      <w:r w:rsidRPr="00196767">
        <w:rPr>
          <w:rFonts w:ascii="Times New Roman" w:hAnsi="Times New Roman" w:cs="Times New Roman"/>
          <w:lang w:val="en-IN"/>
        </w:rPr>
        <w:t>. Indian Council of Agricultural Research, New Delhi, India.</w:t>
      </w:r>
    </w:p>
    <w:p w14:paraId="4738F30F"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Koch RM, Swiger LA, Chambers D, Gregory KE. 1963. Efficiency of feed use in beef cattle. J Anim Sci. 22:486–494.</w:t>
      </w:r>
    </w:p>
    <w:p w14:paraId="6ED15DF7"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proofErr w:type="spellStart"/>
      <w:r w:rsidRPr="00196767">
        <w:rPr>
          <w:rFonts w:ascii="Times New Roman" w:hAnsi="Times New Roman" w:cs="Times New Roman"/>
          <w:lang w:val="en-IN"/>
        </w:rPr>
        <w:t>Kotayya</w:t>
      </w:r>
      <w:proofErr w:type="spellEnd"/>
      <w:r w:rsidRPr="00196767">
        <w:rPr>
          <w:rFonts w:ascii="Times New Roman" w:hAnsi="Times New Roman" w:cs="Times New Roman"/>
          <w:lang w:val="en-IN"/>
        </w:rPr>
        <w:t xml:space="preserve">, K. and A.V. </w:t>
      </w:r>
      <w:proofErr w:type="spellStart"/>
      <w:r w:rsidRPr="00196767">
        <w:rPr>
          <w:rFonts w:ascii="Times New Roman" w:hAnsi="Times New Roman" w:cs="Times New Roman"/>
          <w:lang w:val="en-IN"/>
        </w:rPr>
        <w:t>Narasimharao</w:t>
      </w:r>
      <w:proofErr w:type="spellEnd"/>
      <w:r w:rsidRPr="00196767">
        <w:rPr>
          <w:rFonts w:ascii="Times New Roman" w:hAnsi="Times New Roman" w:cs="Times New Roman"/>
          <w:lang w:val="en-IN"/>
        </w:rPr>
        <w:t>. 1972. Studies on growth, puberty and semen production in A.I. bulls. Indian Vet. J., 49: 901-910.</w:t>
      </w:r>
    </w:p>
    <w:p w14:paraId="710EAC90"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Kumar, R., Kewalramani, N., Pal, R. P. and Mani, V. (2017). Vanadium supplementation vis a-vis growth and nutrient utilization in Karan Fries calves. Indian Journal of Animal Nutrition, 34(2): 169-172.</w:t>
      </w:r>
    </w:p>
    <w:p w14:paraId="5AFEF670" w14:textId="1BAEFA82"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Liu Y, Xu J, Guo Y, Xue Y, Wang and J Xue C. 2015. Ameliorative effect of </w:t>
      </w:r>
      <w:r w:rsidR="00053086" w:rsidRPr="00196767">
        <w:rPr>
          <w:rFonts w:ascii="Times New Roman" w:hAnsi="Times New Roman" w:cs="Times New Roman"/>
          <w:lang w:val="en-IN"/>
        </w:rPr>
        <w:t>vanadyl (</w:t>
      </w:r>
      <w:r w:rsidRPr="00196767">
        <w:rPr>
          <w:rFonts w:ascii="Times New Roman" w:hAnsi="Times New Roman" w:cs="Times New Roman"/>
          <w:lang w:val="en-IN"/>
        </w:rPr>
        <w:t xml:space="preserve">IV)-ascorbate complex on high-fat </w:t>
      </w:r>
      <w:proofErr w:type="spellStart"/>
      <w:r w:rsidRPr="00196767">
        <w:rPr>
          <w:rFonts w:ascii="Times New Roman" w:hAnsi="Times New Roman" w:cs="Times New Roman"/>
          <w:lang w:val="en-IN"/>
        </w:rPr>
        <w:t>highsucrose</w:t>
      </w:r>
      <w:proofErr w:type="spellEnd"/>
      <w:r w:rsidRPr="00196767">
        <w:rPr>
          <w:rFonts w:ascii="Times New Roman" w:hAnsi="Times New Roman" w:cs="Times New Roman"/>
          <w:lang w:val="en-IN"/>
        </w:rPr>
        <w:t xml:space="preserve"> diet-induced </w:t>
      </w:r>
      <w:proofErr w:type="spellStart"/>
      <w:r w:rsidRPr="00196767">
        <w:rPr>
          <w:rFonts w:ascii="Times New Roman" w:hAnsi="Times New Roman" w:cs="Times New Roman"/>
          <w:lang w:val="en-IN"/>
        </w:rPr>
        <w:t>hyperglycemia</w:t>
      </w:r>
      <w:proofErr w:type="spellEnd"/>
      <w:r w:rsidRPr="00196767">
        <w:rPr>
          <w:rFonts w:ascii="Times New Roman" w:hAnsi="Times New Roman" w:cs="Times New Roman"/>
          <w:lang w:val="en-IN"/>
        </w:rPr>
        <w:t>, insulin resistance, and oxidative stress in mice. Journal of Trace Element Medical Biology 32: 155–61.</w:t>
      </w:r>
    </w:p>
    <w:p w14:paraId="024116B6"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Maylor, E. A., Simpson, E. E., Secker, D. L., Meunier, N., </w:t>
      </w:r>
      <w:proofErr w:type="spellStart"/>
      <w:r w:rsidRPr="00196767">
        <w:rPr>
          <w:rFonts w:ascii="Times New Roman" w:hAnsi="Times New Roman" w:cs="Times New Roman"/>
          <w:lang w:val="en-IN"/>
        </w:rPr>
        <w:t>Andriollo</w:t>
      </w:r>
      <w:proofErr w:type="spellEnd"/>
      <w:r w:rsidRPr="00196767">
        <w:rPr>
          <w:rFonts w:ascii="Times New Roman" w:hAnsi="Times New Roman" w:cs="Times New Roman"/>
          <w:lang w:val="en-IN"/>
        </w:rPr>
        <w:t>-Sanchez, M., Polito, A. and Coudray, C. (2006). Effects of zinc supplementation on cognitive function in healthy middle-aged and older adults: the ZENITH study. British Journal of Nutrition. 96(4): 752-760.</w:t>
      </w:r>
    </w:p>
    <w:p w14:paraId="1610E670"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lastRenderedPageBreak/>
        <w:t xml:space="preserve">Nielsen F H, Uhrich K and Uthus E O. 1984. Interactions among vanadium, iron and cysteine in </w:t>
      </w:r>
      <w:proofErr w:type="gramStart"/>
      <w:r w:rsidRPr="00196767">
        <w:rPr>
          <w:rFonts w:ascii="Times New Roman" w:hAnsi="Times New Roman" w:cs="Times New Roman"/>
          <w:lang w:val="en-IN"/>
        </w:rPr>
        <w:t>rats</w:t>
      </w:r>
      <w:proofErr w:type="gramEnd"/>
      <w:r w:rsidRPr="00196767">
        <w:rPr>
          <w:rFonts w:ascii="Times New Roman" w:hAnsi="Times New Roman" w:cs="Times New Roman"/>
          <w:lang w:val="en-IN"/>
        </w:rPr>
        <w:t xml:space="preserve"> growth, blood parameters and organ/body </w:t>
      </w:r>
      <w:proofErr w:type="spellStart"/>
      <w:r w:rsidRPr="00196767">
        <w:rPr>
          <w:rFonts w:ascii="Times New Roman" w:hAnsi="Times New Roman" w:cs="Times New Roman"/>
          <w:lang w:val="en-IN"/>
        </w:rPr>
        <w:t>wt</w:t>
      </w:r>
      <w:proofErr w:type="spellEnd"/>
      <w:r w:rsidRPr="00196767">
        <w:rPr>
          <w:rFonts w:ascii="Times New Roman" w:hAnsi="Times New Roman" w:cs="Times New Roman"/>
          <w:lang w:val="en-IN"/>
        </w:rPr>
        <w:t xml:space="preserve"> ratios. Biological Trace Element Research 6: 117–32.</w:t>
      </w:r>
    </w:p>
    <w:p w14:paraId="21651183"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Nielsen, F. H. (2004). Dietary fat composition modifies the effect of boron on bone characteristics and plasma lipids in rats. </w:t>
      </w:r>
      <w:proofErr w:type="spellStart"/>
      <w:r w:rsidRPr="00196767">
        <w:rPr>
          <w:rFonts w:ascii="Times New Roman" w:hAnsi="Times New Roman" w:cs="Times New Roman"/>
          <w:lang w:val="en-IN"/>
        </w:rPr>
        <w:t>Biofactors</w:t>
      </w:r>
      <w:proofErr w:type="spellEnd"/>
      <w:r w:rsidRPr="00196767">
        <w:rPr>
          <w:rFonts w:ascii="Times New Roman" w:hAnsi="Times New Roman" w:cs="Times New Roman"/>
          <w:lang w:val="en-IN"/>
        </w:rPr>
        <w:t>. 20(3): 161-171.</w:t>
      </w:r>
    </w:p>
    <w:p w14:paraId="3D5D8942"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Ousterhout, L. E. and Berg, L. R. (1981). Effects of diet composition on vanadium toxicity in laying hens. Poultry Science, 60(6): 1152-1159.</w:t>
      </w:r>
    </w:p>
    <w:p w14:paraId="48678B6F"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Pal, R. P., Mani, V., Tripathi, D. and Datt, C. (2018). Inorganic vanadium supplementation in crossbred calves: effects on antioxidant status, immune response and haemato-biochemical attributes. Biological Trace Element Research, 186(1): 154-161.</w:t>
      </w:r>
    </w:p>
    <w:p w14:paraId="475CEEBA"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Rayman, M. P. (2005). Selenium in cancer prevention: a review of the evidence and mechanism of action. Proceedings of the Nutrition Society. 64(4): 527-542.</w:t>
      </w:r>
    </w:p>
    <w:p w14:paraId="533F2166"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Richardson EC, Herd RM, Archer JA, Arthur PF. 2004. Metabolic differences in Angus steers divergently selected for residual feed intake. </w:t>
      </w:r>
      <w:proofErr w:type="spellStart"/>
      <w:r w:rsidRPr="00196767">
        <w:rPr>
          <w:rFonts w:ascii="Times New Roman" w:hAnsi="Times New Roman" w:cs="Times New Roman"/>
          <w:lang w:val="en-IN"/>
        </w:rPr>
        <w:t>Aust</w:t>
      </w:r>
      <w:proofErr w:type="spellEnd"/>
      <w:r w:rsidRPr="00196767">
        <w:rPr>
          <w:rFonts w:ascii="Times New Roman" w:hAnsi="Times New Roman" w:cs="Times New Roman"/>
          <w:lang w:val="en-IN"/>
        </w:rPr>
        <w:t xml:space="preserve"> J Exp Agric. 44:441–452.</w:t>
      </w:r>
    </w:p>
    <w:p w14:paraId="37F11900"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Singh, D., Datt, C., Mishra, A., Shivani, S., Gupta, R. and Mani, V. (2020). Influence of dietary vanadium supplementation on nutrient utilization, growth performance and blood biochemical parameters in Sahiwal calves. Indian Journal of Animal Research, 54(8):973 980.</w:t>
      </w:r>
    </w:p>
    <w:p w14:paraId="3758F1C3"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Singh, D., Datt, C., Mishra, A., Shivani, S., Gupta, R. and Mani, V. (2020). Influence of dietary vanadium supplementation on nutrient utilization, growth performance and blood biochemical parameters in Sahiwal calves. Indian Journal of Animal Research, 54(8):973 980.</w:t>
      </w:r>
    </w:p>
    <w:p w14:paraId="6A3F9ABB"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Spears, J.W. (2003). Trace mineral bioavailability in ruminants. Journal of Nutrition. 133: 1506S–1509S.</w:t>
      </w:r>
    </w:p>
    <w:p w14:paraId="251FF06C"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Suttle, N.F. (2010). Occasionally Beneficial Elements. Mineral Nutrition of Livestock (4th </w:t>
      </w:r>
      <w:proofErr w:type="spellStart"/>
      <w:r w:rsidRPr="00196767">
        <w:rPr>
          <w:rFonts w:ascii="Times New Roman" w:hAnsi="Times New Roman" w:cs="Times New Roman"/>
          <w:lang w:val="en-IN"/>
        </w:rPr>
        <w:t>edn</w:t>
      </w:r>
      <w:proofErr w:type="spellEnd"/>
      <w:r w:rsidRPr="00196767">
        <w:rPr>
          <w:rFonts w:ascii="Times New Roman" w:hAnsi="Times New Roman" w:cs="Times New Roman"/>
          <w:lang w:val="en-IN"/>
        </w:rPr>
        <w:t>). CABI International, Oxfordshire, UK, pp. 479–480.</w:t>
      </w:r>
    </w:p>
    <w:p w14:paraId="555715B5"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Tripathi, D., Mani, V. and Pal, R. P. (2019). Effect of vanadium supplementation on production performance, nutrient utilization, plasma mineral concentration, and mineral balance in lactating goats. Biological Trace Element Research, 188(2): 412-418.</w:t>
      </w:r>
    </w:p>
    <w:p w14:paraId="08E89C9F"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Yang, C., Zhang, J., Ahmad, AA., Bao, P., Guo, X., Long, R., Ding, X. and Yan, P (2019). Dietary energy levels affect growth performance through growth hormone and insulin-like growth factor 1 in yak (Bos </w:t>
      </w:r>
      <w:proofErr w:type="spellStart"/>
      <w:r w:rsidRPr="00196767">
        <w:rPr>
          <w:rFonts w:ascii="Times New Roman" w:hAnsi="Times New Roman" w:cs="Times New Roman"/>
          <w:lang w:val="en-IN"/>
        </w:rPr>
        <w:t>grunniens</w:t>
      </w:r>
      <w:proofErr w:type="spellEnd"/>
      <w:r w:rsidRPr="00196767">
        <w:rPr>
          <w:rFonts w:ascii="Times New Roman" w:hAnsi="Times New Roman" w:cs="Times New Roman"/>
          <w:lang w:val="en-IN"/>
        </w:rPr>
        <w:t>). Animals (Basel), 9(2):39.</w:t>
      </w:r>
    </w:p>
    <w:p w14:paraId="5ECD2766"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proofErr w:type="spellStart"/>
      <w:r w:rsidRPr="00196767">
        <w:rPr>
          <w:rFonts w:ascii="Times New Roman" w:hAnsi="Times New Roman" w:cs="Times New Roman"/>
          <w:lang w:val="en-IN"/>
        </w:rPr>
        <w:t>Zarqami</w:t>
      </w:r>
      <w:proofErr w:type="spellEnd"/>
      <w:r w:rsidRPr="00196767">
        <w:rPr>
          <w:rFonts w:ascii="Times New Roman" w:hAnsi="Times New Roman" w:cs="Times New Roman"/>
          <w:lang w:val="en-IN"/>
        </w:rPr>
        <w:t xml:space="preserve">, A., </w:t>
      </w:r>
      <w:proofErr w:type="spellStart"/>
      <w:r w:rsidRPr="00196767">
        <w:rPr>
          <w:rFonts w:ascii="Times New Roman" w:hAnsi="Times New Roman" w:cs="Times New Roman"/>
          <w:lang w:val="en-IN"/>
        </w:rPr>
        <w:t>Ganjkhanlou</w:t>
      </w:r>
      <w:proofErr w:type="spellEnd"/>
      <w:r w:rsidRPr="00196767">
        <w:rPr>
          <w:rFonts w:ascii="Times New Roman" w:hAnsi="Times New Roman" w:cs="Times New Roman"/>
          <w:lang w:val="en-IN"/>
        </w:rPr>
        <w:t xml:space="preserve">, M., Zali, A., </w:t>
      </w:r>
      <w:proofErr w:type="spellStart"/>
      <w:r w:rsidRPr="00196767">
        <w:rPr>
          <w:rFonts w:ascii="Times New Roman" w:hAnsi="Times New Roman" w:cs="Times New Roman"/>
          <w:lang w:val="en-IN"/>
        </w:rPr>
        <w:t>Rezayazdi</w:t>
      </w:r>
      <w:proofErr w:type="spellEnd"/>
      <w:r w:rsidRPr="00196767">
        <w:rPr>
          <w:rFonts w:ascii="Times New Roman" w:hAnsi="Times New Roman" w:cs="Times New Roman"/>
          <w:lang w:val="en-IN"/>
        </w:rPr>
        <w:t xml:space="preserve">, K. and </w:t>
      </w:r>
      <w:proofErr w:type="spellStart"/>
      <w:r w:rsidRPr="00196767">
        <w:rPr>
          <w:rFonts w:ascii="Times New Roman" w:hAnsi="Times New Roman" w:cs="Times New Roman"/>
          <w:lang w:val="en-IN"/>
        </w:rPr>
        <w:t>Jolazadeh</w:t>
      </w:r>
      <w:proofErr w:type="spellEnd"/>
      <w:r w:rsidRPr="00196767">
        <w:rPr>
          <w:rFonts w:ascii="Times New Roman" w:hAnsi="Times New Roman" w:cs="Times New Roman"/>
          <w:lang w:val="en-IN"/>
        </w:rPr>
        <w:t>, A. R. (2018). Effects of vanadium supplementation on performance, some plasma metabolites and glucose metabolism in Mahabadi goat kids. Journal of animal physiology and animal nutrition. 102(2): e972-e977.</w:t>
      </w:r>
    </w:p>
    <w:p w14:paraId="7F6D5143"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proofErr w:type="spellStart"/>
      <w:r w:rsidRPr="00196767">
        <w:rPr>
          <w:rFonts w:ascii="Times New Roman" w:hAnsi="Times New Roman" w:cs="Times New Roman"/>
          <w:lang w:val="en-IN"/>
        </w:rPr>
        <w:t>Zarqami</w:t>
      </w:r>
      <w:proofErr w:type="spellEnd"/>
      <w:r w:rsidRPr="00196767">
        <w:rPr>
          <w:rFonts w:ascii="Times New Roman" w:hAnsi="Times New Roman" w:cs="Times New Roman"/>
          <w:lang w:val="en-IN"/>
        </w:rPr>
        <w:t xml:space="preserve">, A., </w:t>
      </w:r>
      <w:proofErr w:type="spellStart"/>
      <w:r w:rsidRPr="00196767">
        <w:rPr>
          <w:rFonts w:ascii="Times New Roman" w:hAnsi="Times New Roman" w:cs="Times New Roman"/>
          <w:lang w:val="en-IN"/>
        </w:rPr>
        <w:t>Ganjkhanlou</w:t>
      </w:r>
      <w:proofErr w:type="spellEnd"/>
      <w:r w:rsidRPr="00196767">
        <w:rPr>
          <w:rFonts w:ascii="Times New Roman" w:hAnsi="Times New Roman" w:cs="Times New Roman"/>
          <w:lang w:val="en-IN"/>
        </w:rPr>
        <w:t xml:space="preserve">, M., Zali, A., </w:t>
      </w:r>
      <w:proofErr w:type="spellStart"/>
      <w:r w:rsidRPr="00196767">
        <w:rPr>
          <w:rFonts w:ascii="Times New Roman" w:hAnsi="Times New Roman" w:cs="Times New Roman"/>
          <w:lang w:val="en-IN"/>
        </w:rPr>
        <w:t>Rezayazdi</w:t>
      </w:r>
      <w:proofErr w:type="spellEnd"/>
      <w:r w:rsidRPr="00196767">
        <w:rPr>
          <w:rFonts w:ascii="Times New Roman" w:hAnsi="Times New Roman" w:cs="Times New Roman"/>
          <w:lang w:val="en-IN"/>
        </w:rPr>
        <w:t xml:space="preserve">, K. and </w:t>
      </w:r>
      <w:proofErr w:type="spellStart"/>
      <w:r w:rsidRPr="00196767">
        <w:rPr>
          <w:rFonts w:ascii="Times New Roman" w:hAnsi="Times New Roman" w:cs="Times New Roman"/>
          <w:lang w:val="en-IN"/>
        </w:rPr>
        <w:t>Jolazadeh</w:t>
      </w:r>
      <w:proofErr w:type="spellEnd"/>
      <w:r w:rsidRPr="00196767">
        <w:rPr>
          <w:rFonts w:ascii="Times New Roman" w:hAnsi="Times New Roman" w:cs="Times New Roman"/>
          <w:lang w:val="en-IN"/>
        </w:rPr>
        <w:t>, A. R. (2018). Effects of vanadium supplementation on performance, some plasma metabolites and glucose metabolism in Mahabadi goat kids. Journal of Animal Physiology and Animal Nutrition, 102(2): 972-977.</w:t>
      </w:r>
    </w:p>
    <w:p w14:paraId="2CD441C2" w14:textId="77777777" w:rsidR="00917A16" w:rsidRPr="005101DB" w:rsidRDefault="00917A16" w:rsidP="005101DB">
      <w:pPr>
        <w:spacing w:line="276" w:lineRule="auto"/>
        <w:jc w:val="both"/>
        <w:rPr>
          <w:rFonts w:ascii="Times New Roman" w:hAnsi="Times New Roman" w:cs="Times New Roman"/>
          <w:b/>
          <w:bCs/>
          <w:lang w:val="en-IN"/>
        </w:rPr>
      </w:pPr>
    </w:p>
    <w:p w14:paraId="151A1B77" w14:textId="77777777" w:rsidR="00917A16" w:rsidRDefault="00917A16" w:rsidP="005101DB">
      <w:pPr>
        <w:spacing w:line="276" w:lineRule="auto"/>
        <w:jc w:val="both"/>
        <w:rPr>
          <w:rFonts w:ascii="Times New Roman" w:hAnsi="Times New Roman" w:cs="Times New Roman"/>
          <w:b/>
          <w:bCs/>
          <w:lang w:val="en-IN"/>
        </w:rPr>
      </w:pPr>
    </w:p>
    <w:p w14:paraId="0D278C88" w14:textId="77777777" w:rsidR="00196767" w:rsidRDefault="00196767" w:rsidP="005101DB">
      <w:pPr>
        <w:spacing w:line="276" w:lineRule="auto"/>
        <w:jc w:val="both"/>
        <w:rPr>
          <w:rFonts w:ascii="Times New Roman" w:hAnsi="Times New Roman" w:cs="Times New Roman"/>
          <w:b/>
          <w:bCs/>
          <w:lang w:val="en-IN"/>
        </w:rPr>
      </w:pPr>
    </w:p>
    <w:p w14:paraId="5C991CFC" w14:textId="77777777" w:rsidR="00196767" w:rsidRDefault="00196767" w:rsidP="005101DB">
      <w:pPr>
        <w:spacing w:line="276" w:lineRule="auto"/>
        <w:jc w:val="both"/>
        <w:rPr>
          <w:rFonts w:ascii="Times New Roman" w:hAnsi="Times New Roman" w:cs="Times New Roman"/>
          <w:b/>
          <w:bCs/>
          <w:lang w:val="en-IN"/>
        </w:rPr>
      </w:pPr>
    </w:p>
    <w:p w14:paraId="2236C68F" w14:textId="77777777" w:rsidR="00196767" w:rsidRDefault="00196767" w:rsidP="005101DB">
      <w:pPr>
        <w:spacing w:line="276" w:lineRule="auto"/>
        <w:jc w:val="both"/>
        <w:rPr>
          <w:rFonts w:ascii="Times New Roman" w:hAnsi="Times New Roman" w:cs="Times New Roman"/>
          <w:b/>
          <w:bCs/>
          <w:lang w:val="en-IN"/>
        </w:rPr>
      </w:pPr>
    </w:p>
    <w:p w14:paraId="14021BF0" w14:textId="77777777" w:rsidR="00196767" w:rsidRPr="005101DB" w:rsidRDefault="00196767" w:rsidP="005101DB">
      <w:pPr>
        <w:spacing w:line="276" w:lineRule="auto"/>
        <w:jc w:val="both"/>
        <w:rPr>
          <w:rFonts w:ascii="Times New Roman" w:hAnsi="Times New Roman" w:cs="Times New Roman"/>
          <w:b/>
          <w:bCs/>
          <w:lang w:val="en-IN"/>
        </w:rPr>
      </w:pPr>
    </w:p>
    <w:p w14:paraId="7DE85DDD" w14:textId="77777777" w:rsidR="00917A16" w:rsidRDefault="00917A16" w:rsidP="005101DB">
      <w:pPr>
        <w:spacing w:line="276" w:lineRule="auto"/>
        <w:jc w:val="both"/>
        <w:rPr>
          <w:rFonts w:ascii="Times New Roman" w:hAnsi="Times New Roman" w:cs="Times New Roman"/>
          <w:b/>
          <w:bCs/>
          <w:lang w:val="en-IN"/>
        </w:rPr>
      </w:pPr>
    </w:p>
    <w:p w14:paraId="308F094F" w14:textId="77777777" w:rsidR="00053086" w:rsidRPr="005101DB" w:rsidRDefault="00053086" w:rsidP="005101DB">
      <w:pPr>
        <w:spacing w:line="276" w:lineRule="auto"/>
        <w:jc w:val="both"/>
        <w:rPr>
          <w:rFonts w:ascii="Times New Roman" w:hAnsi="Times New Roman" w:cs="Times New Roman"/>
          <w:b/>
          <w:bCs/>
          <w:lang w:val="en-IN"/>
        </w:rPr>
      </w:pPr>
    </w:p>
    <w:p w14:paraId="51F233CF" w14:textId="77777777" w:rsidR="00285B89" w:rsidRPr="005101DB" w:rsidRDefault="00285B89" w:rsidP="005101DB">
      <w:pPr>
        <w:spacing w:line="276" w:lineRule="auto"/>
        <w:jc w:val="both"/>
        <w:rPr>
          <w:rFonts w:ascii="Times New Roman" w:hAnsi="Times New Roman" w:cs="Times New Roman"/>
          <w:b/>
          <w:bCs/>
          <w:lang w:val="en-IN"/>
        </w:rPr>
      </w:pPr>
    </w:p>
    <w:p w14:paraId="2297CDBA" w14:textId="1DEF6873" w:rsidR="00917A16" w:rsidRPr="005101DB" w:rsidRDefault="00285B89"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Table 1. Effect of vanadium supplementation on body weight (kg) of Murrah buffalo calves</w:t>
      </w:r>
    </w:p>
    <w:tbl>
      <w:tblPr>
        <w:tblStyle w:val="TableGrid"/>
        <w:tblW w:w="0" w:type="auto"/>
        <w:jc w:val="center"/>
        <w:tblLook w:val="04A0" w:firstRow="1" w:lastRow="0" w:firstColumn="1" w:lastColumn="0" w:noHBand="0" w:noVBand="1"/>
      </w:tblPr>
      <w:tblGrid>
        <w:gridCol w:w="803"/>
        <w:gridCol w:w="876"/>
        <w:gridCol w:w="876"/>
        <w:gridCol w:w="876"/>
        <w:gridCol w:w="737"/>
        <w:gridCol w:w="1123"/>
        <w:gridCol w:w="910"/>
        <w:gridCol w:w="1270"/>
      </w:tblGrid>
      <w:tr w:rsidR="00285B89" w:rsidRPr="005101DB" w14:paraId="763D620A" w14:textId="77777777" w:rsidTr="00285B89">
        <w:trPr>
          <w:jc w:val="center"/>
        </w:trPr>
        <w:tc>
          <w:tcPr>
            <w:tcW w:w="0" w:type="auto"/>
            <w:vMerge w:val="restart"/>
          </w:tcPr>
          <w:p w14:paraId="73109599" w14:textId="1AC3DA93"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Day</w:t>
            </w:r>
          </w:p>
        </w:tc>
        <w:tc>
          <w:tcPr>
            <w:tcW w:w="0" w:type="auto"/>
            <w:gridSpan w:val="3"/>
          </w:tcPr>
          <w:p w14:paraId="18284214" w14:textId="69003EE7" w:rsidR="00285B89" w:rsidRPr="005101DB" w:rsidRDefault="00285B89" w:rsidP="005101DB">
            <w:pPr>
              <w:spacing w:line="276" w:lineRule="auto"/>
              <w:jc w:val="center"/>
              <w:rPr>
                <w:rFonts w:ascii="Times New Roman" w:hAnsi="Times New Roman" w:cs="Times New Roman"/>
                <w:b/>
                <w:bCs/>
                <w:lang w:val="en-IN"/>
              </w:rPr>
            </w:pPr>
            <w:r w:rsidRPr="005101DB">
              <w:rPr>
                <w:rFonts w:ascii="Times New Roman" w:hAnsi="Times New Roman" w:cs="Times New Roman"/>
                <w:b/>
                <w:bCs/>
                <w:lang w:val="en-IN"/>
              </w:rPr>
              <w:t>Treatment</w:t>
            </w:r>
          </w:p>
        </w:tc>
        <w:tc>
          <w:tcPr>
            <w:tcW w:w="0" w:type="auto"/>
            <w:vMerge w:val="restart"/>
          </w:tcPr>
          <w:p w14:paraId="5B7BCA43" w14:textId="7DACA7F9"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SEM</w:t>
            </w:r>
          </w:p>
        </w:tc>
        <w:tc>
          <w:tcPr>
            <w:tcW w:w="3303" w:type="dxa"/>
            <w:gridSpan w:val="3"/>
          </w:tcPr>
          <w:p w14:paraId="0D183F34" w14:textId="58906B06" w:rsidR="00285B89" w:rsidRPr="005101DB" w:rsidRDefault="00285B89" w:rsidP="005101DB">
            <w:pPr>
              <w:spacing w:line="276" w:lineRule="auto"/>
              <w:jc w:val="center"/>
              <w:rPr>
                <w:rFonts w:ascii="Times New Roman" w:hAnsi="Times New Roman" w:cs="Times New Roman"/>
                <w:b/>
                <w:bCs/>
                <w:lang w:val="en-IN"/>
              </w:rPr>
            </w:pPr>
            <w:r w:rsidRPr="005101DB">
              <w:rPr>
                <w:rFonts w:ascii="Times New Roman" w:hAnsi="Times New Roman" w:cs="Times New Roman"/>
                <w:b/>
                <w:bCs/>
                <w:lang w:val="en-IN"/>
              </w:rPr>
              <w:t>P-value</w:t>
            </w:r>
          </w:p>
        </w:tc>
      </w:tr>
      <w:tr w:rsidR="00285B89" w:rsidRPr="005101DB" w14:paraId="5EEEBB9F" w14:textId="77777777" w:rsidTr="00285B89">
        <w:trPr>
          <w:jc w:val="center"/>
        </w:trPr>
        <w:tc>
          <w:tcPr>
            <w:tcW w:w="0" w:type="auto"/>
            <w:vMerge/>
            <w:hideMark/>
          </w:tcPr>
          <w:p w14:paraId="7A8CBE3F" w14:textId="57B01FE1" w:rsidR="00285B89" w:rsidRPr="005101DB" w:rsidRDefault="00285B89" w:rsidP="005101DB">
            <w:pPr>
              <w:spacing w:after="160" w:line="276" w:lineRule="auto"/>
              <w:jc w:val="both"/>
              <w:rPr>
                <w:rFonts w:ascii="Times New Roman" w:hAnsi="Times New Roman" w:cs="Times New Roman"/>
                <w:b/>
                <w:bCs/>
                <w:lang w:val="en-IN"/>
              </w:rPr>
            </w:pPr>
          </w:p>
        </w:tc>
        <w:tc>
          <w:tcPr>
            <w:tcW w:w="0" w:type="auto"/>
            <w:hideMark/>
          </w:tcPr>
          <w:p w14:paraId="28E44931" w14:textId="77777777" w:rsidR="00285B89" w:rsidRPr="005101DB" w:rsidRDefault="00285B89" w:rsidP="005101DB">
            <w:pPr>
              <w:spacing w:after="160" w:line="276" w:lineRule="auto"/>
              <w:jc w:val="both"/>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0</w:t>
            </w:r>
          </w:p>
        </w:tc>
        <w:tc>
          <w:tcPr>
            <w:tcW w:w="0" w:type="auto"/>
            <w:hideMark/>
          </w:tcPr>
          <w:p w14:paraId="58D8A555" w14:textId="77777777" w:rsidR="00285B89" w:rsidRPr="005101DB" w:rsidRDefault="00285B89" w:rsidP="005101DB">
            <w:pPr>
              <w:spacing w:after="160" w:line="276" w:lineRule="auto"/>
              <w:jc w:val="both"/>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4</w:t>
            </w:r>
          </w:p>
        </w:tc>
        <w:tc>
          <w:tcPr>
            <w:tcW w:w="0" w:type="auto"/>
            <w:hideMark/>
          </w:tcPr>
          <w:p w14:paraId="0A4B8121" w14:textId="77777777" w:rsidR="00285B89" w:rsidRPr="005101DB" w:rsidRDefault="00285B89" w:rsidP="005101DB">
            <w:pPr>
              <w:spacing w:after="160" w:line="276" w:lineRule="auto"/>
              <w:jc w:val="both"/>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6</w:t>
            </w:r>
          </w:p>
        </w:tc>
        <w:tc>
          <w:tcPr>
            <w:tcW w:w="0" w:type="auto"/>
            <w:vMerge/>
            <w:hideMark/>
          </w:tcPr>
          <w:p w14:paraId="0DA57AE6" w14:textId="4000E70D" w:rsidR="00285B89" w:rsidRPr="005101DB" w:rsidRDefault="00285B89" w:rsidP="005101DB">
            <w:pPr>
              <w:spacing w:after="160" w:line="276" w:lineRule="auto"/>
              <w:jc w:val="both"/>
              <w:rPr>
                <w:rFonts w:ascii="Times New Roman" w:hAnsi="Times New Roman" w:cs="Times New Roman"/>
                <w:b/>
                <w:bCs/>
                <w:lang w:val="en-IN"/>
              </w:rPr>
            </w:pPr>
          </w:p>
        </w:tc>
        <w:tc>
          <w:tcPr>
            <w:tcW w:w="0" w:type="auto"/>
            <w:hideMark/>
          </w:tcPr>
          <w:p w14:paraId="20688DF7" w14:textId="3E202782" w:rsidR="00285B89" w:rsidRPr="005101DB" w:rsidRDefault="00285B89" w:rsidP="005101DB">
            <w:pPr>
              <w:spacing w:after="160" w:line="276" w:lineRule="auto"/>
              <w:jc w:val="both"/>
              <w:rPr>
                <w:rFonts w:ascii="Times New Roman" w:hAnsi="Times New Roman" w:cs="Times New Roman"/>
                <w:b/>
                <w:bCs/>
                <w:lang w:val="en-IN"/>
              </w:rPr>
            </w:pPr>
            <w:r w:rsidRPr="005101DB">
              <w:rPr>
                <w:rFonts w:ascii="Times New Roman" w:hAnsi="Times New Roman" w:cs="Times New Roman"/>
                <w:b/>
                <w:bCs/>
                <w:lang w:val="en-IN"/>
              </w:rPr>
              <w:t>Contrast</w:t>
            </w:r>
          </w:p>
        </w:tc>
        <w:tc>
          <w:tcPr>
            <w:tcW w:w="0" w:type="auto"/>
          </w:tcPr>
          <w:p w14:paraId="661B1059" w14:textId="72986F0E" w:rsidR="00285B89" w:rsidRPr="005101DB" w:rsidRDefault="00285B89" w:rsidP="005101DB">
            <w:pPr>
              <w:spacing w:after="160" w:line="276" w:lineRule="auto"/>
              <w:jc w:val="both"/>
              <w:rPr>
                <w:rFonts w:ascii="Times New Roman" w:hAnsi="Times New Roman" w:cs="Times New Roman"/>
                <w:b/>
                <w:bCs/>
                <w:lang w:val="en-IN"/>
              </w:rPr>
            </w:pPr>
            <w:r w:rsidRPr="005101DB">
              <w:rPr>
                <w:rFonts w:ascii="Times New Roman" w:hAnsi="Times New Roman" w:cs="Times New Roman"/>
                <w:b/>
                <w:bCs/>
                <w:lang w:val="en-IN"/>
              </w:rPr>
              <w:t>Linear</w:t>
            </w:r>
          </w:p>
        </w:tc>
        <w:tc>
          <w:tcPr>
            <w:tcW w:w="0" w:type="auto"/>
          </w:tcPr>
          <w:p w14:paraId="374F1B72" w14:textId="5CE95B34" w:rsidR="00285B89" w:rsidRPr="005101DB" w:rsidRDefault="00285B89" w:rsidP="005101DB">
            <w:pPr>
              <w:spacing w:after="160" w:line="276" w:lineRule="auto"/>
              <w:jc w:val="both"/>
              <w:rPr>
                <w:rFonts w:ascii="Times New Roman" w:hAnsi="Times New Roman" w:cs="Times New Roman"/>
                <w:b/>
                <w:bCs/>
                <w:lang w:val="en-IN"/>
              </w:rPr>
            </w:pPr>
            <w:r w:rsidRPr="005101DB">
              <w:rPr>
                <w:rFonts w:ascii="Times New Roman" w:hAnsi="Times New Roman" w:cs="Times New Roman"/>
                <w:b/>
                <w:bCs/>
                <w:lang w:val="en-IN"/>
              </w:rPr>
              <w:t>Quadratic</w:t>
            </w:r>
          </w:p>
        </w:tc>
      </w:tr>
      <w:tr w:rsidR="00917A16" w:rsidRPr="005101DB" w14:paraId="22599399" w14:textId="77777777" w:rsidTr="00285B89">
        <w:trPr>
          <w:jc w:val="center"/>
        </w:trPr>
        <w:tc>
          <w:tcPr>
            <w:tcW w:w="0" w:type="auto"/>
            <w:hideMark/>
          </w:tcPr>
          <w:p w14:paraId="07A0A658" w14:textId="77777777" w:rsidR="00917A16" w:rsidRPr="005101DB" w:rsidRDefault="00917A16" w:rsidP="005101DB">
            <w:pPr>
              <w:spacing w:after="160" w:line="276" w:lineRule="auto"/>
              <w:jc w:val="both"/>
              <w:rPr>
                <w:rFonts w:ascii="Times New Roman" w:hAnsi="Times New Roman" w:cs="Times New Roman"/>
                <w:b/>
                <w:bCs/>
                <w:lang w:val="en-IN"/>
              </w:rPr>
            </w:pPr>
          </w:p>
        </w:tc>
        <w:tc>
          <w:tcPr>
            <w:tcW w:w="0" w:type="auto"/>
            <w:hideMark/>
          </w:tcPr>
          <w:p w14:paraId="3F34F993" w14:textId="77777777" w:rsidR="00917A16" w:rsidRPr="005101DB" w:rsidRDefault="00917A16" w:rsidP="005101DB">
            <w:pPr>
              <w:spacing w:after="160" w:line="276" w:lineRule="auto"/>
              <w:jc w:val="both"/>
              <w:rPr>
                <w:rFonts w:ascii="Times New Roman" w:hAnsi="Times New Roman" w:cs="Times New Roman"/>
                <w:lang w:val="en-IN"/>
              </w:rPr>
            </w:pPr>
          </w:p>
        </w:tc>
        <w:tc>
          <w:tcPr>
            <w:tcW w:w="0" w:type="auto"/>
            <w:hideMark/>
          </w:tcPr>
          <w:p w14:paraId="6E5754F7" w14:textId="77777777" w:rsidR="00917A16" w:rsidRPr="005101DB" w:rsidRDefault="00917A16" w:rsidP="005101DB">
            <w:pPr>
              <w:spacing w:after="160" w:line="276" w:lineRule="auto"/>
              <w:jc w:val="both"/>
              <w:rPr>
                <w:rFonts w:ascii="Times New Roman" w:hAnsi="Times New Roman" w:cs="Times New Roman"/>
                <w:lang w:val="en-IN"/>
              </w:rPr>
            </w:pPr>
          </w:p>
        </w:tc>
        <w:tc>
          <w:tcPr>
            <w:tcW w:w="0" w:type="auto"/>
            <w:hideMark/>
          </w:tcPr>
          <w:p w14:paraId="27637C65" w14:textId="77777777" w:rsidR="00917A16" w:rsidRPr="005101DB" w:rsidRDefault="00917A16" w:rsidP="005101DB">
            <w:pPr>
              <w:spacing w:after="160" w:line="276" w:lineRule="auto"/>
              <w:jc w:val="both"/>
              <w:rPr>
                <w:rFonts w:ascii="Times New Roman" w:hAnsi="Times New Roman" w:cs="Times New Roman"/>
                <w:lang w:val="en-IN"/>
              </w:rPr>
            </w:pPr>
          </w:p>
        </w:tc>
        <w:tc>
          <w:tcPr>
            <w:tcW w:w="0" w:type="auto"/>
            <w:hideMark/>
          </w:tcPr>
          <w:p w14:paraId="2EA8017D" w14:textId="77777777" w:rsidR="00917A16" w:rsidRPr="005101DB" w:rsidRDefault="00917A16" w:rsidP="005101DB">
            <w:pPr>
              <w:spacing w:after="160" w:line="276" w:lineRule="auto"/>
              <w:jc w:val="both"/>
              <w:rPr>
                <w:rFonts w:ascii="Times New Roman" w:hAnsi="Times New Roman" w:cs="Times New Roman"/>
                <w:lang w:val="en-IN"/>
              </w:rPr>
            </w:pPr>
          </w:p>
        </w:tc>
        <w:tc>
          <w:tcPr>
            <w:tcW w:w="0" w:type="auto"/>
            <w:hideMark/>
          </w:tcPr>
          <w:p w14:paraId="7E4DE73B" w14:textId="77777777" w:rsidR="00917A16" w:rsidRPr="005101DB" w:rsidRDefault="00917A16" w:rsidP="005101DB">
            <w:pPr>
              <w:spacing w:after="160" w:line="276" w:lineRule="auto"/>
              <w:jc w:val="both"/>
              <w:rPr>
                <w:rFonts w:ascii="Times New Roman" w:hAnsi="Times New Roman" w:cs="Times New Roman"/>
                <w:lang w:val="en-IN"/>
              </w:rPr>
            </w:pPr>
          </w:p>
        </w:tc>
        <w:tc>
          <w:tcPr>
            <w:tcW w:w="0" w:type="auto"/>
            <w:hideMark/>
          </w:tcPr>
          <w:p w14:paraId="0DACC5F0" w14:textId="77777777" w:rsidR="00917A16" w:rsidRPr="005101DB" w:rsidRDefault="00917A16" w:rsidP="005101DB">
            <w:pPr>
              <w:spacing w:after="160" w:line="276" w:lineRule="auto"/>
              <w:jc w:val="both"/>
              <w:rPr>
                <w:rFonts w:ascii="Times New Roman" w:hAnsi="Times New Roman" w:cs="Times New Roman"/>
                <w:lang w:val="en-IN"/>
              </w:rPr>
            </w:pPr>
          </w:p>
        </w:tc>
        <w:tc>
          <w:tcPr>
            <w:tcW w:w="0" w:type="auto"/>
            <w:hideMark/>
          </w:tcPr>
          <w:p w14:paraId="38323346" w14:textId="77777777" w:rsidR="00917A16" w:rsidRPr="005101DB" w:rsidRDefault="00917A16" w:rsidP="005101DB">
            <w:pPr>
              <w:spacing w:after="160" w:line="276" w:lineRule="auto"/>
              <w:jc w:val="both"/>
              <w:rPr>
                <w:rFonts w:ascii="Times New Roman" w:hAnsi="Times New Roman" w:cs="Times New Roman"/>
                <w:lang w:val="en-IN"/>
              </w:rPr>
            </w:pPr>
          </w:p>
        </w:tc>
      </w:tr>
      <w:tr w:rsidR="00917A16" w:rsidRPr="005101DB" w14:paraId="5BE29DE4" w14:textId="77777777" w:rsidTr="00285B89">
        <w:trPr>
          <w:jc w:val="center"/>
        </w:trPr>
        <w:tc>
          <w:tcPr>
            <w:tcW w:w="0" w:type="auto"/>
            <w:hideMark/>
          </w:tcPr>
          <w:p w14:paraId="61801F49"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b/>
                <w:bCs/>
                <w:lang w:val="en-IN"/>
              </w:rPr>
              <w:t>0</w:t>
            </w:r>
          </w:p>
        </w:tc>
        <w:tc>
          <w:tcPr>
            <w:tcW w:w="0" w:type="auto"/>
            <w:hideMark/>
          </w:tcPr>
          <w:p w14:paraId="40C32DC2"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146.33</w:t>
            </w:r>
          </w:p>
        </w:tc>
        <w:tc>
          <w:tcPr>
            <w:tcW w:w="0" w:type="auto"/>
            <w:hideMark/>
          </w:tcPr>
          <w:p w14:paraId="1ABF3AC1"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146.98</w:t>
            </w:r>
          </w:p>
        </w:tc>
        <w:tc>
          <w:tcPr>
            <w:tcW w:w="0" w:type="auto"/>
            <w:hideMark/>
          </w:tcPr>
          <w:p w14:paraId="353DB855"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146.14</w:t>
            </w:r>
          </w:p>
        </w:tc>
        <w:tc>
          <w:tcPr>
            <w:tcW w:w="0" w:type="auto"/>
            <w:hideMark/>
          </w:tcPr>
          <w:p w14:paraId="1BD573E4"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5.24</w:t>
            </w:r>
          </w:p>
        </w:tc>
        <w:tc>
          <w:tcPr>
            <w:tcW w:w="0" w:type="auto"/>
            <w:hideMark/>
          </w:tcPr>
          <w:p w14:paraId="66CBB197"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0.993</w:t>
            </w:r>
          </w:p>
        </w:tc>
        <w:tc>
          <w:tcPr>
            <w:tcW w:w="0" w:type="auto"/>
            <w:hideMark/>
          </w:tcPr>
          <w:p w14:paraId="2F68DDCD"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0.981</w:t>
            </w:r>
          </w:p>
        </w:tc>
        <w:tc>
          <w:tcPr>
            <w:tcW w:w="0" w:type="auto"/>
            <w:hideMark/>
          </w:tcPr>
          <w:p w14:paraId="6511C32F"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0.912</w:t>
            </w:r>
          </w:p>
        </w:tc>
      </w:tr>
      <w:tr w:rsidR="00917A16" w:rsidRPr="005101DB" w14:paraId="05D737B4" w14:textId="77777777" w:rsidTr="00285B89">
        <w:trPr>
          <w:jc w:val="center"/>
        </w:trPr>
        <w:tc>
          <w:tcPr>
            <w:tcW w:w="0" w:type="auto"/>
            <w:hideMark/>
          </w:tcPr>
          <w:p w14:paraId="1FD022F3"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b/>
                <w:bCs/>
                <w:lang w:val="en-IN"/>
              </w:rPr>
              <w:t>15</w:t>
            </w:r>
          </w:p>
        </w:tc>
        <w:tc>
          <w:tcPr>
            <w:tcW w:w="0" w:type="auto"/>
            <w:hideMark/>
          </w:tcPr>
          <w:p w14:paraId="49F90015"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151.79</w:t>
            </w:r>
          </w:p>
        </w:tc>
        <w:tc>
          <w:tcPr>
            <w:tcW w:w="0" w:type="auto"/>
            <w:hideMark/>
          </w:tcPr>
          <w:p w14:paraId="70851186"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153.37</w:t>
            </w:r>
          </w:p>
        </w:tc>
        <w:tc>
          <w:tcPr>
            <w:tcW w:w="0" w:type="auto"/>
            <w:hideMark/>
          </w:tcPr>
          <w:p w14:paraId="3BFE3119"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153.12</w:t>
            </w:r>
          </w:p>
        </w:tc>
        <w:tc>
          <w:tcPr>
            <w:tcW w:w="0" w:type="auto"/>
            <w:hideMark/>
          </w:tcPr>
          <w:p w14:paraId="21AE69D2"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5.25</w:t>
            </w:r>
          </w:p>
        </w:tc>
        <w:tc>
          <w:tcPr>
            <w:tcW w:w="0" w:type="auto"/>
            <w:hideMark/>
          </w:tcPr>
          <w:p w14:paraId="3B1E59AF"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0.976</w:t>
            </w:r>
          </w:p>
        </w:tc>
        <w:tc>
          <w:tcPr>
            <w:tcW w:w="0" w:type="auto"/>
            <w:hideMark/>
          </w:tcPr>
          <w:p w14:paraId="1663517D"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0.865</w:t>
            </w:r>
          </w:p>
        </w:tc>
        <w:tc>
          <w:tcPr>
            <w:tcW w:w="0" w:type="auto"/>
            <w:hideMark/>
          </w:tcPr>
          <w:p w14:paraId="7B39E3C0"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0.893</w:t>
            </w:r>
          </w:p>
        </w:tc>
      </w:tr>
      <w:tr w:rsidR="00917A16" w:rsidRPr="005101DB" w14:paraId="443B7ECD" w14:textId="77777777" w:rsidTr="00285B89">
        <w:trPr>
          <w:jc w:val="center"/>
        </w:trPr>
        <w:tc>
          <w:tcPr>
            <w:tcW w:w="0" w:type="auto"/>
            <w:hideMark/>
          </w:tcPr>
          <w:p w14:paraId="2C80A445"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b/>
                <w:bCs/>
                <w:lang w:val="en-IN"/>
              </w:rPr>
              <w:t>30</w:t>
            </w:r>
          </w:p>
        </w:tc>
        <w:tc>
          <w:tcPr>
            <w:tcW w:w="0" w:type="auto"/>
            <w:hideMark/>
          </w:tcPr>
          <w:p w14:paraId="2A35656E"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157.18</w:t>
            </w:r>
          </w:p>
        </w:tc>
        <w:tc>
          <w:tcPr>
            <w:tcW w:w="0" w:type="auto"/>
            <w:hideMark/>
          </w:tcPr>
          <w:p w14:paraId="5D80E934"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159.86</w:t>
            </w:r>
          </w:p>
        </w:tc>
        <w:tc>
          <w:tcPr>
            <w:tcW w:w="0" w:type="auto"/>
            <w:hideMark/>
          </w:tcPr>
          <w:p w14:paraId="357F4B3B"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159.90</w:t>
            </w:r>
          </w:p>
        </w:tc>
        <w:tc>
          <w:tcPr>
            <w:tcW w:w="0" w:type="auto"/>
            <w:hideMark/>
          </w:tcPr>
          <w:p w14:paraId="6F75DA04"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5.22</w:t>
            </w:r>
          </w:p>
        </w:tc>
        <w:tc>
          <w:tcPr>
            <w:tcW w:w="0" w:type="auto"/>
            <w:hideMark/>
          </w:tcPr>
          <w:p w14:paraId="1739C584"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0.921</w:t>
            </w:r>
          </w:p>
        </w:tc>
        <w:tc>
          <w:tcPr>
            <w:tcW w:w="0" w:type="auto"/>
            <w:hideMark/>
          </w:tcPr>
          <w:p w14:paraId="1E5B0863"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0.727</w:t>
            </w:r>
          </w:p>
        </w:tc>
        <w:tc>
          <w:tcPr>
            <w:tcW w:w="0" w:type="auto"/>
            <w:hideMark/>
          </w:tcPr>
          <w:p w14:paraId="255D709E"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0.844</w:t>
            </w:r>
          </w:p>
        </w:tc>
      </w:tr>
      <w:tr w:rsidR="00917A16" w:rsidRPr="005101DB" w14:paraId="39FB0CFD" w14:textId="77777777" w:rsidTr="00285B89">
        <w:trPr>
          <w:jc w:val="center"/>
        </w:trPr>
        <w:tc>
          <w:tcPr>
            <w:tcW w:w="0" w:type="auto"/>
            <w:hideMark/>
          </w:tcPr>
          <w:p w14:paraId="397C4894"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b/>
                <w:bCs/>
                <w:lang w:val="en-IN"/>
              </w:rPr>
              <w:t>45</w:t>
            </w:r>
          </w:p>
        </w:tc>
        <w:tc>
          <w:tcPr>
            <w:tcW w:w="0" w:type="auto"/>
            <w:hideMark/>
          </w:tcPr>
          <w:p w14:paraId="439616A6"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162.76</w:t>
            </w:r>
          </w:p>
        </w:tc>
        <w:tc>
          <w:tcPr>
            <w:tcW w:w="0" w:type="auto"/>
            <w:hideMark/>
          </w:tcPr>
          <w:p w14:paraId="6FEFAAA7"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166.39</w:t>
            </w:r>
          </w:p>
        </w:tc>
        <w:tc>
          <w:tcPr>
            <w:tcW w:w="0" w:type="auto"/>
            <w:hideMark/>
          </w:tcPr>
          <w:p w14:paraId="5872CC64"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166.97</w:t>
            </w:r>
          </w:p>
        </w:tc>
        <w:tc>
          <w:tcPr>
            <w:tcW w:w="0" w:type="auto"/>
            <w:hideMark/>
          </w:tcPr>
          <w:p w14:paraId="4717FEC1"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5.19</w:t>
            </w:r>
          </w:p>
        </w:tc>
        <w:tc>
          <w:tcPr>
            <w:tcW w:w="0" w:type="auto"/>
            <w:hideMark/>
          </w:tcPr>
          <w:p w14:paraId="7E951790"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0.837</w:t>
            </w:r>
          </w:p>
        </w:tc>
        <w:tc>
          <w:tcPr>
            <w:tcW w:w="0" w:type="auto"/>
            <w:hideMark/>
          </w:tcPr>
          <w:p w14:paraId="38B5ED45"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0.587</w:t>
            </w:r>
          </w:p>
        </w:tc>
        <w:tc>
          <w:tcPr>
            <w:tcW w:w="0" w:type="auto"/>
            <w:hideMark/>
          </w:tcPr>
          <w:p w14:paraId="365C3095"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0.820</w:t>
            </w:r>
          </w:p>
        </w:tc>
      </w:tr>
      <w:tr w:rsidR="00917A16" w:rsidRPr="005101DB" w14:paraId="20141E7E" w14:textId="77777777" w:rsidTr="00285B89">
        <w:trPr>
          <w:jc w:val="center"/>
        </w:trPr>
        <w:tc>
          <w:tcPr>
            <w:tcW w:w="0" w:type="auto"/>
            <w:hideMark/>
          </w:tcPr>
          <w:p w14:paraId="6F2E0898"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b/>
                <w:bCs/>
                <w:lang w:val="en-IN"/>
              </w:rPr>
              <w:t>60</w:t>
            </w:r>
          </w:p>
        </w:tc>
        <w:tc>
          <w:tcPr>
            <w:tcW w:w="0" w:type="auto"/>
            <w:hideMark/>
          </w:tcPr>
          <w:p w14:paraId="03BE6A7D"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168.34</w:t>
            </w:r>
          </w:p>
        </w:tc>
        <w:tc>
          <w:tcPr>
            <w:tcW w:w="0" w:type="auto"/>
            <w:hideMark/>
          </w:tcPr>
          <w:p w14:paraId="3B07EB91"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172.99</w:t>
            </w:r>
          </w:p>
        </w:tc>
        <w:tc>
          <w:tcPr>
            <w:tcW w:w="0" w:type="auto"/>
            <w:hideMark/>
          </w:tcPr>
          <w:p w14:paraId="39E4EF52"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173.92</w:t>
            </w:r>
          </w:p>
        </w:tc>
        <w:tc>
          <w:tcPr>
            <w:tcW w:w="0" w:type="auto"/>
            <w:hideMark/>
          </w:tcPr>
          <w:p w14:paraId="1EBDE7DF"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5.16</w:t>
            </w:r>
          </w:p>
        </w:tc>
        <w:tc>
          <w:tcPr>
            <w:tcW w:w="0" w:type="auto"/>
            <w:hideMark/>
          </w:tcPr>
          <w:p w14:paraId="767509A2"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0.737</w:t>
            </w:r>
          </w:p>
        </w:tc>
        <w:tc>
          <w:tcPr>
            <w:tcW w:w="0" w:type="auto"/>
            <w:hideMark/>
          </w:tcPr>
          <w:p w14:paraId="02FF91D4"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0.472</w:t>
            </w:r>
          </w:p>
        </w:tc>
        <w:tc>
          <w:tcPr>
            <w:tcW w:w="0" w:type="auto"/>
            <w:hideMark/>
          </w:tcPr>
          <w:p w14:paraId="218A1CCD"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0.781</w:t>
            </w:r>
          </w:p>
        </w:tc>
      </w:tr>
      <w:tr w:rsidR="00917A16" w:rsidRPr="005101DB" w14:paraId="5AC6000F" w14:textId="77777777" w:rsidTr="00285B89">
        <w:trPr>
          <w:jc w:val="center"/>
        </w:trPr>
        <w:tc>
          <w:tcPr>
            <w:tcW w:w="0" w:type="auto"/>
            <w:hideMark/>
          </w:tcPr>
          <w:p w14:paraId="3EE287D6"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b/>
                <w:bCs/>
                <w:lang w:val="en-IN"/>
              </w:rPr>
              <w:t>75</w:t>
            </w:r>
          </w:p>
        </w:tc>
        <w:tc>
          <w:tcPr>
            <w:tcW w:w="0" w:type="auto"/>
            <w:hideMark/>
          </w:tcPr>
          <w:p w14:paraId="7D9B0FC0"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174.00</w:t>
            </w:r>
          </w:p>
        </w:tc>
        <w:tc>
          <w:tcPr>
            <w:tcW w:w="0" w:type="auto"/>
            <w:hideMark/>
          </w:tcPr>
          <w:p w14:paraId="40B845EA"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179.39</w:t>
            </w:r>
          </w:p>
        </w:tc>
        <w:tc>
          <w:tcPr>
            <w:tcW w:w="0" w:type="auto"/>
            <w:hideMark/>
          </w:tcPr>
          <w:p w14:paraId="785F03F0"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181.04</w:t>
            </w:r>
          </w:p>
        </w:tc>
        <w:tc>
          <w:tcPr>
            <w:tcW w:w="0" w:type="auto"/>
            <w:hideMark/>
          </w:tcPr>
          <w:p w14:paraId="7026F789"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5.21</w:t>
            </w:r>
          </w:p>
        </w:tc>
        <w:tc>
          <w:tcPr>
            <w:tcW w:w="0" w:type="auto"/>
            <w:hideMark/>
          </w:tcPr>
          <w:p w14:paraId="21F32B99"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0.636</w:t>
            </w:r>
          </w:p>
        </w:tc>
        <w:tc>
          <w:tcPr>
            <w:tcW w:w="0" w:type="auto"/>
            <w:hideMark/>
          </w:tcPr>
          <w:p w14:paraId="08DC448F"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0.370</w:t>
            </w:r>
          </w:p>
        </w:tc>
        <w:tc>
          <w:tcPr>
            <w:tcW w:w="0" w:type="auto"/>
            <w:hideMark/>
          </w:tcPr>
          <w:p w14:paraId="053EC95E"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0.781</w:t>
            </w:r>
          </w:p>
        </w:tc>
      </w:tr>
      <w:tr w:rsidR="00917A16" w:rsidRPr="005101DB" w14:paraId="22F3F42E" w14:textId="77777777" w:rsidTr="00285B89">
        <w:trPr>
          <w:jc w:val="center"/>
        </w:trPr>
        <w:tc>
          <w:tcPr>
            <w:tcW w:w="0" w:type="auto"/>
            <w:hideMark/>
          </w:tcPr>
          <w:p w14:paraId="78FD1E15"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b/>
                <w:bCs/>
                <w:lang w:val="en-IN"/>
              </w:rPr>
              <w:t>90</w:t>
            </w:r>
          </w:p>
        </w:tc>
        <w:tc>
          <w:tcPr>
            <w:tcW w:w="0" w:type="auto"/>
            <w:hideMark/>
          </w:tcPr>
          <w:p w14:paraId="12098321"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179.50</w:t>
            </w:r>
          </w:p>
        </w:tc>
        <w:tc>
          <w:tcPr>
            <w:tcW w:w="0" w:type="auto"/>
            <w:hideMark/>
          </w:tcPr>
          <w:p w14:paraId="11F856C4"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185.86</w:t>
            </w:r>
          </w:p>
        </w:tc>
        <w:tc>
          <w:tcPr>
            <w:tcW w:w="0" w:type="auto"/>
            <w:hideMark/>
          </w:tcPr>
          <w:p w14:paraId="7F256581"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187.93</w:t>
            </w:r>
          </w:p>
        </w:tc>
        <w:tc>
          <w:tcPr>
            <w:tcW w:w="0" w:type="auto"/>
            <w:hideMark/>
          </w:tcPr>
          <w:p w14:paraId="58B410EE"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5.18</w:t>
            </w:r>
          </w:p>
        </w:tc>
        <w:tc>
          <w:tcPr>
            <w:tcW w:w="0" w:type="auto"/>
            <w:hideMark/>
          </w:tcPr>
          <w:p w14:paraId="0EFA5919"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0.527</w:t>
            </w:r>
          </w:p>
        </w:tc>
        <w:tc>
          <w:tcPr>
            <w:tcW w:w="0" w:type="auto"/>
            <w:hideMark/>
          </w:tcPr>
          <w:p w14:paraId="3538D75E"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0.284</w:t>
            </w:r>
          </w:p>
        </w:tc>
        <w:tc>
          <w:tcPr>
            <w:tcW w:w="0" w:type="auto"/>
            <w:hideMark/>
          </w:tcPr>
          <w:p w14:paraId="60AB0F55"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0.749</w:t>
            </w:r>
          </w:p>
        </w:tc>
      </w:tr>
      <w:tr w:rsidR="00917A16" w:rsidRPr="005101DB" w14:paraId="7AD47A6D" w14:textId="77777777" w:rsidTr="00285B89">
        <w:trPr>
          <w:jc w:val="center"/>
        </w:trPr>
        <w:tc>
          <w:tcPr>
            <w:tcW w:w="0" w:type="auto"/>
            <w:hideMark/>
          </w:tcPr>
          <w:p w14:paraId="03EB464E"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b/>
                <w:bCs/>
                <w:lang w:val="en-IN"/>
              </w:rPr>
              <w:t>Mean</w:t>
            </w:r>
          </w:p>
        </w:tc>
        <w:tc>
          <w:tcPr>
            <w:tcW w:w="0" w:type="auto"/>
            <w:hideMark/>
          </w:tcPr>
          <w:p w14:paraId="13E815CE"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162.84</w:t>
            </w:r>
          </w:p>
        </w:tc>
        <w:tc>
          <w:tcPr>
            <w:tcW w:w="0" w:type="auto"/>
            <w:hideMark/>
          </w:tcPr>
          <w:p w14:paraId="499933E9"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166.41</w:t>
            </w:r>
          </w:p>
        </w:tc>
        <w:tc>
          <w:tcPr>
            <w:tcW w:w="0" w:type="auto"/>
            <w:hideMark/>
          </w:tcPr>
          <w:p w14:paraId="156954B4"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167.00</w:t>
            </w:r>
          </w:p>
        </w:tc>
        <w:tc>
          <w:tcPr>
            <w:tcW w:w="0" w:type="auto"/>
            <w:hideMark/>
          </w:tcPr>
          <w:p w14:paraId="04E335D1"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5.21</w:t>
            </w:r>
          </w:p>
        </w:tc>
        <w:tc>
          <w:tcPr>
            <w:tcW w:w="0" w:type="auto"/>
            <w:hideMark/>
          </w:tcPr>
          <w:p w14:paraId="1B943DCA"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0.489</w:t>
            </w:r>
          </w:p>
        </w:tc>
        <w:tc>
          <w:tcPr>
            <w:tcW w:w="0" w:type="auto"/>
            <w:hideMark/>
          </w:tcPr>
          <w:p w14:paraId="21131DF7"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0.269</w:t>
            </w:r>
          </w:p>
        </w:tc>
        <w:tc>
          <w:tcPr>
            <w:tcW w:w="0" w:type="auto"/>
            <w:hideMark/>
          </w:tcPr>
          <w:p w14:paraId="75714D51"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0.649</w:t>
            </w:r>
          </w:p>
        </w:tc>
      </w:tr>
    </w:tbl>
    <w:p w14:paraId="341EF0B9" w14:textId="3BF3F777" w:rsidR="00917A16" w:rsidRPr="005101DB" w:rsidRDefault="00917A16"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Table</w:t>
      </w:r>
      <w:r w:rsidR="00285B89" w:rsidRPr="005101DB">
        <w:rPr>
          <w:rFonts w:ascii="Times New Roman" w:hAnsi="Times New Roman" w:cs="Times New Roman"/>
          <w:b/>
          <w:bCs/>
          <w:lang w:val="en-IN"/>
        </w:rPr>
        <w:t xml:space="preserve"> </w:t>
      </w:r>
      <w:r w:rsidRPr="005101DB">
        <w:rPr>
          <w:rFonts w:ascii="Times New Roman" w:hAnsi="Times New Roman" w:cs="Times New Roman"/>
          <w:b/>
          <w:bCs/>
          <w:lang w:val="en-IN"/>
        </w:rPr>
        <w:t>2. Effect of vanadium supplementation on body weight gain (kg/d) of Murrah buffalo calves</w:t>
      </w:r>
    </w:p>
    <w:tbl>
      <w:tblPr>
        <w:tblStyle w:val="TableGrid"/>
        <w:tblW w:w="0" w:type="auto"/>
        <w:jc w:val="center"/>
        <w:tblLook w:val="04A0" w:firstRow="1" w:lastRow="0" w:firstColumn="1" w:lastColumn="0" w:noHBand="0" w:noVBand="1"/>
      </w:tblPr>
      <w:tblGrid>
        <w:gridCol w:w="803"/>
        <w:gridCol w:w="636"/>
        <w:gridCol w:w="636"/>
        <w:gridCol w:w="636"/>
        <w:gridCol w:w="737"/>
        <w:gridCol w:w="1123"/>
        <w:gridCol w:w="910"/>
        <w:gridCol w:w="1270"/>
      </w:tblGrid>
      <w:tr w:rsidR="00285B89" w:rsidRPr="005101DB" w14:paraId="4FE2724E" w14:textId="77777777" w:rsidTr="00285B89">
        <w:trPr>
          <w:jc w:val="center"/>
        </w:trPr>
        <w:tc>
          <w:tcPr>
            <w:tcW w:w="0" w:type="auto"/>
            <w:vMerge w:val="restart"/>
            <w:vAlign w:val="center"/>
          </w:tcPr>
          <w:p w14:paraId="1B816DE9" w14:textId="7A37FC04"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Day</w:t>
            </w:r>
          </w:p>
        </w:tc>
        <w:tc>
          <w:tcPr>
            <w:tcW w:w="0" w:type="auto"/>
            <w:gridSpan w:val="3"/>
            <w:vAlign w:val="center"/>
          </w:tcPr>
          <w:p w14:paraId="71A482DA" w14:textId="406507FD" w:rsidR="00285B89" w:rsidRPr="005101DB" w:rsidRDefault="00285B89" w:rsidP="005101DB">
            <w:pPr>
              <w:spacing w:line="276" w:lineRule="auto"/>
              <w:jc w:val="center"/>
              <w:rPr>
                <w:rFonts w:ascii="Times New Roman" w:hAnsi="Times New Roman" w:cs="Times New Roman"/>
                <w:b/>
                <w:bCs/>
                <w:lang w:val="en-IN"/>
              </w:rPr>
            </w:pPr>
            <w:r w:rsidRPr="005101DB">
              <w:rPr>
                <w:rFonts w:ascii="Times New Roman" w:hAnsi="Times New Roman" w:cs="Times New Roman"/>
                <w:b/>
                <w:bCs/>
                <w:lang w:val="en-IN"/>
              </w:rPr>
              <w:t>Treatment</w:t>
            </w:r>
          </w:p>
        </w:tc>
        <w:tc>
          <w:tcPr>
            <w:tcW w:w="0" w:type="auto"/>
            <w:vMerge w:val="restart"/>
            <w:vAlign w:val="center"/>
          </w:tcPr>
          <w:p w14:paraId="4F3CD42A" w14:textId="250AC82D"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SEM</w:t>
            </w:r>
          </w:p>
        </w:tc>
        <w:tc>
          <w:tcPr>
            <w:tcW w:w="0" w:type="auto"/>
            <w:gridSpan w:val="3"/>
            <w:vAlign w:val="center"/>
          </w:tcPr>
          <w:p w14:paraId="485DC1D9" w14:textId="4429400E" w:rsidR="00285B89" w:rsidRPr="005101DB" w:rsidRDefault="00285B89" w:rsidP="005101DB">
            <w:pPr>
              <w:spacing w:line="276" w:lineRule="auto"/>
              <w:jc w:val="center"/>
              <w:rPr>
                <w:rFonts w:ascii="Times New Roman" w:hAnsi="Times New Roman" w:cs="Times New Roman"/>
                <w:b/>
                <w:bCs/>
                <w:lang w:val="en-IN"/>
              </w:rPr>
            </w:pPr>
            <w:r w:rsidRPr="005101DB">
              <w:rPr>
                <w:rFonts w:ascii="Times New Roman" w:hAnsi="Times New Roman" w:cs="Times New Roman"/>
                <w:b/>
                <w:bCs/>
                <w:lang w:val="en-IN"/>
              </w:rPr>
              <w:t>P-value</w:t>
            </w:r>
          </w:p>
        </w:tc>
      </w:tr>
      <w:tr w:rsidR="00285B89" w:rsidRPr="005101DB" w14:paraId="581DFDB7" w14:textId="77777777" w:rsidTr="00285B89">
        <w:trPr>
          <w:jc w:val="center"/>
        </w:trPr>
        <w:tc>
          <w:tcPr>
            <w:tcW w:w="0" w:type="auto"/>
            <w:vMerge/>
            <w:vAlign w:val="center"/>
            <w:hideMark/>
          </w:tcPr>
          <w:p w14:paraId="2205AC92" w14:textId="5CE5E2BB" w:rsidR="00285B89" w:rsidRPr="005101DB" w:rsidRDefault="00285B89" w:rsidP="005101DB">
            <w:pPr>
              <w:spacing w:after="160" w:line="276" w:lineRule="auto"/>
              <w:jc w:val="center"/>
              <w:rPr>
                <w:rFonts w:ascii="Times New Roman" w:hAnsi="Times New Roman" w:cs="Times New Roman"/>
                <w:b/>
                <w:bCs/>
                <w:lang w:val="en-IN"/>
              </w:rPr>
            </w:pPr>
          </w:p>
        </w:tc>
        <w:tc>
          <w:tcPr>
            <w:tcW w:w="0" w:type="auto"/>
            <w:vAlign w:val="center"/>
            <w:hideMark/>
          </w:tcPr>
          <w:p w14:paraId="4EBA1BD4" w14:textId="77777777"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0</w:t>
            </w:r>
          </w:p>
        </w:tc>
        <w:tc>
          <w:tcPr>
            <w:tcW w:w="0" w:type="auto"/>
            <w:vAlign w:val="center"/>
            <w:hideMark/>
          </w:tcPr>
          <w:p w14:paraId="54CA7619" w14:textId="77777777"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4</w:t>
            </w:r>
          </w:p>
        </w:tc>
        <w:tc>
          <w:tcPr>
            <w:tcW w:w="0" w:type="auto"/>
            <w:vAlign w:val="center"/>
            <w:hideMark/>
          </w:tcPr>
          <w:p w14:paraId="76216E00" w14:textId="77777777"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6</w:t>
            </w:r>
          </w:p>
        </w:tc>
        <w:tc>
          <w:tcPr>
            <w:tcW w:w="0" w:type="auto"/>
            <w:vMerge/>
            <w:vAlign w:val="center"/>
            <w:hideMark/>
          </w:tcPr>
          <w:p w14:paraId="7B85FCCB" w14:textId="6CD7920C" w:rsidR="00285B89" w:rsidRPr="005101DB" w:rsidRDefault="00285B89" w:rsidP="005101DB">
            <w:pPr>
              <w:spacing w:after="160" w:line="276" w:lineRule="auto"/>
              <w:jc w:val="center"/>
              <w:rPr>
                <w:rFonts w:ascii="Times New Roman" w:hAnsi="Times New Roman" w:cs="Times New Roman"/>
                <w:b/>
                <w:bCs/>
                <w:lang w:val="en-IN"/>
              </w:rPr>
            </w:pPr>
          </w:p>
        </w:tc>
        <w:tc>
          <w:tcPr>
            <w:tcW w:w="0" w:type="auto"/>
            <w:vAlign w:val="center"/>
            <w:hideMark/>
          </w:tcPr>
          <w:p w14:paraId="5E3FEF41" w14:textId="77777777"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Contrast</w:t>
            </w:r>
          </w:p>
        </w:tc>
        <w:tc>
          <w:tcPr>
            <w:tcW w:w="0" w:type="auto"/>
            <w:vAlign w:val="center"/>
            <w:hideMark/>
          </w:tcPr>
          <w:p w14:paraId="55CA8606" w14:textId="77777777"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Linear</w:t>
            </w:r>
          </w:p>
        </w:tc>
        <w:tc>
          <w:tcPr>
            <w:tcW w:w="0" w:type="auto"/>
            <w:vAlign w:val="center"/>
            <w:hideMark/>
          </w:tcPr>
          <w:p w14:paraId="55848638" w14:textId="77777777"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Quadratic</w:t>
            </w:r>
          </w:p>
        </w:tc>
      </w:tr>
      <w:tr w:rsidR="00917A16" w:rsidRPr="005101DB" w14:paraId="002476E0" w14:textId="77777777" w:rsidTr="00285B89">
        <w:trPr>
          <w:jc w:val="center"/>
        </w:trPr>
        <w:tc>
          <w:tcPr>
            <w:tcW w:w="0" w:type="auto"/>
            <w:vAlign w:val="center"/>
            <w:hideMark/>
          </w:tcPr>
          <w:p w14:paraId="119B3A7D"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15</w:t>
            </w:r>
          </w:p>
        </w:tc>
        <w:tc>
          <w:tcPr>
            <w:tcW w:w="0" w:type="auto"/>
            <w:vAlign w:val="center"/>
            <w:hideMark/>
          </w:tcPr>
          <w:p w14:paraId="0B1F7B32" w14:textId="0DA50959"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0.36</w:t>
            </w:r>
          </w:p>
        </w:tc>
        <w:tc>
          <w:tcPr>
            <w:tcW w:w="0" w:type="auto"/>
            <w:vAlign w:val="center"/>
            <w:hideMark/>
          </w:tcPr>
          <w:p w14:paraId="51C5DFF7" w14:textId="29B486D3"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0.43</w:t>
            </w:r>
          </w:p>
        </w:tc>
        <w:tc>
          <w:tcPr>
            <w:tcW w:w="0" w:type="auto"/>
            <w:vAlign w:val="center"/>
            <w:hideMark/>
          </w:tcPr>
          <w:p w14:paraId="2F2DE66A" w14:textId="18DCE5DA"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0.47</w:t>
            </w:r>
          </w:p>
        </w:tc>
        <w:tc>
          <w:tcPr>
            <w:tcW w:w="0" w:type="auto"/>
            <w:vAlign w:val="center"/>
            <w:hideMark/>
          </w:tcPr>
          <w:p w14:paraId="0EED48A0"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0.01</w:t>
            </w:r>
          </w:p>
        </w:tc>
        <w:tc>
          <w:tcPr>
            <w:tcW w:w="0" w:type="auto"/>
            <w:vAlign w:val="center"/>
            <w:hideMark/>
          </w:tcPr>
          <w:p w14:paraId="4007ECFB"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14:paraId="0B1B1E45"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14:paraId="2A6502AD"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0.276</w:t>
            </w:r>
          </w:p>
        </w:tc>
      </w:tr>
      <w:tr w:rsidR="00917A16" w:rsidRPr="005101DB" w14:paraId="5EB7066B" w14:textId="77777777" w:rsidTr="00285B89">
        <w:trPr>
          <w:jc w:val="center"/>
        </w:trPr>
        <w:tc>
          <w:tcPr>
            <w:tcW w:w="0" w:type="auto"/>
            <w:vAlign w:val="center"/>
            <w:hideMark/>
          </w:tcPr>
          <w:p w14:paraId="11F1228E"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30</w:t>
            </w:r>
          </w:p>
        </w:tc>
        <w:tc>
          <w:tcPr>
            <w:tcW w:w="0" w:type="auto"/>
            <w:vAlign w:val="center"/>
            <w:hideMark/>
          </w:tcPr>
          <w:p w14:paraId="6AC75762" w14:textId="0F6453C2"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0.36</w:t>
            </w:r>
          </w:p>
        </w:tc>
        <w:tc>
          <w:tcPr>
            <w:tcW w:w="0" w:type="auto"/>
            <w:vAlign w:val="center"/>
            <w:hideMark/>
          </w:tcPr>
          <w:p w14:paraId="7C7042D7" w14:textId="0E6A93CB"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0.43</w:t>
            </w:r>
          </w:p>
        </w:tc>
        <w:tc>
          <w:tcPr>
            <w:tcW w:w="0" w:type="auto"/>
            <w:vAlign w:val="center"/>
            <w:hideMark/>
          </w:tcPr>
          <w:p w14:paraId="79C12844" w14:textId="6D6AA313"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0.45</w:t>
            </w:r>
          </w:p>
        </w:tc>
        <w:tc>
          <w:tcPr>
            <w:tcW w:w="0" w:type="auto"/>
            <w:vAlign w:val="center"/>
            <w:hideMark/>
          </w:tcPr>
          <w:p w14:paraId="0232A3C8"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0.01</w:t>
            </w:r>
          </w:p>
        </w:tc>
        <w:tc>
          <w:tcPr>
            <w:tcW w:w="0" w:type="auto"/>
            <w:vAlign w:val="center"/>
            <w:hideMark/>
          </w:tcPr>
          <w:p w14:paraId="6BC1D27F"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14:paraId="05B53DBD"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14:paraId="150E3FEC"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0.016</w:t>
            </w:r>
          </w:p>
        </w:tc>
      </w:tr>
      <w:tr w:rsidR="00917A16" w:rsidRPr="005101DB" w14:paraId="44E8BA91" w14:textId="77777777" w:rsidTr="00285B89">
        <w:trPr>
          <w:jc w:val="center"/>
        </w:trPr>
        <w:tc>
          <w:tcPr>
            <w:tcW w:w="0" w:type="auto"/>
            <w:vAlign w:val="center"/>
            <w:hideMark/>
          </w:tcPr>
          <w:p w14:paraId="2E7E0DDD"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45</w:t>
            </w:r>
          </w:p>
        </w:tc>
        <w:tc>
          <w:tcPr>
            <w:tcW w:w="0" w:type="auto"/>
            <w:vAlign w:val="center"/>
            <w:hideMark/>
          </w:tcPr>
          <w:p w14:paraId="34E6ACB4" w14:textId="16EDE45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0.37</w:t>
            </w:r>
          </w:p>
        </w:tc>
        <w:tc>
          <w:tcPr>
            <w:tcW w:w="0" w:type="auto"/>
            <w:vAlign w:val="center"/>
            <w:hideMark/>
          </w:tcPr>
          <w:p w14:paraId="107C51EE" w14:textId="1BF7D9C8"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0.43</w:t>
            </w:r>
          </w:p>
        </w:tc>
        <w:tc>
          <w:tcPr>
            <w:tcW w:w="0" w:type="auto"/>
            <w:vAlign w:val="center"/>
            <w:hideMark/>
          </w:tcPr>
          <w:p w14:paraId="0C5FD774" w14:textId="2EFF09AA"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0.47</w:t>
            </w:r>
          </w:p>
        </w:tc>
        <w:tc>
          <w:tcPr>
            <w:tcW w:w="0" w:type="auto"/>
            <w:vAlign w:val="center"/>
            <w:hideMark/>
          </w:tcPr>
          <w:p w14:paraId="53D93543"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0.01</w:t>
            </w:r>
          </w:p>
        </w:tc>
        <w:tc>
          <w:tcPr>
            <w:tcW w:w="0" w:type="auto"/>
            <w:vAlign w:val="center"/>
            <w:hideMark/>
          </w:tcPr>
          <w:p w14:paraId="4EDD270D"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14:paraId="15300427"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14:paraId="6E1C0B41"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0.243</w:t>
            </w:r>
          </w:p>
        </w:tc>
      </w:tr>
      <w:tr w:rsidR="00917A16" w:rsidRPr="005101DB" w14:paraId="38764877" w14:textId="77777777" w:rsidTr="00285B89">
        <w:trPr>
          <w:jc w:val="center"/>
        </w:trPr>
        <w:tc>
          <w:tcPr>
            <w:tcW w:w="0" w:type="auto"/>
            <w:vAlign w:val="center"/>
            <w:hideMark/>
          </w:tcPr>
          <w:p w14:paraId="2F4A338E"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lastRenderedPageBreak/>
              <w:t>60</w:t>
            </w:r>
          </w:p>
        </w:tc>
        <w:tc>
          <w:tcPr>
            <w:tcW w:w="0" w:type="auto"/>
            <w:vAlign w:val="center"/>
            <w:hideMark/>
          </w:tcPr>
          <w:p w14:paraId="4CA8911F" w14:textId="3F5D8D2F"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0.37</w:t>
            </w:r>
          </w:p>
        </w:tc>
        <w:tc>
          <w:tcPr>
            <w:tcW w:w="0" w:type="auto"/>
            <w:vAlign w:val="center"/>
            <w:hideMark/>
          </w:tcPr>
          <w:p w14:paraId="79D4377D" w14:textId="2E700EE3"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0.44</w:t>
            </w:r>
          </w:p>
        </w:tc>
        <w:tc>
          <w:tcPr>
            <w:tcW w:w="0" w:type="auto"/>
            <w:vAlign w:val="center"/>
            <w:hideMark/>
          </w:tcPr>
          <w:p w14:paraId="5D619F75" w14:textId="092278AE"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0.46</w:t>
            </w:r>
          </w:p>
        </w:tc>
        <w:tc>
          <w:tcPr>
            <w:tcW w:w="0" w:type="auto"/>
            <w:vAlign w:val="center"/>
            <w:hideMark/>
          </w:tcPr>
          <w:p w14:paraId="052F3ED3"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0.01</w:t>
            </w:r>
          </w:p>
        </w:tc>
        <w:tc>
          <w:tcPr>
            <w:tcW w:w="0" w:type="auto"/>
            <w:vAlign w:val="center"/>
            <w:hideMark/>
          </w:tcPr>
          <w:p w14:paraId="0089C6AD"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14:paraId="409779CB"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14:paraId="0E283B44"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0.050</w:t>
            </w:r>
          </w:p>
        </w:tc>
      </w:tr>
      <w:tr w:rsidR="00917A16" w:rsidRPr="005101DB" w14:paraId="304D1A19" w14:textId="77777777" w:rsidTr="00285B89">
        <w:trPr>
          <w:jc w:val="center"/>
        </w:trPr>
        <w:tc>
          <w:tcPr>
            <w:tcW w:w="0" w:type="auto"/>
            <w:vAlign w:val="center"/>
            <w:hideMark/>
          </w:tcPr>
          <w:p w14:paraId="2CC6CFE1"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75</w:t>
            </w:r>
          </w:p>
        </w:tc>
        <w:tc>
          <w:tcPr>
            <w:tcW w:w="0" w:type="auto"/>
            <w:vAlign w:val="center"/>
            <w:hideMark/>
          </w:tcPr>
          <w:p w14:paraId="6221ABA0" w14:textId="02FE2B08"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0.38</w:t>
            </w:r>
          </w:p>
        </w:tc>
        <w:tc>
          <w:tcPr>
            <w:tcW w:w="0" w:type="auto"/>
            <w:vAlign w:val="center"/>
            <w:hideMark/>
          </w:tcPr>
          <w:p w14:paraId="40C1FE81" w14:textId="0F258BC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0.43</w:t>
            </w:r>
          </w:p>
        </w:tc>
        <w:tc>
          <w:tcPr>
            <w:tcW w:w="0" w:type="auto"/>
            <w:vAlign w:val="center"/>
            <w:hideMark/>
          </w:tcPr>
          <w:p w14:paraId="6D4D6B7C" w14:textId="0A7C6E5A"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0.47</w:t>
            </w:r>
          </w:p>
        </w:tc>
        <w:tc>
          <w:tcPr>
            <w:tcW w:w="0" w:type="auto"/>
            <w:vAlign w:val="center"/>
            <w:hideMark/>
          </w:tcPr>
          <w:p w14:paraId="4E215EF8"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0.01</w:t>
            </w:r>
          </w:p>
        </w:tc>
        <w:tc>
          <w:tcPr>
            <w:tcW w:w="0" w:type="auto"/>
            <w:vAlign w:val="center"/>
            <w:hideMark/>
          </w:tcPr>
          <w:p w14:paraId="714531B9"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14:paraId="06917A0D"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14:paraId="1603F14F"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0.931</w:t>
            </w:r>
          </w:p>
        </w:tc>
      </w:tr>
      <w:tr w:rsidR="00917A16" w:rsidRPr="005101DB" w14:paraId="65B08430" w14:textId="77777777" w:rsidTr="00285B89">
        <w:trPr>
          <w:jc w:val="center"/>
        </w:trPr>
        <w:tc>
          <w:tcPr>
            <w:tcW w:w="0" w:type="auto"/>
            <w:vAlign w:val="center"/>
            <w:hideMark/>
          </w:tcPr>
          <w:p w14:paraId="18EF05FA"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90</w:t>
            </w:r>
          </w:p>
        </w:tc>
        <w:tc>
          <w:tcPr>
            <w:tcW w:w="0" w:type="auto"/>
            <w:vAlign w:val="center"/>
            <w:hideMark/>
          </w:tcPr>
          <w:p w14:paraId="24C519F2" w14:textId="6BC5750C"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0.37</w:t>
            </w:r>
          </w:p>
        </w:tc>
        <w:tc>
          <w:tcPr>
            <w:tcW w:w="0" w:type="auto"/>
            <w:vAlign w:val="center"/>
            <w:hideMark/>
          </w:tcPr>
          <w:p w14:paraId="38810F63" w14:textId="51464082"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0.43</w:t>
            </w:r>
          </w:p>
        </w:tc>
        <w:tc>
          <w:tcPr>
            <w:tcW w:w="0" w:type="auto"/>
            <w:vAlign w:val="center"/>
            <w:hideMark/>
          </w:tcPr>
          <w:p w14:paraId="4A3824D4" w14:textId="62A21C94"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0.46</w:t>
            </w:r>
          </w:p>
        </w:tc>
        <w:tc>
          <w:tcPr>
            <w:tcW w:w="0" w:type="auto"/>
            <w:vAlign w:val="center"/>
            <w:hideMark/>
          </w:tcPr>
          <w:p w14:paraId="66E9A704"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0.01</w:t>
            </w:r>
          </w:p>
        </w:tc>
        <w:tc>
          <w:tcPr>
            <w:tcW w:w="0" w:type="auto"/>
            <w:vAlign w:val="center"/>
            <w:hideMark/>
          </w:tcPr>
          <w:p w14:paraId="2CB921AA"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14:paraId="554D4F19"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14:paraId="11E051D8"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0.180</w:t>
            </w:r>
          </w:p>
        </w:tc>
      </w:tr>
      <w:tr w:rsidR="00917A16" w:rsidRPr="005101DB" w14:paraId="7AB1A9DB" w14:textId="77777777" w:rsidTr="00285B89">
        <w:trPr>
          <w:jc w:val="center"/>
        </w:trPr>
        <w:tc>
          <w:tcPr>
            <w:tcW w:w="0" w:type="auto"/>
            <w:vAlign w:val="center"/>
            <w:hideMark/>
          </w:tcPr>
          <w:p w14:paraId="3FCC1289"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Mean</w:t>
            </w:r>
          </w:p>
        </w:tc>
        <w:tc>
          <w:tcPr>
            <w:tcW w:w="0" w:type="auto"/>
            <w:vAlign w:val="center"/>
            <w:hideMark/>
          </w:tcPr>
          <w:p w14:paraId="12EFD73B" w14:textId="11282E79"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0.37</w:t>
            </w:r>
          </w:p>
        </w:tc>
        <w:tc>
          <w:tcPr>
            <w:tcW w:w="0" w:type="auto"/>
            <w:vAlign w:val="center"/>
            <w:hideMark/>
          </w:tcPr>
          <w:p w14:paraId="1620B486" w14:textId="30F20F6B"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0.43</w:t>
            </w:r>
          </w:p>
        </w:tc>
        <w:tc>
          <w:tcPr>
            <w:tcW w:w="0" w:type="auto"/>
            <w:vAlign w:val="center"/>
            <w:hideMark/>
          </w:tcPr>
          <w:p w14:paraId="7FBA3418" w14:textId="002F483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0.46</w:t>
            </w:r>
          </w:p>
        </w:tc>
        <w:tc>
          <w:tcPr>
            <w:tcW w:w="0" w:type="auto"/>
            <w:vAlign w:val="center"/>
            <w:hideMark/>
          </w:tcPr>
          <w:p w14:paraId="256D7E7F"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0.01</w:t>
            </w:r>
          </w:p>
        </w:tc>
        <w:tc>
          <w:tcPr>
            <w:tcW w:w="0" w:type="auto"/>
            <w:vAlign w:val="center"/>
            <w:hideMark/>
          </w:tcPr>
          <w:p w14:paraId="749A98B0"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14:paraId="69E08DDF"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14:paraId="66AFA09E"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r>
    </w:tbl>
    <w:p w14:paraId="510423E2" w14:textId="77777777" w:rsidR="004202F6" w:rsidRPr="005101DB" w:rsidRDefault="004202F6" w:rsidP="005101DB">
      <w:pPr>
        <w:spacing w:line="276" w:lineRule="auto"/>
        <w:jc w:val="both"/>
        <w:rPr>
          <w:rFonts w:ascii="Times New Roman" w:hAnsi="Times New Roman" w:cs="Times New Roman"/>
          <w:lang w:val="en-IN"/>
        </w:rPr>
      </w:pPr>
    </w:p>
    <w:p w14:paraId="6C8EB528" w14:textId="30CE79CE" w:rsidR="00285B89" w:rsidRPr="005101DB" w:rsidRDefault="00285B89"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Table 3. Effect of vanadium supplementation on feed consumption (kg/d) of Murrah buffalo calves</w:t>
      </w:r>
    </w:p>
    <w:tbl>
      <w:tblPr>
        <w:tblStyle w:val="TableGrid"/>
        <w:tblW w:w="0" w:type="auto"/>
        <w:jc w:val="center"/>
        <w:tblLook w:val="04A0" w:firstRow="1" w:lastRow="0" w:firstColumn="1" w:lastColumn="0" w:noHBand="0" w:noVBand="1"/>
      </w:tblPr>
      <w:tblGrid>
        <w:gridCol w:w="803"/>
        <w:gridCol w:w="636"/>
        <w:gridCol w:w="636"/>
        <w:gridCol w:w="636"/>
        <w:gridCol w:w="737"/>
        <w:gridCol w:w="1123"/>
        <w:gridCol w:w="910"/>
        <w:gridCol w:w="1460"/>
      </w:tblGrid>
      <w:tr w:rsidR="00285B89" w:rsidRPr="005101DB" w14:paraId="42DC7387" w14:textId="77777777" w:rsidTr="00285B89">
        <w:trPr>
          <w:jc w:val="center"/>
        </w:trPr>
        <w:tc>
          <w:tcPr>
            <w:tcW w:w="0" w:type="auto"/>
            <w:vMerge w:val="restart"/>
            <w:vAlign w:val="center"/>
          </w:tcPr>
          <w:p w14:paraId="1E493058" w14:textId="2F45E468"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Day</w:t>
            </w:r>
          </w:p>
        </w:tc>
        <w:tc>
          <w:tcPr>
            <w:tcW w:w="0" w:type="auto"/>
            <w:gridSpan w:val="3"/>
            <w:vAlign w:val="center"/>
          </w:tcPr>
          <w:p w14:paraId="298E68BD" w14:textId="7EF04DEC" w:rsidR="00285B89" w:rsidRPr="005101DB" w:rsidRDefault="00285B89" w:rsidP="005101DB">
            <w:pPr>
              <w:spacing w:line="276" w:lineRule="auto"/>
              <w:jc w:val="center"/>
              <w:rPr>
                <w:rFonts w:ascii="Times New Roman" w:hAnsi="Times New Roman" w:cs="Times New Roman"/>
                <w:b/>
                <w:bCs/>
                <w:lang w:val="en-IN"/>
              </w:rPr>
            </w:pPr>
            <w:r w:rsidRPr="005101DB">
              <w:rPr>
                <w:rFonts w:ascii="Times New Roman" w:hAnsi="Times New Roman" w:cs="Times New Roman"/>
                <w:b/>
                <w:bCs/>
                <w:lang w:val="en-IN"/>
              </w:rPr>
              <w:t>Treatment</w:t>
            </w:r>
          </w:p>
        </w:tc>
        <w:tc>
          <w:tcPr>
            <w:tcW w:w="0" w:type="auto"/>
            <w:vMerge w:val="restart"/>
            <w:vAlign w:val="center"/>
          </w:tcPr>
          <w:p w14:paraId="5754EFB4" w14:textId="6E360490"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SEM</w:t>
            </w:r>
          </w:p>
        </w:tc>
        <w:tc>
          <w:tcPr>
            <w:tcW w:w="3493" w:type="dxa"/>
            <w:gridSpan w:val="3"/>
            <w:vAlign w:val="center"/>
          </w:tcPr>
          <w:p w14:paraId="1C45F533" w14:textId="514088BF" w:rsidR="00285B89" w:rsidRPr="005101DB" w:rsidRDefault="00285B89" w:rsidP="005101DB">
            <w:pPr>
              <w:spacing w:line="276" w:lineRule="auto"/>
              <w:jc w:val="center"/>
              <w:rPr>
                <w:rFonts w:ascii="Times New Roman" w:hAnsi="Times New Roman" w:cs="Times New Roman"/>
                <w:b/>
                <w:bCs/>
                <w:lang w:val="en-IN"/>
              </w:rPr>
            </w:pPr>
            <w:r w:rsidRPr="005101DB">
              <w:rPr>
                <w:rFonts w:ascii="Times New Roman" w:hAnsi="Times New Roman" w:cs="Times New Roman"/>
                <w:b/>
                <w:bCs/>
                <w:lang w:val="en-IN"/>
              </w:rPr>
              <w:t>P-value</w:t>
            </w:r>
          </w:p>
        </w:tc>
      </w:tr>
      <w:tr w:rsidR="00285B89" w:rsidRPr="005101DB" w14:paraId="6499ED4A" w14:textId="77777777" w:rsidTr="00285B89">
        <w:trPr>
          <w:jc w:val="center"/>
        </w:trPr>
        <w:tc>
          <w:tcPr>
            <w:tcW w:w="0" w:type="auto"/>
            <w:vMerge/>
            <w:vAlign w:val="center"/>
            <w:hideMark/>
          </w:tcPr>
          <w:p w14:paraId="39C8B7B8" w14:textId="7D4A87BA" w:rsidR="00285B89" w:rsidRPr="005101DB" w:rsidRDefault="00285B89" w:rsidP="005101DB">
            <w:pPr>
              <w:spacing w:after="160" w:line="276" w:lineRule="auto"/>
              <w:jc w:val="center"/>
              <w:rPr>
                <w:rFonts w:ascii="Times New Roman" w:hAnsi="Times New Roman" w:cs="Times New Roman"/>
                <w:b/>
                <w:bCs/>
                <w:lang w:val="en-IN"/>
              </w:rPr>
            </w:pPr>
          </w:p>
        </w:tc>
        <w:tc>
          <w:tcPr>
            <w:tcW w:w="0" w:type="auto"/>
            <w:vAlign w:val="center"/>
            <w:hideMark/>
          </w:tcPr>
          <w:p w14:paraId="643CCECE" w14:textId="77777777"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0</w:t>
            </w:r>
          </w:p>
        </w:tc>
        <w:tc>
          <w:tcPr>
            <w:tcW w:w="0" w:type="auto"/>
            <w:vAlign w:val="center"/>
            <w:hideMark/>
          </w:tcPr>
          <w:p w14:paraId="0BD6A130" w14:textId="77777777"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4</w:t>
            </w:r>
          </w:p>
        </w:tc>
        <w:tc>
          <w:tcPr>
            <w:tcW w:w="0" w:type="auto"/>
            <w:vAlign w:val="center"/>
            <w:hideMark/>
          </w:tcPr>
          <w:p w14:paraId="43F25493" w14:textId="77777777"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6</w:t>
            </w:r>
          </w:p>
        </w:tc>
        <w:tc>
          <w:tcPr>
            <w:tcW w:w="0" w:type="auto"/>
            <w:vMerge/>
            <w:vAlign w:val="center"/>
            <w:hideMark/>
          </w:tcPr>
          <w:p w14:paraId="42A376B3" w14:textId="658659F5" w:rsidR="00285B89" w:rsidRPr="005101DB" w:rsidRDefault="00285B89" w:rsidP="005101DB">
            <w:pPr>
              <w:spacing w:after="160" w:line="276" w:lineRule="auto"/>
              <w:jc w:val="center"/>
              <w:rPr>
                <w:rFonts w:ascii="Times New Roman" w:hAnsi="Times New Roman" w:cs="Times New Roman"/>
                <w:b/>
                <w:bCs/>
                <w:lang w:val="en-IN"/>
              </w:rPr>
            </w:pPr>
          </w:p>
        </w:tc>
        <w:tc>
          <w:tcPr>
            <w:tcW w:w="0" w:type="auto"/>
            <w:vAlign w:val="center"/>
            <w:hideMark/>
          </w:tcPr>
          <w:p w14:paraId="140D8F11" w14:textId="77777777"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Contrast</w:t>
            </w:r>
          </w:p>
        </w:tc>
        <w:tc>
          <w:tcPr>
            <w:tcW w:w="0" w:type="auto"/>
            <w:vAlign w:val="center"/>
            <w:hideMark/>
          </w:tcPr>
          <w:p w14:paraId="67363113" w14:textId="77777777"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Linear</w:t>
            </w:r>
          </w:p>
        </w:tc>
        <w:tc>
          <w:tcPr>
            <w:tcW w:w="1460" w:type="dxa"/>
            <w:vAlign w:val="center"/>
            <w:hideMark/>
          </w:tcPr>
          <w:p w14:paraId="2505A50F" w14:textId="77777777"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Quadratic</w:t>
            </w:r>
          </w:p>
        </w:tc>
      </w:tr>
      <w:tr w:rsidR="00285B89" w:rsidRPr="005101DB" w14:paraId="343809A9" w14:textId="77777777" w:rsidTr="00285B89">
        <w:trPr>
          <w:jc w:val="center"/>
        </w:trPr>
        <w:tc>
          <w:tcPr>
            <w:tcW w:w="0" w:type="auto"/>
            <w:vAlign w:val="center"/>
            <w:hideMark/>
          </w:tcPr>
          <w:p w14:paraId="00311C9C"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15</w:t>
            </w:r>
          </w:p>
        </w:tc>
        <w:tc>
          <w:tcPr>
            <w:tcW w:w="0" w:type="auto"/>
            <w:vAlign w:val="center"/>
            <w:hideMark/>
          </w:tcPr>
          <w:p w14:paraId="77232F49"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4.10</w:t>
            </w:r>
          </w:p>
        </w:tc>
        <w:tc>
          <w:tcPr>
            <w:tcW w:w="0" w:type="auto"/>
            <w:vAlign w:val="center"/>
            <w:hideMark/>
          </w:tcPr>
          <w:p w14:paraId="1BDA0094"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4.12</w:t>
            </w:r>
          </w:p>
        </w:tc>
        <w:tc>
          <w:tcPr>
            <w:tcW w:w="0" w:type="auto"/>
            <w:vAlign w:val="center"/>
            <w:hideMark/>
          </w:tcPr>
          <w:p w14:paraId="1554F5C6"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4.09</w:t>
            </w:r>
          </w:p>
        </w:tc>
        <w:tc>
          <w:tcPr>
            <w:tcW w:w="0" w:type="auto"/>
            <w:vAlign w:val="center"/>
            <w:hideMark/>
          </w:tcPr>
          <w:p w14:paraId="776575C2"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0.15</w:t>
            </w:r>
          </w:p>
        </w:tc>
        <w:tc>
          <w:tcPr>
            <w:tcW w:w="0" w:type="auto"/>
            <w:vAlign w:val="center"/>
            <w:hideMark/>
          </w:tcPr>
          <w:p w14:paraId="0A638299"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0.994</w:t>
            </w:r>
          </w:p>
        </w:tc>
        <w:tc>
          <w:tcPr>
            <w:tcW w:w="0" w:type="auto"/>
            <w:vAlign w:val="center"/>
            <w:hideMark/>
          </w:tcPr>
          <w:p w14:paraId="2695E972"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0.979</w:t>
            </w:r>
          </w:p>
        </w:tc>
        <w:tc>
          <w:tcPr>
            <w:tcW w:w="1460" w:type="dxa"/>
            <w:vAlign w:val="center"/>
            <w:hideMark/>
          </w:tcPr>
          <w:p w14:paraId="6029874A"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0.916</w:t>
            </w:r>
          </w:p>
        </w:tc>
      </w:tr>
      <w:tr w:rsidR="00285B89" w:rsidRPr="005101DB" w14:paraId="3396107A" w14:textId="77777777" w:rsidTr="00285B89">
        <w:trPr>
          <w:jc w:val="center"/>
        </w:trPr>
        <w:tc>
          <w:tcPr>
            <w:tcW w:w="0" w:type="auto"/>
            <w:vAlign w:val="center"/>
            <w:hideMark/>
          </w:tcPr>
          <w:p w14:paraId="64D761D3"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30</w:t>
            </w:r>
          </w:p>
        </w:tc>
        <w:tc>
          <w:tcPr>
            <w:tcW w:w="0" w:type="auto"/>
            <w:vAlign w:val="center"/>
            <w:hideMark/>
          </w:tcPr>
          <w:p w14:paraId="35D0B5CB"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4.25</w:t>
            </w:r>
          </w:p>
        </w:tc>
        <w:tc>
          <w:tcPr>
            <w:tcW w:w="0" w:type="auto"/>
            <w:vAlign w:val="center"/>
            <w:hideMark/>
          </w:tcPr>
          <w:p w14:paraId="22DAF3EE"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4.32</w:t>
            </w:r>
          </w:p>
        </w:tc>
        <w:tc>
          <w:tcPr>
            <w:tcW w:w="0" w:type="auto"/>
            <w:vAlign w:val="center"/>
            <w:hideMark/>
          </w:tcPr>
          <w:p w14:paraId="44CCBA5E"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4.29</w:t>
            </w:r>
          </w:p>
        </w:tc>
        <w:tc>
          <w:tcPr>
            <w:tcW w:w="0" w:type="auto"/>
            <w:vAlign w:val="center"/>
            <w:hideMark/>
          </w:tcPr>
          <w:p w14:paraId="7D1677DE"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0.15</w:t>
            </w:r>
          </w:p>
        </w:tc>
        <w:tc>
          <w:tcPr>
            <w:tcW w:w="0" w:type="auto"/>
            <w:vAlign w:val="center"/>
            <w:hideMark/>
          </w:tcPr>
          <w:p w14:paraId="62018A0A"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0.948</w:t>
            </w:r>
          </w:p>
        </w:tc>
        <w:tc>
          <w:tcPr>
            <w:tcW w:w="0" w:type="auto"/>
            <w:vAlign w:val="center"/>
            <w:hideMark/>
          </w:tcPr>
          <w:p w14:paraId="70198E5A"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0.877</w:t>
            </w:r>
          </w:p>
        </w:tc>
        <w:tc>
          <w:tcPr>
            <w:tcW w:w="1460" w:type="dxa"/>
            <w:vAlign w:val="center"/>
            <w:hideMark/>
          </w:tcPr>
          <w:p w14:paraId="1F77020B"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0.778</w:t>
            </w:r>
          </w:p>
        </w:tc>
      </w:tr>
      <w:tr w:rsidR="00285B89" w:rsidRPr="005101DB" w14:paraId="2FDA0581" w14:textId="77777777" w:rsidTr="00285B89">
        <w:trPr>
          <w:jc w:val="center"/>
        </w:trPr>
        <w:tc>
          <w:tcPr>
            <w:tcW w:w="0" w:type="auto"/>
            <w:vAlign w:val="center"/>
            <w:hideMark/>
          </w:tcPr>
          <w:p w14:paraId="1F02DFCE"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45</w:t>
            </w:r>
          </w:p>
        </w:tc>
        <w:tc>
          <w:tcPr>
            <w:tcW w:w="0" w:type="auto"/>
            <w:vAlign w:val="center"/>
            <w:hideMark/>
          </w:tcPr>
          <w:p w14:paraId="4C50A040"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4.50</w:t>
            </w:r>
          </w:p>
        </w:tc>
        <w:tc>
          <w:tcPr>
            <w:tcW w:w="0" w:type="auto"/>
            <w:vAlign w:val="center"/>
            <w:hideMark/>
          </w:tcPr>
          <w:p w14:paraId="4C209CDA"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4.47</w:t>
            </w:r>
          </w:p>
        </w:tc>
        <w:tc>
          <w:tcPr>
            <w:tcW w:w="0" w:type="auto"/>
            <w:vAlign w:val="center"/>
            <w:hideMark/>
          </w:tcPr>
          <w:p w14:paraId="1A2E3CBA"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4.48</w:t>
            </w:r>
          </w:p>
        </w:tc>
        <w:tc>
          <w:tcPr>
            <w:tcW w:w="0" w:type="auto"/>
            <w:vAlign w:val="center"/>
            <w:hideMark/>
          </w:tcPr>
          <w:p w14:paraId="7ADC63C3"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0.15</w:t>
            </w:r>
          </w:p>
        </w:tc>
        <w:tc>
          <w:tcPr>
            <w:tcW w:w="0" w:type="auto"/>
            <w:vAlign w:val="center"/>
            <w:hideMark/>
          </w:tcPr>
          <w:p w14:paraId="73EC38E1"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0.990</w:t>
            </w:r>
          </w:p>
        </w:tc>
        <w:tc>
          <w:tcPr>
            <w:tcW w:w="0" w:type="auto"/>
            <w:vAlign w:val="center"/>
            <w:hideMark/>
          </w:tcPr>
          <w:p w14:paraId="484F187B"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0.908</w:t>
            </w:r>
          </w:p>
        </w:tc>
        <w:tc>
          <w:tcPr>
            <w:tcW w:w="1460" w:type="dxa"/>
            <w:vAlign w:val="center"/>
            <w:hideMark/>
          </w:tcPr>
          <w:p w14:paraId="1D6B138F"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0.935</w:t>
            </w:r>
          </w:p>
        </w:tc>
      </w:tr>
      <w:tr w:rsidR="00285B89" w:rsidRPr="005101DB" w14:paraId="45EE4644" w14:textId="77777777" w:rsidTr="00285B89">
        <w:trPr>
          <w:jc w:val="center"/>
        </w:trPr>
        <w:tc>
          <w:tcPr>
            <w:tcW w:w="0" w:type="auto"/>
            <w:vAlign w:val="center"/>
            <w:hideMark/>
          </w:tcPr>
          <w:p w14:paraId="5A11F450"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60</w:t>
            </w:r>
          </w:p>
        </w:tc>
        <w:tc>
          <w:tcPr>
            <w:tcW w:w="0" w:type="auto"/>
            <w:vAlign w:val="center"/>
            <w:hideMark/>
          </w:tcPr>
          <w:p w14:paraId="7DD681B7"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4.56</w:t>
            </w:r>
          </w:p>
        </w:tc>
        <w:tc>
          <w:tcPr>
            <w:tcW w:w="0" w:type="auto"/>
            <w:vAlign w:val="center"/>
            <w:hideMark/>
          </w:tcPr>
          <w:p w14:paraId="293B55D3"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4.66</w:t>
            </w:r>
          </w:p>
        </w:tc>
        <w:tc>
          <w:tcPr>
            <w:tcW w:w="0" w:type="auto"/>
            <w:vAlign w:val="center"/>
            <w:hideMark/>
          </w:tcPr>
          <w:p w14:paraId="64583B5E"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4.67</w:t>
            </w:r>
          </w:p>
        </w:tc>
        <w:tc>
          <w:tcPr>
            <w:tcW w:w="0" w:type="auto"/>
            <w:vAlign w:val="center"/>
            <w:hideMark/>
          </w:tcPr>
          <w:p w14:paraId="27EA7C70"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0.15</w:t>
            </w:r>
          </w:p>
        </w:tc>
        <w:tc>
          <w:tcPr>
            <w:tcW w:w="0" w:type="auto"/>
            <w:vAlign w:val="center"/>
            <w:hideMark/>
          </w:tcPr>
          <w:p w14:paraId="69B48EC1"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0.837</w:t>
            </w:r>
          </w:p>
        </w:tc>
        <w:tc>
          <w:tcPr>
            <w:tcW w:w="0" w:type="auto"/>
            <w:vAlign w:val="center"/>
            <w:hideMark/>
          </w:tcPr>
          <w:p w14:paraId="4ED5798C"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0.588</w:t>
            </w:r>
          </w:p>
        </w:tc>
        <w:tc>
          <w:tcPr>
            <w:tcW w:w="1460" w:type="dxa"/>
            <w:vAlign w:val="center"/>
            <w:hideMark/>
          </w:tcPr>
          <w:p w14:paraId="6EA4DE3A"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0.818</w:t>
            </w:r>
          </w:p>
        </w:tc>
      </w:tr>
      <w:tr w:rsidR="00285B89" w:rsidRPr="005101DB" w14:paraId="55EC31F0" w14:textId="77777777" w:rsidTr="00285B89">
        <w:trPr>
          <w:jc w:val="center"/>
        </w:trPr>
        <w:tc>
          <w:tcPr>
            <w:tcW w:w="0" w:type="auto"/>
            <w:vAlign w:val="center"/>
            <w:hideMark/>
          </w:tcPr>
          <w:p w14:paraId="610A6775"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75</w:t>
            </w:r>
          </w:p>
        </w:tc>
        <w:tc>
          <w:tcPr>
            <w:tcW w:w="0" w:type="auto"/>
            <w:vAlign w:val="center"/>
            <w:hideMark/>
          </w:tcPr>
          <w:p w14:paraId="672FDBA7"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4.71</w:t>
            </w:r>
          </w:p>
        </w:tc>
        <w:tc>
          <w:tcPr>
            <w:tcW w:w="0" w:type="auto"/>
            <w:vAlign w:val="center"/>
            <w:hideMark/>
          </w:tcPr>
          <w:p w14:paraId="320A81F1"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4.84</w:t>
            </w:r>
          </w:p>
        </w:tc>
        <w:tc>
          <w:tcPr>
            <w:tcW w:w="0" w:type="auto"/>
            <w:vAlign w:val="center"/>
            <w:hideMark/>
          </w:tcPr>
          <w:p w14:paraId="5827C015"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4.87</w:t>
            </w:r>
          </w:p>
        </w:tc>
        <w:tc>
          <w:tcPr>
            <w:tcW w:w="0" w:type="auto"/>
            <w:vAlign w:val="center"/>
            <w:hideMark/>
          </w:tcPr>
          <w:p w14:paraId="0800D50D"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0.15</w:t>
            </w:r>
          </w:p>
        </w:tc>
        <w:tc>
          <w:tcPr>
            <w:tcW w:w="0" w:type="auto"/>
            <w:vAlign w:val="center"/>
            <w:hideMark/>
          </w:tcPr>
          <w:p w14:paraId="22FA0B06"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0.734</w:t>
            </w:r>
          </w:p>
        </w:tc>
        <w:tc>
          <w:tcPr>
            <w:tcW w:w="0" w:type="auto"/>
            <w:vAlign w:val="center"/>
            <w:hideMark/>
          </w:tcPr>
          <w:p w14:paraId="6D859A9A"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0.469</w:t>
            </w:r>
          </w:p>
        </w:tc>
        <w:tc>
          <w:tcPr>
            <w:tcW w:w="1460" w:type="dxa"/>
            <w:vAlign w:val="center"/>
            <w:hideMark/>
          </w:tcPr>
          <w:p w14:paraId="3988F357"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0.777</w:t>
            </w:r>
          </w:p>
        </w:tc>
      </w:tr>
      <w:tr w:rsidR="00285B89" w:rsidRPr="005101DB" w14:paraId="562DE7A4" w14:textId="77777777" w:rsidTr="00285B89">
        <w:trPr>
          <w:jc w:val="center"/>
        </w:trPr>
        <w:tc>
          <w:tcPr>
            <w:tcW w:w="0" w:type="auto"/>
            <w:vAlign w:val="center"/>
            <w:hideMark/>
          </w:tcPr>
          <w:p w14:paraId="61449C27"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90</w:t>
            </w:r>
          </w:p>
        </w:tc>
        <w:tc>
          <w:tcPr>
            <w:tcW w:w="0" w:type="auto"/>
            <w:vAlign w:val="center"/>
            <w:hideMark/>
          </w:tcPr>
          <w:p w14:paraId="20276773"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4.87</w:t>
            </w:r>
          </w:p>
        </w:tc>
        <w:tc>
          <w:tcPr>
            <w:tcW w:w="0" w:type="auto"/>
            <w:vAlign w:val="center"/>
            <w:hideMark/>
          </w:tcPr>
          <w:p w14:paraId="22B8741B"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5.02</w:t>
            </w:r>
          </w:p>
        </w:tc>
        <w:tc>
          <w:tcPr>
            <w:tcW w:w="0" w:type="auto"/>
            <w:vAlign w:val="center"/>
            <w:hideMark/>
          </w:tcPr>
          <w:p w14:paraId="194AF4AC"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5.07</w:t>
            </w:r>
          </w:p>
        </w:tc>
        <w:tc>
          <w:tcPr>
            <w:tcW w:w="0" w:type="auto"/>
            <w:vAlign w:val="center"/>
            <w:hideMark/>
          </w:tcPr>
          <w:p w14:paraId="6B991B2F"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0.15</w:t>
            </w:r>
          </w:p>
        </w:tc>
        <w:tc>
          <w:tcPr>
            <w:tcW w:w="0" w:type="auto"/>
            <w:vAlign w:val="center"/>
            <w:hideMark/>
          </w:tcPr>
          <w:p w14:paraId="6BB4DCD2"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0.631</w:t>
            </w:r>
          </w:p>
        </w:tc>
        <w:tc>
          <w:tcPr>
            <w:tcW w:w="0" w:type="auto"/>
            <w:vAlign w:val="center"/>
            <w:hideMark/>
          </w:tcPr>
          <w:p w14:paraId="14886325"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0.365</w:t>
            </w:r>
          </w:p>
        </w:tc>
        <w:tc>
          <w:tcPr>
            <w:tcW w:w="1460" w:type="dxa"/>
            <w:vAlign w:val="center"/>
            <w:hideMark/>
          </w:tcPr>
          <w:p w14:paraId="4F5049D9"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0.776</w:t>
            </w:r>
          </w:p>
        </w:tc>
      </w:tr>
      <w:tr w:rsidR="00285B89" w:rsidRPr="005101DB" w14:paraId="0C0037C4" w14:textId="77777777" w:rsidTr="00285B89">
        <w:trPr>
          <w:jc w:val="center"/>
        </w:trPr>
        <w:tc>
          <w:tcPr>
            <w:tcW w:w="0" w:type="auto"/>
            <w:vAlign w:val="center"/>
            <w:hideMark/>
          </w:tcPr>
          <w:p w14:paraId="3A1C684D"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Mean</w:t>
            </w:r>
          </w:p>
        </w:tc>
        <w:tc>
          <w:tcPr>
            <w:tcW w:w="0" w:type="auto"/>
            <w:vAlign w:val="center"/>
            <w:hideMark/>
          </w:tcPr>
          <w:p w14:paraId="6EDA3720"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4.50</w:t>
            </w:r>
          </w:p>
        </w:tc>
        <w:tc>
          <w:tcPr>
            <w:tcW w:w="0" w:type="auto"/>
            <w:vAlign w:val="center"/>
            <w:hideMark/>
          </w:tcPr>
          <w:p w14:paraId="4481A8B5"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4.57</w:t>
            </w:r>
          </w:p>
        </w:tc>
        <w:tc>
          <w:tcPr>
            <w:tcW w:w="0" w:type="auto"/>
            <w:vAlign w:val="center"/>
            <w:hideMark/>
          </w:tcPr>
          <w:p w14:paraId="3D31F8C0"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4.58</w:t>
            </w:r>
          </w:p>
        </w:tc>
        <w:tc>
          <w:tcPr>
            <w:tcW w:w="0" w:type="auto"/>
            <w:vAlign w:val="center"/>
            <w:hideMark/>
          </w:tcPr>
          <w:p w14:paraId="4120C527"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0.15</w:t>
            </w:r>
          </w:p>
        </w:tc>
        <w:tc>
          <w:tcPr>
            <w:tcW w:w="0" w:type="auto"/>
            <w:vAlign w:val="center"/>
            <w:hideMark/>
          </w:tcPr>
          <w:p w14:paraId="2138361F"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0.705</w:t>
            </w:r>
          </w:p>
        </w:tc>
        <w:tc>
          <w:tcPr>
            <w:tcW w:w="0" w:type="auto"/>
            <w:vAlign w:val="center"/>
            <w:hideMark/>
          </w:tcPr>
          <w:p w14:paraId="04810BA5"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0.456</w:t>
            </w:r>
          </w:p>
        </w:tc>
        <w:tc>
          <w:tcPr>
            <w:tcW w:w="1460" w:type="dxa"/>
            <w:vAlign w:val="center"/>
            <w:hideMark/>
          </w:tcPr>
          <w:p w14:paraId="65A87E40"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0.706</w:t>
            </w:r>
          </w:p>
        </w:tc>
      </w:tr>
    </w:tbl>
    <w:p w14:paraId="0915C103" w14:textId="18FA6307" w:rsidR="00285B89" w:rsidRPr="005101DB" w:rsidRDefault="00285B89"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Table 4. Effect of vanadium supplementation on feed conversion ratio of Murrah buffalo calves</w:t>
      </w:r>
    </w:p>
    <w:tbl>
      <w:tblPr>
        <w:tblStyle w:val="TableGrid"/>
        <w:tblW w:w="0" w:type="auto"/>
        <w:jc w:val="center"/>
        <w:tblLook w:val="04A0" w:firstRow="1" w:lastRow="0" w:firstColumn="1" w:lastColumn="0" w:noHBand="0" w:noVBand="1"/>
      </w:tblPr>
      <w:tblGrid>
        <w:gridCol w:w="803"/>
        <w:gridCol w:w="756"/>
        <w:gridCol w:w="756"/>
        <w:gridCol w:w="756"/>
        <w:gridCol w:w="737"/>
        <w:gridCol w:w="1123"/>
        <w:gridCol w:w="910"/>
        <w:gridCol w:w="1270"/>
      </w:tblGrid>
      <w:tr w:rsidR="00285B89" w:rsidRPr="005101DB" w14:paraId="12453B65" w14:textId="77777777" w:rsidTr="004202F6">
        <w:trPr>
          <w:jc w:val="center"/>
        </w:trPr>
        <w:tc>
          <w:tcPr>
            <w:tcW w:w="0" w:type="auto"/>
            <w:vMerge w:val="restart"/>
            <w:vAlign w:val="center"/>
          </w:tcPr>
          <w:p w14:paraId="44DA7425" w14:textId="7C38960E"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Day</w:t>
            </w:r>
          </w:p>
        </w:tc>
        <w:tc>
          <w:tcPr>
            <w:tcW w:w="0" w:type="auto"/>
            <w:gridSpan w:val="3"/>
            <w:vAlign w:val="center"/>
          </w:tcPr>
          <w:p w14:paraId="21FD1925" w14:textId="5DAC1EF2" w:rsidR="00285B89" w:rsidRPr="005101DB" w:rsidRDefault="00285B89" w:rsidP="005101DB">
            <w:pPr>
              <w:spacing w:line="276" w:lineRule="auto"/>
              <w:jc w:val="center"/>
              <w:rPr>
                <w:rFonts w:ascii="Times New Roman" w:hAnsi="Times New Roman" w:cs="Times New Roman"/>
                <w:b/>
                <w:bCs/>
                <w:lang w:val="en-IN"/>
              </w:rPr>
            </w:pPr>
            <w:r w:rsidRPr="005101DB">
              <w:rPr>
                <w:rFonts w:ascii="Times New Roman" w:hAnsi="Times New Roman" w:cs="Times New Roman"/>
                <w:b/>
                <w:bCs/>
                <w:lang w:val="en-IN"/>
              </w:rPr>
              <w:t>Treatment</w:t>
            </w:r>
          </w:p>
        </w:tc>
        <w:tc>
          <w:tcPr>
            <w:tcW w:w="0" w:type="auto"/>
            <w:vMerge w:val="restart"/>
            <w:vAlign w:val="center"/>
          </w:tcPr>
          <w:p w14:paraId="05BA6EE5" w14:textId="47030871"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SEM</w:t>
            </w:r>
          </w:p>
        </w:tc>
        <w:tc>
          <w:tcPr>
            <w:tcW w:w="3303" w:type="dxa"/>
            <w:gridSpan w:val="3"/>
            <w:vAlign w:val="center"/>
          </w:tcPr>
          <w:p w14:paraId="5662402F" w14:textId="5440F229" w:rsidR="00285B89" w:rsidRPr="005101DB" w:rsidRDefault="00285B89" w:rsidP="005101DB">
            <w:pPr>
              <w:spacing w:line="276" w:lineRule="auto"/>
              <w:jc w:val="center"/>
              <w:rPr>
                <w:rFonts w:ascii="Times New Roman" w:hAnsi="Times New Roman" w:cs="Times New Roman"/>
                <w:b/>
                <w:bCs/>
                <w:lang w:val="en-IN"/>
              </w:rPr>
            </w:pPr>
            <w:r w:rsidRPr="005101DB">
              <w:rPr>
                <w:rFonts w:ascii="Times New Roman" w:hAnsi="Times New Roman" w:cs="Times New Roman"/>
                <w:b/>
                <w:bCs/>
                <w:lang w:val="en-IN"/>
              </w:rPr>
              <w:t>P-value</w:t>
            </w:r>
          </w:p>
        </w:tc>
      </w:tr>
      <w:tr w:rsidR="00285B89" w:rsidRPr="005101DB" w14:paraId="6FD06EAC" w14:textId="77777777" w:rsidTr="004202F6">
        <w:trPr>
          <w:jc w:val="center"/>
        </w:trPr>
        <w:tc>
          <w:tcPr>
            <w:tcW w:w="0" w:type="auto"/>
            <w:vMerge/>
            <w:vAlign w:val="center"/>
            <w:hideMark/>
          </w:tcPr>
          <w:p w14:paraId="229A4F68" w14:textId="2718C489" w:rsidR="00285B89" w:rsidRPr="005101DB" w:rsidRDefault="00285B89" w:rsidP="005101DB">
            <w:pPr>
              <w:spacing w:after="160" w:line="276" w:lineRule="auto"/>
              <w:jc w:val="center"/>
              <w:rPr>
                <w:rFonts w:ascii="Times New Roman" w:hAnsi="Times New Roman" w:cs="Times New Roman"/>
                <w:b/>
                <w:bCs/>
                <w:lang w:val="en-IN"/>
              </w:rPr>
            </w:pPr>
          </w:p>
        </w:tc>
        <w:tc>
          <w:tcPr>
            <w:tcW w:w="0" w:type="auto"/>
            <w:vAlign w:val="center"/>
            <w:hideMark/>
          </w:tcPr>
          <w:p w14:paraId="14E50EEB" w14:textId="77777777"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0</w:t>
            </w:r>
          </w:p>
        </w:tc>
        <w:tc>
          <w:tcPr>
            <w:tcW w:w="0" w:type="auto"/>
            <w:vAlign w:val="center"/>
            <w:hideMark/>
          </w:tcPr>
          <w:p w14:paraId="327A0173" w14:textId="77777777"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4</w:t>
            </w:r>
          </w:p>
        </w:tc>
        <w:tc>
          <w:tcPr>
            <w:tcW w:w="0" w:type="auto"/>
            <w:vAlign w:val="center"/>
            <w:hideMark/>
          </w:tcPr>
          <w:p w14:paraId="0D965579" w14:textId="77777777"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6</w:t>
            </w:r>
          </w:p>
        </w:tc>
        <w:tc>
          <w:tcPr>
            <w:tcW w:w="0" w:type="auto"/>
            <w:vMerge/>
            <w:vAlign w:val="center"/>
            <w:hideMark/>
          </w:tcPr>
          <w:p w14:paraId="5B59BB60" w14:textId="2A8EE564" w:rsidR="00285B89" w:rsidRPr="005101DB" w:rsidRDefault="00285B89" w:rsidP="005101DB">
            <w:pPr>
              <w:spacing w:after="160" w:line="276" w:lineRule="auto"/>
              <w:jc w:val="center"/>
              <w:rPr>
                <w:rFonts w:ascii="Times New Roman" w:hAnsi="Times New Roman" w:cs="Times New Roman"/>
                <w:b/>
                <w:bCs/>
                <w:lang w:val="en-IN"/>
              </w:rPr>
            </w:pPr>
          </w:p>
        </w:tc>
        <w:tc>
          <w:tcPr>
            <w:tcW w:w="0" w:type="auto"/>
            <w:vAlign w:val="center"/>
            <w:hideMark/>
          </w:tcPr>
          <w:p w14:paraId="1C764977" w14:textId="0DAD72B9"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Contrast</w:t>
            </w:r>
          </w:p>
        </w:tc>
        <w:tc>
          <w:tcPr>
            <w:tcW w:w="0" w:type="auto"/>
            <w:vAlign w:val="center"/>
            <w:hideMark/>
          </w:tcPr>
          <w:p w14:paraId="00ED09D0" w14:textId="4665171D"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Linear</w:t>
            </w:r>
          </w:p>
        </w:tc>
        <w:tc>
          <w:tcPr>
            <w:tcW w:w="1270" w:type="dxa"/>
            <w:vAlign w:val="center"/>
            <w:hideMark/>
          </w:tcPr>
          <w:p w14:paraId="209E3127" w14:textId="52DA765D"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Quadratic</w:t>
            </w:r>
          </w:p>
        </w:tc>
      </w:tr>
      <w:tr w:rsidR="00285B89" w:rsidRPr="005101DB" w14:paraId="4A68669F" w14:textId="77777777" w:rsidTr="004202F6">
        <w:trPr>
          <w:jc w:val="center"/>
        </w:trPr>
        <w:tc>
          <w:tcPr>
            <w:tcW w:w="0" w:type="auto"/>
            <w:vAlign w:val="center"/>
            <w:hideMark/>
          </w:tcPr>
          <w:p w14:paraId="2A32A918"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15</w:t>
            </w:r>
          </w:p>
        </w:tc>
        <w:tc>
          <w:tcPr>
            <w:tcW w:w="0" w:type="auto"/>
            <w:vAlign w:val="center"/>
            <w:hideMark/>
          </w:tcPr>
          <w:p w14:paraId="748DCF76" w14:textId="13E0CECE"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11.28</w:t>
            </w:r>
          </w:p>
        </w:tc>
        <w:tc>
          <w:tcPr>
            <w:tcW w:w="0" w:type="auto"/>
            <w:vAlign w:val="center"/>
            <w:hideMark/>
          </w:tcPr>
          <w:p w14:paraId="7F5CE896" w14:textId="326A7F64"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9.69</w:t>
            </w:r>
          </w:p>
        </w:tc>
        <w:tc>
          <w:tcPr>
            <w:tcW w:w="0" w:type="auto"/>
            <w:vAlign w:val="center"/>
            <w:hideMark/>
          </w:tcPr>
          <w:p w14:paraId="2A53B31C" w14:textId="42858F72"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8.81</w:t>
            </w:r>
          </w:p>
        </w:tc>
        <w:tc>
          <w:tcPr>
            <w:tcW w:w="0" w:type="auto"/>
            <w:vAlign w:val="center"/>
            <w:hideMark/>
          </w:tcPr>
          <w:p w14:paraId="680B134F"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0.40</w:t>
            </w:r>
          </w:p>
        </w:tc>
        <w:tc>
          <w:tcPr>
            <w:tcW w:w="0" w:type="auto"/>
            <w:vAlign w:val="center"/>
            <w:hideMark/>
          </w:tcPr>
          <w:p w14:paraId="0BF0AB3F"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0.002</w:t>
            </w:r>
          </w:p>
        </w:tc>
        <w:tc>
          <w:tcPr>
            <w:tcW w:w="0" w:type="auto"/>
            <w:vAlign w:val="center"/>
            <w:hideMark/>
          </w:tcPr>
          <w:p w14:paraId="2AE658CB"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1270" w:type="dxa"/>
            <w:vAlign w:val="center"/>
            <w:hideMark/>
          </w:tcPr>
          <w:p w14:paraId="61E93378"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0.492</w:t>
            </w:r>
          </w:p>
        </w:tc>
      </w:tr>
      <w:tr w:rsidR="00285B89" w:rsidRPr="005101DB" w14:paraId="105FD6E7" w14:textId="77777777" w:rsidTr="004202F6">
        <w:trPr>
          <w:jc w:val="center"/>
        </w:trPr>
        <w:tc>
          <w:tcPr>
            <w:tcW w:w="0" w:type="auto"/>
            <w:vAlign w:val="center"/>
            <w:hideMark/>
          </w:tcPr>
          <w:p w14:paraId="2235CE69"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30</w:t>
            </w:r>
          </w:p>
        </w:tc>
        <w:tc>
          <w:tcPr>
            <w:tcW w:w="0" w:type="auto"/>
            <w:vAlign w:val="center"/>
            <w:hideMark/>
          </w:tcPr>
          <w:p w14:paraId="053C5429" w14:textId="72D942B3"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11.88</w:t>
            </w:r>
          </w:p>
        </w:tc>
        <w:tc>
          <w:tcPr>
            <w:tcW w:w="0" w:type="auto"/>
            <w:vAlign w:val="center"/>
            <w:hideMark/>
          </w:tcPr>
          <w:p w14:paraId="76755D57" w14:textId="3AA5EEE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10.03</w:t>
            </w:r>
          </w:p>
        </w:tc>
        <w:tc>
          <w:tcPr>
            <w:tcW w:w="0" w:type="auto"/>
            <w:vAlign w:val="center"/>
            <w:hideMark/>
          </w:tcPr>
          <w:p w14:paraId="0F8AD881" w14:textId="6A405EE6"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9.51</w:t>
            </w:r>
          </w:p>
        </w:tc>
        <w:tc>
          <w:tcPr>
            <w:tcW w:w="0" w:type="auto"/>
            <w:vAlign w:val="center"/>
            <w:hideMark/>
          </w:tcPr>
          <w:p w14:paraId="5CA0971E"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0.47</w:t>
            </w:r>
          </w:p>
        </w:tc>
        <w:tc>
          <w:tcPr>
            <w:tcW w:w="0" w:type="auto"/>
            <w:vAlign w:val="center"/>
            <w:hideMark/>
          </w:tcPr>
          <w:p w14:paraId="17D233F7"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0.006</w:t>
            </w:r>
          </w:p>
        </w:tc>
        <w:tc>
          <w:tcPr>
            <w:tcW w:w="0" w:type="auto"/>
            <w:vAlign w:val="center"/>
            <w:hideMark/>
          </w:tcPr>
          <w:p w14:paraId="76204AF1"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0.002</w:t>
            </w:r>
          </w:p>
        </w:tc>
        <w:tc>
          <w:tcPr>
            <w:tcW w:w="1270" w:type="dxa"/>
            <w:vAlign w:val="center"/>
            <w:hideMark/>
          </w:tcPr>
          <w:p w14:paraId="4FE7F2F1"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0.270</w:t>
            </w:r>
          </w:p>
        </w:tc>
      </w:tr>
      <w:tr w:rsidR="00285B89" w:rsidRPr="005101DB" w14:paraId="6B2159D6" w14:textId="77777777" w:rsidTr="004202F6">
        <w:trPr>
          <w:jc w:val="center"/>
        </w:trPr>
        <w:tc>
          <w:tcPr>
            <w:tcW w:w="0" w:type="auto"/>
            <w:vAlign w:val="center"/>
            <w:hideMark/>
          </w:tcPr>
          <w:p w14:paraId="47C41D1B"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45</w:t>
            </w:r>
          </w:p>
        </w:tc>
        <w:tc>
          <w:tcPr>
            <w:tcW w:w="0" w:type="auto"/>
            <w:vAlign w:val="center"/>
            <w:hideMark/>
          </w:tcPr>
          <w:p w14:paraId="499D6FB2" w14:textId="29B07DDD"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12.14</w:t>
            </w:r>
          </w:p>
        </w:tc>
        <w:tc>
          <w:tcPr>
            <w:tcW w:w="0" w:type="auto"/>
            <w:vAlign w:val="center"/>
            <w:hideMark/>
          </w:tcPr>
          <w:p w14:paraId="37D2E62B" w14:textId="2580439E"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10.36</w:t>
            </w:r>
          </w:p>
        </w:tc>
        <w:tc>
          <w:tcPr>
            <w:tcW w:w="0" w:type="auto"/>
            <w:vAlign w:val="center"/>
            <w:hideMark/>
          </w:tcPr>
          <w:p w14:paraId="30D4C5AE" w14:textId="25CDFBC4"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9.53</w:t>
            </w:r>
          </w:p>
        </w:tc>
        <w:tc>
          <w:tcPr>
            <w:tcW w:w="0" w:type="auto"/>
            <w:vAlign w:val="center"/>
            <w:hideMark/>
          </w:tcPr>
          <w:p w14:paraId="6DB077AE"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0.50</w:t>
            </w:r>
          </w:p>
        </w:tc>
        <w:tc>
          <w:tcPr>
            <w:tcW w:w="0" w:type="auto"/>
            <w:vAlign w:val="center"/>
            <w:hideMark/>
          </w:tcPr>
          <w:p w14:paraId="25EC3564"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0.006</w:t>
            </w:r>
          </w:p>
        </w:tc>
        <w:tc>
          <w:tcPr>
            <w:tcW w:w="0" w:type="auto"/>
            <w:vAlign w:val="center"/>
            <w:hideMark/>
          </w:tcPr>
          <w:p w14:paraId="71C8F572"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0.002</w:t>
            </w:r>
          </w:p>
        </w:tc>
        <w:tc>
          <w:tcPr>
            <w:tcW w:w="1270" w:type="dxa"/>
            <w:vAlign w:val="center"/>
            <w:hideMark/>
          </w:tcPr>
          <w:p w14:paraId="457D187D"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0.457</w:t>
            </w:r>
          </w:p>
        </w:tc>
      </w:tr>
      <w:tr w:rsidR="00285B89" w:rsidRPr="005101DB" w14:paraId="61BDA6FF" w14:textId="77777777" w:rsidTr="004202F6">
        <w:trPr>
          <w:jc w:val="center"/>
        </w:trPr>
        <w:tc>
          <w:tcPr>
            <w:tcW w:w="0" w:type="auto"/>
            <w:vAlign w:val="center"/>
            <w:hideMark/>
          </w:tcPr>
          <w:p w14:paraId="79804C31"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60</w:t>
            </w:r>
          </w:p>
        </w:tc>
        <w:tc>
          <w:tcPr>
            <w:tcW w:w="0" w:type="auto"/>
            <w:vAlign w:val="center"/>
            <w:hideMark/>
          </w:tcPr>
          <w:p w14:paraId="49F7F1E8" w14:textId="73A8B18E"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12.27</w:t>
            </w:r>
          </w:p>
        </w:tc>
        <w:tc>
          <w:tcPr>
            <w:tcW w:w="0" w:type="auto"/>
            <w:vAlign w:val="center"/>
            <w:hideMark/>
          </w:tcPr>
          <w:p w14:paraId="48081FBB" w14:textId="44AEC5A9"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10.62</w:t>
            </w:r>
          </w:p>
        </w:tc>
        <w:tc>
          <w:tcPr>
            <w:tcW w:w="0" w:type="auto"/>
            <w:vAlign w:val="center"/>
            <w:hideMark/>
          </w:tcPr>
          <w:p w14:paraId="7AB62996" w14:textId="644AD4AE"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10.11</w:t>
            </w:r>
          </w:p>
        </w:tc>
        <w:tc>
          <w:tcPr>
            <w:tcW w:w="0" w:type="auto"/>
            <w:vAlign w:val="center"/>
            <w:hideMark/>
          </w:tcPr>
          <w:p w14:paraId="39666BD5"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0.43</w:t>
            </w:r>
          </w:p>
        </w:tc>
        <w:tc>
          <w:tcPr>
            <w:tcW w:w="0" w:type="auto"/>
            <w:vAlign w:val="center"/>
            <w:hideMark/>
          </w:tcPr>
          <w:p w14:paraId="2943AC76"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0.006</w:t>
            </w:r>
          </w:p>
        </w:tc>
        <w:tc>
          <w:tcPr>
            <w:tcW w:w="0" w:type="auto"/>
            <w:vAlign w:val="center"/>
            <w:hideMark/>
          </w:tcPr>
          <w:p w14:paraId="243BFBCB"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0.002</w:t>
            </w:r>
          </w:p>
        </w:tc>
        <w:tc>
          <w:tcPr>
            <w:tcW w:w="1270" w:type="dxa"/>
            <w:vAlign w:val="center"/>
            <w:hideMark/>
          </w:tcPr>
          <w:p w14:paraId="2C3754D1"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0.289</w:t>
            </w:r>
          </w:p>
        </w:tc>
      </w:tr>
      <w:tr w:rsidR="00285B89" w:rsidRPr="005101DB" w14:paraId="399F12B3" w14:textId="77777777" w:rsidTr="004202F6">
        <w:trPr>
          <w:jc w:val="center"/>
        </w:trPr>
        <w:tc>
          <w:tcPr>
            <w:tcW w:w="0" w:type="auto"/>
            <w:vAlign w:val="center"/>
            <w:hideMark/>
          </w:tcPr>
          <w:p w14:paraId="43BC7302"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75</w:t>
            </w:r>
          </w:p>
        </w:tc>
        <w:tc>
          <w:tcPr>
            <w:tcW w:w="0" w:type="auto"/>
            <w:vAlign w:val="center"/>
            <w:hideMark/>
          </w:tcPr>
          <w:p w14:paraId="2F94DC8F" w14:textId="07D0E332"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12.48</w:t>
            </w:r>
          </w:p>
        </w:tc>
        <w:tc>
          <w:tcPr>
            <w:tcW w:w="0" w:type="auto"/>
            <w:vAlign w:val="center"/>
            <w:hideMark/>
          </w:tcPr>
          <w:p w14:paraId="7CDE22B4" w14:textId="137F67A2"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11.35</w:t>
            </w:r>
          </w:p>
        </w:tc>
        <w:tc>
          <w:tcPr>
            <w:tcW w:w="0" w:type="auto"/>
            <w:vAlign w:val="center"/>
            <w:hideMark/>
          </w:tcPr>
          <w:p w14:paraId="70E63B8A" w14:textId="631CD601"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10.27</w:t>
            </w:r>
          </w:p>
        </w:tc>
        <w:tc>
          <w:tcPr>
            <w:tcW w:w="0" w:type="auto"/>
            <w:vAlign w:val="center"/>
            <w:hideMark/>
          </w:tcPr>
          <w:p w14:paraId="4B87098E"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0.33</w:t>
            </w:r>
          </w:p>
        </w:tc>
        <w:tc>
          <w:tcPr>
            <w:tcW w:w="0" w:type="auto"/>
            <w:vAlign w:val="center"/>
            <w:hideMark/>
          </w:tcPr>
          <w:p w14:paraId="16866022"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0.001</w:t>
            </w:r>
          </w:p>
        </w:tc>
        <w:tc>
          <w:tcPr>
            <w:tcW w:w="0" w:type="auto"/>
            <w:vAlign w:val="center"/>
            <w:hideMark/>
          </w:tcPr>
          <w:p w14:paraId="3C22C022"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1270" w:type="dxa"/>
            <w:vAlign w:val="center"/>
            <w:hideMark/>
          </w:tcPr>
          <w:p w14:paraId="1C31B2A5"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0.955</w:t>
            </w:r>
          </w:p>
        </w:tc>
      </w:tr>
      <w:tr w:rsidR="00285B89" w:rsidRPr="005101DB" w14:paraId="20DC3CE1" w14:textId="77777777" w:rsidTr="004202F6">
        <w:trPr>
          <w:jc w:val="center"/>
        </w:trPr>
        <w:tc>
          <w:tcPr>
            <w:tcW w:w="0" w:type="auto"/>
            <w:vAlign w:val="center"/>
            <w:hideMark/>
          </w:tcPr>
          <w:p w14:paraId="269D1DB1"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90</w:t>
            </w:r>
          </w:p>
        </w:tc>
        <w:tc>
          <w:tcPr>
            <w:tcW w:w="0" w:type="auto"/>
            <w:vAlign w:val="center"/>
            <w:hideMark/>
          </w:tcPr>
          <w:p w14:paraId="7488DFC5" w14:textId="6D7ED6E6"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13.35</w:t>
            </w:r>
          </w:p>
        </w:tc>
        <w:tc>
          <w:tcPr>
            <w:tcW w:w="0" w:type="auto"/>
            <w:vAlign w:val="center"/>
            <w:hideMark/>
          </w:tcPr>
          <w:p w14:paraId="41FD8BEA" w14:textId="2E91385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11.71</w:t>
            </w:r>
          </w:p>
        </w:tc>
        <w:tc>
          <w:tcPr>
            <w:tcW w:w="0" w:type="auto"/>
            <w:vAlign w:val="center"/>
            <w:hideMark/>
          </w:tcPr>
          <w:p w14:paraId="36ED79E2" w14:textId="30E88401"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11.07</w:t>
            </w:r>
          </w:p>
        </w:tc>
        <w:tc>
          <w:tcPr>
            <w:tcW w:w="0" w:type="auto"/>
            <w:vAlign w:val="center"/>
            <w:hideMark/>
          </w:tcPr>
          <w:p w14:paraId="4F699FD4"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0.50</w:t>
            </w:r>
          </w:p>
        </w:tc>
        <w:tc>
          <w:tcPr>
            <w:tcW w:w="0" w:type="auto"/>
            <w:vAlign w:val="center"/>
            <w:hideMark/>
          </w:tcPr>
          <w:p w14:paraId="222561DB"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0.015</w:t>
            </w:r>
          </w:p>
        </w:tc>
        <w:tc>
          <w:tcPr>
            <w:tcW w:w="0" w:type="auto"/>
            <w:vAlign w:val="center"/>
            <w:hideMark/>
          </w:tcPr>
          <w:p w14:paraId="0F27E03C"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0.005</w:t>
            </w:r>
          </w:p>
        </w:tc>
        <w:tc>
          <w:tcPr>
            <w:tcW w:w="1270" w:type="dxa"/>
            <w:vAlign w:val="center"/>
            <w:hideMark/>
          </w:tcPr>
          <w:p w14:paraId="07D210D4"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0.430</w:t>
            </w:r>
          </w:p>
        </w:tc>
      </w:tr>
      <w:tr w:rsidR="00285B89" w:rsidRPr="005101DB" w14:paraId="351A904B" w14:textId="77777777" w:rsidTr="004202F6">
        <w:trPr>
          <w:jc w:val="center"/>
        </w:trPr>
        <w:tc>
          <w:tcPr>
            <w:tcW w:w="0" w:type="auto"/>
            <w:vAlign w:val="center"/>
            <w:hideMark/>
          </w:tcPr>
          <w:p w14:paraId="3C184F7E"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Mean</w:t>
            </w:r>
          </w:p>
        </w:tc>
        <w:tc>
          <w:tcPr>
            <w:tcW w:w="0" w:type="auto"/>
            <w:vAlign w:val="center"/>
            <w:hideMark/>
          </w:tcPr>
          <w:p w14:paraId="0BAE60C1" w14:textId="0B3E3B8A"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12.23</w:t>
            </w:r>
          </w:p>
        </w:tc>
        <w:tc>
          <w:tcPr>
            <w:tcW w:w="0" w:type="auto"/>
            <w:vAlign w:val="center"/>
            <w:hideMark/>
          </w:tcPr>
          <w:p w14:paraId="3BC286A2" w14:textId="142B300F"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10.63</w:t>
            </w:r>
          </w:p>
        </w:tc>
        <w:tc>
          <w:tcPr>
            <w:tcW w:w="0" w:type="auto"/>
            <w:vAlign w:val="center"/>
            <w:hideMark/>
          </w:tcPr>
          <w:p w14:paraId="30B3C95F" w14:textId="57DF69BE"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9.88</w:t>
            </w:r>
          </w:p>
        </w:tc>
        <w:tc>
          <w:tcPr>
            <w:tcW w:w="0" w:type="auto"/>
            <w:vAlign w:val="center"/>
            <w:hideMark/>
          </w:tcPr>
          <w:p w14:paraId="7C411727"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0.44</w:t>
            </w:r>
          </w:p>
        </w:tc>
        <w:tc>
          <w:tcPr>
            <w:tcW w:w="0" w:type="auto"/>
            <w:vAlign w:val="center"/>
            <w:hideMark/>
          </w:tcPr>
          <w:p w14:paraId="6822249B"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14:paraId="00E34ED1"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1270" w:type="dxa"/>
            <w:vAlign w:val="center"/>
            <w:hideMark/>
          </w:tcPr>
          <w:p w14:paraId="2B5348BF"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0.084</w:t>
            </w:r>
          </w:p>
        </w:tc>
      </w:tr>
    </w:tbl>
    <w:p w14:paraId="5782A058" w14:textId="4D8B8BBB" w:rsidR="00917A16" w:rsidRPr="005101DB" w:rsidRDefault="00917A16" w:rsidP="005101DB">
      <w:pPr>
        <w:spacing w:line="276" w:lineRule="auto"/>
        <w:jc w:val="both"/>
        <w:rPr>
          <w:rFonts w:ascii="Times New Roman" w:hAnsi="Times New Roman" w:cs="Times New Roman"/>
          <w:lang w:val="en-IN"/>
        </w:rPr>
      </w:pPr>
    </w:p>
    <w:sectPr w:rsidR="00917A16" w:rsidRPr="005101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443E8" w14:textId="77777777" w:rsidR="00206119" w:rsidRDefault="00206119" w:rsidP="00A8587D">
      <w:pPr>
        <w:spacing w:after="0" w:line="240" w:lineRule="auto"/>
      </w:pPr>
      <w:r>
        <w:separator/>
      </w:r>
    </w:p>
  </w:endnote>
  <w:endnote w:type="continuationSeparator" w:id="0">
    <w:p w14:paraId="2DABBE58" w14:textId="77777777" w:rsidR="00206119" w:rsidRDefault="00206119" w:rsidP="00A8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EE910" w14:textId="77777777" w:rsidR="00A8587D" w:rsidRDefault="00A85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39162" w14:textId="77777777" w:rsidR="00A8587D" w:rsidRDefault="00A858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B1643" w14:textId="77777777" w:rsidR="00A8587D" w:rsidRDefault="00A85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9FA62" w14:textId="77777777" w:rsidR="00206119" w:rsidRDefault="00206119" w:rsidP="00A8587D">
      <w:pPr>
        <w:spacing w:after="0" w:line="240" w:lineRule="auto"/>
      </w:pPr>
      <w:r>
        <w:separator/>
      </w:r>
    </w:p>
  </w:footnote>
  <w:footnote w:type="continuationSeparator" w:id="0">
    <w:p w14:paraId="45406B32" w14:textId="77777777" w:rsidR="00206119" w:rsidRDefault="00206119" w:rsidP="00A85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FEAF4" w14:textId="4CD508B0" w:rsidR="00A8587D" w:rsidRDefault="00A8587D">
    <w:pPr>
      <w:pStyle w:val="Header"/>
    </w:pPr>
    <w:r>
      <w:rPr>
        <w:noProof/>
      </w:rPr>
      <w:pict w14:anchorId="4B63C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89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DEC44" w14:textId="498D27A0" w:rsidR="00A8587D" w:rsidRDefault="00A8587D">
    <w:pPr>
      <w:pStyle w:val="Header"/>
    </w:pPr>
    <w:r>
      <w:rPr>
        <w:noProof/>
      </w:rPr>
      <w:pict w14:anchorId="6F9531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89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3F2F4" w14:textId="009B597B" w:rsidR="00A8587D" w:rsidRDefault="00A8587D">
    <w:pPr>
      <w:pStyle w:val="Header"/>
    </w:pPr>
    <w:r>
      <w:rPr>
        <w:noProof/>
      </w:rPr>
      <w:pict w14:anchorId="4C1945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89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41B64"/>
    <w:multiLevelType w:val="multilevel"/>
    <w:tmpl w:val="16BEF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D3655"/>
    <w:multiLevelType w:val="multilevel"/>
    <w:tmpl w:val="3BAE0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2292C"/>
    <w:multiLevelType w:val="multilevel"/>
    <w:tmpl w:val="62F4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53E30"/>
    <w:multiLevelType w:val="multilevel"/>
    <w:tmpl w:val="F490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001E1"/>
    <w:multiLevelType w:val="multilevel"/>
    <w:tmpl w:val="AB30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B3967"/>
    <w:multiLevelType w:val="multilevel"/>
    <w:tmpl w:val="E0A22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E7A29"/>
    <w:multiLevelType w:val="multilevel"/>
    <w:tmpl w:val="9B56D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41ECC"/>
    <w:multiLevelType w:val="multilevel"/>
    <w:tmpl w:val="723CE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C32465"/>
    <w:multiLevelType w:val="multilevel"/>
    <w:tmpl w:val="EF88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B03CDF"/>
    <w:multiLevelType w:val="multilevel"/>
    <w:tmpl w:val="F1805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8D4361"/>
    <w:multiLevelType w:val="multilevel"/>
    <w:tmpl w:val="5E241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6A321D"/>
    <w:multiLevelType w:val="multilevel"/>
    <w:tmpl w:val="69B0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23131"/>
    <w:multiLevelType w:val="multilevel"/>
    <w:tmpl w:val="CC9271FC"/>
    <w:lvl w:ilvl="0">
      <w:start w:val="1"/>
      <w:numFmt w:val="bullet"/>
      <w:lvlText w:val=""/>
      <w:lvlJc w:val="left"/>
      <w:pPr>
        <w:tabs>
          <w:tab w:val="num" w:pos="1070"/>
        </w:tabs>
        <w:ind w:left="1070" w:hanging="360"/>
      </w:pPr>
      <w:rPr>
        <w:rFonts w:ascii="Symbol" w:hAnsi="Symbol" w:hint="default"/>
        <w:sz w:val="20"/>
      </w:rPr>
    </w:lvl>
    <w:lvl w:ilvl="1">
      <w:start w:val="1"/>
      <w:numFmt w:val="bullet"/>
      <w:lvlText w:val="o"/>
      <w:lvlJc w:val="left"/>
      <w:pPr>
        <w:tabs>
          <w:tab w:val="num" w:pos="1790"/>
        </w:tabs>
        <w:ind w:left="1790" w:hanging="360"/>
      </w:pPr>
      <w:rPr>
        <w:rFonts w:ascii="Courier New" w:hAnsi="Courier New" w:hint="default"/>
        <w:sz w:val="20"/>
      </w:rPr>
    </w:lvl>
    <w:lvl w:ilvl="2">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13" w15:restartNumberingAfterBreak="0">
    <w:nsid w:val="66F342DF"/>
    <w:multiLevelType w:val="multilevel"/>
    <w:tmpl w:val="5620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EA2851"/>
    <w:multiLevelType w:val="hybridMultilevel"/>
    <w:tmpl w:val="E1FE6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7904F3"/>
    <w:multiLevelType w:val="multilevel"/>
    <w:tmpl w:val="F5DEE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270D07"/>
    <w:multiLevelType w:val="multilevel"/>
    <w:tmpl w:val="FD80B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AE2A02"/>
    <w:multiLevelType w:val="multilevel"/>
    <w:tmpl w:val="B8402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6"/>
  </w:num>
  <w:num w:numId="3">
    <w:abstractNumId w:val="2"/>
  </w:num>
  <w:num w:numId="4">
    <w:abstractNumId w:val="10"/>
  </w:num>
  <w:num w:numId="5">
    <w:abstractNumId w:val="17"/>
  </w:num>
  <w:num w:numId="6">
    <w:abstractNumId w:val="6"/>
  </w:num>
  <w:num w:numId="7">
    <w:abstractNumId w:val="12"/>
  </w:num>
  <w:num w:numId="8">
    <w:abstractNumId w:val="15"/>
  </w:num>
  <w:num w:numId="9">
    <w:abstractNumId w:val="0"/>
  </w:num>
  <w:num w:numId="10">
    <w:abstractNumId w:val="9"/>
  </w:num>
  <w:num w:numId="11">
    <w:abstractNumId w:val="1"/>
  </w:num>
  <w:num w:numId="12">
    <w:abstractNumId w:val="13"/>
  </w:num>
  <w:num w:numId="13">
    <w:abstractNumId w:val="5"/>
  </w:num>
  <w:num w:numId="14">
    <w:abstractNumId w:val="7"/>
  </w:num>
  <w:num w:numId="15">
    <w:abstractNumId w:val="8"/>
  </w:num>
  <w:num w:numId="16">
    <w:abstractNumId w:val="3"/>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A1B"/>
    <w:rsid w:val="00045A1B"/>
    <w:rsid w:val="00053086"/>
    <w:rsid w:val="001027B6"/>
    <w:rsid w:val="0010509A"/>
    <w:rsid w:val="00140552"/>
    <w:rsid w:val="0016181B"/>
    <w:rsid w:val="00196767"/>
    <w:rsid w:val="00206119"/>
    <w:rsid w:val="00277D9A"/>
    <w:rsid w:val="002828AD"/>
    <w:rsid w:val="00285B89"/>
    <w:rsid w:val="002B713A"/>
    <w:rsid w:val="002D527D"/>
    <w:rsid w:val="00342569"/>
    <w:rsid w:val="00342D64"/>
    <w:rsid w:val="00392F53"/>
    <w:rsid w:val="00393F0F"/>
    <w:rsid w:val="003B32EF"/>
    <w:rsid w:val="003C1563"/>
    <w:rsid w:val="00402DEC"/>
    <w:rsid w:val="004139BE"/>
    <w:rsid w:val="004202F6"/>
    <w:rsid w:val="004409C8"/>
    <w:rsid w:val="0046123D"/>
    <w:rsid w:val="004D7CAB"/>
    <w:rsid w:val="004E3713"/>
    <w:rsid w:val="005101DB"/>
    <w:rsid w:val="006C43A0"/>
    <w:rsid w:val="00717F2B"/>
    <w:rsid w:val="007216AF"/>
    <w:rsid w:val="0074586A"/>
    <w:rsid w:val="0079318E"/>
    <w:rsid w:val="007A451F"/>
    <w:rsid w:val="007D2A9A"/>
    <w:rsid w:val="00827EE6"/>
    <w:rsid w:val="00842FE4"/>
    <w:rsid w:val="00853603"/>
    <w:rsid w:val="008A5B51"/>
    <w:rsid w:val="008C1CB4"/>
    <w:rsid w:val="00917A16"/>
    <w:rsid w:val="00925820"/>
    <w:rsid w:val="009A330B"/>
    <w:rsid w:val="009C370E"/>
    <w:rsid w:val="009D1C88"/>
    <w:rsid w:val="009D5B6E"/>
    <w:rsid w:val="009F1276"/>
    <w:rsid w:val="00A01A25"/>
    <w:rsid w:val="00A8587D"/>
    <w:rsid w:val="00AB425C"/>
    <w:rsid w:val="00AC52E9"/>
    <w:rsid w:val="00AD737E"/>
    <w:rsid w:val="00B03700"/>
    <w:rsid w:val="00B94736"/>
    <w:rsid w:val="00BD5B07"/>
    <w:rsid w:val="00C07489"/>
    <w:rsid w:val="00C308B9"/>
    <w:rsid w:val="00C460A0"/>
    <w:rsid w:val="00D061BD"/>
    <w:rsid w:val="00E7725A"/>
    <w:rsid w:val="00F31824"/>
    <w:rsid w:val="00F82BDB"/>
    <w:rsid w:val="00F94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478F5E"/>
  <w15:chartTrackingRefBased/>
  <w15:docId w15:val="{18060C21-52F5-41F0-9328-8C718DAC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5A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5A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5A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5A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5A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5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A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5A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5A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5A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5A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5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A1B"/>
    <w:rPr>
      <w:rFonts w:eastAsiaTheme="majorEastAsia" w:cstheme="majorBidi"/>
      <w:color w:val="272727" w:themeColor="text1" w:themeTint="D8"/>
    </w:rPr>
  </w:style>
  <w:style w:type="paragraph" w:styleId="Title">
    <w:name w:val="Title"/>
    <w:basedOn w:val="Normal"/>
    <w:next w:val="Normal"/>
    <w:link w:val="TitleChar"/>
    <w:uiPriority w:val="10"/>
    <w:qFormat/>
    <w:rsid w:val="00045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A1B"/>
    <w:pPr>
      <w:spacing w:before="160"/>
      <w:jc w:val="center"/>
    </w:pPr>
    <w:rPr>
      <w:i/>
      <w:iCs/>
      <w:color w:val="404040" w:themeColor="text1" w:themeTint="BF"/>
    </w:rPr>
  </w:style>
  <w:style w:type="character" w:customStyle="1" w:styleId="QuoteChar">
    <w:name w:val="Quote Char"/>
    <w:basedOn w:val="DefaultParagraphFont"/>
    <w:link w:val="Quote"/>
    <w:uiPriority w:val="29"/>
    <w:rsid w:val="00045A1B"/>
    <w:rPr>
      <w:i/>
      <w:iCs/>
      <w:color w:val="404040" w:themeColor="text1" w:themeTint="BF"/>
    </w:rPr>
  </w:style>
  <w:style w:type="paragraph" w:styleId="ListParagraph">
    <w:name w:val="List Paragraph"/>
    <w:basedOn w:val="Normal"/>
    <w:uiPriority w:val="34"/>
    <w:qFormat/>
    <w:rsid w:val="00045A1B"/>
    <w:pPr>
      <w:ind w:left="720"/>
      <w:contextualSpacing/>
    </w:pPr>
  </w:style>
  <w:style w:type="character" w:styleId="IntenseEmphasis">
    <w:name w:val="Intense Emphasis"/>
    <w:basedOn w:val="DefaultParagraphFont"/>
    <w:uiPriority w:val="21"/>
    <w:qFormat/>
    <w:rsid w:val="00045A1B"/>
    <w:rPr>
      <w:i/>
      <w:iCs/>
      <w:color w:val="2F5496" w:themeColor="accent1" w:themeShade="BF"/>
    </w:rPr>
  </w:style>
  <w:style w:type="paragraph" w:styleId="IntenseQuote">
    <w:name w:val="Intense Quote"/>
    <w:basedOn w:val="Normal"/>
    <w:next w:val="Normal"/>
    <w:link w:val="IntenseQuoteChar"/>
    <w:uiPriority w:val="30"/>
    <w:qFormat/>
    <w:rsid w:val="00045A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5A1B"/>
    <w:rPr>
      <w:i/>
      <w:iCs/>
      <w:color w:val="2F5496" w:themeColor="accent1" w:themeShade="BF"/>
    </w:rPr>
  </w:style>
  <w:style w:type="character" w:styleId="IntenseReference">
    <w:name w:val="Intense Reference"/>
    <w:basedOn w:val="DefaultParagraphFont"/>
    <w:uiPriority w:val="32"/>
    <w:qFormat/>
    <w:rsid w:val="00045A1B"/>
    <w:rPr>
      <w:b/>
      <w:bCs/>
      <w:smallCaps/>
      <w:color w:val="2F5496" w:themeColor="accent1" w:themeShade="BF"/>
      <w:spacing w:val="5"/>
    </w:rPr>
  </w:style>
  <w:style w:type="table" w:styleId="TableGrid">
    <w:name w:val="Table Grid"/>
    <w:basedOn w:val="TableNormal"/>
    <w:uiPriority w:val="39"/>
    <w:rsid w:val="00917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7EE6"/>
    <w:rPr>
      <w:color w:val="0563C1" w:themeColor="hyperlink"/>
      <w:u w:val="single"/>
    </w:rPr>
  </w:style>
  <w:style w:type="character" w:styleId="UnresolvedMention">
    <w:name w:val="Unresolved Mention"/>
    <w:basedOn w:val="DefaultParagraphFont"/>
    <w:uiPriority w:val="99"/>
    <w:semiHidden/>
    <w:unhideWhenUsed/>
    <w:rsid w:val="00827EE6"/>
    <w:rPr>
      <w:color w:val="605E5C"/>
      <w:shd w:val="clear" w:color="auto" w:fill="E1DFDD"/>
    </w:rPr>
  </w:style>
  <w:style w:type="paragraph" w:styleId="Header">
    <w:name w:val="header"/>
    <w:basedOn w:val="Normal"/>
    <w:link w:val="HeaderChar"/>
    <w:uiPriority w:val="99"/>
    <w:unhideWhenUsed/>
    <w:rsid w:val="00A85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87D"/>
  </w:style>
  <w:style w:type="paragraph" w:styleId="Footer">
    <w:name w:val="footer"/>
    <w:basedOn w:val="Normal"/>
    <w:link w:val="FooterChar"/>
    <w:uiPriority w:val="99"/>
    <w:unhideWhenUsed/>
    <w:rsid w:val="00A85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46983">
      <w:bodyDiv w:val="1"/>
      <w:marLeft w:val="0"/>
      <w:marRight w:val="0"/>
      <w:marTop w:val="0"/>
      <w:marBottom w:val="0"/>
      <w:divBdr>
        <w:top w:val="none" w:sz="0" w:space="0" w:color="auto"/>
        <w:left w:val="none" w:sz="0" w:space="0" w:color="auto"/>
        <w:bottom w:val="none" w:sz="0" w:space="0" w:color="auto"/>
        <w:right w:val="none" w:sz="0" w:space="0" w:color="auto"/>
      </w:divBdr>
      <w:divsChild>
        <w:div w:id="1443837462">
          <w:marLeft w:val="0"/>
          <w:marRight w:val="0"/>
          <w:marTop w:val="0"/>
          <w:marBottom w:val="0"/>
          <w:divBdr>
            <w:top w:val="none" w:sz="0" w:space="0" w:color="auto"/>
            <w:left w:val="none" w:sz="0" w:space="0" w:color="auto"/>
            <w:bottom w:val="none" w:sz="0" w:space="0" w:color="auto"/>
            <w:right w:val="none" w:sz="0" w:space="0" w:color="auto"/>
          </w:divBdr>
        </w:div>
      </w:divsChild>
    </w:div>
    <w:div w:id="166946502">
      <w:bodyDiv w:val="1"/>
      <w:marLeft w:val="0"/>
      <w:marRight w:val="0"/>
      <w:marTop w:val="0"/>
      <w:marBottom w:val="0"/>
      <w:divBdr>
        <w:top w:val="none" w:sz="0" w:space="0" w:color="auto"/>
        <w:left w:val="none" w:sz="0" w:space="0" w:color="auto"/>
        <w:bottom w:val="none" w:sz="0" w:space="0" w:color="auto"/>
        <w:right w:val="none" w:sz="0" w:space="0" w:color="auto"/>
      </w:divBdr>
      <w:divsChild>
        <w:div w:id="1968392958">
          <w:marLeft w:val="0"/>
          <w:marRight w:val="0"/>
          <w:marTop w:val="0"/>
          <w:marBottom w:val="0"/>
          <w:divBdr>
            <w:top w:val="none" w:sz="0" w:space="0" w:color="auto"/>
            <w:left w:val="none" w:sz="0" w:space="0" w:color="auto"/>
            <w:bottom w:val="none" w:sz="0" w:space="0" w:color="auto"/>
            <w:right w:val="none" w:sz="0" w:space="0" w:color="auto"/>
          </w:divBdr>
          <w:divsChild>
            <w:div w:id="146461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6399">
      <w:bodyDiv w:val="1"/>
      <w:marLeft w:val="0"/>
      <w:marRight w:val="0"/>
      <w:marTop w:val="0"/>
      <w:marBottom w:val="0"/>
      <w:divBdr>
        <w:top w:val="none" w:sz="0" w:space="0" w:color="auto"/>
        <w:left w:val="none" w:sz="0" w:space="0" w:color="auto"/>
        <w:bottom w:val="none" w:sz="0" w:space="0" w:color="auto"/>
        <w:right w:val="none" w:sz="0" w:space="0" w:color="auto"/>
      </w:divBdr>
    </w:div>
    <w:div w:id="281036323">
      <w:bodyDiv w:val="1"/>
      <w:marLeft w:val="0"/>
      <w:marRight w:val="0"/>
      <w:marTop w:val="0"/>
      <w:marBottom w:val="0"/>
      <w:divBdr>
        <w:top w:val="none" w:sz="0" w:space="0" w:color="auto"/>
        <w:left w:val="none" w:sz="0" w:space="0" w:color="auto"/>
        <w:bottom w:val="none" w:sz="0" w:space="0" w:color="auto"/>
        <w:right w:val="none" w:sz="0" w:space="0" w:color="auto"/>
      </w:divBdr>
    </w:div>
    <w:div w:id="304748369">
      <w:bodyDiv w:val="1"/>
      <w:marLeft w:val="0"/>
      <w:marRight w:val="0"/>
      <w:marTop w:val="0"/>
      <w:marBottom w:val="0"/>
      <w:divBdr>
        <w:top w:val="none" w:sz="0" w:space="0" w:color="auto"/>
        <w:left w:val="none" w:sz="0" w:space="0" w:color="auto"/>
        <w:bottom w:val="none" w:sz="0" w:space="0" w:color="auto"/>
        <w:right w:val="none" w:sz="0" w:space="0" w:color="auto"/>
      </w:divBdr>
    </w:div>
    <w:div w:id="350254951">
      <w:bodyDiv w:val="1"/>
      <w:marLeft w:val="0"/>
      <w:marRight w:val="0"/>
      <w:marTop w:val="0"/>
      <w:marBottom w:val="0"/>
      <w:divBdr>
        <w:top w:val="none" w:sz="0" w:space="0" w:color="auto"/>
        <w:left w:val="none" w:sz="0" w:space="0" w:color="auto"/>
        <w:bottom w:val="none" w:sz="0" w:space="0" w:color="auto"/>
        <w:right w:val="none" w:sz="0" w:space="0" w:color="auto"/>
      </w:divBdr>
      <w:divsChild>
        <w:div w:id="988020953">
          <w:marLeft w:val="0"/>
          <w:marRight w:val="0"/>
          <w:marTop w:val="0"/>
          <w:marBottom w:val="0"/>
          <w:divBdr>
            <w:top w:val="none" w:sz="0" w:space="0" w:color="auto"/>
            <w:left w:val="none" w:sz="0" w:space="0" w:color="auto"/>
            <w:bottom w:val="none" w:sz="0" w:space="0" w:color="auto"/>
            <w:right w:val="none" w:sz="0" w:space="0" w:color="auto"/>
          </w:divBdr>
          <w:divsChild>
            <w:div w:id="7218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4535">
      <w:bodyDiv w:val="1"/>
      <w:marLeft w:val="0"/>
      <w:marRight w:val="0"/>
      <w:marTop w:val="0"/>
      <w:marBottom w:val="0"/>
      <w:divBdr>
        <w:top w:val="none" w:sz="0" w:space="0" w:color="auto"/>
        <w:left w:val="none" w:sz="0" w:space="0" w:color="auto"/>
        <w:bottom w:val="none" w:sz="0" w:space="0" w:color="auto"/>
        <w:right w:val="none" w:sz="0" w:space="0" w:color="auto"/>
      </w:divBdr>
    </w:div>
    <w:div w:id="457451366">
      <w:bodyDiv w:val="1"/>
      <w:marLeft w:val="0"/>
      <w:marRight w:val="0"/>
      <w:marTop w:val="0"/>
      <w:marBottom w:val="0"/>
      <w:divBdr>
        <w:top w:val="none" w:sz="0" w:space="0" w:color="auto"/>
        <w:left w:val="none" w:sz="0" w:space="0" w:color="auto"/>
        <w:bottom w:val="none" w:sz="0" w:space="0" w:color="auto"/>
        <w:right w:val="none" w:sz="0" w:space="0" w:color="auto"/>
      </w:divBdr>
    </w:div>
    <w:div w:id="462888744">
      <w:bodyDiv w:val="1"/>
      <w:marLeft w:val="0"/>
      <w:marRight w:val="0"/>
      <w:marTop w:val="0"/>
      <w:marBottom w:val="0"/>
      <w:divBdr>
        <w:top w:val="none" w:sz="0" w:space="0" w:color="auto"/>
        <w:left w:val="none" w:sz="0" w:space="0" w:color="auto"/>
        <w:bottom w:val="none" w:sz="0" w:space="0" w:color="auto"/>
        <w:right w:val="none" w:sz="0" w:space="0" w:color="auto"/>
      </w:divBdr>
      <w:divsChild>
        <w:div w:id="886987680">
          <w:marLeft w:val="0"/>
          <w:marRight w:val="0"/>
          <w:marTop w:val="0"/>
          <w:marBottom w:val="0"/>
          <w:divBdr>
            <w:top w:val="none" w:sz="0" w:space="0" w:color="auto"/>
            <w:left w:val="none" w:sz="0" w:space="0" w:color="auto"/>
            <w:bottom w:val="none" w:sz="0" w:space="0" w:color="auto"/>
            <w:right w:val="none" w:sz="0" w:space="0" w:color="auto"/>
          </w:divBdr>
          <w:divsChild>
            <w:div w:id="108950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2345">
      <w:bodyDiv w:val="1"/>
      <w:marLeft w:val="0"/>
      <w:marRight w:val="0"/>
      <w:marTop w:val="0"/>
      <w:marBottom w:val="0"/>
      <w:divBdr>
        <w:top w:val="none" w:sz="0" w:space="0" w:color="auto"/>
        <w:left w:val="none" w:sz="0" w:space="0" w:color="auto"/>
        <w:bottom w:val="none" w:sz="0" w:space="0" w:color="auto"/>
        <w:right w:val="none" w:sz="0" w:space="0" w:color="auto"/>
      </w:divBdr>
    </w:div>
    <w:div w:id="668019060">
      <w:bodyDiv w:val="1"/>
      <w:marLeft w:val="0"/>
      <w:marRight w:val="0"/>
      <w:marTop w:val="0"/>
      <w:marBottom w:val="0"/>
      <w:divBdr>
        <w:top w:val="none" w:sz="0" w:space="0" w:color="auto"/>
        <w:left w:val="none" w:sz="0" w:space="0" w:color="auto"/>
        <w:bottom w:val="none" w:sz="0" w:space="0" w:color="auto"/>
        <w:right w:val="none" w:sz="0" w:space="0" w:color="auto"/>
      </w:divBdr>
    </w:div>
    <w:div w:id="682516107">
      <w:bodyDiv w:val="1"/>
      <w:marLeft w:val="0"/>
      <w:marRight w:val="0"/>
      <w:marTop w:val="0"/>
      <w:marBottom w:val="0"/>
      <w:divBdr>
        <w:top w:val="none" w:sz="0" w:space="0" w:color="auto"/>
        <w:left w:val="none" w:sz="0" w:space="0" w:color="auto"/>
        <w:bottom w:val="none" w:sz="0" w:space="0" w:color="auto"/>
        <w:right w:val="none" w:sz="0" w:space="0" w:color="auto"/>
      </w:divBdr>
    </w:div>
    <w:div w:id="692027132">
      <w:bodyDiv w:val="1"/>
      <w:marLeft w:val="0"/>
      <w:marRight w:val="0"/>
      <w:marTop w:val="0"/>
      <w:marBottom w:val="0"/>
      <w:divBdr>
        <w:top w:val="none" w:sz="0" w:space="0" w:color="auto"/>
        <w:left w:val="none" w:sz="0" w:space="0" w:color="auto"/>
        <w:bottom w:val="none" w:sz="0" w:space="0" w:color="auto"/>
        <w:right w:val="none" w:sz="0" w:space="0" w:color="auto"/>
      </w:divBdr>
      <w:divsChild>
        <w:div w:id="2039239043">
          <w:marLeft w:val="0"/>
          <w:marRight w:val="0"/>
          <w:marTop w:val="0"/>
          <w:marBottom w:val="0"/>
          <w:divBdr>
            <w:top w:val="none" w:sz="0" w:space="0" w:color="auto"/>
            <w:left w:val="none" w:sz="0" w:space="0" w:color="auto"/>
            <w:bottom w:val="none" w:sz="0" w:space="0" w:color="auto"/>
            <w:right w:val="none" w:sz="0" w:space="0" w:color="auto"/>
          </w:divBdr>
          <w:divsChild>
            <w:div w:id="90526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84046">
      <w:bodyDiv w:val="1"/>
      <w:marLeft w:val="0"/>
      <w:marRight w:val="0"/>
      <w:marTop w:val="0"/>
      <w:marBottom w:val="0"/>
      <w:divBdr>
        <w:top w:val="none" w:sz="0" w:space="0" w:color="auto"/>
        <w:left w:val="none" w:sz="0" w:space="0" w:color="auto"/>
        <w:bottom w:val="none" w:sz="0" w:space="0" w:color="auto"/>
        <w:right w:val="none" w:sz="0" w:space="0" w:color="auto"/>
      </w:divBdr>
      <w:divsChild>
        <w:div w:id="543174621">
          <w:marLeft w:val="0"/>
          <w:marRight w:val="0"/>
          <w:marTop w:val="0"/>
          <w:marBottom w:val="0"/>
          <w:divBdr>
            <w:top w:val="none" w:sz="0" w:space="0" w:color="auto"/>
            <w:left w:val="none" w:sz="0" w:space="0" w:color="auto"/>
            <w:bottom w:val="none" w:sz="0" w:space="0" w:color="auto"/>
            <w:right w:val="none" w:sz="0" w:space="0" w:color="auto"/>
          </w:divBdr>
        </w:div>
      </w:divsChild>
    </w:div>
    <w:div w:id="1096443837">
      <w:bodyDiv w:val="1"/>
      <w:marLeft w:val="0"/>
      <w:marRight w:val="0"/>
      <w:marTop w:val="0"/>
      <w:marBottom w:val="0"/>
      <w:divBdr>
        <w:top w:val="none" w:sz="0" w:space="0" w:color="auto"/>
        <w:left w:val="none" w:sz="0" w:space="0" w:color="auto"/>
        <w:bottom w:val="none" w:sz="0" w:space="0" w:color="auto"/>
        <w:right w:val="none" w:sz="0" w:space="0" w:color="auto"/>
      </w:divBdr>
    </w:div>
    <w:div w:id="1273325328">
      <w:bodyDiv w:val="1"/>
      <w:marLeft w:val="0"/>
      <w:marRight w:val="0"/>
      <w:marTop w:val="0"/>
      <w:marBottom w:val="0"/>
      <w:divBdr>
        <w:top w:val="none" w:sz="0" w:space="0" w:color="auto"/>
        <w:left w:val="none" w:sz="0" w:space="0" w:color="auto"/>
        <w:bottom w:val="none" w:sz="0" w:space="0" w:color="auto"/>
        <w:right w:val="none" w:sz="0" w:space="0" w:color="auto"/>
      </w:divBdr>
      <w:divsChild>
        <w:div w:id="811484464">
          <w:marLeft w:val="0"/>
          <w:marRight w:val="0"/>
          <w:marTop w:val="0"/>
          <w:marBottom w:val="0"/>
          <w:divBdr>
            <w:top w:val="none" w:sz="0" w:space="0" w:color="auto"/>
            <w:left w:val="none" w:sz="0" w:space="0" w:color="auto"/>
            <w:bottom w:val="none" w:sz="0" w:space="0" w:color="auto"/>
            <w:right w:val="none" w:sz="0" w:space="0" w:color="auto"/>
          </w:divBdr>
          <w:divsChild>
            <w:div w:id="140903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7351">
      <w:bodyDiv w:val="1"/>
      <w:marLeft w:val="0"/>
      <w:marRight w:val="0"/>
      <w:marTop w:val="0"/>
      <w:marBottom w:val="0"/>
      <w:divBdr>
        <w:top w:val="none" w:sz="0" w:space="0" w:color="auto"/>
        <w:left w:val="none" w:sz="0" w:space="0" w:color="auto"/>
        <w:bottom w:val="none" w:sz="0" w:space="0" w:color="auto"/>
        <w:right w:val="none" w:sz="0" w:space="0" w:color="auto"/>
      </w:divBdr>
    </w:div>
    <w:div w:id="1299915891">
      <w:bodyDiv w:val="1"/>
      <w:marLeft w:val="0"/>
      <w:marRight w:val="0"/>
      <w:marTop w:val="0"/>
      <w:marBottom w:val="0"/>
      <w:divBdr>
        <w:top w:val="none" w:sz="0" w:space="0" w:color="auto"/>
        <w:left w:val="none" w:sz="0" w:space="0" w:color="auto"/>
        <w:bottom w:val="none" w:sz="0" w:space="0" w:color="auto"/>
        <w:right w:val="none" w:sz="0" w:space="0" w:color="auto"/>
      </w:divBdr>
    </w:div>
    <w:div w:id="1512792930">
      <w:bodyDiv w:val="1"/>
      <w:marLeft w:val="0"/>
      <w:marRight w:val="0"/>
      <w:marTop w:val="0"/>
      <w:marBottom w:val="0"/>
      <w:divBdr>
        <w:top w:val="none" w:sz="0" w:space="0" w:color="auto"/>
        <w:left w:val="none" w:sz="0" w:space="0" w:color="auto"/>
        <w:bottom w:val="none" w:sz="0" w:space="0" w:color="auto"/>
        <w:right w:val="none" w:sz="0" w:space="0" w:color="auto"/>
      </w:divBdr>
      <w:divsChild>
        <w:div w:id="1990936580">
          <w:marLeft w:val="0"/>
          <w:marRight w:val="0"/>
          <w:marTop w:val="0"/>
          <w:marBottom w:val="0"/>
          <w:divBdr>
            <w:top w:val="none" w:sz="0" w:space="0" w:color="auto"/>
            <w:left w:val="none" w:sz="0" w:space="0" w:color="auto"/>
            <w:bottom w:val="none" w:sz="0" w:space="0" w:color="auto"/>
            <w:right w:val="none" w:sz="0" w:space="0" w:color="auto"/>
          </w:divBdr>
        </w:div>
      </w:divsChild>
    </w:div>
    <w:div w:id="1574002528">
      <w:bodyDiv w:val="1"/>
      <w:marLeft w:val="0"/>
      <w:marRight w:val="0"/>
      <w:marTop w:val="0"/>
      <w:marBottom w:val="0"/>
      <w:divBdr>
        <w:top w:val="none" w:sz="0" w:space="0" w:color="auto"/>
        <w:left w:val="none" w:sz="0" w:space="0" w:color="auto"/>
        <w:bottom w:val="none" w:sz="0" w:space="0" w:color="auto"/>
        <w:right w:val="none" w:sz="0" w:space="0" w:color="auto"/>
      </w:divBdr>
      <w:divsChild>
        <w:div w:id="1217820376">
          <w:marLeft w:val="0"/>
          <w:marRight w:val="0"/>
          <w:marTop w:val="0"/>
          <w:marBottom w:val="0"/>
          <w:divBdr>
            <w:top w:val="none" w:sz="0" w:space="0" w:color="auto"/>
            <w:left w:val="none" w:sz="0" w:space="0" w:color="auto"/>
            <w:bottom w:val="none" w:sz="0" w:space="0" w:color="auto"/>
            <w:right w:val="none" w:sz="0" w:space="0" w:color="auto"/>
          </w:divBdr>
        </w:div>
      </w:divsChild>
    </w:div>
    <w:div w:id="1723749522">
      <w:bodyDiv w:val="1"/>
      <w:marLeft w:val="0"/>
      <w:marRight w:val="0"/>
      <w:marTop w:val="0"/>
      <w:marBottom w:val="0"/>
      <w:divBdr>
        <w:top w:val="none" w:sz="0" w:space="0" w:color="auto"/>
        <w:left w:val="none" w:sz="0" w:space="0" w:color="auto"/>
        <w:bottom w:val="none" w:sz="0" w:space="0" w:color="auto"/>
        <w:right w:val="none" w:sz="0" w:space="0" w:color="auto"/>
      </w:divBdr>
      <w:divsChild>
        <w:div w:id="1801457561">
          <w:marLeft w:val="0"/>
          <w:marRight w:val="0"/>
          <w:marTop w:val="0"/>
          <w:marBottom w:val="0"/>
          <w:divBdr>
            <w:top w:val="none" w:sz="0" w:space="0" w:color="auto"/>
            <w:left w:val="none" w:sz="0" w:space="0" w:color="auto"/>
            <w:bottom w:val="none" w:sz="0" w:space="0" w:color="auto"/>
            <w:right w:val="none" w:sz="0" w:space="0" w:color="auto"/>
          </w:divBdr>
          <w:divsChild>
            <w:div w:id="190953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59118">
      <w:bodyDiv w:val="1"/>
      <w:marLeft w:val="0"/>
      <w:marRight w:val="0"/>
      <w:marTop w:val="0"/>
      <w:marBottom w:val="0"/>
      <w:divBdr>
        <w:top w:val="none" w:sz="0" w:space="0" w:color="auto"/>
        <w:left w:val="none" w:sz="0" w:space="0" w:color="auto"/>
        <w:bottom w:val="none" w:sz="0" w:space="0" w:color="auto"/>
        <w:right w:val="none" w:sz="0" w:space="0" w:color="auto"/>
      </w:divBdr>
    </w:div>
    <w:div w:id="1851724582">
      <w:bodyDiv w:val="1"/>
      <w:marLeft w:val="0"/>
      <w:marRight w:val="0"/>
      <w:marTop w:val="0"/>
      <w:marBottom w:val="0"/>
      <w:divBdr>
        <w:top w:val="none" w:sz="0" w:space="0" w:color="auto"/>
        <w:left w:val="none" w:sz="0" w:space="0" w:color="auto"/>
        <w:bottom w:val="none" w:sz="0" w:space="0" w:color="auto"/>
        <w:right w:val="none" w:sz="0" w:space="0" w:color="auto"/>
      </w:divBdr>
    </w:div>
    <w:div w:id="1856462460">
      <w:bodyDiv w:val="1"/>
      <w:marLeft w:val="0"/>
      <w:marRight w:val="0"/>
      <w:marTop w:val="0"/>
      <w:marBottom w:val="0"/>
      <w:divBdr>
        <w:top w:val="none" w:sz="0" w:space="0" w:color="auto"/>
        <w:left w:val="none" w:sz="0" w:space="0" w:color="auto"/>
        <w:bottom w:val="none" w:sz="0" w:space="0" w:color="auto"/>
        <w:right w:val="none" w:sz="0" w:space="0" w:color="auto"/>
      </w:divBdr>
    </w:div>
    <w:div w:id="1904103155">
      <w:bodyDiv w:val="1"/>
      <w:marLeft w:val="0"/>
      <w:marRight w:val="0"/>
      <w:marTop w:val="0"/>
      <w:marBottom w:val="0"/>
      <w:divBdr>
        <w:top w:val="none" w:sz="0" w:space="0" w:color="auto"/>
        <w:left w:val="none" w:sz="0" w:space="0" w:color="auto"/>
        <w:bottom w:val="none" w:sz="0" w:space="0" w:color="auto"/>
        <w:right w:val="none" w:sz="0" w:space="0" w:color="auto"/>
      </w:divBdr>
    </w:div>
    <w:div w:id="202974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apeda.gov.in/apedawebsite/index.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9</Pages>
  <Words>3361</Words>
  <Characters>19160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jagdishyag@111gmail.com</dc:creator>
  <cp:keywords/>
  <dc:description/>
  <cp:lastModifiedBy>SDI 1084</cp:lastModifiedBy>
  <cp:revision>30</cp:revision>
  <cp:lastPrinted>2025-04-18T15:38:00Z</cp:lastPrinted>
  <dcterms:created xsi:type="dcterms:W3CDTF">2025-04-18T12:39:00Z</dcterms:created>
  <dcterms:modified xsi:type="dcterms:W3CDTF">2025-05-02T11:33:00Z</dcterms:modified>
</cp:coreProperties>
</file>