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43C" w14:textId="77777777" w:rsidR="00707AC4" w:rsidRDefault="00707AC4" w:rsidP="00707AC4">
      <w:pPr>
        <w:spacing w:after="0" w:line="240" w:lineRule="auto"/>
        <w:jc w:val="center"/>
        <w:rPr>
          <w:rFonts w:ascii="Times New Roman" w:eastAsia="Times New Roman" w:hAnsi="Times New Roman" w:cs="Times New Roman"/>
          <w:kern w:val="0"/>
          <w:sz w:val="30"/>
          <w:szCs w:val="24"/>
          <w14:ligatures w14:val="none"/>
        </w:rPr>
      </w:pPr>
      <w:r w:rsidRPr="00707AC4">
        <w:rPr>
          <w:rFonts w:ascii="Times New Roman" w:eastAsia="Times New Roman" w:hAnsi="Times New Roman" w:cs="Times New Roman"/>
          <w:kern w:val="0"/>
          <w:sz w:val="30"/>
          <w:szCs w:val="24"/>
          <w14:ligatures w14:val="none"/>
        </w:rPr>
        <w:t xml:space="preserve">Ecosystem Transformation: </w:t>
      </w:r>
      <w:proofErr w:type="spellStart"/>
      <w:r w:rsidRPr="00707AC4">
        <w:rPr>
          <w:rFonts w:ascii="Times New Roman" w:eastAsia="Times New Roman" w:hAnsi="Times New Roman" w:cs="Times New Roman"/>
          <w:kern w:val="0"/>
          <w:sz w:val="30"/>
          <w:szCs w:val="24"/>
          <w14:ligatures w14:val="none"/>
        </w:rPr>
        <w:t>Physico</w:t>
      </w:r>
      <w:proofErr w:type="spellEnd"/>
      <w:r w:rsidRPr="00707AC4">
        <w:rPr>
          <w:rFonts w:ascii="Times New Roman" w:eastAsia="Times New Roman" w:hAnsi="Times New Roman" w:cs="Times New Roman"/>
          <w:kern w:val="0"/>
          <w:sz w:val="30"/>
          <w:szCs w:val="24"/>
          <w14:ligatures w14:val="none"/>
        </w:rPr>
        <w:t xml:space="preserve">-chemical Impacts of Agricultural Expansion in </w:t>
      </w:r>
      <w:proofErr w:type="spellStart"/>
      <w:r w:rsidRPr="00707AC4">
        <w:rPr>
          <w:rFonts w:ascii="Times New Roman" w:eastAsia="Times New Roman" w:hAnsi="Times New Roman" w:cs="Times New Roman"/>
          <w:kern w:val="0"/>
          <w:sz w:val="30"/>
          <w:szCs w:val="24"/>
          <w14:ligatures w14:val="none"/>
        </w:rPr>
        <w:t>Shingra</w:t>
      </w:r>
      <w:proofErr w:type="spellEnd"/>
      <w:r w:rsidRPr="00707AC4">
        <w:rPr>
          <w:rFonts w:ascii="Times New Roman" w:eastAsia="Times New Roman" w:hAnsi="Times New Roman" w:cs="Times New Roman"/>
          <w:kern w:val="0"/>
          <w:sz w:val="30"/>
          <w:szCs w:val="24"/>
          <w14:ligatures w14:val="none"/>
        </w:rPr>
        <w:t xml:space="preserve"> and </w:t>
      </w:r>
      <w:proofErr w:type="spellStart"/>
      <w:r w:rsidRPr="00707AC4">
        <w:rPr>
          <w:rFonts w:ascii="Times New Roman" w:eastAsia="Times New Roman" w:hAnsi="Times New Roman" w:cs="Times New Roman"/>
          <w:kern w:val="0"/>
          <w:sz w:val="30"/>
          <w:szCs w:val="24"/>
          <w14:ligatures w14:val="none"/>
        </w:rPr>
        <w:t>Birgonj</w:t>
      </w:r>
      <w:proofErr w:type="spellEnd"/>
      <w:r w:rsidRPr="00707AC4">
        <w:rPr>
          <w:rFonts w:ascii="Times New Roman" w:eastAsia="Times New Roman" w:hAnsi="Times New Roman" w:cs="Times New Roman"/>
          <w:kern w:val="0"/>
          <w:sz w:val="30"/>
          <w:szCs w:val="24"/>
          <w14:ligatures w14:val="none"/>
        </w:rPr>
        <w:t xml:space="preserve"> National Forests, </w:t>
      </w:r>
    </w:p>
    <w:p w14:paraId="0E567F29" w14:textId="77777777" w:rsidR="00707AC4" w:rsidRPr="00707AC4" w:rsidRDefault="00707AC4" w:rsidP="00707AC4">
      <w:pPr>
        <w:spacing w:after="0" w:line="240" w:lineRule="auto"/>
        <w:jc w:val="center"/>
        <w:rPr>
          <w:rFonts w:ascii="Times New Roman" w:eastAsia="Times New Roman" w:hAnsi="Times New Roman" w:cs="Times New Roman"/>
          <w:kern w:val="0"/>
          <w:sz w:val="30"/>
          <w:szCs w:val="24"/>
          <w14:ligatures w14:val="none"/>
        </w:rPr>
      </w:pPr>
      <w:r w:rsidRPr="00707AC4">
        <w:rPr>
          <w:rFonts w:ascii="Times New Roman" w:eastAsia="Times New Roman" w:hAnsi="Times New Roman" w:cs="Times New Roman"/>
          <w:kern w:val="0"/>
          <w:sz w:val="30"/>
          <w:szCs w:val="24"/>
          <w14:ligatures w14:val="none"/>
        </w:rPr>
        <w:t>Dinajpur, Bangladesh</w:t>
      </w:r>
    </w:p>
    <w:p w14:paraId="275907CF" w14:textId="77777777" w:rsidR="00707AC4" w:rsidRDefault="00707AC4" w:rsidP="00707AC4">
      <w:pPr>
        <w:spacing w:after="0" w:line="240" w:lineRule="auto"/>
        <w:jc w:val="center"/>
        <w:rPr>
          <w:rFonts w:ascii="Times New Roman" w:eastAsia="Times New Roman" w:hAnsi="Times New Roman" w:cs="Times New Roman"/>
          <w:kern w:val="0"/>
          <w:sz w:val="30"/>
          <w:szCs w:val="24"/>
          <w14:ligatures w14:val="none"/>
        </w:rPr>
      </w:pPr>
    </w:p>
    <w:p w14:paraId="725D05C2" w14:textId="77777777" w:rsid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75B2D0B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Abstract</w:t>
      </w:r>
    </w:p>
    <w:p w14:paraId="67FE1CC0"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quality has critical implications for ecosystem health and agricultural productivity, particularly in regions where land-use practices have transformed natural habitats to a large extent. The paper studied two national forests of Dinajpur, Bangladesh, the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National Forests soils, in which their adjacent soils were samples, and their physical and chemical properties were compared of forest soils (FS) with adjacent </w:t>
      </w:r>
      <w:r w:rsidRPr="009B2C73">
        <w:rPr>
          <w:rFonts w:ascii="Times New Roman" w:eastAsia="Times New Roman" w:hAnsi="Times New Roman" w:cs="Times New Roman"/>
          <w:kern w:val="0"/>
          <w:sz w:val="24"/>
          <w:szCs w:val="24"/>
          <w14:ligatures w14:val="none"/>
        </w:rPr>
        <w:t>agricultural soils (AS)</w:t>
      </w:r>
      <w:r w:rsidR="009B2C73" w:rsidRPr="009B2C73">
        <w:rPr>
          <w:rFonts w:ascii="Times New Roman" w:eastAsia="Times New Roman" w:hAnsi="Times New Roman" w:cs="Times New Roman"/>
          <w:kern w:val="0"/>
          <w:sz w:val="24"/>
          <w:szCs w:val="24"/>
          <w14:ligatures w14:val="none"/>
        </w:rPr>
        <w:t xml:space="preserve"> to evalua</w:t>
      </w:r>
      <w:r w:rsidR="00EB4987">
        <w:rPr>
          <w:rFonts w:ascii="Times New Roman" w:eastAsia="Times New Roman" w:hAnsi="Times New Roman" w:cs="Times New Roman"/>
          <w:kern w:val="0"/>
          <w:sz w:val="24"/>
          <w:szCs w:val="24"/>
          <w14:ligatures w14:val="none"/>
        </w:rPr>
        <w:t xml:space="preserve">te </w:t>
      </w:r>
      <w:r w:rsidR="009B2C73" w:rsidRPr="009B2C73">
        <w:rPr>
          <w:rFonts w:ascii="Times New Roman" w:eastAsia="Times New Roman" w:hAnsi="Times New Roman" w:cs="Times New Roman"/>
          <w:kern w:val="0"/>
          <w:sz w:val="24"/>
          <w:szCs w:val="24"/>
          <w14:ligatures w14:val="none"/>
        </w:rPr>
        <w:t xml:space="preserve">the physicochemical changes occurred due to ecosystem transformation from forest to agricultural in these two forest areas.  </w:t>
      </w:r>
      <w:r w:rsidRPr="009B2C73">
        <w:rPr>
          <w:rFonts w:ascii="Times New Roman" w:eastAsia="Times New Roman" w:hAnsi="Times New Roman" w:cs="Times New Roman"/>
          <w:kern w:val="0"/>
          <w:sz w:val="24"/>
          <w:szCs w:val="24"/>
          <w14:ligatures w14:val="none"/>
        </w:rPr>
        <w:t xml:space="preserve"> Analysis </w:t>
      </w:r>
      <w:r w:rsidRPr="00707AC4">
        <w:rPr>
          <w:rFonts w:ascii="Times New Roman" w:eastAsia="Times New Roman" w:hAnsi="Times New Roman" w:cs="Times New Roman"/>
          <w:kern w:val="0"/>
          <w:sz w:val="24"/>
          <w:szCs w:val="24"/>
          <w14:ligatures w14:val="none"/>
        </w:rPr>
        <w:t>of soil pH, electrical conductivity (EC), organic matter (OM), total nitrogen(TN), available phosphorus (P), exchangeable potassium (K), available sulfur (S), and cadmium (Cd). Agricultural soils had significantly lower OM, TN, and plant nutrients than forest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 xml:space="preserve">(p &lt; 0.001). For instance, organic matter (OM) content was </w:t>
      </w:r>
      <w:r w:rsidR="009B2C73">
        <w:rPr>
          <w:rFonts w:ascii="Times New Roman" w:eastAsia="Times New Roman" w:hAnsi="Times New Roman" w:cs="Times New Roman"/>
          <w:kern w:val="0"/>
          <w:sz w:val="24"/>
          <w:szCs w:val="24"/>
          <w14:ligatures w14:val="none"/>
        </w:rPr>
        <w:t>1.74</w:t>
      </w:r>
      <w:r w:rsidRPr="00707AC4">
        <w:rPr>
          <w:rFonts w:ascii="Times New Roman" w:eastAsia="Times New Roman" w:hAnsi="Times New Roman" w:cs="Times New Roman"/>
          <w:kern w:val="0"/>
          <w:sz w:val="24"/>
          <w:szCs w:val="24"/>
          <w14:ligatures w14:val="none"/>
        </w:rPr>
        <w:t xml:space="preserve">% (in forest soils) and </w:t>
      </w:r>
      <w:r w:rsidR="009B2C73">
        <w:rPr>
          <w:rFonts w:ascii="Times New Roman" w:eastAsia="Times New Roman" w:hAnsi="Times New Roman" w:cs="Times New Roman"/>
          <w:kern w:val="0"/>
          <w:sz w:val="24"/>
          <w:szCs w:val="24"/>
          <w14:ligatures w14:val="none"/>
        </w:rPr>
        <w:t>1.26</w:t>
      </w:r>
      <w:r w:rsidRPr="00707AC4">
        <w:rPr>
          <w:rFonts w:ascii="Times New Roman" w:eastAsia="Times New Roman" w:hAnsi="Times New Roman" w:cs="Times New Roman"/>
          <w:kern w:val="0"/>
          <w:sz w:val="24"/>
          <w:szCs w:val="24"/>
          <w14:ligatures w14:val="none"/>
        </w:rPr>
        <w:t>% (in agricultural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 xml:space="preserve">in </w:t>
      </w:r>
      <w:proofErr w:type="spellStart"/>
      <w:r w:rsidRPr="00707AC4">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1.53% (in forest soils) and 1.12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Available phosphorus </w:t>
      </w:r>
      <w:r w:rsidR="009B2C73">
        <w:rPr>
          <w:rFonts w:ascii="Times New Roman" w:eastAsia="Times New Roman" w:hAnsi="Times New Roman" w:cs="Times New Roman"/>
          <w:kern w:val="0"/>
          <w:sz w:val="24"/>
          <w:szCs w:val="24"/>
          <w14:ligatures w14:val="none"/>
        </w:rPr>
        <w:t>was 15.1 g kg</w:t>
      </w:r>
      <w:r w:rsidR="009B2C73" w:rsidRPr="009B2C73">
        <w:rPr>
          <w:rFonts w:ascii="Times New Roman" w:eastAsia="Times New Roman" w:hAnsi="Times New Roman" w:cs="Times New Roman"/>
          <w:kern w:val="0"/>
          <w:sz w:val="24"/>
          <w:szCs w:val="24"/>
          <w:vertAlign w:val="superscript"/>
          <w14:ligatures w14:val="none"/>
        </w:rPr>
        <w:t>-1</w:t>
      </w:r>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in </w:t>
      </w:r>
      <w:r w:rsidR="009B2C73">
        <w:rPr>
          <w:rFonts w:ascii="Times New Roman" w:eastAsia="Times New Roman" w:hAnsi="Times New Roman" w:cs="Times New Roman"/>
          <w:kern w:val="0"/>
          <w:sz w:val="24"/>
          <w:szCs w:val="24"/>
          <w14:ligatures w14:val="none"/>
        </w:rPr>
        <w:t>forest soils</w:t>
      </w:r>
      <w:r w:rsidR="00EB4987">
        <w:rPr>
          <w:rFonts w:ascii="Times New Roman" w:eastAsia="Times New Roman" w:hAnsi="Times New Roman" w:cs="Times New Roman"/>
          <w:kern w:val="0"/>
          <w:sz w:val="24"/>
          <w:szCs w:val="24"/>
          <w14:ligatures w14:val="none"/>
        </w:rPr>
        <w:t>) and</w:t>
      </w:r>
      <w:r w:rsidR="009B2C73">
        <w:rPr>
          <w:rFonts w:ascii="Times New Roman" w:eastAsia="Times New Roman" w:hAnsi="Times New Roman" w:cs="Times New Roman"/>
          <w:kern w:val="0"/>
          <w:sz w:val="24"/>
          <w:szCs w:val="24"/>
          <w14:ligatures w14:val="none"/>
        </w:rPr>
        <w:t xml:space="preserve"> 69.9 g kg</w:t>
      </w:r>
      <w:r w:rsidR="009B2C73" w:rsidRPr="009B2C73">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in</w:t>
      </w:r>
      <w:r w:rsidR="009B2C73">
        <w:rPr>
          <w:rFonts w:ascii="Times New Roman" w:eastAsia="Times New Roman" w:hAnsi="Times New Roman" w:cs="Times New Roman"/>
          <w:kern w:val="0"/>
          <w:sz w:val="24"/>
          <w:szCs w:val="24"/>
          <w14:ligatures w14:val="none"/>
        </w:rPr>
        <w:t xml:space="preserve"> agricultural soils</w:t>
      </w:r>
      <w:r w:rsidR="00EB4987">
        <w:rPr>
          <w:rFonts w:ascii="Times New Roman" w:eastAsia="Times New Roman" w:hAnsi="Times New Roman" w:cs="Times New Roman"/>
          <w:kern w:val="0"/>
          <w:sz w:val="24"/>
          <w:szCs w:val="24"/>
          <w14:ligatures w14:val="none"/>
        </w:rPr>
        <w:t>)</w:t>
      </w:r>
      <w:r w:rsidR="009B2C73">
        <w:rPr>
          <w:rFonts w:ascii="Times New Roman" w:eastAsia="Times New Roman" w:hAnsi="Times New Roman" w:cs="Times New Roman"/>
          <w:kern w:val="0"/>
          <w:sz w:val="24"/>
          <w:szCs w:val="24"/>
          <w14:ligatures w14:val="none"/>
        </w:rPr>
        <w:t xml:space="preserve"> in </w:t>
      </w:r>
      <w:proofErr w:type="spellStart"/>
      <w:r w:rsidR="009B2C73">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15.5 g 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 xml:space="preserve">in </w:t>
      </w:r>
      <w:r w:rsidR="00EB4987">
        <w:rPr>
          <w:rFonts w:ascii="Times New Roman" w:eastAsia="Times New Roman" w:hAnsi="Times New Roman" w:cs="Times New Roman"/>
          <w:kern w:val="0"/>
          <w:sz w:val="24"/>
          <w:szCs w:val="24"/>
          <w14:ligatures w14:val="none"/>
        </w:rPr>
        <w:t>forest soils) and 51.0.9 g kg</w:t>
      </w:r>
      <w:r w:rsidR="00EB4987" w:rsidRPr="009B2C73">
        <w:rPr>
          <w:rFonts w:ascii="Times New Roman" w:eastAsia="Times New Roman" w:hAnsi="Times New Roman" w:cs="Times New Roman"/>
          <w:kern w:val="0"/>
          <w:sz w:val="24"/>
          <w:szCs w:val="24"/>
          <w:vertAlign w:val="superscript"/>
          <w14:ligatures w14:val="none"/>
        </w:rPr>
        <w:t>-1</w:t>
      </w:r>
      <w:r w:rsidR="00EB4987"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00EB4987" w:rsidRPr="00707AC4">
        <w:rPr>
          <w:rFonts w:ascii="Times New Roman" w:eastAsia="Times New Roman" w:hAnsi="Times New Roman" w:cs="Times New Roman"/>
          <w:kern w:val="0"/>
          <w:sz w:val="24"/>
          <w:szCs w:val="24"/>
          <w14:ligatures w14:val="none"/>
        </w:rPr>
        <w:t>in</w:t>
      </w:r>
      <w:r w:rsidR="00EB4987">
        <w:rPr>
          <w:rFonts w:ascii="Times New Roman" w:eastAsia="Times New Roman" w:hAnsi="Times New Roman" w:cs="Times New Roman"/>
          <w:kern w:val="0"/>
          <w:sz w:val="24"/>
          <w:szCs w:val="24"/>
          <w14:ligatures w14:val="none"/>
        </w:rPr>
        <w:t xml:space="preserve">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On the other hand, cadmium content was 0.61 </w:t>
      </w:r>
      <w:r w:rsidRPr="00707AC4">
        <w:rPr>
          <w:rFonts w:ascii="Times New Roman" w:eastAsia="Times New Roman" w:hAnsi="Times New Roman" w:cs="Times New Roman"/>
          <w:kern w:val="0"/>
          <w:sz w:val="24"/>
          <w:szCs w:val="24"/>
          <w14:ligatures w14:val="none"/>
        </w:rPr>
        <w:t>mg</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kg</w:t>
      </w:r>
      <w:r w:rsidR="009B2C73"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3.68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w:t>
      </w:r>
      <w:proofErr w:type="spellStart"/>
      <w:r w:rsidR="00EB4987">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0.53 </w:t>
      </w:r>
      <w:r w:rsidR="00EB4987" w:rsidRPr="00707AC4">
        <w:rPr>
          <w:rFonts w:ascii="Times New Roman" w:eastAsia="Times New Roman" w:hAnsi="Times New Roman" w:cs="Times New Roman"/>
          <w:kern w:val="0"/>
          <w:sz w:val="24"/>
          <w:szCs w:val="24"/>
          <w14:ligatures w14:val="none"/>
        </w:rPr>
        <w:t>mg</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2.35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These results suggest that </w:t>
      </w:r>
      <w:r w:rsidR="00795B74">
        <w:rPr>
          <w:rFonts w:ascii="Times New Roman" w:eastAsia="Times New Roman" w:hAnsi="Times New Roman" w:cs="Times New Roman"/>
          <w:kern w:val="0"/>
          <w:sz w:val="24"/>
          <w:szCs w:val="24"/>
          <w14:ligatures w14:val="none"/>
        </w:rPr>
        <w:t xml:space="preserve">beside changes of other physic-chemical properties, significant increase of Ca contamination occurs due to high application of phosphorus fertilizers. </w:t>
      </w:r>
      <w:r w:rsidRPr="000E2C0C">
        <w:rPr>
          <w:rFonts w:ascii="Times New Roman" w:eastAsia="Times New Roman" w:hAnsi="Times New Roman" w:cs="Times New Roman"/>
          <w:i/>
          <w:kern w:val="0"/>
          <w:sz w:val="24"/>
          <w:szCs w:val="24"/>
          <w14:ligatures w14:val="none"/>
        </w:rPr>
        <w:t>Keywords</w:t>
      </w:r>
      <w:r w:rsidRPr="00707AC4">
        <w:rPr>
          <w:rFonts w:ascii="Times New Roman" w:eastAsia="Times New Roman" w:hAnsi="Times New Roman" w:cs="Times New Roman"/>
          <w:kern w:val="0"/>
          <w:sz w:val="24"/>
          <w:szCs w:val="24"/>
          <w14:ligatures w14:val="none"/>
        </w:rPr>
        <w:t>: Soil Quality, Land Use Change, Cadm</w:t>
      </w:r>
      <w:r w:rsidR="00795B74">
        <w:rPr>
          <w:rFonts w:ascii="Times New Roman" w:eastAsia="Times New Roman" w:hAnsi="Times New Roman" w:cs="Times New Roman"/>
          <w:kern w:val="0"/>
          <w:sz w:val="24"/>
          <w:szCs w:val="24"/>
          <w14:ligatures w14:val="none"/>
        </w:rPr>
        <w:t>ium Contamination, Agriculture Lands, Forest L</w:t>
      </w:r>
      <w:r w:rsidRPr="00707AC4">
        <w:rPr>
          <w:rFonts w:ascii="Times New Roman" w:eastAsia="Times New Roman" w:hAnsi="Times New Roman" w:cs="Times New Roman"/>
          <w:kern w:val="0"/>
          <w:sz w:val="24"/>
          <w:szCs w:val="24"/>
          <w14:ligatures w14:val="none"/>
        </w:rPr>
        <w:t>ands</w:t>
      </w:r>
    </w:p>
    <w:p w14:paraId="1AA1DFF9" w14:textId="77777777" w:rsidR="00795B74" w:rsidRDefault="00795B74" w:rsidP="00707AC4">
      <w:pPr>
        <w:spacing w:after="0" w:line="480" w:lineRule="auto"/>
        <w:jc w:val="both"/>
        <w:rPr>
          <w:rFonts w:ascii="Times New Roman" w:eastAsia="Times New Roman" w:hAnsi="Times New Roman" w:cs="Times New Roman"/>
          <w:b/>
          <w:kern w:val="0"/>
          <w:sz w:val="24"/>
          <w:szCs w:val="24"/>
          <w14:ligatures w14:val="none"/>
        </w:rPr>
      </w:pPr>
    </w:p>
    <w:p w14:paraId="4F1A0E5A" w14:textId="77777777" w:rsidR="00707AC4" w:rsidRPr="009B2C73"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9B2C73">
        <w:rPr>
          <w:rFonts w:ascii="Times New Roman" w:eastAsia="Times New Roman" w:hAnsi="Times New Roman" w:cs="Times New Roman"/>
          <w:b/>
          <w:kern w:val="0"/>
          <w:sz w:val="24"/>
          <w:szCs w:val="24"/>
          <w14:ligatures w14:val="none"/>
        </w:rPr>
        <w:t>Introduction</w:t>
      </w:r>
    </w:p>
    <w:p w14:paraId="35A563B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 health is a key factor in the productivity of agriculture and natural ecosystems. In ecologies, such as in Dinajpur, Bangladesh, where agriculture and forest conservation often coexist, land use drives soil characteristics. Generally, agricultural practices deplete soil nutrients, while forests recycle or accumulate nutrients through organic matter (</w:t>
      </w:r>
      <w:r w:rsidR="00370817" w:rsidRPr="000E2C0C">
        <w:rPr>
          <w:rFonts w:ascii="Times New Roman" w:eastAsia="Times New Roman" w:hAnsi="Times New Roman" w:cs="Times New Roman"/>
          <w:color w:val="000000" w:themeColor="text1"/>
          <w:kern w:val="0"/>
          <w:sz w:val="24"/>
          <w:szCs w:val="24"/>
          <w14:ligatures w14:val="none"/>
        </w:rPr>
        <w:t xml:space="preserve">Mahmood et al., 2021; </w:t>
      </w:r>
      <w:r w:rsidR="006459C5" w:rsidRPr="000E2C0C">
        <w:rPr>
          <w:rFonts w:ascii="Times New Roman" w:hAnsi="Times New Roman" w:cs="Times New Roman"/>
          <w:color w:val="000000" w:themeColor="text1"/>
          <w:sz w:val="24"/>
          <w:szCs w:val="24"/>
        </w:rPr>
        <w:t>Kadoya et al. 2022</w:t>
      </w:r>
      <w:r w:rsidRPr="000E2C0C">
        <w:rPr>
          <w:rFonts w:ascii="Times New Roman" w:eastAsia="Times New Roman" w:hAnsi="Times New Roman" w:cs="Times New Roman"/>
          <w:color w:val="000000" w:themeColor="text1"/>
          <w:kern w:val="0"/>
          <w:sz w:val="24"/>
          <w:szCs w:val="24"/>
          <w14:ligatures w14:val="none"/>
        </w:rPr>
        <w:t>). Soil quality is generally better than agricultural practices. Assessing these impacts is critical for developing sustainable land management practices and conserving ecosystem services.</w:t>
      </w:r>
    </w:p>
    <w:p w14:paraId="24EE64B4" w14:textId="77777777" w:rsidR="00707AC4" w:rsidRPr="000E2C0C" w:rsidRDefault="00707AC4" w:rsidP="00823927">
      <w:p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Conversion of forests to agricultural lands in Bangladesh is inevitable due to socio-economic challenges, including poverty, population growth, and food security needs (</w:t>
      </w:r>
      <w:r w:rsidR="00823927" w:rsidRPr="000E2C0C">
        <w:rPr>
          <w:rFonts w:ascii="Times New Roman" w:eastAsia="Times New Roman" w:hAnsi="Times New Roman" w:cs="Times New Roman"/>
          <w:color w:val="000000" w:themeColor="text1"/>
          <w:kern w:val="0"/>
          <w:sz w:val="24"/>
          <w:szCs w:val="24"/>
          <w14:ligatures w14:val="none"/>
        </w:rPr>
        <w:t xml:space="preserve">Gol, 2009, </w:t>
      </w:r>
      <w:r w:rsidR="00823927" w:rsidRPr="000E2C0C">
        <w:rPr>
          <w:rFonts w:ascii="Times New Roman" w:hAnsi="Times New Roman" w:cs="Times New Roman"/>
          <w:color w:val="000000" w:themeColor="text1"/>
          <w:sz w:val="24"/>
          <w:szCs w:val="24"/>
        </w:rPr>
        <w:t>Islam &amp; Weil, 2000)</w:t>
      </w:r>
      <w:r w:rsidRPr="000E2C0C">
        <w:rPr>
          <w:rFonts w:ascii="Times New Roman" w:eastAsia="Times New Roman" w:hAnsi="Times New Roman" w:cs="Times New Roman"/>
          <w:color w:val="000000" w:themeColor="text1"/>
          <w:kern w:val="0"/>
          <w:sz w:val="24"/>
          <w:szCs w:val="24"/>
          <w14:ligatures w14:val="none"/>
        </w:rPr>
        <w:t>. Forest cover is a biodiversity hotspot and provides overall ecosystem resilience by regulating nutrient cycling, carbon storage, hydrological cycles, and minimizing soil erosion (</w:t>
      </w:r>
      <w:r w:rsidR="00202DC5" w:rsidRPr="000E2C0C">
        <w:rPr>
          <w:rFonts w:ascii="Times New Roman" w:eastAsia="Times New Roman" w:hAnsi="Times New Roman" w:cs="Times New Roman"/>
          <w:color w:val="000000" w:themeColor="text1"/>
          <w:kern w:val="0"/>
          <w:sz w:val="24"/>
          <w:szCs w:val="24"/>
          <w14:ligatures w14:val="none"/>
        </w:rPr>
        <w:t>Willy et al. 2019</w:t>
      </w:r>
      <w:r w:rsidRPr="000E2C0C">
        <w:rPr>
          <w:rFonts w:ascii="Times New Roman" w:eastAsia="Times New Roman" w:hAnsi="Times New Roman" w:cs="Times New Roman"/>
          <w:color w:val="000000" w:themeColor="text1"/>
          <w:kern w:val="0"/>
          <w:sz w:val="24"/>
          <w:szCs w:val="24"/>
          <w14:ligatures w14:val="none"/>
        </w:rPr>
        <w:t>). However, as more and more forests were cleared, these ecological services were disrupted, resulting in environmental devastation (</w:t>
      </w:r>
      <w:r w:rsidR="002B0900" w:rsidRPr="000E2C0C">
        <w:rPr>
          <w:rFonts w:ascii="Times New Roman" w:eastAsia="Times New Roman" w:hAnsi="Times New Roman" w:cs="Times New Roman"/>
          <w:color w:val="000000" w:themeColor="text1"/>
          <w:kern w:val="0"/>
          <w:sz w:val="24"/>
          <w:szCs w:val="24"/>
          <w14:ligatures w14:val="none"/>
        </w:rPr>
        <w:t xml:space="preserve">Gol </w:t>
      </w:r>
      <w:r w:rsidRPr="000E2C0C">
        <w:rPr>
          <w:rFonts w:ascii="Times New Roman" w:eastAsia="Times New Roman" w:hAnsi="Times New Roman" w:cs="Times New Roman"/>
          <w:color w:val="000000" w:themeColor="text1"/>
          <w:kern w:val="0"/>
          <w:sz w:val="24"/>
          <w:szCs w:val="24"/>
          <w14:ligatures w14:val="none"/>
        </w:rPr>
        <w:t>20</w:t>
      </w:r>
      <w:r w:rsidR="002B0900" w:rsidRPr="000E2C0C">
        <w:rPr>
          <w:rFonts w:ascii="Times New Roman" w:eastAsia="Times New Roman" w:hAnsi="Times New Roman" w:cs="Times New Roman"/>
          <w:color w:val="000000" w:themeColor="text1"/>
          <w:kern w:val="0"/>
          <w:sz w:val="24"/>
          <w:szCs w:val="24"/>
          <w14:ligatures w14:val="none"/>
        </w:rPr>
        <w:t>09</w:t>
      </w:r>
      <w:r w:rsidRPr="000E2C0C">
        <w:rPr>
          <w:rFonts w:ascii="Times New Roman" w:eastAsia="Times New Roman" w:hAnsi="Times New Roman" w:cs="Times New Roman"/>
          <w:color w:val="000000" w:themeColor="text1"/>
          <w:kern w:val="0"/>
          <w:sz w:val="24"/>
          <w:szCs w:val="24"/>
          <w14:ligatures w14:val="none"/>
        </w:rPr>
        <w:t>).</w:t>
      </w:r>
      <w:r w:rsidR="004A32DD"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Forest soils contain higher organic matter and nutrients due to the continuous decomposition of plant material, which, in turn, replenishes soil nutrients compared to agricultural soils (Khan &amp; Hoque, 2025). On the other hand, chemical fertilizers and pesticides in high-input farming can lead to low soil quality via increased </w:t>
      </w:r>
      <w:r w:rsidR="00816599" w:rsidRPr="000E2C0C">
        <w:rPr>
          <w:rFonts w:ascii="Times New Roman" w:eastAsia="Times New Roman" w:hAnsi="Times New Roman" w:cs="Times New Roman"/>
          <w:color w:val="000000" w:themeColor="text1"/>
          <w:kern w:val="0"/>
          <w:sz w:val="24"/>
          <w:szCs w:val="24"/>
          <w14:ligatures w14:val="none"/>
        </w:rPr>
        <w:t>s</w:t>
      </w:r>
      <w:r w:rsidRPr="000E2C0C">
        <w:rPr>
          <w:rFonts w:ascii="Times New Roman" w:eastAsia="Times New Roman" w:hAnsi="Times New Roman" w:cs="Times New Roman"/>
          <w:color w:val="000000" w:themeColor="text1"/>
          <w:kern w:val="0"/>
          <w:sz w:val="24"/>
          <w:szCs w:val="24"/>
          <w14:ligatures w14:val="none"/>
        </w:rPr>
        <w:t>alinity, acid-saturation</w:t>
      </w:r>
      <w:r w:rsidR="00A02C90" w:rsidRPr="000E2C0C">
        <w:rPr>
          <w:rFonts w:ascii="Times New Roman" w:eastAsia="Times New Roman" w:hAnsi="Times New Roman" w:cs="Times New Roman"/>
          <w:color w:val="000000" w:themeColor="text1"/>
          <w:kern w:val="0"/>
          <w:sz w:val="24"/>
          <w:szCs w:val="24"/>
          <w14:ligatures w14:val="none"/>
        </w:rPr>
        <w:t xml:space="preserve">, and heavy metal pollution </w:t>
      </w:r>
      <w:r w:rsidR="00816599" w:rsidRPr="000E2C0C">
        <w:rPr>
          <w:rFonts w:ascii="Times New Roman" w:eastAsia="Times New Roman" w:hAnsi="Times New Roman" w:cs="Times New Roman"/>
          <w:color w:val="000000" w:themeColor="text1"/>
          <w:kern w:val="0"/>
          <w:sz w:val="24"/>
          <w:szCs w:val="24"/>
          <w14:ligatures w14:val="none"/>
        </w:rPr>
        <w:t>(Nath et al., 2001)</w:t>
      </w:r>
      <w:r w:rsidRPr="000E2C0C">
        <w:rPr>
          <w:rFonts w:ascii="Times New Roman" w:eastAsia="Times New Roman" w:hAnsi="Times New Roman" w:cs="Times New Roman"/>
          <w:color w:val="000000" w:themeColor="text1"/>
          <w:kern w:val="0"/>
          <w:sz w:val="24"/>
          <w:szCs w:val="24"/>
          <w14:ligatures w14:val="none"/>
        </w:rPr>
        <w:t>. Pollution of agricultural soils with heavy metals is a significant global problem, especially by cadmium (Cd) contamination as a result of the misuse of industrial fertilizers and irrigation with wastewater (</w:t>
      </w:r>
      <w:proofErr w:type="spellStart"/>
      <w:r w:rsidR="00816599" w:rsidRPr="000E2C0C">
        <w:rPr>
          <w:rFonts w:ascii="Times New Roman" w:hAnsi="Times New Roman" w:cs="Times New Roman"/>
          <w:color w:val="000000" w:themeColor="text1"/>
          <w:sz w:val="24"/>
          <w:szCs w:val="24"/>
        </w:rPr>
        <w:t>Bayabil</w:t>
      </w:r>
      <w:proofErr w:type="spellEnd"/>
      <w:r w:rsidR="00816599" w:rsidRPr="000E2C0C">
        <w:rPr>
          <w:rFonts w:ascii="Times New Roman" w:hAnsi="Times New Roman" w:cs="Times New Roman"/>
          <w:color w:val="000000" w:themeColor="text1"/>
          <w:sz w:val="24"/>
          <w:szCs w:val="24"/>
        </w:rPr>
        <w:t xml:space="preserve"> et al., 2021;</w:t>
      </w:r>
      <w:r w:rsidR="00816599" w:rsidRPr="000E2C0C">
        <w:rPr>
          <w:rFonts w:ascii="Times New Roman" w:eastAsia="Times New Roman" w:hAnsi="Times New Roman" w:cs="Times New Roman"/>
          <w:color w:val="000000" w:themeColor="text1"/>
          <w:kern w:val="0"/>
          <w:sz w:val="24"/>
          <w:szCs w:val="24"/>
          <w14:ligatures w14:val="none"/>
        </w:rPr>
        <w:t xml:space="preserve"> </w:t>
      </w:r>
      <w:r w:rsidR="002C79F3" w:rsidRPr="000E2C0C">
        <w:rPr>
          <w:rFonts w:ascii="Times New Roman" w:hAnsi="Times New Roman" w:cs="Times New Roman"/>
          <w:color w:val="000000" w:themeColor="text1"/>
          <w:sz w:val="24"/>
          <w:szCs w:val="24"/>
        </w:rPr>
        <w:t>Sikdar</w:t>
      </w:r>
      <w:r w:rsidR="002C79F3" w:rsidRPr="000E2C0C">
        <w:rPr>
          <w:rFonts w:ascii="Times New Roman" w:eastAsia="Times New Roman" w:hAnsi="Times New Roman" w:cs="Times New Roman"/>
          <w:color w:val="000000" w:themeColor="text1"/>
          <w:kern w:val="0"/>
          <w:sz w:val="24"/>
          <w:szCs w:val="24"/>
          <w14:ligatures w14:val="none"/>
        </w:rPr>
        <w:t xml:space="preserve"> et al. 2022</w:t>
      </w:r>
      <w:r w:rsidR="00816599" w:rsidRPr="000E2C0C">
        <w:rPr>
          <w:rFonts w:ascii="Times New Roman" w:eastAsia="Times New Roman" w:hAnsi="Times New Roman" w:cs="Times New Roman"/>
          <w:color w:val="000000" w:themeColor="text1"/>
          <w:kern w:val="0"/>
          <w:sz w:val="24"/>
          <w:szCs w:val="24"/>
          <w14:ligatures w14:val="none"/>
        </w:rPr>
        <w:t>)</w:t>
      </w:r>
      <w:r w:rsidRPr="000E2C0C">
        <w:rPr>
          <w:rFonts w:ascii="Times New Roman" w:eastAsia="Times New Roman" w:hAnsi="Times New Roman" w:cs="Times New Roman"/>
          <w:color w:val="000000" w:themeColor="text1"/>
          <w:kern w:val="0"/>
          <w:sz w:val="24"/>
          <w:szCs w:val="24"/>
          <w14:ligatures w14:val="none"/>
        </w:rPr>
        <w:t xml:space="preserve">. Furthermore, low soil organic matter and nitrogen in agricultural soils lower soil fertility and microbial activity, leading to </w:t>
      </w:r>
      <w:r w:rsidR="00A02C90" w:rsidRPr="000E2C0C">
        <w:rPr>
          <w:rFonts w:ascii="Times New Roman" w:eastAsia="Times New Roman" w:hAnsi="Times New Roman" w:cs="Times New Roman"/>
          <w:color w:val="000000" w:themeColor="text1"/>
          <w:kern w:val="0"/>
          <w:sz w:val="24"/>
          <w:szCs w:val="24"/>
          <w14:ligatures w14:val="none"/>
        </w:rPr>
        <w:t xml:space="preserve">decrease in </w:t>
      </w:r>
      <w:r w:rsidRPr="000E2C0C">
        <w:rPr>
          <w:rFonts w:ascii="Times New Roman" w:eastAsia="Times New Roman" w:hAnsi="Times New Roman" w:cs="Times New Roman"/>
          <w:color w:val="000000" w:themeColor="text1"/>
          <w:kern w:val="0"/>
          <w:sz w:val="24"/>
          <w:szCs w:val="24"/>
          <w14:ligatures w14:val="none"/>
        </w:rPr>
        <w:t>soil quality (</w:t>
      </w:r>
      <w:r w:rsidR="00A02C90" w:rsidRPr="000E2C0C">
        <w:rPr>
          <w:rFonts w:ascii="Times New Roman" w:hAnsi="Times New Roman" w:cs="Times New Roman"/>
          <w:color w:val="000000" w:themeColor="text1"/>
          <w:sz w:val="24"/>
          <w:szCs w:val="20"/>
        </w:rPr>
        <w:t>Willy et al. 2019</w:t>
      </w:r>
      <w:r w:rsidRPr="000E2C0C">
        <w:rPr>
          <w:rFonts w:ascii="Times New Roman" w:eastAsia="Times New Roman" w:hAnsi="Times New Roman" w:cs="Times New Roman"/>
          <w:color w:val="000000" w:themeColor="text1"/>
          <w:kern w:val="0"/>
          <w:sz w:val="24"/>
          <w:szCs w:val="24"/>
          <w14:ligatures w14:val="none"/>
        </w:rPr>
        <w:t>)</w:t>
      </w:r>
      <w:r w:rsidR="00A02C90" w:rsidRPr="000E2C0C">
        <w:rPr>
          <w:rFonts w:ascii="Times New Roman" w:eastAsia="Times New Roman" w:hAnsi="Times New Roman" w:cs="Times New Roman"/>
          <w:color w:val="000000" w:themeColor="text1"/>
          <w:kern w:val="0"/>
          <w:sz w:val="24"/>
          <w:szCs w:val="24"/>
          <w14:ligatures w14:val="none"/>
        </w:rPr>
        <w:t>.</w:t>
      </w:r>
    </w:p>
    <w:p w14:paraId="689A1A57"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lastRenderedPageBreak/>
        <w:t>The short-term gains of producing crops drive agricultural expansion into forests but do so at long-term ecological and economic costs. Besides the high O and stability of forest soil structure, they are the foundations for the growth of plants. Nevertheless, these soils have radically and suddenly changed when they are transformed into farmland through mechanical tillage, chemical input, and irrigation. Tillage kills soil aggregates and reduces carbon sequestration potential, and fertilizers alter pH and nutrient dynamics. Higher electrical conductivity in soils (</w:t>
      </w:r>
      <w:hyperlink r:id="rId8" w:history="1">
        <w:r w:rsidR="004A32DD" w:rsidRPr="000E2C0C">
          <w:rPr>
            <w:rStyle w:val="Hyperlink"/>
            <w:rFonts w:ascii="Times New Roman" w:hAnsi="Times New Roman" w:cs="Times New Roman"/>
            <w:iCs/>
            <w:color w:val="000000" w:themeColor="text1"/>
            <w:spacing w:val="6"/>
            <w:sz w:val="24"/>
            <w:szCs w:val="24"/>
            <w:u w:val="none"/>
            <w:shd w:val="clear" w:color="auto" w:fill="FFFFFF"/>
          </w:rPr>
          <w:t>Rahman</w:t>
        </w:r>
      </w:hyperlink>
      <w:r w:rsidR="004A32DD" w:rsidRPr="000E2C0C">
        <w:rPr>
          <w:rFonts w:ascii="Times New Roman" w:hAnsi="Times New Roman" w:cs="Times New Roman"/>
          <w:color w:val="000000" w:themeColor="text1"/>
          <w:sz w:val="24"/>
          <w:szCs w:val="24"/>
        </w:rPr>
        <w:t xml:space="preserve"> et al. 2001) </w:t>
      </w:r>
      <w:r w:rsidRPr="000E2C0C">
        <w:rPr>
          <w:rFonts w:ascii="Times New Roman" w:eastAsia="Times New Roman" w:hAnsi="Times New Roman" w:cs="Times New Roman"/>
          <w:color w:val="000000" w:themeColor="text1"/>
          <w:kern w:val="0"/>
          <w:sz w:val="24"/>
          <w:szCs w:val="24"/>
          <w14:ligatures w14:val="none"/>
        </w:rPr>
        <w:t>suggests irrigation worsens salinity.</w:t>
      </w:r>
    </w:p>
    <w:p w14:paraId="7AF16A59"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Research in the tropics and subtropics shows how forests contribute to soil resilience and nutrient cycling. The disruption of these processes leads to nutrient leaching and the deposition of salts and heavy metals, impeding the transformation of forests into agricultural lands</w:t>
      </w:r>
      <w:r w:rsidR="00037906"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t>
      </w:r>
      <w:r w:rsidR="00037906" w:rsidRPr="000E2C0C">
        <w:rPr>
          <w:rFonts w:ascii="Times New Roman" w:eastAsia="Times New Roman" w:hAnsi="Times New Roman" w:cs="Times New Roman"/>
          <w:color w:val="000000" w:themeColor="text1"/>
          <w:kern w:val="0"/>
          <w:sz w:val="24"/>
          <w:szCs w:val="24"/>
          <w14:ligatures w14:val="none"/>
        </w:rPr>
        <w:t xml:space="preserve">Li et al., </w:t>
      </w:r>
      <w:r w:rsidRPr="000E2C0C">
        <w:rPr>
          <w:rFonts w:ascii="Times New Roman" w:eastAsia="Times New Roman" w:hAnsi="Times New Roman" w:cs="Times New Roman"/>
          <w:color w:val="000000" w:themeColor="text1"/>
          <w:kern w:val="0"/>
          <w:sz w:val="24"/>
          <w:szCs w:val="24"/>
          <w14:ligatures w14:val="none"/>
        </w:rPr>
        <w:t>202</w:t>
      </w:r>
      <w:r w:rsidR="00037906" w:rsidRPr="000E2C0C">
        <w:rPr>
          <w:rFonts w:ascii="Times New Roman" w:eastAsia="Times New Roman" w:hAnsi="Times New Roman" w:cs="Times New Roman"/>
          <w:color w:val="000000" w:themeColor="text1"/>
          <w:kern w:val="0"/>
          <w:sz w:val="24"/>
          <w:szCs w:val="24"/>
          <w14:ligatures w14:val="none"/>
        </w:rPr>
        <w:t>4</w:t>
      </w:r>
      <w:r w:rsidRPr="000E2C0C">
        <w:rPr>
          <w:rFonts w:ascii="Times New Roman" w:eastAsia="Times New Roman" w:hAnsi="Times New Roman" w:cs="Times New Roman"/>
          <w:color w:val="000000" w:themeColor="text1"/>
          <w:kern w:val="0"/>
          <w:sz w:val="24"/>
          <w:szCs w:val="24"/>
          <w14:ligatures w14:val="none"/>
        </w:rPr>
        <w:t xml:space="preserve">). </w:t>
      </w:r>
    </w:p>
    <w:p w14:paraId="1A89C40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The current study was undertaken at the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forests in Dinajpur, where the properties of the soil have dramatically changed over the past 30 years due to the expansion of agriculture.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sites with varying land-use intensity and management practices were used to study the localized effects of forest-to-agriculture conversion. The study offers essential insights into soil health by establishing the interrelations between the physicochemical properties of soil (pH, organic matter, nitrogen, phosphorus, potassium, EC, and cadmium content). It provides suggestions on ameliorating soil health by the appropriate use of land. This study aimed to characterize forest-harvest soils from two diverse agricultural systems for potential comparison with soils from natural forest systems.</w:t>
      </w:r>
    </w:p>
    <w:p w14:paraId="323134F4"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In this study, the forest and agricultural soils of the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were examined and compared for some soil characteristics. We analyzed soil pH, electrical conductivity (EC), organic matter (OM), total nitrogen (TN), available </w:t>
      </w:r>
      <w:r w:rsidRPr="000E2C0C">
        <w:rPr>
          <w:rFonts w:ascii="Times New Roman" w:eastAsia="Times New Roman" w:hAnsi="Times New Roman" w:cs="Times New Roman"/>
          <w:color w:val="000000" w:themeColor="text1"/>
          <w:kern w:val="0"/>
          <w:sz w:val="24"/>
          <w:szCs w:val="24"/>
          <w14:ligatures w14:val="none"/>
        </w:rPr>
        <w:lastRenderedPageBreak/>
        <w:t>phosphorus (P), exchangeable potassium (K), available sulfur (S), and cadmium (Cd) to evaluate how different land uses affect soil quality. This is an important comparison for understanding how sustainable and beneficial land use practices may be in the long term, including impacts on soil health.</w:t>
      </w:r>
    </w:p>
    <w:p w14:paraId="24C93F4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Thus, the present study's purpose was to compare the physical and chemical properties of forest soils and agricultural soils from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and investigate agricultural practices response to influencing soil nutrient availability and contaminants (cadmium) in the soils of the area, which should eventually assist in formulating realistic proposals of soil health enhancing sustainable practices in this region.</w:t>
      </w:r>
    </w:p>
    <w:p w14:paraId="578D109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59C302A4"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Materials and Methods</w:t>
      </w:r>
    </w:p>
    <w:p w14:paraId="294942D8"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Study Area</w:t>
      </w:r>
    </w:p>
    <w:p w14:paraId="7A961635"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are two national forests in the Dinajpur district. These forests are located in an agricultural matrix, enabling comparison of forest and agricultural soil properties.</w:t>
      </w:r>
    </w:p>
    <w:p w14:paraId="6ADEE2DE"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Soil Sampling</w:t>
      </w:r>
    </w:p>
    <w:p w14:paraId="03B242FB"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samples were taken from forest soils (FS) and neighboring agricultural soils (AS). Ten sampling spots were allocated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whereas five were allowed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Soil was collected from each site at 0—15 cm depth. The specimens were carried to the laboratory in clean containers for analysis under precise conditions. Sampling sites were selected to contrast soil types typical of forest and agricultural land.</w:t>
      </w:r>
    </w:p>
    <w:p w14:paraId="68C0530D"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Soil Properties Analysis</w:t>
      </w:r>
    </w:p>
    <w:p w14:paraId="353EF89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pH was measured using a digital pH meter in a 1:2.5 soil-water suspension. Soil electrical conductivity (EC) was measured with an EC meter </w:t>
      </w:r>
      <w:r w:rsidR="00795B74" w:rsidRPr="000E2C0C">
        <w:rPr>
          <w:rFonts w:ascii="Times New Roman" w:eastAsia="Times New Roman" w:hAnsi="Times New Roman" w:cs="Times New Roman"/>
          <w:color w:val="000000" w:themeColor="text1"/>
          <w:kern w:val="0"/>
          <w:sz w:val="24"/>
          <w:szCs w:val="24"/>
          <w14:ligatures w14:val="none"/>
        </w:rPr>
        <w:t xml:space="preserve">in a 1:5 soil-water </w:t>
      </w:r>
      <w:r w:rsidR="00795B74" w:rsidRPr="000E2C0C">
        <w:rPr>
          <w:rFonts w:ascii="Times New Roman" w:eastAsia="Times New Roman" w:hAnsi="Times New Roman" w:cs="Times New Roman"/>
          <w:color w:val="000000" w:themeColor="text1"/>
          <w:kern w:val="0"/>
          <w:sz w:val="24"/>
          <w:szCs w:val="24"/>
          <w14:ligatures w14:val="none"/>
        </w:rPr>
        <w:lastRenderedPageBreak/>
        <w:t xml:space="preserve">suspension. </w:t>
      </w:r>
      <w:r w:rsidRPr="000E2C0C">
        <w:rPr>
          <w:rFonts w:ascii="Times New Roman" w:eastAsia="Times New Roman" w:hAnsi="Times New Roman" w:cs="Times New Roman"/>
          <w:color w:val="000000" w:themeColor="text1"/>
          <w:kern w:val="0"/>
          <w:sz w:val="24"/>
          <w:szCs w:val="24"/>
          <w14:ligatures w14:val="none"/>
        </w:rPr>
        <w:t>Soil organic matter (OM) was quantified as described by Walkley-Black</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(Walkley &amp; Black, 1934). Total nitrogen (TN)</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was determined using the Kjeldahl method (Bremner, 1996). Available phosphorus (P) was extracted using the Bray-1 method (Bray &amp; Kurtz 1945) and analyzed spectrophotometrically. Exchangeable potassium was extracted with NH</w:t>
      </w:r>
      <w:r w:rsidRPr="000E2C0C">
        <w:rPr>
          <w:rFonts w:ascii="Times New Roman" w:eastAsia="Times New Roman" w:hAnsi="Times New Roman" w:cs="Times New Roman"/>
          <w:color w:val="000000" w:themeColor="text1"/>
          <w:kern w:val="0"/>
          <w:sz w:val="24"/>
          <w:szCs w:val="24"/>
          <w:vertAlign w:val="subscript"/>
          <w14:ligatures w14:val="none"/>
        </w:rPr>
        <w:t>4</w:t>
      </w:r>
      <w:r w:rsidRPr="000E2C0C">
        <w:rPr>
          <w:rFonts w:ascii="Times New Roman" w:eastAsia="Times New Roman" w:hAnsi="Times New Roman" w:cs="Times New Roman"/>
          <w:color w:val="000000" w:themeColor="text1"/>
          <w:kern w:val="0"/>
          <w:sz w:val="24"/>
          <w:szCs w:val="24"/>
          <w14:ligatures w14:val="none"/>
        </w:rPr>
        <w:t>-Acetate and was determined using a flame photometer (</w:t>
      </w:r>
      <w:r w:rsidR="00B32D65" w:rsidRPr="000E2C0C">
        <w:rPr>
          <w:rFonts w:ascii="Times New Roman" w:hAnsi="Times New Roman" w:cs="Times New Roman"/>
          <w:color w:val="000000" w:themeColor="text1"/>
          <w:sz w:val="24"/>
          <w:szCs w:val="24"/>
        </w:rPr>
        <w:t>Jackson 1973</w:t>
      </w:r>
      <w:r w:rsidRPr="000E2C0C">
        <w:rPr>
          <w:rFonts w:ascii="Times New Roman" w:eastAsia="Times New Roman" w:hAnsi="Times New Roman" w:cs="Times New Roman"/>
          <w:color w:val="000000" w:themeColor="text1"/>
          <w:kern w:val="0"/>
          <w:sz w:val="24"/>
          <w:szCs w:val="24"/>
          <w14:ligatures w14:val="none"/>
        </w:rPr>
        <w:t xml:space="preserve">). </w:t>
      </w:r>
      <w:r w:rsidR="00795B74" w:rsidRPr="000E2C0C">
        <w:rPr>
          <w:rFonts w:ascii="Times New Roman" w:eastAsia="Times New Roman" w:hAnsi="Times New Roman" w:cs="Times New Roman"/>
          <w:color w:val="000000" w:themeColor="text1"/>
          <w:kern w:val="0"/>
          <w:sz w:val="24"/>
          <w:szCs w:val="24"/>
          <w14:ligatures w14:val="none"/>
        </w:rPr>
        <w:t xml:space="preserve">Available sulfur was extracted using a 0.15% </w:t>
      </w:r>
      <w:r w:rsidRPr="000E2C0C">
        <w:rPr>
          <w:rFonts w:ascii="Times New Roman" w:eastAsia="Times New Roman" w:hAnsi="Times New Roman" w:cs="Times New Roman"/>
          <w:color w:val="000000" w:themeColor="text1"/>
          <w:kern w:val="0"/>
          <w:sz w:val="24"/>
          <w:szCs w:val="24"/>
          <w14:ligatures w14:val="none"/>
        </w:rPr>
        <w:t>CaCl</w:t>
      </w:r>
      <w:r w:rsidRPr="000E2C0C">
        <w:rPr>
          <w:rFonts w:ascii="Times New Roman" w:eastAsia="Times New Roman" w:hAnsi="Times New Roman" w:cs="Times New Roman"/>
          <w:color w:val="000000" w:themeColor="text1"/>
          <w:kern w:val="0"/>
          <w:sz w:val="24"/>
          <w:szCs w:val="24"/>
          <w:vertAlign w:val="subscript"/>
          <w14:ligatures w14:val="none"/>
        </w:rPr>
        <w:t>2</w:t>
      </w:r>
      <w:r w:rsidRPr="000E2C0C">
        <w:rPr>
          <w:rFonts w:ascii="Times New Roman" w:eastAsia="Times New Roman" w:hAnsi="Times New Roman" w:cs="Times New Roman"/>
          <w:color w:val="000000" w:themeColor="text1"/>
          <w:kern w:val="0"/>
          <w:sz w:val="24"/>
          <w:szCs w:val="24"/>
          <w14:ligatures w14:val="none"/>
        </w:rPr>
        <w:t xml:space="preserve"> solution and was determined by the turbidimetric method (</w:t>
      </w:r>
      <w:r w:rsidR="00B32D65" w:rsidRPr="000E2C0C">
        <w:rPr>
          <w:rFonts w:ascii="Times New Roman" w:eastAsia="Times New Roman" w:hAnsi="Times New Roman" w:cs="Times New Roman"/>
          <w:color w:val="000000" w:themeColor="text1"/>
          <w:kern w:val="0"/>
          <w:sz w:val="24"/>
          <w:szCs w:val="24"/>
          <w14:ligatures w14:val="none"/>
        </w:rPr>
        <w:t>Fox et al., 1964</w:t>
      </w:r>
      <w:r w:rsidRPr="000E2C0C">
        <w:rPr>
          <w:rFonts w:ascii="Times New Roman" w:eastAsia="Times New Roman" w:hAnsi="Times New Roman" w:cs="Times New Roman"/>
          <w:color w:val="000000" w:themeColor="text1"/>
          <w:kern w:val="0"/>
          <w:sz w:val="24"/>
          <w:szCs w:val="24"/>
          <w14:ligatures w14:val="none"/>
        </w:rPr>
        <w:t>). Cadmium (Cd) content was measured using atomic absorption spectrophotometry (AAS) (Khan et al. 2009).</w:t>
      </w:r>
    </w:p>
    <w:p w14:paraId="4BD34452"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Statistical Analysis</w:t>
      </w:r>
    </w:p>
    <w:p w14:paraId="02F0CF9D"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Statistical data analysis was calculated using a t-test on the differences between forest and agricultural soils. Data are presented as mean Â± standard error of the mean (SEM), and p&lt;0.05 was considered statistically significant.</w:t>
      </w:r>
    </w:p>
    <w:p w14:paraId="6B597AFF"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62D074FC"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Results and Discussion</w:t>
      </w:r>
    </w:p>
    <w:p w14:paraId="7224CB20" w14:textId="77777777" w:rsidR="00823927" w:rsidRPr="00823927"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pH</w:t>
      </w:r>
    </w:p>
    <w:p w14:paraId="089173D4" w14:textId="77777777" w:rsidR="00967E77" w:rsidRPr="000E2C0C" w:rsidRDefault="001351A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The average soil pH of the forest soil was 4.11 (in forest soil) and 4.53 (in agricultural soil)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whereas 3.97 (in forest soil) and 4.39 (in agricultural soil)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1A). </w:t>
      </w:r>
      <w:r w:rsidR="00565B40">
        <w:rPr>
          <w:rFonts w:ascii="Times New Roman" w:eastAsia="Times New Roman" w:hAnsi="Times New Roman" w:cs="Times New Roman"/>
          <w:kern w:val="0"/>
          <w:sz w:val="24"/>
          <w:szCs w:val="24"/>
          <w14:ligatures w14:val="none"/>
        </w:rPr>
        <w:t xml:space="preserve">Both the forest soils and agricultural soils were found very acidic in both the locations. The increase of pH in agricultural soil than forest soils indicates a long term might be due to application of lime </w:t>
      </w:r>
      <w:r w:rsidR="00565B40" w:rsidRPr="00707AC4">
        <w:rPr>
          <w:rFonts w:ascii="Times New Roman" w:eastAsia="Times New Roman" w:hAnsi="Times New Roman" w:cs="Times New Roman"/>
          <w:kern w:val="0"/>
          <w:sz w:val="24"/>
          <w:szCs w:val="24"/>
          <w14:ligatures w14:val="none"/>
        </w:rPr>
        <w:t>with consequences on soil and crop productivity</w:t>
      </w:r>
      <w:r w:rsidR="00565B40">
        <w:rPr>
          <w:rFonts w:ascii="Times New Roman" w:eastAsia="Times New Roman" w:hAnsi="Times New Roman" w:cs="Times New Roman"/>
          <w:kern w:val="0"/>
          <w:sz w:val="24"/>
          <w:szCs w:val="24"/>
          <w14:ligatures w14:val="none"/>
        </w:rPr>
        <w:t xml:space="preserve"> </w:t>
      </w:r>
      <w:r w:rsidR="00707AC4" w:rsidRPr="000E2C0C">
        <w:rPr>
          <w:rFonts w:ascii="Times New Roman" w:eastAsia="Times New Roman" w:hAnsi="Times New Roman" w:cs="Times New Roman"/>
          <w:color w:val="000000" w:themeColor="text1"/>
          <w:kern w:val="0"/>
          <w:sz w:val="24"/>
          <w:szCs w:val="24"/>
          <w14:ligatures w14:val="none"/>
        </w:rPr>
        <w:t>(Khan et al., 2006</w:t>
      </w:r>
      <w:r w:rsidR="00967E77" w:rsidRPr="000E2C0C">
        <w:rPr>
          <w:rFonts w:ascii="Times New Roman" w:eastAsia="Times New Roman" w:hAnsi="Times New Roman" w:cs="Times New Roman"/>
          <w:color w:val="000000" w:themeColor="text1"/>
          <w:kern w:val="0"/>
          <w:sz w:val="24"/>
          <w:szCs w:val="24"/>
          <w14:ligatures w14:val="none"/>
        </w:rPr>
        <w:t>).</w:t>
      </w:r>
    </w:p>
    <w:p w14:paraId="4F154064"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7D5414E4" w14:textId="77777777" w:rsidR="00967E77" w:rsidRDefault="006E7DB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lastRenderedPageBreak/>
        <w:drawing>
          <wp:anchor distT="0" distB="0" distL="114300" distR="114300" simplePos="0" relativeHeight="251658240" behindDoc="1" locked="0" layoutInCell="1" allowOverlap="1" wp14:anchorId="32906E16" wp14:editId="27AE332A">
            <wp:simplePos x="0" y="0"/>
            <wp:positionH relativeFrom="column">
              <wp:posOffset>2861310</wp:posOffset>
            </wp:positionH>
            <wp:positionV relativeFrom="paragraph">
              <wp:posOffset>-17780</wp:posOffset>
            </wp:positionV>
            <wp:extent cx="2631440" cy="3078480"/>
            <wp:effectExtent l="0" t="0" r="0" b="7620"/>
            <wp:wrapThrough wrapText="bothSides">
              <wp:wrapPolygon edited="0">
                <wp:start x="2502" y="0"/>
                <wp:lineTo x="313" y="2139"/>
                <wp:lineTo x="469" y="9223"/>
                <wp:lineTo x="2189" y="10426"/>
                <wp:lineTo x="3753" y="10960"/>
                <wp:lineTo x="938" y="11094"/>
                <wp:lineTo x="156" y="11495"/>
                <wp:lineTo x="313" y="18446"/>
                <wp:lineTo x="1720" y="19515"/>
                <wp:lineTo x="2971" y="19515"/>
                <wp:lineTo x="3753" y="21520"/>
                <wp:lineTo x="21110" y="21520"/>
                <wp:lineTo x="21423" y="401"/>
                <wp:lineTo x="20172" y="267"/>
                <wp:lineTo x="3909" y="0"/>
                <wp:lineTo x="2502"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440" cy="3078480"/>
                    </a:xfrm>
                    <a:prstGeom prst="rect">
                      <a:avLst/>
                    </a:prstGeom>
                  </pic:spPr>
                </pic:pic>
              </a:graphicData>
            </a:graphic>
            <wp14:sizeRelH relativeFrom="page">
              <wp14:pctWidth>0</wp14:pctWidth>
            </wp14:sizeRelH>
            <wp14:sizeRelV relativeFrom="page">
              <wp14:pctHeight>0</wp14:pctHeight>
            </wp14:sizeRelV>
          </wp:anchor>
        </w:drawing>
      </w:r>
      <w:r w:rsidR="00967E77">
        <w:rPr>
          <w:rFonts w:ascii="Times New Roman" w:eastAsia="Times New Roman" w:hAnsi="Times New Roman" w:cs="Times New Roman"/>
          <w:noProof/>
          <w:kern w:val="0"/>
          <w:sz w:val="24"/>
          <w:szCs w:val="24"/>
        </w:rPr>
        <w:drawing>
          <wp:inline distT="0" distB="0" distL="0" distR="0" wp14:anchorId="3813FADE" wp14:editId="718BEBB0">
            <wp:extent cx="2685326" cy="31598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0">
                      <a:extLst>
                        <a:ext uri="{28A0092B-C50C-407E-A947-70E740481C1C}">
                          <a14:useLocalDpi xmlns:a14="http://schemas.microsoft.com/office/drawing/2010/main" val="0"/>
                        </a:ext>
                      </a:extLst>
                    </a:blip>
                    <a:stretch>
                      <a:fillRect/>
                    </a:stretch>
                  </pic:blipFill>
                  <pic:spPr>
                    <a:xfrm>
                      <a:off x="0" y="0"/>
                      <a:ext cx="2685666" cy="316029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6E7DBB" w14:paraId="275DD16C" w14:textId="77777777" w:rsidTr="006E7DBB">
        <w:tc>
          <w:tcPr>
            <w:tcW w:w="4441" w:type="dxa"/>
          </w:tcPr>
          <w:p w14:paraId="1DB2637E" w14:textId="77777777" w:rsidR="006E7DBB" w:rsidRDefault="006E7DBB" w:rsidP="006E7DBB">
            <w:pPr>
              <w:ind w:right="265"/>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1. Soil pH (A) and electrical conductivity (EC) (B) of forest soils (FS) and adjacent agricultural soils (AS) from </w:t>
            </w:r>
            <w:proofErr w:type="spell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xml:space="preserve">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w:t>
            </w:r>
            <w:proofErr w:type="gramStart"/>
            <w:r w:rsidRPr="006E7DBB">
              <w:rPr>
                <w:rFonts w:ascii="Times New Roman" w:eastAsia="Times New Roman" w:hAnsi="Times New Roman" w:cs="Times New Roman"/>
                <w:kern w:val="0"/>
                <w:sz w:val="24"/>
                <w:szCs w:val="24"/>
                <w14:ligatures w14:val="none"/>
              </w:rPr>
              <w:t>indicates</w:t>
            </w:r>
            <w:proofErr w:type="gramEnd"/>
            <w:r w:rsidRPr="006E7DBB">
              <w:rPr>
                <w:rFonts w:ascii="Times New Roman" w:eastAsia="Times New Roman" w:hAnsi="Times New Roman" w:cs="Times New Roman"/>
                <w:kern w:val="0"/>
                <w:sz w:val="24"/>
                <w:szCs w:val="24"/>
                <w14:ligatures w14:val="none"/>
              </w:rPr>
              <w:t xml:space="preserve"> mean ± standard error. For </w:t>
            </w:r>
            <w:proofErr w:type="spellStart"/>
            <w:proofErr w:type="gram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data</w:t>
            </w:r>
            <w:proofErr w:type="gramEnd"/>
            <w:r w:rsidRPr="006E7DBB">
              <w:rPr>
                <w:rFonts w:ascii="Times New Roman" w:eastAsia="Times New Roman" w:hAnsi="Times New Roman" w:cs="Times New Roman"/>
                <w:kern w:val="0"/>
                <w:sz w:val="24"/>
                <w:szCs w:val="24"/>
                <w14:ligatures w14:val="none"/>
              </w:rPr>
              <w:t xml:space="preserve">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Bars </w:t>
            </w:r>
            <w:proofErr w:type="gramStart"/>
            <w:r w:rsidRPr="006E7DBB">
              <w:rPr>
                <w:rFonts w:ascii="Times New Roman" w:eastAsia="Times New Roman" w:hAnsi="Times New Roman" w:cs="Times New Roman"/>
                <w:kern w:val="0"/>
                <w:sz w:val="24"/>
                <w:szCs w:val="24"/>
                <w14:ligatures w14:val="none"/>
              </w:rPr>
              <w:t>indicates</w:t>
            </w:r>
            <w:proofErr w:type="gramEnd"/>
            <w:r w:rsidRPr="006E7DBB">
              <w:rPr>
                <w:rFonts w:ascii="Times New Roman" w:eastAsia="Times New Roman" w:hAnsi="Times New Roman" w:cs="Times New Roman"/>
                <w:kern w:val="0"/>
                <w:sz w:val="24"/>
                <w:szCs w:val="24"/>
                <w14:ligatures w14:val="none"/>
              </w:rPr>
              <w:t xml:space="preserve"> mean ± standard error. </w:t>
            </w:r>
            <w:r w:rsidRPr="006E7DBB">
              <w:rPr>
                <w:rFonts w:ascii="Times New Roman" w:eastAsia="Times New Roman" w:hAnsi="Times New Roman" w:cs="Times New Roman"/>
                <w:kern w:val="0"/>
                <w:sz w:val="24"/>
                <w:szCs w:val="24"/>
                <w:lang w:val="en-GB"/>
                <w14:ligatures w14:val="none"/>
              </w:rPr>
              <w:t>Means with different letters indicate significant differences at the P≤0.05 level according to Tukey's HSD test.</w:t>
            </w:r>
          </w:p>
        </w:tc>
        <w:tc>
          <w:tcPr>
            <w:tcW w:w="4441" w:type="dxa"/>
          </w:tcPr>
          <w:p w14:paraId="5F9FAB91" w14:textId="77777777" w:rsidR="006E7DBB" w:rsidRPr="006E7DBB" w:rsidRDefault="006E7DBB" w:rsidP="006E7DBB">
            <w:pPr>
              <w:ind w:left="149"/>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2. Soil organic matter (OM) (A) and total nitrogen (TN) (B) of forest soils (FS) and adjacent agricultural soils (AS) from </w:t>
            </w:r>
            <w:proofErr w:type="spell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xml:space="preserve">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w:t>
            </w:r>
            <w:proofErr w:type="gramStart"/>
            <w:r w:rsidRPr="006E7DBB">
              <w:rPr>
                <w:rFonts w:ascii="Times New Roman" w:eastAsia="Times New Roman" w:hAnsi="Times New Roman" w:cs="Times New Roman"/>
                <w:kern w:val="0"/>
                <w:sz w:val="24"/>
                <w:szCs w:val="24"/>
                <w14:ligatures w14:val="none"/>
              </w:rPr>
              <w:t>indicates</w:t>
            </w:r>
            <w:proofErr w:type="gramEnd"/>
            <w:r w:rsidRPr="006E7DBB">
              <w:rPr>
                <w:rFonts w:ascii="Times New Roman" w:eastAsia="Times New Roman" w:hAnsi="Times New Roman" w:cs="Times New Roman"/>
                <w:kern w:val="0"/>
                <w:sz w:val="24"/>
                <w:szCs w:val="24"/>
                <w14:ligatures w14:val="none"/>
              </w:rPr>
              <w:t xml:space="preserve"> mean ± standard error. For </w:t>
            </w:r>
            <w:proofErr w:type="spellStart"/>
            <w:proofErr w:type="gram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data</w:t>
            </w:r>
            <w:proofErr w:type="gramEnd"/>
            <w:r w:rsidRPr="006E7DBB">
              <w:rPr>
                <w:rFonts w:ascii="Times New Roman" w:eastAsia="Times New Roman" w:hAnsi="Times New Roman" w:cs="Times New Roman"/>
                <w:kern w:val="0"/>
                <w:sz w:val="24"/>
                <w:szCs w:val="24"/>
                <w14:ligatures w14:val="none"/>
              </w:rPr>
              <w:t xml:space="preserve">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w:t>
            </w:r>
            <w:r w:rsidRPr="006E7DBB">
              <w:rPr>
                <w:rFonts w:ascii="Times New Roman" w:eastAsia="Times New Roman" w:hAnsi="Times New Roman" w:cs="Times New Roman"/>
                <w:kern w:val="0"/>
                <w:sz w:val="24"/>
                <w:szCs w:val="24"/>
                <w:lang w:val="en-GB"/>
                <w14:ligatures w14:val="none"/>
              </w:rPr>
              <w:t>Means with different letters indicate significant differences at the P≤0.05 level according to Tukey's HSD test.</w:t>
            </w:r>
          </w:p>
          <w:p w14:paraId="0B85CEDE" w14:textId="77777777" w:rsidR="006E7DBB" w:rsidRDefault="006E7DBB" w:rsidP="006E7DBB">
            <w:pPr>
              <w:jc w:val="both"/>
              <w:rPr>
                <w:rFonts w:ascii="Times New Roman" w:eastAsia="Times New Roman" w:hAnsi="Times New Roman" w:cs="Times New Roman"/>
                <w:kern w:val="0"/>
                <w:sz w:val="24"/>
                <w:szCs w:val="24"/>
                <w14:ligatures w14:val="none"/>
              </w:rPr>
            </w:pPr>
          </w:p>
        </w:tc>
      </w:tr>
    </w:tbl>
    <w:p w14:paraId="5537ED9B"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5DA33730" w14:textId="77777777" w:rsidR="00823927" w:rsidRPr="00823927" w:rsidRDefault="00823927"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electrical conductivity (EC)</w:t>
      </w:r>
    </w:p>
    <w:p w14:paraId="59890B25" w14:textId="77777777" w:rsidR="00707AC4" w:rsidRPr="000E2C0C" w:rsidRDefault="00F06F9C"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Soil EC was </w:t>
      </w:r>
      <w:r w:rsidR="0097094B">
        <w:rPr>
          <w:rFonts w:ascii="Times New Roman" w:eastAsia="Times New Roman" w:hAnsi="Times New Roman" w:cs="Times New Roman"/>
          <w:kern w:val="0"/>
          <w:sz w:val="24"/>
          <w:szCs w:val="24"/>
          <w14:ligatures w14:val="none"/>
        </w:rPr>
        <w:t>0.178 mS S</w:t>
      </w:r>
      <w:r w:rsidR="0097094B" w:rsidRPr="0097094B">
        <w:rPr>
          <w:rFonts w:ascii="Times New Roman" w:eastAsia="Times New Roman" w:hAnsi="Times New Roman" w:cs="Times New Roman"/>
          <w:kern w:val="0"/>
          <w:sz w:val="24"/>
          <w:szCs w:val="24"/>
          <w:vertAlign w:val="superscript"/>
          <w14:ligatures w14:val="none"/>
        </w:rPr>
        <w:t>-1</w:t>
      </w:r>
      <w:r w:rsidR="0097094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for </w:t>
      </w:r>
      <w:r w:rsidR="0097094B">
        <w:rPr>
          <w:rFonts w:ascii="Times New Roman" w:eastAsia="Times New Roman" w:hAnsi="Times New Roman" w:cs="Times New Roman"/>
          <w:kern w:val="0"/>
          <w:sz w:val="24"/>
          <w:szCs w:val="24"/>
          <w14:ligatures w14:val="none"/>
        </w:rPr>
        <w:t xml:space="preserve">forest </w:t>
      </w:r>
      <w:r>
        <w:rPr>
          <w:rFonts w:ascii="Times New Roman" w:eastAsia="Times New Roman" w:hAnsi="Times New Roman" w:cs="Times New Roman"/>
          <w:kern w:val="0"/>
          <w:sz w:val="24"/>
          <w:szCs w:val="24"/>
          <w14:ligatures w14:val="none"/>
        </w:rPr>
        <w:t xml:space="preserve">soils and was </w:t>
      </w:r>
      <w:r w:rsidR="0097094B">
        <w:rPr>
          <w:rFonts w:ascii="Times New Roman" w:eastAsia="Times New Roman" w:hAnsi="Times New Roman" w:cs="Times New Roman"/>
          <w:kern w:val="0"/>
          <w:sz w:val="24"/>
          <w:szCs w:val="24"/>
          <w14:ligatures w14:val="none"/>
        </w:rPr>
        <w:t>0.277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whereas EC was </w:t>
      </w:r>
      <w:r w:rsidR="0097094B">
        <w:rPr>
          <w:rFonts w:ascii="Times New Roman" w:eastAsia="Times New Roman" w:hAnsi="Times New Roman" w:cs="Times New Roman"/>
          <w:kern w:val="0"/>
          <w:sz w:val="24"/>
          <w:szCs w:val="24"/>
          <w14:ligatures w14:val="none"/>
        </w:rPr>
        <w:t>0.123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forest</w:t>
      </w:r>
      <w:r>
        <w:rPr>
          <w:rFonts w:ascii="Times New Roman" w:eastAsia="Times New Roman" w:hAnsi="Times New Roman" w:cs="Times New Roman"/>
          <w:kern w:val="0"/>
          <w:sz w:val="24"/>
          <w:szCs w:val="24"/>
          <w14:ligatures w14:val="none"/>
        </w:rPr>
        <w:t xml:space="preserve"> soils and was </w:t>
      </w:r>
      <w:r w:rsidR="0097094B">
        <w:rPr>
          <w:rFonts w:ascii="Times New Roman" w:eastAsia="Times New Roman" w:hAnsi="Times New Roman" w:cs="Times New Roman"/>
          <w:kern w:val="0"/>
          <w:sz w:val="24"/>
          <w:szCs w:val="24"/>
          <w14:ligatures w14:val="none"/>
        </w:rPr>
        <w:t>0.213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1B). Soil EC was significantly higher in agricultural soils than that of forest soils in both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It was also evident that EC of </w:t>
      </w:r>
      <w:proofErr w:type="spellStart"/>
      <w:r w:rsidR="0097094B">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soils was slightly higher for both forest soils and agricultural soils. </w:t>
      </w:r>
      <w:r w:rsidR="00707AC4" w:rsidRPr="00707AC4">
        <w:rPr>
          <w:rFonts w:ascii="Times New Roman" w:eastAsia="Times New Roman" w:hAnsi="Times New Roman" w:cs="Times New Roman"/>
          <w:kern w:val="0"/>
          <w:sz w:val="24"/>
          <w:szCs w:val="24"/>
          <w14:ligatures w14:val="none"/>
        </w:rPr>
        <w:t>The increasing level of EC is likely to be associated with the overuse of fertilizers in agriculture that has led to a rise in</w:t>
      </w:r>
      <w:r w:rsidR="000F15E2">
        <w:rPr>
          <w:rFonts w:ascii="Times New Roman" w:eastAsia="Times New Roman" w:hAnsi="Times New Roman" w:cs="Times New Roman"/>
          <w:kern w:val="0"/>
          <w:sz w:val="24"/>
          <w:szCs w:val="24"/>
          <w14:ligatures w14:val="none"/>
        </w:rPr>
        <w:t xml:space="preserve"> concentrations of various ions</w:t>
      </w:r>
      <w:r w:rsidR="00707AC4" w:rsidRPr="00707AC4">
        <w:rPr>
          <w:rFonts w:ascii="Times New Roman" w:eastAsia="Times New Roman" w:hAnsi="Times New Roman" w:cs="Times New Roman"/>
          <w:kern w:val="0"/>
          <w:sz w:val="24"/>
          <w:szCs w:val="24"/>
          <w14:ligatures w14:val="none"/>
        </w:rPr>
        <w:t xml:space="preserve">. Different agricultural </w:t>
      </w:r>
      <w:r w:rsidR="00707AC4" w:rsidRPr="00707AC4">
        <w:rPr>
          <w:rFonts w:ascii="Times New Roman" w:eastAsia="Times New Roman" w:hAnsi="Times New Roman" w:cs="Times New Roman"/>
          <w:kern w:val="0"/>
          <w:sz w:val="24"/>
          <w:szCs w:val="24"/>
          <w14:ligatures w14:val="none"/>
        </w:rPr>
        <w:lastRenderedPageBreak/>
        <w:t xml:space="preserve">practices, including chemical fertilizers and irrigation practices, have increased salinity </w:t>
      </w:r>
      <w:r w:rsidR="00707AC4" w:rsidRPr="000E2C0C">
        <w:rPr>
          <w:rFonts w:ascii="Times New Roman" w:eastAsia="Times New Roman" w:hAnsi="Times New Roman" w:cs="Times New Roman"/>
          <w:color w:val="000000" w:themeColor="text1"/>
          <w:kern w:val="0"/>
          <w:sz w:val="24"/>
          <w:szCs w:val="24"/>
          <w14:ligatures w14:val="none"/>
        </w:rPr>
        <w:t>and EC, which has an indefinite effect on soil structure and growth (Khan et al., 2011).</w:t>
      </w:r>
    </w:p>
    <w:p w14:paraId="797D7B0E" w14:textId="77777777" w:rsidR="00707AC4" w:rsidRPr="00823927" w:rsidRDefault="001B04FE"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O</w:t>
      </w:r>
      <w:r w:rsidR="00707AC4" w:rsidRPr="00823927">
        <w:rPr>
          <w:rFonts w:ascii="Times New Roman" w:eastAsia="Times New Roman" w:hAnsi="Times New Roman" w:cs="Times New Roman"/>
          <w:i/>
          <w:kern w:val="0"/>
          <w:sz w:val="24"/>
          <w:szCs w:val="24"/>
          <w14:ligatures w14:val="none"/>
        </w:rPr>
        <w:t xml:space="preserve">rganic </w:t>
      </w:r>
      <w:r w:rsidRPr="00823927">
        <w:rPr>
          <w:rFonts w:ascii="Times New Roman" w:eastAsia="Times New Roman" w:hAnsi="Times New Roman" w:cs="Times New Roman"/>
          <w:i/>
          <w:kern w:val="0"/>
          <w:sz w:val="24"/>
          <w:szCs w:val="24"/>
          <w14:ligatures w14:val="none"/>
        </w:rPr>
        <w:t>Matter</w:t>
      </w:r>
      <w:r w:rsidR="00765B41" w:rsidRPr="00823927">
        <w:rPr>
          <w:rFonts w:ascii="Times New Roman" w:eastAsia="Times New Roman" w:hAnsi="Times New Roman" w:cs="Times New Roman"/>
          <w:i/>
          <w:kern w:val="0"/>
          <w:sz w:val="24"/>
          <w:szCs w:val="24"/>
          <w14:ligatures w14:val="none"/>
        </w:rPr>
        <w:t xml:space="preserve"> </w:t>
      </w:r>
      <w:r w:rsidRPr="00823927">
        <w:rPr>
          <w:rFonts w:ascii="Times New Roman" w:eastAsia="Times New Roman" w:hAnsi="Times New Roman" w:cs="Times New Roman"/>
          <w:i/>
          <w:kern w:val="0"/>
          <w:sz w:val="24"/>
          <w:szCs w:val="24"/>
          <w14:ligatures w14:val="none"/>
        </w:rPr>
        <w:t>(OM) and T</w:t>
      </w:r>
      <w:r w:rsidR="00707AC4" w:rsidRPr="00823927">
        <w:rPr>
          <w:rFonts w:ascii="Times New Roman" w:eastAsia="Times New Roman" w:hAnsi="Times New Roman" w:cs="Times New Roman"/>
          <w:i/>
          <w:kern w:val="0"/>
          <w:sz w:val="24"/>
          <w:szCs w:val="24"/>
          <w14:ligatures w14:val="none"/>
        </w:rPr>
        <w:t xml:space="preserve">otal </w:t>
      </w:r>
      <w:r w:rsidRPr="00823927">
        <w:rPr>
          <w:rFonts w:ascii="Times New Roman" w:eastAsia="Times New Roman" w:hAnsi="Times New Roman" w:cs="Times New Roman"/>
          <w:i/>
          <w:kern w:val="0"/>
          <w:sz w:val="24"/>
          <w:szCs w:val="24"/>
          <w14:ligatures w14:val="none"/>
        </w:rPr>
        <w:t>N</w:t>
      </w:r>
      <w:r w:rsidR="00707AC4" w:rsidRPr="00823927">
        <w:rPr>
          <w:rFonts w:ascii="Times New Roman" w:eastAsia="Times New Roman" w:hAnsi="Times New Roman" w:cs="Times New Roman"/>
          <w:i/>
          <w:kern w:val="0"/>
          <w:sz w:val="24"/>
          <w:szCs w:val="24"/>
          <w14:ligatures w14:val="none"/>
        </w:rPr>
        <w:t>itrogen (TN)</w:t>
      </w:r>
    </w:p>
    <w:p w14:paraId="5DE6C883" w14:textId="77777777" w:rsidR="00707AC4" w:rsidRPr="000E2C0C" w:rsidRDefault="000D166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In general, f</w:t>
      </w:r>
      <w:r w:rsidR="00707AC4" w:rsidRPr="00707AC4">
        <w:rPr>
          <w:rFonts w:ascii="Times New Roman" w:eastAsia="Times New Roman" w:hAnsi="Times New Roman" w:cs="Times New Roman"/>
          <w:kern w:val="0"/>
          <w:sz w:val="24"/>
          <w:szCs w:val="24"/>
          <w14:ligatures w14:val="none"/>
        </w:rPr>
        <w:t>orest soil had a significantly higher amount of organic matter</w:t>
      </w:r>
      <w:r>
        <w:rPr>
          <w:rFonts w:ascii="Times New Roman" w:eastAsia="Times New Roman" w:hAnsi="Times New Roman" w:cs="Times New Roman"/>
          <w:kern w:val="0"/>
          <w:sz w:val="24"/>
          <w:szCs w:val="24"/>
          <w14:ligatures w14:val="none"/>
        </w:rPr>
        <w:t xml:space="preserve"> (1.735% and 1.534%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respectively)</w:t>
      </w:r>
      <w:r w:rsidR="00707AC4" w:rsidRPr="00707AC4">
        <w:rPr>
          <w:rFonts w:ascii="Times New Roman" w:eastAsia="Times New Roman" w:hAnsi="Times New Roman" w:cs="Times New Roman"/>
          <w:kern w:val="0"/>
          <w:sz w:val="24"/>
          <w:szCs w:val="24"/>
          <w14:ligatures w14:val="none"/>
        </w:rPr>
        <w:t xml:space="preserve"> than agricultural soil </w:t>
      </w:r>
      <w:r>
        <w:rPr>
          <w:rFonts w:ascii="Times New Roman" w:eastAsia="Times New Roman" w:hAnsi="Times New Roman" w:cs="Times New Roman"/>
          <w:kern w:val="0"/>
          <w:sz w:val="24"/>
          <w:szCs w:val="24"/>
          <w14:ligatures w14:val="none"/>
        </w:rPr>
        <w:t xml:space="preserve">(1.264% and 1.122%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respectively) has been represented in Figure 2A. The OM content showed a </w:t>
      </w:r>
      <w:r w:rsidR="00332157">
        <w:rPr>
          <w:rFonts w:ascii="Times New Roman" w:eastAsia="Times New Roman" w:hAnsi="Times New Roman" w:cs="Times New Roman"/>
          <w:kern w:val="0"/>
          <w:sz w:val="24"/>
          <w:szCs w:val="24"/>
          <w14:ligatures w14:val="none"/>
        </w:rPr>
        <w:t xml:space="preserve">27.1% decrease in agricultural soils of </w:t>
      </w:r>
      <w:proofErr w:type="spellStart"/>
      <w:r>
        <w:rPr>
          <w:rFonts w:ascii="Times New Roman" w:eastAsia="Times New Roman" w:hAnsi="Times New Roman" w:cs="Times New Roman"/>
          <w:kern w:val="0"/>
          <w:sz w:val="24"/>
          <w:szCs w:val="24"/>
          <w14:ligatures w14:val="none"/>
        </w:rPr>
        <w:t>Shingra</w:t>
      </w:r>
      <w:proofErr w:type="spellEnd"/>
      <w:r w:rsidR="00332157">
        <w:rPr>
          <w:rFonts w:ascii="Times New Roman" w:eastAsia="Times New Roman" w:hAnsi="Times New Roman" w:cs="Times New Roman"/>
          <w:kern w:val="0"/>
          <w:sz w:val="24"/>
          <w:szCs w:val="24"/>
          <w14:ligatures w14:val="none"/>
        </w:rPr>
        <w:t xml:space="preserve"> forest. A similar trend was </w:t>
      </w:r>
      <w:r w:rsidR="00332157" w:rsidRPr="000E2C0C">
        <w:rPr>
          <w:rFonts w:ascii="Times New Roman" w:eastAsia="Times New Roman" w:hAnsi="Times New Roman" w:cs="Times New Roman"/>
          <w:color w:val="000000" w:themeColor="text1"/>
          <w:kern w:val="0"/>
          <w:sz w:val="24"/>
          <w:szCs w:val="24"/>
          <w14:ligatures w14:val="none"/>
        </w:rPr>
        <w:t>observed in</w:t>
      </w:r>
      <w:r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00332157" w:rsidRPr="000E2C0C">
        <w:rPr>
          <w:rFonts w:ascii="Times New Roman" w:eastAsia="Times New Roman" w:hAnsi="Times New Roman" w:cs="Times New Roman"/>
          <w:color w:val="000000" w:themeColor="text1"/>
          <w:kern w:val="0"/>
          <w:sz w:val="24"/>
          <w:szCs w:val="24"/>
          <w14:ligatures w14:val="none"/>
        </w:rPr>
        <w:t xml:space="preserve"> too where OM content was decrease 26.9% in agricultural soils than that of forest soils. </w:t>
      </w:r>
      <w:r w:rsidR="00707AC4" w:rsidRPr="000E2C0C">
        <w:rPr>
          <w:rFonts w:ascii="Times New Roman" w:eastAsia="Times New Roman" w:hAnsi="Times New Roman" w:cs="Times New Roman"/>
          <w:color w:val="000000" w:themeColor="text1"/>
          <w:kern w:val="0"/>
          <w:sz w:val="24"/>
          <w:szCs w:val="24"/>
          <w14:ligatures w14:val="none"/>
        </w:rPr>
        <w:t xml:space="preserve">Such discrepancies are consistent with previous studies identifying undisturbed forest ecosystems as significant contributors to higher organic matter </w:t>
      </w:r>
      <w:r w:rsidR="005B199E" w:rsidRPr="000E2C0C">
        <w:rPr>
          <w:rFonts w:ascii="Times New Roman" w:eastAsia="Times New Roman" w:hAnsi="Times New Roman" w:cs="Times New Roman"/>
          <w:color w:val="000000" w:themeColor="text1"/>
          <w:kern w:val="0"/>
          <w:sz w:val="24"/>
          <w:szCs w:val="24"/>
          <w14:ligatures w14:val="none"/>
        </w:rPr>
        <w:t>(</w:t>
      </w:r>
      <w:r w:rsidR="005B199E" w:rsidRPr="000E2C0C">
        <w:rPr>
          <w:rFonts w:ascii="Times New Roman" w:hAnsi="Times New Roman" w:cs="Times New Roman"/>
          <w:color w:val="000000" w:themeColor="text1"/>
          <w:sz w:val="24"/>
          <w:szCs w:val="24"/>
        </w:rPr>
        <w:t>Kadoya et al. 2022</w:t>
      </w:r>
      <w:r w:rsidR="005B199E" w:rsidRPr="000E2C0C">
        <w:rPr>
          <w:rFonts w:ascii="Times New Roman" w:eastAsia="Times New Roman" w:hAnsi="Times New Roman" w:cs="Times New Roman"/>
          <w:color w:val="000000" w:themeColor="text1"/>
          <w:kern w:val="0"/>
          <w:sz w:val="24"/>
          <w:szCs w:val="24"/>
          <w14:ligatures w14:val="none"/>
        </w:rPr>
        <w:t>)</w:t>
      </w:r>
      <w:r w:rsidR="00707AC4" w:rsidRPr="000E2C0C">
        <w:rPr>
          <w:rFonts w:ascii="Times New Roman" w:eastAsia="Times New Roman" w:hAnsi="Times New Roman" w:cs="Times New Roman"/>
          <w:color w:val="000000" w:themeColor="text1"/>
          <w:kern w:val="0"/>
          <w:sz w:val="24"/>
          <w:szCs w:val="24"/>
          <w14:ligatures w14:val="none"/>
        </w:rPr>
        <w:t>. Organic matter is key in promoting soil structure, water retention, and nutrient cycling, so soil health depends heavily on it</w:t>
      </w:r>
      <w:r w:rsidR="00332157"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(Li et al., 2024)</w:t>
      </w:r>
      <w:r w:rsidR="00707AC4" w:rsidRPr="000E2C0C">
        <w:rPr>
          <w:rFonts w:ascii="Times New Roman" w:eastAsia="Times New Roman" w:hAnsi="Times New Roman" w:cs="Times New Roman"/>
          <w:color w:val="000000" w:themeColor="text1"/>
          <w:kern w:val="0"/>
          <w:sz w:val="24"/>
          <w:szCs w:val="24"/>
          <w14:ligatures w14:val="none"/>
        </w:rPr>
        <w:t>. Due to the constant buildup of woody plant biomass in forests and leaf litter, they generally receive greater organic input, from which decomposition occurs to increase nutrient availability for soil biota (</w:t>
      </w:r>
      <w:r w:rsidR="005B199E" w:rsidRPr="000E2C0C">
        <w:rPr>
          <w:rFonts w:ascii="Times New Roman" w:hAnsi="Times New Roman" w:cs="Times New Roman"/>
          <w:color w:val="000000" w:themeColor="text1"/>
          <w:sz w:val="24"/>
          <w:szCs w:val="24"/>
        </w:rPr>
        <w:t>Kadoya et al. 2022</w:t>
      </w:r>
      <w:r w:rsidR="00707AC4" w:rsidRPr="000E2C0C">
        <w:rPr>
          <w:rFonts w:ascii="Times New Roman" w:eastAsia="Times New Roman" w:hAnsi="Times New Roman" w:cs="Times New Roman"/>
          <w:color w:val="000000" w:themeColor="text1"/>
          <w:kern w:val="0"/>
          <w:sz w:val="24"/>
          <w:szCs w:val="24"/>
          <w14:ligatures w14:val="none"/>
        </w:rPr>
        <w:t>).</w:t>
      </w:r>
    </w:p>
    <w:p w14:paraId="79A73050"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Similarly, forest soils had higher total ni</w:t>
      </w:r>
      <w:r w:rsidR="00332157" w:rsidRPr="000E2C0C">
        <w:rPr>
          <w:rFonts w:ascii="Times New Roman" w:eastAsia="Times New Roman" w:hAnsi="Times New Roman" w:cs="Times New Roman"/>
          <w:color w:val="000000" w:themeColor="text1"/>
          <w:kern w:val="0"/>
          <w:sz w:val="24"/>
          <w:szCs w:val="24"/>
          <w14:ligatures w14:val="none"/>
        </w:rPr>
        <w:t xml:space="preserve">trogen than agricultural soil. </w:t>
      </w:r>
      <w:r w:rsidRPr="000E2C0C">
        <w:rPr>
          <w:rFonts w:ascii="Times New Roman" w:eastAsia="Times New Roman" w:hAnsi="Times New Roman" w:cs="Times New Roman"/>
          <w:color w:val="000000" w:themeColor="text1"/>
          <w:kern w:val="0"/>
          <w:sz w:val="24"/>
          <w:szCs w:val="24"/>
          <w14:ligatures w14:val="none"/>
        </w:rPr>
        <w:t>In</w:t>
      </w:r>
      <w:r w:rsidR="00332157"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total nitrogen was 1.9% (forest soils) and 0.8% (agricultural soils) (Figure 2B). Nitrogen is a critical nutrient for plant growth, whereas high nitrogen contents in forest soils arise from natural biological processes such as nitrogen fixations and decomposition of organic matter. Since crops take up nitrogen for their growth, this nitrogen becomes depleted in the soil, and agricultural soils are normally nitrogen deficient (Khan &amp; Hoque, 2025) unless fertilizers are added.</w:t>
      </w:r>
    </w:p>
    <w:p w14:paraId="1DF56E64" w14:textId="77777777" w:rsidR="00707AC4" w:rsidRPr="00823927" w:rsidRDefault="00EF20F8"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P</w:t>
      </w:r>
      <w:r w:rsidR="00707AC4" w:rsidRPr="00823927">
        <w:rPr>
          <w:rFonts w:ascii="Times New Roman" w:eastAsia="Times New Roman" w:hAnsi="Times New Roman" w:cs="Times New Roman"/>
          <w:i/>
          <w:kern w:val="0"/>
          <w:sz w:val="24"/>
          <w:szCs w:val="24"/>
          <w14:ligatures w14:val="none"/>
        </w:rPr>
        <w:t xml:space="preserve">hosphorus (P), potassium (K), </w:t>
      </w:r>
      <w:r w:rsidRPr="00823927">
        <w:rPr>
          <w:rFonts w:ascii="Times New Roman" w:eastAsia="Times New Roman" w:hAnsi="Times New Roman" w:cs="Times New Roman"/>
          <w:i/>
          <w:kern w:val="0"/>
          <w:sz w:val="24"/>
          <w:szCs w:val="24"/>
          <w14:ligatures w14:val="none"/>
        </w:rPr>
        <w:t xml:space="preserve">and </w:t>
      </w:r>
      <w:r w:rsidR="00707AC4" w:rsidRPr="00823927">
        <w:rPr>
          <w:rFonts w:ascii="Times New Roman" w:eastAsia="Times New Roman" w:hAnsi="Times New Roman" w:cs="Times New Roman"/>
          <w:i/>
          <w:kern w:val="0"/>
          <w:sz w:val="24"/>
          <w:szCs w:val="24"/>
          <w14:ligatures w14:val="none"/>
        </w:rPr>
        <w:t>sulfur (S)</w:t>
      </w:r>
      <w:r w:rsidRPr="00823927">
        <w:rPr>
          <w:rFonts w:ascii="Times New Roman" w:eastAsia="Times New Roman" w:hAnsi="Times New Roman" w:cs="Times New Roman"/>
          <w:i/>
          <w:kern w:val="0"/>
          <w:sz w:val="24"/>
          <w:szCs w:val="24"/>
          <w14:ligatures w14:val="none"/>
        </w:rPr>
        <w:t xml:space="preserve"> status</w:t>
      </w:r>
      <w:r w:rsidR="00823927" w:rsidRPr="00823927">
        <w:rPr>
          <w:rFonts w:ascii="Times New Roman" w:eastAsia="Times New Roman" w:hAnsi="Times New Roman" w:cs="Times New Roman"/>
          <w:i/>
          <w:kern w:val="0"/>
          <w:sz w:val="24"/>
          <w:szCs w:val="24"/>
          <w14:ligatures w14:val="none"/>
        </w:rPr>
        <w:t xml:space="preserve"> in forest and agricultural soils</w:t>
      </w:r>
    </w:p>
    <w:p w14:paraId="6B98B995" w14:textId="77777777" w:rsidR="00EF20F8" w:rsidRDefault="005324E9" w:rsidP="00EF20F8">
      <w:pPr>
        <w:spacing w:after="0" w:line="480" w:lineRule="auto"/>
        <w:jc w:val="both"/>
        <w:rPr>
          <w:rFonts w:ascii="Times New Roman" w:hAnsi="Times New Roman" w:cs="Times New Roman"/>
          <w:sz w:val="24"/>
          <w:szCs w:val="24"/>
          <w:shd w:val="clear" w:color="auto" w:fill="FFFFFF"/>
        </w:rPr>
      </w:pPr>
      <w:r w:rsidRPr="0071286A">
        <w:rPr>
          <w:rFonts w:ascii="Times New Roman" w:hAnsi="Times New Roman" w:cs="Times New Roman"/>
          <w:sz w:val="24"/>
          <w:szCs w:val="24"/>
          <w:shd w:val="clear" w:color="auto" w:fill="FFFFFF"/>
        </w:rPr>
        <w:t xml:space="preserve">Forest soils in </w:t>
      </w:r>
      <w:proofErr w:type="spellStart"/>
      <w:r w:rsidRPr="0071286A">
        <w:rPr>
          <w:rFonts w:ascii="Times New Roman" w:hAnsi="Times New Roman" w:cs="Times New Roman"/>
          <w:sz w:val="24"/>
          <w:szCs w:val="24"/>
          <w:shd w:val="clear" w:color="auto" w:fill="FFFFFF"/>
        </w:rPr>
        <w:t>Shingra</w:t>
      </w:r>
      <w:proofErr w:type="spellEnd"/>
      <w:r w:rsidRPr="0071286A">
        <w:rPr>
          <w:rFonts w:ascii="Times New Roman" w:hAnsi="Times New Roman" w:cs="Times New Roman"/>
          <w:sz w:val="24"/>
          <w:szCs w:val="24"/>
          <w:shd w:val="clear" w:color="auto" w:fill="FFFFFF"/>
        </w:rPr>
        <w:t xml:space="preserve"> exhibited an average available phosphorus (P) concentration of 15.14 mg kg⁻¹, compared to 69.93 mg kg⁻¹ in adjacent agricultural soils. In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w:t>
      </w:r>
      <w:r w:rsidRPr="0071286A">
        <w:rPr>
          <w:rFonts w:ascii="Times New Roman" w:hAnsi="Times New Roman" w:cs="Times New Roman"/>
          <w:sz w:val="24"/>
          <w:szCs w:val="24"/>
          <w:shd w:val="clear" w:color="auto" w:fill="FFFFFF"/>
        </w:rPr>
        <w:lastRenderedPageBreak/>
        <w:t xml:space="preserve">available P concentrations were 15.51 mg kg⁻¹ (forest soils) and 50.98 mg kg⁻¹ (agricultural soils) (Figure 3A). Similarly, exchangeable potassium (K) levels in </w:t>
      </w:r>
      <w:proofErr w:type="spellStart"/>
      <w:r w:rsidRPr="0071286A">
        <w:rPr>
          <w:rFonts w:ascii="Times New Roman" w:hAnsi="Times New Roman" w:cs="Times New Roman"/>
          <w:sz w:val="24"/>
          <w:szCs w:val="24"/>
          <w:shd w:val="clear" w:color="auto" w:fill="FFFFFF"/>
        </w:rPr>
        <w:t>Shingra</w:t>
      </w:r>
      <w:proofErr w:type="spellEnd"/>
      <w:r w:rsidRPr="0071286A">
        <w:rPr>
          <w:rFonts w:ascii="Times New Roman" w:hAnsi="Times New Roman" w:cs="Times New Roman"/>
          <w:sz w:val="24"/>
          <w:szCs w:val="24"/>
          <w:shd w:val="clear" w:color="auto" w:fill="FFFFFF"/>
        </w:rPr>
        <w:t xml:space="preserve"> averaged 0.214 mg kg⁻¹ (forest soils) and 0.257 mg kg⁻¹ (agricultural soils), while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recorded 0.204 mg kg⁻¹ (forest soils) and 0.220 mg kg⁻¹ (agricultural soils) (Figure 3B). Available sulfur (S) concentrations were highest in </w:t>
      </w:r>
      <w:proofErr w:type="spellStart"/>
      <w:r w:rsidRPr="0071286A">
        <w:rPr>
          <w:rFonts w:ascii="Times New Roman" w:hAnsi="Times New Roman" w:cs="Times New Roman"/>
          <w:sz w:val="24"/>
          <w:szCs w:val="24"/>
          <w:shd w:val="clear" w:color="auto" w:fill="FFFFFF"/>
        </w:rPr>
        <w:t>Shingra’s</w:t>
      </w:r>
      <w:proofErr w:type="spellEnd"/>
      <w:r w:rsidRPr="0071286A">
        <w:rPr>
          <w:rFonts w:ascii="Times New Roman" w:hAnsi="Times New Roman" w:cs="Times New Roman"/>
          <w:sz w:val="24"/>
          <w:szCs w:val="24"/>
          <w:shd w:val="clear" w:color="auto" w:fill="FFFFFF"/>
        </w:rPr>
        <w:t xml:space="preserve"> forest soils (21.29 mg kg⁻¹) and lowest in </w:t>
      </w:r>
      <w:proofErr w:type="spellStart"/>
      <w:r w:rsidRPr="0071286A">
        <w:rPr>
          <w:rFonts w:ascii="Times New Roman" w:hAnsi="Times New Roman" w:cs="Times New Roman"/>
          <w:sz w:val="24"/>
          <w:szCs w:val="24"/>
          <w:shd w:val="clear" w:color="auto" w:fill="FFFFFF"/>
        </w:rPr>
        <w:t>Birganj’s</w:t>
      </w:r>
      <w:proofErr w:type="spellEnd"/>
      <w:r w:rsidRPr="0071286A">
        <w:rPr>
          <w:rFonts w:ascii="Times New Roman" w:hAnsi="Times New Roman" w:cs="Times New Roman"/>
          <w:sz w:val="24"/>
          <w:szCs w:val="24"/>
          <w:shd w:val="clear" w:color="auto" w:fill="FFFFFF"/>
        </w:rPr>
        <w:t xml:space="preserve"> agricultural soils (15.08 mg kg⁻¹), with intermediate values observed across other land-use categories (Figure 3C)</w:t>
      </w:r>
      <w:r w:rsidR="006E7DBB">
        <w:rPr>
          <w:rFonts w:ascii="Times New Roman" w:hAnsi="Times New Roman" w:cs="Times New Roman"/>
          <w:sz w:val="24"/>
          <w:szCs w:val="24"/>
          <w:shd w:val="clear" w:color="auto" w:fill="FFFFFF"/>
        </w:rPr>
        <w:t>.</w:t>
      </w:r>
    </w:p>
    <w:p w14:paraId="5D147F5D" w14:textId="39F09214" w:rsidR="006E7DBB" w:rsidRDefault="0058060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14:anchorId="21C348CF" wp14:editId="5D20E739">
            <wp:simplePos x="0" y="0"/>
            <wp:positionH relativeFrom="column">
              <wp:posOffset>13970</wp:posOffset>
            </wp:positionH>
            <wp:positionV relativeFrom="paragraph">
              <wp:posOffset>22860</wp:posOffset>
            </wp:positionV>
            <wp:extent cx="3430905" cy="5798820"/>
            <wp:effectExtent l="0" t="0" r="0" b="0"/>
            <wp:wrapThrough wrapText="bothSides">
              <wp:wrapPolygon edited="0">
                <wp:start x="2039" y="142"/>
                <wp:lineTo x="240" y="1419"/>
                <wp:lineTo x="360" y="4612"/>
                <wp:lineTo x="480" y="5251"/>
                <wp:lineTo x="2159" y="5961"/>
                <wp:lineTo x="3238" y="5961"/>
                <wp:lineTo x="600" y="6670"/>
                <wp:lineTo x="120" y="6883"/>
                <wp:lineTo x="240" y="13269"/>
                <wp:lineTo x="1199" y="13908"/>
                <wp:lineTo x="2039" y="13908"/>
                <wp:lineTo x="360" y="14405"/>
                <wp:lineTo x="120" y="14547"/>
                <wp:lineTo x="240" y="18449"/>
                <wp:lineTo x="3118" y="19585"/>
                <wp:lineTo x="2519" y="19585"/>
                <wp:lineTo x="2519" y="19869"/>
                <wp:lineTo x="3238" y="20720"/>
                <wp:lineTo x="3238" y="21501"/>
                <wp:lineTo x="20509" y="21501"/>
                <wp:lineTo x="20748" y="355"/>
                <wp:lineTo x="19549" y="284"/>
                <wp:lineTo x="3238" y="142"/>
                <wp:lineTo x="2039" y="142"/>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1">
                      <a:extLst>
                        <a:ext uri="{28A0092B-C50C-407E-A947-70E740481C1C}">
                          <a14:useLocalDpi xmlns:a14="http://schemas.microsoft.com/office/drawing/2010/main" val="0"/>
                        </a:ext>
                      </a:extLst>
                    </a:blip>
                    <a:stretch>
                      <a:fillRect/>
                    </a:stretch>
                  </pic:blipFill>
                  <pic:spPr>
                    <a:xfrm>
                      <a:off x="0" y="0"/>
                      <a:ext cx="3430905" cy="5798820"/>
                    </a:xfrm>
                    <a:prstGeom prst="rect">
                      <a:avLst/>
                    </a:prstGeom>
                  </pic:spPr>
                </pic:pic>
              </a:graphicData>
            </a:graphic>
            <wp14:sizeRelH relativeFrom="page">
              <wp14:pctWidth>0</wp14:pctWidth>
            </wp14:sizeRelH>
            <wp14:sizeRelV relativeFrom="page">
              <wp14:pctHeight>0</wp14:pctHeight>
            </wp14:sizeRelV>
          </wp:anchor>
        </w:drawing>
      </w:r>
      <w:r w:rsidR="006E7DBB">
        <w:rPr>
          <w:rFonts w:ascii="Times New Roman" w:eastAsia="Times New Roman" w:hAnsi="Times New Roman" w:cs="Times New Roman"/>
          <w:kern w:val="0"/>
          <w:sz w:val="24"/>
          <w:szCs w:val="24"/>
          <w14:ligatures w14:val="none"/>
        </w:rPr>
        <w:br w:type="page"/>
      </w:r>
    </w:p>
    <w:p w14:paraId="1AFC7092" w14:textId="77777777" w:rsidR="001A28E9" w:rsidRDefault="001A28E9" w:rsidP="001A28E9">
      <w:pPr>
        <w:pStyle w:val="NormalWeb"/>
        <w:spacing w:before="0" w:beforeAutospacing="0" w:after="0" w:afterAutospacing="0"/>
        <w:jc w:val="both"/>
      </w:pPr>
      <w:r>
        <w:rPr>
          <w:color w:val="000000" w:themeColor="text1"/>
          <w:kern w:val="24"/>
        </w:rPr>
        <w:lastRenderedPageBreak/>
        <w:t xml:space="preserve">Figure 3. Available phosphorus (P) (A), exchangeable potassium (K) (B) and available sulfur (S) (C) of forest soils (FS) and adjacent agricultural soils (AS) from </w:t>
      </w:r>
      <w:proofErr w:type="spellStart"/>
      <w:r>
        <w:rPr>
          <w:color w:val="000000" w:themeColor="text1"/>
          <w:kern w:val="24"/>
        </w:rPr>
        <w:t>Shingra</w:t>
      </w:r>
      <w:proofErr w:type="spellEnd"/>
      <w:r>
        <w:rPr>
          <w:color w:val="000000" w:themeColor="text1"/>
          <w:kern w:val="24"/>
        </w:rPr>
        <w:t xml:space="preserve"> and </w:t>
      </w:r>
      <w:proofErr w:type="spellStart"/>
      <w:r>
        <w:rPr>
          <w:color w:val="000000" w:themeColor="text1"/>
          <w:kern w:val="24"/>
        </w:rPr>
        <w:t>Birganj</w:t>
      </w:r>
      <w:proofErr w:type="spellEnd"/>
      <w:r>
        <w:rPr>
          <w:color w:val="000000" w:themeColor="text1"/>
          <w:kern w:val="24"/>
        </w:rPr>
        <w:t xml:space="preserve"> national forests, Dinajpur, Bangladesh. Bars </w:t>
      </w:r>
      <w:proofErr w:type="gramStart"/>
      <w:r>
        <w:rPr>
          <w:color w:val="000000" w:themeColor="text1"/>
          <w:kern w:val="24"/>
        </w:rPr>
        <w:t>indicates</w:t>
      </w:r>
      <w:proofErr w:type="gramEnd"/>
      <w:r>
        <w:rPr>
          <w:color w:val="000000" w:themeColor="text1"/>
          <w:kern w:val="24"/>
        </w:rPr>
        <w:t xml:space="preserve"> mean ± standard error. For </w:t>
      </w:r>
      <w:proofErr w:type="spellStart"/>
      <w:proofErr w:type="gramStart"/>
      <w:r>
        <w:rPr>
          <w:color w:val="000000" w:themeColor="text1"/>
          <w:kern w:val="24"/>
        </w:rPr>
        <w:t>Shingra</w:t>
      </w:r>
      <w:proofErr w:type="spellEnd"/>
      <w:r>
        <w:rPr>
          <w:color w:val="000000" w:themeColor="text1"/>
          <w:kern w:val="24"/>
        </w:rPr>
        <w:t>,  data</w:t>
      </w:r>
      <w:proofErr w:type="gramEnd"/>
      <w:r>
        <w:rPr>
          <w:color w:val="000000" w:themeColor="text1"/>
          <w:kern w:val="24"/>
        </w:rPr>
        <w:t xml:space="preserve"> are average of 10 spots; for </w:t>
      </w:r>
      <w:proofErr w:type="spellStart"/>
      <w:r>
        <w:rPr>
          <w:color w:val="000000" w:themeColor="text1"/>
          <w:kern w:val="24"/>
        </w:rPr>
        <w:t>Birganj</w:t>
      </w:r>
      <w:proofErr w:type="spellEnd"/>
      <w:r>
        <w:rPr>
          <w:color w:val="000000" w:themeColor="text1"/>
          <w:kern w:val="24"/>
        </w:rPr>
        <w:t xml:space="preserve">, data are average of 5 spots. </w:t>
      </w:r>
      <w:r>
        <w:rPr>
          <w:color w:val="000000" w:themeColor="text1"/>
          <w:kern w:val="24"/>
          <w:lang w:val="en-GB"/>
        </w:rPr>
        <w:t>Means with different letters indicate significant differences at the P≤0.05 level according to Tukey's HSD test.</w:t>
      </w:r>
    </w:p>
    <w:p w14:paraId="441D29F2"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6056CDD3"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4B630FC"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1CA3D59"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F984985"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3733086E"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766704E6" w14:textId="20494D9B"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These findings are also in line with other studies showing that natural forest ecosystems </w:t>
      </w:r>
      <w:r w:rsidRPr="000E2C0C">
        <w:rPr>
          <w:rFonts w:ascii="Times New Roman" w:eastAsia="Times New Roman" w:hAnsi="Times New Roman" w:cs="Times New Roman"/>
          <w:color w:val="000000" w:themeColor="text1"/>
          <w:kern w:val="0"/>
          <w:sz w:val="24"/>
          <w:szCs w:val="24"/>
          <w14:ligatures w14:val="none"/>
        </w:rPr>
        <w:t>have a greater ability to cycle nutrients, making nutrients available in greater abundance in the forests than in agriculture (</w:t>
      </w:r>
      <w:r w:rsidR="005B199E" w:rsidRPr="000E2C0C">
        <w:rPr>
          <w:rFonts w:ascii="Times New Roman" w:eastAsia="Times New Roman" w:hAnsi="Times New Roman" w:cs="Times New Roman"/>
          <w:color w:val="000000" w:themeColor="text1"/>
          <w:kern w:val="0"/>
          <w:sz w:val="24"/>
          <w:szCs w:val="24"/>
          <w14:ligatures w14:val="none"/>
        </w:rPr>
        <w:t>Mahmood et al., 2021)</w:t>
      </w:r>
      <w:r w:rsidRPr="000E2C0C">
        <w:rPr>
          <w:rFonts w:ascii="Times New Roman" w:eastAsia="Times New Roman" w:hAnsi="Times New Roman" w:cs="Times New Roman"/>
          <w:color w:val="000000" w:themeColor="text1"/>
          <w:kern w:val="0"/>
          <w:sz w:val="24"/>
          <w:szCs w:val="24"/>
          <w14:ligatures w14:val="none"/>
        </w:rPr>
        <w:t xml:space="preserve">. However, many of the earth's agricultural soils have been stripped of nutrients due to the natural nutrient cycling through the soils being interrupted due to continuous monoculture cropping without replenishment of soil nutrients. While </w:t>
      </w:r>
      <w:r w:rsidR="0077635F" w:rsidRPr="000E2C0C">
        <w:rPr>
          <w:rFonts w:ascii="Times New Roman" w:eastAsia="Times New Roman" w:hAnsi="Times New Roman" w:cs="Times New Roman"/>
          <w:color w:val="000000" w:themeColor="text1"/>
          <w:kern w:val="0"/>
          <w:sz w:val="24"/>
          <w:szCs w:val="24"/>
          <w14:ligatures w14:val="none"/>
        </w:rPr>
        <w:t xml:space="preserve">we use </w:t>
      </w:r>
      <w:r w:rsidRPr="000E2C0C">
        <w:rPr>
          <w:rFonts w:ascii="Times New Roman" w:eastAsia="Times New Roman" w:hAnsi="Times New Roman" w:cs="Times New Roman"/>
          <w:color w:val="000000" w:themeColor="text1"/>
          <w:kern w:val="0"/>
          <w:sz w:val="24"/>
          <w:szCs w:val="24"/>
          <w14:ligatures w14:val="none"/>
        </w:rPr>
        <w:t>chemical fertilizers</w:t>
      </w:r>
      <w:r w:rsidR="0077635F" w:rsidRPr="000E2C0C">
        <w:rPr>
          <w:rFonts w:ascii="Times New Roman" w:eastAsia="Times New Roman" w:hAnsi="Times New Roman" w:cs="Times New Roman"/>
          <w:color w:val="000000" w:themeColor="text1"/>
          <w:kern w:val="0"/>
          <w:sz w:val="24"/>
          <w:szCs w:val="24"/>
          <w14:ligatures w14:val="none"/>
        </w:rPr>
        <w:t xml:space="preserve"> with phosphorus they </w:t>
      </w:r>
      <w:r w:rsidRPr="000E2C0C">
        <w:rPr>
          <w:rFonts w:ascii="Times New Roman" w:eastAsia="Times New Roman" w:hAnsi="Times New Roman" w:cs="Times New Roman"/>
          <w:color w:val="000000" w:themeColor="text1"/>
          <w:kern w:val="0"/>
          <w:sz w:val="24"/>
          <w:szCs w:val="24"/>
          <w14:ligatures w14:val="none"/>
        </w:rPr>
        <w:t>can also cause an imbalance in other nutrients (potassium and sulfur, for example), which causes deficiencies (Hoque</w:t>
      </w:r>
      <w:r w:rsidR="000D5988" w:rsidRPr="000E2C0C">
        <w:rPr>
          <w:rFonts w:ascii="Times New Roman" w:eastAsia="Times New Roman" w:hAnsi="Times New Roman" w:cs="Times New Roman"/>
          <w:color w:val="000000" w:themeColor="text1"/>
          <w:kern w:val="0"/>
          <w:sz w:val="24"/>
          <w:szCs w:val="24"/>
          <w14:ligatures w14:val="none"/>
        </w:rPr>
        <w:t xml:space="preserve"> and Khan</w:t>
      </w:r>
      <w:r w:rsidRPr="000E2C0C">
        <w:rPr>
          <w:rFonts w:ascii="Times New Roman" w:eastAsia="Times New Roman" w:hAnsi="Times New Roman" w:cs="Times New Roman"/>
          <w:color w:val="000000" w:themeColor="text1"/>
          <w:kern w:val="0"/>
          <w:sz w:val="24"/>
          <w:szCs w:val="24"/>
          <w14:ligatures w14:val="none"/>
        </w:rPr>
        <w:t>, 2024</w:t>
      </w:r>
      <w:r w:rsidR="000D5988" w:rsidRPr="000E2C0C">
        <w:rPr>
          <w:rFonts w:ascii="Times New Roman" w:eastAsia="Times New Roman" w:hAnsi="Times New Roman" w:cs="Times New Roman"/>
          <w:color w:val="000000" w:themeColor="text1"/>
          <w:kern w:val="0"/>
          <w:sz w:val="24"/>
          <w:szCs w:val="24"/>
          <w14:ligatures w14:val="none"/>
        </w:rPr>
        <w:t>, Khan et al.</w:t>
      </w:r>
      <w:r w:rsidR="000E2C0C">
        <w:rPr>
          <w:rFonts w:ascii="Times New Roman" w:eastAsia="Times New Roman" w:hAnsi="Times New Roman" w:cs="Times New Roman"/>
          <w:color w:val="000000" w:themeColor="text1"/>
          <w:kern w:val="0"/>
          <w:sz w:val="24"/>
          <w:szCs w:val="24"/>
          <w14:ligatures w14:val="none"/>
        </w:rPr>
        <w:t>,</w:t>
      </w:r>
      <w:r w:rsidR="000D5988" w:rsidRPr="000E2C0C">
        <w:rPr>
          <w:rFonts w:ascii="Times New Roman" w:eastAsia="Times New Roman" w:hAnsi="Times New Roman" w:cs="Times New Roman"/>
          <w:color w:val="000000" w:themeColor="text1"/>
          <w:kern w:val="0"/>
          <w:sz w:val="24"/>
          <w:szCs w:val="24"/>
          <w14:ligatures w14:val="none"/>
        </w:rPr>
        <w:t xml:space="preserve"> 2001</w:t>
      </w:r>
      <w:r w:rsidRPr="000E2C0C">
        <w:rPr>
          <w:rFonts w:ascii="Times New Roman" w:eastAsia="Times New Roman" w:hAnsi="Times New Roman" w:cs="Times New Roman"/>
          <w:color w:val="000000" w:themeColor="text1"/>
          <w:kern w:val="0"/>
          <w:sz w:val="24"/>
          <w:szCs w:val="24"/>
          <w14:ligatures w14:val="none"/>
        </w:rPr>
        <w:t>). The high phosphorus loading originating from fertilizers to agricultural systems disturbs the natural process of phosphorus cycling</w:t>
      </w:r>
      <w:r w:rsidR="007B718B" w:rsidRPr="000E2C0C">
        <w:rPr>
          <w:rFonts w:ascii="Times New Roman" w:eastAsia="Times New Roman" w:hAnsi="Times New Roman" w:cs="Times New Roman"/>
          <w:color w:val="000000" w:themeColor="text1"/>
          <w:kern w:val="0"/>
          <w:sz w:val="24"/>
          <w:szCs w:val="24"/>
          <w14:ligatures w14:val="none"/>
        </w:rPr>
        <w:t xml:space="preserve"> </w:t>
      </w:r>
      <w:r w:rsidR="000E2C0C">
        <w:rPr>
          <w:rFonts w:ascii="Times New Roman" w:eastAsia="Times New Roman" w:hAnsi="Times New Roman" w:cs="Times New Roman"/>
          <w:color w:val="000000" w:themeColor="text1"/>
          <w:kern w:val="0"/>
          <w:sz w:val="24"/>
          <w:szCs w:val="24"/>
          <w14:ligatures w14:val="none"/>
        </w:rPr>
        <w:t>(</w:t>
      </w:r>
      <w:proofErr w:type="spellStart"/>
      <w:r w:rsidR="000E2C0C">
        <w:rPr>
          <w:rFonts w:ascii="Times New Roman" w:eastAsia="Times New Roman" w:hAnsi="Times New Roman" w:cs="Times New Roman"/>
          <w:color w:val="000000" w:themeColor="text1"/>
          <w:kern w:val="0"/>
          <w:sz w:val="24"/>
          <w:szCs w:val="24"/>
          <w14:ligatures w14:val="none"/>
        </w:rPr>
        <w:t>Maranguit</w:t>
      </w:r>
      <w:proofErr w:type="spellEnd"/>
      <w:r w:rsidR="000E2C0C">
        <w:rPr>
          <w:rFonts w:ascii="Times New Roman" w:eastAsia="Times New Roman" w:hAnsi="Times New Roman" w:cs="Times New Roman"/>
          <w:color w:val="000000" w:themeColor="text1"/>
          <w:kern w:val="0"/>
          <w:sz w:val="24"/>
          <w:szCs w:val="24"/>
          <w14:ligatures w14:val="none"/>
        </w:rPr>
        <w:t xml:space="preserve"> et </w:t>
      </w:r>
      <w:proofErr w:type="gramStart"/>
      <w:r w:rsidR="000E2C0C">
        <w:rPr>
          <w:rFonts w:ascii="Times New Roman" w:eastAsia="Times New Roman" w:hAnsi="Times New Roman" w:cs="Times New Roman"/>
          <w:color w:val="000000" w:themeColor="text1"/>
          <w:kern w:val="0"/>
          <w:sz w:val="24"/>
          <w:szCs w:val="24"/>
          <w14:ligatures w14:val="none"/>
        </w:rPr>
        <w:t>al,.</w:t>
      </w:r>
      <w:proofErr w:type="gramEnd"/>
      <w:r w:rsidR="000E2C0C">
        <w:rPr>
          <w:rFonts w:ascii="Times New Roman" w:eastAsia="Times New Roman" w:hAnsi="Times New Roman" w:cs="Times New Roman"/>
          <w:color w:val="000000" w:themeColor="text1"/>
          <w:kern w:val="0"/>
          <w:sz w:val="24"/>
          <w:szCs w:val="24"/>
          <w14:ligatures w14:val="none"/>
        </w:rPr>
        <w:t xml:space="preserve"> 2</w:t>
      </w:r>
      <w:r w:rsidR="007B718B" w:rsidRPr="000E2C0C">
        <w:rPr>
          <w:rFonts w:ascii="Times New Roman" w:eastAsia="Times New Roman" w:hAnsi="Times New Roman" w:cs="Times New Roman"/>
          <w:color w:val="000000" w:themeColor="text1"/>
          <w:kern w:val="0"/>
          <w:sz w:val="24"/>
          <w:szCs w:val="24"/>
          <w14:ligatures w14:val="none"/>
        </w:rPr>
        <w:t>017)</w:t>
      </w:r>
      <w:r w:rsidRPr="000E2C0C">
        <w:rPr>
          <w:rFonts w:ascii="Times New Roman" w:eastAsia="Times New Roman" w:hAnsi="Times New Roman" w:cs="Times New Roman"/>
          <w:color w:val="000000" w:themeColor="text1"/>
          <w:kern w:val="0"/>
          <w:sz w:val="24"/>
          <w:szCs w:val="24"/>
          <w14:ligatures w14:val="none"/>
        </w:rPr>
        <w:t xml:space="preserve">, which would cause nutrient imbalance and </w:t>
      </w:r>
      <w:r w:rsidRPr="00707AC4">
        <w:rPr>
          <w:rFonts w:ascii="Times New Roman" w:eastAsia="Times New Roman" w:hAnsi="Times New Roman" w:cs="Times New Roman"/>
          <w:kern w:val="0"/>
          <w:sz w:val="24"/>
          <w:szCs w:val="24"/>
          <w14:ligatures w14:val="none"/>
        </w:rPr>
        <w:t xml:space="preserve">soil degradation. Hence, the absence of difference in available sulfur in forest vs. agricultural soils strongly supports the view that sulfur availability in global soils is less susceptible than some other nutrients (particularly phosphorus and potassium) to change </w:t>
      </w:r>
      <w:r w:rsidRPr="000E2C0C">
        <w:rPr>
          <w:rFonts w:ascii="Times New Roman" w:eastAsia="Times New Roman" w:hAnsi="Times New Roman" w:cs="Times New Roman"/>
          <w:color w:val="000000" w:themeColor="text1"/>
          <w:kern w:val="0"/>
          <w:sz w:val="24"/>
          <w:szCs w:val="24"/>
          <w14:ligatures w14:val="none"/>
        </w:rPr>
        <w:t>due to land use (</w:t>
      </w:r>
      <w:r w:rsidR="000D5988" w:rsidRPr="000E2C0C">
        <w:rPr>
          <w:rFonts w:ascii="Times New Roman" w:eastAsia="Times New Roman" w:hAnsi="Times New Roman" w:cs="Times New Roman"/>
          <w:color w:val="000000" w:themeColor="text1"/>
          <w:kern w:val="0"/>
          <w:sz w:val="24"/>
          <w:szCs w:val="24"/>
          <w14:ligatures w14:val="none"/>
        </w:rPr>
        <w:t>Khan</w:t>
      </w:r>
      <w:r w:rsidRPr="000E2C0C">
        <w:rPr>
          <w:rFonts w:ascii="Times New Roman" w:eastAsia="Times New Roman" w:hAnsi="Times New Roman" w:cs="Times New Roman"/>
          <w:color w:val="000000" w:themeColor="text1"/>
          <w:kern w:val="0"/>
          <w:sz w:val="24"/>
          <w:szCs w:val="24"/>
          <w14:ligatures w14:val="none"/>
        </w:rPr>
        <w:t xml:space="preserve"> et al., 20</w:t>
      </w:r>
      <w:r w:rsidR="000D5988" w:rsidRPr="000E2C0C">
        <w:rPr>
          <w:rFonts w:ascii="Times New Roman" w:eastAsia="Times New Roman" w:hAnsi="Times New Roman" w:cs="Times New Roman"/>
          <w:color w:val="000000" w:themeColor="text1"/>
          <w:kern w:val="0"/>
          <w:sz w:val="24"/>
          <w:szCs w:val="24"/>
          <w14:ligatures w14:val="none"/>
        </w:rPr>
        <w:t>06</w:t>
      </w:r>
      <w:r w:rsidRPr="000E2C0C">
        <w:rPr>
          <w:rFonts w:ascii="Times New Roman" w:eastAsia="Times New Roman" w:hAnsi="Times New Roman" w:cs="Times New Roman"/>
          <w:color w:val="000000" w:themeColor="text1"/>
          <w:kern w:val="0"/>
          <w:sz w:val="24"/>
          <w:szCs w:val="24"/>
          <w14:ligatures w14:val="none"/>
        </w:rPr>
        <w:t>).</w:t>
      </w:r>
    </w:p>
    <w:p w14:paraId="6933DDE5" w14:textId="77777777" w:rsidR="0071286A" w:rsidRPr="007B718B" w:rsidRDefault="00707AC4" w:rsidP="0071286A">
      <w:pPr>
        <w:spacing w:after="0" w:line="480" w:lineRule="auto"/>
        <w:jc w:val="both"/>
        <w:rPr>
          <w:rFonts w:ascii="Times New Roman" w:eastAsia="Times New Roman" w:hAnsi="Times New Roman" w:cs="Times New Roman"/>
          <w:i/>
          <w:kern w:val="0"/>
          <w:sz w:val="24"/>
          <w:szCs w:val="24"/>
          <w14:ligatures w14:val="none"/>
        </w:rPr>
      </w:pPr>
      <w:r w:rsidRPr="007B718B">
        <w:rPr>
          <w:rFonts w:ascii="Times New Roman" w:eastAsia="Times New Roman" w:hAnsi="Times New Roman" w:cs="Times New Roman"/>
          <w:i/>
          <w:kern w:val="0"/>
          <w:sz w:val="24"/>
          <w:szCs w:val="24"/>
          <w14:ligatures w14:val="none"/>
        </w:rPr>
        <w:t>Cadmium (Cd) Contamination</w:t>
      </w:r>
      <w:r w:rsidR="0071286A" w:rsidRPr="007B718B">
        <w:rPr>
          <w:rFonts w:ascii="Times New Roman" w:eastAsia="Times New Roman" w:hAnsi="Times New Roman" w:cs="Times New Roman"/>
          <w:i/>
          <w:kern w:val="0"/>
          <w:sz w:val="24"/>
          <w:szCs w:val="24"/>
          <w14:ligatures w14:val="none"/>
        </w:rPr>
        <w:t xml:space="preserve"> and Phosphorus-Cadmium Correlation</w:t>
      </w:r>
    </w:p>
    <w:p w14:paraId="05D47B3A"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 xml:space="preserve">One important outcome from this is elevated cadmium levels in agricultural soils compared with forest soils. The cadmium content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agricultural soils</w:t>
      </w:r>
      <w:r w:rsidR="0071286A">
        <w:rPr>
          <w:rFonts w:ascii="Times New Roman" w:eastAsia="Times New Roman" w:hAnsi="Times New Roman" w:cs="Times New Roman"/>
          <w:kern w:val="0"/>
          <w:sz w:val="24"/>
          <w:szCs w:val="24"/>
          <w14:ligatures w14:val="none"/>
        </w:rPr>
        <w:t xml:space="preserve"> (farm) was 3.68 µg </w:t>
      </w:r>
      <w:r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while forest soil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only had </w:t>
      </w:r>
      <w:r w:rsidR="0071286A">
        <w:rPr>
          <w:rFonts w:ascii="Times New Roman" w:eastAsia="Times New Roman" w:hAnsi="Times New Roman" w:cs="Times New Roman"/>
          <w:kern w:val="0"/>
          <w:sz w:val="24"/>
          <w:szCs w:val="24"/>
          <w14:ligatures w14:val="none"/>
        </w:rPr>
        <w:t>0.61</w:t>
      </w:r>
      <w:r w:rsidRPr="00707AC4">
        <w:rPr>
          <w:rFonts w:ascii="Times New Roman" w:eastAsia="Times New Roman" w:hAnsi="Times New Roman" w:cs="Times New Roman"/>
          <w:kern w:val="0"/>
          <w:sz w:val="24"/>
          <w:szCs w:val="24"/>
          <w14:ligatures w14:val="none"/>
        </w:rPr>
        <w:t xml:space="preserve"> </w:t>
      </w:r>
      <w:r w:rsidR="0071286A">
        <w:rPr>
          <w:rFonts w:ascii="Times New Roman" w:eastAsia="Times New Roman" w:hAnsi="Times New Roman" w:cs="Times New Roman"/>
          <w:kern w:val="0"/>
          <w:sz w:val="24"/>
          <w:szCs w:val="24"/>
          <w14:ligatures w14:val="none"/>
        </w:rPr>
        <w:t xml:space="preserve">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0071286A">
        <w:rPr>
          <w:rFonts w:ascii="Times New Roman" w:eastAsia="Times New Roman" w:hAnsi="Times New Roman" w:cs="Times New Roman"/>
          <w:kern w:val="0"/>
          <w:sz w:val="24"/>
          <w:szCs w:val="24"/>
          <w14:ligatures w14:val="none"/>
        </w:rPr>
        <w:t xml:space="preserve"> (Figure 4</w:t>
      </w:r>
      <w:r w:rsidRPr="00707AC4">
        <w:rPr>
          <w:rFonts w:ascii="Times New Roman" w:eastAsia="Times New Roman" w:hAnsi="Times New Roman" w:cs="Times New Roman"/>
          <w:kern w:val="0"/>
          <w:sz w:val="24"/>
          <w:szCs w:val="24"/>
          <w14:ligatures w14:val="none"/>
        </w:rPr>
        <w:t xml:space="preserve">).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agricultural soils, they are 2</w:t>
      </w:r>
      <w:r w:rsidR="0071286A">
        <w:rPr>
          <w:rFonts w:ascii="Times New Roman" w:eastAsia="Times New Roman" w:hAnsi="Times New Roman" w:cs="Times New Roman"/>
          <w:kern w:val="0"/>
          <w:sz w:val="24"/>
          <w:szCs w:val="24"/>
          <w14:ligatures w14:val="none"/>
        </w:rPr>
        <w:t xml:space="preserve">.35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instead of </w:t>
      </w:r>
      <w:r w:rsidR="0071286A">
        <w:rPr>
          <w:rFonts w:ascii="Times New Roman" w:eastAsia="Times New Roman" w:hAnsi="Times New Roman" w:cs="Times New Roman"/>
          <w:kern w:val="0"/>
          <w:sz w:val="24"/>
          <w:szCs w:val="24"/>
          <w14:ligatures w14:val="none"/>
        </w:rPr>
        <w:t xml:space="preserve">0.53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The progressive use of chemical fertilizers normally applied in small amounts and containing heavy metals has </w:t>
      </w:r>
      <w:r w:rsidRPr="000E2C0C">
        <w:rPr>
          <w:rFonts w:ascii="Times New Roman" w:eastAsia="Times New Roman" w:hAnsi="Times New Roman" w:cs="Times New Roman"/>
          <w:color w:val="000000" w:themeColor="text1"/>
          <w:kern w:val="0"/>
          <w:sz w:val="24"/>
          <w:szCs w:val="24"/>
          <w14:ligatures w14:val="none"/>
        </w:rPr>
        <w:t xml:space="preserve">resulted in soil infusion with cadmium in fields (Khan et al., 2011). Due to its toxicity to </w:t>
      </w:r>
      <w:r w:rsidRPr="00707AC4">
        <w:rPr>
          <w:rFonts w:ascii="Times New Roman" w:eastAsia="Times New Roman" w:hAnsi="Times New Roman" w:cs="Times New Roman"/>
          <w:kern w:val="0"/>
          <w:sz w:val="24"/>
          <w:szCs w:val="24"/>
          <w14:ligatures w14:val="none"/>
        </w:rPr>
        <w:t xml:space="preserve">human health and the environment, cadmium (Cd) has raised worldwide concern and is increasingly invading agricultural soils. Long-term contamination by cadmium poses a health risk to plants and humans owing to its accumulation through food crops grown in </w:t>
      </w:r>
      <w:r w:rsidRPr="000E2C0C">
        <w:rPr>
          <w:rFonts w:ascii="Times New Roman" w:eastAsia="Times New Roman" w:hAnsi="Times New Roman" w:cs="Times New Roman"/>
          <w:color w:val="000000" w:themeColor="text1"/>
          <w:kern w:val="0"/>
          <w:sz w:val="24"/>
          <w:szCs w:val="24"/>
          <w14:ligatures w14:val="none"/>
        </w:rPr>
        <w:t>contaminated soils (</w:t>
      </w:r>
      <w:r w:rsidR="005B199E" w:rsidRPr="000E2C0C">
        <w:rPr>
          <w:rFonts w:ascii="Times New Roman" w:eastAsia="Times New Roman" w:hAnsi="Times New Roman" w:cs="Times New Roman"/>
          <w:color w:val="000000" w:themeColor="text1"/>
          <w:kern w:val="0"/>
          <w:sz w:val="24"/>
          <w:szCs w:val="24"/>
          <w14:ligatures w14:val="none"/>
        </w:rPr>
        <w:t xml:space="preserve">Kadoya </w:t>
      </w:r>
      <w:r w:rsidRPr="000E2C0C">
        <w:rPr>
          <w:rFonts w:ascii="Times New Roman" w:eastAsia="Times New Roman" w:hAnsi="Times New Roman" w:cs="Times New Roman"/>
          <w:color w:val="000000" w:themeColor="text1"/>
          <w:kern w:val="0"/>
          <w:sz w:val="24"/>
          <w:szCs w:val="24"/>
          <w14:ligatures w14:val="none"/>
        </w:rPr>
        <w:t>et al., 20</w:t>
      </w:r>
      <w:r w:rsidR="005B199E" w:rsidRPr="000E2C0C">
        <w:rPr>
          <w:rFonts w:ascii="Times New Roman" w:eastAsia="Times New Roman" w:hAnsi="Times New Roman" w:cs="Times New Roman"/>
          <w:color w:val="000000" w:themeColor="text1"/>
          <w:kern w:val="0"/>
          <w:sz w:val="24"/>
          <w:szCs w:val="24"/>
          <w14:ligatures w14:val="none"/>
        </w:rPr>
        <w:t>22</w:t>
      </w:r>
      <w:r w:rsidRPr="000E2C0C">
        <w:rPr>
          <w:rFonts w:ascii="Times New Roman" w:eastAsia="Times New Roman" w:hAnsi="Times New Roman" w:cs="Times New Roman"/>
          <w:color w:val="000000" w:themeColor="text1"/>
          <w:kern w:val="0"/>
          <w:sz w:val="24"/>
          <w:szCs w:val="24"/>
          <w14:ligatures w14:val="none"/>
        </w:rPr>
        <w:t>).</w:t>
      </w:r>
      <w:r w:rsidR="0071286A"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The other inferred source of cadmium in </w:t>
      </w:r>
      <w:r w:rsidRPr="00707AC4">
        <w:rPr>
          <w:rFonts w:ascii="Times New Roman" w:eastAsia="Times New Roman" w:hAnsi="Times New Roman" w:cs="Times New Roman"/>
          <w:kern w:val="0"/>
          <w:sz w:val="24"/>
          <w:szCs w:val="24"/>
          <w14:ligatures w14:val="none"/>
        </w:rPr>
        <w:t xml:space="preserve">agricultural soils is the addition of phosphate fertilizers, sewage sludge, and industrial </w:t>
      </w:r>
      <w:r w:rsidRPr="000E2C0C">
        <w:rPr>
          <w:rFonts w:ascii="Times New Roman" w:eastAsia="Times New Roman" w:hAnsi="Times New Roman" w:cs="Times New Roman"/>
          <w:color w:val="000000" w:themeColor="text1"/>
          <w:kern w:val="0"/>
          <w:sz w:val="24"/>
          <w:szCs w:val="24"/>
          <w14:ligatures w14:val="none"/>
        </w:rPr>
        <w:t>effluents</w:t>
      </w:r>
      <w:r w:rsidR="0071286A"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(Islam and Weil 2000)</w:t>
      </w:r>
      <w:r w:rsidRPr="000E2C0C">
        <w:rPr>
          <w:rFonts w:ascii="Times New Roman" w:eastAsia="Times New Roman" w:hAnsi="Times New Roman" w:cs="Times New Roman"/>
          <w:color w:val="000000" w:themeColor="text1"/>
          <w:kern w:val="0"/>
          <w:sz w:val="24"/>
          <w:szCs w:val="24"/>
          <w14:ligatures w14:val="none"/>
        </w:rPr>
        <w:t xml:space="preserve">. </w:t>
      </w:r>
    </w:p>
    <w:p w14:paraId="43881C2A" w14:textId="77777777" w:rsidR="0058060E" w:rsidRDefault="0047590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63360" behindDoc="1" locked="0" layoutInCell="1" allowOverlap="1" wp14:anchorId="5F834B1E" wp14:editId="4AE5B94E">
            <wp:simplePos x="0" y="0"/>
            <wp:positionH relativeFrom="column">
              <wp:posOffset>2540</wp:posOffset>
            </wp:positionH>
            <wp:positionV relativeFrom="paragraph">
              <wp:posOffset>-1270</wp:posOffset>
            </wp:positionV>
            <wp:extent cx="2927985" cy="2141220"/>
            <wp:effectExtent l="0" t="0" r="0" b="0"/>
            <wp:wrapThrough wrapText="bothSides">
              <wp:wrapPolygon edited="0">
                <wp:start x="2951" y="769"/>
                <wp:lineTo x="984" y="2883"/>
                <wp:lineTo x="0" y="4036"/>
                <wp:lineTo x="141" y="13452"/>
                <wp:lineTo x="2811" y="16527"/>
                <wp:lineTo x="2108" y="16527"/>
                <wp:lineTo x="2108" y="17295"/>
                <wp:lineTo x="2951" y="19601"/>
                <wp:lineTo x="2951" y="21331"/>
                <wp:lineTo x="21221" y="21331"/>
                <wp:lineTo x="21221" y="769"/>
                <wp:lineTo x="2951" y="769"/>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png"/>
                    <pic:cNvPicPr/>
                  </pic:nvPicPr>
                  <pic:blipFill>
                    <a:blip r:embed="rId12">
                      <a:extLst>
                        <a:ext uri="{28A0092B-C50C-407E-A947-70E740481C1C}">
                          <a14:useLocalDpi xmlns:a14="http://schemas.microsoft.com/office/drawing/2010/main" val="0"/>
                        </a:ext>
                      </a:extLst>
                    </a:blip>
                    <a:stretch>
                      <a:fillRect/>
                    </a:stretch>
                  </pic:blipFill>
                  <pic:spPr>
                    <a:xfrm>
                      <a:off x="0" y="0"/>
                      <a:ext cx="2927985" cy="2141220"/>
                    </a:xfrm>
                    <a:prstGeom prst="rect">
                      <a:avLst/>
                    </a:prstGeom>
                  </pic:spPr>
                </pic:pic>
              </a:graphicData>
            </a:graphic>
            <wp14:sizeRelH relativeFrom="page">
              <wp14:pctWidth>0</wp14:pctWidth>
            </wp14:sizeRelH>
            <wp14:sizeRelV relativeFrom="page">
              <wp14:pctHeight>0</wp14:pctHeight>
            </wp14:sizeRelV>
          </wp:anchor>
        </w:drawing>
      </w:r>
      <w:r w:rsidR="0058060E">
        <w:rPr>
          <w:rFonts w:ascii="Times New Roman" w:eastAsia="Times New Roman" w:hAnsi="Times New Roman" w:cs="Times New Roman"/>
          <w:noProof/>
          <w:kern w:val="0"/>
          <w:sz w:val="24"/>
          <w:szCs w:val="24"/>
        </w:rPr>
        <w:drawing>
          <wp:anchor distT="0" distB="0" distL="114300" distR="114300" simplePos="0" relativeHeight="251662336" behindDoc="1" locked="0" layoutInCell="1" allowOverlap="1" wp14:anchorId="6A02C564" wp14:editId="075B884A">
            <wp:simplePos x="0" y="0"/>
            <wp:positionH relativeFrom="column">
              <wp:posOffset>3011805</wp:posOffset>
            </wp:positionH>
            <wp:positionV relativeFrom="paragraph">
              <wp:posOffset>44450</wp:posOffset>
            </wp:positionV>
            <wp:extent cx="2650490" cy="2080260"/>
            <wp:effectExtent l="0" t="0" r="0" b="0"/>
            <wp:wrapThrough wrapText="bothSides">
              <wp:wrapPolygon edited="0">
                <wp:start x="1708" y="198"/>
                <wp:lineTo x="1708" y="791"/>
                <wp:lineTo x="2950" y="3758"/>
                <wp:lineTo x="466" y="4945"/>
                <wp:lineTo x="0" y="5341"/>
                <wp:lineTo x="155" y="13253"/>
                <wp:lineTo x="2950" y="16418"/>
                <wp:lineTo x="2018" y="16615"/>
                <wp:lineTo x="2484" y="18593"/>
                <wp:lineTo x="10712" y="19582"/>
                <wp:lineTo x="8073" y="19582"/>
                <wp:lineTo x="8073" y="20769"/>
                <wp:lineTo x="11954" y="21165"/>
                <wp:lineTo x="15525" y="21165"/>
                <wp:lineTo x="15835" y="19780"/>
                <wp:lineTo x="17077" y="19582"/>
                <wp:lineTo x="21269" y="18396"/>
                <wp:lineTo x="21269" y="791"/>
                <wp:lineTo x="20027" y="593"/>
                <wp:lineTo x="3105" y="198"/>
                <wp:lineTo x="1708" y="198"/>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png"/>
                    <pic:cNvPicPr/>
                  </pic:nvPicPr>
                  <pic:blipFill>
                    <a:blip r:embed="rId13">
                      <a:extLst>
                        <a:ext uri="{28A0092B-C50C-407E-A947-70E740481C1C}">
                          <a14:useLocalDpi xmlns:a14="http://schemas.microsoft.com/office/drawing/2010/main" val="0"/>
                        </a:ext>
                      </a:extLst>
                    </a:blip>
                    <a:stretch>
                      <a:fillRect/>
                    </a:stretch>
                  </pic:blipFill>
                  <pic:spPr>
                    <a:xfrm>
                      <a:off x="0" y="0"/>
                      <a:ext cx="2650490" cy="2080260"/>
                    </a:xfrm>
                    <a:prstGeom prst="rect">
                      <a:avLst/>
                    </a:prstGeom>
                  </pic:spPr>
                </pic:pic>
              </a:graphicData>
            </a:graphic>
            <wp14:sizeRelH relativeFrom="page">
              <wp14:pctWidth>0</wp14:pctWidth>
            </wp14:sizeRelH>
            <wp14:sizeRelV relativeFrom="page">
              <wp14:pctHeight>0</wp14:pctHeight>
            </wp14:sizeRelV>
          </wp:anchor>
        </w:drawing>
      </w:r>
    </w:p>
    <w:p w14:paraId="57AD44A8"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p w14:paraId="2D2FD339"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364"/>
      </w:tblGrid>
      <w:tr w:rsidR="0058060E" w14:paraId="4C2CAA0C" w14:textId="77777777" w:rsidTr="0047590B">
        <w:tc>
          <w:tcPr>
            <w:tcW w:w="4410" w:type="dxa"/>
          </w:tcPr>
          <w:p w14:paraId="1EC704A8" w14:textId="77777777" w:rsidR="0058060E" w:rsidRPr="0058060E" w:rsidRDefault="0058060E" w:rsidP="0058060E">
            <w:pPr>
              <w:tabs>
                <w:tab w:val="left" w:pos="4050"/>
              </w:tabs>
              <w:ind w:right="175"/>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4. Cadmium content of forest soils (FS) and adjacent agricultural soils (AS) from </w:t>
            </w:r>
            <w:proofErr w:type="spell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xml:space="preserve">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Bars </w:t>
            </w:r>
            <w:proofErr w:type="gramStart"/>
            <w:r w:rsidRPr="0058060E">
              <w:rPr>
                <w:rFonts w:ascii="Times New Roman" w:eastAsia="Times New Roman" w:hAnsi="Times New Roman" w:cs="Times New Roman"/>
                <w:kern w:val="0"/>
                <w:sz w:val="24"/>
                <w:szCs w:val="24"/>
                <w14:ligatures w14:val="none"/>
              </w:rPr>
              <w:t>indicates</w:t>
            </w:r>
            <w:proofErr w:type="gramEnd"/>
            <w:r w:rsidRPr="0058060E">
              <w:rPr>
                <w:rFonts w:ascii="Times New Roman" w:eastAsia="Times New Roman" w:hAnsi="Times New Roman" w:cs="Times New Roman"/>
                <w:kern w:val="0"/>
                <w:sz w:val="24"/>
                <w:szCs w:val="24"/>
                <w14:ligatures w14:val="none"/>
              </w:rPr>
              <w:t xml:space="preserve"> mean ± standard error. For </w:t>
            </w:r>
            <w:proofErr w:type="spellStart"/>
            <w:proofErr w:type="gram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data</w:t>
            </w:r>
            <w:proofErr w:type="gramEnd"/>
            <w:r w:rsidRPr="0058060E">
              <w:rPr>
                <w:rFonts w:ascii="Times New Roman" w:eastAsia="Times New Roman" w:hAnsi="Times New Roman" w:cs="Times New Roman"/>
                <w:kern w:val="0"/>
                <w:sz w:val="24"/>
                <w:szCs w:val="24"/>
                <w14:ligatures w14:val="none"/>
              </w:rPr>
              <w:t xml:space="preserve"> are average of 10 spots; for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data are average of 5 spots. </w:t>
            </w:r>
            <w:r w:rsidRPr="0058060E">
              <w:rPr>
                <w:rFonts w:ascii="Times New Roman" w:eastAsia="Times New Roman" w:hAnsi="Times New Roman" w:cs="Times New Roman"/>
                <w:kern w:val="0"/>
                <w:sz w:val="24"/>
                <w:szCs w:val="24"/>
                <w:lang w:val="en-GB"/>
                <w14:ligatures w14:val="none"/>
              </w:rPr>
              <w:t>Bars with different letters indicate significant differences at the P≤0.05 level according to Tukey's HSD test.</w:t>
            </w:r>
          </w:p>
          <w:p w14:paraId="540A576E" w14:textId="77777777" w:rsidR="0058060E" w:rsidRDefault="0058060E" w:rsidP="0058060E">
            <w:pPr>
              <w:ind w:right="175"/>
              <w:jc w:val="both"/>
              <w:rPr>
                <w:rFonts w:ascii="Times New Roman" w:eastAsia="Times New Roman" w:hAnsi="Times New Roman" w:cs="Times New Roman"/>
                <w:kern w:val="0"/>
                <w:sz w:val="24"/>
                <w:szCs w:val="24"/>
                <w14:ligatures w14:val="none"/>
              </w:rPr>
            </w:pPr>
          </w:p>
        </w:tc>
        <w:tc>
          <w:tcPr>
            <w:tcW w:w="4364" w:type="dxa"/>
          </w:tcPr>
          <w:p w14:paraId="2BC8EBDB" w14:textId="77777777" w:rsidR="0058060E" w:rsidRPr="0058060E" w:rsidRDefault="0058060E" w:rsidP="0058060E">
            <w:pPr>
              <w:ind w:left="149"/>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5. Correlation between available P and that of Cd content of forest soils and adjacent agricultural soils from </w:t>
            </w:r>
            <w:proofErr w:type="spell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xml:space="preserve">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w:t>
            </w:r>
          </w:p>
          <w:p w14:paraId="560D02AE" w14:textId="77777777" w:rsidR="0058060E" w:rsidRDefault="0058060E" w:rsidP="0058060E">
            <w:pPr>
              <w:ind w:left="149"/>
              <w:jc w:val="both"/>
              <w:rPr>
                <w:rFonts w:ascii="Times New Roman" w:eastAsia="Times New Roman" w:hAnsi="Times New Roman" w:cs="Times New Roman"/>
                <w:kern w:val="0"/>
                <w:sz w:val="24"/>
                <w:szCs w:val="24"/>
                <w14:ligatures w14:val="none"/>
              </w:rPr>
            </w:pPr>
          </w:p>
        </w:tc>
      </w:tr>
    </w:tbl>
    <w:p w14:paraId="68846A3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Cumulated data of available phosphorus and cadmium contents were significantly correlated, particularl</w:t>
      </w:r>
      <w:r w:rsidR="0071286A">
        <w:rPr>
          <w:rFonts w:ascii="Times New Roman" w:eastAsia="Times New Roman" w:hAnsi="Times New Roman" w:cs="Times New Roman"/>
          <w:kern w:val="0"/>
          <w:sz w:val="24"/>
          <w:szCs w:val="24"/>
          <w14:ligatures w14:val="none"/>
        </w:rPr>
        <w:t>y in agricultural soil (Figure 5</w:t>
      </w:r>
      <w:r w:rsidRPr="00707AC4">
        <w:rPr>
          <w:rFonts w:ascii="Times New Roman" w:eastAsia="Times New Roman" w:hAnsi="Times New Roman" w:cs="Times New Roman"/>
          <w:kern w:val="0"/>
          <w:sz w:val="24"/>
          <w:szCs w:val="24"/>
          <w14:ligatures w14:val="none"/>
        </w:rPr>
        <w:t xml:space="preserve">). This positive correlation suggests that further agricultural soil phosphorus application is conducive to cadmium uptake and accumulation. Studies indicate that increased phosphorus availability in soils promotes </w:t>
      </w:r>
      <w:r w:rsidRPr="000E2C0C">
        <w:rPr>
          <w:rFonts w:ascii="Times New Roman" w:eastAsia="Times New Roman" w:hAnsi="Times New Roman" w:cs="Times New Roman"/>
          <w:color w:val="000000" w:themeColor="text1"/>
          <w:kern w:val="0"/>
          <w:sz w:val="24"/>
          <w:szCs w:val="24"/>
          <w14:ligatures w14:val="none"/>
        </w:rPr>
        <w:t>cadmium bioavailability in plants (</w:t>
      </w:r>
      <w:r w:rsidR="005B199E" w:rsidRPr="000E2C0C">
        <w:rPr>
          <w:rFonts w:ascii="Times New Roman" w:hAnsi="Times New Roman" w:cs="Times New Roman"/>
          <w:color w:val="000000" w:themeColor="text1"/>
          <w:sz w:val="24"/>
          <w:szCs w:val="24"/>
        </w:rPr>
        <w:t xml:space="preserve">Al </w:t>
      </w:r>
      <w:proofErr w:type="spellStart"/>
      <w:r w:rsidR="005B199E" w:rsidRPr="000E2C0C">
        <w:rPr>
          <w:rFonts w:ascii="Times New Roman" w:hAnsi="Times New Roman" w:cs="Times New Roman"/>
          <w:color w:val="000000" w:themeColor="text1"/>
          <w:sz w:val="24"/>
          <w:szCs w:val="24"/>
        </w:rPr>
        <w:t>Yeamin</w:t>
      </w:r>
      <w:proofErr w:type="spellEnd"/>
      <w:r w:rsidR="005B199E" w:rsidRPr="000E2C0C">
        <w:rPr>
          <w:rFonts w:ascii="Times New Roman" w:hAnsi="Times New Roman" w:cs="Times New Roman"/>
          <w:color w:val="000000" w:themeColor="text1"/>
          <w:sz w:val="24"/>
          <w:szCs w:val="24"/>
        </w:rPr>
        <w:t xml:space="preserve"> et al. 2025</w:t>
      </w:r>
      <w:r w:rsidRPr="000E2C0C">
        <w:rPr>
          <w:rFonts w:ascii="Times New Roman" w:eastAsia="Times New Roman" w:hAnsi="Times New Roman" w:cs="Times New Roman"/>
          <w:color w:val="000000" w:themeColor="text1"/>
          <w:kern w:val="0"/>
          <w:sz w:val="24"/>
          <w:szCs w:val="24"/>
          <w14:ligatures w14:val="none"/>
        </w:rPr>
        <w:t xml:space="preserve">). The available phosphorus was positively correlated with cadmium in agricultural land, with a strong positive correlation (r= 0.72, p &lt; 0.01), indicating that phosphorus fertility can increase its bioavailability in the soil (hydro) (Akhter et al., 2009). The interactions of phosphorous and different heavy </w:t>
      </w:r>
      <w:r w:rsidRPr="00707AC4">
        <w:rPr>
          <w:rFonts w:ascii="Times New Roman" w:eastAsia="Times New Roman" w:hAnsi="Times New Roman" w:cs="Times New Roman"/>
          <w:kern w:val="0"/>
          <w:sz w:val="24"/>
          <w:szCs w:val="24"/>
          <w14:ligatures w14:val="none"/>
        </w:rPr>
        <w:t>metals (e.g., cadmium) in soils are less understood, and thus, investigation is needed to understand how phosphorous could aid in animal husbandry and help improve heavy metal uptake in crops.</w:t>
      </w:r>
    </w:p>
    <w:p w14:paraId="3AEBDAB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health highlights the importance of conservation of natural ecosystems like (forests). One example of a natural environment that issues these benefits is forest soils, which are abundant in organic carbon and nutrients that biota need to increase biodiversity through </w:t>
      </w:r>
      <w:r w:rsidRPr="000E2C0C">
        <w:rPr>
          <w:rFonts w:ascii="Times New Roman" w:eastAsia="Times New Roman" w:hAnsi="Times New Roman" w:cs="Times New Roman"/>
          <w:color w:val="000000" w:themeColor="text1"/>
          <w:kern w:val="0"/>
          <w:sz w:val="24"/>
          <w:szCs w:val="24"/>
          <w14:ligatures w14:val="none"/>
        </w:rPr>
        <w:t>improved water retention and long-term soil fertility (</w:t>
      </w:r>
      <w:r w:rsidR="00F24004" w:rsidRPr="000E2C0C">
        <w:rPr>
          <w:rFonts w:ascii="Times New Roman" w:eastAsia="Times New Roman" w:hAnsi="Times New Roman" w:cs="Times New Roman"/>
          <w:color w:val="000000" w:themeColor="text1"/>
          <w:kern w:val="0"/>
          <w:sz w:val="24"/>
          <w:szCs w:val="24"/>
          <w14:ligatures w14:val="none"/>
        </w:rPr>
        <w:t>Islam and Weil</w:t>
      </w:r>
      <w:r w:rsidR="00823927" w:rsidRPr="000E2C0C">
        <w:rPr>
          <w:rFonts w:ascii="Times New Roman" w:eastAsia="Times New Roman" w:hAnsi="Times New Roman" w:cs="Times New Roman"/>
          <w:color w:val="000000" w:themeColor="text1"/>
          <w:kern w:val="0"/>
          <w:sz w:val="24"/>
          <w:szCs w:val="24"/>
          <w14:ligatures w14:val="none"/>
        </w:rPr>
        <w:t>,</w:t>
      </w:r>
      <w:r w:rsidR="00F24004" w:rsidRPr="000E2C0C">
        <w:rPr>
          <w:rFonts w:ascii="Times New Roman" w:eastAsia="Times New Roman" w:hAnsi="Times New Roman" w:cs="Times New Roman"/>
          <w:color w:val="000000" w:themeColor="text1"/>
          <w:kern w:val="0"/>
          <w:sz w:val="24"/>
          <w:szCs w:val="24"/>
          <w14:ligatures w14:val="none"/>
        </w:rPr>
        <w:t xml:space="preserve"> 2000)</w:t>
      </w:r>
      <w:r w:rsidRPr="000E2C0C">
        <w:rPr>
          <w:rFonts w:ascii="Times New Roman" w:eastAsia="Times New Roman" w:hAnsi="Times New Roman" w:cs="Times New Roman"/>
          <w:color w:val="000000" w:themeColor="text1"/>
          <w:kern w:val="0"/>
          <w:sz w:val="24"/>
          <w:szCs w:val="24"/>
          <w14:ligatures w14:val="none"/>
        </w:rPr>
        <w:t xml:space="preserve">. Agricultural soils, in contrast, can produce crops but are subject to degradation if not managed. It is recommended to use sustainable practices such as organic farming, lower fertilizer application, and crop rotation to restore and maintain soil quality (Khan </w:t>
      </w:r>
      <w:r w:rsidR="00EB7222" w:rsidRPr="000E2C0C">
        <w:rPr>
          <w:rFonts w:ascii="Times New Roman" w:eastAsia="Times New Roman" w:hAnsi="Times New Roman" w:cs="Times New Roman"/>
          <w:color w:val="000000" w:themeColor="text1"/>
          <w:kern w:val="0"/>
          <w:sz w:val="24"/>
          <w:szCs w:val="24"/>
          <w14:ligatures w14:val="none"/>
        </w:rPr>
        <w:t>&amp; Hoque</w:t>
      </w:r>
      <w:r w:rsidRPr="000E2C0C">
        <w:rPr>
          <w:rFonts w:ascii="Times New Roman" w:eastAsia="Times New Roman" w:hAnsi="Times New Roman" w:cs="Times New Roman"/>
          <w:color w:val="000000" w:themeColor="text1"/>
          <w:kern w:val="0"/>
          <w:sz w:val="24"/>
          <w:szCs w:val="24"/>
          <w14:ligatures w14:val="none"/>
        </w:rPr>
        <w:t>, 2025). The increased soil cadmium levels in agricultural soils highlight the possible hazards of heavy metals contamination to human health through the food web. Furthermore, this soil degradation highlights the necessity of the shift toward the use of organic alternative fertilizers with lower heavy metals (</w:t>
      </w:r>
      <w:r w:rsidR="0042672D" w:rsidRPr="000E2C0C">
        <w:rPr>
          <w:rFonts w:ascii="Times New Roman" w:hAnsi="Times New Roman" w:cs="Times New Roman"/>
          <w:color w:val="000000" w:themeColor="text1"/>
          <w:sz w:val="24"/>
          <w:szCs w:val="24"/>
        </w:rPr>
        <w:t xml:space="preserve">Al </w:t>
      </w:r>
      <w:proofErr w:type="spellStart"/>
      <w:r w:rsidR="0042672D" w:rsidRPr="000E2C0C">
        <w:rPr>
          <w:rFonts w:ascii="Times New Roman" w:hAnsi="Times New Roman" w:cs="Times New Roman"/>
          <w:color w:val="000000" w:themeColor="text1"/>
          <w:sz w:val="24"/>
          <w:szCs w:val="24"/>
        </w:rPr>
        <w:t>Yeamin</w:t>
      </w:r>
      <w:proofErr w:type="spellEnd"/>
      <w:r w:rsidR="0042672D" w:rsidRPr="000E2C0C">
        <w:rPr>
          <w:rFonts w:ascii="Times New Roman" w:hAnsi="Times New Roman" w:cs="Times New Roman"/>
          <w:color w:val="000000" w:themeColor="text1"/>
          <w:sz w:val="24"/>
          <w:szCs w:val="24"/>
        </w:rPr>
        <w:t xml:space="preserve"> et al.</w:t>
      </w:r>
      <w:r w:rsidR="00823927" w:rsidRPr="000E2C0C">
        <w:rPr>
          <w:rFonts w:ascii="Times New Roman" w:hAnsi="Times New Roman" w:cs="Times New Roman"/>
          <w:color w:val="000000" w:themeColor="text1"/>
          <w:sz w:val="24"/>
          <w:szCs w:val="24"/>
        </w:rPr>
        <w:t>,</w:t>
      </w:r>
      <w:r w:rsidR="0042672D" w:rsidRPr="000E2C0C">
        <w:rPr>
          <w:rFonts w:ascii="Times New Roman" w:hAnsi="Times New Roman" w:cs="Times New Roman"/>
          <w:color w:val="000000" w:themeColor="text1"/>
          <w:sz w:val="24"/>
          <w:szCs w:val="24"/>
        </w:rPr>
        <w:t xml:space="preserve"> 2025</w:t>
      </w:r>
      <w:r w:rsidRPr="000E2C0C">
        <w:rPr>
          <w:rFonts w:ascii="Times New Roman" w:eastAsia="Times New Roman" w:hAnsi="Times New Roman" w:cs="Times New Roman"/>
          <w:color w:val="000000" w:themeColor="text1"/>
          <w:kern w:val="0"/>
          <w:sz w:val="24"/>
          <w:szCs w:val="24"/>
          <w14:ligatures w14:val="none"/>
        </w:rPr>
        <w:t>).</w:t>
      </w:r>
    </w:p>
    <w:p w14:paraId="05322EF8" w14:textId="77777777" w:rsidR="001C7522" w:rsidRDefault="001C7522" w:rsidP="00707AC4">
      <w:pPr>
        <w:spacing w:after="0" w:line="480" w:lineRule="auto"/>
        <w:jc w:val="both"/>
        <w:rPr>
          <w:rFonts w:ascii="Times New Roman" w:eastAsia="Times New Roman" w:hAnsi="Times New Roman" w:cs="Times New Roman"/>
          <w:kern w:val="0"/>
          <w:sz w:val="24"/>
          <w:szCs w:val="24"/>
          <w14:ligatures w14:val="none"/>
        </w:rPr>
      </w:pPr>
    </w:p>
    <w:p w14:paraId="71409211"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Conclusion</w:t>
      </w:r>
    </w:p>
    <w:p w14:paraId="55309C4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 xml:space="preserve">Forest soils contained a higher carbon and nitrogen content along with essential nutrients, whereas agricultural soil was more degraded, exhibiting features like depletion of nutrients and heavy metal contamination. These results reveal the detrimental effects of agricultural patterns and the importance of sustainable agriculture practices to guard soil fertility and prevent pollution. </w:t>
      </w:r>
    </w:p>
    <w:p w14:paraId="44E8EED8" w14:textId="77777777" w:rsidR="000E2C0C" w:rsidRDefault="000E2C0C" w:rsidP="00707AC4">
      <w:pPr>
        <w:spacing w:after="0" w:line="480" w:lineRule="auto"/>
        <w:jc w:val="both"/>
        <w:rPr>
          <w:rFonts w:ascii="Times New Roman" w:eastAsia="Times New Roman" w:hAnsi="Times New Roman" w:cs="Times New Roman"/>
          <w:kern w:val="0"/>
          <w:sz w:val="24"/>
          <w:szCs w:val="24"/>
          <w14:ligatures w14:val="none"/>
        </w:rPr>
      </w:pPr>
    </w:p>
    <w:p w14:paraId="371FA923" w14:textId="77777777" w:rsidR="00DB1E38"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5E62FD">
        <w:rPr>
          <w:rFonts w:ascii="Times New Roman" w:eastAsia="Times New Roman" w:hAnsi="Times New Roman" w:cs="Times New Roman"/>
          <w:i/>
          <w:kern w:val="0"/>
          <w:sz w:val="24"/>
          <w:szCs w:val="24"/>
          <w14:ligatures w14:val="none"/>
        </w:rPr>
        <w:t>Acknowledgement</w:t>
      </w:r>
      <w:r w:rsidRPr="00707AC4">
        <w:rPr>
          <w:rFonts w:ascii="Times New Roman" w:eastAsia="Times New Roman" w:hAnsi="Times New Roman" w:cs="Times New Roman"/>
          <w:kern w:val="0"/>
          <w:sz w:val="24"/>
          <w:szCs w:val="24"/>
          <w14:ligatures w14:val="none"/>
        </w:rPr>
        <w:t xml:space="preserve">: This research was supported by Special Research Allocation FY 2023-2024, No. SRG-233461, Ministry of Science and Technology, Bangladesh. The author acknowledges </w:t>
      </w:r>
      <w:proofErr w:type="spellStart"/>
      <w:r w:rsidRPr="00707AC4">
        <w:rPr>
          <w:rFonts w:ascii="Times New Roman" w:eastAsia="Times New Roman" w:hAnsi="Times New Roman" w:cs="Times New Roman"/>
          <w:kern w:val="0"/>
          <w:sz w:val="24"/>
          <w:szCs w:val="24"/>
          <w14:ligatures w14:val="none"/>
        </w:rPr>
        <w:t>Mr</w:t>
      </w:r>
      <w:proofErr w:type="spellEnd"/>
      <w:r w:rsidRPr="00707AC4">
        <w:rPr>
          <w:rFonts w:ascii="Times New Roman" w:eastAsia="Times New Roman" w:hAnsi="Times New Roman" w:cs="Times New Roman"/>
          <w:kern w:val="0"/>
          <w:sz w:val="24"/>
          <w:szCs w:val="24"/>
          <w14:ligatures w14:val="none"/>
        </w:rPr>
        <w:t xml:space="preserve"> MR Hoque (Lecturer, Department of Soil Science, HSTU, Dinajpur) for assistance in collecting soil samples.</w:t>
      </w:r>
    </w:p>
    <w:p w14:paraId="54A8874B" w14:textId="77777777" w:rsidR="000E2C0C" w:rsidRDefault="000E2C0C" w:rsidP="00707AC4">
      <w:pPr>
        <w:spacing w:after="0" w:line="480" w:lineRule="auto"/>
        <w:jc w:val="both"/>
        <w:rPr>
          <w:rFonts w:ascii="Times New Roman" w:eastAsia="Times New Roman" w:hAnsi="Times New Roman" w:cs="Times New Roman"/>
          <w:b/>
          <w:kern w:val="0"/>
          <w:sz w:val="24"/>
          <w:szCs w:val="24"/>
          <w14:ligatures w14:val="none"/>
        </w:rPr>
      </w:pPr>
    </w:p>
    <w:p w14:paraId="605B3172" w14:textId="77777777" w:rsidR="001C7522" w:rsidRDefault="001C7522" w:rsidP="00707AC4">
      <w:pPr>
        <w:spacing w:after="0" w:line="480" w:lineRule="auto"/>
        <w:jc w:val="both"/>
        <w:rPr>
          <w:rFonts w:ascii="Times New Roman" w:eastAsia="Times New Roman" w:hAnsi="Times New Roman" w:cs="Times New Roman"/>
          <w:b/>
          <w:kern w:val="0"/>
          <w:sz w:val="24"/>
          <w:szCs w:val="24"/>
          <w14:ligatures w14:val="none"/>
        </w:rPr>
      </w:pPr>
    </w:p>
    <w:p w14:paraId="2584BD27" w14:textId="77777777" w:rsidR="000B7F9B" w:rsidRPr="000F15E2" w:rsidRDefault="000B7F9B" w:rsidP="00707AC4">
      <w:pPr>
        <w:spacing w:after="0" w:line="480" w:lineRule="auto"/>
        <w:jc w:val="both"/>
        <w:rPr>
          <w:rFonts w:ascii="Times New Roman" w:eastAsia="Times New Roman" w:hAnsi="Times New Roman" w:cs="Times New Roman"/>
          <w:b/>
          <w:kern w:val="0"/>
          <w:sz w:val="24"/>
          <w:szCs w:val="24"/>
          <w14:ligatures w14:val="none"/>
        </w:rPr>
      </w:pPr>
      <w:r w:rsidRPr="000F15E2">
        <w:rPr>
          <w:rFonts w:ascii="Times New Roman" w:eastAsia="Times New Roman" w:hAnsi="Times New Roman" w:cs="Times New Roman"/>
          <w:b/>
          <w:kern w:val="0"/>
          <w:sz w:val="24"/>
          <w:szCs w:val="24"/>
          <w14:ligatures w14:val="none"/>
        </w:rPr>
        <w:t>References</w:t>
      </w:r>
    </w:p>
    <w:p w14:paraId="705959BB" w14:textId="77777777" w:rsidR="00DB7EFD" w:rsidRPr="001C7522" w:rsidRDefault="00E141EC" w:rsidP="001C7522">
      <w:pPr>
        <w:pStyle w:val="Heading2"/>
        <w:spacing w:before="0" w:line="240" w:lineRule="auto"/>
        <w:ind w:left="540" w:hanging="540"/>
        <w:jc w:val="both"/>
        <w:rPr>
          <w:rFonts w:ascii="Times New Roman" w:hAnsi="Times New Roman" w:cs="Times New Roman"/>
          <w:b w:val="0"/>
          <w:color w:val="333333"/>
          <w:sz w:val="24"/>
          <w:szCs w:val="24"/>
        </w:rPr>
      </w:pPr>
      <w:r w:rsidRPr="001C7522">
        <w:rPr>
          <w:rFonts w:ascii="Times New Roman" w:hAnsi="Times New Roman" w:cs="Times New Roman"/>
          <w:b w:val="0"/>
          <w:color w:val="auto"/>
          <w:sz w:val="24"/>
          <w:szCs w:val="24"/>
        </w:rPr>
        <w:t xml:space="preserve"> </w:t>
      </w:r>
      <w:r w:rsidR="00DB7EFD" w:rsidRPr="001C7522">
        <w:rPr>
          <w:rFonts w:ascii="Times New Roman" w:hAnsi="Times New Roman" w:cs="Times New Roman"/>
          <w:b w:val="0"/>
          <w:color w:val="000000"/>
          <w:sz w:val="24"/>
          <w:szCs w:val="24"/>
        </w:rPr>
        <w:t xml:space="preserve">Akhter A, </w:t>
      </w:r>
      <w:r w:rsidR="00DB7EFD" w:rsidRPr="001C7522">
        <w:rPr>
          <w:rFonts w:ascii="Times New Roman" w:hAnsi="Times New Roman" w:cs="Times New Roman"/>
          <w:b w:val="0"/>
          <w:bCs w:val="0"/>
          <w:color w:val="000000"/>
          <w:sz w:val="24"/>
          <w:szCs w:val="24"/>
        </w:rPr>
        <w:t>Khan MSH</w:t>
      </w:r>
      <w:r w:rsidR="00DB7EFD" w:rsidRPr="001C7522">
        <w:rPr>
          <w:rFonts w:ascii="Times New Roman" w:hAnsi="Times New Roman" w:cs="Times New Roman"/>
          <w:b w:val="0"/>
          <w:color w:val="000000"/>
          <w:sz w:val="24"/>
          <w:szCs w:val="24"/>
        </w:rPr>
        <w:t xml:space="preserve">, </w:t>
      </w:r>
      <w:proofErr w:type="spellStart"/>
      <w:r w:rsidR="00DB7EFD" w:rsidRPr="001C7522">
        <w:rPr>
          <w:rFonts w:ascii="Times New Roman" w:hAnsi="Times New Roman" w:cs="Times New Roman"/>
          <w:b w:val="0"/>
          <w:color w:val="000000"/>
          <w:sz w:val="24"/>
          <w:szCs w:val="24"/>
        </w:rPr>
        <w:t>Egashira</w:t>
      </w:r>
      <w:proofErr w:type="spellEnd"/>
      <w:r w:rsidR="00DB7EFD" w:rsidRPr="001C7522">
        <w:rPr>
          <w:rFonts w:ascii="Times New Roman" w:hAnsi="Times New Roman" w:cs="Times New Roman"/>
          <w:b w:val="0"/>
          <w:color w:val="000000"/>
          <w:sz w:val="24"/>
          <w:szCs w:val="24"/>
        </w:rPr>
        <w:t xml:space="preserve"> H, </w:t>
      </w:r>
      <w:proofErr w:type="spellStart"/>
      <w:r w:rsidR="00DB7EFD" w:rsidRPr="001C7522">
        <w:rPr>
          <w:rFonts w:ascii="Times New Roman" w:hAnsi="Times New Roman" w:cs="Times New Roman"/>
          <w:b w:val="0"/>
          <w:color w:val="000000"/>
          <w:sz w:val="24"/>
          <w:szCs w:val="24"/>
        </w:rPr>
        <w:t>Tawaraya</w:t>
      </w:r>
      <w:proofErr w:type="spellEnd"/>
      <w:r w:rsidR="00DB7EFD" w:rsidRPr="001C7522">
        <w:rPr>
          <w:rFonts w:ascii="Times New Roman" w:hAnsi="Times New Roman" w:cs="Times New Roman"/>
          <w:b w:val="0"/>
          <w:color w:val="000000"/>
          <w:sz w:val="24"/>
          <w:szCs w:val="24"/>
        </w:rPr>
        <w:t xml:space="preserve"> K, Rao IM, Wenzl P, Ishikawa S and Wagatsuma T. 2009. Greater contribution of low-nutrient tolerance to the growths of sorghum and maize under combined stress conditions with high-aluminum and low-nutrients in solution culture simulating the nutrient status of tropical acid soils. </w:t>
      </w:r>
      <w:r w:rsidR="00DB7EFD" w:rsidRPr="001C7522">
        <w:rPr>
          <w:rFonts w:ascii="Times New Roman" w:hAnsi="Times New Roman" w:cs="Times New Roman"/>
          <w:b w:val="0"/>
          <w:iCs/>
          <w:color w:val="000000"/>
          <w:sz w:val="24"/>
          <w:szCs w:val="24"/>
        </w:rPr>
        <w:t>Soil Science and Plant Nutrition</w:t>
      </w:r>
      <w:r w:rsidR="00DB7EFD" w:rsidRPr="001C7522">
        <w:rPr>
          <w:rFonts w:ascii="Times New Roman" w:hAnsi="Times New Roman" w:cs="Times New Roman"/>
          <w:b w:val="0"/>
          <w:color w:val="000000"/>
          <w:sz w:val="24"/>
          <w:szCs w:val="24"/>
        </w:rPr>
        <w:t xml:space="preserve">. 55: 394-406. </w:t>
      </w:r>
      <w:hyperlink r:id="rId14" w:history="1">
        <w:r w:rsidR="00DB7EFD" w:rsidRPr="001C7522">
          <w:rPr>
            <w:rStyle w:val="Hyperlink"/>
            <w:rFonts w:ascii="Times New Roman" w:hAnsi="Times New Roman" w:cs="Times New Roman"/>
            <w:b w:val="0"/>
            <w:color w:val="006DB4"/>
            <w:sz w:val="24"/>
            <w:szCs w:val="24"/>
          </w:rPr>
          <w:t>https://doi.org/10.1111/j.1747-0765.2009.00372.x</w:t>
        </w:r>
      </w:hyperlink>
    </w:p>
    <w:p w14:paraId="2ED44F99" w14:textId="77777777" w:rsidR="00DB7EFD" w:rsidRPr="00DB477A" w:rsidRDefault="00DB7EFD" w:rsidP="001C7522">
      <w:pPr>
        <w:pStyle w:val="Default"/>
        <w:ind w:left="540" w:hanging="540"/>
        <w:jc w:val="both"/>
        <w:rPr>
          <w:rFonts w:ascii="Times New Roman" w:hAnsi="Times New Roman" w:cs="Times New Roman"/>
        </w:rPr>
      </w:pPr>
      <w:r w:rsidRPr="001C7522">
        <w:rPr>
          <w:rFonts w:ascii="Times New Roman" w:hAnsi="Times New Roman" w:cs="Times New Roman"/>
        </w:rPr>
        <w:t xml:space="preserve">Al </w:t>
      </w:r>
      <w:proofErr w:type="spellStart"/>
      <w:r w:rsidRPr="001C7522">
        <w:rPr>
          <w:rFonts w:ascii="Times New Roman" w:hAnsi="Times New Roman" w:cs="Times New Roman"/>
        </w:rPr>
        <w:t>Yeamin</w:t>
      </w:r>
      <w:proofErr w:type="spellEnd"/>
      <w:r w:rsidRPr="001C7522">
        <w:rPr>
          <w:rFonts w:ascii="Times New Roman" w:hAnsi="Times New Roman" w:cs="Times New Roman"/>
        </w:rPr>
        <w:t xml:space="preserve"> A, Mia M.Y, Khan SR, Rahman MS, </w:t>
      </w:r>
      <w:proofErr w:type="spellStart"/>
      <w:r w:rsidRPr="001C7522">
        <w:rPr>
          <w:rFonts w:ascii="Times New Roman" w:hAnsi="Times New Roman" w:cs="Times New Roman"/>
        </w:rPr>
        <w:t>Senapathi</w:t>
      </w:r>
      <w:proofErr w:type="spellEnd"/>
      <w:r w:rsidRPr="001C7522">
        <w:rPr>
          <w:rFonts w:ascii="Times New Roman" w:hAnsi="Times New Roman" w:cs="Times New Roman"/>
        </w:rPr>
        <w:t xml:space="preserve"> V, Islam ARM. (2025)</w:t>
      </w:r>
      <w:r w:rsidRPr="00DB477A">
        <w:rPr>
          <w:rFonts w:ascii="Times New Roman" w:hAnsi="Times New Roman" w:cs="Times New Roman"/>
        </w:rPr>
        <w:t xml:space="preserve"> Innovative strategies for pollution assessment in Northern Bangladesh: Mapping pollution areas and tracing metal(loid)s sources in various soil types. </w:t>
      </w:r>
      <w:proofErr w:type="spellStart"/>
      <w:r w:rsidRPr="00DB477A">
        <w:rPr>
          <w:rFonts w:ascii="Times New Roman" w:hAnsi="Times New Roman" w:cs="Times New Roman"/>
        </w:rPr>
        <w:t>PLoS</w:t>
      </w:r>
      <w:proofErr w:type="spellEnd"/>
      <w:r w:rsidRPr="00DB477A">
        <w:rPr>
          <w:rFonts w:ascii="Times New Roman" w:hAnsi="Times New Roman" w:cs="Times New Roman"/>
        </w:rPr>
        <w:t xml:space="preserve"> ONE 20(2): e0311270. </w:t>
      </w:r>
      <w:hyperlink r:id="rId15" w:history="1">
        <w:r w:rsidRPr="00DB477A">
          <w:rPr>
            <w:rStyle w:val="Hyperlink"/>
            <w:rFonts w:ascii="Times New Roman" w:hAnsi="Times New Roman" w:cs="Times New Roman"/>
          </w:rPr>
          <w:t>https://doi.org/10.1371/journal.pone.0311270</w:t>
        </w:r>
      </w:hyperlink>
      <w:r w:rsidRPr="00DB477A">
        <w:rPr>
          <w:rFonts w:ascii="Times New Roman" w:hAnsi="Times New Roman" w:cs="Times New Roman"/>
        </w:rPr>
        <w:t xml:space="preserve">  </w:t>
      </w:r>
    </w:p>
    <w:p w14:paraId="21FE7361" w14:textId="77777777" w:rsidR="00DB7EFD" w:rsidRDefault="00DB7EFD" w:rsidP="001C7522">
      <w:pPr>
        <w:spacing w:after="0" w:line="240" w:lineRule="auto"/>
        <w:ind w:left="540" w:hanging="540"/>
        <w:jc w:val="both"/>
        <w:rPr>
          <w:rFonts w:ascii="Times New Roman" w:hAnsi="Times New Roman" w:cs="Times New Roman"/>
          <w:sz w:val="24"/>
          <w:szCs w:val="24"/>
        </w:rPr>
      </w:pPr>
      <w:proofErr w:type="spellStart"/>
      <w:r w:rsidRPr="000F15E2">
        <w:rPr>
          <w:rFonts w:ascii="Times New Roman" w:hAnsi="Times New Roman" w:cs="Times New Roman"/>
          <w:sz w:val="24"/>
          <w:szCs w:val="24"/>
        </w:rPr>
        <w:t>Bayabil</w:t>
      </w:r>
      <w:proofErr w:type="spellEnd"/>
      <w:r w:rsidRPr="000F15E2">
        <w:rPr>
          <w:rFonts w:ascii="Times New Roman" w:hAnsi="Times New Roman" w:cs="Times New Roman"/>
          <w:sz w:val="24"/>
          <w:szCs w:val="24"/>
        </w:rPr>
        <w:t xml:space="preserve">, H.K., Li, Y., Tong, Z., &amp; Gao, B. </w:t>
      </w:r>
      <w:r>
        <w:rPr>
          <w:rFonts w:ascii="Times New Roman" w:hAnsi="Times New Roman" w:cs="Times New Roman"/>
          <w:sz w:val="24"/>
          <w:szCs w:val="24"/>
        </w:rPr>
        <w:t>(</w:t>
      </w:r>
      <w:r w:rsidRPr="000F15E2">
        <w:rPr>
          <w:rFonts w:ascii="Times New Roman" w:hAnsi="Times New Roman" w:cs="Times New Roman"/>
          <w:sz w:val="24"/>
          <w:szCs w:val="24"/>
        </w:rPr>
        <w:t>2021</w:t>
      </w:r>
      <w:r>
        <w:rPr>
          <w:rFonts w:ascii="Times New Roman" w:hAnsi="Times New Roman" w:cs="Times New Roman"/>
          <w:sz w:val="24"/>
          <w:szCs w:val="24"/>
        </w:rPr>
        <w:t>)</w:t>
      </w:r>
      <w:r w:rsidRPr="000F15E2">
        <w:rPr>
          <w:rFonts w:ascii="Times New Roman" w:hAnsi="Times New Roman" w:cs="Times New Roman"/>
          <w:sz w:val="24"/>
          <w:szCs w:val="24"/>
        </w:rPr>
        <w:t xml:space="preserve">. Potential management practices of saltwater intrusion impacts on soil health and water quality: a review. Journal of Water and Climate Change. 12(5): 1327-1343. </w:t>
      </w:r>
      <w:proofErr w:type="spellStart"/>
      <w:r w:rsidRPr="000F15E2">
        <w:rPr>
          <w:rFonts w:ascii="Times New Roman" w:hAnsi="Times New Roman" w:cs="Times New Roman"/>
          <w:sz w:val="24"/>
          <w:szCs w:val="24"/>
        </w:rPr>
        <w:t>doi</w:t>
      </w:r>
      <w:proofErr w:type="spellEnd"/>
      <w:r w:rsidRPr="000F15E2">
        <w:rPr>
          <w:rFonts w:ascii="Times New Roman" w:hAnsi="Times New Roman" w:cs="Times New Roman"/>
          <w:sz w:val="24"/>
          <w:szCs w:val="24"/>
        </w:rPr>
        <w:t>: 10.2166/wcc.2020.013</w:t>
      </w:r>
    </w:p>
    <w:p w14:paraId="399D1F10" w14:textId="77777777" w:rsidR="00DB7EFD" w:rsidRPr="00420B1C" w:rsidRDefault="00DB7EFD" w:rsidP="001C7522">
      <w:pPr>
        <w:spacing w:after="0" w:line="240" w:lineRule="auto"/>
        <w:ind w:left="540" w:hanging="540"/>
        <w:rPr>
          <w:rFonts w:ascii="Times New Roman" w:eastAsia="Times New Roman" w:hAnsi="Times New Roman" w:cs="Times New Roman"/>
          <w:kern w:val="0"/>
          <w:sz w:val="24"/>
          <w:szCs w:val="24"/>
          <w14:ligatures w14:val="none"/>
        </w:rPr>
      </w:pPr>
      <w:r w:rsidRPr="00420B1C">
        <w:rPr>
          <w:rFonts w:ascii="Times New Roman" w:eastAsia="Times New Roman" w:hAnsi="Times New Roman" w:cs="Times New Roman"/>
          <w:kern w:val="0"/>
          <w:sz w:val="24"/>
          <w:szCs w:val="24"/>
          <w14:ligatures w14:val="none"/>
        </w:rPr>
        <w:t>Bray, R.H., &amp; Kurtz, L.T. (1945). Determination of total organic and available forms of phosphorus in soils. Soil Science, 59, 39-45.</w:t>
      </w:r>
    </w:p>
    <w:p w14:paraId="5BBD85F2" w14:textId="77777777" w:rsidR="00DB7EFD" w:rsidRPr="000F15E2" w:rsidRDefault="00DB7EFD" w:rsidP="001C7522">
      <w:pPr>
        <w:spacing w:after="0" w:line="240" w:lineRule="auto"/>
        <w:ind w:left="540" w:hanging="540"/>
        <w:rPr>
          <w:rFonts w:ascii="Times New Roman" w:eastAsia="Times New Roman" w:hAnsi="Times New Roman" w:cs="Times New Roman"/>
          <w:kern w:val="0"/>
          <w:sz w:val="24"/>
          <w:szCs w:val="24"/>
          <w14:ligatures w14:val="none"/>
        </w:rPr>
      </w:pPr>
      <w:r w:rsidRPr="000F15E2">
        <w:rPr>
          <w:rFonts w:ascii="Times New Roman" w:eastAsia="Times New Roman" w:hAnsi="Times New Roman" w:cs="Times New Roman"/>
          <w:kern w:val="0"/>
          <w:sz w:val="24"/>
          <w:szCs w:val="24"/>
          <w14:ligatures w14:val="none"/>
        </w:rPr>
        <w:t>Bremner, J.M. (1996). Nitrogen-Total. In: D.L. Sparks (Ed.), Methods of Soil</w:t>
      </w:r>
      <w:r w:rsidRPr="000F15E2">
        <w:rPr>
          <w:rFonts w:ascii="Times New Roman" w:eastAsia="Times New Roman" w:hAnsi="Times New Roman" w:cs="Times New Roman"/>
          <w:kern w:val="0"/>
          <w:sz w:val="24"/>
          <w:szCs w:val="24"/>
          <w14:ligatures w14:val="none"/>
        </w:rPr>
        <w:t> </w:t>
      </w:r>
      <w:r w:rsidRPr="000F15E2">
        <w:rPr>
          <w:rFonts w:ascii="Times New Roman" w:eastAsia="Times New Roman" w:hAnsi="Times New Roman" w:cs="Times New Roman"/>
          <w:kern w:val="0"/>
          <w:sz w:val="24"/>
          <w:szCs w:val="24"/>
          <w14:ligatures w14:val="none"/>
        </w:rPr>
        <w:t>Analysis: Part 3 Chemical Methods. pp. 1085–1121 SSSA, Madison, WI.</w:t>
      </w:r>
    </w:p>
    <w:p w14:paraId="10C88CA7" w14:textId="77777777" w:rsidR="00DB7EFD" w:rsidRPr="000F15E2" w:rsidRDefault="00DB7EFD"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Fox, R. L., Olson, R. A. &amp; Rhoades, H. F. (1964). Evaluating the sulfur status of soils by plant and soil tests. Soil Sci. Soc. Amer. Proc. 28: 243-246</w:t>
      </w:r>
    </w:p>
    <w:p w14:paraId="78C8A02E" w14:textId="77777777" w:rsidR="00DB7EFD" w:rsidRPr="00DB477A"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DB477A">
        <w:rPr>
          <w:rFonts w:ascii="Times New Roman" w:eastAsia="Times New Roman" w:hAnsi="Times New Roman" w:cs="Times New Roman"/>
          <w:kern w:val="0"/>
          <w:sz w:val="24"/>
          <w:szCs w:val="24"/>
          <w14:ligatures w14:val="none"/>
        </w:rPr>
        <w:t xml:space="preserve">Gol, C. </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2009</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 xml:space="preserve">. </w:t>
      </w:r>
      <w:r w:rsidRPr="00DB477A">
        <w:rPr>
          <w:rFonts w:ascii="Times New Roman" w:hAnsi="Times New Roman" w:cs="Times New Roman"/>
          <w:sz w:val="24"/>
          <w:szCs w:val="24"/>
        </w:rPr>
        <w:t xml:space="preserve">The effects of land use change on soil properties and organic carbon at </w:t>
      </w:r>
      <w:proofErr w:type="spellStart"/>
      <w:r w:rsidRPr="00DB477A">
        <w:rPr>
          <w:rFonts w:ascii="Times New Roman" w:hAnsi="Times New Roman" w:cs="Times New Roman"/>
          <w:sz w:val="24"/>
          <w:szCs w:val="24"/>
        </w:rPr>
        <w:t>Dagdami</w:t>
      </w:r>
      <w:proofErr w:type="spellEnd"/>
      <w:r w:rsidRPr="00DB477A">
        <w:rPr>
          <w:rFonts w:ascii="Times New Roman" w:hAnsi="Times New Roman" w:cs="Times New Roman"/>
          <w:sz w:val="24"/>
          <w:szCs w:val="24"/>
        </w:rPr>
        <w:t xml:space="preserve"> river catchment in Turkey. Journal of Environmental Biology. 30(5): 825-830. </w:t>
      </w:r>
      <w:hyperlink r:id="rId16" w:history="1">
        <w:r w:rsidRPr="00DB477A">
          <w:rPr>
            <w:rStyle w:val="Hyperlink"/>
            <w:rFonts w:ascii="Times New Roman" w:hAnsi="Times New Roman" w:cs="Times New Roman"/>
            <w:color w:val="auto"/>
            <w:sz w:val="24"/>
            <w:szCs w:val="24"/>
          </w:rPr>
          <w:t>https://www.jeb.co.in/journal_issues/200909_sep09_supp/paper_09.pdf</w:t>
        </w:r>
      </w:hyperlink>
      <w:r w:rsidRPr="00DB477A">
        <w:rPr>
          <w:rFonts w:ascii="Times New Roman" w:hAnsi="Times New Roman" w:cs="Times New Roman"/>
          <w:sz w:val="24"/>
          <w:szCs w:val="24"/>
        </w:rPr>
        <w:t xml:space="preserve"> </w:t>
      </w:r>
    </w:p>
    <w:p w14:paraId="43B609C9"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A02C90">
        <w:rPr>
          <w:rFonts w:ascii="Times New Roman" w:eastAsia="Times New Roman" w:hAnsi="Times New Roman" w:cs="Times New Roman"/>
          <w:kern w:val="0"/>
          <w:sz w:val="24"/>
          <w:szCs w:val="24"/>
          <w14:ligatures w14:val="none"/>
        </w:rPr>
        <w:t xml:space="preserve">Hoque, M.R., &amp; Khan, M.S.H. (2024). </w:t>
      </w:r>
      <w:r w:rsidRPr="00A02C90">
        <w:rPr>
          <w:rFonts w:ascii="Times New Roman" w:eastAsia="Times New Roman" w:hAnsi="Times New Roman" w:cs="Times New Roman"/>
          <w:iCs/>
          <w:kern w:val="0"/>
          <w:sz w:val="24"/>
          <w:szCs w:val="24"/>
          <w14:ligatures w14:val="none"/>
        </w:rPr>
        <w:t>Greater growth and yield response of nano urea with conventional urea for potato (Solanum tuberosum) cultivation</w:t>
      </w:r>
      <w:r w:rsidRPr="00A02C90">
        <w:rPr>
          <w:rFonts w:ascii="Times New Roman" w:eastAsia="Times New Roman" w:hAnsi="Times New Roman" w:cs="Times New Roman"/>
          <w:kern w:val="0"/>
          <w:sz w:val="24"/>
          <w:szCs w:val="24"/>
          <w14:ligatures w14:val="none"/>
        </w:rPr>
        <w:t xml:space="preserve">. International </w:t>
      </w:r>
      <w:r w:rsidRPr="00A02C90">
        <w:rPr>
          <w:rFonts w:ascii="Times New Roman" w:eastAsia="Times New Roman" w:hAnsi="Times New Roman" w:cs="Times New Roman"/>
          <w:kern w:val="0"/>
          <w:sz w:val="24"/>
          <w:szCs w:val="24"/>
          <w14:ligatures w14:val="none"/>
        </w:rPr>
        <w:lastRenderedPageBreak/>
        <w:t>Journal of Biological Engineering and Agriculture, 3(3), 378-385.</w:t>
      </w:r>
      <w:r w:rsidRPr="00E141EC">
        <w:rPr>
          <w:rFonts w:ascii="Times New Roman" w:eastAsia="Times New Roman" w:hAnsi="Times New Roman" w:cs="Times New Roman"/>
          <w:color w:val="002060"/>
          <w:kern w:val="0"/>
          <w:sz w:val="24"/>
          <w:szCs w:val="24"/>
          <w14:ligatures w14:val="none"/>
        </w:rPr>
        <w:t xml:space="preserve"> </w:t>
      </w:r>
      <w:hyperlink r:id="rId17" w:history="1">
        <w:r w:rsidRPr="00DB477A">
          <w:rPr>
            <w:rStyle w:val="Hyperlink"/>
            <w:rFonts w:ascii="Times New Roman" w:hAnsi="Times New Roman" w:cs="Times New Roman"/>
            <w:color w:val="4B7D92"/>
            <w:sz w:val="24"/>
            <w:szCs w:val="24"/>
            <w:shd w:val="clear" w:color="auto" w:fill="FFFFFF"/>
          </w:rPr>
          <w:t>https://doi.org/10.51699/ijbea.v3i3.69</w:t>
        </w:r>
      </w:hyperlink>
      <w:r w:rsidRPr="00DB477A">
        <w:rPr>
          <w:rFonts w:ascii="Times New Roman" w:hAnsi="Times New Roman" w:cs="Times New Roman"/>
          <w:sz w:val="24"/>
          <w:szCs w:val="24"/>
        </w:rPr>
        <w:t xml:space="preserve"> </w:t>
      </w:r>
    </w:p>
    <w:p w14:paraId="39A22E46"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DB477A">
        <w:rPr>
          <w:rFonts w:ascii="Times New Roman" w:hAnsi="Times New Roman" w:cs="Times New Roman"/>
          <w:sz w:val="24"/>
          <w:szCs w:val="24"/>
        </w:rPr>
        <w:t xml:space="preserve">Islam, K.R., &amp; Weil, R.R. </w:t>
      </w:r>
      <w:r>
        <w:rPr>
          <w:rFonts w:ascii="Times New Roman" w:hAnsi="Times New Roman" w:cs="Times New Roman"/>
          <w:sz w:val="24"/>
          <w:szCs w:val="24"/>
        </w:rPr>
        <w:t>(</w:t>
      </w:r>
      <w:r w:rsidRPr="00DB477A">
        <w:rPr>
          <w:rFonts w:ascii="Times New Roman" w:hAnsi="Times New Roman" w:cs="Times New Roman"/>
          <w:sz w:val="24"/>
          <w:szCs w:val="24"/>
        </w:rPr>
        <w:t>2000</w:t>
      </w:r>
      <w:r>
        <w:rPr>
          <w:rFonts w:ascii="Times New Roman" w:hAnsi="Times New Roman" w:cs="Times New Roman"/>
          <w:sz w:val="24"/>
          <w:szCs w:val="24"/>
        </w:rPr>
        <w:t>)</w:t>
      </w:r>
      <w:r w:rsidRPr="00DB477A">
        <w:rPr>
          <w:rFonts w:ascii="Times New Roman" w:hAnsi="Times New Roman" w:cs="Times New Roman"/>
          <w:sz w:val="24"/>
          <w:szCs w:val="24"/>
        </w:rPr>
        <w:t xml:space="preserve">. Land use effects on soil quality in a tropical forest ecosystem of Bangladesh. Agriculture, Ecosystems and Environment. 79: 9-16. </w:t>
      </w:r>
      <w:hyperlink r:id="rId18" w:tgtFrame="_blank" w:tooltip="Persistent link using digital object identifier" w:history="1">
        <w:r w:rsidRPr="00DB477A">
          <w:rPr>
            <w:rStyle w:val="anchor-text"/>
            <w:rFonts w:ascii="Times New Roman" w:hAnsi="Times New Roman" w:cs="Times New Roman"/>
            <w:color w:val="0272B1"/>
            <w:sz w:val="24"/>
            <w:szCs w:val="24"/>
          </w:rPr>
          <w:t>https://doi.org/10.1016/S0167-8809(99)00145-0</w:t>
        </w:r>
      </w:hyperlink>
      <w:r w:rsidRPr="00DB477A">
        <w:rPr>
          <w:rFonts w:ascii="Times New Roman" w:hAnsi="Times New Roman" w:cs="Times New Roman"/>
          <w:sz w:val="24"/>
          <w:szCs w:val="24"/>
        </w:rPr>
        <w:t xml:space="preserve"> </w:t>
      </w:r>
    </w:p>
    <w:p w14:paraId="1DD60D7F" w14:textId="77777777" w:rsidR="00DB7EFD" w:rsidRPr="000F15E2" w:rsidRDefault="00DB7EFD"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 xml:space="preserve">Jackson, M.L. </w:t>
      </w:r>
      <w:r>
        <w:rPr>
          <w:rFonts w:ascii="Times New Roman" w:hAnsi="Times New Roman" w:cs="Times New Roman"/>
          <w:sz w:val="24"/>
          <w:szCs w:val="24"/>
        </w:rPr>
        <w:t>(</w:t>
      </w:r>
      <w:r w:rsidRPr="000F15E2">
        <w:rPr>
          <w:rFonts w:ascii="Times New Roman" w:hAnsi="Times New Roman" w:cs="Times New Roman"/>
          <w:sz w:val="24"/>
          <w:szCs w:val="24"/>
        </w:rPr>
        <w:t>1973</w:t>
      </w:r>
      <w:r>
        <w:rPr>
          <w:rFonts w:ascii="Times New Roman" w:hAnsi="Times New Roman" w:cs="Times New Roman"/>
          <w:sz w:val="24"/>
          <w:szCs w:val="24"/>
        </w:rPr>
        <w:t>)</w:t>
      </w:r>
      <w:r w:rsidRPr="000F15E2">
        <w:rPr>
          <w:rFonts w:ascii="Times New Roman" w:hAnsi="Times New Roman" w:cs="Times New Roman"/>
          <w:sz w:val="24"/>
          <w:szCs w:val="24"/>
        </w:rPr>
        <w:t>. Soil Chemical Analysis. Second edition. Printice Hall of India, New Delhi. p. 498.</w:t>
      </w:r>
    </w:p>
    <w:p w14:paraId="37D0815A" w14:textId="77777777" w:rsidR="00DB7EFD" w:rsidRPr="00DB477A" w:rsidRDefault="00DB7EFD" w:rsidP="001C7522">
      <w:pPr>
        <w:pStyle w:val="Default"/>
        <w:ind w:left="540" w:hanging="540"/>
        <w:jc w:val="both"/>
        <w:rPr>
          <w:rFonts w:ascii="Times New Roman" w:hAnsi="Times New Roman" w:cs="Times New Roman"/>
          <w:color w:val="222222"/>
          <w:shd w:val="clear" w:color="auto" w:fill="FFFFFF"/>
        </w:rPr>
      </w:pPr>
      <w:r w:rsidRPr="00DB477A">
        <w:rPr>
          <w:rFonts w:ascii="Times New Roman" w:hAnsi="Times New Roman" w:cs="Times New Roman"/>
        </w:rPr>
        <w:t>Kadoya, T.</w:t>
      </w:r>
      <w:proofErr w:type="gramStart"/>
      <w:r w:rsidRPr="00DB477A">
        <w:rPr>
          <w:rFonts w:ascii="Times New Roman" w:hAnsi="Times New Roman" w:cs="Times New Roman"/>
        </w:rPr>
        <w:t>,  Takeuchi</w:t>
      </w:r>
      <w:proofErr w:type="gramEnd"/>
      <w:r w:rsidRPr="00DB477A">
        <w:rPr>
          <w:rFonts w:ascii="Times New Roman" w:hAnsi="Times New Roman" w:cs="Times New Roman"/>
        </w:rPr>
        <w:t xml:space="preserve">, Y., Shinoda, Y., &amp; </w:t>
      </w:r>
      <w:proofErr w:type="spellStart"/>
      <w:r w:rsidRPr="00DB477A">
        <w:rPr>
          <w:rFonts w:ascii="Times New Roman" w:hAnsi="Times New Roman" w:cs="Times New Roman"/>
        </w:rPr>
        <w:t>Nansai</w:t>
      </w:r>
      <w:proofErr w:type="spellEnd"/>
      <w:r w:rsidRPr="00DB477A">
        <w:rPr>
          <w:rFonts w:ascii="Times New Roman" w:hAnsi="Times New Roman" w:cs="Times New Roman"/>
        </w:rPr>
        <w:t xml:space="preserve">, K. </w:t>
      </w:r>
      <w:r w:rsidR="006C2F8E">
        <w:rPr>
          <w:rFonts w:ascii="Times New Roman" w:hAnsi="Times New Roman" w:cs="Times New Roman"/>
        </w:rPr>
        <w:t>(</w:t>
      </w:r>
      <w:r w:rsidRPr="00DB477A">
        <w:rPr>
          <w:rFonts w:ascii="Times New Roman" w:hAnsi="Times New Roman" w:cs="Times New Roman"/>
        </w:rPr>
        <w:t>2022</w:t>
      </w:r>
      <w:r w:rsidR="006C2F8E">
        <w:rPr>
          <w:rFonts w:ascii="Times New Roman" w:hAnsi="Times New Roman" w:cs="Times New Roman"/>
        </w:rPr>
        <w:t>)</w:t>
      </w:r>
      <w:r w:rsidRPr="00DB477A">
        <w:rPr>
          <w:rFonts w:ascii="Times New Roman" w:hAnsi="Times New Roman" w:cs="Times New Roman"/>
        </w:rPr>
        <w:t xml:space="preserve">. Shifting agriculture is the dominant driver of forest disturbance in threatened forest species’ ranges. Communications Earth &amp; </w:t>
      </w:r>
      <w:proofErr w:type="spellStart"/>
      <w:r w:rsidRPr="00DB477A">
        <w:rPr>
          <w:rFonts w:ascii="Times New Roman" w:hAnsi="Times New Roman" w:cs="Times New Roman"/>
        </w:rPr>
        <w:t>Environemnt</w:t>
      </w:r>
      <w:proofErr w:type="spellEnd"/>
      <w:r w:rsidRPr="00DB477A">
        <w:rPr>
          <w:rFonts w:ascii="Times New Roman" w:hAnsi="Times New Roman" w:cs="Times New Roman"/>
        </w:rPr>
        <w:t xml:space="preserve">. 3: 1-8. </w:t>
      </w:r>
      <w:hyperlink r:id="rId19" w:history="1">
        <w:r w:rsidRPr="00DB477A">
          <w:rPr>
            <w:rStyle w:val="Hyperlink"/>
            <w:rFonts w:ascii="Times New Roman" w:hAnsi="Times New Roman" w:cs="Times New Roman"/>
            <w:shd w:val="clear" w:color="auto" w:fill="FFFFFF"/>
          </w:rPr>
          <w:t>https://doi.org/10.1038/s43247-022-00434-5</w:t>
        </w:r>
      </w:hyperlink>
      <w:r w:rsidRPr="00DB477A">
        <w:rPr>
          <w:rFonts w:ascii="Times New Roman" w:hAnsi="Times New Roman" w:cs="Times New Roman"/>
          <w:color w:val="222222"/>
          <w:shd w:val="clear" w:color="auto" w:fill="FFFFFF"/>
        </w:rPr>
        <w:t xml:space="preserve"> </w:t>
      </w:r>
    </w:p>
    <w:p w14:paraId="54FF26B8"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E141EC">
        <w:rPr>
          <w:rFonts w:ascii="Times New Roman" w:hAnsi="Times New Roman" w:cs="Times New Roman"/>
          <w:sz w:val="24"/>
          <w:szCs w:val="24"/>
        </w:rPr>
        <w:t>Khan MSH</w:t>
      </w:r>
      <w:r w:rsidRPr="00DB477A">
        <w:rPr>
          <w:rFonts w:ascii="Times New Roman" w:hAnsi="Times New Roman" w:cs="Times New Roman"/>
          <w:sz w:val="24"/>
          <w:szCs w:val="24"/>
        </w:rPr>
        <w:t xml:space="preserve">, Abedin Mian MJ and Ahammed MS. </w:t>
      </w:r>
      <w:r w:rsidR="006C2F8E">
        <w:rPr>
          <w:rFonts w:ascii="Times New Roman" w:hAnsi="Times New Roman" w:cs="Times New Roman"/>
          <w:sz w:val="24"/>
          <w:szCs w:val="24"/>
        </w:rPr>
        <w:t>(</w:t>
      </w:r>
      <w:r w:rsidRPr="00DB477A">
        <w:rPr>
          <w:rFonts w:ascii="Times New Roman" w:hAnsi="Times New Roman" w:cs="Times New Roman"/>
          <w:sz w:val="24"/>
          <w:szCs w:val="24"/>
        </w:rPr>
        <w:t>2001</w:t>
      </w:r>
      <w:r w:rsidR="006C2F8E">
        <w:rPr>
          <w:rFonts w:ascii="Times New Roman" w:hAnsi="Times New Roman" w:cs="Times New Roman"/>
          <w:sz w:val="24"/>
          <w:szCs w:val="24"/>
        </w:rPr>
        <w:t>)</w:t>
      </w:r>
      <w:r w:rsidRPr="00DB477A">
        <w:rPr>
          <w:rFonts w:ascii="Times New Roman" w:hAnsi="Times New Roman" w:cs="Times New Roman"/>
          <w:sz w:val="24"/>
          <w:szCs w:val="24"/>
        </w:rPr>
        <w:t xml:space="preserve">. Phosphorus sorption </w:t>
      </w:r>
      <w:proofErr w:type="spellStart"/>
      <w:r w:rsidRPr="00DB477A">
        <w:rPr>
          <w:rFonts w:ascii="Times New Roman" w:hAnsi="Times New Roman" w:cs="Times New Roman"/>
          <w:sz w:val="24"/>
          <w:szCs w:val="24"/>
        </w:rPr>
        <w:t>behaviour</w:t>
      </w:r>
      <w:proofErr w:type="spellEnd"/>
      <w:r w:rsidRPr="00DB477A">
        <w:rPr>
          <w:rFonts w:ascii="Times New Roman" w:hAnsi="Times New Roman" w:cs="Times New Roman"/>
          <w:sz w:val="24"/>
          <w:szCs w:val="24"/>
        </w:rPr>
        <w:t xml:space="preserve"> of soils amended with organic and inorganic fertilizers. Indian Journal of Surface Science and Technology</w:t>
      </w:r>
      <w:r w:rsidRPr="00DB477A">
        <w:rPr>
          <w:rFonts w:ascii="Times New Roman" w:hAnsi="Times New Roman" w:cs="Times New Roman"/>
          <w:i/>
          <w:sz w:val="24"/>
          <w:szCs w:val="24"/>
        </w:rPr>
        <w:t>.</w:t>
      </w:r>
      <w:r w:rsidRPr="00DB477A">
        <w:rPr>
          <w:rFonts w:ascii="Times New Roman" w:hAnsi="Times New Roman" w:cs="Times New Roman"/>
          <w:sz w:val="24"/>
          <w:szCs w:val="24"/>
        </w:rPr>
        <w:t xml:space="preserve"> 17: 141-148. </w:t>
      </w:r>
    </w:p>
    <w:p w14:paraId="5B7D568E" w14:textId="77777777" w:rsidR="00DB7EFD" w:rsidRPr="00DB7EFD" w:rsidRDefault="00DB7EFD" w:rsidP="001C7522">
      <w:pPr>
        <w:tabs>
          <w:tab w:val="left" w:pos="993"/>
        </w:tabs>
        <w:spacing w:after="0" w:line="240" w:lineRule="auto"/>
        <w:ind w:left="540" w:hanging="540"/>
        <w:jc w:val="both"/>
        <w:rPr>
          <w:rFonts w:ascii="Times New Roman" w:hAnsi="Times New Roman" w:cs="Times New Roman"/>
          <w:color w:val="000000"/>
          <w:sz w:val="24"/>
          <w:szCs w:val="24"/>
        </w:rPr>
      </w:pPr>
      <w:r w:rsidRPr="00DB7EFD">
        <w:rPr>
          <w:rFonts w:ascii="Times New Roman" w:hAnsi="Times New Roman" w:cs="Times New Roman"/>
          <w:color w:val="000000"/>
          <w:sz w:val="24"/>
          <w:szCs w:val="24"/>
        </w:rPr>
        <w:t xml:space="preserve">Khan MSH, Akhter A, Wagatsuma T, </w:t>
      </w:r>
      <w:proofErr w:type="spellStart"/>
      <w:r w:rsidRPr="00DB7EFD">
        <w:rPr>
          <w:rFonts w:ascii="Times New Roman" w:hAnsi="Times New Roman" w:cs="Times New Roman"/>
          <w:color w:val="000000"/>
          <w:sz w:val="24"/>
          <w:szCs w:val="24"/>
        </w:rPr>
        <w:t>Egashira</w:t>
      </w:r>
      <w:proofErr w:type="spellEnd"/>
      <w:r w:rsidRPr="00DB7EFD">
        <w:rPr>
          <w:rFonts w:ascii="Times New Roman" w:hAnsi="Times New Roman" w:cs="Times New Roman"/>
          <w:color w:val="000000"/>
          <w:sz w:val="24"/>
          <w:szCs w:val="24"/>
        </w:rPr>
        <w:t xml:space="preserve"> H, Rao IM and Ishikawa S. (2011). Tolerance to aluminum and nutrient stress in sorghum grown under simulated conditions of tropical acid soils.  </w:t>
      </w:r>
      <w:r w:rsidRPr="00DB7EFD">
        <w:rPr>
          <w:rFonts w:ascii="Times New Roman" w:hAnsi="Times New Roman" w:cs="Times New Roman"/>
          <w:i/>
          <w:color w:val="000000"/>
          <w:sz w:val="24"/>
          <w:szCs w:val="24"/>
        </w:rPr>
        <w:t>In</w:t>
      </w:r>
      <w:r w:rsidRPr="00DB7EFD">
        <w:rPr>
          <w:rFonts w:ascii="Times New Roman" w:hAnsi="Times New Roman" w:cs="Times New Roman"/>
          <w:color w:val="000000"/>
          <w:sz w:val="24"/>
          <w:szCs w:val="24"/>
        </w:rPr>
        <w:t xml:space="preserve">: TD Pereira (Ed.) Sorghum: Cultivation, Varieties and Uses. Nova Science Publishers Inc., New York. pp. 109-128. ISBN: 978-1-61209-688-9. </w:t>
      </w:r>
    </w:p>
    <w:p w14:paraId="726E6D22" w14:textId="77777777" w:rsidR="00DB7EFD" w:rsidRPr="00DB477A"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DB477A">
        <w:rPr>
          <w:rFonts w:ascii="Times New Roman" w:eastAsia="Times New Roman" w:hAnsi="Times New Roman" w:cs="Times New Roman"/>
          <w:kern w:val="0"/>
          <w:sz w:val="24"/>
          <w:szCs w:val="24"/>
          <w14:ligatures w14:val="none"/>
        </w:rPr>
        <w:t xml:space="preserve">Khan, M. S. H., Abedin Mian, M. J., Akhter, A., &amp; </w:t>
      </w:r>
      <w:proofErr w:type="spellStart"/>
      <w:r w:rsidRPr="00DB477A">
        <w:rPr>
          <w:rFonts w:ascii="Times New Roman" w:eastAsia="Times New Roman" w:hAnsi="Times New Roman" w:cs="Times New Roman"/>
          <w:kern w:val="0"/>
          <w:sz w:val="24"/>
          <w:szCs w:val="24"/>
          <w14:ligatures w14:val="none"/>
        </w:rPr>
        <w:t>Khosruzzaman</w:t>
      </w:r>
      <w:proofErr w:type="spellEnd"/>
      <w:r w:rsidRPr="00DB477A">
        <w:rPr>
          <w:rFonts w:ascii="Times New Roman" w:eastAsia="Times New Roman" w:hAnsi="Times New Roman" w:cs="Times New Roman"/>
          <w:kern w:val="0"/>
          <w:sz w:val="24"/>
          <w:szCs w:val="24"/>
          <w14:ligatures w14:val="none"/>
        </w:rPr>
        <w:t xml:space="preserve">, M. (2006). </w:t>
      </w:r>
      <w:proofErr w:type="spellStart"/>
      <w:r w:rsidRPr="00DB477A">
        <w:rPr>
          <w:rFonts w:ascii="Times New Roman" w:eastAsia="Times New Roman" w:hAnsi="Times New Roman" w:cs="Times New Roman"/>
          <w:kern w:val="0"/>
          <w:sz w:val="24"/>
          <w:szCs w:val="24"/>
          <w14:ligatures w14:val="none"/>
        </w:rPr>
        <w:t>Physico</w:t>
      </w:r>
      <w:proofErr w:type="spellEnd"/>
      <w:r w:rsidRPr="00DB477A">
        <w:rPr>
          <w:rFonts w:ascii="Times New Roman" w:eastAsia="Times New Roman" w:hAnsi="Times New Roman" w:cs="Times New Roman"/>
          <w:kern w:val="0"/>
          <w:sz w:val="24"/>
          <w:szCs w:val="24"/>
          <w14:ligatures w14:val="none"/>
        </w:rPr>
        <w:t xml:space="preserve">-chemical changes of paddy soils under long-term intensive fertilization. Asian Journal of Plant Science, 5, 105-111. </w:t>
      </w:r>
      <w:hyperlink r:id="rId20" w:history="1">
        <w:r w:rsidRPr="00DB477A">
          <w:rPr>
            <w:rStyle w:val="Hyperlink"/>
            <w:rFonts w:ascii="Times New Roman" w:eastAsia="Times New Roman" w:hAnsi="Times New Roman" w:cs="Times New Roman"/>
            <w:kern w:val="0"/>
            <w:sz w:val="24"/>
            <w:szCs w:val="24"/>
            <w14:ligatures w14:val="none"/>
          </w:rPr>
          <w:t>https://www.cabidigitallibrary.org/doi/full/10.5555/20063045771</w:t>
        </w:r>
      </w:hyperlink>
    </w:p>
    <w:p w14:paraId="115DB29B" w14:textId="77777777" w:rsidR="00DB7EFD" w:rsidRPr="00C82333" w:rsidRDefault="00DB7EFD" w:rsidP="001C7522">
      <w:pPr>
        <w:spacing w:after="0" w:line="240" w:lineRule="auto"/>
        <w:ind w:left="540" w:hanging="540"/>
        <w:jc w:val="both"/>
        <w:rPr>
          <w:rFonts w:ascii="Times New Roman" w:hAnsi="Times New Roman" w:cs="Times New Roman"/>
          <w:color w:val="000000" w:themeColor="text1"/>
          <w:sz w:val="24"/>
          <w:szCs w:val="24"/>
        </w:rPr>
      </w:pPr>
      <w:r w:rsidRPr="00C82333">
        <w:rPr>
          <w:rFonts w:ascii="Times New Roman" w:eastAsia="Times New Roman" w:hAnsi="Times New Roman" w:cs="Times New Roman"/>
          <w:color w:val="000000" w:themeColor="text1"/>
          <w:kern w:val="0"/>
          <w:sz w:val="24"/>
          <w:szCs w:val="24"/>
          <w14:ligatures w14:val="none"/>
        </w:rPr>
        <w:t xml:space="preserve">Khan, M.S.H., &amp; Hoque, M.R. (2025). </w:t>
      </w:r>
      <w:r w:rsidRPr="00C82333">
        <w:rPr>
          <w:rFonts w:ascii="Times New Roman" w:eastAsia="Times New Roman" w:hAnsi="Times New Roman" w:cs="Times New Roman"/>
          <w:iCs/>
          <w:color w:val="000000" w:themeColor="text1"/>
          <w:kern w:val="0"/>
          <w:sz w:val="24"/>
          <w:szCs w:val="24"/>
          <w14:ligatures w14:val="none"/>
        </w:rPr>
        <w:t>Optimizing NPKS Fertilization for Onion Yield and Soil Health in Dinajpur, Bangladesh</w:t>
      </w:r>
      <w:r w:rsidRPr="00C82333">
        <w:rPr>
          <w:rFonts w:ascii="Times New Roman" w:eastAsia="Times New Roman" w:hAnsi="Times New Roman" w:cs="Times New Roman"/>
          <w:color w:val="000000" w:themeColor="text1"/>
          <w:kern w:val="0"/>
          <w:sz w:val="24"/>
          <w:szCs w:val="24"/>
          <w14:ligatures w14:val="none"/>
        </w:rPr>
        <w:t xml:space="preserve">. International Journal of Plant and Soil Science, 37(3), 87-95. </w:t>
      </w:r>
      <w:hyperlink r:id="rId21" w:history="1">
        <w:r w:rsidRPr="006331E4">
          <w:rPr>
            <w:rStyle w:val="Hyperlink"/>
            <w:rFonts w:ascii="Times New Roman" w:hAnsi="Times New Roman" w:cs="Times New Roman"/>
            <w:sz w:val="24"/>
            <w:szCs w:val="24"/>
          </w:rPr>
          <w:t>https://doi.org/10.9734/ijpss/2025/v37i35350</w:t>
        </w:r>
      </w:hyperlink>
      <w:r>
        <w:rPr>
          <w:rFonts w:ascii="Times New Roman" w:hAnsi="Times New Roman" w:cs="Times New Roman"/>
          <w:color w:val="000000" w:themeColor="text1"/>
          <w:sz w:val="24"/>
          <w:szCs w:val="24"/>
        </w:rPr>
        <w:t xml:space="preserve"> </w:t>
      </w:r>
    </w:p>
    <w:p w14:paraId="5299A485" w14:textId="77777777" w:rsidR="00DB7EFD" w:rsidRPr="00DB477A" w:rsidRDefault="00DB7EFD" w:rsidP="001C7522">
      <w:pPr>
        <w:spacing w:after="0" w:line="240" w:lineRule="auto"/>
        <w:ind w:left="540" w:hanging="540"/>
        <w:jc w:val="both"/>
        <w:rPr>
          <w:rFonts w:ascii="Times New Roman" w:hAnsi="Times New Roman" w:cs="Times New Roman"/>
          <w:color w:val="222222"/>
          <w:sz w:val="24"/>
          <w:szCs w:val="24"/>
          <w:shd w:val="clear" w:color="auto" w:fill="FFFFFF"/>
        </w:rPr>
      </w:pPr>
      <w:r w:rsidRPr="00DB477A">
        <w:rPr>
          <w:rFonts w:ascii="Times New Roman" w:hAnsi="Times New Roman" w:cs="Times New Roman"/>
          <w:color w:val="222222"/>
          <w:sz w:val="24"/>
          <w:szCs w:val="24"/>
          <w:shd w:val="clear" w:color="auto" w:fill="FFFFFF"/>
        </w:rPr>
        <w:t>Li, Y., Liu, M., Wang, H. </w:t>
      </w:r>
      <w:r w:rsidRPr="00DB477A">
        <w:rPr>
          <w:rFonts w:ascii="Times New Roman" w:hAnsi="Times New Roman" w:cs="Times New Roman"/>
          <w:i/>
          <w:iCs/>
          <w:color w:val="222222"/>
          <w:sz w:val="24"/>
          <w:szCs w:val="24"/>
          <w:shd w:val="clear" w:color="auto" w:fill="FFFFFF"/>
        </w:rPr>
        <w:t>et al.</w:t>
      </w:r>
      <w:r w:rsidRPr="00DB477A">
        <w:rPr>
          <w:rFonts w:ascii="Times New Roman" w:hAnsi="Times New Roman" w:cs="Times New Roman"/>
          <w:color w:val="222222"/>
          <w:sz w:val="24"/>
          <w:szCs w:val="24"/>
          <w:shd w:val="clear" w:color="auto" w:fill="FFFFFF"/>
        </w:rPr>
        <w:t> </w:t>
      </w:r>
      <w:r w:rsidR="000E2C0C">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2024</w:t>
      </w:r>
      <w:r w:rsidR="000E2C0C">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 Effects of different phosphorus fertilizers on cadmium absorption and accumulation in rice under low-phosphorus and rich-cadmium soil. </w:t>
      </w:r>
      <w:r w:rsidRPr="005B199E">
        <w:rPr>
          <w:rFonts w:ascii="Times New Roman" w:hAnsi="Times New Roman" w:cs="Times New Roman"/>
          <w:iCs/>
          <w:color w:val="222222"/>
          <w:sz w:val="24"/>
          <w:szCs w:val="24"/>
          <w:shd w:val="clear" w:color="auto" w:fill="FFFFFF"/>
        </w:rPr>
        <w:t xml:space="preserve">Environ Sci </w:t>
      </w:r>
      <w:proofErr w:type="spellStart"/>
      <w:r w:rsidRPr="005B199E">
        <w:rPr>
          <w:rFonts w:ascii="Times New Roman" w:hAnsi="Times New Roman" w:cs="Times New Roman"/>
          <w:iCs/>
          <w:color w:val="222222"/>
          <w:sz w:val="24"/>
          <w:szCs w:val="24"/>
          <w:shd w:val="clear" w:color="auto" w:fill="FFFFFF"/>
        </w:rPr>
        <w:t>Pollut</w:t>
      </w:r>
      <w:proofErr w:type="spellEnd"/>
      <w:r w:rsidRPr="005B199E">
        <w:rPr>
          <w:rFonts w:ascii="Times New Roman" w:hAnsi="Times New Roman" w:cs="Times New Roman"/>
          <w:iCs/>
          <w:color w:val="222222"/>
          <w:sz w:val="24"/>
          <w:szCs w:val="24"/>
          <w:shd w:val="clear" w:color="auto" w:fill="FFFFFF"/>
        </w:rPr>
        <w:t xml:space="preserve"> Res.</w:t>
      </w:r>
      <w:r w:rsidRPr="005B199E">
        <w:rPr>
          <w:rFonts w:ascii="Times New Roman" w:hAnsi="Times New Roman" w:cs="Times New Roman"/>
          <w:color w:val="222222"/>
          <w:sz w:val="24"/>
          <w:szCs w:val="24"/>
          <w:shd w:val="clear" w:color="auto" w:fill="FFFFFF"/>
        </w:rPr>
        <w:t> </w:t>
      </w:r>
      <w:r w:rsidRPr="005B199E">
        <w:rPr>
          <w:rFonts w:ascii="Times New Roman" w:hAnsi="Times New Roman" w:cs="Times New Roman"/>
          <w:bCs/>
          <w:color w:val="222222"/>
          <w:sz w:val="24"/>
          <w:szCs w:val="24"/>
          <w:shd w:val="clear" w:color="auto" w:fill="FFFFFF"/>
        </w:rPr>
        <w:t>31</w:t>
      </w:r>
      <w:r w:rsidRPr="00DB477A">
        <w:rPr>
          <w:rFonts w:ascii="Times New Roman" w:hAnsi="Times New Roman" w:cs="Times New Roman"/>
          <w:b/>
          <w:bCs/>
          <w:color w:val="222222"/>
          <w:sz w:val="24"/>
          <w:szCs w:val="24"/>
          <w:shd w:val="clear" w:color="auto" w:fill="FFFFFF"/>
        </w:rPr>
        <w:t>:</w:t>
      </w:r>
      <w:r w:rsidRPr="00DB477A">
        <w:rPr>
          <w:rFonts w:ascii="Times New Roman" w:hAnsi="Times New Roman" w:cs="Times New Roman"/>
          <w:color w:val="222222"/>
          <w:sz w:val="24"/>
          <w:szCs w:val="24"/>
          <w:shd w:val="clear" w:color="auto" w:fill="FFFFFF"/>
        </w:rPr>
        <w:t xml:space="preserve"> 11898–11911. </w:t>
      </w:r>
      <w:hyperlink r:id="rId22" w:history="1">
        <w:r w:rsidRPr="00DB477A">
          <w:rPr>
            <w:rStyle w:val="Hyperlink"/>
            <w:rFonts w:ascii="Times New Roman" w:hAnsi="Times New Roman" w:cs="Times New Roman"/>
            <w:sz w:val="24"/>
            <w:szCs w:val="24"/>
            <w:shd w:val="clear" w:color="auto" w:fill="FFFFFF"/>
          </w:rPr>
          <w:t>https://doi.org/10.1007/s11356-024-31986-y</w:t>
        </w:r>
      </w:hyperlink>
    </w:p>
    <w:p w14:paraId="6B4975B4" w14:textId="77777777" w:rsidR="00DB7EFD" w:rsidRPr="00DB477A" w:rsidRDefault="00DB7EFD" w:rsidP="001C7522">
      <w:pPr>
        <w:pStyle w:val="Default"/>
        <w:ind w:left="540" w:hanging="540"/>
        <w:jc w:val="both"/>
        <w:rPr>
          <w:rFonts w:ascii="Times New Roman" w:hAnsi="Times New Roman" w:cs="Times New Roman"/>
        </w:rPr>
      </w:pPr>
      <w:r w:rsidRPr="00DB477A">
        <w:rPr>
          <w:rFonts w:ascii="Times New Roman" w:eastAsia="Times New Roman" w:hAnsi="Times New Roman" w:cs="Times New Roman"/>
          <w14:ligatures w14:val="none"/>
        </w:rPr>
        <w:t xml:space="preserve">Mahmood, H., Ahmed, M., Islam, T., Uddin, M.Z., Ahmed, Z.U. &amp; Saha, C. </w:t>
      </w:r>
      <w:r w:rsidR="000E2C0C">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2021</w:t>
      </w:r>
      <w:r w:rsidR="000E2C0C">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 xml:space="preserve">. Paradigm shift in the management of the Sundarbans mangrove forest of Bangladesh: Issues and challenges. </w:t>
      </w:r>
      <w:r w:rsidRPr="00DB477A">
        <w:rPr>
          <w:rFonts w:ascii="Times New Roman" w:hAnsi="Times New Roman" w:cs="Times New Roman"/>
        </w:rPr>
        <w:t xml:space="preserve">Trees, Forests and People. 5: 1-14. </w:t>
      </w:r>
      <w:hyperlink r:id="rId23" w:history="1">
        <w:r w:rsidRPr="00DB477A">
          <w:rPr>
            <w:rStyle w:val="Hyperlink"/>
            <w:rFonts w:ascii="Times New Roman" w:hAnsi="Times New Roman" w:cs="Times New Roman"/>
          </w:rPr>
          <w:t>https://doi.org/10.1016/j.tfp.2021.100094</w:t>
        </w:r>
      </w:hyperlink>
      <w:r w:rsidRPr="00DB477A">
        <w:rPr>
          <w:rFonts w:ascii="Times New Roman" w:hAnsi="Times New Roman" w:cs="Times New Roman"/>
        </w:rPr>
        <w:t xml:space="preserve"> </w:t>
      </w:r>
    </w:p>
    <w:p w14:paraId="7C35701A" w14:textId="77777777" w:rsidR="00DB7EFD" w:rsidRPr="00DB477A" w:rsidRDefault="00DB7EFD" w:rsidP="001C7522">
      <w:pPr>
        <w:pStyle w:val="Heading2"/>
        <w:spacing w:before="0" w:line="240" w:lineRule="auto"/>
        <w:ind w:left="540" w:hanging="540"/>
        <w:jc w:val="both"/>
        <w:rPr>
          <w:rFonts w:ascii="Times New Roman" w:hAnsi="Times New Roman" w:cs="Times New Roman"/>
          <w:b w:val="0"/>
          <w:color w:val="auto"/>
          <w:sz w:val="24"/>
          <w:szCs w:val="24"/>
        </w:rPr>
      </w:pPr>
      <w:proofErr w:type="spellStart"/>
      <w:r w:rsidRPr="00DB477A">
        <w:rPr>
          <w:rStyle w:val="text"/>
          <w:rFonts w:ascii="Times New Roman" w:hAnsi="Times New Roman" w:cs="Times New Roman"/>
          <w:b w:val="0"/>
          <w:color w:val="auto"/>
          <w:sz w:val="24"/>
          <w:szCs w:val="24"/>
        </w:rPr>
        <w:t>Maranguit</w:t>
      </w:r>
      <w:proofErr w:type="spellEnd"/>
      <w:r w:rsidRPr="00DB477A">
        <w:rPr>
          <w:rStyle w:val="text"/>
          <w:rFonts w:ascii="Times New Roman" w:hAnsi="Times New Roman" w:cs="Times New Roman"/>
          <w:b w:val="0"/>
          <w:color w:val="auto"/>
          <w:sz w:val="24"/>
          <w:szCs w:val="24"/>
        </w:rPr>
        <w:t>, D., Guillaume T., &amp;</w:t>
      </w:r>
      <w:r w:rsidRPr="00DB477A">
        <w:rPr>
          <w:rStyle w:val="react-xocs-alternative-link"/>
          <w:rFonts w:ascii="Times New Roman" w:hAnsi="Times New Roman" w:cs="Times New Roman"/>
          <w:b w:val="0"/>
          <w:color w:val="auto"/>
          <w:sz w:val="24"/>
          <w:szCs w:val="24"/>
        </w:rPr>
        <w:t> </w:t>
      </w:r>
      <w:proofErr w:type="spellStart"/>
      <w:r w:rsidRPr="00DB477A">
        <w:rPr>
          <w:rStyle w:val="text"/>
          <w:rFonts w:ascii="Times New Roman" w:hAnsi="Times New Roman" w:cs="Times New Roman"/>
          <w:b w:val="0"/>
          <w:color w:val="auto"/>
          <w:sz w:val="24"/>
          <w:szCs w:val="24"/>
        </w:rPr>
        <w:t>Kuzyakov</w:t>
      </w:r>
      <w:proofErr w:type="spellEnd"/>
      <w:r w:rsidRPr="00DB477A">
        <w:rPr>
          <w:rStyle w:val="react-xocs-alternative-link"/>
          <w:rFonts w:ascii="Times New Roman" w:hAnsi="Times New Roman" w:cs="Times New Roman"/>
          <w:b w:val="0"/>
          <w:color w:val="auto"/>
          <w:sz w:val="24"/>
          <w:szCs w:val="24"/>
        </w:rPr>
        <w:t xml:space="preserve"> Y. </w:t>
      </w:r>
      <w:r w:rsidR="000E2C0C">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2017</w:t>
      </w:r>
      <w:r w:rsidR="000E2C0C">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Land-use change affects phosphorus fractions in highly weathered tropical soils. </w:t>
      </w:r>
      <w:hyperlink r:id="rId24" w:tooltip="Go to CATENA on ScienceDirect" w:history="1">
        <w:r w:rsidRPr="00DB477A">
          <w:rPr>
            <w:rStyle w:val="anchor-text"/>
            <w:rFonts w:ascii="Times New Roman" w:hAnsi="Times New Roman" w:cs="Times New Roman"/>
            <w:b w:val="0"/>
            <w:bCs w:val="0"/>
            <w:color w:val="auto"/>
            <w:sz w:val="24"/>
            <w:szCs w:val="24"/>
          </w:rPr>
          <w:t>CATENA</w:t>
        </w:r>
      </w:hyperlink>
      <w:r w:rsidRPr="00DB477A">
        <w:rPr>
          <w:rFonts w:ascii="Times New Roman" w:hAnsi="Times New Roman" w:cs="Times New Roman"/>
          <w:b w:val="0"/>
          <w:color w:val="auto"/>
          <w:sz w:val="24"/>
          <w:szCs w:val="24"/>
        </w:rPr>
        <w:t xml:space="preserve">. 149: 385-393. </w:t>
      </w:r>
      <w:hyperlink r:id="rId25" w:tgtFrame="_blank" w:tooltip="Persistent link using digital object identifier" w:history="1">
        <w:r w:rsidRPr="00E141EC">
          <w:rPr>
            <w:rStyle w:val="anchor-text"/>
            <w:rFonts w:ascii="Times New Roman" w:hAnsi="Times New Roman" w:cs="Times New Roman"/>
            <w:b w:val="0"/>
            <w:color w:val="0070C0"/>
            <w:sz w:val="24"/>
            <w:szCs w:val="24"/>
          </w:rPr>
          <w:t>https://doi.org/10.1016/j.catena.2016.10.010</w:t>
        </w:r>
      </w:hyperlink>
      <w:r>
        <w:rPr>
          <w:rFonts w:ascii="Times New Roman" w:hAnsi="Times New Roman" w:cs="Times New Roman"/>
          <w:b w:val="0"/>
          <w:color w:val="auto"/>
          <w:sz w:val="24"/>
          <w:szCs w:val="24"/>
        </w:rPr>
        <w:t xml:space="preserve"> </w:t>
      </w:r>
    </w:p>
    <w:p w14:paraId="291A7D13" w14:textId="77777777" w:rsidR="00DB7EFD" w:rsidRPr="000F15E2"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0F15E2">
        <w:rPr>
          <w:rFonts w:ascii="Times New Roman" w:hAnsi="Times New Roman" w:cs="Times New Roman"/>
          <w:sz w:val="24"/>
          <w:szCs w:val="24"/>
        </w:rPr>
        <w:t xml:space="preserve">Nath, A., Samanta, S., Banerjee, S., Danda, A.A., &amp; Hazra, S. </w:t>
      </w:r>
      <w:r>
        <w:rPr>
          <w:rFonts w:ascii="Times New Roman" w:hAnsi="Times New Roman" w:cs="Times New Roman"/>
          <w:sz w:val="24"/>
          <w:szCs w:val="24"/>
        </w:rPr>
        <w:t>(</w:t>
      </w:r>
      <w:r w:rsidRPr="000F15E2">
        <w:rPr>
          <w:rFonts w:ascii="Times New Roman" w:hAnsi="Times New Roman" w:cs="Times New Roman"/>
          <w:sz w:val="24"/>
          <w:szCs w:val="24"/>
        </w:rPr>
        <w:t>2001</w:t>
      </w:r>
      <w:r>
        <w:rPr>
          <w:rFonts w:ascii="Times New Roman" w:hAnsi="Times New Roman" w:cs="Times New Roman"/>
          <w:sz w:val="24"/>
          <w:szCs w:val="24"/>
        </w:rPr>
        <w:t>)</w:t>
      </w:r>
      <w:r w:rsidRPr="000F15E2">
        <w:rPr>
          <w:rFonts w:ascii="Times New Roman" w:hAnsi="Times New Roman" w:cs="Times New Roman"/>
          <w:sz w:val="24"/>
          <w:szCs w:val="24"/>
        </w:rPr>
        <w:t>. Threat of arsenic contamination, salinity and water pollution in agricultural practices of </w:t>
      </w:r>
      <w:proofErr w:type="spellStart"/>
      <w:r w:rsidRPr="000F15E2">
        <w:rPr>
          <w:rFonts w:ascii="Times New Roman" w:hAnsi="Times New Roman" w:cs="Times New Roman"/>
          <w:sz w:val="24"/>
          <w:szCs w:val="24"/>
        </w:rPr>
        <w:t>Sundarban</w:t>
      </w:r>
      <w:proofErr w:type="spellEnd"/>
      <w:r w:rsidRPr="000F15E2">
        <w:rPr>
          <w:rFonts w:ascii="Times New Roman" w:hAnsi="Times New Roman" w:cs="Times New Roman"/>
          <w:sz w:val="24"/>
          <w:szCs w:val="24"/>
        </w:rPr>
        <w:t xml:space="preserve"> Delta, India, and mitigation strategies. SN Applied Sciences. </w:t>
      </w:r>
      <w:proofErr w:type="gramStart"/>
      <w:r w:rsidRPr="000F15E2">
        <w:rPr>
          <w:rFonts w:ascii="Times New Roman" w:hAnsi="Times New Roman" w:cs="Times New Roman"/>
          <w:sz w:val="24"/>
          <w:szCs w:val="24"/>
        </w:rPr>
        <w:t>3 :</w:t>
      </w:r>
      <w:proofErr w:type="gramEnd"/>
      <w:r w:rsidRPr="000F15E2">
        <w:rPr>
          <w:rFonts w:ascii="Times New Roman" w:hAnsi="Times New Roman" w:cs="Times New Roman"/>
          <w:sz w:val="24"/>
          <w:szCs w:val="24"/>
        </w:rPr>
        <w:t xml:space="preserve"> 560-374. https://doi.org/10.1007/s42452-021-04544-1</w:t>
      </w:r>
    </w:p>
    <w:p w14:paraId="783CFD78" w14:textId="77777777" w:rsidR="00DB7EFD" w:rsidRDefault="00DB7EFD" w:rsidP="001C7522">
      <w:pPr>
        <w:pStyle w:val="Heading1"/>
        <w:shd w:val="clear" w:color="auto" w:fill="FFFFFF"/>
        <w:spacing w:before="0" w:line="240" w:lineRule="auto"/>
        <w:ind w:left="540" w:right="300" w:hanging="540"/>
        <w:rPr>
          <w:rFonts w:ascii="Times New Roman" w:hAnsi="Times New Roman" w:cs="Times New Roman"/>
          <w:b w:val="0"/>
          <w:color w:val="auto"/>
          <w:sz w:val="24"/>
          <w:szCs w:val="24"/>
          <w:shd w:val="clear" w:color="auto" w:fill="FFFFFF"/>
        </w:rPr>
      </w:pPr>
      <w:hyperlink r:id="rId26" w:history="1">
        <w:r w:rsidRPr="004713CB">
          <w:rPr>
            <w:rStyle w:val="Hyperlink"/>
            <w:rFonts w:ascii="Times New Roman" w:hAnsi="Times New Roman" w:cs="Times New Roman"/>
            <w:b w:val="0"/>
            <w:iCs/>
            <w:color w:val="auto"/>
            <w:spacing w:val="6"/>
            <w:sz w:val="24"/>
            <w:szCs w:val="24"/>
            <w:u w:val="none"/>
            <w:shd w:val="clear" w:color="auto" w:fill="FFFFFF"/>
          </w:rPr>
          <w:t>Rahman</w:t>
        </w:r>
      </w:hyperlink>
      <w:r w:rsidRPr="004713CB">
        <w:rPr>
          <w:rFonts w:ascii="Times New Roman" w:hAnsi="Times New Roman" w:cs="Times New Roman"/>
          <w:b w:val="0"/>
          <w:color w:val="auto"/>
          <w:sz w:val="24"/>
          <w:szCs w:val="24"/>
        </w:rPr>
        <w:t>, M.M.</w:t>
      </w:r>
      <w:r w:rsidRPr="004713CB">
        <w:rPr>
          <w:rFonts w:ascii="Times New Roman" w:hAnsi="Times New Roman" w:cs="Times New Roman"/>
          <w:b w:val="0"/>
          <w:iCs/>
          <w:color w:val="auto"/>
          <w:spacing w:val="6"/>
          <w:sz w:val="24"/>
          <w:szCs w:val="24"/>
          <w:shd w:val="clear" w:color="auto" w:fill="FFFFFF"/>
        </w:rPr>
        <w:t>, </w:t>
      </w:r>
      <w:hyperlink r:id="rId27" w:history="1">
        <w:r w:rsidRPr="004713CB">
          <w:rPr>
            <w:rStyle w:val="Hyperlink"/>
            <w:rFonts w:ascii="Times New Roman" w:hAnsi="Times New Roman" w:cs="Times New Roman"/>
            <w:b w:val="0"/>
            <w:iCs/>
            <w:color w:val="auto"/>
            <w:spacing w:val="6"/>
            <w:sz w:val="24"/>
            <w:szCs w:val="24"/>
            <w:u w:val="none"/>
            <w:shd w:val="clear" w:color="auto" w:fill="FFFFFF"/>
          </w:rPr>
          <w:t>Mostafa</w:t>
        </w:r>
      </w:hyperlink>
      <w:r w:rsidRPr="004713CB">
        <w:rPr>
          <w:rFonts w:ascii="Times New Roman" w:hAnsi="Times New Roman" w:cs="Times New Roman"/>
          <w:b w:val="0"/>
          <w:color w:val="auto"/>
          <w:sz w:val="24"/>
          <w:szCs w:val="24"/>
        </w:rPr>
        <w:t>, G.,</w:t>
      </w:r>
      <w:r w:rsidRPr="004713CB">
        <w:rPr>
          <w:rFonts w:ascii="Times New Roman" w:hAnsi="Times New Roman" w:cs="Times New Roman"/>
          <w:b w:val="0"/>
          <w:iCs/>
          <w:color w:val="auto"/>
          <w:spacing w:val="6"/>
          <w:sz w:val="24"/>
          <w:szCs w:val="24"/>
          <w:shd w:val="clear" w:color="auto" w:fill="FFFFFF"/>
        </w:rPr>
        <w:t> </w:t>
      </w:r>
      <w:hyperlink r:id="rId28" w:history="1">
        <w:r w:rsidRPr="004713CB">
          <w:rPr>
            <w:rStyle w:val="Hyperlink"/>
            <w:rFonts w:ascii="Times New Roman" w:hAnsi="Times New Roman" w:cs="Times New Roman"/>
            <w:b w:val="0"/>
            <w:iCs/>
            <w:color w:val="auto"/>
            <w:spacing w:val="6"/>
            <w:sz w:val="24"/>
            <w:szCs w:val="24"/>
            <w:u w:val="none"/>
            <w:shd w:val="clear" w:color="auto" w:fill="FFFFFF"/>
          </w:rPr>
          <w:t>Razia</w:t>
        </w:r>
      </w:hyperlink>
      <w:r w:rsidRPr="004713CB">
        <w:rPr>
          <w:rFonts w:ascii="Times New Roman" w:hAnsi="Times New Roman" w:cs="Times New Roman"/>
          <w:b w:val="0"/>
          <w:iCs/>
          <w:color w:val="auto"/>
          <w:spacing w:val="6"/>
          <w:sz w:val="24"/>
          <w:szCs w:val="24"/>
          <w:shd w:val="clear" w:color="auto" w:fill="FFFFFF"/>
        </w:rPr>
        <w:t>, S., &amp; </w:t>
      </w:r>
      <w:hyperlink r:id="rId29" w:history="1">
        <w:r w:rsidRPr="004713CB">
          <w:rPr>
            <w:rStyle w:val="Hyperlink"/>
            <w:rFonts w:ascii="Times New Roman" w:hAnsi="Times New Roman" w:cs="Times New Roman"/>
            <w:b w:val="0"/>
            <w:iCs/>
            <w:color w:val="auto"/>
            <w:spacing w:val="6"/>
            <w:sz w:val="24"/>
            <w:szCs w:val="24"/>
            <w:u w:val="none"/>
            <w:shd w:val="clear" w:color="auto" w:fill="FFFFFF"/>
          </w:rPr>
          <w:t>Shoaib</w:t>
        </w:r>
      </w:hyperlink>
      <w:r w:rsidRPr="004713CB">
        <w:rPr>
          <w:rFonts w:ascii="Times New Roman" w:hAnsi="Times New Roman" w:cs="Times New Roman"/>
          <w:b w:val="0"/>
          <w:color w:val="auto"/>
          <w:sz w:val="24"/>
          <w:szCs w:val="24"/>
        </w:rPr>
        <w:t xml:space="preserve"> J.U. </w:t>
      </w:r>
      <w:r>
        <w:rPr>
          <w:rFonts w:ascii="Times New Roman" w:hAnsi="Times New Roman" w:cs="Times New Roman"/>
          <w:b w:val="0"/>
          <w:color w:val="auto"/>
          <w:sz w:val="24"/>
          <w:szCs w:val="24"/>
        </w:rPr>
        <w:t>(</w:t>
      </w:r>
      <w:r w:rsidRPr="004713CB">
        <w:rPr>
          <w:rFonts w:ascii="Times New Roman" w:hAnsi="Times New Roman" w:cs="Times New Roman"/>
          <w:b w:val="0"/>
          <w:color w:val="auto"/>
          <w:sz w:val="24"/>
          <w:szCs w:val="24"/>
        </w:rPr>
        <w:t>2001</w:t>
      </w:r>
      <w:r>
        <w:rPr>
          <w:rFonts w:ascii="Times New Roman" w:hAnsi="Times New Roman" w:cs="Times New Roman"/>
          <w:b w:val="0"/>
          <w:color w:val="auto"/>
          <w:sz w:val="24"/>
          <w:szCs w:val="24"/>
        </w:rPr>
        <w:t>)</w:t>
      </w:r>
      <w:r w:rsidRPr="004713CB">
        <w:rPr>
          <w:rFonts w:ascii="Times New Roman" w:hAnsi="Times New Roman" w:cs="Times New Roman"/>
          <w:b w:val="0"/>
          <w:color w:val="auto"/>
          <w:sz w:val="24"/>
          <w:szCs w:val="24"/>
        </w:rPr>
        <w:t xml:space="preserve">. </w:t>
      </w:r>
      <w:r w:rsidRPr="004713CB">
        <w:rPr>
          <w:rFonts w:ascii="Times New Roman" w:hAnsi="Times New Roman" w:cs="Times New Roman"/>
          <w:b w:val="0"/>
          <w:bCs w:val="0"/>
          <w:color w:val="auto"/>
          <w:spacing w:val="7"/>
          <w:sz w:val="24"/>
          <w:szCs w:val="24"/>
        </w:rPr>
        <w:t>Land degradation in Bangladesh</w:t>
      </w:r>
      <w:r>
        <w:rPr>
          <w:rFonts w:ascii="Times New Roman" w:hAnsi="Times New Roman" w:cs="Times New Roman"/>
          <w:b w:val="0"/>
          <w:bCs w:val="0"/>
          <w:color w:val="auto"/>
          <w:spacing w:val="7"/>
          <w:sz w:val="24"/>
          <w:szCs w:val="24"/>
        </w:rPr>
        <w:t xml:space="preserve">. </w:t>
      </w:r>
      <w:r w:rsidRPr="004713CB">
        <w:rPr>
          <w:rFonts w:ascii="Times New Roman" w:hAnsi="Times New Roman" w:cs="Times New Roman"/>
          <w:b w:val="0"/>
          <w:color w:val="auto"/>
          <w:sz w:val="24"/>
          <w:szCs w:val="24"/>
          <w:shd w:val="clear" w:color="auto" w:fill="FFFFFF"/>
        </w:rPr>
        <w:t xml:space="preserve">In: Bridges, E.M. (2001). Response to Land Degradation (1st ed.). CRC Press. </w:t>
      </w:r>
      <w:hyperlink r:id="rId30" w:history="1">
        <w:r w:rsidRPr="006331E4">
          <w:rPr>
            <w:rStyle w:val="Hyperlink"/>
            <w:rFonts w:ascii="Times New Roman" w:hAnsi="Times New Roman" w:cs="Times New Roman"/>
            <w:b w:val="0"/>
            <w:sz w:val="24"/>
            <w:szCs w:val="24"/>
            <w:shd w:val="clear" w:color="auto" w:fill="FFFFFF"/>
          </w:rPr>
          <w:t>https://doi.org/10.1201/9780429187957</w:t>
        </w:r>
      </w:hyperlink>
    </w:p>
    <w:p w14:paraId="56D4CDF1"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DB477A">
        <w:rPr>
          <w:rFonts w:ascii="Times New Roman" w:hAnsi="Times New Roman" w:cs="Times New Roman"/>
          <w:sz w:val="24"/>
          <w:szCs w:val="24"/>
        </w:rPr>
        <w:t xml:space="preserve">Sikdar, A., </w:t>
      </w:r>
      <w:proofErr w:type="spellStart"/>
      <w:r w:rsidRPr="00DB477A">
        <w:rPr>
          <w:rFonts w:ascii="Times New Roman" w:hAnsi="Times New Roman" w:cs="Times New Roman"/>
          <w:sz w:val="24"/>
          <w:szCs w:val="24"/>
        </w:rPr>
        <w:t>Jeyasundar</w:t>
      </w:r>
      <w:proofErr w:type="spellEnd"/>
      <w:r w:rsidRPr="00DB477A">
        <w:rPr>
          <w:rFonts w:ascii="Times New Roman" w:hAnsi="Times New Roman" w:cs="Times New Roman"/>
          <w:sz w:val="24"/>
          <w:szCs w:val="24"/>
        </w:rPr>
        <w:t xml:space="preserve">, P.G.S.A., Debnath, B., Hossain, M.S., Islam, M.A. &amp; Ahammed, G.J. </w:t>
      </w:r>
      <w:r w:rsidR="000E2C0C">
        <w:rPr>
          <w:rFonts w:ascii="Times New Roman" w:hAnsi="Times New Roman" w:cs="Times New Roman"/>
          <w:sz w:val="24"/>
          <w:szCs w:val="24"/>
        </w:rPr>
        <w:t>(</w:t>
      </w:r>
      <w:r w:rsidRPr="00DB477A">
        <w:rPr>
          <w:rFonts w:ascii="Times New Roman" w:hAnsi="Times New Roman" w:cs="Times New Roman"/>
          <w:sz w:val="24"/>
          <w:szCs w:val="24"/>
        </w:rPr>
        <w:t>2022</w:t>
      </w:r>
      <w:r w:rsidR="000E2C0C">
        <w:rPr>
          <w:rFonts w:ascii="Times New Roman" w:hAnsi="Times New Roman" w:cs="Times New Roman"/>
          <w:sz w:val="24"/>
          <w:szCs w:val="24"/>
        </w:rPr>
        <w:t>)</w:t>
      </w:r>
      <w:r w:rsidRPr="00DB477A">
        <w:rPr>
          <w:rFonts w:ascii="Times New Roman" w:hAnsi="Times New Roman" w:cs="Times New Roman"/>
          <w:sz w:val="24"/>
          <w:szCs w:val="24"/>
        </w:rPr>
        <w:t xml:space="preserve">. Cadmium Contamination in the Soil Environment: Impact on Plant Growth and Human Health. In: M. Naeem et al. (eds.), Agrochemicals in Soil and Environment. pp. 367-408. </w:t>
      </w:r>
      <w:hyperlink r:id="rId31" w:history="1">
        <w:r w:rsidRPr="00DB477A">
          <w:rPr>
            <w:rStyle w:val="Hyperlink"/>
            <w:rFonts w:ascii="Times New Roman" w:hAnsi="Times New Roman" w:cs="Times New Roman"/>
            <w:sz w:val="24"/>
            <w:szCs w:val="24"/>
          </w:rPr>
          <w:t>https://doi.org/10.1007/978-981-16-9310-6_16</w:t>
        </w:r>
      </w:hyperlink>
    </w:p>
    <w:p w14:paraId="3CED7F60" w14:textId="77777777" w:rsidR="00DB7EFD" w:rsidRPr="000F15E2" w:rsidRDefault="00DB7EFD" w:rsidP="001C7522">
      <w:pPr>
        <w:pStyle w:val="Heading2"/>
        <w:spacing w:before="0" w:line="240" w:lineRule="auto"/>
        <w:ind w:left="540" w:hanging="540"/>
        <w:jc w:val="both"/>
        <w:rPr>
          <w:rFonts w:ascii="Times New Roman" w:hAnsi="Times New Roman" w:cs="Times New Roman"/>
          <w:b w:val="0"/>
          <w:color w:val="000000" w:themeColor="text1"/>
          <w:sz w:val="24"/>
        </w:rPr>
      </w:pPr>
      <w:r w:rsidRPr="000F15E2">
        <w:rPr>
          <w:rFonts w:ascii="Times New Roman" w:hAnsi="Times New Roman" w:cs="Times New Roman"/>
          <w:b w:val="0"/>
          <w:color w:val="000000" w:themeColor="text1"/>
          <w:sz w:val="24"/>
        </w:rPr>
        <w:lastRenderedPageBreak/>
        <w:t xml:space="preserve">Walkey, A. &amp; Black, I.A. (1934). An examination of the </w:t>
      </w:r>
      <w:proofErr w:type="spellStart"/>
      <w:r w:rsidRPr="000F15E2">
        <w:rPr>
          <w:rFonts w:ascii="Times New Roman" w:hAnsi="Times New Roman" w:cs="Times New Roman"/>
          <w:b w:val="0"/>
          <w:color w:val="000000" w:themeColor="text1"/>
          <w:sz w:val="24"/>
        </w:rPr>
        <w:t>Degtjareff</w:t>
      </w:r>
      <w:proofErr w:type="spellEnd"/>
      <w:r w:rsidRPr="000F15E2">
        <w:rPr>
          <w:rFonts w:ascii="Times New Roman" w:hAnsi="Times New Roman" w:cs="Times New Roman"/>
          <w:b w:val="0"/>
          <w:color w:val="000000" w:themeColor="text1"/>
          <w:sz w:val="24"/>
        </w:rPr>
        <w:t xml:space="preserve"> method for determining soil organic matter, and a proposed modification of the chromic acid titration method. Soil Science, 34, 29 – 38. https://doi.org/10.1097/00010694 193401000-00003, 2-s2.0-84929047274. </w:t>
      </w:r>
    </w:p>
    <w:p w14:paraId="7E3C6422" w14:textId="77777777" w:rsidR="00DB7EFD" w:rsidRDefault="00DB7EFD" w:rsidP="001C7522">
      <w:pPr>
        <w:pStyle w:val="Heading2"/>
        <w:spacing w:before="0" w:line="240" w:lineRule="auto"/>
        <w:ind w:left="540" w:hanging="540"/>
        <w:jc w:val="both"/>
        <w:rPr>
          <w:rFonts w:ascii="Times New Roman" w:hAnsi="Times New Roman" w:cs="Times New Roman"/>
          <w:b w:val="0"/>
          <w:color w:val="auto"/>
          <w:sz w:val="24"/>
          <w:szCs w:val="24"/>
        </w:rPr>
      </w:pPr>
      <w:r w:rsidRPr="00DB477A">
        <w:rPr>
          <w:rStyle w:val="text"/>
          <w:rFonts w:ascii="Times New Roman" w:hAnsi="Times New Roman" w:cs="Times New Roman"/>
          <w:b w:val="0"/>
          <w:color w:val="auto"/>
          <w:sz w:val="24"/>
          <w:szCs w:val="24"/>
        </w:rPr>
        <w:t xml:space="preserve">Willy, D.K., </w:t>
      </w:r>
      <w:proofErr w:type="spellStart"/>
      <w:r w:rsidRPr="00DB477A">
        <w:rPr>
          <w:rStyle w:val="text"/>
          <w:rFonts w:ascii="Times New Roman" w:hAnsi="Times New Roman" w:cs="Times New Roman"/>
          <w:b w:val="0"/>
          <w:color w:val="auto"/>
          <w:sz w:val="24"/>
          <w:szCs w:val="24"/>
        </w:rPr>
        <w:t>Muyanga</w:t>
      </w:r>
      <w:proofErr w:type="spellEnd"/>
      <w:r w:rsidRPr="00DB477A">
        <w:rPr>
          <w:rStyle w:val="text"/>
          <w:rFonts w:ascii="Times New Roman" w:hAnsi="Times New Roman" w:cs="Times New Roman"/>
          <w:b w:val="0"/>
          <w:color w:val="auto"/>
          <w:sz w:val="24"/>
          <w:szCs w:val="24"/>
        </w:rPr>
        <w:t>, M., Mbuvi, J., &amp;</w:t>
      </w:r>
      <w:r w:rsidRPr="00DB477A">
        <w:rPr>
          <w:rStyle w:val="react-xocs-alternative-link"/>
          <w:rFonts w:ascii="Times New Roman" w:hAnsi="Times New Roman" w:cs="Times New Roman"/>
          <w:b w:val="0"/>
          <w:color w:val="auto"/>
          <w:sz w:val="24"/>
          <w:szCs w:val="24"/>
        </w:rPr>
        <w:t> </w:t>
      </w:r>
      <w:r w:rsidRPr="00DB477A">
        <w:rPr>
          <w:rStyle w:val="text"/>
          <w:rFonts w:ascii="Times New Roman" w:hAnsi="Times New Roman" w:cs="Times New Roman"/>
          <w:b w:val="0"/>
          <w:color w:val="auto"/>
          <w:sz w:val="24"/>
          <w:szCs w:val="24"/>
        </w:rPr>
        <w:t xml:space="preserve">Jayne, T. </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2019</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The effect of land use change on soil fertility parameters in densely populated areas of Kenya. </w:t>
      </w:r>
      <w:hyperlink r:id="rId32" w:tooltip="Go to Geoderma on ScienceDirect" w:history="1">
        <w:r w:rsidRPr="00DB477A">
          <w:rPr>
            <w:rStyle w:val="anchor-text"/>
            <w:rFonts w:ascii="Times New Roman" w:hAnsi="Times New Roman" w:cs="Times New Roman"/>
            <w:b w:val="0"/>
            <w:color w:val="auto"/>
            <w:sz w:val="24"/>
            <w:szCs w:val="24"/>
          </w:rPr>
          <w:t>Geoderma</w:t>
        </w:r>
      </w:hyperlink>
      <w:r w:rsidRPr="00DB477A">
        <w:rPr>
          <w:rFonts w:ascii="Times New Roman" w:hAnsi="Times New Roman" w:cs="Times New Roman"/>
          <w:b w:val="0"/>
          <w:color w:val="auto"/>
          <w:sz w:val="24"/>
          <w:szCs w:val="24"/>
        </w:rPr>
        <w:t xml:space="preserve">. </w:t>
      </w:r>
      <w:hyperlink r:id="rId33" w:tooltip="Go to table of contents for this volume/issue" w:history="1">
        <w:r w:rsidRPr="00DB477A">
          <w:rPr>
            <w:rStyle w:val="anchor-text"/>
            <w:rFonts w:ascii="Times New Roman" w:hAnsi="Times New Roman" w:cs="Times New Roman"/>
            <w:b w:val="0"/>
            <w:color w:val="auto"/>
            <w:sz w:val="24"/>
            <w:szCs w:val="24"/>
          </w:rPr>
          <w:t>343</w:t>
        </w:r>
      </w:hyperlink>
      <w:r w:rsidRPr="00DB477A">
        <w:rPr>
          <w:rFonts w:ascii="Times New Roman" w:hAnsi="Times New Roman" w:cs="Times New Roman"/>
          <w:b w:val="0"/>
          <w:color w:val="auto"/>
          <w:sz w:val="24"/>
          <w:szCs w:val="24"/>
        </w:rPr>
        <w:t xml:space="preserve">: 254-262. </w:t>
      </w:r>
      <w:hyperlink r:id="rId34" w:tgtFrame="_blank" w:tooltip="Persistent link using digital object identifier" w:history="1">
        <w:r w:rsidRPr="00DB477A">
          <w:rPr>
            <w:rStyle w:val="anchor-text"/>
            <w:rFonts w:ascii="Times New Roman" w:hAnsi="Times New Roman" w:cs="Times New Roman"/>
            <w:b w:val="0"/>
            <w:color w:val="auto"/>
            <w:sz w:val="24"/>
            <w:szCs w:val="24"/>
          </w:rPr>
          <w:t>https://doi.org/10.1016/j.geoderma.2019.02.033</w:t>
        </w:r>
      </w:hyperlink>
    </w:p>
    <w:p w14:paraId="6DDA5985" w14:textId="77777777" w:rsidR="00DB7EFD" w:rsidRPr="00DB7EFD" w:rsidRDefault="00DB7EFD" w:rsidP="00DB7EFD"/>
    <w:p w14:paraId="6CA9362E" w14:textId="77777777" w:rsidR="002B0900" w:rsidRPr="00057047" w:rsidRDefault="002B0900" w:rsidP="00057047">
      <w:pPr>
        <w:spacing w:before="100" w:beforeAutospacing="1" w:after="100" w:afterAutospacing="1" w:line="240" w:lineRule="auto"/>
      </w:pPr>
    </w:p>
    <w:sectPr w:rsidR="002B0900" w:rsidRPr="00057047" w:rsidSect="00C27E77">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800" w:header="720" w:footer="720" w:gutter="0"/>
      <w:paperSrc w:first="3" w:other="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FC07" w14:textId="77777777" w:rsidR="00BE7320" w:rsidRDefault="00BE7320" w:rsidP="00170A58">
      <w:pPr>
        <w:spacing w:after="0" w:line="240" w:lineRule="auto"/>
      </w:pPr>
      <w:r>
        <w:separator/>
      </w:r>
    </w:p>
  </w:endnote>
  <w:endnote w:type="continuationSeparator" w:id="0">
    <w:p w14:paraId="5AC1A09C" w14:textId="77777777" w:rsidR="00BE7320" w:rsidRDefault="00BE7320" w:rsidP="0017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EAAP N+ Charis SIL">
    <w:altName w:val="Charis SI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866E" w14:textId="77777777" w:rsidR="00653D89" w:rsidRDefault="00653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362910"/>
      <w:docPartObj>
        <w:docPartGallery w:val="Page Numbers (Bottom of Page)"/>
        <w:docPartUnique/>
      </w:docPartObj>
    </w:sdtPr>
    <w:sdtEndPr>
      <w:rPr>
        <w:noProof/>
      </w:rPr>
    </w:sdtEndPr>
    <w:sdtContent>
      <w:p w14:paraId="513E1930" w14:textId="77777777" w:rsidR="00156AB3" w:rsidRDefault="00156AB3">
        <w:pPr>
          <w:pStyle w:val="Footer"/>
          <w:jc w:val="center"/>
        </w:pPr>
        <w:r>
          <w:fldChar w:fldCharType="begin"/>
        </w:r>
        <w:r>
          <w:instrText xml:space="preserve"> PAGE   \* MERGEFORMAT </w:instrText>
        </w:r>
        <w:r>
          <w:fldChar w:fldCharType="separate"/>
        </w:r>
        <w:r w:rsidR="006C2F8E">
          <w:rPr>
            <w:noProof/>
          </w:rPr>
          <w:t>13</w:t>
        </w:r>
        <w:r>
          <w:rPr>
            <w:noProof/>
          </w:rPr>
          <w:fldChar w:fldCharType="end"/>
        </w:r>
      </w:p>
    </w:sdtContent>
  </w:sdt>
  <w:p w14:paraId="565923CC" w14:textId="77777777" w:rsidR="00156AB3" w:rsidRDefault="00156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CC69" w14:textId="77777777" w:rsidR="00653D89" w:rsidRDefault="0065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AF8B" w14:textId="77777777" w:rsidR="00BE7320" w:rsidRDefault="00BE7320" w:rsidP="00170A58">
      <w:pPr>
        <w:spacing w:after="0" w:line="240" w:lineRule="auto"/>
      </w:pPr>
      <w:r>
        <w:separator/>
      </w:r>
    </w:p>
  </w:footnote>
  <w:footnote w:type="continuationSeparator" w:id="0">
    <w:p w14:paraId="7A5514F2" w14:textId="77777777" w:rsidR="00BE7320" w:rsidRDefault="00BE7320" w:rsidP="0017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E3EF" w14:textId="44B9C2A5" w:rsidR="00653D89" w:rsidRDefault="00653D89">
    <w:pPr>
      <w:pStyle w:val="Header"/>
    </w:pPr>
    <w:r>
      <w:rPr>
        <w:noProof/>
      </w:rPr>
      <w:pict w14:anchorId="05BD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9" o:spid="_x0000_s1026"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0E45" w14:textId="1E587653" w:rsidR="00653D89" w:rsidRDefault="00653D89">
    <w:pPr>
      <w:pStyle w:val="Header"/>
    </w:pPr>
    <w:r>
      <w:rPr>
        <w:noProof/>
      </w:rPr>
      <w:pict w14:anchorId="16BAF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20" o:spid="_x0000_s1027"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D5E8" w14:textId="1E558C74" w:rsidR="00653D89" w:rsidRDefault="00653D89">
    <w:pPr>
      <w:pStyle w:val="Header"/>
    </w:pPr>
    <w:r>
      <w:rPr>
        <w:noProof/>
      </w:rPr>
      <w:pict w14:anchorId="45C7D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8" o:spid="_x0000_s1025"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35"/>
    <w:multiLevelType w:val="multilevel"/>
    <w:tmpl w:val="A3B6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84E33"/>
    <w:multiLevelType w:val="multilevel"/>
    <w:tmpl w:val="7196F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3B36"/>
    <w:multiLevelType w:val="multilevel"/>
    <w:tmpl w:val="866E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2572C"/>
    <w:multiLevelType w:val="multilevel"/>
    <w:tmpl w:val="E3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8E4"/>
    <w:multiLevelType w:val="multilevel"/>
    <w:tmpl w:val="14C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E0BCF"/>
    <w:multiLevelType w:val="multilevel"/>
    <w:tmpl w:val="4A0A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82A10"/>
    <w:multiLevelType w:val="multilevel"/>
    <w:tmpl w:val="A57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95E7B"/>
    <w:multiLevelType w:val="multilevel"/>
    <w:tmpl w:val="A1C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B17FE"/>
    <w:multiLevelType w:val="multilevel"/>
    <w:tmpl w:val="37F0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F3372"/>
    <w:multiLevelType w:val="multilevel"/>
    <w:tmpl w:val="C87CE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84036"/>
    <w:multiLevelType w:val="multilevel"/>
    <w:tmpl w:val="51B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F374A"/>
    <w:multiLevelType w:val="multilevel"/>
    <w:tmpl w:val="8DE0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B4D03"/>
    <w:multiLevelType w:val="hybridMultilevel"/>
    <w:tmpl w:val="65F029CA"/>
    <w:lvl w:ilvl="0" w:tplc="B5B2D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649D7"/>
    <w:multiLevelType w:val="multilevel"/>
    <w:tmpl w:val="0EF65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515D7"/>
    <w:multiLevelType w:val="multilevel"/>
    <w:tmpl w:val="0F2674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A6C30"/>
    <w:multiLevelType w:val="multilevel"/>
    <w:tmpl w:val="8F3EA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065D2"/>
    <w:multiLevelType w:val="multilevel"/>
    <w:tmpl w:val="E2E2A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364D3"/>
    <w:multiLevelType w:val="multilevel"/>
    <w:tmpl w:val="847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51F72"/>
    <w:multiLevelType w:val="hybridMultilevel"/>
    <w:tmpl w:val="E58606F8"/>
    <w:lvl w:ilvl="0" w:tplc="0C36CB76">
      <w:start w:val="1"/>
      <w:numFmt w:val="decimal"/>
      <w:lvlText w:val="%1."/>
      <w:lvlJc w:val="left"/>
      <w:pPr>
        <w:ind w:left="720" w:hanging="360"/>
      </w:pPr>
      <w:rPr>
        <w:rFonts w:eastAsia="Times New Roman" w:hint="default"/>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365F19"/>
    <w:multiLevelType w:val="hybridMultilevel"/>
    <w:tmpl w:val="BC0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C7E53"/>
    <w:multiLevelType w:val="multilevel"/>
    <w:tmpl w:val="2E8C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237CD"/>
    <w:multiLevelType w:val="multilevel"/>
    <w:tmpl w:val="C3B0DC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23225"/>
    <w:multiLevelType w:val="multilevel"/>
    <w:tmpl w:val="051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53976"/>
    <w:multiLevelType w:val="multilevel"/>
    <w:tmpl w:val="533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D3A57"/>
    <w:multiLevelType w:val="multilevel"/>
    <w:tmpl w:val="A56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710CA"/>
    <w:multiLevelType w:val="multilevel"/>
    <w:tmpl w:val="6F9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A5854"/>
    <w:multiLevelType w:val="multilevel"/>
    <w:tmpl w:val="C80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644A1"/>
    <w:multiLevelType w:val="multilevel"/>
    <w:tmpl w:val="4542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083F35"/>
    <w:multiLevelType w:val="multilevel"/>
    <w:tmpl w:val="1706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650C8"/>
    <w:multiLevelType w:val="multilevel"/>
    <w:tmpl w:val="9586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73C36"/>
    <w:multiLevelType w:val="multilevel"/>
    <w:tmpl w:val="698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14C04"/>
    <w:multiLevelType w:val="multilevel"/>
    <w:tmpl w:val="CF02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43F8F"/>
    <w:multiLevelType w:val="multilevel"/>
    <w:tmpl w:val="347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D0338"/>
    <w:multiLevelType w:val="hybridMultilevel"/>
    <w:tmpl w:val="E1868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D1990"/>
    <w:multiLevelType w:val="multilevel"/>
    <w:tmpl w:val="D2B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3E85"/>
    <w:multiLevelType w:val="hybridMultilevel"/>
    <w:tmpl w:val="0B645EC2"/>
    <w:lvl w:ilvl="0" w:tplc="8626D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775428">
    <w:abstractNumId w:val="11"/>
  </w:num>
  <w:num w:numId="2" w16cid:durableId="2034107759">
    <w:abstractNumId w:val="26"/>
  </w:num>
  <w:num w:numId="3" w16cid:durableId="1363482341">
    <w:abstractNumId w:val="7"/>
  </w:num>
  <w:num w:numId="4" w16cid:durableId="1451247207">
    <w:abstractNumId w:val="24"/>
  </w:num>
  <w:num w:numId="5" w16cid:durableId="1746367654">
    <w:abstractNumId w:val="4"/>
  </w:num>
  <w:num w:numId="6" w16cid:durableId="421070769">
    <w:abstractNumId w:val="22"/>
  </w:num>
  <w:num w:numId="7" w16cid:durableId="1020161768">
    <w:abstractNumId w:val="17"/>
  </w:num>
  <w:num w:numId="8" w16cid:durableId="1342775049">
    <w:abstractNumId w:val="29"/>
  </w:num>
  <w:num w:numId="9" w16cid:durableId="1621717992">
    <w:abstractNumId w:val="30"/>
  </w:num>
  <w:num w:numId="10" w16cid:durableId="123934701">
    <w:abstractNumId w:val="34"/>
  </w:num>
  <w:num w:numId="11" w16cid:durableId="1188251879">
    <w:abstractNumId w:val="9"/>
  </w:num>
  <w:num w:numId="12" w16cid:durableId="499780401">
    <w:abstractNumId w:val="25"/>
  </w:num>
  <w:num w:numId="13" w16cid:durableId="1013385908">
    <w:abstractNumId w:val="6"/>
  </w:num>
  <w:num w:numId="14" w16cid:durableId="997071736">
    <w:abstractNumId w:val="3"/>
  </w:num>
  <w:num w:numId="15" w16cid:durableId="1347250179">
    <w:abstractNumId w:val="31"/>
  </w:num>
  <w:num w:numId="16" w16cid:durableId="1383872004">
    <w:abstractNumId w:val="2"/>
  </w:num>
  <w:num w:numId="17" w16cid:durableId="1396582234">
    <w:abstractNumId w:val="35"/>
  </w:num>
  <w:num w:numId="18" w16cid:durableId="1258755236">
    <w:abstractNumId w:val="19"/>
  </w:num>
  <w:num w:numId="19" w16cid:durableId="1679042581">
    <w:abstractNumId w:val="12"/>
  </w:num>
  <w:num w:numId="20" w16cid:durableId="814371626">
    <w:abstractNumId w:val="33"/>
  </w:num>
  <w:num w:numId="21" w16cid:durableId="43215045">
    <w:abstractNumId w:val="27"/>
  </w:num>
  <w:num w:numId="22" w16cid:durableId="1928297249">
    <w:abstractNumId w:val="15"/>
  </w:num>
  <w:num w:numId="23" w16cid:durableId="767778515">
    <w:abstractNumId w:val="13"/>
  </w:num>
  <w:num w:numId="24" w16cid:durableId="511460602">
    <w:abstractNumId w:val="21"/>
  </w:num>
  <w:num w:numId="25" w16cid:durableId="782378727">
    <w:abstractNumId w:val="1"/>
  </w:num>
  <w:num w:numId="26" w16cid:durableId="59183704">
    <w:abstractNumId w:val="14"/>
  </w:num>
  <w:num w:numId="27" w16cid:durableId="517814271">
    <w:abstractNumId w:val="16"/>
  </w:num>
  <w:num w:numId="28" w16cid:durableId="637995974">
    <w:abstractNumId w:val="23"/>
  </w:num>
  <w:num w:numId="29" w16cid:durableId="89669178">
    <w:abstractNumId w:val="10"/>
  </w:num>
  <w:num w:numId="30" w16cid:durableId="1046759378">
    <w:abstractNumId w:val="8"/>
  </w:num>
  <w:num w:numId="31" w16cid:durableId="1206530397">
    <w:abstractNumId w:val="20"/>
  </w:num>
  <w:num w:numId="32" w16cid:durableId="1954901021">
    <w:abstractNumId w:val="28"/>
  </w:num>
  <w:num w:numId="33" w16cid:durableId="308557791">
    <w:abstractNumId w:val="0"/>
  </w:num>
  <w:num w:numId="34" w16cid:durableId="468787892">
    <w:abstractNumId w:val="5"/>
  </w:num>
  <w:num w:numId="35" w16cid:durableId="1768311536">
    <w:abstractNumId w:val="18"/>
  </w:num>
  <w:num w:numId="36" w16cid:durableId="7588700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DC4"/>
    <w:rsid w:val="00030FBB"/>
    <w:rsid w:val="0003110E"/>
    <w:rsid w:val="00037906"/>
    <w:rsid w:val="00050D2B"/>
    <w:rsid w:val="00052AD4"/>
    <w:rsid w:val="00057047"/>
    <w:rsid w:val="00094F38"/>
    <w:rsid w:val="000A0A3B"/>
    <w:rsid w:val="000B7F9B"/>
    <w:rsid w:val="000D166F"/>
    <w:rsid w:val="000D5988"/>
    <w:rsid w:val="000E2C0C"/>
    <w:rsid w:val="000F15E2"/>
    <w:rsid w:val="000F6C3B"/>
    <w:rsid w:val="00105FF7"/>
    <w:rsid w:val="001351AF"/>
    <w:rsid w:val="001463A4"/>
    <w:rsid w:val="00156AB3"/>
    <w:rsid w:val="00170A58"/>
    <w:rsid w:val="00171F46"/>
    <w:rsid w:val="001826B4"/>
    <w:rsid w:val="00185C56"/>
    <w:rsid w:val="00185C87"/>
    <w:rsid w:val="001A28E9"/>
    <w:rsid w:val="001B04FE"/>
    <w:rsid w:val="001C4C51"/>
    <w:rsid w:val="001C7522"/>
    <w:rsid w:val="001F1C39"/>
    <w:rsid w:val="001F2B1A"/>
    <w:rsid w:val="00202DC5"/>
    <w:rsid w:val="00207F3E"/>
    <w:rsid w:val="00217667"/>
    <w:rsid w:val="00220114"/>
    <w:rsid w:val="00225490"/>
    <w:rsid w:val="002A0341"/>
    <w:rsid w:val="002B0900"/>
    <w:rsid w:val="002B3E5F"/>
    <w:rsid w:val="002C79F3"/>
    <w:rsid w:val="002E4AAA"/>
    <w:rsid w:val="0030397E"/>
    <w:rsid w:val="00317020"/>
    <w:rsid w:val="00332157"/>
    <w:rsid w:val="00370817"/>
    <w:rsid w:val="003E4D5F"/>
    <w:rsid w:val="003F29B1"/>
    <w:rsid w:val="00405F7F"/>
    <w:rsid w:val="00415411"/>
    <w:rsid w:val="0042672D"/>
    <w:rsid w:val="00435EEB"/>
    <w:rsid w:val="00436B44"/>
    <w:rsid w:val="00442DD0"/>
    <w:rsid w:val="0045752E"/>
    <w:rsid w:val="0046154E"/>
    <w:rsid w:val="00467B14"/>
    <w:rsid w:val="004713CB"/>
    <w:rsid w:val="0047590B"/>
    <w:rsid w:val="004840C1"/>
    <w:rsid w:val="004A32DD"/>
    <w:rsid w:val="004F6598"/>
    <w:rsid w:val="005265D7"/>
    <w:rsid w:val="00527313"/>
    <w:rsid w:val="005324E9"/>
    <w:rsid w:val="00565B40"/>
    <w:rsid w:val="0058060E"/>
    <w:rsid w:val="005959E4"/>
    <w:rsid w:val="005B199E"/>
    <w:rsid w:val="005D685B"/>
    <w:rsid w:val="005E0FD5"/>
    <w:rsid w:val="005E62FD"/>
    <w:rsid w:val="006120B5"/>
    <w:rsid w:val="006459C5"/>
    <w:rsid w:val="00652B28"/>
    <w:rsid w:val="00653D89"/>
    <w:rsid w:val="00665F0B"/>
    <w:rsid w:val="006C2A03"/>
    <w:rsid w:val="006C2F8E"/>
    <w:rsid w:val="006D1981"/>
    <w:rsid w:val="006E7DBB"/>
    <w:rsid w:val="00707AC4"/>
    <w:rsid w:val="0071286A"/>
    <w:rsid w:val="00765B41"/>
    <w:rsid w:val="007709AC"/>
    <w:rsid w:val="0077635F"/>
    <w:rsid w:val="00795B74"/>
    <w:rsid w:val="007B718B"/>
    <w:rsid w:val="007C7A4C"/>
    <w:rsid w:val="0080792E"/>
    <w:rsid w:val="00816599"/>
    <w:rsid w:val="008227DA"/>
    <w:rsid w:val="00823927"/>
    <w:rsid w:val="00827E0E"/>
    <w:rsid w:val="0086030D"/>
    <w:rsid w:val="00900C7A"/>
    <w:rsid w:val="009036E3"/>
    <w:rsid w:val="00923171"/>
    <w:rsid w:val="00967E77"/>
    <w:rsid w:val="0097094B"/>
    <w:rsid w:val="00984B91"/>
    <w:rsid w:val="009919E0"/>
    <w:rsid w:val="009A298E"/>
    <w:rsid w:val="009B2C73"/>
    <w:rsid w:val="009D6EE9"/>
    <w:rsid w:val="00A02C90"/>
    <w:rsid w:val="00A0386D"/>
    <w:rsid w:val="00A60D00"/>
    <w:rsid w:val="00A70CAB"/>
    <w:rsid w:val="00AC7D92"/>
    <w:rsid w:val="00AD64AE"/>
    <w:rsid w:val="00B32543"/>
    <w:rsid w:val="00B32D65"/>
    <w:rsid w:val="00B47BB4"/>
    <w:rsid w:val="00B5773F"/>
    <w:rsid w:val="00B70F94"/>
    <w:rsid w:val="00BE7320"/>
    <w:rsid w:val="00C1165B"/>
    <w:rsid w:val="00C27E77"/>
    <w:rsid w:val="00C27F53"/>
    <w:rsid w:val="00C47CEB"/>
    <w:rsid w:val="00C82333"/>
    <w:rsid w:val="00CA0EE7"/>
    <w:rsid w:val="00CF26DF"/>
    <w:rsid w:val="00CF31DC"/>
    <w:rsid w:val="00D06309"/>
    <w:rsid w:val="00D10C4D"/>
    <w:rsid w:val="00D11720"/>
    <w:rsid w:val="00D41FCB"/>
    <w:rsid w:val="00D91989"/>
    <w:rsid w:val="00DB1E38"/>
    <w:rsid w:val="00DB477A"/>
    <w:rsid w:val="00DB4DC4"/>
    <w:rsid w:val="00DB7EFD"/>
    <w:rsid w:val="00E141EC"/>
    <w:rsid w:val="00E1666A"/>
    <w:rsid w:val="00E16A88"/>
    <w:rsid w:val="00E21939"/>
    <w:rsid w:val="00E27176"/>
    <w:rsid w:val="00E508D0"/>
    <w:rsid w:val="00E571AB"/>
    <w:rsid w:val="00E64CD0"/>
    <w:rsid w:val="00E87E82"/>
    <w:rsid w:val="00E9531F"/>
    <w:rsid w:val="00EB3523"/>
    <w:rsid w:val="00EB4987"/>
    <w:rsid w:val="00EB7222"/>
    <w:rsid w:val="00ED60C3"/>
    <w:rsid w:val="00EE257C"/>
    <w:rsid w:val="00EF20F8"/>
    <w:rsid w:val="00EF62A4"/>
    <w:rsid w:val="00F06F9C"/>
    <w:rsid w:val="00F10CD0"/>
    <w:rsid w:val="00F13BA1"/>
    <w:rsid w:val="00F211BF"/>
    <w:rsid w:val="00F24004"/>
    <w:rsid w:val="00F36095"/>
    <w:rsid w:val="00F54862"/>
    <w:rsid w:val="00FD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7B9E"/>
  <w15:docId w15:val="{CE37F738-6CA1-4C51-8F79-306678E1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0FD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231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D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4DC4"/>
    <w:rPr>
      <w:b/>
      <w:bCs/>
    </w:rPr>
  </w:style>
  <w:style w:type="character" w:styleId="Emphasis">
    <w:name w:val="Emphasis"/>
    <w:basedOn w:val="DefaultParagraphFont"/>
    <w:uiPriority w:val="20"/>
    <w:qFormat/>
    <w:rsid w:val="00A70CAB"/>
    <w:rPr>
      <w:i/>
      <w:iCs/>
    </w:rPr>
  </w:style>
  <w:style w:type="paragraph" w:styleId="Header">
    <w:name w:val="header"/>
    <w:basedOn w:val="Normal"/>
    <w:link w:val="HeaderChar"/>
    <w:uiPriority w:val="99"/>
    <w:unhideWhenUsed/>
    <w:rsid w:val="0017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58"/>
  </w:style>
  <w:style w:type="paragraph" w:styleId="Footer">
    <w:name w:val="footer"/>
    <w:basedOn w:val="Normal"/>
    <w:link w:val="FooterChar"/>
    <w:uiPriority w:val="99"/>
    <w:unhideWhenUsed/>
    <w:rsid w:val="0017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58"/>
  </w:style>
  <w:style w:type="paragraph" w:styleId="BalloonText">
    <w:name w:val="Balloon Text"/>
    <w:basedOn w:val="Normal"/>
    <w:link w:val="BalloonTextChar"/>
    <w:uiPriority w:val="99"/>
    <w:semiHidden/>
    <w:unhideWhenUsed/>
    <w:rsid w:val="00170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A58"/>
    <w:rPr>
      <w:rFonts w:ascii="Tahoma" w:hAnsi="Tahoma" w:cs="Tahoma"/>
      <w:sz w:val="16"/>
      <w:szCs w:val="16"/>
    </w:rPr>
  </w:style>
  <w:style w:type="table" w:styleId="TableGrid">
    <w:name w:val="Table Grid"/>
    <w:basedOn w:val="TableNormal"/>
    <w:uiPriority w:val="59"/>
    <w:rsid w:val="001F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1BF"/>
    <w:pPr>
      <w:ind w:left="720"/>
      <w:contextualSpacing/>
    </w:pPr>
  </w:style>
  <w:style w:type="character" w:customStyle="1" w:styleId="Heading3Char">
    <w:name w:val="Heading 3 Char"/>
    <w:basedOn w:val="DefaultParagraphFont"/>
    <w:link w:val="Heading3"/>
    <w:uiPriority w:val="9"/>
    <w:rsid w:val="005E0FD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92317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923171"/>
    <w:rPr>
      <w:color w:val="0000FF"/>
      <w:u w:val="single"/>
    </w:rPr>
  </w:style>
  <w:style w:type="paragraph" w:customStyle="1" w:styleId="Default">
    <w:name w:val="Default"/>
    <w:rsid w:val="000B7F9B"/>
    <w:pPr>
      <w:autoSpaceDE w:val="0"/>
      <w:autoSpaceDN w:val="0"/>
      <w:adjustRightInd w:val="0"/>
      <w:spacing w:after="0" w:line="240" w:lineRule="auto"/>
    </w:pPr>
    <w:rPr>
      <w:rFonts w:ascii="JEAAP N+ Charis SIL" w:hAnsi="JEAAP N+ Charis SIL" w:cs="JEAAP N+ Charis SIL"/>
      <w:color w:val="000000"/>
      <w:kern w:val="0"/>
      <w:sz w:val="24"/>
      <w:szCs w:val="24"/>
    </w:rPr>
  </w:style>
  <w:style w:type="character" w:customStyle="1" w:styleId="button-link-text">
    <w:name w:val="button-link-text"/>
    <w:basedOn w:val="DefaultParagraphFont"/>
    <w:rsid w:val="00202DC5"/>
  </w:style>
  <w:style w:type="character" w:customStyle="1" w:styleId="react-xocs-alternative-link">
    <w:name w:val="react-xocs-alternative-link"/>
    <w:basedOn w:val="DefaultParagraphFont"/>
    <w:rsid w:val="00202DC5"/>
  </w:style>
  <w:style w:type="character" w:customStyle="1" w:styleId="given-name">
    <w:name w:val="given-name"/>
    <w:basedOn w:val="DefaultParagraphFont"/>
    <w:rsid w:val="00202DC5"/>
  </w:style>
  <w:style w:type="character" w:customStyle="1" w:styleId="text">
    <w:name w:val="text"/>
    <w:basedOn w:val="DefaultParagraphFont"/>
    <w:rsid w:val="00202DC5"/>
  </w:style>
  <w:style w:type="character" w:customStyle="1" w:styleId="author-ref">
    <w:name w:val="author-ref"/>
    <w:basedOn w:val="DefaultParagraphFont"/>
    <w:rsid w:val="00202DC5"/>
  </w:style>
  <w:style w:type="character" w:customStyle="1" w:styleId="Heading1Char">
    <w:name w:val="Heading 1 Char"/>
    <w:basedOn w:val="DefaultParagraphFont"/>
    <w:link w:val="Heading1"/>
    <w:uiPriority w:val="9"/>
    <w:rsid w:val="00202DC5"/>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202DC5"/>
  </w:style>
  <w:style w:type="character" w:customStyle="1" w:styleId="Heading2Char">
    <w:name w:val="Heading 2 Char"/>
    <w:basedOn w:val="DefaultParagraphFont"/>
    <w:link w:val="Heading2"/>
    <w:uiPriority w:val="9"/>
    <w:rsid w:val="00202DC5"/>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202DC5"/>
  </w:style>
  <w:style w:type="character" w:customStyle="1" w:styleId="product-ryt-detail">
    <w:name w:val="product-ryt-detail"/>
    <w:basedOn w:val="DefaultParagraphFont"/>
    <w:rsid w:val="004713CB"/>
  </w:style>
  <w:style w:type="character" w:customStyle="1" w:styleId="display-label">
    <w:name w:val="display-label"/>
    <w:basedOn w:val="DefaultParagraphFont"/>
    <w:rsid w:val="0047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465">
      <w:bodyDiv w:val="1"/>
      <w:marLeft w:val="0"/>
      <w:marRight w:val="0"/>
      <w:marTop w:val="0"/>
      <w:marBottom w:val="0"/>
      <w:divBdr>
        <w:top w:val="none" w:sz="0" w:space="0" w:color="auto"/>
        <w:left w:val="none" w:sz="0" w:space="0" w:color="auto"/>
        <w:bottom w:val="none" w:sz="0" w:space="0" w:color="auto"/>
        <w:right w:val="none" w:sz="0" w:space="0" w:color="auto"/>
      </w:divBdr>
    </w:div>
    <w:div w:id="155151842">
      <w:bodyDiv w:val="1"/>
      <w:marLeft w:val="0"/>
      <w:marRight w:val="0"/>
      <w:marTop w:val="0"/>
      <w:marBottom w:val="0"/>
      <w:divBdr>
        <w:top w:val="none" w:sz="0" w:space="0" w:color="auto"/>
        <w:left w:val="none" w:sz="0" w:space="0" w:color="auto"/>
        <w:bottom w:val="none" w:sz="0" w:space="0" w:color="auto"/>
        <w:right w:val="none" w:sz="0" w:space="0" w:color="auto"/>
      </w:divBdr>
    </w:div>
    <w:div w:id="264464886">
      <w:bodyDiv w:val="1"/>
      <w:marLeft w:val="0"/>
      <w:marRight w:val="0"/>
      <w:marTop w:val="0"/>
      <w:marBottom w:val="0"/>
      <w:divBdr>
        <w:top w:val="none" w:sz="0" w:space="0" w:color="auto"/>
        <w:left w:val="none" w:sz="0" w:space="0" w:color="auto"/>
        <w:bottom w:val="none" w:sz="0" w:space="0" w:color="auto"/>
        <w:right w:val="none" w:sz="0" w:space="0" w:color="auto"/>
      </w:divBdr>
    </w:div>
    <w:div w:id="342711250">
      <w:bodyDiv w:val="1"/>
      <w:marLeft w:val="0"/>
      <w:marRight w:val="0"/>
      <w:marTop w:val="0"/>
      <w:marBottom w:val="0"/>
      <w:divBdr>
        <w:top w:val="none" w:sz="0" w:space="0" w:color="auto"/>
        <w:left w:val="none" w:sz="0" w:space="0" w:color="auto"/>
        <w:bottom w:val="none" w:sz="0" w:space="0" w:color="auto"/>
        <w:right w:val="none" w:sz="0" w:space="0" w:color="auto"/>
      </w:divBdr>
    </w:div>
    <w:div w:id="405418257">
      <w:bodyDiv w:val="1"/>
      <w:marLeft w:val="0"/>
      <w:marRight w:val="0"/>
      <w:marTop w:val="0"/>
      <w:marBottom w:val="0"/>
      <w:divBdr>
        <w:top w:val="none" w:sz="0" w:space="0" w:color="auto"/>
        <w:left w:val="none" w:sz="0" w:space="0" w:color="auto"/>
        <w:bottom w:val="none" w:sz="0" w:space="0" w:color="auto"/>
        <w:right w:val="none" w:sz="0" w:space="0" w:color="auto"/>
      </w:divBdr>
    </w:div>
    <w:div w:id="420759893">
      <w:bodyDiv w:val="1"/>
      <w:marLeft w:val="0"/>
      <w:marRight w:val="0"/>
      <w:marTop w:val="0"/>
      <w:marBottom w:val="0"/>
      <w:divBdr>
        <w:top w:val="none" w:sz="0" w:space="0" w:color="auto"/>
        <w:left w:val="none" w:sz="0" w:space="0" w:color="auto"/>
        <w:bottom w:val="none" w:sz="0" w:space="0" w:color="auto"/>
        <w:right w:val="none" w:sz="0" w:space="0" w:color="auto"/>
      </w:divBdr>
    </w:div>
    <w:div w:id="421145375">
      <w:bodyDiv w:val="1"/>
      <w:marLeft w:val="0"/>
      <w:marRight w:val="0"/>
      <w:marTop w:val="0"/>
      <w:marBottom w:val="0"/>
      <w:divBdr>
        <w:top w:val="none" w:sz="0" w:space="0" w:color="auto"/>
        <w:left w:val="none" w:sz="0" w:space="0" w:color="auto"/>
        <w:bottom w:val="none" w:sz="0" w:space="0" w:color="auto"/>
        <w:right w:val="none" w:sz="0" w:space="0" w:color="auto"/>
      </w:divBdr>
    </w:div>
    <w:div w:id="461268824">
      <w:bodyDiv w:val="1"/>
      <w:marLeft w:val="0"/>
      <w:marRight w:val="0"/>
      <w:marTop w:val="0"/>
      <w:marBottom w:val="0"/>
      <w:divBdr>
        <w:top w:val="none" w:sz="0" w:space="0" w:color="auto"/>
        <w:left w:val="none" w:sz="0" w:space="0" w:color="auto"/>
        <w:bottom w:val="none" w:sz="0" w:space="0" w:color="auto"/>
        <w:right w:val="none" w:sz="0" w:space="0" w:color="auto"/>
      </w:divBdr>
      <w:divsChild>
        <w:div w:id="1759868888">
          <w:marLeft w:val="0"/>
          <w:marRight w:val="0"/>
          <w:marTop w:val="0"/>
          <w:marBottom w:val="0"/>
          <w:divBdr>
            <w:top w:val="none" w:sz="0" w:space="0" w:color="auto"/>
            <w:left w:val="none" w:sz="0" w:space="0" w:color="auto"/>
            <w:bottom w:val="none" w:sz="0" w:space="0" w:color="auto"/>
            <w:right w:val="none" w:sz="0" w:space="0" w:color="auto"/>
          </w:divBdr>
          <w:divsChild>
            <w:div w:id="1529445971">
              <w:marLeft w:val="0"/>
              <w:marRight w:val="0"/>
              <w:marTop w:val="0"/>
              <w:marBottom w:val="150"/>
              <w:divBdr>
                <w:top w:val="none" w:sz="0" w:space="0" w:color="auto"/>
                <w:left w:val="none" w:sz="0" w:space="0" w:color="auto"/>
                <w:bottom w:val="none" w:sz="0" w:space="0" w:color="auto"/>
                <w:right w:val="none" w:sz="0" w:space="0" w:color="auto"/>
              </w:divBdr>
            </w:div>
          </w:divsChild>
        </w:div>
        <w:div w:id="564920708">
          <w:marLeft w:val="0"/>
          <w:marRight w:val="0"/>
          <w:marTop w:val="0"/>
          <w:marBottom w:val="0"/>
          <w:divBdr>
            <w:top w:val="none" w:sz="0" w:space="0" w:color="auto"/>
            <w:left w:val="none" w:sz="0" w:space="0" w:color="auto"/>
            <w:bottom w:val="none" w:sz="0" w:space="0" w:color="auto"/>
            <w:right w:val="none" w:sz="0" w:space="0" w:color="auto"/>
          </w:divBdr>
          <w:divsChild>
            <w:div w:id="903877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9104348">
      <w:bodyDiv w:val="1"/>
      <w:marLeft w:val="0"/>
      <w:marRight w:val="0"/>
      <w:marTop w:val="0"/>
      <w:marBottom w:val="0"/>
      <w:divBdr>
        <w:top w:val="none" w:sz="0" w:space="0" w:color="auto"/>
        <w:left w:val="none" w:sz="0" w:space="0" w:color="auto"/>
        <w:bottom w:val="none" w:sz="0" w:space="0" w:color="auto"/>
        <w:right w:val="none" w:sz="0" w:space="0" w:color="auto"/>
      </w:divBdr>
    </w:div>
    <w:div w:id="524254043">
      <w:bodyDiv w:val="1"/>
      <w:marLeft w:val="0"/>
      <w:marRight w:val="0"/>
      <w:marTop w:val="0"/>
      <w:marBottom w:val="0"/>
      <w:divBdr>
        <w:top w:val="none" w:sz="0" w:space="0" w:color="auto"/>
        <w:left w:val="none" w:sz="0" w:space="0" w:color="auto"/>
        <w:bottom w:val="none" w:sz="0" w:space="0" w:color="auto"/>
        <w:right w:val="none" w:sz="0" w:space="0" w:color="auto"/>
      </w:divBdr>
    </w:div>
    <w:div w:id="537427359">
      <w:bodyDiv w:val="1"/>
      <w:marLeft w:val="0"/>
      <w:marRight w:val="0"/>
      <w:marTop w:val="0"/>
      <w:marBottom w:val="0"/>
      <w:divBdr>
        <w:top w:val="none" w:sz="0" w:space="0" w:color="auto"/>
        <w:left w:val="none" w:sz="0" w:space="0" w:color="auto"/>
        <w:bottom w:val="none" w:sz="0" w:space="0" w:color="auto"/>
        <w:right w:val="none" w:sz="0" w:space="0" w:color="auto"/>
      </w:divBdr>
    </w:div>
    <w:div w:id="545026810">
      <w:bodyDiv w:val="1"/>
      <w:marLeft w:val="0"/>
      <w:marRight w:val="0"/>
      <w:marTop w:val="0"/>
      <w:marBottom w:val="0"/>
      <w:divBdr>
        <w:top w:val="none" w:sz="0" w:space="0" w:color="auto"/>
        <w:left w:val="none" w:sz="0" w:space="0" w:color="auto"/>
        <w:bottom w:val="none" w:sz="0" w:space="0" w:color="auto"/>
        <w:right w:val="none" w:sz="0" w:space="0" w:color="auto"/>
      </w:divBdr>
    </w:div>
    <w:div w:id="639069473">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15860019">
      <w:bodyDiv w:val="1"/>
      <w:marLeft w:val="0"/>
      <w:marRight w:val="0"/>
      <w:marTop w:val="0"/>
      <w:marBottom w:val="0"/>
      <w:divBdr>
        <w:top w:val="none" w:sz="0" w:space="0" w:color="auto"/>
        <w:left w:val="none" w:sz="0" w:space="0" w:color="auto"/>
        <w:bottom w:val="none" w:sz="0" w:space="0" w:color="auto"/>
        <w:right w:val="none" w:sz="0" w:space="0" w:color="auto"/>
      </w:divBdr>
    </w:div>
    <w:div w:id="757138418">
      <w:bodyDiv w:val="1"/>
      <w:marLeft w:val="0"/>
      <w:marRight w:val="0"/>
      <w:marTop w:val="0"/>
      <w:marBottom w:val="0"/>
      <w:divBdr>
        <w:top w:val="none" w:sz="0" w:space="0" w:color="auto"/>
        <w:left w:val="none" w:sz="0" w:space="0" w:color="auto"/>
        <w:bottom w:val="none" w:sz="0" w:space="0" w:color="auto"/>
        <w:right w:val="none" w:sz="0" w:space="0" w:color="auto"/>
      </w:divBdr>
    </w:div>
    <w:div w:id="790981982">
      <w:bodyDiv w:val="1"/>
      <w:marLeft w:val="0"/>
      <w:marRight w:val="0"/>
      <w:marTop w:val="0"/>
      <w:marBottom w:val="0"/>
      <w:divBdr>
        <w:top w:val="none" w:sz="0" w:space="0" w:color="auto"/>
        <w:left w:val="none" w:sz="0" w:space="0" w:color="auto"/>
        <w:bottom w:val="none" w:sz="0" w:space="0" w:color="auto"/>
        <w:right w:val="none" w:sz="0" w:space="0" w:color="auto"/>
      </w:divBdr>
    </w:div>
    <w:div w:id="852300971">
      <w:bodyDiv w:val="1"/>
      <w:marLeft w:val="0"/>
      <w:marRight w:val="0"/>
      <w:marTop w:val="0"/>
      <w:marBottom w:val="0"/>
      <w:divBdr>
        <w:top w:val="none" w:sz="0" w:space="0" w:color="auto"/>
        <w:left w:val="none" w:sz="0" w:space="0" w:color="auto"/>
        <w:bottom w:val="none" w:sz="0" w:space="0" w:color="auto"/>
        <w:right w:val="none" w:sz="0" w:space="0" w:color="auto"/>
      </w:divBdr>
    </w:div>
    <w:div w:id="876158115">
      <w:bodyDiv w:val="1"/>
      <w:marLeft w:val="0"/>
      <w:marRight w:val="0"/>
      <w:marTop w:val="0"/>
      <w:marBottom w:val="0"/>
      <w:divBdr>
        <w:top w:val="none" w:sz="0" w:space="0" w:color="auto"/>
        <w:left w:val="none" w:sz="0" w:space="0" w:color="auto"/>
        <w:bottom w:val="none" w:sz="0" w:space="0" w:color="auto"/>
        <w:right w:val="none" w:sz="0" w:space="0" w:color="auto"/>
      </w:divBdr>
    </w:div>
    <w:div w:id="909273166">
      <w:bodyDiv w:val="1"/>
      <w:marLeft w:val="0"/>
      <w:marRight w:val="0"/>
      <w:marTop w:val="0"/>
      <w:marBottom w:val="0"/>
      <w:divBdr>
        <w:top w:val="none" w:sz="0" w:space="0" w:color="auto"/>
        <w:left w:val="none" w:sz="0" w:space="0" w:color="auto"/>
        <w:bottom w:val="none" w:sz="0" w:space="0" w:color="auto"/>
        <w:right w:val="none" w:sz="0" w:space="0" w:color="auto"/>
      </w:divBdr>
    </w:div>
    <w:div w:id="930820695">
      <w:bodyDiv w:val="1"/>
      <w:marLeft w:val="0"/>
      <w:marRight w:val="0"/>
      <w:marTop w:val="0"/>
      <w:marBottom w:val="0"/>
      <w:divBdr>
        <w:top w:val="none" w:sz="0" w:space="0" w:color="auto"/>
        <w:left w:val="none" w:sz="0" w:space="0" w:color="auto"/>
        <w:bottom w:val="none" w:sz="0" w:space="0" w:color="auto"/>
        <w:right w:val="none" w:sz="0" w:space="0" w:color="auto"/>
      </w:divBdr>
    </w:div>
    <w:div w:id="1027831487">
      <w:bodyDiv w:val="1"/>
      <w:marLeft w:val="0"/>
      <w:marRight w:val="0"/>
      <w:marTop w:val="0"/>
      <w:marBottom w:val="0"/>
      <w:divBdr>
        <w:top w:val="none" w:sz="0" w:space="0" w:color="auto"/>
        <w:left w:val="none" w:sz="0" w:space="0" w:color="auto"/>
        <w:bottom w:val="none" w:sz="0" w:space="0" w:color="auto"/>
        <w:right w:val="none" w:sz="0" w:space="0" w:color="auto"/>
      </w:divBdr>
    </w:div>
    <w:div w:id="1064373024">
      <w:bodyDiv w:val="1"/>
      <w:marLeft w:val="0"/>
      <w:marRight w:val="0"/>
      <w:marTop w:val="0"/>
      <w:marBottom w:val="0"/>
      <w:divBdr>
        <w:top w:val="none" w:sz="0" w:space="0" w:color="auto"/>
        <w:left w:val="none" w:sz="0" w:space="0" w:color="auto"/>
        <w:bottom w:val="none" w:sz="0" w:space="0" w:color="auto"/>
        <w:right w:val="none" w:sz="0" w:space="0" w:color="auto"/>
      </w:divBdr>
    </w:div>
    <w:div w:id="1072776001">
      <w:bodyDiv w:val="1"/>
      <w:marLeft w:val="0"/>
      <w:marRight w:val="0"/>
      <w:marTop w:val="0"/>
      <w:marBottom w:val="0"/>
      <w:divBdr>
        <w:top w:val="none" w:sz="0" w:space="0" w:color="auto"/>
        <w:left w:val="none" w:sz="0" w:space="0" w:color="auto"/>
        <w:bottom w:val="none" w:sz="0" w:space="0" w:color="auto"/>
        <w:right w:val="none" w:sz="0" w:space="0" w:color="auto"/>
      </w:divBdr>
    </w:div>
    <w:div w:id="1110003859">
      <w:bodyDiv w:val="1"/>
      <w:marLeft w:val="0"/>
      <w:marRight w:val="0"/>
      <w:marTop w:val="0"/>
      <w:marBottom w:val="0"/>
      <w:divBdr>
        <w:top w:val="none" w:sz="0" w:space="0" w:color="auto"/>
        <w:left w:val="none" w:sz="0" w:space="0" w:color="auto"/>
        <w:bottom w:val="none" w:sz="0" w:space="0" w:color="auto"/>
        <w:right w:val="none" w:sz="0" w:space="0" w:color="auto"/>
      </w:divBdr>
    </w:div>
    <w:div w:id="1121654474">
      <w:bodyDiv w:val="1"/>
      <w:marLeft w:val="0"/>
      <w:marRight w:val="0"/>
      <w:marTop w:val="0"/>
      <w:marBottom w:val="0"/>
      <w:divBdr>
        <w:top w:val="none" w:sz="0" w:space="0" w:color="auto"/>
        <w:left w:val="none" w:sz="0" w:space="0" w:color="auto"/>
        <w:bottom w:val="none" w:sz="0" w:space="0" w:color="auto"/>
        <w:right w:val="none" w:sz="0" w:space="0" w:color="auto"/>
      </w:divBdr>
    </w:div>
    <w:div w:id="1205681994">
      <w:bodyDiv w:val="1"/>
      <w:marLeft w:val="0"/>
      <w:marRight w:val="0"/>
      <w:marTop w:val="0"/>
      <w:marBottom w:val="0"/>
      <w:divBdr>
        <w:top w:val="none" w:sz="0" w:space="0" w:color="auto"/>
        <w:left w:val="none" w:sz="0" w:space="0" w:color="auto"/>
        <w:bottom w:val="none" w:sz="0" w:space="0" w:color="auto"/>
        <w:right w:val="none" w:sz="0" w:space="0" w:color="auto"/>
      </w:divBdr>
    </w:div>
    <w:div w:id="1234586591">
      <w:bodyDiv w:val="1"/>
      <w:marLeft w:val="0"/>
      <w:marRight w:val="0"/>
      <w:marTop w:val="0"/>
      <w:marBottom w:val="0"/>
      <w:divBdr>
        <w:top w:val="none" w:sz="0" w:space="0" w:color="auto"/>
        <w:left w:val="none" w:sz="0" w:space="0" w:color="auto"/>
        <w:bottom w:val="none" w:sz="0" w:space="0" w:color="auto"/>
        <w:right w:val="none" w:sz="0" w:space="0" w:color="auto"/>
      </w:divBdr>
    </w:div>
    <w:div w:id="1275555595">
      <w:bodyDiv w:val="1"/>
      <w:marLeft w:val="0"/>
      <w:marRight w:val="0"/>
      <w:marTop w:val="0"/>
      <w:marBottom w:val="0"/>
      <w:divBdr>
        <w:top w:val="none" w:sz="0" w:space="0" w:color="auto"/>
        <w:left w:val="none" w:sz="0" w:space="0" w:color="auto"/>
        <w:bottom w:val="none" w:sz="0" w:space="0" w:color="auto"/>
        <w:right w:val="none" w:sz="0" w:space="0" w:color="auto"/>
      </w:divBdr>
    </w:div>
    <w:div w:id="1304852914">
      <w:bodyDiv w:val="1"/>
      <w:marLeft w:val="0"/>
      <w:marRight w:val="0"/>
      <w:marTop w:val="0"/>
      <w:marBottom w:val="0"/>
      <w:divBdr>
        <w:top w:val="none" w:sz="0" w:space="0" w:color="auto"/>
        <w:left w:val="none" w:sz="0" w:space="0" w:color="auto"/>
        <w:bottom w:val="none" w:sz="0" w:space="0" w:color="auto"/>
        <w:right w:val="none" w:sz="0" w:space="0" w:color="auto"/>
      </w:divBdr>
    </w:div>
    <w:div w:id="1380666957">
      <w:bodyDiv w:val="1"/>
      <w:marLeft w:val="0"/>
      <w:marRight w:val="0"/>
      <w:marTop w:val="0"/>
      <w:marBottom w:val="0"/>
      <w:divBdr>
        <w:top w:val="none" w:sz="0" w:space="0" w:color="auto"/>
        <w:left w:val="none" w:sz="0" w:space="0" w:color="auto"/>
        <w:bottom w:val="none" w:sz="0" w:space="0" w:color="auto"/>
        <w:right w:val="none" w:sz="0" w:space="0" w:color="auto"/>
      </w:divBdr>
    </w:div>
    <w:div w:id="1417943572">
      <w:bodyDiv w:val="1"/>
      <w:marLeft w:val="0"/>
      <w:marRight w:val="0"/>
      <w:marTop w:val="0"/>
      <w:marBottom w:val="0"/>
      <w:divBdr>
        <w:top w:val="none" w:sz="0" w:space="0" w:color="auto"/>
        <w:left w:val="none" w:sz="0" w:space="0" w:color="auto"/>
        <w:bottom w:val="none" w:sz="0" w:space="0" w:color="auto"/>
        <w:right w:val="none" w:sz="0" w:space="0" w:color="auto"/>
      </w:divBdr>
    </w:div>
    <w:div w:id="1476754186">
      <w:bodyDiv w:val="1"/>
      <w:marLeft w:val="0"/>
      <w:marRight w:val="0"/>
      <w:marTop w:val="0"/>
      <w:marBottom w:val="0"/>
      <w:divBdr>
        <w:top w:val="none" w:sz="0" w:space="0" w:color="auto"/>
        <w:left w:val="none" w:sz="0" w:space="0" w:color="auto"/>
        <w:bottom w:val="none" w:sz="0" w:space="0" w:color="auto"/>
        <w:right w:val="none" w:sz="0" w:space="0" w:color="auto"/>
      </w:divBdr>
    </w:div>
    <w:div w:id="1660696781">
      <w:bodyDiv w:val="1"/>
      <w:marLeft w:val="0"/>
      <w:marRight w:val="0"/>
      <w:marTop w:val="0"/>
      <w:marBottom w:val="0"/>
      <w:divBdr>
        <w:top w:val="none" w:sz="0" w:space="0" w:color="auto"/>
        <w:left w:val="none" w:sz="0" w:space="0" w:color="auto"/>
        <w:bottom w:val="none" w:sz="0" w:space="0" w:color="auto"/>
        <w:right w:val="none" w:sz="0" w:space="0" w:color="auto"/>
      </w:divBdr>
    </w:div>
    <w:div w:id="1689136394">
      <w:bodyDiv w:val="1"/>
      <w:marLeft w:val="0"/>
      <w:marRight w:val="0"/>
      <w:marTop w:val="0"/>
      <w:marBottom w:val="0"/>
      <w:divBdr>
        <w:top w:val="none" w:sz="0" w:space="0" w:color="auto"/>
        <w:left w:val="none" w:sz="0" w:space="0" w:color="auto"/>
        <w:bottom w:val="none" w:sz="0" w:space="0" w:color="auto"/>
        <w:right w:val="none" w:sz="0" w:space="0" w:color="auto"/>
      </w:divBdr>
    </w:div>
    <w:div w:id="1806392510">
      <w:bodyDiv w:val="1"/>
      <w:marLeft w:val="0"/>
      <w:marRight w:val="0"/>
      <w:marTop w:val="0"/>
      <w:marBottom w:val="0"/>
      <w:divBdr>
        <w:top w:val="none" w:sz="0" w:space="0" w:color="auto"/>
        <w:left w:val="none" w:sz="0" w:space="0" w:color="auto"/>
        <w:bottom w:val="none" w:sz="0" w:space="0" w:color="auto"/>
        <w:right w:val="none" w:sz="0" w:space="0" w:color="auto"/>
      </w:divBdr>
    </w:div>
    <w:div w:id="1862814678">
      <w:bodyDiv w:val="1"/>
      <w:marLeft w:val="0"/>
      <w:marRight w:val="0"/>
      <w:marTop w:val="0"/>
      <w:marBottom w:val="0"/>
      <w:divBdr>
        <w:top w:val="none" w:sz="0" w:space="0" w:color="auto"/>
        <w:left w:val="none" w:sz="0" w:space="0" w:color="auto"/>
        <w:bottom w:val="none" w:sz="0" w:space="0" w:color="auto"/>
        <w:right w:val="none" w:sz="0" w:space="0" w:color="auto"/>
      </w:divBdr>
    </w:div>
    <w:div w:id="1873571948">
      <w:bodyDiv w:val="1"/>
      <w:marLeft w:val="0"/>
      <w:marRight w:val="0"/>
      <w:marTop w:val="0"/>
      <w:marBottom w:val="0"/>
      <w:divBdr>
        <w:top w:val="none" w:sz="0" w:space="0" w:color="auto"/>
        <w:left w:val="none" w:sz="0" w:space="0" w:color="auto"/>
        <w:bottom w:val="none" w:sz="0" w:space="0" w:color="auto"/>
        <w:right w:val="none" w:sz="0" w:space="0" w:color="auto"/>
      </w:divBdr>
    </w:div>
    <w:div w:id="1878811899">
      <w:bodyDiv w:val="1"/>
      <w:marLeft w:val="0"/>
      <w:marRight w:val="0"/>
      <w:marTop w:val="0"/>
      <w:marBottom w:val="0"/>
      <w:divBdr>
        <w:top w:val="none" w:sz="0" w:space="0" w:color="auto"/>
        <w:left w:val="none" w:sz="0" w:space="0" w:color="auto"/>
        <w:bottom w:val="none" w:sz="0" w:space="0" w:color="auto"/>
        <w:right w:val="none" w:sz="0" w:space="0" w:color="auto"/>
      </w:divBdr>
    </w:div>
    <w:div w:id="2016152422">
      <w:bodyDiv w:val="1"/>
      <w:marLeft w:val="0"/>
      <w:marRight w:val="0"/>
      <w:marTop w:val="0"/>
      <w:marBottom w:val="0"/>
      <w:divBdr>
        <w:top w:val="none" w:sz="0" w:space="0" w:color="auto"/>
        <w:left w:val="none" w:sz="0" w:space="0" w:color="auto"/>
        <w:bottom w:val="none" w:sz="0" w:space="0" w:color="auto"/>
        <w:right w:val="none" w:sz="0" w:space="0" w:color="auto"/>
      </w:divBdr>
    </w:div>
    <w:div w:id="2033456587">
      <w:bodyDiv w:val="1"/>
      <w:marLeft w:val="0"/>
      <w:marRight w:val="0"/>
      <w:marTop w:val="0"/>
      <w:marBottom w:val="0"/>
      <w:divBdr>
        <w:top w:val="none" w:sz="0" w:space="0" w:color="auto"/>
        <w:left w:val="none" w:sz="0" w:space="0" w:color="auto"/>
        <w:bottom w:val="none" w:sz="0" w:space="0" w:color="auto"/>
        <w:right w:val="none" w:sz="0" w:space="0" w:color="auto"/>
      </w:divBdr>
    </w:div>
    <w:div w:id="20339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Md.%20M.%20Rahman&amp;contributorRole=author&amp;redirectFromPDP=true&amp;context=ubx" TargetMode="External"/><Relationship Id="rId13" Type="http://schemas.openxmlformats.org/officeDocument/2006/relationships/image" Target="media/image5.png"/><Relationship Id="rId18" Type="http://schemas.openxmlformats.org/officeDocument/2006/relationships/hyperlink" Target="https://doi.org/10.1016/S0167-8809(99)00145-0" TargetMode="External"/><Relationship Id="rId26" Type="http://schemas.openxmlformats.org/officeDocument/2006/relationships/hyperlink" Target="https://www.taylorfrancis.com/search?contributorName=Md.%20M.%20Rahman&amp;contributorRole=author&amp;redirectFromPDP=true&amp;context=ubx"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ijpss/2025/v37i35350" TargetMode="External"/><Relationship Id="rId34" Type="http://schemas.openxmlformats.org/officeDocument/2006/relationships/hyperlink" Target="https://doi.org/10.1016/j.geoderma.2019.02.03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51699/ijbea.v3i3.69" TargetMode="External"/><Relationship Id="rId25" Type="http://schemas.openxmlformats.org/officeDocument/2006/relationships/hyperlink" Target="https://doi.org/10.1016/j.catena.2016.10.010" TargetMode="External"/><Relationship Id="rId33" Type="http://schemas.openxmlformats.org/officeDocument/2006/relationships/hyperlink" Target="https://www.sciencedirect.com/journal/geoderma/vol/343/suppl/C"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eb.co.in/journal_issues/200909_sep09_supp/paper_09.pdf" TargetMode="External"/><Relationship Id="rId20" Type="http://schemas.openxmlformats.org/officeDocument/2006/relationships/hyperlink" Target="https://www.cabidigitallibrary.org/doi/full/10.5555/20063045771" TargetMode="External"/><Relationship Id="rId29" Type="http://schemas.openxmlformats.org/officeDocument/2006/relationships/hyperlink" Target="https://www.taylorfrancis.com/search?contributorName=J.U.%20Shoaib&amp;contributorRole=author&amp;redirectFromPDP=true&amp;context=ub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ciencedirect.com/journal/catena" TargetMode="External"/><Relationship Id="rId32" Type="http://schemas.openxmlformats.org/officeDocument/2006/relationships/hyperlink" Target="https://www.sciencedirect.com/journal/geoderm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371/journal.pone.0311270" TargetMode="External"/><Relationship Id="rId23" Type="http://schemas.openxmlformats.org/officeDocument/2006/relationships/hyperlink" Target="https://doi.org/10.1016/j.tfp.2021.100094" TargetMode="External"/><Relationship Id="rId28" Type="http://schemas.openxmlformats.org/officeDocument/2006/relationships/hyperlink" Target="https://www.taylorfrancis.com/search?contributorName=S.%20Razia&amp;contributorRole=author&amp;redirectFromPDP=true&amp;context=ubx"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038/s43247-022-00434-5" TargetMode="External"/><Relationship Id="rId31" Type="http://schemas.openxmlformats.org/officeDocument/2006/relationships/hyperlink" Target="https://doi.org/10.1007/978-981-16-9310-6_1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j.1747-0765.2009.00372.x" TargetMode="External"/><Relationship Id="rId22" Type="http://schemas.openxmlformats.org/officeDocument/2006/relationships/hyperlink" Target="https://doi.org/10.1007/s11356-024-31986-y" TargetMode="External"/><Relationship Id="rId27" Type="http://schemas.openxmlformats.org/officeDocument/2006/relationships/hyperlink" Target="https://www.taylorfrancis.com/search?contributorName=G.%20Mostafa&amp;contributorRole=author&amp;redirectFromPDP=true&amp;context=ubx" TargetMode="External"/><Relationship Id="rId30" Type="http://schemas.openxmlformats.org/officeDocument/2006/relationships/hyperlink" Target="https://doi.org/10.1201/9780429187957"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BDDF-9780-4852-ABA9-2E6972AD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14</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32</cp:revision>
  <cp:lastPrinted>2025-04-23T04:47:00Z</cp:lastPrinted>
  <dcterms:created xsi:type="dcterms:W3CDTF">2025-03-27T14:47:00Z</dcterms:created>
  <dcterms:modified xsi:type="dcterms:W3CDTF">2025-04-25T08:40:00Z</dcterms:modified>
</cp:coreProperties>
</file>