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66681" w14:textId="1C4AEE64" w:rsidR="00CE726E" w:rsidRDefault="00F97C96">
      <w:pPr>
        <w:rPr>
          <w:rFonts w:ascii="Times New Roman" w:hAnsi="Times New Roman" w:cs="Times New Roman"/>
          <w:b/>
        </w:rPr>
      </w:pPr>
      <w:r>
        <w:rPr>
          <w:rFonts w:ascii="Times New Roman" w:hAnsi="Times New Roman" w:cs="Times New Roman"/>
          <w:b/>
        </w:rPr>
        <w:t xml:space="preserve">    </w:t>
      </w:r>
      <w:r w:rsidR="0047600F" w:rsidRPr="0047600F">
        <w:rPr>
          <w:rFonts w:ascii="Times New Roman" w:hAnsi="Times New Roman" w:cs="Times New Roman"/>
          <w:b/>
        </w:rPr>
        <w:t xml:space="preserve">APPLICATION OF POLICY ANALYSIS </w:t>
      </w:r>
      <w:r w:rsidR="00070008" w:rsidRPr="0047600F">
        <w:rPr>
          <w:rFonts w:ascii="Times New Roman" w:hAnsi="Times New Roman" w:cs="Times New Roman"/>
          <w:b/>
        </w:rPr>
        <w:t>MATRIX</w:t>
      </w:r>
      <w:r w:rsidR="00070008">
        <w:rPr>
          <w:rFonts w:ascii="Times New Roman" w:hAnsi="Times New Roman" w:cs="Times New Roman"/>
          <w:b/>
        </w:rPr>
        <w:t xml:space="preserve"> IN</w:t>
      </w:r>
      <w:r w:rsidR="0047600F">
        <w:rPr>
          <w:rFonts w:ascii="Times New Roman" w:hAnsi="Times New Roman" w:cs="Times New Roman"/>
          <w:b/>
        </w:rPr>
        <w:t xml:space="preserve"> MEASURING </w:t>
      </w:r>
      <w:r w:rsidR="0047600F" w:rsidRPr="0047600F">
        <w:rPr>
          <w:rFonts w:ascii="Times New Roman" w:hAnsi="Times New Roman" w:cs="Times New Roman"/>
          <w:b/>
        </w:rPr>
        <w:t>MARKETING</w:t>
      </w:r>
      <w:r w:rsidR="0047600F">
        <w:rPr>
          <w:rFonts w:ascii="Times New Roman" w:hAnsi="Times New Roman" w:cs="Times New Roman"/>
          <w:b/>
        </w:rPr>
        <w:t xml:space="preserve"> </w:t>
      </w:r>
      <w:r w:rsidR="0047600F" w:rsidRPr="0047600F">
        <w:rPr>
          <w:rFonts w:ascii="Times New Roman" w:hAnsi="Times New Roman" w:cs="Times New Roman"/>
          <w:b/>
        </w:rPr>
        <w:t xml:space="preserve">EFFIFIENCY OF TEA IN NIGERIA </w:t>
      </w:r>
    </w:p>
    <w:p w14:paraId="29EBFAA7" w14:textId="57AB55D9" w:rsidR="00CF07F8" w:rsidRDefault="00F97C96" w:rsidP="00AA3672">
      <w:pPr>
        <w:spacing w:after="0" w:line="360" w:lineRule="auto"/>
        <w:rPr>
          <w:rFonts w:ascii="Times New Roman" w:hAnsi="Times New Roman" w:cs="Times New Roman"/>
          <w:b/>
        </w:rPr>
      </w:pPr>
      <w:r>
        <w:rPr>
          <w:rFonts w:ascii="Times New Roman" w:hAnsi="Times New Roman" w:cs="Times New Roman"/>
          <w:b/>
        </w:rPr>
        <w:t xml:space="preserve"> </w:t>
      </w:r>
    </w:p>
    <w:p w14:paraId="63094FDB" w14:textId="77777777" w:rsidR="00AA3672" w:rsidRDefault="00AA3672" w:rsidP="00AA3672">
      <w:pPr>
        <w:spacing w:after="0" w:line="360" w:lineRule="auto"/>
        <w:rPr>
          <w:rFonts w:ascii="Times New Roman" w:hAnsi="Times New Roman" w:cs="Times New Roman"/>
        </w:rPr>
      </w:pPr>
    </w:p>
    <w:p w14:paraId="26A15C13" w14:textId="77777777" w:rsidR="00AF6DD5" w:rsidRDefault="00AF6DD5" w:rsidP="00AF6DD5">
      <w:pPr>
        <w:rPr>
          <w:rFonts w:ascii="Times New Roman" w:hAnsi="Times New Roman" w:cs="Times New Roman"/>
          <w:b/>
        </w:rPr>
      </w:pPr>
    </w:p>
    <w:p w14:paraId="17561C0C" w14:textId="2E7803C0" w:rsidR="00386E3F" w:rsidRPr="00D6616C" w:rsidRDefault="00386E3F" w:rsidP="00AF6DD5">
      <w:pPr>
        <w:pStyle w:val="NoSpacing"/>
        <w:rPr>
          <w:rFonts w:ascii="Times New Roman" w:hAnsi="Times New Roman" w:cs="Times New Roman"/>
          <w:b/>
        </w:rPr>
      </w:pPr>
      <w:r w:rsidRPr="00D6616C">
        <w:rPr>
          <w:rFonts w:ascii="Times New Roman" w:hAnsi="Times New Roman" w:cs="Times New Roman"/>
          <w:b/>
        </w:rPr>
        <w:t>Abstract</w:t>
      </w:r>
    </w:p>
    <w:p w14:paraId="5D7EB559" w14:textId="77777777" w:rsidR="00386E3F" w:rsidRPr="00EB5C79" w:rsidRDefault="00762762" w:rsidP="00B1301D">
      <w:pPr>
        <w:spacing w:line="360" w:lineRule="auto"/>
        <w:jc w:val="both"/>
        <w:rPr>
          <w:rFonts w:ascii="Times New Roman" w:hAnsi="Times New Roman" w:cs="Times New Roman"/>
        </w:rPr>
      </w:pPr>
      <w:r>
        <w:rPr>
          <w:rFonts w:ascii="Times New Roman" w:hAnsi="Times New Roman" w:cs="Times New Roman"/>
        </w:rPr>
        <w:t>Tea is</w:t>
      </w:r>
      <w:r w:rsidR="00386E3F" w:rsidRPr="00A3793F">
        <w:rPr>
          <w:rFonts w:ascii="Times New Roman" w:hAnsi="Times New Roman" w:cs="Times New Roman"/>
        </w:rPr>
        <w:t xml:space="preserve"> one of the most important cash crops in Nigeria and has the potential to c</w:t>
      </w:r>
      <w:r w:rsidR="00386E3F">
        <w:rPr>
          <w:rFonts w:ascii="Times New Roman" w:hAnsi="Times New Roman" w:cs="Times New Roman"/>
        </w:rPr>
        <w:t>ontribute to food security and Gross Domestic P</w:t>
      </w:r>
      <w:r w:rsidR="00386E3F" w:rsidRPr="00A3793F">
        <w:rPr>
          <w:rFonts w:ascii="Times New Roman" w:hAnsi="Times New Roman" w:cs="Times New Roman"/>
        </w:rPr>
        <w:t xml:space="preserve">roduct of the nation. </w:t>
      </w:r>
      <w:r>
        <w:rPr>
          <w:rFonts w:ascii="Times New Roman" w:hAnsi="Times New Roman" w:cs="Times New Roman"/>
        </w:rPr>
        <w:t>Despite this, t</w:t>
      </w:r>
      <w:r w:rsidR="00386E3F" w:rsidRPr="00A3793F">
        <w:rPr>
          <w:rFonts w:ascii="Times New Roman" w:hAnsi="Times New Roman" w:cs="Times New Roman"/>
        </w:rPr>
        <w:t>here is dearth of information on competitiven</w:t>
      </w:r>
      <w:r w:rsidR="00386E3F">
        <w:rPr>
          <w:rFonts w:ascii="Times New Roman" w:hAnsi="Times New Roman" w:cs="Times New Roman"/>
        </w:rPr>
        <w:t>ess and comparative advantage</w:t>
      </w:r>
      <w:r>
        <w:rPr>
          <w:rFonts w:ascii="Times New Roman" w:hAnsi="Times New Roman" w:cs="Times New Roman"/>
        </w:rPr>
        <w:t xml:space="preserve"> of</w:t>
      </w:r>
      <w:r w:rsidR="00386E3F" w:rsidRPr="00A3793F">
        <w:rPr>
          <w:rFonts w:ascii="Times New Roman" w:hAnsi="Times New Roman" w:cs="Times New Roman"/>
        </w:rPr>
        <w:t xml:space="preserve"> the commodity. </w:t>
      </w:r>
      <w:r w:rsidR="00386E3F" w:rsidRPr="00D6616C">
        <w:rPr>
          <w:rFonts w:ascii="Times New Roman" w:hAnsi="Times New Roman" w:cs="Times New Roman"/>
        </w:rPr>
        <w:t xml:space="preserve">This study was </w:t>
      </w:r>
      <w:r w:rsidR="00386E3F">
        <w:rPr>
          <w:rFonts w:ascii="Times New Roman" w:hAnsi="Times New Roman" w:cs="Times New Roman"/>
        </w:rPr>
        <w:t xml:space="preserve">therefore </w:t>
      </w:r>
      <w:r w:rsidR="00386E3F" w:rsidRPr="00D6616C">
        <w:rPr>
          <w:rFonts w:ascii="Times New Roman" w:hAnsi="Times New Roman" w:cs="Times New Roman"/>
        </w:rPr>
        <w:t>carried out with a</w:t>
      </w:r>
      <w:r w:rsidR="00386E3F">
        <w:rPr>
          <w:rFonts w:ascii="Times New Roman" w:hAnsi="Times New Roman" w:cs="Times New Roman"/>
        </w:rPr>
        <w:t xml:space="preserve"> view to analyzing the efficiency</w:t>
      </w:r>
      <w:r w:rsidR="00386E3F" w:rsidRPr="00D6616C">
        <w:rPr>
          <w:rFonts w:ascii="Times New Roman" w:hAnsi="Times New Roman" w:cs="Times New Roman"/>
        </w:rPr>
        <w:t xml:space="preserve"> of tea marketing in Nigeria using Policy Analysis Matrix (PAM).</w:t>
      </w:r>
      <w:r w:rsidR="00386E3F" w:rsidRPr="00876199">
        <w:t xml:space="preserve"> </w:t>
      </w:r>
      <w:r w:rsidR="00386E3F" w:rsidRPr="00876199">
        <w:rPr>
          <w:rFonts w:ascii="Times New Roman" w:hAnsi="Times New Roman" w:cs="Times New Roman"/>
        </w:rPr>
        <w:t xml:space="preserve">The study </w:t>
      </w:r>
      <w:r w:rsidR="00386E3F">
        <w:rPr>
          <w:rFonts w:ascii="Times New Roman" w:hAnsi="Times New Roman" w:cs="Times New Roman"/>
        </w:rPr>
        <w:t>employed cross-sectional data of 211 key actor</w:t>
      </w:r>
      <w:r w:rsidR="00386E3F" w:rsidRPr="00876199">
        <w:rPr>
          <w:rFonts w:ascii="Times New Roman" w:hAnsi="Times New Roman" w:cs="Times New Roman"/>
        </w:rPr>
        <w:t>s sampled through a multi-stage</w:t>
      </w:r>
      <w:r>
        <w:rPr>
          <w:rFonts w:ascii="Times New Roman" w:hAnsi="Times New Roman" w:cs="Times New Roman"/>
        </w:rPr>
        <w:t xml:space="preserve"> sampling</w:t>
      </w:r>
      <w:r w:rsidR="00386E3F" w:rsidRPr="00876199">
        <w:rPr>
          <w:rFonts w:ascii="Times New Roman" w:hAnsi="Times New Roman" w:cs="Times New Roman"/>
        </w:rPr>
        <w:t xml:space="preserve"> technique.  The</w:t>
      </w:r>
      <w:r w:rsidR="00386E3F">
        <w:rPr>
          <w:rFonts w:ascii="Times New Roman" w:hAnsi="Times New Roman" w:cs="Times New Roman"/>
        </w:rPr>
        <w:t xml:space="preserve"> empirical results of PAM revealed that tea marketing in Nigeria has both competitive and comparative advantages.</w:t>
      </w:r>
      <w:r w:rsidR="00386E3F" w:rsidRPr="00F40BB3">
        <w:t xml:space="preserve"> </w:t>
      </w:r>
      <w:r w:rsidR="00386E3F" w:rsidRPr="00F40BB3">
        <w:rPr>
          <w:rFonts w:ascii="Times New Roman" w:hAnsi="Times New Roman" w:cs="Times New Roman"/>
        </w:rPr>
        <w:t>The hig</w:t>
      </w:r>
      <w:r>
        <w:rPr>
          <w:rFonts w:ascii="Times New Roman" w:hAnsi="Times New Roman" w:cs="Times New Roman"/>
        </w:rPr>
        <w:t>hest competitive advantage was</w:t>
      </w:r>
      <w:r w:rsidR="00386E3F" w:rsidRPr="00F40BB3">
        <w:rPr>
          <w:rFonts w:ascii="Times New Roman" w:hAnsi="Times New Roman" w:cs="Times New Roman"/>
        </w:rPr>
        <w:t xml:space="preserve"> obtained for medium scale marketers with the coefficient values of PCR (Private Cost Ratio) of 0.2 and DRC (Domestic Resource Cost Ratio) of 0.18. The lowest competitive advantage was obtained for small scale marketers with PCR and DRC of 0.45 </w:t>
      </w:r>
      <w:r w:rsidR="00386E3F" w:rsidRPr="00EB5C79">
        <w:rPr>
          <w:rFonts w:ascii="Times New Roman" w:hAnsi="Times New Roman" w:cs="Times New Roman"/>
        </w:rPr>
        <w:t>an</w:t>
      </w:r>
      <w:r w:rsidR="00B1301D">
        <w:rPr>
          <w:rFonts w:ascii="Times New Roman" w:hAnsi="Times New Roman" w:cs="Times New Roman"/>
        </w:rPr>
        <w:t xml:space="preserve">d 0.50 respectively. </w:t>
      </w:r>
      <w:r>
        <w:rPr>
          <w:rFonts w:ascii="Times New Roman" w:hAnsi="Times New Roman" w:cs="Times New Roman"/>
        </w:rPr>
        <w:t>As regard the comparative advantage, t</w:t>
      </w:r>
      <w:r w:rsidR="00B1301D">
        <w:rPr>
          <w:rFonts w:ascii="Times New Roman" w:hAnsi="Times New Roman" w:cs="Times New Roman"/>
        </w:rPr>
        <w:t xml:space="preserve">he social </w:t>
      </w:r>
      <w:r>
        <w:rPr>
          <w:rFonts w:ascii="Times New Roman" w:hAnsi="Times New Roman" w:cs="Times New Roman"/>
        </w:rPr>
        <w:t>profits f</w:t>
      </w:r>
      <w:r w:rsidR="002A6676">
        <w:rPr>
          <w:rFonts w:ascii="Times New Roman" w:hAnsi="Times New Roman" w:cs="Times New Roman"/>
        </w:rPr>
        <w:t>or small scale marketer was    #</w:t>
      </w:r>
      <w:r w:rsidR="00386E3F" w:rsidRPr="00EB5C79">
        <w:rPr>
          <w:rFonts w:ascii="Times New Roman" w:hAnsi="Times New Roman" w:cs="Times New Roman"/>
        </w:rPr>
        <w:t>393,864.16 per ton whil</w:t>
      </w:r>
      <w:r w:rsidR="002A6676">
        <w:rPr>
          <w:rFonts w:ascii="Times New Roman" w:hAnsi="Times New Roman" w:cs="Times New Roman"/>
        </w:rPr>
        <w:t>e that of the medium scale was #</w:t>
      </w:r>
      <w:r w:rsidR="00386E3F" w:rsidRPr="00EB5C79">
        <w:rPr>
          <w:rFonts w:ascii="Times New Roman" w:hAnsi="Times New Roman" w:cs="Times New Roman"/>
        </w:rPr>
        <w:t>770</w:t>
      </w:r>
      <w:r w:rsidR="00B1301D" w:rsidRPr="00EB5C79">
        <w:rPr>
          <w:rFonts w:ascii="Times New Roman" w:hAnsi="Times New Roman" w:cs="Times New Roman"/>
        </w:rPr>
        <w:t>, 995.82</w:t>
      </w:r>
      <w:r w:rsidR="00386E3F" w:rsidRPr="00EB5C79">
        <w:rPr>
          <w:rFonts w:ascii="Times New Roman" w:hAnsi="Times New Roman" w:cs="Times New Roman"/>
        </w:rPr>
        <w:t xml:space="preserve"> per ton respectively at social prices.</w:t>
      </w:r>
      <w:r w:rsidR="00386E3F">
        <w:rPr>
          <w:rFonts w:ascii="Times New Roman" w:hAnsi="Times New Roman" w:cs="Times New Roman"/>
        </w:rPr>
        <w:t xml:space="preserve"> The Social cost benefit of medium scale marketers was also higher (0.36) than that of the small scale (0.67). There is indication that tea marketing in Nigeria has competitive and comparative advantages.</w:t>
      </w:r>
    </w:p>
    <w:p w14:paraId="610011FD" w14:textId="77777777" w:rsidR="00386E3F" w:rsidRDefault="00386E3F" w:rsidP="00386E3F">
      <w:pPr>
        <w:rPr>
          <w:rFonts w:ascii="Times New Roman" w:hAnsi="Times New Roman" w:cs="Times New Roman"/>
          <w:b/>
        </w:rPr>
      </w:pPr>
      <w:r>
        <w:rPr>
          <w:rFonts w:ascii="Times New Roman" w:hAnsi="Times New Roman" w:cs="Times New Roman"/>
          <w:b/>
        </w:rPr>
        <w:t xml:space="preserve">Keywords: </w:t>
      </w:r>
      <w:r w:rsidR="00C37B65" w:rsidRPr="00C37B65">
        <w:rPr>
          <w:rFonts w:ascii="Times New Roman" w:hAnsi="Times New Roman" w:cs="Times New Roman"/>
        </w:rPr>
        <w:t>Policy Analysis Matrix,</w:t>
      </w:r>
      <w:r w:rsidR="00C37B65">
        <w:rPr>
          <w:rFonts w:ascii="Times New Roman" w:hAnsi="Times New Roman" w:cs="Times New Roman"/>
          <w:b/>
        </w:rPr>
        <w:t xml:space="preserve"> </w:t>
      </w:r>
      <w:r>
        <w:rPr>
          <w:rFonts w:ascii="Times New Roman" w:hAnsi="Times New Roman" w:cs="Times New Roman"/>
        </w:rPr>
        <w:t>Tea, Com</w:t>
      </w:r>
      <w:r w:rsidR="00C37B65">
        <w:rPr>
          <w:rFonts w:ascii="Times New Roman" w:hAnsi="Times New Roman" w:cs="Times New Roman"/>
        </w:rPr>
        <w:t>petitiveness, Marketing, Nigeria</w:t>
      </w:r>
    </w:p>
    <w:p w14:paraId="6C239087" w14:textId="77777777" w:rsidR="00D06B95" w:rsidRDefault="00D06B95" w:rsidP="00386E3F">
      <w:pPr>
        <w:rPr>
          <w:rFonts w:ascii="Times New Roman" w:hAnsi="Times New Roman" w:cs="Times New Roman"/>
          <w:b/>
          <w:sz w:val="24"/>
          <w:szCs w:val="24"/>
        </w:rPr>
      </w:pPr>
    </w:p>
    <w:p w14:paraId="2B6C8A46" w14:textId="77777777" w:rsidR="00D06B95" w:rsidRDefault="00D06B95" w:rsidP="00386E3F">
      <w:pPr>
        <w:rPr>
          <w:rFonts w:ascii="Times New Roman" w:hAnsi="Times New Roman" w:cs="Times New Roman"/>
          <w:b/>
          <w:sz w:val="24"/>
          <w:szCs w:val="24"/>
        </w:rPr>
      </w:pPr>
    </w:p>
    <w:p w14:paraId="7E016363" w14:textId="77495F38" w:rsidR="00D06B95" w:rsidRDefault="00D06B95" w:rsidP="00386E3F">
      <w:pPr>
        <w:rPr>
          <w:rFonts w:ascii="Times New Roman" w:hAnsi="Times New Roman" w:cs="Times New Roman"/>
          <w:b/>
          <w:sz w:val="24"/>
          <w:szCs w:val="24"/>
        </w:rPr>
      </w:pPr>
    </w:p>
    <w:p w14:paraId="54D6DF4E" w14:textId="524185D5" w:rsidR="00AA3672" w:rsidRDefault="00AA3672" w:rsidP="00386E3F">
      <w:pPr>
        <w:rPr>
          <w:rFonts w:ascii="Times New Roman" w:hAnsi="Times New Roman" w:cs="Times New Roman"/>
          <w:b/>
          <w:sz w:val="24"/>
          <w:szCs w:val="24"/>
        </w:rPr>
      </w:pPr>
    </w:p>
    <w:p w14:paraId="36B815B2" w14:textId="77777777" w:rsidR="00AA3672" w:rsidRDefault="00AA3672" w:rsidP="00386E3F">
      <w:pPr>
        <w:rPr>
          <w:rFonts w:ascii="Times New Roman" w:hAnsi="Times New Roman" w:cs="Times New Roman"/>
          <w:b/>
          <w:sz w:val="24"/>
          <w:szCs w:val="24"/>
        </w:rPr>
      </w:pPr>
      <w:bookmarkStart w:id="0" w:name="_GoBack"/>
      <w:bookmarkEnd w:id="0"/>
    </w:p>
    <w:p w14:paraId="164EC381" w14:textId="77777777" w:rsidR="00D06B95" w:rsidRDefault="00D06B95" w:rsidP="00386E3F">
      <w:pPr>
        <w:rPr>
          <w:rFonts w:ascii="Times New Roman" w:hAnsi="Times New Roman" w:cs="Times New Roman"/>
          <w:b/>
          <w:sz w:val="24"/>
          <w:szCs w:val="24"/>
        </w:rPr>
      </w:pPr>
    </w:p>
    <w:p w14:paraId="66AEED20" w14:textId="77777777" w:rsidR="00D06B95" w:rsidRDefault="00D06B95" w:rsidP="00386E3F">
      <w:pPr>
        <w:rPr>
          <w:rFonts w:ascii="Times New Roman" w:hAnsi="Times New Roman" w:cs="Times New Roman"/>
          <w:b/>
          <w:sz w:val="24"/>
          <w:szCs w:val="24"/>
        </w:rPr>
      </w:pPr>
    </w:p>
    <w:p w14:paraId="5FCBC67B" w14:textId="77777777" w:rsidR="00D06B95" w:rsidRDefault="00D06B95" w:rsidP="00386E3F">
      <w:pPr>
        <w:rPr>
          <w:rFonts w:ascii="Times New Roman" w:hAnsi="Times New Roman" w:cs="Times New Roman"/>
          <w:b/>
          <w:sz w:val="24"/>
          <w:szCs w:val="24"/>
        </w:rPr>
      </w:pPr>
    </w:p>
    <w:p w14:paraId="278A3F11" w14:textId="77777777" w:rsidR="00D06B95" w:rsidRDefault="00D06B95" w:rsidP="00386E3F">
      <w:pPr>
        <w:rPr>
          <w:rFonts w:ascii="Times New Roman" w:hAnsi="Times New Roman" w:cs="Times New Roman"/>
          <w:b/>
          <w:sz w:val="24"/>
          <w:szCs w:val="24"/>
        </w:rPr>
      </w:pPr>
    </w:p>
    <w:p w14:paraId="7DA2359B" w14:textId="77777777" w:rsidR="00D06B95" w:rsidRDefault="00D06B95" w:rsidP="00386E3F">
      <w:pPr>
        <w:rPr>
          <w:rFonts w:ascii="Times New Roman" w:hAnsi="Times New Roman" w:cs="Times New Roman"/>
          <w:b/>
          <w:sz w:val="24"/>
          <w:szCs w:val="24"/>
        </w:rPr>
      </w:pPr>
    </w:p>
    <w:p w14:paraId="52EF719F" w14:textId="77777777" w:rsidR="00386E3F" w:rsidRDefault="00386E3F" w:rsidP="00386E3F">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46E6B368" w14:textId="2CA82BFC" w:rsidR="00386E3F" w:rsidRPr="00354C03" w:rsidRDefault="00386E3F" w:rsidP="00B1301D">
      <w:pPr>
        <w:spacing w:line="360" w:lineRule="auto"/>
        <w:jc w:val="both"/>
        <w:rPr>
          <w:rFonts w:ascii="Times New Roman" w:hAnsi="Times New Roman" w:cs="Times New Roman"/>
        </w:rPr>
      </w:pPr>
      <w:r w:rsidRPr="006B38A3">
        <w:rPr>
          <w:rFonts w:ascii="Times New Roman" w:hAnsi="Times New Roman" w:cs="Times New Roman"/>
        </w:rPr>
        <w:t>In many developing countries</w:t>
      </w:r>
      <w:r>
        <w:rPr>
          <w:rFonts w:ascii="Times New Roman" w:hAnsi="Times New Roman" w:cs="Times New Roman"/>
        </w:rPr>
        <w:t xml:space="preserve"> like Nigeria, th</w:t>
      </w:r>
      <w:r w:rsidR="00D06B95">
        <w:rPr>
          <w:rFonts w:ascii="Times New Roman" w:hAnsi="Times New Roman" w:cs="Times New Roman"/>
        </w:rPr>
        <w:t>e tea sector contributes</w:t>
      </w:r>
      <w:r>
        <w:rPr>
          <w:rFonts w:ascii="Times New Roman" w:hAnsi="Times New Roman" w:cs="Times New Roman"/>
        </w:rPr>
        <w:t xml:space="preserve"> immensely</w:t>
      </w:r>
      <w:r w:rsidRPr="006B38A3">
        <w:rPr>
          <w:rFonts w:ascii="Times New Roman" w:hAnsi="Times New Roman" w:cs="Times New Roman"/>
        </w:rPr>
        <w:t xml:space="preserve"> to rural development, pove</w:t>
      </w:r>
      <w:r>
        <w:rPr>
          <w:rFonts w:ascii="Times New Roman" w:hAnsi="Times New Roman" w:cs="Times New Roman"/>
        </w:rPr>
        <w:t>rty reduction and food security. This result</w:t>
      </w:r>
      <w:r w:rsidR="001736AC">
        <w:rPr>
          <w:rFonts w:ascii="Times New Roman" w:hAnsi="Times New Roman" w:cs="Times New Roman"/>
        </w:rPr>
        <w:t>s</w:t>
      </w:r>
      <w:r w:rsidRPr="006B38A3">
        <w:rPr>
          <w:rFonts w:ascii="Times New Roman" w:hAnsi="Times New Roman" w:cs="Times New Roman"/>
        </w:rPr>
        <w:t xml:space="preserve"> </w:t>
      </w:r>
      <w:r w:rsidR="001736AC">
        <w:rPr>
          <w:rFonts w:ascii="Times New Roman" w:hAnsi="Times New Roman" w:cs="Times New Roman"/>
        </w:rPr>
        <w:t>in</w:t>
      </w:r>
      <w:r w:rsidRPr="006B38A3">
        <w:rPr>
          <w:rFonts w:ascii="Times New Roman" w:hAnsi="Times New Roman" w:cs="Times New Roman"/>
        </w:rPr>
        <w:t xml:space="preserve"> a major source of income and employment </w:t>
      </w:r>
      <w:r>
        <w:rPr>
          <w:rFonts w:ascii="Times New Roman" w:hAnsi="Times New Roman" w:cs="Times New Roman"/>
        </w:rPr>
        <w:t>opportunities for large number</w:t>
      </w:r>
      <w:r w:rsidRPr="006B38A3">
        <w:rPr>
          <w:rFonts w:ascii="Times New Roman" w:hAnsi="Times New Roman" w:cs="Times New Roman"/>
        </w:rPr>
        <w:t xml:space="preserve"> of poor families</w:t>
      </w:r>
      <w:r w:rsidR="001F75EF">
        <w:rPr>
          <w:rFonts w:ascii="Times New Roman" w:hAnsi="Times New Roman" w:cs="Times New Roman"/>
        </w:rPr>
        <w:t xml:space="preserve"> (</w:t>
      </w:r>
      <w:r w:rsidR="001F75EF">
        <w:rPr>
          <w:rFonts w:ascii="Times New Roman" w:hAnsi="Times New Roman" w:cs="Times New Roman"/>
          <w:noProof/>
          <w:sz w:val="24"/>
          <w:szCs w:val="24"/>
        </w:rPr>
        <w:t>Raj, 2020)</w:t>
      </w:r>
      <w:r w:rsidRPr="006B38A3">
        <w:rPr>
          <w:rFonts w:ascii="Times New Roman" w:hAnsi="Times New Roman" w:cs="Times New Roman"/>
        </w:rPr>
        <w:t>. The global tea production amounts annually to over USD 17 billion, while world tea trade is valued at about USD 9.5 billion, accounting for an important so</w:t>
      </w:r>
      <w:r>
        <w:rPr>
          <w:rFonts w:ascii="Times New Roman" w:hAnsi="Times New Roman" w:cs="Times New Roman"/>
        </w:rPr>
        <w:t>urce of export earnings (FAO, 2021</w:t>
      </w:r>
      <w:r w:rsidR="008B4AB0">
        <w:rPr>
          <w:rFonts w:ascii="Times New Roman" w:hAnsi="Times New Roman" w:cs="Times New Roman"/>
        </w:rPr>
        <w:t>, Global Tea Market, 2023</w:t>
      </w:r>
      <w:r>
        <w:rPr>
          <w:rFonts w:ascii="Times New Roman" w:hAnsi="Times New Roman" w:cs="Times New Roman"/>
        </w:rPr>
        <w:t xml:space="preserve">). One important features of </w:t>
      </w:r>
      <w:r w:rsidRPr="006B38A3">
        <w:rPr>
          <w:rFonts w:ascii="Times New Roman" w:hAnsi="Times New Roman" w:cs="Times New Roman"/>
        </w:rPr>
        <w:t xml:space="preserve">tea </w:t>
      </w:r>
      <w:r>
        <w:rPr>
          <w:rFonts w:ascii="Times New Roman" w:hAnsi="Times New Roman" w:cs="Times New Roman"/>
        </w:rPr>
        <w:t>is</w:t>
      </w:r>
      <w:r w:rsidRPr="006B38A3">
        <w:rPr>
          <w:rFonts w:ascii="Times New Roman" w:hAnsi="Times New Roman" w:cs="Times New Roman"/>
        </w:rPr>
        <w:t xml:space="preserve"> that smallholders are responsible for 60 per</w:t>
      </w:r>
      <w:r>
        <w:rPr>
          <w:rFonts w:ascii="Times New Roman" w:hAnsi="Times New Roman" w:cs="Times New Roman"/>
        </w:rPr>
        <w:t>cent of world production</w:t>
      </w:r>
      <w:r w:rsidR="009E19F0">
        <w:rPr>
          <w:rFonts w:ascii="Times New Roman" w:hAnsi="Times New Roman" w:cs="Times New Roman"/>
        </w:rPr>
        <w:t xml:space="preserve"> (</w:t>
      </w:r>
      <w:proofErr w:type="spellStart"/>
      <w:r w:rsidR="001F75EF">
        <w:rPr>
          <w:rFonts w:ascii="Times New Roman" w:hAnsi="Times New Roman" w:cs="Times New Roman"/>
        </w:rPr>
        <w:t>Vivck</w:t>
      </w:r>
      <w:proofErr w:type="spellEnd"/>
      <w:r w:rsidR="001F75EF">
        <w:rPr>
          <w:rFonts w:ascii="Times New Roman" w:hAnsi="Times New Roman" w:cs="Times New Roman"/>
        </w:rPr>
        <w:t xml:space="preserve"> </w:t>
      </w:r>
      <w:proofErr w:type="spellStart"/>
      <w:r w:rsidR="001F75EF">
        <w:rPr>
          <w:rFonts w:ascii="Times New Roman" w:hAnsi="Times New Roman" w:cs="Times New Roman"/>
        </w:rPr>
        <w:t>Voora</w:t>
      </w:r>
      <w:proofErr w:type="spellEnd"/>
      <w:r w:rsidR="001F75EF">
        <w:rPr>
          <w:rFonts w:ascii="Times New Roman" w:hAnsi="Times New Roman" w:cs="Times New Roman"/>
        </w:rPr>
        <w:t xml:space="preserve"> </w:t>
      </w:r>
      <w:r w:rsidR="001F75EF" w:rsidRPr="001F75EF">
        <w:rPr>
          <w:rFonts w:ascii="Times New Roman" w:hAnsi="Times New Roman" w:cs="Times New Roman"/>
          <w:i/>
        </w:rPr>
        <w:t>et al</w:t>
      </w:r>
      <w:r w:rsidR="001F75EF">
        <w:rPr>
          <w:rFonts w:ascii="Times New Roman" w:hAnsi="Times New Roman" w:cs="Times New Roman"/>
        </w:rPr>
        <w:t>, 2019</w:t>
      </w:r>
      <w:r w:rsidR="009E19F0">
        <w:rPr>
          <w:rFonts w:ascii="Times New Roman" w:hAnsi="Times New Roman" w:cs="Times New Roman"/>
        </w:rPr>
        <w:t>)</w:t>
      </w:r>
      <w:r>
        <w:rPr>
          <w:rFonts w:ascii="Times New Roman" w:hAnsi="Times New Roman" w:cs="Times New Roman"/>
        </w:rPr>
        <w:t xml:space="preserve">. Significantly, tea create job opportunities </w:t>
      </w:r>
      <w:r w:rsidRPr="006B38A3">
        <w:rPr>
          <w:rFonts w:ascii="Times New Roman" w:hAnsi="Times New Roman" w:cs="Times New Roman"/>
        </w:rPr>
        <w:t>in</w:t>
      </w:r>
      <w:r>
        <w:rPr>
          <w:rFonts w:ascii="Times New Roman" w:hAnsi="Times New Roman" w:cs="Times New Roman"/>
        </w:rPr>
        <w:t xml:space="preserve"> rural areas, and this helps to</w:t>
      </w:r>
      <w:r w:rsidRPr="006B38A3">
        <w:rPr>
          <w:rFonts w:ascii="Times New Roman" w:hAnsi="Times New Roman" w:cs="Times New Roman"/>
        </w:rPr>
        <w:t xml:space="preserve"> empow</w:t>
      </w:r>
      <w:r w:rsidR="009E19F0">
        <w:rPr>
          <w:rFonts w:ascii="Times New Roman" w:hAnsi="Times New Roman" w:cs="Times New Roman"/>
        </w:rPr>
        <w:t>er</w:t>
      </w:r>
      <w:r>
        <w:rPr>
          <w:rFonts w:ascii="Times New Roman" w:hAnsi="Times New Roman" w:cs="Times New Roman"/>
        </w:rPr>
        <w:t xml:space="preserve"> households and communities s</w:t>
      </w:r>
      <w:r w:rsidRPr="006B38A3">
        <w:rPr>
          <w:rFonts w:ascii="Times New Roman" w:hAnsi="Times New Roman" w:cs="Times New Roman"/>
        </w:rPr>
        <w:t xml:space="preserve">o </w:t>
      </w:r>
      <w:r>
        <w:rPr>
          <w:rFonts w:ascii="Times New Roman" w:hAnsi="Times New Roman" w:cs="Times New Roman"/>
        </w:rPr>
        <w:t xml:space="preserve">that they can </w:t>
      </w:r>
      <w:r w:rsidRPr="006B38A3">
        <w:rPr>
          <w:rFonts w:ascii="Times New Roman" w:hAnsi="Times New Roman" w:cs="Times New Roman"/>
        </w:rPr>
        <w:t>meet their food security needs</w:t>
      </w:r>
      <w:r>
        <w:rPr>
          <w:rFonts w:ascii="Times New Roman" w:hAnsi="Times New Roman" w:cs="Times New Roman"/>
        </w:rPr>
        <w:t>, thus improving their nutritional lifestyle</w:t>
      </w:r>
      <w:r w:rsidR="001F75EF">
        <w:rPr>
          <w:rFonts w:ascii="Times New Roman" w:hAnsi="Times New Roman" w:cs="Times New Roman"/>
        </w:rPr>
        <w:t xml:space="preserve"> (FAO,2022)</w:t>
      </w:r>
      <w:r>
        <w:rPr>
          <w:rFonts w:ascii="Times New Roman" w:hAnsi="Times New Roman" w:cs="Times New Roman"/>
        </w:rPr>
        <w:t>.</w:t>
      </w:r>
      <w:r w:rsidRPr="00354C03">
        <w:t xml:space="preserve"> </w:t>
      </w:r>
      <w:r w:rsidRPr="00354C03">
        <w:rPr>
          <w:rFonts w:ascii="Times New Roman" w:hAnsi="Times New Roman" w:cs="Times New Roman"/>
        </w:rPr>
        <w:t>The consumption of tea has risen tremendously in Nigeria in recent years probably as a result of increased awareness of its health benefits</w:t>
      </w:r>
      <w:r w:rsidR="00990E49">
        <w:rPr>
          <w:rFonts w:ascii="Times New Roman" w:hAnsi="Times New Roman" w:cs="Times New Roman"/>
        </w:rPr>
        <w:t xml:space="preserve"> </w:t>
      </w:r>
      <w:proofErr w:type="spellStart"/>
      <w:r w:rsidR="00990E49">
        <w:rPr>
          <w:rFonts w:ascii="Times New Roman" w:hAnsi="Times New Roman" w:cs="Times New Roman"/>
        </w:rPr>
        <w:t>Oluyole</w:t>
      </w:r>
      <w:proofErr w:type="spellEnd"/>
      <w:r w:rsidR="00AB26CE">
        <w:rPr>
          <w:rFonts w:ascii="Times New Roman" w:hAnsi="Times New Roman" w:cs="Times New Roman"/>
        </w:rPr>
        <w:t xml:space="preserve"> and </w:t>
      </w:r>
      <w:proofErr w:type="spellStart"/>
      <w:r w:rsidR="00AB26CE">
        <w:rPr>
          <w:rFonts w:ascii="Times New Roman" w:hAnsi="Times New Roman" w:cs="Times New Roman"/>
        </w:rPr>
        <w:t>Oladokun</w:t>
      </w:r>
      <w:proofErr w:type="spellEnd"/>
      <w:r w:rsidR="00990E49">
        <w:rPr>
          <w:rFonts w:ascii="Times New Roman" w:hAnsi="Times New Roman" w:cs="Times New Roman"/>
        </w:rPr>
        <w:t>, (20</w:t>
      </w:r>
      <w:r w:rsidR="00AB26CE">
        <w:rPr>
          <w:rFonts w:ascii="Times New Roman" w:hAnsi="Times New Roman" w:cs="Times New Roman"/>
        </w:rPr>
        <w:t>22</w:t>
      </w:r>
      <w:r w:rsidR="001736AC">
        <w:rPr>
          <w:rFonts w:ascii="Times New Roman" w:hAnsi="Times New Roman" w:cs="Times New Roman"/>
        </w:rPr>
        <w:t>)</w:t>
      </w:r>
      <w:r w:rsidRPr="00354C03">
        <w:rPr>
          <w:rFonts w:ascii="Times New Roman" w:hAnsi="Times New Roman" w:cs="Times New Roman"/>
        </w:rPr>
        <w:t xml:space="preserve">. It is important to note that tea is not only sought for in Nigeria but also outside the shores of the nation. Hence, marketing of this product can serve as a potential source of income generation for Nigeria. </w:t>
      </w:r>
    </w:p>
    <w:p w14:paraId="1B7D8409" w14:textId="77777777" w:rsidR="00386E3F" w:rsidRDefault="00386E3F" w:rsidP="001C4E41">
      <w:pPr>
        <w:tabs>
          <w:tab w:val="left" w:pos="8640"/>
        </w:tabs>
        <w:autoSpaceDE w:val="0"/>
        <w:autoSpaceDN w:val="0"/>
        <w:adjustRightInd w:val="0"/>
        <w:spacing w:after="0" w:line="360" w:lineRule="auto"/>
        <w:jc w:val="both"/>
        <w:rPr>
          <w:rFonts w:ascii="Times New Roman" w:hAnsi="Times New Roman" w:cs="Times New Roman"/>
        </w:rPr>
      </w:pPr>
      <w:r w:rsidRPr="000F2DDD">
        <w:rPr>
          <w:rFonts w:ascii="Times New Roman" w:hAnsi="Times New Roman" w:cs="Times New Roman"/>
        </w:rPr>
        <w:t>Competitiveness can be defined as the set of institutions, policies, and factors that determine the level of pr</w:t>
      </w:r>
      <w:r w:rsidR="0001471B">
        <w:rPr>
          <w:rFonts w:ascii="Times New Roman" w:hAnsi="Times New Roman" w:cs="Times New Roman"/>
        </w:rPr>
        <w:t>oductivity of a country (</w:t>
      </w:r>
      <w:r w:rsidR="0001471B" w:rsidRPr="00716A86">
        <w:rPr>
          <w:rFonts w:ascii="Times New Roman" w:hAnsi="Times New Roman" w:cs="Times New Roman"/>
          <w:noProof/>
          <w:sz w:val="24"/>
          <w:szCs w:val="24"/>
        </w:rPr>
        <w:t>Long, 2021</w:t>
      </w:r>
      <w:r w:rsidRPr="000F2DDD">
        <w:rPr>
          <w:rFonts w:ascii="Times New Roman" w:hAnsi="Times New Roman" w:cs="Times New Roman"/>
        </w:rPr>
        <w:t>). It is the major determinant of the level of wealth which a c</w:t>
      </w:r>
      <w:r w:rsidR="001C4E41">
        <w:rPr>
          <w:rFonts w:ascii="Times New Roman" w:hAnsi="Times New Roman" w:cs="Times New Roman"/>
        </w:rPr>
        <w:t xml:space="preserve">ountry can sustain </w:t>
      </w:r>
      <w:r w:rsidR="001C4E41" w:rsidRPr="00716A86">
        <w:rPr>
          <w:rFonts w:ascii="Times New Roman" w:hAnsi="Times New Roman" w:cs="Times New Roman"/>
          <w:sz w:val="24"/>
          <w:szCs w:val="24"/>
        </w:rPr>
        <w:fldChar w:fldCharType="begin" w:fldLock="1"/>
      </w:r>
      <w:r w:rsidR="001C4E41" w:rsidRPr="00716A86">
        <w:rPr>
          <w:rFonts w:ascii="Times New Roman" w:hAnsi="Times New Roman" w:cs="Times New Roman"/>
          <w:sz w:val="24"/>
          <w:szCs w:val="24"/>
        </w:rPr>
        <w:instrText>ADDIN CSL_CITATION {"citationItems":[{"id":"ITEM-1","itemData":{"ISSN":"16130073","abstract":"One of the key points that determine the actuality of the study is that increasing the level of competitiveness of both individual business entities and sectors of the economy (task 8.2, SDG 8) is the basis for the sustainable economic development of Ukraine in the conditions of digitalization. Issues related to the definition of the competitiveness of water transport deserve special attention because water transport is a rather specific branch of the economy and provides the largest volume of international freight in the world. The authors of the article analyze modern approaches to the content of such categories as \"competitiveness of water transport\", \"competitive advantages of water transport\" and propose the author's definitions of these concepts taking into account the globalized processes of intellectualization of all types of economic activity, including transport. The results of the study suggest that in most cases, competitiveness can be defined as a complex indicator that covers a set of certain characteristics of the object under analysis, such as market share, productivity, and innovation capacity compared to an existing or imaginary benchmark. We propose to consider the competitiveness of water transport by separate types of water transport, each of which can be considered at one of four levels (international, sectoral, business entity level, and at the level of an individual transport service). This allows us to carefully examine the patterns of functioning and development in the face of rapid intellectualization processes of transport systems, identify gaps or inconsistencies with current global development trends at each level, and form an action algorithm for each of the four levels. Further research on competitiveness at the level of separate transport services, at business entities level, at sectoral and international levels, in general, can help to identify the competitive position of economic entities at the corresponding level and track changes in economic efficiency over time, will assess the competitiveness of water transport of Ukraine and develop recommendations for its integration into the European transport network. Such information is likely to be useful to CEOs, local governments, and public authorities in developing and implementing future policies to promote competitiveness increasing in the framework of Sustainable Development Goals for Ukraine, including tasks 8.2 (SDG 8) and task 9.1 (SDG 9).","author":[{"dropping-particle":"","family":"Ilchenko","given":"Svitlana","non-dropping-particle":"","parse-names":false,"suffix":""},{"dropping-particle":"","family":"Gryshchenko","given":"Vadym","non-dropping-particle":"","parse-names":false,"suffix":""},{"dropping-particle":"","family":"Gryshchenko","given":"Iryna","non-dropping-particle":"","parse-names":false,"suffix":""}],"container-title":"CEUR Workshop Proceedings","id":"ITEM-1","issued":{"date-parts":[["2021"]]},"page":"118-126","title":"Definition of the Concept of \"Competitiveness\" and \"Competitive Advantages\" of Water Transport in the Conditions of Digital Transformation of Ukraine","type":"article-journal","volume":"3126"},"uris":["http://www.mendeley.com/documents/?uuid=d01906e1-3da8-4eee-9bea-e44499e86efe"]}],"mendeley":{"formattedCitation":"(Ilchenko et al., 2021)","plainTextFormattedCitation":"(Ilchenko et al., 2021)","previouslyFormattedCitation":"(Ilchenko et al., 2021)"},"properties":{"noteIndex":0},"schema":"https://github.com/citation-style-language/schema/raw/master/csl-citation.json"}</w:instrText>
      </w:r>
      <w:r w:rsidR="001C4E41" w:rsidRPr="00716A86">
        <w:rPr>
          <w:rFonts w:ascii="Times New Roman" w:hAnsi="Times New Roman" w:cs="Times New Roman"/>
          <w:sz w:val="24"/>
          <w:szCs w:val="24"/>
        </w:rPr>
        <w:fldChar w:fldCharType="separate"/>
      </w:r>
      <w:r w:rsidR="001C4E41" w:rsidRPr="00716A86">
        <w:rPr>
          <w:rFonts w:ascii="Times New Roman" w:hAnsi="Times New Roman" w:cs="Times New Roman"/>
          <w:noProof/>
          <w:sz w:val="24"/>
          <w:szCs w:val="24"/>
        </w:rPr>
        <w:t>(Ilchenko et al., 2021)</w:t>
      </w:r>
      <w:r w:rsidR="001C4E41" w:rsidRPr="00716A86">
        <w:rPr>
          <w:rFonts w:ascii="Times New Roman" w:hAnsi="Times New Roman" w:cs="Times New Roman"/>
          <w:sz w:val="24"/>
          <w:szCs w:val="24"/>
        </w:rPr>
        <w:fldChar w:fldCharType="end"/>
      </w:r>
      <w:r w:rsidRPr="000F2DDD">
        <w:rPr>
          <w:rFonts w:ascii="Times New Roman" w:hAnsi="Times New Roman" w:cs="Times New Roman"/>
        </w:rPr>
        <w:t xml:space="preserve"> and the ability of an economy to provide its population with high and rising standards of living and employment for all those willing to work, on a sustai</w:t>
      </w:r>
      <w:r w:rsidR="001C4E41">
        <w:rPr>
          <w:rFonts w:ascii="Times New Roman" w:hAnsi="Times New Roman" w:cs="Times New Roman"/>
        </w:rPr>
        <w:t xml:space="preserve">nable basis </w:t>
      </w:r>
      <w:r w:rsidR="001C4E41" w:rsidRPr="00716A86">
        <w:rPr>
          <w:rFonts w:ascii="Times New Roman" w:hAnsi="Times New Roman" w:cs="Times New Roman"/>
          <w:sz w:val="24"/>
          <w:szCs w:val="24"/>
        </w:rPr>
        <w:fldChar w:fldCharType="begin" w:fldLock="1"/>
      </w:r>
      <w:r w:rsidR="001C4E41" w:rsidRPr="00716A86">
        <w:rPr>
          <w:rFonts w:ascii="Times New Roman" w:hAnsi="Times New Roman" w:cs="Times New Roman"/>
          <w:sz w:val="24"/>
          <w:szCs w:val="24"/>
        </w:rPr>
        <w:instrText>ADDIN CSL_CITATION {"citationItems":[{"id":"ITEM-1","itemData":{"DOI":"10.1371/journal.pone.0263633","ISBN":"1111111111","ISSN":"19326203","PMID":"35202433","abstract":"Fundamental issues in sustainable development of competitive potato production in Indonesia are production and distribution inefficiencies. This study aims to examine the potato production competitiveness through competitive and comparative analyses as well as evaluating the impacts of government policy on potato production. This study employs Policy Analysis Matrix (PAM) to analyse the cross-section data collected from six regencies in Indonesia. Potato production in Indonesia was profitable privately and socially. The highest value of competitive advantage was indicated by PCR value in the dry season in Wonosobo Regency, Central Java Province. The lowest values were found in Bandung Regency. Highest comparative advantage was revealed in Tanah Karo Regency, North Sumatra Province, during the rainy season. Highest comparative advantage was found in Bandung Regency, West Java Province, in the dry season. However, the social profit was lower than the private profit indicating the potato farmers dealt with disincentives due to imperfect market. It implies that increasing domestic potato production will be more profitable rather than import. The policy makers need to evaluate the recent policies on input and output markets as well as the supply chain of potato to cope with imperfect markets in order to increase farmers’ income.","author":[{"dropping-particle":"","family":"Saptana","given":"","non-dropping-particle":"","parse-names":false,"suffix":""},{"dropping-particle":"","family":"Sayekti","given":"Apri Laila","non-dropping-particle":"","parse-names":false,"suffix":""},{"dropping-particle":"","family":"Perwita","given":"Atika Dyah","non-dropping-particle":"","parse-names":false,"suffix":""},{"dropping-particle":"","family":"Sayaka","given":"Bambang","non-dropping-particle":"","parse-names":false,"suffix":""},{"dropping-particle":"","family":"Gunawan","given":"Endro","non-dropping-particle":"","parse-names":false,"suffix":""},{"dropping-particle":"","family":"Sukmaya","given":"Syahrul Ganda","non-dropping-particle":"","parse-names":false,"suffix":""},{"dropping-particle":"","family":"Hayati","given":"Nur Qomariah","non-dropping-particle":"","parse-names":false,"suffix":""},{"dropping-particle":"","family":"Yusuf","given":"","non-dropping-particle":"","parse-names":false,"suffix":""},{"dropping-particle":"","family":"Sumaryanto","given":"","non-dropping-particle":"","parse-names":false,"suffix":""},{"dropping-particle":"","family":"Yufdy","given":"Muhammad Prama","non-dropping-particle":"","parse-names":false,"suffix":""},{"dropping-particle":"","family":"Mardianto","given":"Sudi","non-dropping-particle":"","parse-names":false,"suffix":""},{"dropping-particle":"","family":"Pitaloka","given":"Atika Dian","non-dropping-particle":"","parse-names":false,"suffix":""}],"container-title":"PLoS ONE","id":"ITEM-1","issue":"2 February","issued":{"date-parts":[["2022"]]},"page":"1-21","title":"Analysis of competitive and comparative advantages of potato production in Indonesia","type":"article-journal","volume":"17"},"uris":["http://www.mendeley.com/documents/?uuid=65cbfc38-bc71-42e2-a56b-3213c559a3e1"]}],"mendeley":{"formattedCitation":"(Saptana et al., 2022)","plainTextFormattedCitation":"(Saptana et al., 2022)","previouslyFormattedCitation":"(Saptana et al., 2022)"},"properties":{"noteIndex":0},"schema":"https://github.com/citation-style-language/schema/raw/master/csl-citation.json"}</w:instrText>
      </w:r>
      <w:r w:rsidR="001C4E41" w:rsidRPr="00716A86">
        <w:rPr>
          <w:rFonts w:ascii="Times New Roman" w:hAnsi="Times New Roman" w:cs="Times New Roman"/>
          <w:sz w:val="24"/>
          <w:szCs w:val="24"/>
        </w:rPr>
        <w:fldChar w:fldCharType="separate"/>
      </w:r>
      <w:r w:rsidR="001C4E41" w:rsidRPr="00716A86">
        <w:rPr>
          <w:rFonts w:ascii="Times New Roman" w:hAnsi="Times New Roman" w:cs="Times New Roman"/>
          <w:noProof/>
          <w:sz w:val="24"/>
          <w:szCs w:val="24"/>
        </w:rPr>
        <w:t>(Saptana et al., 2022)</w:t>
      </w:r>
      <w:r w:rsidR="001C4E41" w:rsidRPr="00716A86">
        <w:rPr>
          <w:rFonts w:ascii="Times New Roman" w:hAnsi="Times New Roman" w:cs="Times New Roman"/>
          <w:sz w:val="24"/>
          <w:szCs w:val="24"/>
        </w:rPr>
        <w:fldChar w:fldCharType="end"/>
      </w:r>
      <w:r w:rsidRPr="000F2DDD">
        <w:rPr>
          <w:rFonts w:ascii="Times New Roman" w:hAnsi="Times New Roman" w:cs="Times New Roman"/>
        </w:rPr>
        <w:t>.</w:t>
      </w:r>
      <w:r w:rsidR="001C4E41">
        <w:rPr>
          <w:rFonts w:ascii="Times New Roman" w:hAnsi="Times New Roman" w:cs="Times New Roman"/>
        </w:rPr>
        <w:t xml:space="preserve"> </w:t>
      </w:r>
      <w:r w:rsidR="001C4E41" w:rsidRPr="00716A86">
        <w:rPr>
          <w:rFonts w:ascii="Times New Roman" w:hAnsi="Times New Roman" w:cs="Times New Roman"/>
          <w:sz w:val="24"/>
          <w:szCs w:val="24"/>
        </w:rPr>
        <w:t xml:space="preserve">Others explained competitiveness using efficiency, a farm’s optimal use of current knowledge   efficiently  </w:t>
      </w:r>
      <w:r w:rsidR="001C4E41" w:rsidRPr="00716A86">
        <w:rPr>
          <w:rFonts w:ascii="Times New Roman" w:hAnsi="Times New Roman" w:cs="Times New Roman"/>
          <w:sz w:val="24"/>
          <w:szCs w:val="24"/>
        </w:rPr>
        <w:fldChar w:fldCharType="begin" w:fldLock="1"/>
      </w:r>
      <w:r w:rsidR="001C4E41" w:rsidRPr="00716A86">
        <w:rPr>
          <w:rFonts w:ascii="Times New Roman" w:hAnsi="Times New Roman" w:cs="Times New Roman"/>
          <w:sz w:val="24"/>
          <w:szCs w:val="24"/>
        </w:rPr>
        <w:instrText>ADDIN CSL_CITATION {"citationItems":[{"id":"ITEM-1","itemData":{"abstract":"This report reviews the literature on competitiveness, productivity and efficiency in the agricultural and agri-food sectors. It clarifies concepts and terminology used in this area, and provides a critical assessment of approaches and indicators used in the literature to measure competitiveness, productivity and efficiency at sectoral and farm levels. It also discusses recent findings on productivity growth, changes in relative competitiveness between sub-sectors and countries, and determinants of competitiveness, in addition to identifying the major knowledge gaps. This report suggests that more attention should be paid to the agri-food sector, non-price factors of competitiveness, and the impact of government intervention on competitiveness.","author":[{"dropping-particle":"","family":"Latruffe","given":"Laure","non-dropping-particle":"","parse-names":false,"suffix":""}],"container-title":"OECD Food, Agriculture and Fisheries Papers","id":"ITEM-1","issue":"30","issued":{"date-parts":[["2010"]]},"page":"1-63","title":"Competitiveness, Productivity and Efficiency in the Agricultural and Agri-Food Sectors","type":"article-journal","volume":"30"},"uris":["http://www.mendeley.com/documents/?uuid=f6d2183d-d10d-45ad-8a92-23d2818837db"]}],"mendeley":{"formattedCitation":"(Latruffe, 2010)","plainTextFormattedCitation":"(Latruffe, 2010)","previouslyFormattedCitation":"(Latruffe, 2010)"},"properties":{"noteIndex":0},"schema":"https://github.com/citation-style-language/schema/raw/master/csl-citation.json"}</w:instrText>
      </w:r>
      <w:r w:rsidR="001C4E41" w:rsidRPr="00716A86">
        <w:rPr>
          <w:rFonts w:ascii="Times New Roman" w:hAnsi="Times New Roman" w:cs="Times New Roman"/>
          <w:sz w:val="24"/>
          <w:szCs w:val="24"/>
        </w:rPr>
        <w:fldChar w:fldCharType="separate"/>
      </w:r>
      <w:r w:rsidR="001C4E41" w:rsidRPr="00716A86">
        <w:rPr>
          <w:rFonts w:ascii="Times New Roman" w:hAnsi="Times New Roman" w:cs="Times New Roman"/>
          <w:noProof/>
          <w:sz w:val="24"/>
          <w:szCs w:val="24"/>
        </w:rPr>
        <w:t>(Latruffe, 2010)</w:t>
      </w:r>
      <w:r w:rsidR="001C4E41" w:rsidRPr="00716A86">
        <w:rPr>
          <w:rFonts w:ascii="Times New Roman" w:hAnsi="Times New Roman" w:cs="Times New Roman"/>
          <w:sz w:val="24"/>
          <w:szCs w:val="24"/>
        </w:rPr>
        <w:fldChar w:fldCharType="end"/>
      </w:r>
      <w:r w:rsidR="00D06B95">
        <w:rPr>
          <w:rFonts w:ascii="Times New Roman" w:hAnsi="Times New Roman" w:cs="Times New Roman"/>
          <w:sz w:val="24"/>
          <w:szCs w:val="24"/>
        </w:rPr>
        <w:t>. Efficiency can be discussed</w:t>
      </w:r>
      <w:r w:rsidR="001C4E41" w:rsidRPr="00716A86">
        <w:rPr>
          <w:rFonts w:ascii="Times New Roman" w:hAnsi="Times New Roman" w:cs="Times New Roman"/>
          <w:sz w:val="24"/>
          <w:szCs w:val="24"/>
        </w:rPr>
        <w:t xml:space="preserve"> from three aspect namely scale efficiency (firm’s ability to operates at an optimal or sub-optimal level), technical efficiency (proportional to the greatest probable output in the industry) and allocative efficiency (farm’s capacity to use inputs in best proportions given their respective prices </w:t>
      </w:r>
      <w:r w:rsidR="001C4E41" w:rsidRPr="00716A86">
        <w:rPr>
          <w:rFonts w:ascii="Times New Roman" w:hAnsi="Times New Roman" w:cs="Times New Roman"/>
          <w:sz w:val="24"/>
          <w:szCs w:val="24"/>
        </w:rPr>
        <w:fldChar w:fldCharType="begin" w:fldLock="1"/>
      </w:r>
      <w:r w:rsidR="001C4E41" w:rsidRPr="00716A86">
        <w:rPr>
          <w:rFonts w:ascii="Times New Roman" w:hAnsi="Times New Roman" w:cs="Times New Roman"/>
          <w:sz w:val="24"/>
          <w:szCs w:val="24"/>
        </w:rPr>
        <w:instrText>ADDIN CSL_CITATION {"citationItems":[{"id":"ITEM-1","itemData":{"DOI":"10.4314/agrosh.v8i1.39440","abstract":"The study examined technical inefficiency and competitiveness among 420 rice farmers in Niger State, Nigeria. Data for the analysis came from a random sample survey of the area of study. A Single-stage (Cobb-Douglas based stochastic frontier production function was used in analyzing the data). Evidence from the analysis indicates that the coefficient of land, male family labour and female family labour are 0.1354, 0.2713 and 0.2842 respectively. Those for hired labour, miscellaneous cost and improved seeds are 0.1637, 0.1165 and 0.5432 in that order. With coefficient of 0.5432, improved seeds tend to have the greatest impact on rice production. This is followed by female family labour. The coefficient of female family/male family labour ratio indicated that the contribution of female and male to output is not the same. The average technical efficiency of about 0.81 is obtained. The average technical inefficiency is thus 0.19. The results of the inefficiency model show that farming experience, extension visits, and ratio of number of female to household size is negative and significant. The implication is that increases in these variables reduce the technical inefficiency of the farmers. About 85% of the farmers have their technical efficiency being greater than or equal to the mean technical efficiency. Rice production is thus classified as being competitive. Farm expansion, access to improved seeds, training programme and effective extension delivery services system measures were recommended.","author":[{"dropping-particle":"","family":"Rahji","given":"M A","non-dropping-particle":"","parse-names":false,"suffix":""},{"dropping-particle":"","family":"Omotesho","given":"O A","non-dropping-particle":"","parse-names":false,"suffix":""}],"container-title":"Agrosearch","id":"ITEM-1","issue":"1","issued":{"date-parts":[["2007"]]},"title":"Technical inefficiency and competitiveness in production: the case of rice farmers in Niger state, Nigeria.","type":"article","volume":"8"},"uris":["http://www.mendeley.com/documents/?uuid=37775d91-819a-414f-a7c2-ee886626e252"]}],"mendeley":{"formattedCitation":"(Rahji &amp; Omotesho, 2007)","plainTextFormattedCitation":"(Rahji &amp; Omotesho, 2007)","previouslyFormattedCitation":"(Rahji &amp; Omotesho, 2007)"},"properties":{"noteIndex":0},"schema":"https://github.com/citation-style-language/schema/raw/master/csl-citation.json"}</w:instrText>
      </w:r>
      <w:r w:rsidR="001C4E41" w:rsidRPr="00716A86">
        <w:rPr>
          <w:rFonts w:ascii="Times New Roman" w:hAnsi="Times New Roman" w:cs="Times New Roman"/>
          <w:sz w:val="24"/>
          <w:szCs w:val="24"/>
        </w:rPr>
        <w:fldChar w:fldCharType="separate"/>
      </w:r>
      <w:r w:rsidR="001C4E41" w:rsidRPr="00716A86">
        <w:rPr>
          <w:rFonts w:ascii="Times New Roman" w:hAnsi="Times New Roman" w:cs="Times New Roman"/>
          <w:noProof/>
          <w:sz w:val="24"/>
          <w:szCs w:val="24"/>
        </w:rPr>
        <w:t>(Rahji &amp; Omotesho, 2007)</w:t>
      </w:r>
      <w:r w:rsidR="001C4E41" w:rsidRPr="00716A86">
        <w:rPr>
          <w:rFonts w:ascii="Times New Roman" w:hAnsi="Times New Roman" w:cs="Times New Roman"/>
          <w:sz w:val="24"/>
          <w:szCs w:val="24"/>
        </w:rPr>
        <w:fldChar w:fldCharType="end"/>
      </w:r>
      <w:r w:rsidR="001C4E41">
        <w:rPr>
          <w:rFonts w:ascii="Times New Roman" w:hAnsi="Times New Roman" w:cs="Times New Roman"/>
          <w:sz w:val="24"/>
          <w:szCs w:val="24"/>
        </w:rPr>
        <w:t>.</w:t>
      </w:r>
      <w:r w:rsidR="001C4E41">
        <w:rPr>
          <w:rFonts w:ascii="Times New Roman" w:hAnsi="Times New Roman" w:cs="Times New Roman"/>
        </w:rPr>
        <w:t xml:space="preserve"> </w:t>
      </w:r>
      <w:r w:rsidRPr="00774BDB">
        <w:rPr>
          <w:rFonts w:ascii="Times New Roman" w:hAnsi="Times New Roman" w:cs="Times New Roman"/>
        </w:rPr>
        <w:t>Over the years</w:t>
      </w:r>
      <w:r>
        <w:rPr>
          <w:rFonts w:ascii="Times New Roman" w:hAnsi="Times New Roman" w:cs="Times New Roman"/>
        </w:rPr>
        <w:t>, there exists a knowledge gap</w:t>
      </w:r>
      <w:r w:rsidRPr="00774BDB">
        <w:rPr>
          <w:rFonts w:ascii="Times New Roman" w:hAnsi="Times New Roman" w:cs="Times New Roman"/>
        </w:rPr>
        <w:t xml:space="preserve"> regarding the profit</w:t>
      </w:r>
      <w:r>
        <w:rPr>
          <w:rFonts w:ascii="Times New Roman" w:hAnsi="Times New Roman" w:cs="Times New Roman"/>
        </w:rPr>
        <w:t xml:space="preserve"> accruable from tea marketing in Nigeria</w:t>
      </w:r>
      <w:r w:rsidRPr="00774BDB">
        <w:rPr>
          <w:rFonts w:ascii="Times New Roman" w:hAnsi="Times New Roman" w:cs="Times New Roman"/>
        </w:rPr>
        <w:t>. Potential areas for intervention and improvement in the tea</w:t>
      </w:r>
      <w:r>
        <w:rPr>
          <w:rFonts w:ascii="Times New Roman" w:hAnsi="Times New Roman" w:cs="Times New Roman"/>
        </w:rPr>
        <w:t xml:space="preserve"> sector</w:t>
      </w:r>
      <w:r w:rsidRPr="00774BDB">
        <w:rPr>
          <w:rFonts w:ascii="Times New Roman" w:hAnsi="Times New Roman" w:cs="Times New Roman"/>
        </w:rPr>
        <w:t xml:space="preserve"> as it directly affects the gains of actor</w:t>
      </w:r>
      <w:r>
        <w:rPr>
          <w:rFonts w:ascii="Times New Roman" w:hAnsi="Times New Roman" w:cs="Times New Roman"/>
        </w:rPr>
        <w:t xml:space="preserve"> in marketing;</w:t>
      </w:r>
      <w:r w:rsidRPr="00774BDB">
        <w:rPr>
          <w:rFonts w:ascii="Times New Roman" w:hAnsi="Times New Roman" w:cs="Times New Roman"/>
        </w:rPr>
        <w:t xml:space="preserve"> have not been fully examined.</w:t>
      </w:r>
      <w:r>
        <w:rPr>
          <w:rFonts w:ascii="Times New Roman" w:hAnsi="Times New Roman" w:cs="Times New Roman"/>
        </w:rPr>
        <w:t xml:space="preserve"> This study therefore examined the competitiveness of tea marketing in Nigeria.</w:t>
      </w:r>
      <w:r w:rsidR="00AF2D9A">
        <w:rPr>
          <w:rFonts w:ascii="Times New Roman" w:hAnsi="Times New Roman" w:cs="Times New Roman"/>
        </w:rPr>
        <w:t xml:space="preserve"> </w:t>
      </w:r>
    </w:p>
    <w:p w14:paraId="6BB5D900" w14:textId="4AAC2AB4" w:rsidR="009F6136" w:rsidRPr="00AB26CE" w:rsidRDefault="006B6399" w:rsidP="00AB26CE">
      <w:pPr>
        <w:spacing w:line="360" w:lineRule="auto"/>
        <w:jc w:val="both"/>
        <w:rPr>
          <w:rFonts w:ascii="Times New Roman" w:hAnsi="Times New Roman" w:cs="Times New Roman"/>
          <w:bCs/>
          <w:sz w:val="24"/>
          <w:szCs w:val="24"/>
        </w:rPr>
      </w:pPr>
      <w:r>
        <w:rPr>
          <w:rFonts w:ascii="Times New Roman" w:hAnsi="Times New Roman" w:cs="Times New Roman"/>
          <w:sz w:val="24"/>
          <w:szCs w:val="24"/>
        </w:rPr>
        <w:t>Policy Analysis Matrix (PAM) is an accounting matrix of revenue, cost and profit based on formulation of budget for representative agricultural system (</w:t>
      </w:r>
      <w:r w:rsidR="00AF2D9A">
        <w:rPr>
          <w:rFonts w:ascii="Times New Roman" w:hAnsi="Times New Roman" w:cs="Times New Roman"/>
          <w:sz w:val="24"/>
          <w:szCs w:val="24"/>
        </w:rPr>
        <w:t>Monke and Pearson, 1989</w:t>
      </w:r>
      <w:r>
        <w:rPr>
          <w:rFonts w:ascii="Times New Roman" w:hAnsi="Times New Roman" w:cs="Times New Roman"/>
          <w:sz w:val="24"/>
          <w:szCs w:val="24"/>
        </w:rPr>
        <w:t xml:space="preserve">). PAM provides decision makers and analysts with useful guide for understanding the effects of policy and it is a valuable method for computing the extent of policy transfers (policy on agricultural improvement) Adeoye, (2016). </w:t>
      </w:r>
      <w:r>
        <w:rPr>
          <w:rFonts w:ascii="Times New Roman" w:hAnsi="Times New Roman" w:cs="Times New Roman"/>
          <w:bCs/>
          <w:sz w:val="24"/>
          <w:szCs w:val="24"/>
        </w:rPr>
        <w:t>Major benefit of PAM is that its results can be transferred simply to policy makers, who might not be a specialist in economics.</w:t>
      </w:r>
      <w:r w:rsidR="00762E1C">
        <w:rPr>
          <w:rFonts w:ascii="Times New Roman" w:hAnsi="Times New Roman" w:cs="Times New Roman"/>
          <w:bCs/>
          <w:sz w:val="24"/>
          <w:szCs w:val="24"/>
        </w:rPr>
        <w:t xml:space="preserve"> PAM evaluate the impact of policy </w:t>
      </w:r>
      <w:r w:rsidR="00762E1C">
        <w:rPr>
          <w:rFonts w:ascii="Times New Roman" w:hAnsi="Times New Roman" w:cs="Times New Roman"/>
          <w:bCs/>
          <w:sz w:val="24"/>
          <w:szCs w:val="24"/>
        </w:rPr>
        <w:lastRenderedPageBreak/>
        <w:t>on competitiveness and profit. PAM also consider influence of investment policy on economic efficiency and comparative advantage</w:t>
      </w:r>
      <w:r w:rsidR="00AF2D9A">
        <w:rPr>
          <w:rFonts w:ascii="Times New Roman" w:hAnsi="Times New Roman" w:cs="Times New Roman"/>
          <w:bCs/>
          <w:sz w:val="24"/>
          <w:szCs w:val="24"/>
        </w:rPr>
        <w:t xml:space="preserve"> (</w:t>
      </w:r>
      <w:r w:rsidR="00AF2D9A">
        <w:rPr>
          <w:rFonts w:ascii="Times New Roman" w:hAnsi="Times New Roman" w:cs="Times New Roman"/>
          <w:sz w:val="24"/>
          <w:szCs w:val="24"/>
        </w:rPr>
        <w:t>Monke and Pearson, 1989</w:t>
      </w:r>
      <w:r w:rsidR="00AF2D9A">
        <w:rPr>
          <w:rFonts w:ascii="Times New Roman" w:hAnsi="Times New Roman" w:cs="Times New Roman"/>
          <w:bCs/>
          <w:sz w:val="24"/>
          <w:szCs w:val="24"/>
        </w:rPr>
        <w:t>)</w:t>
      </w:r>
      <w:r w:rsidR="00762E1C">
        <w:rPr>
          <w:rFonts w:ascii="Times New Roman" w:hAnsi="Times New Roman" w:cs="Times New Roman"/>
          <w:bCs/>
          <w:sz w:val="24"/>
          <w:szCs w:val="24"/>
        </w:rPr>
        <w:t>.</w:t>
      </w:r>
    </w:p>
    <w:p w14:paraId="3A52B68F" w14:textId="77777777" w:rsidR="00386E3F" w:rsidRPr="002A4270" w:rsidRDefault="00386E3F" w:rsidP="00386E3F">
      <w:pPr>
        <w:jc w:val="both"/>
        <w:rPr>
          <w:rFonts w:ascii="Times New Roman" w:hAnsi="Times New Roman" w:cs="Times New Roman"/>
          <w:b/>
        </w:rPr>
      </w:pPr>
      <w:r w:rsidRPr="002A4270">
        <w:rPr>
          <w:rFonts w:ascii="Times New Roman" w:hAnsi="Times New Roman" w:cs="Times New Roman"/>
          <w:b/>
        </w:rPr>
        <w:t>Literature Review</w:t>
      </w:r>
    </w:p>
    <w:p w14:paraId="1232529C" w14:textId="77777777" w:rsidR="00386E3F" w:rsidRDefault="00386E3F" w:rsidP="00386E3F">
      <w:pPr>
        <w:spacing w:line="360" w:lineRule="auto"/>
        <w:jc w:val="both"/>
        <w:rPr>
          <w:rFonts w:ascii="Times New Roman" w:hAnsi="Times New Roman" w:cs="Times New Roman"/>
        </w:rPr>
      </w:pPr>
      <w:r w:rsidRPr="009C1A7D">
        <w:rPr>
          <w:rFonts w:ascii="Times New Roman" w:hAnsi="Times New Roman" w:cs="Times New Roman"/>
        </w:rPr>
        <w:t>The theory of competitive advantage was proposed by Michael Porter in the year 1985 and the theory seeks to address some of the critic</w:t>
      </w:r>
      <w:r>
        <w:rPr>
          <w:rFonts w:ascii="Times New Roman" w:hAnsi="Times New Roman" w:cs="Times New Roman"/>
        </w:rPr>
        <w:t xml:space="preserve">isms of comparative advantage. </w:t>
      </w:r>
      <w:r w:rsidRPr="009C1A7D">
        <w:rPr>
          <w:rFonts w:ascii="Times New Roman" w:hAnsi="Times New Roman" w:cs="Times New Roman"/>
        </w:rPr>
        <w:t>Competitive advantage is the strategic</w:t>
      </w:r>
      <w:r w:rsidRPr="002A4270">
        <w:rPr>
          <w:rFonts w:ascii="Times New Roman" w:hAnsi="Times New Roman" w:cs="Times New Roman"/>
        </w:rPr>
        <w:t xml:space="preserve"> </w:t>
      </w:r>
      <w:r w:rsidRPr="009C1A7D">
        <w:rPr>
          <w:rFonts w:ascii="Times New Roman" w:hAnsi="Times New Roman" w:cs="Times New Roman"/>
        </w:rPr>
        <w:t>advantage one business entity has over its rival entities within its co</w:t>
      </w:r>
      <w:r w:rsidR="009C663C">
        <w:rPr>
          <w:rFonts w:ascii="Times New Roman" w:hAnsi="Times New Roman" w:cs="Times New Roman"/>
        </w:rPr>
        <w:t>mpetitive industry (Porter, 1990</w:t>
      </w:r>
      <w:r w:rsidRPr="009C1A7D">
        <w:rPr>
          <w:rFonts w:ascii="Times New Roman" w:hAnsi="Times New Roman" w:cs="Times New Roman"/>
        </w:rPr>
        <w:t>). Porter believes that to get more than its fair share of profits, a company has to be able to do things that its competitors cannot do thus making such a company to have a competitive advantage over the others. There are two drivers of competitive advantage as far as Porter is concerned: cost advantage and differentiation. In cost advantage, one needs to incur lower costs than any other competitor. That advantage allows one to either price his/her products lower than anyone else or just to match prices and take the difference in profits</w:t>
      </w:r>
      <w:r w:rsidR="00B95FE5">
        <w:rPr>
          <w:rFonts w:ascii="Times New Roman" w:hAnsi="Times New Roman" w:cs="Times New Roman"/>
        </w:rPr>
        <w:t xml:space="preserve"> (Dunmore, 1985;</w:t>
      </w:r>
      <w:r w:rsidR="00B9594F">
        <w:rPr>
          <w:rFonts w:ascii="Times New Roman" w:hAnsi="Times New Roman" w:cs="Times New Roman"/>
        </w:rPr>
        <w:t xml:space="preserve"> </w:t>
      </w:r>
      <w:proofErr w:type="spellStart"/>
      <w:r w:rsidR="00B95FE5">
        <w:rPr>
          <w:rFonts w:ascii="Times New Roman" w:hAnsi="Times New Roman" w:cs="Times New Roman"/>
        </w:rPr>
        <w:t>Havrita</w:t>
      </w:r>
      <w:proofErr w:type="spellEnd"/>
      <w:r w:rsidR="00B95FE5">
        <w:rPr>
          <w:rFonts w:ascii="Times New Roman" w:hAnsi="Times New Roman" w:cs="Times New Roman"/>
        </w:rPr>
        <w:t xml:space="preserve"> and </w:t>
      </w:r>
      <w:proofErr w:type="spellStart"/>
      <w:r w:rsidR="00B95FE5">
        <w:rPr>
          <w:rFonts w:ascii="Times New Roman" w:hAnsi="Times New Roman" w:cs="Times New Roman"/>
        </w:rPr>
        <w:t>Gunwardana</w:t>
      </w:r>
      <w:proofErr w:type="spellEnd"/>
      <w:r w:rsidR="00B95FE5">
        <w:rPr>
          <w:rFonts w:ascii="Times New Roman" w:hAnsi="Times New Roman" w:cs="Times New Roman"/>
        </w:rPr>
        <w:t>, 2002)</w:t>
      </w:r>
      <w:r w:rsidRPr="009C1A7D">
        <w:rPr>
          <w:rFonts w:ascii="Times New Roman" w:hAnsi="Times New Roman" w:cs="Times New Roman"/>
        </w:rPr>
        <w:t>. Differentiation just means meeting some customers ‘need better than any competitor and getting a premium price in return.</w:t>
      </w:r>
      <w:r w:rsidRPr="009C1A7D">
        <w:t xml:space="preserve"> </w:t>
      </w:r>
      <w:r w:rsidRPr="009C1A7D">
        <w:rPr>
          <w:rFonts w:ascii="Times New Roman" w:hAnsi="Times New Roman" w:cs="Times New Roman"/>
        </w:rPr>
        <w:t>Porter identified attributes of nation which either promote or impede its competitive advantage and this includes factors condition, demand conditions, firm strategy, structure &amp; rivalry, government role and element of chance.</w:t>
      </w:r>
      <w:r w:rsidR="000F5DF3">
        <w:rPr>
          <w:rFonts w:ascii="Times New Roman" w:hAnsi="Times New Roman" w:cs="Times New Roman"/>
        </w:rPr>
        <w:t xml:space="preserve"> Allocation of resources to ensure social welfare, high living standard, high employment rate as well as determining what a sector can contribute or contribute to economic growth. (Ilchenko, </w:t>
      </w:r>
      <w:r w:rsidR="000F5DF3" w:rsidRPr="000F5DF3">
        <w:rPr>
          <w:rFonts w:ascii="Times New Roman" w:hAnsi="Times New Roman" w:cs="Times New Roman"/>
          <w:i/>
        </w:rPr>
        <w:t>et al.</w:t>
      </w:r>
      <w:r w:rsidR="000F5DF3">
        <w:rPr>
          <w:rFonts w:ascii="Times New Roman" w:hAnsi="Times New Roman" w:cs="Times New Roman"/>
        </w:rPr>
        <w:t>, 2021).</w:t>
      </w:r>
      <w:r w:rsidR="009D328C">
        <w:rPr>
          <w:rFonts w:ascii="Times New Roman" w:hAnsi="Times New Roman" w:cs="Times New Roman"/>
        </w:rPr>
        <w:t xml:space="preserve"> </w:t>
      </w:r>
      <w:proofErr w:type="spellStart"/>
      <w:r w:rsidR="009D328C">
        <w:rPr>
          <w:rFonts w:ascii="Times New Roman" w:hAnsi="Times New Roman" w:cs="Times New Roman"/>
          <w:sz w:val="24"/>
          <w:szCs w:val="24"/>
        </w:rPr>
        <w:t>Sapatana</w:t>
      </w:r>
      <w:proofErr w:type="spellEnd"/>
      <w:r w:rsidR="009D328C">
        <w:rPr>
          <w:rFonts w:ascii="Times New Roman" w:hAnsi="Times New Roman" w:cs="Times New Roman"/>
          <w:sz w:val="24"/>
          <w:szCs w:val="24"/>
        </w:rPr>
        <w:t xml:space="preserve"> </w:t>
      </w:r>
      <w:r w:rsidR="009D328C" w:rsidRPr="009D328C">
        <w:rPr>
          <w:rFonts w:ascii="Times New Roman" w:hAnsi="Times New Roman" w:cs="Times New Roman"/>
          <w:i/>
          <w:sz w:val="24"/>
          <w:szCs w:val="24"/>
        </w:rPr>
        <w:t>et al</w:t>
      </w:r>
      <w:r w:rsidR="009D328C">
        <w:rPr>
          <w:rFonts w:ascii="Times New Roman" w:hAnsi="Times New Roman" w:cs="Times New Roman"/>
          <w:sz w:val="24"/>
          <w:szCs w:val="24"/>
        </w:rPr>
        <w:t>, (2022)</w:t>
      </w:r>
      <w:r w:rsidR="000F5DF3">
        <w:rPr>
          <w:rFonts w:ascii="Times New Roman" w:hAnsi="Times New Roman" w:cs="Times New Roman"/>
        </w:rPr>
        <w:t xml:space="preserve"> posited that competitiveness is the ability of a nation to provide its population with rising and high standard of living and employment rate on a sustainable basis. </w:t>
      </w:r>
      <w:r w:rsidR="008B4AB0">
        <w:rPr>
          <w:rFonts w:ascii="Times New Roman" w:hAnsi="Times New Roman" w:cs="Times New Roman"/>
        </w:rPr>
        <w:t>Competitiveness</w:t>
      </w:r>
      <w:r w:rsidR="000F5DF3">
        <w:rPr>
          <w:rFonts w:ascii="Times New Roman" w:hAnsi="Times New Roman" w:cs="Times New Roman"/>
        </w:rPr>
        <w:t xml:space="preserve"> is also taken to be a country</w:t>
      </w:r>
      <w:r w:rsidR="008B4AB0">
        <w:rPr>
          <w:rFonts w:ascii="Times New Roman" w:hAnsi="Times New Roman" w:cs="Times New Roman"/>
        </w:rPr>
        <w:t xml:space="preserve"> ability to gain profit and maintain market share (</w:t>
      </w:r>
      <w:proofErr w:type="spellStart"/>
      <w:r w:rsidR="008B4AB0">
        <w:rPr>
          <w:rFonts w:ascii="Times New Roman" w:hAnsi="Times New Roman" w:cs="Times New Roman"/>
        </w:rPr>
        <w:t>Nurmtavna</w:t>
      </w:r>
      <w:proofErr w:type="spellEnd"/>
      <w:r w:rsidR="008B4AB0">
        <w:rPr>
          <w:rFonts w:ascii="Times New Roman" w:hAnsi="Times New Roman" w:cs="Times New Roman"/>
        </w:rPr>
        <w:t xml:space="preserve"> </w:t>
      </w:r>
      <w:r w:rsidR="008B4AB0" w:rsidRPr="008B4AB0">
        <w:rPr>
          <w:rFonts w:ascii="Times New Roman" w:hAnsi="Times New Roman" w:cs="Times New Roman"/>
          <w:i/>
        </w:rPr>
        <w:t>et al</w:t>
      </w:r>
      <w:r w:rsidR="008B4AB0">
        <w:rPr>
          <w:rFonts w:ascii="Times New Roman" w:hAnsi="Times New Roman" w:cs="Times New Roman"/>
        </w:rPr>
        <w:t>., 2020).</w:t>
      </w:r>
      <w:r w:rsidR="000F5DF3">
        <w:rPr>
          <w:rFonts w:ascii="Times New Roman" w:hAnsi="Times New Roman" w:cs="Times New Roman"/>
        </w:rPr>
        <w:t xml:space="preserve"> </w:t>
      </w:r>
    </w:p>
    <w:p w14:paraId="2F97E92A" w14:textId="77777777" w:rsidR="00386E3F" w:rsidRDefault="00386E3F" w:rsidP="00386E3F">
      <w:pPr>
        <w:spacing w:line="360" w:lineRule="auto"/>
        <w:jc w:val="both"/>
        <w:rPr>
          <w:rFonts w:ascii="Times New Roman" w:hAnsi="Times New Roman" w:cs="Times New Roman"/>
        </w:rPr>
      </w:pPr>
      <w:r w:rsidRPr="009C1A7D">
        <w:rPr>
          <w:rFonts w:ascii="Times New Roman" w:hAnsi="Times New Roman" w:cs="Times New Roman"/>
        </w:rPr>
        <w:t xml:space="preserve">The theory of comparative advantage was first proposed by David </w:t>
      </w:r>
      <w:proofErr w:type="spellStart"/>
      <w:r w:rsidRPr="009C1A7D">
        <w:rPr>
          <w:rFonts w:ascii="Times New Roman" w:hAnsi="Times New Roman" w:cs="Times New Roman"/>
        </w:rPr>
        <w:t>Richado</w:t>
      </w:r>
      <w:proofErr w:type="spellEnd"/>
      <w:r w:rsidRPr="009C1A7D">
        <w:rPr>
          <w:rFonts w:ascii="Times New Roman" w:hAnsi="Times New Roman" w:cs="Times New Roman"/>
        </w:rPr>
        <w:t xml:space="preserve"> in 1817 when he focused on international trade and he generalized the idea into an economic law, the law of comparative advantage. It is the ability of a party or nation to produce a particular good or service at a lower marginal or opportunity cost over another. According to Ricardo, the principle of comparative advantage is that a nation will export the goods or services in which it has its greatest comparative advantage and import those in which it has the least comparative advantage. Comparative advantage is therefore the ability to produce a product with the highest relative efficiency given all the other products that could be produced</w:t>
      </w:r>
      <w:r>
        <w:rPr>
          <w:rFonts w:ascii="Times New Roman" w:hAnsi="Times New Roman" w:cs="Times New Roman"/>
        </w:rPr>
        <w:t>.</w:t>
      </w:r>
    </w:p>
    <w:p w14:paraId="71D8B677" w14:textId="77777777" w:rsidR="00B15657" w:rsidRDefault="00B15657" w:rsidP="00386E3F">
      <w:pPr>
        <w:jc w:val="both"/>
        <w:rPr>
          <w:rFonts w:ascii="Times New Roman" w:hAnsi="Times New Roman" w:cs="Times New Roman"/>
          <w:b/>
        </w:rPr>
      </w:pPr>
    </w:p>
    <w:p w14:paraId="21DCD4A4" w14:textId="77777777" w:rsidR="00D06B95" w:rsidRDefault="00D06B95" w:rsidP="00386E3F">
      <w:pPr>
        <w:jc w:val="both"/>
        <w:rPr>
          <w:rFonts w:ascii="Times New Roman" w:hAnsi="Times New Roman" w:cs="Times New Roman"/>
          <w:b/>
        </w:rPr>
      </w:pPr>
    </w:p>
    <w:p w14:paraId="4CD6E570" w14:textId="77777777" w:rsidR="00AB26CE" w:rsidRDefault="00AB26CE" w:rsidP="00386E3F">
      <w:pPr>
        <w:jc w:val="both"/>
        <w:rPr>
          <w:rFonts w:ascii="Times New Roman" w:hAnsi="Times New Roman" w:cs="Times New Roman"/>
          <w:b/>
        </w:rPr>
      </w:pPr>
    </w:p>
    <w:p w14:paraId="2FD65026" w14:textId="39F6D1AE" w:rsidR="00386E3F" w:rsidRPr="00FC5E99" w:rsidRDefault="00386E3F" w:rsidP="00386E3F">
      <w:pPr>
        <w:jc w:val="both"/>
        <w:rPr>
          <w:rFonts w:ascii="Times New Roman" w:hAnsi="Times New Roman" w:cs="Times New Roman"/>
          <w:b/>
        </w:rPr>
      </w:pPr>
      <w:r w:rsidRPr="00FC5E99">
        <w:rPr>
          <w:rFonts w:ascii="Times New Roman" w:hAnsi="Times New Roman" w:cs="Times New Roman"/>
          <w:b/>
        </w:rPr>
        <w:lastRenderedPageBreak/>
        <w:t>Methodology</w:t>
      </w:r>
    </w:p>
    <w:p w14:paraId="4BCDA0F7" w14:textId="79593B84" w:rsidR="00386E3F" w:rsidRPr="00AB26CE" w:rsidRDefault="00386E3F" w:rsidP="00386E3F">
      <w:pPr>
        <w:spacing w:after="0" w:line="360" w:lineRule="auto"/>
        <w:jc w:val="both"/>
        <w:rPr>
          <w:rFonts w:ascii="Times New Roman" w:eastAsia="Times New Roman" w:hAnsi="Times New Roman" w:cs="Times New Roman"/>
        </w:rPr>
      </w:pPr>
      <w:r>
        <w:rPr>
          <w:rFonts w:ascii="Times New Roman" w:hAnsi="Times New Roman"/>
        </w:rPr>
        <w:t>The study involved the use of m</w:t>
      </w:r>
      <w:r w:rsidRPr="00327C65">
        <w:rPr>
          <w:rFonts w:ascii="Times New Roman" w:eastAsia="Times New Roman" w:hAnsi="Times New Roman" w:cs="Times New Roman"/>
        </w:rPr>
        <w:t>ulti-stage sampling procedure</w:t>
      </w:r>
      <w:r>
        <w:rPr>
          <w:rFonts w:ascii="Times New Roman" w:eastAsia="Times New Roman" w:hAnsi="Times New Roman" w:cs="Times New Roman"/>
        </w:rPr>
        <w:t xml:space="preserve"> where t</w:t>
      </w:r>
      <w:r w:rsidRPr="00327C65">
        <w:rPr>
          <w:rFonts w:ascii="Times New Roman" w:eastAsia="Times New Roman" w:hAnsi="Times New Roman" w:cs="Times New Roman"/>
        </w:rPr>
        <w:t xml:space="preserve">he first stage involved a purposive selection of </w:t>
      </w:r>
      <w:r w:rsidRPr="007C1BAB">
        <w:rPr>
          <w:rFonts w:ascii="Times New Roman" w:eastAsia="Times New Roman" w:hAnsi="Times New Roman" w:cs="Times New Roman"/>
        </w:rPr>
        <w:t>South West that is predominantly into tea marketing</w:t>
      </w:r>
      <w:r w:rsidRPr="00327C65">
        <w:rPr>
          <w:rFonts w:ascii="Times New Roman" w:eastAsia="Times New Roman" w:hAnsi="Times New Roman" w:cs="Times New Roman"/>
        </w:rPr>
        <w:t>.</w:t>
      </w:r>
      <w:r w:rsidRPr="00327C65">
        <w:rPr>
          <w:rFonts w:ascii="Times New Roman" w:hAnsi="Times New Roman" w:cs="Times New Roman"/>
          <w:bCs/>
        </w:rPr>
        <w:t xml:space="preserve"> </w:t>
      </w:r>
      <w:r>
        <w:rPr>
          <w:rFonts w:ascii="Times New Roman" w:eastAsia="Times New Roman" w:hAnsi="Times New Roman" w:cs="Times New Roman"/>
        </w:rPr>
        <w:t xml:space="preserve">The second stage </w:t>
      </w:r>
      <w:r w:rsidR="00AB26CE">
        <w:rPr>
          <w:rFonts w:ascii="Times New Roman" w:eastAsia="Times New Roman" w:hAnsi="Times New Roman" w:cs="Times New Roman"/>
        </w:rPr>
        <w:t>involved</w:t>
      </w:r>
      <w:r w:rsidR="00AB26CE" w:rsidRPr="00900460">
        <w:rPr>
          <w:rFonts w:ascii="Times New Roman" w:eastAsia="Times New Roman" w:hAnsi="Times New Roman" w:cs="Times New Roman"/>
          <w:color w:val="C00000"/>
        </w:rPr>
        <w:t xml:space="preserve"> </w:t>
      </w:r>
      <w:r w:rsidR="00AB26CE" w:rsidRPr="00AB26CE">
        <w:rPr>
          <w:rFonts w:ascii="Times New Roman" w:eastAsia="Times New Roman" w:hAnsi="Times New Roman" w:cs="Times New Roman"/>
        </w:rPr>
        <w:t>selection</w:t>
      </w:r>
      <w:r w:rsidR="00AB26CE">
        <w:rPr>
          <w:rFonts w:ascii="Times New Roman" w:eastAsia="Times New Roman" w:hAnsi="Times New Roman" w:cs="Times New Roman"/>
          <w:color w:val="C00000"/>
        </w:rPr>
        <w:t xml:space="preserve"> </w:t>
      </w:r>
      <w:r w:rsidRPr="007C1BAB">
        <w:rPr>
          <w:rFonts w:ascii="Times New Roman" w:eastAsia="Times New Roman" w:hAnsi="Times New Roman" w:cs="Times New Roman"/>
        </w:rPr>
        <w:t>Ogun, Oyo and Lagos States</w:t>
      </w:r>
      <w:r w:rsidRPr="00900460">
        <w:rPr>
          <w:rFonts w:ascii="Times New Roman" w:eastAsia="Times New Roman" w:hAnsi="Times New Roman" w:cs="Times New Roman"/>
          <w:color w:val="C00000"/>
        </w:rPr>
        <w:t>.</w:t>
      </w:r>
      <w:r w:rsidRPr="00327C65">
        <w:rPr>
          <w:rFonts w:ascii="Times New Roman" w:eastAsia="Times New Roman" w:hAnsi="Times New Roman" w:cs="Times New Roman"/>
        </w:rPr>
        <w:t xml:space="preserve"> The thi</w:t>
      </w:r>
      <w:r>
        <w:rPr>
          <w:rFonts w:ascii="Times New Roman" w:eastAsia="Times New Roman" w:hAnsi="Times New Roman" w:cs="Times New Roman"/>
        </w:rPr>
        <w:t>rd stage involved random selection</w:t>
      </w:r>
      <w:r w:rsidRPr="00327C65">
        <w:rPr>
          <w:rFonts w:ascii="Times New Roman" w:eastAsia="Times New Roman" w:hAnsi="Times New Roman" w:cs="Times New Roman"/>
        </w:rPr>
        <w:t xml:space="preserve"> of local government areas (L</w:t>
      </w:r>
      <w:r>
        <w:rPr>
          <w:rFonts w:ascii="Times New Roman" w:eastAsia="Times New Roman" w:hAnsi="Times New Roman" w:cs="Times New Roman"/>
        </w:rPr>
        <w:t>GA’s) that are well known</w:t>
      </w:r>
      <w:r w:rsidRPr="00327C65">
        <w:rPr>
          <w:rFonts w:ascii="Times New Roman" w:eastAsia="Times New Roman" w:hAnsi="Times New Roman" w:cs="Times New Roman"/>
        </w:rPr>
        <w:t xml:space="preserve"> for tea marketing. The fourth stage involve</w:t>
      </w:r>
      <w:r>
        <w:rPr>
          <w:rFonts w:ascii="Times New Roman" w:eastAsia="Times New Roman" w:hAnsi="Times New Roman" w:cs="Times New Roman"/>
        </w:rPr>
        <w:t>s</w:t>
      </w:r>
      <w:r w:rsidR="00B62F28">
        <w:rPr>
          <w:rFonts w:ascii="Times New Roman" w:eastAsia="Times New Roman" w:hAnsi="Times New Roman" w:cs="Times New Roman"/>
        </w:rPr>
        <w:t xml:space="preserve"> the purposive se</w:t>
      </w:r>
      <w:r>
        <w:rPr>
          <w:rFonts w:ascii="Times New Roman" w:eastAsia="Times New Roman" w:hAnsi="Times New Roman" w:cs="Times New Roman"/>
        </w:rPr>
        <w:t>lection of markets notable for tea sales</w:t>
      </w:r>
      <w:r w:rsidRPr="00327C65">
        <w:rPr>
          <w:rFonts w:ascii="Times New Roman" w:eastAsia="Times New Roman" w:hAnsi="Times New Roman" w:cs="Times New Roman"/>
        </w:rPr>
        <w:t>, and finally</w:t>
      </w:r>
      <w:r w:rsidR="009E19F0">
        <w:rPr>
          <w:rFonts w:ascii="Times New Roman" w:eastAsia="Times New Roman" w:hAnsi="Times New Roman" w:cs="Times New Roman"/>
        </w:rPr>
        <w:t xml:space="preserve"> the random</w:t>
      </w:r>
      <w:r w:rsidRPr="00327C65">
        <w:rPr>
          <w:rFonts w:ascii="Times New Roman" w:eastAsia="Times New Roman" w:hAnsi="Times New Roman" w:cs="Times New Roman"/>
        </w:rPr>
        <w:t xml:space="preserve"> selection of </w:t>
      </w:r>
      <w:r>
        <w:rPr>
          <w:rFonts w:ascii="Times New Roman" w:eastAsia="Times New Roman" w:hAnsi="Times New Roman" w:cs="Times New Roman"/>
        </w:rPr>
        <w:t xml:space="preserve">a total of </w:t>
      </w:r>
      <w:r w:rsidRPr="00327C65">
        <w:rPr>
          <w:rFonts w:ascii="Times New Roman" w:eastAsia="Times New Roman" w:hAnsi="Times New Roman" w:cs="Times New Roman"/>
        </w:rPr>
        <w:t>211 tea marketers.</w:t>
      </w:r>
      <w:r w:rsidRPr="00327C65">
        <w:rPr>
          <w:rFonts w:ascii="Times New Roman" w:hAnsi="Times New Roman" w:cs="Times New Roman"/>
        </w:rPr>
        <w:t xml:space="preserve"> Primary data were obtained through the use of structured questionnaires administere</w:t>
      </w:r>
      <w:r w:rsidR="009E19F0">
        <w:rPr>
          <w:rFonts w:ascii="Times New Roman" w:hAnsi="Times New Roman" w:cs="Times New Roman"/>
        </w:rPr>
        <w:t xml:space="preserve">d through Open Data Kit (ODK). </w:t>
      </w:r>
      <w:r w:rsidR="009E19F0" w:rsidRPr="009E19F0">
        <w:rPr>
          <w:rFonts w:ascii="Times New Roman" w:hAnsi="Times New Roman" w:cs="Times New Roman"/>
        </w:rPr>
        <w:t>Structured</w:t>
      </w:r>
      <w:r w:rsidR="009E19F0" w:rsidRPr="00327C65">
        <w:rPr>
          <w:rFonts w:ascii="Times New Roman" w:hAnsi="Times New Roman" w:cs="Times New Roman"/>
        </w:rPr>
        <w:t xml:space="preserve"> </w:t>
      </w:r>
      <w:r w:rsidR="009E19F0">
        <w:rPr>
          <w:rFonts w:ascii="Times New Roman" w:hAnsi="Times New Roman" w:cs="Times New Roman"/>
        </w:rPr>
        <w:t>q</w:t>
      </w:r>
      <w:r w:rsidRPr="00327C65">
        <w:rPr>
          <w:rFonts w:ascii="Times New Roman" w:hAnsi="Times New Roman" w:cs="Times New Roman"/>
        </w:rPr>
        <w:t>uestionnaire w</w:t>
      </w:r>
      <w:r w:rsidR="009E19F0">
        <w:rPr>
          <w:rFonts w:ascii="Times New Roman" w:hAnsi="Times New Roman" w:cs="Times New Roman"/>
        </w:rPr>
        <w:t>as used to obtain information f</w:t>
      </w:r>
      <w:r w:rsidRPr="00327C65">
        <w:rPr>
          <w:rFonts w:ascii="Times New Roman" w:hAnsi="Times New Roman" w:cs="Times New Roman"/>
        </w:rPr>
        <w:t>r</w:t>
      </w:r>
      <w:r w:rsidR="009E19F0">
        <w:rPr>
          <w:rFonts w:ascii="Times New Roman" w:hAnsi="Times New Roman" w:cs="Times New Roman"/>
        </w:rPr>
        <w:t>om</w:t>
      </w:r>
      <w:r w:rsidRPr="00327C65">
        <w:rPr>
          <w:rFonts w:ascii="Times New Roman" w:hAnsi="Times New Roman" w:cs="Times New Roman"/>
        </w:rPr>
        <w:t xml:space="preserve"> tea marketers</w:t>
      </w:r>
      <w:r>
        <w:rPr>
          <w:rFonts w:ascii="Times New Roman" w:hAnsi="Times New Roman" w:cs="Times New Roman"/>
        </w:rPr>
        <w:t xml:space="preserve"> which</w:t>
      </w:r>
      <w:r w:rsidRPr="00327C65">
        <w:rPr>
          <w:rFonts w:ascii="Times New Roman" w:hAnsi="Times New Roman" w:cs="Times New Roman"/>
        </w:rPr>
        <w:t xml:space="preserve"> include market prices for inputs and outputs, cost (transportation an</w:t>
      </w:r>
      <w:r>
        <w:rPr>
          <w:rFonts w:ascii="Times New Roman" w:hAnsi="Times New Roman" w:cs="Times New Roman"/>
        </w:rPr>
        <w:t xml:space="preserve">d storage). </w:t>
      </w:r>
      <w:r w:rsidRPr="00327C65">
        <w:rPr>
          <w:rFonts w:ascii="Times New Roman" w:hAnsi="Times New Roman" w:cs="Times New Roman"/>
        </w:rPr>
        <w:t xml:space="preserve"> </w:t>
      </w:r>
    </w:p>
    <w:p w14:paraId="2AA4F16F" w14:textId="77777777" w:rsidR="00386E3F" w:rsidRPr="00327C65" w:rsidRDefault="00386E3F" w:rsidP="00386E3F">
      <w:pPr>
        <w:spacing w:after="0" w:line="360" w:lineRule="auto"/>
        <w:jc w:val="both"/>
        <w:rPr>
          <w:rFonts w:ascii="Times New Roman" w:hAnsi="Times New Roman" w:cs="Times New Roman"/>
          <w:b/>
        </w:rPr>
      </w:pPr>
      <w:r w:rsidRPr="00327C65">
        <w:rPr>
          <w:rFonts w:ascii="Times New Roman" w:hAnsi="Times New Roman" w:cs="Times New Roman"/>
          <w:b/>
        </w:rPr>
        <w:t>Analytical Techniques</w:t>
      </w:r>
    </w:p>
    <w:p w14:paraId="14CEF0AA" w14:textId="77777777" w:rsidR="00386E3F" w:rsidRPr="0042548A" w:rsidRDefault="00386E3F" w:rsidP="00386E3F">
      <w:pPr>
        <w:spacing w:line="360" w:lineRule="auto"/>
        <w:jc w:val="both"/>
        <w:rPr>
          <w:rFonts w:ascii="Times New Roman" w:hAnsi="Times New Roman" w:cs="Times New Roman"/>
          <w:sz w:val="24"/>
          <w:szCs w:val="24"/>
        </w:rPr>
      </w:pPr>
      <w:r>
        <w:rPr>
          <w:rFonts w:ascii="Times New Roman" w:hAnsi="Times New Roman" w:cs="Times New Roman"/>
        </w:rPr>
        <w:t xml:space="preserve">Data </w:t>
      </w:r>
      <w:r w:rsidR="00B15657">
        <w:rPr>
          <w:rFonts w:ascii="Times New Roman" w:hAnsi="Times New Roman" w:cs="Times New Roman"/>
        </w:rPr>
        <w:t xml:space="preserve">obtained </w:t>
      </w:r>
      <w:r w:rsidR="00B15657" w:rsidRPr="00327C65">
        <w:rPr>
          <w:rFonts w:ascii="Times New Roman" w:hAnsi="Times New Roman" w:cs="Times New Roman"/>
        </w:rPr>
        <w:t>from</w:t>
      </w:r>
      <w:r w:rsidRPr="00327C65">
        <w:rPr>
          <w:rFonts w:ascii="Times New Roman" w:hAnsi="Times New Roman" w:cs="Times New Roman"/>
        </w:rPr>
        <w:t xml:space="preserve"> the study were analyzed using Descriptive Statistic, Policy Analysis Matrix (PAM). The Policy Analysis Matrix (PAM) is an accounting identity used to reflect the private and social cost and prices of a representative business entity. The PAM framework uses detailed information from a production budget as well as other processing affiliated cost related to the marketing of commodities. It is used to measure input use efficiency, comparative advantage and competitiveness of</w:t>
      </w:r>
      <w:r w:rsidRPr="00AE2511">
        <w:rPr>
          <w:rFonts w:ascii="Times New Roman" w:hAnsi="Times New Roman" w:cs="Times New Roman"/>
        </w:rPr>
        <w:t xml:space="preserve"> production system given current technology, prices of input and output and policy (Nelson and </w:t>
      </w:r>
      <w:proofErr w:type="spellStart"/>
      <w:r w:rsidRPr="00AE2511">
        <w:rPr>
          <w:rFonts w:ascii="Times New Roman" w:hAnsi="Times New Roman" w:cs="Times New Roman"/>
        </w:rPr>
        <w:t>Panggabean</w:t>
      </w:r>
      <w:proofErr w:type="spellEnd"/>
      <w:r w:rsidRPr="00AE2511">
        <w:rPr>
          <w:rFonts w:ascii="Times New Roman" w:hAnsi="Times New Roman" w:cs="Times New Roman"/>
        </w:rPr>
        <w:t>, 1991).</w:t>
      </w:r>
      <w:r w:rsidRPr="0042548A">
        <w:t xml:space="preserve"> </w:t>
      </w:r>
      <w:r w:rsidRPr="0042548A">
        <w:rPr>
          <w:rFonts w:ascii="Times New Roman" w:hAnsi="Times New Roman" w:cs="Times New Roman"/>
        </w:rPr>
        <w:t xml:space="preserve">The following are calculated on the PAM Table 1.  </w:t>
      </w:r>
    </w:p>
    <w:p w14:paraId="61F36C38" w14:textId="77777777" w:rsidR="00386E3F" w:rsidRPr="005E5F62" w:rsidRDefault="00386E3F" w:rsidP="00386E3F">
      <w:pPr>
        <w:spacing w:line="360" w:lineRule="auto"/>
        <w:jc w:val="both"/>
        <w:rPr>
          <w:rFonts w:ascii="Times New Roman" w:hAnsi="Times New Roman" w:cs="Times New Roman"/>
        </w:rPr>
      </w:pPr>
      <w:r w:rsidRPr="008E6720">
        <w:rPr>
          <w:rFonts w:ascii="Times New Roman" w:hAnsi="Times New Roman" w:cs="Times New Roman"/>
        </w:rPr>
        <w:t>Table 1. The Policy Analysis Matrix (PAM) framework</w:t>
      </w:r>
    </w:p>
    <w:tbl>
      <w:tblPr>
        <w:tblStyle w:val="TableGrid4"/>
        <w:tblW w:w="0" w:type="auto"/>
        <w:tblLook w:val="04A0" w:firstRow="1" w:lastRow="0" w:firstColumn="1" w:lastColumn="0" w:noHBand="0" w:noVBand="1"/>
      </w:tblPr>
      <w:tblGrid>
        <w:gridCol w:w="1870"/>
        <w:gridCol w:w="1870"/>
        <w:gridCol w:w="1870"/>
        <w:gridCol w:w="1615"/>
        <w:gridCol w:w="2125"/>
      </w:tblGrid>
      <w:tr w:rsidR="00386E3F" w:rsidRPr="00CF0A22" w14:paraId="6ECD9AD6" w14:textId="77777777" w:rsidTr="003264DF">
        <w:tc>
          <w:tcPr>
            <w:tcW w:w="1870" w:type="dxa"/>
            <w:tcBorders>
              <w:left w:val="nil"/>
              <w:bottom w:val="nil"/>
              <w:right w:val="nil"/>
            </w:tcBorders>
          </w:tcPr>
          <w:p w14:paraId="528B7E9A"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Item</w:t>
            </w:r>
          </w:p>
        </w:tc>
        <w:tc>
          <w:tcPr>
            <w:tcW w:w="1870" w:type="dxa"/>
            <w:tcBorders>
              <w:left w:val="nil"/>
              <w:bottom w:val="nil"/>
              <w:right w:val="nil"/>
            </w:tcBorders>
          </w:tcPr>
          <w:p w14:paraId="4C84C71E"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Revenues</w:t>
            </w:r>
          </w:p>
        </w:tc>
        <w:tc>
          <w:tcPr>
            <w:tcW w:w="3485" w:type="dxa"/>
            <w:gridSpan w:val="2"/>
            <w:tcBorders>
              <w:left w:val="nil"/>
              <w:bottom w:val="nil"/>
              <w:right w:val="nil"/>
            </w:tcBorders>
          </w:tcPr>
          <w:p w14:paraId="1CD79654"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 xml:space="preserve">                             Cost</w:t>
            </w:r>
          </w:p>
        </w:tc>
        <w:tc>
          <w:tcPr>
            <w:tcW w:w="2125" w:type="dxa"/>
            <w:tcBorders>
              <w:left w:val="nil"/>
              <w:bottom w:val="nil"/>
              <w:right w:val="nil"/>
            </w:tcBorders>
          </w:tcPr>
          <w:p w14:paraId="15AED27C"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Profit</w:t>
            </w:r>
          </w:p>
        </w:tc>
      </w:tr>
      <w:tr w:rsidR="00386E3F" w:rsidRPr="00CF0A22" w14:paraId="51315FD8" w14:textId="77777777" w:rsidTr="003264DF">
        <w:tc>
          <w:tcPr>
            <w:tcW w:w="1870" w:type="dxa"/>
            <w:tcBorders>
              <w:top w:val="nil"/>
              <w:left w:val="nil"/>
              <w:bottom w:val="single" w:sz="4" w:space="0" w:color="auto"/>
              <w:right w:val="nil"/>
            </w:tcBorders>
          </w:tcPr>
          <w:p w14:paraId="60BA01FF" w14:textId="77777777" w:rsidR="00386E3F" w:rsidRPr="00CF0A22" w:rsidRDefault="00386E3F" w:rsidP="003264DF">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5AEB7006" w14:textId="77777777" w:rsidR="00386E3F" w:rsidRPr="00CF0A22" w:rsidRDefault="00386E3F" w:rsidP="003264DF">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15356E99"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tradable input</w:t>
            </w:r>
          </w:p>
        </w:tc>
        <w:tc>
          <w:tcPr>
            <w:tcW w:w="1615" w:type="dxa"/>
            <w:tcBorders>
              <w:top w:val="nil"/>
              <w:left w:val="nil"/>
              <w:bottom w:val="single" w:sz="4" w:space="0" w:color="auto"/>
              <w:right w:val="nil"/>
            </w:tcBorders>
          </w:tcPr>
          <w:p w14:paraId="3DE0A3F2"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domestic factor</w:t>
            </w:r>
          </w:p>
        </w:tc>
        <w:tc>
          <w:tcPr>
            <w:tcW w:w="2125" w:type="dxa"/>
            <w:tcBorders>
              <w:top w:val="nil"/>
              <w:left w:val="nil"/>
              <w:bottom w:val="single" w:sz="4" w:space="0" w:color="auto"/>
              <w:right w:val="nil"/>
            </w:tcBorders>
          </w:tcPr>
          <w:p w14:paraId="6DFE55E0" w14:textId="77777777" w:rsidR="00386E3F" w:rsidRPr="00CF0A22" w:rsidRDefault="00386E3F" w:rsidP="003264DF">
            <w:pPr>
              <w:spacing w:line="360" w:lineRule="auto"/>
              <w:rPr>
                <w:rFonts w:ascii="Times New Roman" w:hAnsi="Times New Roman" w:cs="Times New Roman"/>
                <w:b/>
                <w:sz w:val="20"/>
                <w:szCs w:val="20"/>
              </w:rPr>
            </w:pPr>
          </w:p>
        </w:tc>
      </w:tr>
      <w:tr w:rsidR="00386E3F" w:rsidRPr="00CF0A22" w14:paraId="53C614FD" w14:textId="77777777" w:rsidTr="003264DF">
        <w:tc>
          <w:tcPr>
            <w:tcW w:w="1870" w:type="dxa"/>
            <w:tcBorders>
              <w:left w:val="nil"/>
              <w:bottom w:val="nil"/>
              <w:right w:val="nil"/>
            </w:tcBorders>
          </w:tcPr>
          <w:p w14:paraId="6E36C9D7" w14:textId="77777777" w:rsidR="00386E3F" w:rsidRPr="00CF0A22" w:rsidRDefault="00386E3F" w:rsidP="003264DF">
            <w:pPr>
              <w:spacing w:line="360" w:lineRule="auto"/>
              <w:rPr>
                <w:rFonts w:ascii="Times New Roman" w:hAnsi="Times New Roman" w:cs="Times New Roman"/>
              </w:rPr>
            </w:pPr>
            <w:r w:rsidRPr="00CF0A22">
              <w:rPr>
                <w:rFonts w:ascii="Times New Roman" w:hAnsi="Times New Roman" w:cs="Times New Roman"/>
              </w:rPr>
              <w:t>Private prices</w:t>
            </w:r>
          </w:p>
        </w:tc>
        <w:tc>
          <w:tcPr>
            <w:tcW w:w="1870" w:type="dxa"/>
            <w:tcBorders>
              <w:left w:val="nil"/>
              <w:bottom w:val="nil"/>
              <w:right w:val="nil"/>
            </w:tcBorders>
          </w:tcPr>
          <w:p w14:paraId="46EA3E48"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A</w:t>
            </w:r>
            <w:r w:rsidRPr="00CF0A22">
              <w:t xml:space="preserve"> =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a</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left w:val="nil"/>
              <w:bottom w:val="nil"/>
              <w:right w:val="nil"/>
            </w:tcBorders>
          </w:tcPr>
          <w:p w14:paraId="23642FB1"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 xml:space="preserve">B  </w:t>
            </w:r>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left w:val="nil"/>
              <w:bottom w:val="nil"/>
              <w:right w:val="nil"/>
            </w:tcBorders>
          </w:tcPr>
          <w:p w14:paraId="5586637B"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 xml:space="preserve">C   </w:t>
            </w:r>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left w:val="nil"/>
              <w:bottom w:val="nil"/>
              <w:right w:val="nil"/>
            </w:tcBorders>
          </w:tcPr>
          <w:p w14:paraId="1FA338C8"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 xml:space="preserve">D  </w:t>
            </w:r>
            <w:r w:rsidRPr="00CF0A22">
              <w:t xml:space="preserve">= </w:t>
            </w:r>
            <w:r w:rsidRPr="00CF0A22">
              <w:rPr>
                <w:rFonts w:ascii="Cambria Math" w:hAnsi="Cambria Math"/>
              </w:rPr>
              <w:t>A-(B+C)</w:t>
            </w:r>
          </w:p>
        </w:tc>
      </w:tr>
      <w:tr w:rsidR="00386E3F" w:rsidRPr="00CF0A22" w14:paraId="1D4AFC9E" w14:textId="77777777" w:rsidTr="003264DF">
        <w:tc>
          <w:tcPr>
            <w:tcW w:w="1870" w:type="dxa"/>
            <w:tcBorders>
              <w:top w:val="nil"/>
              <w:left w:val="nil"/>
              <w:bottom w:val="nil"/>
              <w:right w:val="nil"/>
            </w:tcBorders>
          </w:tcPr>
          <w:p w14:paraId="712020EC" w14:textId="77777777" w:rsidR="00386E3F" w:rsidRPr="00CF0A22" w:rsidRDefault="00386E3F" w:rsidP="003264DF">
            <w:pPr>
              <w:spacing w:line="360" w:lineRule="auto"/>
              <w:rPr>
                <w:rFonts w:ascii="Times New Roman" w:hAnsi="Times New Roman" w:cs="Times New Roman"/>
              </w:rPr>
            </w:pPr>
            <w:r w:rsidRPr="00CF0A22">
              <w:rPr>
                <w:rFonts w:ascii="Times New Roman" w:hAnsi="Times New Roman" w:cs="Times New Roman"/>
              </w:rPr>
              <w:t>Social prices</w:t>
            </w:r>
          </w:p>
        </w:tc>
        <w:tc>
          <w:tcPr>
            <w:tcW w:w="1870" w:type="dxa"/>
            <w:tcBorders>
              <w:top w:val="nil"/>
              <w:left w:val="nil"/>
              <w:bottom w:val="nil"/>
              <w:right w:val="nil"/>
            </w:tcBorders>
          </w:tcPr>
          <w:p w14:paraId="789BF6F7"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E</w:t>
            </w:r>
            <w:r w:rsidRPr="00CF0A22">
              <w:t xml:space="preserve"> =</w:t>
            </w:r>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a</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top w:val="nil"/>
              <w:left w:val="nil"/>
              <w:bottom w:val="nil"/>
              <w:right w:val="nil"/>
            </w:tcBorders>
          </w:tcPr>
          <w:p w14:paraId="125E5E0A"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 xml:space="preserve">F  </w:t>
            </w:r>
            <w:r w:rsidRPr="00CF0A22">
              <w:t>=</w:t>
            </w:r>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top w:val="nil"/>
              <w:left w:val="nil"/>
              <w:bottom w:val="nil"/>
              <w:right w:val="nil"/>
            </w:tcBorders>
          </w:tcPr>
          <w:p w14:paraId="494A664C"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cstheme="minorHAnsi"/>
              </w:rPr>
              <w:t xml:space="preserve">G  </w:t>
            </w:r>
            <w:r w:rsidRPr="00CF0A22">
              <w:rPr>
                <w:rFonts w:cstheme="minorHAnsi"/>
              </w:rPr>
              <w:t>=</w:t>
            </w:r>
            <w:r w:rsidRPr="00CF0A22">
              <w:rPr>
                <w:rFonts w:cstheme="minorHAnsi"/>
                <w:vertAlign w:val="superscript"/>
              </w:rPr>
              <w:t xml:space="preserve"> </w:t>
            </w:r>
            <w:r w:rsidRPr="00CF0A22">
              <w:rPr>
                <w:rFonts w:cstheme="minorHAnsi"/>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top w:val="nil"/>
              <w:left w:val="nil"/>
              <w:bottom w:val="nil"/>
              <w:right w:val="nil"/>
            </w:tcBorders>
          </w:tcPr>
          <w:p w14:paraId="46434215"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cstheme="minorHAnsi"/>
              </w:rPr>
              <w:t>H  = E-(F+G)</w:t>
            </w:r>
          </w:p>
        </w:tc>
      </w:tr>
      <w:tr w:rsidR="00386E3F" w:rsidRPr="00CF0A22" w14:paraId="5F966B73" w14:textId="77777777" w:rsidTr="003264DF">
        <w:tc>
          <w:tcPr>
            <w:tcW w:w="1870" w:type="dxa"/>
            <w:tcBorders>
              <w:top w:val="nil"/>
              <w:left w:val="nil"/>
              <w:right w:val="nil"/>
            </w:tcBorders>
          </w:tcPr>
          <w:p w14:paraId="60C9FCD5" w14:textId="77777777" w:rsidR="00386E3F" w:rsidRPr="00CF0A22" w:rsidRDefault="00386E3F" w:rsidP="003264DF">
            <w:pPr>
              <w:spacing w:line="360" w:lineRule="auto"/>
              <w:rPr>
                <w:rFonts w:ascii="Times New Roman" w:hAnsi="Times New Roman" w:cs="Times New Roman"/>
              </w:rPr>
            </w:pPr>
            <w:r w:rsidRPr="00CF0A22">
              <w:rPr>
                <w:rFonts w:ascii="Times New Roman" w:hAnsi="Times New Roman" w:cs="Times New Roman"/>
              </w:rPr>
              <w:t>Divergences</w:t>
            </w:r>
          </w:p>
        </w:tc>
        <w:tc>
          <w:tcPr>
            <w:tcW w:w="1870" w:type="dxa"/>
            <w:tcBorders>
              <w:top w:val="nil"/>
              <w:left w:val="nil"/>
              <w:right w:val="nil"/>
            </w:tcBorders>
          </w:tcPr>
          <w:p w14:paraId="3FF56380"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I =  I  = A-E</w:t>
            </w:r>
          </w:p>
        </w:tc>
        <w:tc>
          <w:tcPr>
            <w:tcW w:w="1870" w:type="dxa"/>
            <w:tcBorders>
              <w:top w:val="nil"/>
              <w:left w:val="nil"/>
              <w:right w:val="nil"/>
            </w:tcBorders>
          </w:tcPr>
          <w:p w14:paraId="43F70376"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J   = B-F</w:t>
            </w:r>
          </w:p>
        </w:tc>
        <w:tc>
          <w:tcPr>
            <w:tcW w:w="1615" w:type="dxa"/>
            <w:tcBorders>
              <w:top w:val="nil"/>
              <w:left w:val="nil"/>
              <w:right w:val="nil"/>
            </w:tcBorders>
          </w:tcPr>
          <w:p w14:paraId="764C9729"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K  = C-G</w:t>
            </w:r>
          </w:p>
        </w:tc>
        <w:tc>
          <w:tcPr>
            <w:tcW w:w="2125" w:type="dxa"/>
            <w:tcBorders>
              <w:top w:val="nil"/>
              <w:left w:val="nil"/>
              <w:right w:val="nil"/>
            </w:tcBorders>
          </w:tcPr>
          <w:p w14:paraId="7350032B"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L  = D-H  = I - (J+K)</w:t>
            </w:r>
          </w:p>
        </w:tc>
      </w:tr>
    </w:tbl>
    <w:p w14:paraId="28A50B19" w14:textId="77777777" w:rsidR="00386E3F" w:rsidRDefault="00386E3F" w:rsidP="00386E3F">
      <w:pPr>
        <w:spacing w:line="360" w:lineRule="auto"/>
        <w:rPr>
          <w:rFonts w:ascii="Times New Roman" w:hAnsi="Times New Roman" w:cs="Times New Roman"/>
          <w:sz w:val="24"/>
          <w:szCs w:val="24"/>
        </w:rPr>
      </w:pPr>
      <w:r>
        <w:rPr>
          <w:rFonts w:ascii="Times New Roman" w:hAnsi="Times New Roman" w:cs="Times New Roman"/>
          <w:sz w:val="24"/>
          <w:szCs w:val="24"/>
        </w:rPr>
        <w:t>Source: Monke and Pearson, 1989</w:t>
      </w:r>
    </w:p>
    <w:p w14:paraId="5EA77C45"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A = Revenue in private prices (₦);</w:t>
      </w:r>
    </w:p>
    <w:p w14:paraId="5A575A20"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B = Cost of tradable inputs at private prices (₦)</w:t>
      </w:r>
    </w:p>
    <w:p w14:paraId="64296F84"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 xml:space="preserve">C = Cost of domestic factors at private prices (₦) </w:t>
      </w:r>
    </w:p>
    <w:p w14:paraId="24A7F864"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D = Private profit (₦);</w:t>
      </w:r>
    </w:p>
    <w:p w14:paraId="5AF0DB35"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E = Revenue in social prices (₦);</w:t>
      </w:r>
    </w:p>
    <w:p w14:paraId="65167A03"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F = Cost of tradable inputs in social prices (₦);</w:t>
      </w:r>
    </w:p>
    <w:p w14:paraId="2A53A54D"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G= cost of domestic factors in social prices (₦);</w:t>
      </w:r>
    </w:p>
    <w:p w14:paraId="65F93723"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H= Social profit (₦);</w:t>
      </w:r>
    </w:p>
    <w:p w14:paraId="24C53473"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I = Output transfers (₦);</w:t>
      </w:r>
    </w:p>
    <w:p w14:paraId="3C79E77C"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J = Input transfers (₦);</w:t>
      </w:r>
    </w:p>
    <w:p w14:paraId="2BB2535E"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lastRenderedPageBreak/>
        <w:t>K= Factor transfers (₦);</w:t>
      </w:r>
    </w:p>
    <w:p w14:paraId="73351663"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L= Net transfers (₦).</w:t>
      </w:r>
    </w:p>
    <w:p w14:paraId="56A8BA9E" w14:textId="77777777" w:rsidR="00386E3F" w:rsidRPr="007B2283" w:rsidRDefault="00386E3F" w:rsidP="00386E3F">
      <w:pPr>
        <w:pStyle w:val="NoSpacing"/>
        <w:rPr>
          <w:rFonts w:ascii="Times New Roman" w:hAnsi="Times New Roman" w:cs="Times New Roman"/>
        </w:rPr>
      </w:pPr>
    </w:p>
    <w:p w14:paraId="220C138C" w14:textId="77777777" w:rsidR="00386E3F" w:rsidRPr="007B2283" w:rsidRDefault="00386E3F" w:rsidP="00386E3F">
      <w:pPr>
        <w:rPr>
          <w:rFonts w:ascii="Times New Roman" w:hAnsi="Times New Roman" w:cs="Times New Roman"/>
        </w:rPr>
      </w:pPr>
      <w:r w:rsidRPr="007B2283">
        <w:rPr>
          <w:rFonts w:ascii="Times New Roman" w:hAnsi="Times New Roman" w:cs="Times New Roman"/>
        </w:rPr>
        <w:t>where,</w:t>
      </w:r>
    </w:p>
    <w:p w14:paraId="445694A9" w14:textId="77777777" w:rsidR="00386E3F" w:rsidRPr="007B2283" w:rsidRDefault="00386E3F" w:rsidP="00386E3F">
      <w:pPr>
        <w:spacing w:after="0" w:line="360" w:lineRule="auto"/>
        <w:jc w:val="both"/>
        <w:rPr>
          <w:rFonts w:ascii="Times New Roman" w:hAnsi="Times New Roman" w:cs="Times New Roman"/>
        </w:rPr>
      </w:pPr>
      <w:r w:rsidRPr="007B2283">
        <w:rPr>
          <w:rFonts w:ascii="Times New Roman" w:hAnsi="Times New Roman" w:cs="Times New Roman"/>
        </w:rPr>
        <w:t xml:space="preserve">subscripts: s = Output     i =Tradable inputs             j= non-tradable domestic factors inputs            </w:t>
      </w:r>
    </w:p>
    <w:p w14:paraId="4891F714" w14:textId="77777777" w:rsidR="00386E3F" w:rsidRPr="007B2283" w:rsidRDefault="00386E3F" w:rsidP="00386E3F">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bscript"/>
        </w:rPr>
        <w:t>s</w:t>
      </w:r>
      <w:r w:rsidRPr="007B2283">
        <w:rPr>
          <w:rFonts w:ascii="Times New Roman" w:hAnsi="Times New Roman" w:cs="Times New Roman"/>
          <w:vertAlign w:val="superscript"/>
        </w:rPr>
        <w:t>p</w:t>
      </w:r>
      <w:proofErr w:type="spellEnd"/>
      <w:r w:rsidRPr="007B2283">
        <w:rPr>
          <w:rFonts w:ascii="Times New Roman" w:hAnsi="Times New Roman" w:cs="Times New Roman"/>
        </w:rPr>
        <w:t xml:space="preserve"> = Actual market prices of tea products (Private/average P</w:t>
      </w:r>
      <w:r>
        <w:rPr>
          <w:rFonts w:ascii="Times New Roman" w:hAnsi="Times New Roman" w:cs="Times New Roman"/>
        </w:rPr>
        <w:t>rice @ #/ ton</w:t>
      </w:r>
      <w:r w:rsidRPr="007B2283">
        <w:rPr>
          <w:rFonts w:ascii="Times New Roman" w:hAnsi="Times New Roman" w:cs="Times New Roman"/>
        </w:rPr>
        <w:t>)</w:t>
      </w:r>
    </w:p>
    <w:p w14:paraId="22C09262" w14:textId="77777777" w:rsidR="00386E3F" w:rsidRPr="007B2283" w:rsidRDefault="00386E3F" w:rsidP="00386E3F">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s</w:t>
      </w:r>
      <w:r w:rsidRPr="007B2283">
        <w:rPr>
          <w:rFonts w:ascii="Times New Roman" w:hAnsi="Times New Roman" w:cs="Times New Roman"/>
        </w:rPr>
        <w:t xml:space="preserve"> = quanti</w:t>
      </w:r>
      <w:r>
        <w:rPr>
          <w:rFonts w:ascii="Times New Roman" w:hAnsi="Times New Roman" w:cs="Times New Roman"/>
        </w:rPr>
        <w:t>ty of outputs (tea products @ ton</w:t>
      </w:r>
      <w:r w:rsidRPr="007B2283">
        <w:rPr>
          <w:rFonts w:ascii="Times New Roman" w:hAnsi="Times New Roman" w:cs="Times New Roman"/>
        </w:rPr>
        <w:t xml:space="preserve">) </w:t>
      </w:r>
    </w:p>
    <w:p w14:paraId="50BC8474" w14:textId="77777777" w:rsidR="00386E3F" w:rsidRPr="007B2283" w:rsidRDefault="00386E3F" w:rsidP="00386E3F">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perscript"/>
        </w:rPr>
        <w:t>p</w:t>
      </w:r>
      <w:r w:rsidRPr="007B2283">
        <w:rPr>
          <w:rFonts w:ascii="Times New Roman" w:hAnsi="Times New Roman" w:cs="Times New Roman"/>
          <w:vertAlign w:val="subscript"/>
        </w:rPr>
        <w:t>i</w:t>
      </w:r>
      <w:proofErr w:type="spellEnd"/>
      <w:r w:rsidRPr="007B2283">
        <w:rPr>
          <w:rFonts w:ascii="Times New Roman" w:hAnsi="Times New Roman" w:cs="Times New Roman"/>
        </w:rPr>
        <w:t xml:space="preserve"> = Actual market prices of tradable i</w:t>
      </w:r>
      <w:r>
        <w:rPr>
          <w:rFonts w:ascii="Times New Roman" w:hAnsi="Times New Roman" w:cs="Times New Roman"/>
        </w:rPr>
        <w:t>nputs (</w:t>
      </w:r>
      <w:r w:rsidRPr="007B2283">
        <w:rPr>
          <w:rFonts w:ascii="Times New Roman" w:hAnsi="Times New Roman" w:cs="Times New Roman"/>
        </w:rPr>
        <w:t>Agrochemical @   #/liters}</w:t>
      </w:r>
    </w:p>
    <w:p w14:paraId="6B324196" w14:textId="77777777" w:rsidR="00386E3F" w:rsidRPr="007B2283" w:rsidRDefault="00386E3F" w:rsidP="00386E3F">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i</w:t>
      </w:r>
      <w:r w:rsidRPr="007B2283">
        <w:rPr>
          <w:rFonts w:ascii="Times New Roman" w:hAnsi="Times New Roman" w:cs="Times New Roman"/>
        </w:rPr>
        <w:t xml:space="preserve"> = Quantity of tradable i</w:t>
      </w:r>
      <w:r>
        <w:rPr>
          <w:rFonts w:ascii="Times New Roman" w:hAnsi="Times New Roman" w:cs="Times New Roman"/>
        </w:rPr>
        <w:t>nputs {</w:t>
      </w:r>
      <w:r w:rsidRPr="007B2283">
        <w:rPr>
          <w:rFonts w:ascii="Times New Roman" w:hAnsi="Times New Roman" w:cs="Times New Roman"/>
        </w:rPr>
        <w:t>Agrochemical @ #/liters}</w:t>
      </w:r>
    </w:p>
    <w:p w14:paraId="020B0378" w14:textId="77777777" w:rsidR="00386E3F" w:rsidRPr="001652F8" w:rsidRDefault="00386E3F" w:rsidP="00386E3F">
      <w:pPr>
        <w:spacing w:after="0" w:line="360" w:lineRule="auto"/>
        <w:jc w:val="both"/>
        <w:rPr>
          <w:rFonts w:ascii="Times New Roman" w:hAnsi="Times New Roman" w:cs="Times New Roman"/>
        </w:rPr>
      </w:pPr>
      <w:proofErr w:type="spellStart"/>
      <w:r w:rsidRPr="001652F8">
        <w:rPr>
          <w:rFonts w:ascii="Times New Roman" w:hAnsi="Times New Roman" w:cs="Times New Roman"/>
        </w:rPr>
        <w:t>R</w:t>
      </w:r>
      <w:r w:rsidRPr="001652F8">
        <w:rPr>
          <w:rFonts w:ascii="Times New Roman" w:hAnsi="Times New Roman" w:cs="Times New Roman"/>
          <w:vertAlign w:val="superscript"/>
        </w:rPr>
        <w:t>p</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Actual market prices of non-tradable domestic inputs {Hired </w:t>
      </w:r>
      <w:proofErr w:type="spellStart"/>
      <w:r w:rsidRPr="001652F8">
        <w:rPr>
          <w:rFonts w:ascii="Times New Roman" w:hAnsi="Times New Roman" w:cs="Times New Roman"/>
        </w:rPr>
        <w:t>l</w:t>
      </w:r>
      <w:r>
        <w:rPr>
          <w:rFonts w:ascii="Times New Roman" w:hAnsi="Times New Roman" w:cs="Times New Roman"/>
        </w:rPr>
        <w:t>abour</w:t>
      </w:r>
      <w:proofErr w:type="spellEnd"/>
      <w:r>
        <w:rPr>
          <w:rFonts w:ascii="Times New Roman" w:hAnsi="Times New Roman" w:cs="Times New Roman"/>
        </w:rPr>
        <w:t xml:space="preserve"> @ #/</w:t>
      </w:r>
      <w:proofErr w:type="spellStart"/>
      <w:r>
        <w:rPr>
          <w:rFonts w:ascii="Times New Roman" w:hAnsi="Times New Roman" w:cs="Times New Roman"/>
        </w:rPr>
        <w:t>manday</w:t>
      </w:r>
      <w:proofErr w:type="spellEnd"/>
      <w:r w:rsidRPr="001652F8">
        <w:rPr>
          <w:rFonts w:ascii="Times New Roman" w:hAnsi="Times New Roman" w:cs="Times New Roman"/>
        </w:rPr>
        <w:t>}</w:t>
      </w:r>
    </w:p>
    <w:p w14:paraId="7B90BC53" w14:textId="77777777" w:rsidR="00386E3F" w:rsidRPr="001652F8" w:rsidRDefault="00386E3F" w:rsidP="00386E3F">
      <w:pPr>
        <w:spacing w:after="0" w:line="360" w:lineRule="auto"/>
        <w:jc w:val="both"/>
        <w:rPr>
          <w:rFonts w:ascii="Times New Roman" w:hAnsi="Times New Roman" w:cs="Times New Roman"/>
        </w:rPr>
      </w:pPr>
      <w:proofErr w:type="spellStart"/>
      <w:r w:rsidRPr="001652F8">
        <w:rPr>
          <w:rFonts w:ascii="Times New Roman" w:hAnsi="Times New Roman" w:cs="Times New Roman"/>
        </w:rPr>
        <w:t>Q</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Quantity of non-tradable domestic inputs (Hired </w:t>
      </w:r>
      <w:proofErr w:type="spellStart"/>
      <w:r w:rsidRPr="001652F8">
        <w:rPr>
          <w:rFonts w:ascii="Times New Roman" w:hAnsi="Times New Roman" w:cs="Times New Roman"/>
        </w:rPr>
        <w:t>labour</w:t>
      </w:r>
      <w:proofErr w:type="spellEnd"/>
      <w:r w:rsidRPr="001652F8">
        <w:rPr>
          <w:rFonts w:ascii="Times New Roman" w:hAnsi="Times New Roman" w:cs="Times New Roman"/>
        </w:rPr>
        <w:t xml:space="preserve"> @ #/</w:t>
      </w:r>
      <w:proofErr w:type="spellStart"/>
      <w:r w:rsidRPr="001652F8">
        <w:rPr>
          <w:rFonts w:ascii="Times New Roman" w:hAnsi="Times New Roman" w:cs="Times New Roman"/>
        </w:rPr>
        <w:t>manday</w:t>
      </w:r>
      <w:proofErr w:type="spellEnd"/>
      <w:r w:rsidRPr="001652F8">
        <w:rPr>
          <w:rFonts w:ascii="Times New Roman" w:hAnsi="Times New Roman" w:cs="Times New Roman"/>
        </w:rPr>
        <w:t>, Capital @ #/ha)</w:t>
      </w:r>
    </w:p>
    <w:p w14:paraId="7A95C306" w14:textId="77777777" w:rsidR="00386E3F" w:rsidRPr="001652F8" w:rsidRDefault="00386E3F" w:rsidP="00386E3F">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s</w:t>
      </w:r>
      <w:r w:rsidRPr="001652F8">
        <w:rPr>
          <w:rFonts w:ascii="Times New Roman" w:hAnsi="Times New Roman" w:cs="Times New Roman"/>
        </w:rPr>
        <w:t xml:space="preserve"> = Social/International prices </w:t>
      </w:r>
      <w:r>
        <w:rPr>
          <w:rFonts w:ascii="Times New Roman" w:hAnsi="Times New Roman" w:cs="Times New Roman"/>
        </w:rPr>
        <w:t>of tea products (# equivalent/ton</w:t>
      </w:r>
      <w:r w:rsidRPr="001652F8">
        <w:rPr>
          <w:rFonts w:ascii="Times New Roman" w:hAnsi="Times New Roman" w:cs="Times New Roman"/>
        </w:rPr>
        <w:t>)</w:t>
      </w:r>
    </w:p>
    <w:p w14:paraId="5E67AC4C" w14:textId="77777777" w:rsidR="00386E3F" w:rsidRPr="001652F8" w:rsidRDefault="00386E3F" w:rsidP="00386E3F">
      <w:pPr>
        <w:spacing w:after="0" w:line="360" w:lineRule="auto"/>
        <w:jc w:val="both"/>
        <w:rPr>
          <w:rFonts w:ascii="Times New Roman" w:hAnsi="Times New Roman" w:cs="Times New Roman"/>
        </w:rPr>
      </w:pPr>
      <w:proofErr w:type="spellStart"/>
      <w:r w:rsidRPr="001652F8">
        <w:rPr>
          <w:rFonts w:ascii="Times New Roman" w:hAnsi="Times New Roman" w:cs="Times New Roman"/>
        </w:rPr>
        <w:t>Q</w:t>
      </w:r>
      <w:r w:rsidRPr="001652F8">
        <w:rPr>
          <w:rFonts w:ascii="Times New Roman" w:hAnsi="Times New Roman" w:cs="Times New Roman"/>
          <w:vertAlign w:val="superscript"/>
        </w:rPr>
        <w:t>s</w:t>
      </w:r>
      <w:r w:rsidRPr="001652F8">
        <w:rPr>
          <w:rFonts w:ascii="Times New Roman" w:hAnsi="Times New Roman" w:cs="Times New Roman"/>
          <w:vertAlign w:val="subscript"/>
        </w:rPr>
        <w:t>s</w:t>
      </w:r>
      <w:proofErr w:type="spellEnd"/>
      <w:r w:rsidRPr="001652F8">
        <w:rPr>
          <w:rFonts w:ascii="Times New Roman" w:hAnsi="Times New Roman" w:cs="Times New Roman"/>
        </w:rPr>
        <w:t>= quantities of tea</w:t>
      </w:r>
      <w:r>
        <w:rPr>
          <w:rFonts w:ascii="Times New Roman" w:hAnsi="Times New Roman" w:cs="Times New Roman"/>
        </w:rPr>
        <w:t xml:space="preserve"> products in social prices (@ ton</w:t>
      </w:r>
      <w:r w:rsidRPr="001652F8">
        <w:rPr>
          <w:rFonts w:ascii="Times New Roman" w:hAnsi="Times New Roman" w:cs="Times New Roman"/>
        </w:rPr>
        <w:t>)</w:t>
      </w:r>
    </w:p>
    <w:p w14:paraId="4A49C7D6" w14:textId="77777777" w:rsidR="00386E3F" w:rsidRPr="001652F8" w:rsidRDefault="00386E3F" w:rsidP="00386E3F">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i</w:t>
      </w:r>
      <w:r w:rsidRPr="001652F8">
        <w:rPr>
          <w:rFonts w:ascii="Times New Roman" w:hAnsi="Times New Roman" w:cs="Times New Roman"/>
        </w:rPr>
        <w:t xml:space="preserve"> =Social/ International prices of </w:t>
      </w:r>
      <w:r>
        <w:rPr>
          <w:rFonts w:ascii="Times New Roman" w:hAnsi="Times New Roman" w:cs="Times New Roman"/>
        </w:rPr>
        <w:t>tradable inputs (# equivalent/ton</w:t>
      </w:r>
      <w:r w:rsidRPr="001652F8">
        <w:rPr>
          <w:rFonts w:ascii="Times New Roman" w:hAnsi="Times New Roman" w:cs="Times New Roman"/>
        </w:rPr>
        <w:t>)</w:t>
      </w:r>
    </w:p>
    <w:p w14:paraId="683D7A2C" w14:textId="29361AC4" w:rsidR="00BA25F0" w:rsidRDefault="00386E3F" w:rsidP="003C37E2">
      <w:pPr>
        <w:spacing w:line="360" w:lineRule="auto"/>
        <w:jc w:val="both"/>
        <w:rPr>
          <w:rFonts w:ascii="Times New Roman" w:hAnsi="Times New Roman" w:cs="Times New Roman"/>
        </w:rPr>
      </w:pPr>
      <w:proofErr w:type="spellStart"/>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=Social/ International prices of non-tradable domestic inputs</w:t>
      </w:r>
    </w:p>
    <w:p w14:paraId="1984D9C8" w14:textId="77777777" w:rsidR="00386E3F" w:rsidRDefault="00386E3F" w:rsidP="00386E3F">
      <w:pPr>
        <w:jc w:val="both"/>
        <w:rPr>
          <w:rFonts w:ascii="Times New Roman" w:hAnsi="Times New Roman" w:cs="Times New Roman"/>
          <w:b/>
        </w:rPr>
      </w:pPr>
      <w:r w:rsidRPr="00327C65">
        <w:rPr>
          <w:rFonts w:ascii="Times New Roman" w:hAnsi="Times New Roman" w:cs="Times New Roman"/>
          <w:b/>
        </w:rPr>
        <w:t>Results and Discussion</w:t>
      </w:r>
    </w:p>
    <w:p w14:paraId="18A3816F" w14:textId="77777777" w:rsidR="00386E3F" w:rsidRDefault="00386E3F" w:rsidP="00386E3F">
      <w:pPr>
        <w:jc w:val="both"/>
        <w:rPr>
          <w:rFonts w:ascii="Times New Roman" w:hAnsi="Times New Roman" w:cs="Times New Roman"/>
          <w:b/>
        </w:rPr>
      </w:pPr>
      <w:r>
        <w:rPr>
          <w:rFonts w:ascii="Times New Roman" w:hAnsi="Times New Roman" w:cs="Times New Roman"/>
          <w:b/>
        </w:rPr>
        <w:t>Socioeconomic characteristics of Tea Marketers</w:t>
      </w:r>
    </w:p>
    <w:p w14:paraId="53A94681" w14:textId="66957422" w:rsidR="00E2471F" w:rsidRDefault="00386E3F" w:rsidP="00386E3F">
      <w:pPr>
        <w:spacing w:line="360" w:lineRule="auto"/>
        <w:jc w:val="both"/>
        <w:rPr>
          <w:rFonts w:ascii="Times New Roman" w:hAnsi="Times New Roman" w:cs="Times New Roman"/>
        </w:rPr>
      </w:pPr>
      <w:r w:rsidRPr="003C5754">
        <w:rPr>
          <w:rFonts w:ascii="Times New Roman" w:hAnsi="Times New Roman" w:cs="Times New Roman"/>
        </w:rPr>
        <w:t>Table 2 presents the result of the socioeconomic characteristics of Tea marketers.</w:t>
      </w:r>
      <w:r w:rsidRPr="009E2895">
        <w:rPr>
          <w:rFonts w:ascii="Times New Roman" w:hAnsi="Times New Roman" w:cs="Times New Roman"/>
        </w:rPr>
        <w:t xml:space="preserve"> </w:t>
      </w:r>
      <w:r>
        <w:rPr>
          <w:rFonts w:ascii="Times New Roman" w:hAnsi="Times New Roman" w:cs="Times New Roman"/>
        </w:rPr>
        <w:t>A total of 39.3</w:t>
      </w:r>
      <w:r w:rsidRPr="007D235C">
        <w:rPr>
          <w:rFonts w:ascii="Times New Roman" w:hAnsi="Times New Roman" w:cs="Times New Roman"/>
        </w:rPr>
        <w:t xml:space="preserve">% of the marketers are within the same age bracket </w:t>
      </w:r>
      <w:r w:rsidR="00F9521D">
        <w:rPr>
          <w:rFonts w:ascii="Times New Roman" w:hAnsi="Times New Roman" w:cs="Times New Roman"/>
        </w:rPr>
        <w:t>o</w:t>
      </w:r>
      <w:r w:rsidRPr="007D235C">
        <w:rPr>
          <w:rFonts w:ascii="Times New Roman" w:hAnsi="Times New Roman" w:cs="Times New Roman"/>
        </w:rPr>
        <w:t>f</w:t>
      </w:r>
      <w:r w:rsidR="00F9521D">
        <w:rPr>
          <w:rFonts w:ascii="Times New Roman" w:hAnsi="Times New Roman" w:cs="Times New Roman"/>
        </w:rPr>
        <w:t xml:space="preserve"> 31-40 years and a</w:t>
      </w:r>
      <w:r w:rsidRPr="007D235C">
        <w:rPr>
          <w:rFonts w:ascii="Times New Roman" w:hAnsi="Times New Roman" w:cs="Times New Roman"/>
        </w:rPr>
        <w:t xml:space="preserve"> mean value of 47.8 with SD of </w:t>
      </w:r>
      <w:r w:rsidR="00F9521D">
        <w:rPr>
          <w:rFonts w:ascii="Times New Roman" w:hAnsi="Times New Roman" w:cs="Times New Roman"/>
        </w:rPr>
        <w:t>8.16 was obtained</w:t>
      </w:r>
      <w:r w:rsidRPr="007D235C">
        <w:rPr>
          <w:rFonts w:ascii="Times New Roman" w:hAnsi="Times New Roman" w:cs="Times New Roman"/>
        </w:rPr>
        <w:t>. This implies that tea marketers are predominantly young people who are still very active in tea marketing</w:t>
      </w:r>
      <w:r>
        <w:rPr>
          <w:rFonts w:ascii="Times New Roman" w:hAnsi="Times New Roman" w:cs="Times New Roman"/>
        </w:rPr>
        <w:t>.</w:t>
      </w:r>
      <w:r w:rsidRPr="009E2895">
        <w:rPr>
          <w:rFonts w:ascii="Times New Roman" w:hAnsi="Times New Roman" w:cs="Times New Roman"/>
        </w:rPr>
        <w:t xml:space="preserve"> </w:t>
      </w:r>
      <w:r>
        <w:rPr>
          <w:rFonts w:ascii="Times New Roman" w:hAnsi="Times New Roman" w:cs="Times New Roman"/>
        </w:rPr>
        <w:t xml:space="preserve">The </w:t>
      </w:r>
      <w:r w:rsidR="00BA25F0">
        <w:rPr>
          <w:rFonts w:ascii="Times New Roman" w:hAnsi="Times New Roman" w:cs="Times New Roman"/>
        </w:rPr>
        <w:t>result</w:t>
      </w:r>
      <w:r w:rsidR="00F9521D">
        <w:rPr>
          <w:rFonts w:ascii="Times New Roman" w:hAnsi="Times New Roman" w:cs="Times New Roman"/>
        </w:rPr>
        <w:t xml:space="preserve"> also revealed that more female 61.1%</w:t>
      </w:r>
      <w:r w:rsidR="00BA25F0" w:rsidRPr="007D235C">
        <w:rPr>
          <w:rFonts w:ascii="Times New Roman" w:hAnsi="Times New Roman" w:cs="Times New Roman"/>
        </w:rPr>
        <w:t xml:space="preserve"> was</w:t>
      </w:r>
      <w:r w:rsidRPr="007D235C">
        <w:rPr>
          <w:rFonts w:ascii="Times New Roman" w:hAnsi="Times New Roman" w:cs="Times New Roman"/>
        </w:rPr>
        <w:t xml:space="preserve"> i</w:t>
      </w:r>
      <w:r w:rsidR="00F9521D">
        <w:rPr>
          <w:rFonts w:ascii="Times New Roman" w:hAnsi="Times New Roman" w:cs="Times New Roman"/>
        </w:rPr>
        <w:t xml:space="preserve">nvolved in tea marketing than </w:t>
      </w:r>
      <w:r w:rsidRPr="007D235C">
        <w:rPr>
          <w:rFonts w:ascii="Times New Roman" w:hAnsi="Times New Roman" w:cs="Times New Roman"/>
        </w:rPr>
        <w:t xml:space="preserve">male. The higher percentage of </w:t>
      </w:r>
      <w:r w:rsidR="00F9521D">
        <w:rPr>
          <w:rFonts w:ascii="Times New Roman" w:hAnsi="Times New Roman" w:cs="Times New Roman"/>
        </w:rPr>
        <w:t>fe</w:t>
      </w:r>
      <w:r w:rsidRPr="007D235C">
        <w:rPr>
          <w:rFonts w:ascii="Times New Roman" w:hAnsi="Times New Roman" w:cs="Times New Roman"/>
        </w:rPr>
        <w:t>male</w:t>
      </w:r>
      <w:r w:rsidR="00F9521D">
        <w:rPr>
          <w:rFonts w:ascii="Times New Roman" w:hAnsi="Times New Roman" w:cs="Times New Roman"/>
        </w:rPr>
        <w:t xml:space="preserve"> in tea marketing compared to </w:t>
      </w:r>
      <w:r w:rsidRPr="007D235C">
        <w:rPr>
          <w:rFonts w:ascii="Times New Roman" w:hAnsi="Times New Roman" w:cs="Times New Roman"/>
        </w:rPr>
        <w:t>male in the study area may be attributed t</w:t>
      </w:r>
      <w:r w:rsidR="008E1F09">
        <w:rPr>
          <w:rFonts w:ascii="Times New Roman" w:hAnsi="Times New Roman" w:cs="Times New Roman"/>
        </w:rPr>
        <w:t xml:space="preserve">o the fact that marketing is </w:t>
      </w:r>
      <w:r w:rsidRPr="007D235C">
        <w:rPr>
          <w:rFonts w:ascii="Times New Roman" w:hAnsi="Times New Roman" w:cs="Times New Roman"/>
        </w:rPr>
        <w:t>women</w:t>
      </w:r>
      <w:r w:rsidR="008E1F09">
        <w:rPr>
          <w:rFonts w:ascii="Times New Roman" w:hAnsi="Times New Roman" w:cs="Times New Roman"/>
        </w:rPr>
        <w:t xml:space="preserve"> friendly</w:t>
      </w:r>
      <w:r>
        <w:rPr>
          <w:rFonts w:ascii="Times New Roman" w:hAnsi="Times New Roman" w:cs="Times New Roman"/>
        </w:rPr>
        <w:t>.</w:t>
      </w:r>
      <w:r w:rsidRPr="009E2895">
        <w:rPr>
          <w:rFonts w:ascii="Times New Roman" w:hAnsi="Times New Roman" w:cs="Times New Roman"/>
        </w:rPr>
        <w:t xml:space="preserve"> </w:t>
      </w:r>
      <w:r w:rsidR="008E1F09">
        <w:rPr>
          <w:rFonts w:ascii="Times New Roman" w:hAnsi="Times New Roman" w:cs="Times New Roman"/>
        </w:rPr>
        <w:t xml:space="preserve">Also, </w:t>
      </w:r>
      <w:r w:rsidRPr="007D235C">
        <w:rPr>
          <w:rFonts w:ascii="Times New Roman" w:hAnsi="Times New Roman" w:cs="Times New Roman"/>
        </w:rPr>
        <w:t xml:space="preserve">84.8% of the respondents had formal education. Education is a form of human capital; hence it can impact positively on the </w:t>
      </w:r>
      <w:r w:rsidR="003C37E2" w:rsidRPr="007D235C">
        <w:rPr>
          <w:rFonts w:ascii="Times New Roman" w:hAnsi="Times New Roman" w:cs="Times New Roman"/>
        </w:rPr>
        <w:t>marketer ‘</w:t>
      </w:r>
      <w:r w:rsidR="00BA25F0" w:rsidRPr="007D235C">
        <w:rPr>
          <w:rFonts w:ascii="Times New Roman" w:hAnsi="Times New Roman" w:cs="Times New Roman"/>
        </w:rPr>
        <w:t>s</w:t>
      </w:r>
      <w:r w:rsidRPr="007D235C">
        <w:rPr>
          <w:rFonts w:ascii="Times New Roman" w:hAnsi="Times New Roman" w:cs="Times New Roman"/>
        </w:rPr>
        <w:t xml:space="preserve"> ability to take good and </w:t>
      </w:r>
      <w:r w:rsidR="003C37E2" w:rsidRPr="007D235C">
        <w:rPr>
          <w:rFonts w:ascii="Times New Roman" w:hAnsi="Times New Roman" w:cs="Times New Roman"/>
        </w:rPr>
        <w:t>well-informed</w:t>
      </w:r>
      <w:r w:rsidRPr="007D235C">
        <w:rPr>
          <w:rFonts w:ascii="Times New Roman" w:hAnsi="Times New Roman" w:cs="Times New Roman"/>
        </w:rPr>
        <w:t xml:space="preserve"> marketing decisions; thereby influencing tea marketing efficiency.</w:t>
      </w:r>
      <w:r w:rsidR="003C37E2">
        <w:rPr>
          <w:rFonts w:ascii="Times New Roman" w:hAnsi="Times New Roman" w:cs="Times New Roman"/>
        </w:rPr>
        <w:t xml:space="preserve"> </w:t>
      </w:r>
      <w:r>
        <w:rPr>
          <w:rFonts w:ascii="Times New Roman" w:hAnsi="Times New Roman" w:cs="Times New Roman"/>
        </w:rPr>
        <w:t>M</w:t>
      </w:r>
      <w:r w:rsidRPr="007D235C">
        <w:rPr>
          <w:rFonts w:ascii="Times New Roman" w:hAnsi="Times New Roman" w:cs="Times New Roman"/>
        </w:rPr>
        <w:t xml:space="preserve">ost </w:t>
      </w:r>
      <w:r w:rsidR="008E1F09">
        <w:rPr>
          <w:rFonts w:ascii="Times New Roman" w:hAnsi="Times New Roman" w:cs="Times New Roman"/>
        </w:rPr>
        <w:t xml:space="preserve">(88.6%) </w:t>
      </w:r>
      <w:r w:rsidRPr="007D235C">
        <w:rPr>
          <w:rFonts w:ascii="Times New Roman" w:hAnsi="Times New Roman" w:cs="Times New Roman"/>
        </w:rPr>
        <w:t>of the marketers had 6-10 members in their household. The implication of this is that the marketers have quite a number of individ</w:t>
      </w:r>
      <w:r>
        <w:rPr>
          <w:rFonts w:ascii="Times New Roman" w:hAnsi="Times New Roman" w:cs="Times New Roman"/>
        </w:rPr>
        <w:t>uals in their household who could assist</w:t>
      </w:r>
      <w:r w:rsidRPr="007D235C">
        <w:rPr>
          <w:rFonts w:ascii="Times New Roman" w:hAnsi="Times New Roman" w:cs="Times New Roman"/>
        </w:rPr>
        <w:t xml:space="preserve"> in their marketing activities. This will help in reducing the cost burden on the marketing of tea and the overall tea market efficiency.</w:t>
      </w:r>
    </w:p>
    <w:p w14:paraId="2002B222" w14:textId="77777777" w:rsidR="00E2471F" w:rsidRDefault="00E2471F" w:rsidP="00386E3F">
      <w:pPr>
        <w:spacing w:line="360" w:lineRule="auto"/>
        <w:jc w:val="both"/>
        <w:rPr>
          <w:rFonts w:ascii="Times New Roman" w:hAnsi="Times New Roman" w:cs="Times New Roman"/>
        </w:rPr>
      </w:pPr>
    </w:p>
    <w:p w14:paraId="22789214" w14:textId="77777777" w:rsidR="00762E1C" w:rsidRDefault="00762E1C" w:rsidP="00386E3F">
      <w:pPr>
        <w:spacing w:line="360" w:lineRule="auto"/>
        <w:jc w:val="both"/>
        <w:rPr>
          <w:rFonts w:ascii="Times New Roman" w:hAnsi="Times New Roman" w:cs="Times New Roman"/>
        </w:rPr>
      </w:pPr>
    </w:p>
    <w:p w14:paraId="0688C6EF" w14:textId="77777777" w:rsidR="00762E1C" w:rsidRDefault="00762E1C" w:rsidP="00386E3F">
      <w:pPr>
        <w:spacing w:line="360" w:lineRule="auto"/>
        <w:jc w:val="both"/>
        <w:rPr>
          <w:rFonts w:ascii="Times New Roman" w:hAnsi="Times New Roman" w:cs="Times New Roman"/>
        </w:rPr>
      </w:pPr>
    </w:p>
    <w:p w14:paraId="4844851B" w14:textId="77777777" w:rsidR="00386E3F" w:rsidRPr="00D820E6" w:rsidRDefault="00386E3F" w:rsidP="00386E3F">
      <w:pPr>
        <w:spacing w:line="360" w:lineRule="auto"/>
        <w:jc w:val="both"/>
        <w:rPr>
          <w:rFonts w:ascii="Times New Roman" w:hAnsi="Times New Roman" w:cs="Times New Roman"/>
          <w:b/>
          <w:color w:val="FF0000"/>
        </w:rPr>
      </w:pPr>
      <w:r w:rsidRPr="00D820E6">
        <w:rPr>
          <w:rFonts w:ascii="Times New Roman" w:hAnsi="Times New Roman" w:cs="Times New Roman"/>
          <w:b/>
        </w:rPr>
        <w:lastRenderedPageBreak/>
        <w:t>Table 2. Socioeconomic characteristics of Tea Marketers</w:t>
      </w:r>
    </w:p>
    <w:tbl>
      <w:tblPr>
        <w:tblStyle w:val="TableGrid"/>
        <w:tblW w:w="0" w:type="auto"/>
        <w:tblLook w:val="04A0" w:firstRow="1" w:lastRow="0" w:firstColumn="1" w:lastColumn="0" w:noHBand="0" w:noVBand="1"/>
      </w:tblPr>
      <w:tblGrid>
        <w:gridCol w:w="3192"/>
        <w:gridCol w:w="2303"/>
        <w:gridCol w:w="2693"/>
      </w:tblGrid>
      <w:tr w:rsidR="00386E3F" w:rsidRPr="00D820E6" w14:paraId="5205C42E" w14:textId="77777777" w:rsidTr="003264DF">
        <w:tc>
          <w:tcPr>
            <w:tcW w:w="3192" w:type="dxa"/>
            <w:tcBorders>
              <w:left w:val="nil"/>
              <w:bottom w:val="single" w:sz="4" w:space="0" w:color="auto"/>
              <w:right w:val="nil"/>
            </w:tcBorders>
          </w:tcPr>
          <w:p w14:paraId="07B34530" w14:textId="77777777" w:rsidR="00386E3F" w:rsidRPr="00D820E6" w:rsidRDefault="00386E3F" w:rsidP="003264DF">
            <w:pPr>
              <w:jc w:val="both"/>
              <w:rPr>
                <w:rFonts w:ascii="Times New Roman" w:hAnsi="Times New Roman" w:cs="Times New Roman"/>
                <w:b/>
                <w:color w:val="FF0000"/>
              </w:rPr>
            </w:pPr>
            <w:r w:rsidRPr="00D820E6">
              <w:rPr>
                <w:rFonts w:ascii="Times New Roman" w:hAnsi="Times New Roman" w:cs="Times New Roman"/>
                <w:b/>
              </w:rPr>
              <w:t>Characteristics</w:t>
            </w:r>
          </w:p>
        </w:tc>
        <w:tc>
          <w:tcPr>
            <w:tcW w:w="2303" w:type="dxa"/>
            <w:tcBorders>
              <w:left w:val="nil"/>
              <w:bottom w:val="single" w:sz="4" w:space="0" w:color="auto"/>
              <w:right w:val="nil"/>
            </w:tcBorders>
          </w:tcPr>
          <w:p w14:paraId="0371F6E4" w14:textId="77777777" w:rsidR="00386E3F" w:rsidRPr="00D820E6" w:rsidRDefault="00386E3F" w:rsidP="003264DF">
            <w:pPr>
              <w:jc w:val="both"/>
              <w:rPr>
                <w:rFonts w:ascii="Times New Roman" w:hAnsi="Times New Roman" w:cs="Times New Roman"/>
                <w:color w:val="FF0000"/>
              </w:rPr>
            </w:pPr>
            <w:r w:rsidRPr="00D820E6">
              <w:rPr>
                <w:rFonts w:ascii="Times New Roman" w:hAnsi="Times New Roman" w:cs="Times New Roman"/>
                <w:b/>
              </w:rPr>
              <w:t>Frequency</w:t>
            </w:r>
          </w:p>
        </w:tc>
        <w:tc>
          <w:tcPr>
            <w:tcW w:w="2693" w:type="dxa"/>
            <w:tcBorders>
              <w:left w:val="nil"/>
              <w:bottom w:val="single" w:sz="4" w:space="0" w:color="auto"/>
              <w:right w:val="nil"/>
            </w:tcBorders>
          </w:tcPr>
          <w:p w14:paraId="46194200" w14:textId="77777777" w:rsidR="00386E3F" w:rsidRPr="00D820E6" w:rsidRDefault="00386E3F" w:rsidP="003264DF">
            <w:pPr>
              <w:jc w:val="both"/>
              <w:rPr>
                <w:rFonts w:ascii="Times New Roman" w:hAnsi="Times New Roman" w:cs="Times New Roman"/>
                <w:b/>
                <w:color w:val="FF0000"/>
              </w:rPr>
            </w:pPr>
            <w:r w:rsidRPr="00D820E6">
              <w:rPr>
                <w:rFonts w:ascii="Times New Roman" w:hAnsi="Times New Roman" w:cs="Times New Roman"/>
                <w:b/>
              </w:rPr>
              <w:t>Percentage</w:t>
            </w:r>
          </w:p>
        </w:tc>
      </w:tr>
      <w:tr w:rsidR="00386E3F" w:rsidRPr="00D820E6" w14:paraId="1461EE1C" w14:textId="77777777" w:rsidTr="003264DF">
        <w:tc>
          <w:tcPr>
            <w:tcW w:w="3192" w:type="dxa"/>
            <w:tcBorders>
              <w:left w:val="nil"/>
              <w:bottom w:val="nil"/>
              <w:right w:val="nil"/>
            </w:tcBorders>
          </w:tcPr>
          <w:p w14:paraId="4243EBCE" w14:textId="77777777" w:rsidR="00386E3F" w:rsidRPr="00D820E6" w:rsidRDefault="00386E3F" w:rsidP="003264DF">
            <w:pPr>
              <w:jc w:val="both"/>
              <w:rPr>
                <w:rFonts w:ascii="Times New Roman" w:hAnsi="Times New Roman" w:cs="Times New Roman"/>
                <w:b/>
                <w:color w:val="FF0000"/>
              </w:rPr>
            </w:pPr>
            <w:r w:rsidRPr="00D820E6">
              <w:rPr>
                <w:rFonts w:ascii="Times New Roman" w:hAnsi="Times New Roman" w:cs="Times New Roman"/>
                <w:b/>
              </w:rPr>
              <w:t>Age</w:t>
            </w:r>
          </w:p>
        </w:tc>
        <w:tc>
          <w:tcPr>
            <w:tcW w:w="2303" w:type="dxa"/>
            <w:tcBorders>
              <w:left w:val="nil"/>
              <w:bottom w:val="nil"/>
              <w:right w:val="nil"/>
            </w:tcBorders>
          </w:tcPr>
          <w:p w14:paraId="42BA2889" w14:textId="77777777" w:rsidR="00386E3F" w:rsidRPr="00D820E6" w:rsidRDefault="00386E3F" w:rsidP="003264DF">
            <w:pPr>
              <w:jc w:val="both"/>
              <w:rPr>
                <w:rFonts w:ascii="Times New Roman" w:hAnsi="Times New Roman" w:cs="Times New Roman"/>
                <w:color w:val="FF0000"/>
              </w:rPr>
            </w:pPr>
          </w:p>
        </w:tc>
        <w:tc>
          <w:tcPr>
            <w:tcW w:w="2693" w:type="dxa"/>
            <w:tcBorders>
              <w:left w:val="nil"/>
              <w:bottom w:val="nil"/>
              <w:right w:val="nil"/>
            </w:tcBorders>
          </w:tcPr>
          <w:p w14:paraId="7AB1DC6B" w14:textId="77777777" w:rsidR="00386E3F" w:rsidRPr="00D820E6" w:rsidRDefault="00386E3F" w:rsidP="003264DF">
            <w:pPr>
              <w:jc w:val="both"/>
              <w:rPr>
                <w:rFonts w:ascii="Times New Roman" w:hAnsi="Times New Roman" w:cs="Times New Roman"/>
                <w:color w:val="FF0000"/>
              </w:rPr>
            </w:pPr>
          </w:p>
        </w:tc>
      </w:tr>
      <w:tr w:rsidR="00386E3F" w:rsidRPr="00D820E6" w14:paraId="3FF26B4C" w14:textId="77777777" w:rsidTr="003264DF">
        <w:tc>
          <w:tcPr>
            <w:tcW w:w="3192" w:type="dxa"/>
            <w:tcBorders>
              <w:top w:val="nil"/>
              <w:left w:val="nil"/>
              <w:bottom w:val="nil"/>
              <w:right w:val="nil"/>
            </w:tcBorders>
          </w:tcPr>
          <w:p w14:paraId="0BF857C1" w14:textId="77777777" w:rsidR="00386E3F" w:rsidRPr="00D820E6" w:rsidRDefault="00386E3F" w:rsidP="003264DF">
            <w:pPr>
              <w:pStyle w:val="NoSpacing"/>
              <w:rPr>
                <w:rFonts w:ascii="Times New Roman" w:hAnsi="Times New Roman" w:cs="Times New Roman"/>
              </w:rPr>
            </w:pPr>
            <w:r w:rsidRPr="00D820E6">
              <w:rPr>
                <w:rFonts w:ascii="Times New Roman" w:hAnsi="Times New Roman" w:cs="Times New Roman"/>
              </w:rPr>
              <w:t>≤ 30</w:t>
            </w:r>
          </w:p>
        </w:tc>
        <w:tc>
          <w:tcPr>
            <w:tcW w:w="2303" w:type="dxa"/>
            <w:tcBorders>
              <w:top w:val="nil"/>
              <w:left w:val="nil"/>
              <w:bottom w:val="nil"/>
              <w:right w:val="nil"/>
            </w:tcBorders>
          </w:tcPr>
          <w:p w14:paraId="514B47B3"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28</w:t>
            </w:r>
          </w:p>
        </w:tc>
        <w:tc>
          <w:tcPr>
            <w:tcW w:w="2693" w:type="dxa"/>
            <w:tcBorders>
              <w:top w:val="nil"/>
              <w:left w:val="nil"/>
              <w:bottom w:val="nil"/>
              <w:right w:val="nil"/>
            </w:tcBorders>
          </w:tcPr>
          <w:p w14:paraId="500A8DE5" w14:textId="77777777" w:rsidR="00386E3F" w:rsidRPr="00D820E6" w:rsidRDefault="00386E3F" w:rsidP="003264DF">
            <w:pPr>
              <w:jc w:val="both"/>
              <w:rPr>
                <w:rFonts w:ascii="Times New Roman" w:hAnsi="Times New Roman" w:cs="Times New Roman"/>
              </w:rPr>
            </w:pPr>
            <w:r>
              <w:rPr>
                <w:rFonts w:ascii="Times New Roman" w:hAnsi="Times New Roman" w:cs="Times New Roman"/>
              </w:rPr>
              <w:t>13.3</w:t>
            </w:r>
          </w:p>
        </w:tc>
      </w:tr>
      <w:tr w:rsidR="00386E3F" w:rsidRPr="00D820E6" w14:paraId="2368CC06" w14:textId="77777777" w:rsidTr="003264DF">
        <w:tc>
          <w:tcPr>
            <w:tcW w:w="3192" w:type="dxa"/>
            <w:tcBorders>
              <w:top w:val="nil"/>
              <w:left w:val="nil"/>
              <w:bottom w:val="nil"/>
              <w:right w:val="nil"/>
            </w:tcBorders>
          </w:tcPr>
          <w:p w14:paraId="520B2C08" w14:textId="77777777" w:rsidR="00386E3F" w:rsidRPr="00D820E6" w:rsidRDefault="00386E3F" w:rsidP="003264DF">
            <w:pPr>
              <w:jc w:val="both"/>
              <w:rPr>
                <w:rFonts w:ascii="Times New Roman" w:hAnsi="Times New Roman" w:cs="Times New Roman"/>
                <w:color w:val="FF0000"/>
              </w:rPr>
            </w:pPr>
            <w:r w:rsidRPr="00D820E6">
              <w:rPr>
                <w:rFonts w:ascii="Times New Roman" w:hAnsi="Times New Roman" w:cs="Times New Roman"/>
              </w:rPr>
              <w:t>31-40</w:t>
            </w:r>
          </w:p>
        </w:tc>
        <w:tc>
          <w:tcPr>
            <w:tcW w:w="2303" w:type="dxa"/>
            <w:tcBorders>
              <w:top w:val="nil"/>
              <w:left w:val="nil"/>
              <w:bottom w:val="nil"/>
              <w:right w:val="nil"/>
            </w:tcBorders>
          </w:tcPr>
          <w:p w14:paraId="11A51E8D"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83</w:t>
            </w:r>
          </w:p>
        </w:tc>
        <w:tc>
          <w:tcPr>
            <w:tcW w:w="2693" w:type="dxa"/>
            <w:tcBorders>
              <w:top w:val="nil"/>
              <w:left w:val="nil"/>
              <w:bottom w:val="nil"/>
              <w:right w:val="nil"/>
            </w:tcBorders>
          </w:tcPr>
          <w:p w14:paraId="0691D36E" w14:textId="77777777" w:rsidR="00386E3F" w:rsidRPr="00D820E6" w:rsidRDefault="00386E3F" w:rsidP="003264DF">
            <w:pPr>
              <w:jc w:val="both"/>
              <w:rPr>
                <w:rFonts w:ascii="Times New Roman" w:hAnsi="Times New Roman" w:cs="Times New Roman"/>
              </w:rPr>
            </w:pPr>
            <w:r>
              <w:rPr>
                <w:rFonts w:ascii="Times New Roman" w:hAnsi="Times New Roman" w:cs="Times New Roman"/>
              </w:rPr>
              <w:t>39.3</w:t>
            </w:r>
          </w:p>
        </w:tc>
      </w:tr>
      <w:tr w:rsidR="00386E3F" w:rsidRPr="00D820E6" w14:paraId="23DD7FD9" w14:textId="77777777" w:rsidTr="003264DF">
        <w:tc>
          <w:tcPr>
            <w:tcW w:w="3192" w:type="dxa"/>
            <w:tcBorders>
              <w:top w:val="nil"/>
              <w:left w:val="nil"/>
              <w:bottom w:val="nil"/>
              <w:right w:val="nil"/>
            </w:tcBorders>
          </w:tcPr>
          <w:p w14:paraId="0667CA57"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41-50</w:t>
            </w:r>
          </w:p>
        </w:tc>
        <w:tc>
          <w:tcPr>
            <w:tcW w:w="2303" w:type="dxa"/>
            <w:tcBorders>
              <w:top w:val="nil"/>
              <w:left w:val="nil"/>
              <w:bottom w:val="nil"/>
              <w:right w:val="nil"/>
            </w:tcBorders>
          </w:tcPr>
          <w:p w14:paraId="56CA1C0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70</w:t>
            </w:r>
          </w:p>
        </w:tc>
        <w:tc>
          <w:tcPr>
            <w:tcW w:w="2693" w:type="dxa"/>
            <w:tcBorders>
              <w:top w:val="nil"/>
              <w:left w:val="nil"/>
              <w:bottom w:val="nil"/>
              <w:right w:val="nil"/>
            </w:tcBorders>
          </w:tcPr>
          <w:p w14:paraId="22A15F9B"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33.2</w:t>
            </w:r>
          </w:p>
        </w:tc>
      </w:tr>
      <w:tr w:rsidR="00386E3F" w:rsidRPr="00D820E6" w14:paraId="0A675AF8" w14:textId="77777777" w:rsidTr="003264DF">
        <w:tc>
          <w:tcPr>
            <w:tcW w:w="3192" w:type="dxa"/>
            <w:tcBorders>
              <w:top w:val="nil"/>
              <w:left w:val="nil"/>
              <w:bottom w:val="nil"/>
              <w:right w:val="nil"/>
            </w:tcBorders>
          </w:tcPr>
          <w:p w14:paraId="037E66B3"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51-60</w:t>
            </w:r>
          </w:p>
        </w:tc>
        <w:tc>
          <w:tcPr>
            <w:tcW w:w="2303" w:type="dxa"/>
            <w:tcBorders>
              <w:top w:val="nil"/>
              <w:left w:val="nil"/>
              <w:bottom w:val="nil"/>
              <w:right w:val="nil"/>
            </w:tcBorders>
          </w:tcPr>
          <w:p w14:paraId="2336A3B7"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30</w:t>
            </w:r>
          </w:p>
        </w:tc>
        <w:tc>
          <w:tcPr>
            <w:tcW w:w="2693" w:type="dxa"/>
            <w:tcBorders>
              <w:top w:val="nil"/>
              <w:left w:val="nil"/>
              <w:bottom w:val="nil"/>
              <w:right w:val="nil"/>
            </w:tcBorders>
          </w:tcPr>
          <w:p w14:paraId="02337049" w14:textId="77777777" w:rsidR="00386E3F" w:rsidRPr="00D820E6" w:rsidRDefault="00386E3F" w:rsidP="003264DF">
            <w:pPr>
              <w:jc w:val="both"/>
              <w:rPr>
                <w:rFonts w:ascii="Times New Roman" w:hAnsi="Times New Roman" w:cs="Times New Roman"/>
              </w:rPr>
            </w:pPr>
            <w:r>
              <w:rPr>
                <w:rFonts w:ascii="Times New Roman" w:hAnsi="Times New Roman" w:cs="Times New Roman"/>
              </w:rPr>
              <w:t>14.2</w:t>
            </w:r>
          </w:p>
        </w:tc>
      </w:tr>
      <w:tr w:rsidR="00386E3F" w:rsidRPr="00D820E6" w14:paraId="31F0D372" w14:textId="77777777" w:rsidTr="003264DF">
        <w:tc>
          <w:tcPr>
            <w:tcW w:w="3192" w:type="dxa"/>
            <w:tcBorders>
              <w:top w:val="nil"/>
              <w:left w:val="nil"/>
              <w:bottom w:val="nil"/>
              <w:right w:val="nil"/>
            </w:tcBorders>
          </w:tcPr>
          <w:p w14:paraId="3A198349"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bottom w:val="nil"/>
              <w:right w:val="nil"/>
            </w:tcBorders>
          </w:tcPr>
          <w:p w14:paraId="7FCE51E9"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bottom w:val="nil"/>
              <w:right w:val="nil"/>
            </w:tcBorders>
          </w:tcPr>
          <w:p w14:paraId="292956B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100</w:t>
            </w:r>
          </w:p>
        </w:tc>
      </w:tr>
      <w:tr w:rsidR="00386E3F" w:rsidRPr="00D820E6" w14:paraId="65A8992C" w14:textId="77777777" w:rsidTr="003264DF">
        <w:tc>
          <w:tcPr>
            <w:tcW w:w="3192" w:type="dxa"/>
            <w:tcBorders>
              <w:top w:val="nil"/>
              <w:left w:val="nil"/>
              <w:bottom w:val="nil"/>
              <w:right w:val="nil"/>
            </w:tcBorders>
          </w:tcPr>
          <w:p w14:paraId="7EEC86E4"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Mean</w:t>
            </w:r>
          </w:p>
        </w:tc>
        <w:tc>
          <w:tcPr>
            <w:tcW w:w="2303" w:type="dxa"/>
            <w:tcBorders>
              <w:top w:val="nil"/>
              <w:left w:val="nil"/>
              <w:bottom w:val="nil"/>
              <w:right w:val="nil"/>
            </w:tcBorders>
          </w:tcPr>
          <w:p w14:paraId="52FFC7CC"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47.8</w:t>
            </w:r>
          </w:p>
        </w:tc>
        <w:tc>
          <w:tcPr>
            <w:tcW w:w="2693" w:type="dxa"/>
            <w:tcBorders>
              <w:top w:val="nil"/>
              <w:left w:val="nil"/>
              <w:bottom w:val="nil"/>
              <w:right w:val="nil"/>
            </w:tcBorders>
          </w:tcPr>
          <w:p w14:paraId="39A0B766" w14:textId="77777777" w:rsidR="00386E3F" w:rsidRPr="00D820E6" w:rsidRDefault="00386E3F" w:rsidP="003264DF">
            <w:pPr>
              <w:jc w:val="both"/>
              <w:rPr>
                <w:rFonts w:ascii="Times New Roman" w:hAnsi="Times New Roman" w:cs="Times New Roman"/>
              </w:rPr>
            </w:pPr>
          </w:p>
        </w:tc>
      </w:tr>
      <w:tr w:rsidR="00386E3F" w:rsidRPr="00D820E6" w14:paraId="7C0F5968" w14:textId="77777777" w:rsidTr="003264DF">
        <w:tc>
          <w:tcPr>
            <w:tcW w:w="3192" w:type="dxa"/>
            <w:tcBorders>
              <w:top w:val="nil"/>
              <w:left w:val="nil"/>
              <w:bottom w:val="nil"/>
              <w:right w:val="nil"/>
            </w:tcBorders>
          </w:tcPr>
          <w:p w14:paraId="10091404"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SD</w:t>
            </w:r>
          </w:p>
        </w:tc>
        <w:tc>
          <w:tcPr>
            <w:tcW w:w="2303" w:type="dxa"/>
            <w:tcBorders>
              <w:top w:val="nil"/>
              <w:left w:val="nil"/>
              <w:bottom w:val="nil"/>
              <w:right w:val="nil"/>
            </w:tcBorders>
          </w:tcPr>
          <w:p w14:paraId="4751879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8.159</w:t>
            </w:r>
          </w:p>
        </w:tc>
        <w:tc>
          <w:tcPr>
            <w:tcW w:w="2693" w:type="dxa"/>
            <w:tcBorders>
              <w:top w:val="nil"/>
              <w:left w:val="nil"/>
              <w:bottom w:val="nil"/>
              <w:right w:val="nil"/>
            </w:tcBorders>
          </w:tcPr>
          <w:p w14:paraId="1DCA7C4D" w14:textId="77777777" w:rsidR="00386E3F" w:rsidRPr="00D820E6" w:rsidRDefault="00386E3F" w:rsidP="003264DF">
            <w:pPr>
              <w:jc w:val="both"/>
              <w:rPr>
                <w:rFonts w:ascii="Times New Roman" w:hAnsi="Times New Roman" w:cs="Times New Roman"/>
              </w:rPr>
            </w:pPr>
          </w:p>
        </w:tc>
      </w:tr>
      <w:tr w:rsidR="00386E3F" w:rsidRPr="00D820E6" w14:paraId="315905F1" w14:textId="77777777" w:rsidTr="003264DF">
        <w:tc>
          <w:tcPr>
            <w:tcW w:w="3192" w:type="dxa"/>
            <w:tcBorders>
              <w:top w:val="nil"/>
              <w:left w:val="nil"/>
              <w:bottom w:val="nil"/>
              <w:right w:val="nil"/>
            </w:tcBorders>
          </w:tcPr>
          <w:p w14:paraId="73E5D6E6"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Sex</w:t>
            </w:r>
          </w:p>
        </w:tc>
        <w:tc>
          <w:tcPr>
            <w:tcW w:w="2303" w:type="dxa"/>
            <w:tcBorders>
              <w:top w:val="nil"/>
              <w:left w:val="nil"/>
              <w:bottom w:val="nil"/>
              <w:right w:val="nil"/>
            </w:tcBorders>
          </w:tcPr>
          <w:p w14:paraId="537239F4" w14:textId="77777777" w:rsidR="00386E3F" w:rsidRPr="00D820E6" w:rsidRDefault="00386E3F" w:rsidP="003264DF">
            <w:pPr>
              <w:jc w:val="both"/>
              <w:rPr>
                <w:rFonts w:ascii="Times New Roman" w:hAnsi="Times New Roman" w:cs="Times New Roman"/>
              </w:rPr>
            </w:pPr>
          </w:p>
        </w:tc>
        <w:tc>
          <w:tcPr>
            <w:tcW w:w="2693" w:type="dxa"/>
            <w:tcBorders>
              <w:top w:val="nil"/>
              <w:left w:val="nil"/>
              <w:bottom w:val="nil"/>
              <w:right w:val="nil"/>
            </w:tcBorders>
          </w:tcPr>
          <w:p w14:paraId="60261DFB" w14:textId="77777777" w:rsidR="00386E3F" w:rsidRPr="00D820E6" w:rsidRDefault="00386E3F" w:rsidP="003264DF">
            <w:pPr>
              <w:jc w:val="both"/>
              <w:rPr>
                <w:rFonts w:ascii="Times New Roman" w:hAnsi="Times New Roman" w:cs="Times New Roman"/>
              </w:rPr>
            </w:pPr>
          </w:p>
        </w:tc>
      </w:tr>
      <w:tr w:rsidR="00386E3F" w:rsidRPr="00D820E6" w14:paraId="586233D2" w14:textId="77777777" w:rsidTr="003264DF">
        <w:tc>
          <w:tcPr>
            <w:tcW w:w="3192" w:type="dxa"/>
            <w:tcBorders>
              <w:top w:val="nil"/>
              <w:left w:val="nil"/>
              <w:bottom w:val="nil"/>
              <w:right w:val="nil"/>
            </w:tcBorders>
          </w:tcPr>
          <w:p w14:paraId="3F45CDA3"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Male</w:t>
            </w:r>
          </w:p>
        </w:tc>
        <w:tc>
          <w:tcPr>
            <w:tcW w:w="2303" w:type="dxa"/>
            <w:tcBorders>
              <w:top w:val="nil"/>
              <w:left w:val="nil"/>
              <w:bottom w:val="nil"/>
              <w:right w:val="nil"/>
            </w:tcBorders>
          </w:tcPr>
          <w:p w14:paraId="73EEACF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82</w:t>
            </w:r>
          </w:p>
        </w:tc>
        <w:tc>
          <w:tcPr>
            <w:tcW w:w="2693" w:type="dxa"/>
            <w:tcBorders>
              <w:top w:val="nil"/>
              <w:left w:val="nil"/>
              <w:bottom w:val="nil"/>
              <w:right w:val="nil"/>
            </w:tcBorders>
          </w:tcPr>
          <w:p w14:paraId="266DABBD"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38.9</w:t>
            </w:r>
          </w:p>
        </w:tc>
      </w:tr>
      <w:tr w:rsidR="00386E3F" w:rsidRPr="00D820E6" w14:paraId="566A9999" w14:textId="77777777" w:rsidTr="003264DF">
        <w:tc>
          <w:tcPr>
            <w:tcW w:w="3192" w:type="dxa"/>
            <w:tcBorders>
              <w:top w:val="nil"/>
              <w:left w:val="nil"/>
              <w:bottom w:val="nil"/>
              <w:right w:val="nil"/>
            </w:tcBorders>
          </w:tcPr>
          <w:p w14:paraId="4A6AE80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Female</w:t>
            </w:r>
          </w:p>
        </w:tc>
        <w:tc>
          <w:tcPr>
            <w:tcW w:w="2303" w:type="dxa"/>
            <w:tcBorders>
              <w:top w:val="nil"/>
              <w:left w:val="nil"/>
              <w:bottom w:val="nil"/>
              <w:right w:val="nil"/>
            </w:tcBorders>
          </w:tcPr>
          <w:p w14:paraId="02549EEE"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129</w:t>
            </w:r>
          </w:p>
        </w:tc>
        <w:tc>
          <w:tcPr>
            <w:tcW w:w="2693" w:type="dxa"/>
            <w:tcBorders>
              <w:top w:val="nil"/>
              <w:left w:val="nil"/>
              <w:bottom w:val="nil"/>
              <w:right w:val="nil"/>
            </w:tcBorders>
          </w:tcPr>
          <w:p w14:paraId="0361B508"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61.1</w:t>
            </w:r>
          </w:p>
        </w:tc>
      </w:tr>
      <w:tr w:rsidR="00386E3F" w:rsidRPr="00D820E6" w14:paraId="1B24D467" w14:textId="77777777" w:rsidTr="003264DF">
        <w:tc>
          <w:tcPr>
            <w:tcW w:w="3192" w:type="dxa"/>
            <w:tcBorders>
              <w:top w:val="nil"/>
              <w:left w:val="nil"/>
              <w:bottom w:val="nil"/>
              <w:right w:val="nil"/>
            </w:tcBorders>
          </w:tcPr>
          <w:p w14:paraId="52935B10"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bottom w:val="nil"/>
              <w:right w:val="nil"/>
            </w:tcBorders>
          </w:tcPr>
          <w:p w14:paraId="7A195338"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bottom w:val="nil"/>
              <w:right w:val="nil"/>
            </w:tcBorders>
          </w:tcPr>
          <w:p w14:paraId="389A8674"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100</w:t>
            </w:r>
          </w:p>
        </w:tc>
      </w:tr>
      <w:tr w:rsidR="00386E3F" w:rsidRPr="00D820E6" w14:paraId="738BE736" w14:textId="77777777" w:rsidTr="003264DF">
        <w:tc>
          <w:tcPr>
            <w:tcW w:w="3192" w:type="dxa"/>
            <w:tcBorders>
              <w:top w:val="nil"/>
              <w:left w:val="nil"/>
              <w:bottom w:val="nil"/>
              <w:right w:val="nil"/>
            </w:tcBorders>
          </w:tcPr>
          <w:p w14:paraId="6EF53919"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Education</w:t>
            </w:r>
          </w:p>
        </w:tc>
        <w:tc>
          <w:tcPr>
            <w:tcW w:w="2303" w:type="dxa"/>
            <w:tcBorders>
              <w:top w:val="nil"/>
              <w:left w:val="nil"/>
              <w:bottom w:val="nil"/>
              <w:right w:val="nil"/>
            </w:tcBorders>
          </w:tcPr>
          <w:p w14:paraId="509C7170" w14:textId="77777777" w:rsidR="00386E3F" w:rsidRPr="00D820E6" w:rsidRDefault="00386E3F" w:rsidP="003264DF">
            <w:pPr>
              <w:jc w:val="both"/>
              <w:rPr>
                <w:rFonts w:ascii="Times New Roman" w:hAnsi="Times New Roman" w:cs="Times New Roman"/>
              </w:rPr>
            </w:pPr>
          </w:p>
        </w:tc>
        <w:tc>
          <w:tcPr>
            <w:tcW w:w="2693" w:type="dxa"/>
            <w:tcBorders>
              <w:top w:val="nil"/>
              <w:left w:val="nil"/>
              <w:bottom w:val="nil"/>
              <w:right w:val="nil"/>
            </w:tcBorders>
          </w:tcPr>
          <w:p w14:paraId="1CB8AB2F" w14:textId="77777777" w:rsidR="00386E3F" w:rsidRPr="00D820E6" w:rsidRDefault="00386E3F" w:rsidP="003264DF">
            <w:pPr>
              <w:jc w:val="both"/>
              <w:rPr>
                <w:rFonts w:ascii="Times New Roman" w:hAnsi="Times New Roman" w:cs="Times New Roman"/>
                <w:color w:val="FF0000"/>
              </w:rPr>
            </w:pPr>
          </w:p>
        </w:tc>
      </w:tr>
      <w:tr w:rsidR="00386E3F" w:rsidRPr="00D820E6" w14:paraId="311ADA74" w14:textId="77777777" w:rsidTr="003264DF">
        <w:tc>
          <w:tcPr>
            <w:tcW w:w="3192" w:type="dxa"/>
            <w:tcBorders>
              <w:top w:val="nil"/>
              <w:left w:val="nil"/>
              <w:bottom w:val="nil"/>
              <w:right w:val="nil"/>
            </w:tcBorders>
          </w:tcPr>
          <w:p w14:paraId="59320B36"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No Formal educ.</w:t>
            </w:r>
          </w:p>
        </w:tc>
        <w:tc>
          <w:tcPr>
            <w:tcW w:w="2303" w:type="dxa"/>
            <w:tcBorders>
              <w:top w:val="nil"/>
              <w:left w:val="nil"/>
              <w:bottom w:val="nil"/>
              <w:right w:val="nil"/>
            </w:tcBorders>
          </w:tcPr>
          <w:p w14:paraId="6FE4F58C"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32</w:t>
            </w:r>
          </w:p>
        </w:tc>
        <w:tc>
          <w:tcPr>
            <w:tcW w:w="2693" w:type="dxa"/>
            <w:tcBorders>
              <w:top w:val="nil"/>
              <w:left w:val="nil"/>
              <w:bottom w:val="nil"/>
              <w:right w:val="nil"/>
            </w:tcBorders>
          </w:tcPr>
          <w:p w14:paraId="3DAD016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15.2</w:t>
            </w:r>
          </w:p>
        </w:tc>
      </w:tr>
      <w:tr w:rsidR="00386E3F" w:rsidRPr="00D820E6" w14:paraId="041E2CDD" w14:textId="77777777" w:rsidTr="003264DF">
        <w:tc>
          <w:tcPr>
            <w:tcW w:w="3192" w:type="dxa"/>
            <w:tcBorders>
              <w:top w:val="nil"/>
              <w:left w:val="nil"/>
              <w:bottom w:val="nil"/>
              <w:right w:val="nil"/>
            </w:tcBorders>
          </w:tcPr>
          <w:p w14:paraId="6E3B636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Primary educ.</w:t>
            </w:r>
          </w:p>
        </w:tc>
        <w:tc>
          <w:tcPr>
            <w:tcW w:w="2303" w:type="dxa"/>
            <w:tcBorders>
              <w:top w:val="nil"/>
              <w:left w:val="nil"/>
              <w:bottom w:val="nil"/>
              <w:right w:val="nil"/>
            </w:tcBorders>
          </w:tcPr>
          <w:p w14:paraId="7761BA16"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28</w:t>
            </w:r>
          </w:p>
        </w:tc>
        <w:tc>
          <w:tcPr>
            <w:tcW w:w="2693" w:type="dxa"/>
            <w:tcBorders>
              <w:top w:val="nil"/>
              <w:left w:val="nil"/>
              <w:bottom w:val="nil"/>
              <w:right w:val="nil"/>
            </w:tcBorders>
          </w:tcPr>
          <w:p w14:paraId="7B2CE37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13.2</w:t>
            </w:r>
          </w:p>
        </w:tc>
      </w:tr>
      <w:tr w:rsidR="00386E3F" w:rsidRPr="00D820E6" w14:paraId="66F1D450" w14:textId="77777777" w:rsidTr="003264DF">
        <w:tc>
          <w:tcPr>
            <w:tcW w:w="3192" w:type="dxa"/>
            <w:tcBorders>
              <w:top w:val="nil"/>
              <w:left w:val="nil"/>
              <w:bottom w:val="nil"/>
              <w:right w:val="nil"/>
            </w:tcBorders>
          </w:tcPr>
          <w:p w14:paraId="14ABC06D"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Secondary educ.</w:t>
            </w:r>
          </w:p>
        </w:tc>
        <w:tc>
          <w:tcPr>
            <w:tcW w:w="2303" w:type="dxa"/>
            <w:tcBorders>
              <w:top w:val="nil"/>
              <w:left w:val="nil"/>
              <w:bottom w:val="nil"/>
              <w:right w:val="nil"/>
            </w:tcBorders>
          </w:tcPr>
          <w:p w14:paraId="1C01DA89"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119</w:t>
            </w:r>
          </w:p>
        </w:tc>
        <w:tc>
          <w:tcPr>
            <w:tcW w:w="2693" w:type="dxa"/>
            <w:tcBorders>
              <w:top w:val="nil"/>
              <w:left w:val="nil"/>
              <w:bottom w:val="nil"/>
              <w:right w:val="nil"/>
            </w:tcBorders>
          </w:tcPr>
          <w:p w14:paraId="0E29717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56.4</w:t>
            </w:r>
          </w:p>
        </w:tc>
      </w:tr>
      <w:tr w:rsidR="00386E3F" w:rsidRPr="00D820E6" w14:paraId="7C20FF16" w14:textId="77777777" w:rsidTr="003264DF">
        <w:tc>
          <w:tcPr>
            <w:tcW w:w="3192" w:type="dxa"/>
            <w:tcBorders>
              <w:top w:val="nil"/>
              <w:left w:val="nil"/>
              <w:bottom w:val="nil"/>
              <w:right w:val="nil"/>
            </w:tcBorders>
          </w:tcPr>
          <w:p w14:paraId="666B0037"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Tertiary educ.</w:t>
            </w:r>
          </w:p>
        </w:tc>
        <w:tc>
          <w:tcPr>
            <w:tcW w:w="2303" w:type="dxa"/>
            <w:tcBorders>
              <w:top w:val="nil"/>
              <w:left w:val="nil"/>
              <w:bottom w:val="nil"/>
              <w:right w:val="nil"/>
            </w:tcBorders>
          </w:tcPr>
          <w:p w14:paraId="31F4213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32</w:t>
            </w:r>
          </w:p>
        </w:tc>
        <w:tc>
          <w:tcPr>
            <w:tcW w:w="2693" w:type="dxa"/>
            <w:tcBorders>
              <w:top w:val="nil"/>
              <w:left w:val="nil"/>
              <w:bottom w:val="nil"/>
              <w:right w:val="nil"/>
            </w:tcBorders>
          </w:tcPr>
          <w:p w14:paraId="7DA9F4CB"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15.2</w:t>
            </w:r>
          </w:p>
        </w:tc>
      </w:tr>
      <w:tr w:rsidR="00386E3F" w:rsidRPr="00D820E6" w14:paraId="261ED982" w14:textId="77777777" w:rsidTr="003264DF">
        <w:tc>
          <w:tcPr>
            <w:tcW w:w="3192" w:type="dxa"/>
            <w:tcBorders>
              <w:top w:val="nil"/>
              <w:left w:val="nil"/>
              <w:bottom w:val="nil"/>
              <w:right w:val="nil"/>
            </w:tcBorders>
          </w:tcPr>
          <w:p w14:paraId="18E6EC33"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bottom w:val="nil"/>
              <w:right w:val="nil"/>
            </w:tcBorders>
          </w:tcPr>
          <w:p w14:paraId="6E002815"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bottom w:val="nil"/>
              <w:right w:val="nil"/>
            </w:tcBorders>
          </w:tcPr>
          <w:p w14:paraId="170E9961"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100</w:t>
            </w:r>
          </w:p>
        </w:tc>
      </w:tr>
      <w:tr w:rsidR="00386E3F" w:rsidRPr="00D820E6" w14:paraId="1195A47B" w14:textId="77777777" w:rsidTr="003264DF">
        <w:tc>
          <w:tcPr>
            <w:tcW w:w="3192" w:type="dxa"/>
            <w:tcBorders>
              <w:top w:val="nil"/>
              <w:left w:val="nil"/>
              <w:bottom w:val="nil"/>
              <w:right w:val="nil"/>
            </w:tcBorders>
          </w:tcPr>
          <w:p w14:paraId="088B1DB5"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Household size</w:t>
            </w:r>
          </w:p>
        </w:tc>
        <w:tc>
          <w:tcPr>
            <w:tcW w:w="2303" w:type="dxa"/>
            <w:tcBorders>
              <w:top w:val="nil"/>
              <w:left w:val="nil"/>
              <w:bottom w:val="nil"/>
              <w:right w:val="nil"/>
            </w:tcBorders>
          </w:tcPr>
          <w:p w14:paraId="5BFF552F" w14:textId="77777777" w:rsidR="00386E3F" w:rsidRPr="00D820E6" w:rsidRDefault="00386E3F" w:rsidP="003264DF">
            <w:pPr>
              <w:jc w:val="both"/>
              <w:rPr>
                <w:rFonts w:ascii="Times New Roman" w:hAnsi="Times New Roman" w:cs="Times New Roman"/>
              </w:rPr>
            </w:pPr>
          </w:p>
        </w:tc>
        <w:tc>
          <w:tcPr>
            <w:tcW w:w="2693" w:type="dxa"/>
            <w:tcBorders>
              <w:top w:val="nil"/>
              <w:left w:val="nil"/>
              <w:bottom w:val="nil"/>
              <w:right w:val="nil"/>
            </w:tcBorders>
          </w:tcPr>
          <w:p w14:paraId="6D73E142" w14:textId="77777777" w:rsidR="00386E3F" w:rsidRPr="00D820E6" w:rsidRDefault="00386E3F" w:rsidP="003264DF">
            <w:pPr>
              <w:jc w:val="both"/>
              <w:rPr>
                <w:rFonts w:ascii="Times New Roman" w:hAnsi="Times New Roman" w:cs="Times New Roman"/>
              </w:rPr>
            </w:pPr>
          </w:p>
        </w:tc>
      </w:tr>
      <w:tr w:rsidR="00386E3F" w:rsidRPr="00D820E6" w14:paraId="6307BBB0" w14:textId="77777777" w:rsidTr="003264DF">
        <w:tc>
          <w:tcPr>
            <w:tcW w:w="3192" w:type="dxa"/>
            <w:tcBorders>
              <w:top w:val="nil"/>
              <w:left w:val="nil"/>
              <w:bottom w:val="nil"/>
              <w:right w:val="nil"/>
            </w:tcBorders>
          </w:tcPr>
          <w:p w14:paraId="34D3ADC5"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 5</w:t>
            </w:r>
          </w:p>
        </w:tc>
        <w:tc>
          <w:tcPr>
            <w:tcW w:w="2303" w:type="dxa"/>
            <w:tcBorders>
              <w:top w:val="nil"/>
              <w:left w:val="nil"/>
              <w:bottom w:val="nil"/>
              <w:right w:val="nil"/>
            </w:tcBorders>
          </w:tcPr>
          <w:p w14:paraId="37BE230D"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98</w:t>
            </w:r>
          </w:p>
        </w:tc>
        <w:tc>
          <w:tcPr>
            <w:tcW w:w="2693" w:type="dxa"/>
            <w:tcBorders>
              <w:top w:val="nil"/>
              <w:left w:val="nil"/>
              <w:bottom w:val="nil"/>
              <w:right w:val="nil"/>
            </w:tcBorders>
          </w:tcPr>
          <w:p w14:paraId="1453845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46.4</w:t>
            </w:r>
          </w:p>
        </w:tc>
      </w:tr>
      <w:tr w:rsidR="00386E3F" w:rsidRPr="00D820E6" w14:paraId="53291E61" w14:textId="77777777" w:rsidTr="003264DF">
        <w:tc>
          <w:tcPr>
            <w:tcW w:w="3192" w:type="dxa"/>
            <w:tcBorders>
              <w:top w:val="nil"/>
              <w:left w:val="nil"/>
              <w:bottom w:val="nil"/>
              <w:right w:val="nil"/>
            </w:tcBorders>
          </w:tcPr>
          <w:p w14:paraId="3AB84BD8"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6-10</w:t>
            </w:r>
          </w:p>
        </w:tc>
        <w:tc>
          <w:tcPr>
            <w:tcW w:w="2303" w:type="dxa"/>
            <w:tcBorders>
              <w:top w:val="nil"/>
              <w:left w:val="nil"/>
              <w:bottom w:val="nil"/>
              <w:right w:val="nil"/>
            </w:tcBorders>
          </w:tcPr>
          <w:p w14:paraId="4B426F71"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89</w:t>
            </w:r>
          </w:p>
        </w:tc>
        <w:tc>
          <w:tcPr>
            <w:tcW w:w="2693" w:type="dxa"/>
            <w:tcBorders>
              <w:top w:val="nil"/>
              <w:left w:val="nil"/>
              <w:bottom w:val="nil"/>
              <w:right w:val="nil"/>
            </w:tcBorders>
          </w:tcPr>
          <w:p w14:paraId="4EBA10F3"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42.2</w:t>
            </w:r>
          </w:p>
        </w:tc>
      </w:tr>
      <w:tr w:rsidR="00386E3F" w:rsidRPr="00D820E6" w14:paraId="7ACECE7B" w14:textId="77777777" w:rsidTr="003264DF">
        <w:tc>
          <w:tcPr>
            <w:tcW w:w="3192" w:type="dxa"/>
            <w:tcBorders>
              <w:top w:val="nil"/>
              <w:left w:val="nil"/>
              <w:bottom w:val="nil"/>
              <w:right w:val="nil"/>
            </w:tcBorders>
          </w:tcPr>
          <w:p w14:paraId="6B7F62D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≥11</w:t>
            </w:r>
          </w:p>
        </w:tc>
        <w:tc>
          <w:tcPr>
            <w:tcW w:w="2303" w:type="dxa"/>
            <w:tcBorders>
              <w:top w:val="nil"/>
              <w:left w:val="nil"/>
              <w:bottom w:val="nil"/>
              <w:right w:val="nil"/>
            </w:tcBorders>
          </w:tcPr>
          <w:p w14:paraId="11002974"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24</w:t>
            </w:r>
          </w:p>
        </w:tc>
        <w:tc>
          <w:tcPr>
            <w:tcW w:w="2693" w:type="dxa"/>
            <w:tcBorders>
              <w:top w:val="nil"/>
              <w:left w:val="nil"/>
              <w:bottom w:val="nil"/>
              <w:right w:val="nil"/>
            </w:tcBorders>
          </w:tcPr>
          <w:p w14:paraId="4E42FC1D" w14:textId="77777777" w:rsidR="00386E3F" w:rsidRPr="00D820E6" w:rsidRDefault="00386E3F" w:rsidP="003264DF">
            <w:pPr>
              <w:jc w:val="both"/>
              <w:rPr>
                <w:rFonts w:ascii="Times New Roman" w:hAnsi="Times New Roman" w:cs="Times New Roman"/>
              </w:rPr>
            </w:pPr>
            <w:r>
              <w:rPr>
                <w:rFonts w:ascii="Times New Roman" w:hAnsi="Times New Roman" w:cs="Times New Roman"/>
              </w:rPr>
              <w:t>11.4</w:t>
            </w:r>
          </w:p>
        </w:tc>
      </w:tr>
      <w:tr w:rsidR="00386E3F" w:rsidRPr="00D820E6" w14:paraId="0D14853F" w14:textId="77777777" w:rsidTr="003264DF">
        <w:tc>
          <w:tcPr>
            <w:tcW w:w="3192" w:type="dxa"/>
            <w:tcBorders>
              <w:top w:val="nil"/>
              <w:left w:val="nil"/>
              <w:bottom w:val="nil"/>
              <w:right w:val="nil"/>
            </w:tcBorders>
          </w:tcPr>
          <w:p w14:paraId="6AD43EBD"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bottom w:val="nil"/>
              <w:right w:val="nil"/>
            </w:tcBorders>
          </w:tcPr>
          <w:p w14:paraId="6B77D4D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bottom w:val="nil"/>
              <w:right w:val="nil"/>
            </w:tcBorders>
          </w:tcPr>
          <w:p w14:paraId="6F2C2F03" w14:textId="77777777" w:rsidR="00386E3F" w:rsidRPr="00D820E6" w:rsidRDefault="00386E3F" w:rsidP="003264DF">
            <w:pPr>
              <w:jc w:val="both"/>
              <w:rPr>
                <w:rFonts w:ascii="Times New Roman" w:hAnsi="Times New Roman" w:cs="Times New Roman"/>
              </w:rPr>
            </w:pPr>
            <w:r>
              <w:rPr>
                <w:rFonts w:ascii="Times New Roman" w:hAnsi="Times New Roman" w:cs="Times New Roman"/>
              </w:rPr>
              <w:t>100</w:t>
            </w:r>
          </w:p>
        </w:tc>
      </w:tr>
      <w:tr w:rsidR="00386E3F" w:rsidRPr="00D820E6" w14:paraId="2D7EA7F7" w14:textId="77777777" w:rsidTr="003264DF">
        <w:tc>
          <w:tcPr>
            <w:tcW w:w="3192" w:type="dxa"/>
            <w:tcBorders>
              <w:top w:val="nil"/>
              <w:left w:val="nil"/>
              <w:bottom w:val="nil"/>
              <w:right w:val="nil"/>
            </w:tcBorders>
          </w:tcPr>
          <w:p w14:paraId="67487ECD"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Mean</w:t>
            </w:r>
          </w:p>
        </w:tc>
        <w:tc>
          <w:tcPr>
            <w:tcW w:w="2303" w:type="dxa"/>
            <w:tcBorders>
              <w:top w:val="nil"/>
              <w:left w:val="nil"/>
              <w:bottom w:val="nil"/>
              <w:right w:val="nil"/>
            </w:tcBorders>
          </w:tcPr>
          <w:p w14:paraId="63357229" w14:textId="77777777" w:rsidR="00386E3F" w:rsidRPr="000F35A6" w:rsidRDefault="00386E3F" w:rsidP="003264DF">
            <w:pPr>
              <w:jc w:val="both"/>
              <w:rPr>
                <w:rFonts w:ascii="Times New Roman" w:hAnsi="Times New Roman" w:cs="Times New Roman"/>
                <w:b/>
              </w:rPr>
            </w:pPr>
            <w:r w:rsidRPr="000F35A6">
              <w:rPr>
                <w:rFonts w:ascii="Times New Roman" w:hAnsi="Times New Roman" w:cs="Times New Roman"/>
                <w:b/>
              </w:rPr>
              <w:t>5</w:t>
            </w:r>
          </w:p>
        </w:tc>
        <w:tc>
          <w:tcPr>
            <w:tcW w:w="2693" w:type="dxa"/>
            <w:tcBorders>
              <w:top w:val="nil"/>
              <w:left w:val="nil"/>
              <w:bottom w:val="nil"/>
              <w:right w:val="nil"/>
            </w:tcBorders>
          </w:tcPr>
          <w:p w14:paraId="14697A1F" w14:textId="77777777" w:rsidR="00386E3F" w:rsidRPr="00D820E6" w:rsidRDefault="00386E3F" w:rsidP="003264DF">
            <w:pPr>
              <w:jc w:val="both"/>
              <w:rPr>
                <w:rFonts w:ascii="Times New Roman" w:hAnsi="Times New Roman" w:cs="Times New Roman"/>
                <w:color w:val="FF0000"/>
              </w:rPr>
            </w:pPr>
          </w:p>
        </w:tc>
      </w:tr>
      <w:tr w:rsidR="00386E3F" w:rsidRPr="00D820E6" w14:paraId="34509D59" w14:textId="77777777" w:rsidTr="003264DF">
        <w:tc>
          <w:tcPr>
            <w:tcW w:w="3192" w:type="dxa"/>
            <w:tcBorders>
              <w:top w:val="nil"/>
              <w:left w:val="nil"/>
              <w:bottom w:val="nil"/>
              <w:right w:val="nil"/>
            </w:tcBorders>
          </w:tcPr>
          <w:p w14:paraId="6EFE8B1D"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SD</w:t>
            </w:r>
          </w:p>
        </w:tc>
        <w:tc>
          <w:tcPr>
            <w:tcW w:w="2303" w:type="dxa"/>
            <w:tcBorders>
              <w:top w:val="nil"/>
              <w:left w:val="nil"/>
              <w:bottom w:val="nil"/>
              <w:right w:val="nil"/>
            </w:tcBorders>
          </w:tcPr>
          <w:p w14:paraId="362BD651" w14:textId="77777777" w:rsidR="00386E3F" w:rsidRPr="000F35A6" w:rsidRDefault="00386E3F" w:rsidP="003264DF">
            <w:pPr>
              <w:jc w:val="both"/>
              <w:rPr>
                <w:rFonts w:ascii="Times New Roman" w:hAnsi="Times New Roman" w:cs="Times New Roman"/>
                <w:b/>
              </w:rPr>
            </w:pPr>
            <w:r w:rsidRPr="000F35A6">
              <w:rPr>
                <w:rFonts w:ascii="Times New Roman" w:hAnsi="Times New Roman" w:cs="Times New Roman"/>
                <w:b/>
              </w:rPr>
              <w:t>3.997</w:t>
            </w:r>
          </w:p>
        </w:tc>
        <w:tc>
          <w:tcPr>
            <w:tcW w:w="2693" w:type="dxa"/>
            <w:tcBorders>
              <w:top w:val="nil"/>
              <w:left w:val="nil"/>
              <w:bottom w:val="nil"/>
              <w:right w:val="nil"/>
            </w:tcBorders>
          </w:tcPr>
          <w:p w14:paraId="4AC9A1CA" w14:textId="77777777" w:rsidR="00386E3F" w:rsidRPr="00D820E6" w:rsidRDefault="00386E3F" w:rsidP="003264DF">
            <w:pPr>
              <w:jc w:val="both"/>
              <w:rPr>
                <w:rFonts w:ascii="Times New Roman" w:hAnsi="Times New Roman" w:cs="Times New Roman"/>
                <w:color w:val="FF0000"/>
              </w:rPr>
            </w:pPr>
          </w:p>
        </w:tc>
      </w:tr>
      <w:tr w:rsidR="00386E3F" w:rsidRPr="00D820E6" w14:paraId="240B66C5" w14:textId="77777777" w:rsidTr="003264DF">
        <w:tc>
          <w:tcPr>
            <w:tcW w:w="3192" w:type="dxa"/>
            <w:tcBorders>
              <w:top w:val="nil"/>
              <w:left w:val="nil"/>
              <w:bottom w:val="nil"/>
              <w:right w:val="nil"/>
            </w:tcBorders>
          </w:tcPr>
          <w:p w14:paraId="13B12671"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Marital status</w:t>
            </w:r>
          </w:p>
        </w:tc>
        <w:tc>
          <w:tcPr>
            <w:tcW w:w="2303" w:type="dxa"/>
            <w:tcBorders>
              <w:top w:val="nil"/>
              <w:left w:val="nil"/>
              <w:bottom w:val="nil"/>
              <w:right w:val="nil"/>
            </w:tcBorders>
          </w:tcPr>
          <w:p w14:paraId="0E1C7EFE" w14:textId="77777777" w:rsidR="00386E3F" w:rsidRPr="00D820E6" w:rsidRDefault="00386E3F" w:rsidP="003264DF">
            <w:pPr>
              <w:jc w:val="both"/>
              <w:rPr>
                <w:rFonts w:ascii="Times New Roman" w:hAnsi="Times New Roman" w:cs="Times New Roman"/>
              </w:rPr>
            </w:pPr>
          </w:p>
        </w:tc>
        <w:tc>
          <w:tcPr>
            <w:tcW w:w="2693" w:type="dxa"/>
            <w:tcBorders>
              <w:top w:val="nil"/>
              <w:left w:val="nil"/>
              <w:bottom w:val="nil"/>
              <w:right w:val="nil"/>
            </w:tcBorders>
          </w:tcPr>
          <w:p w14:paraId="764083C0" w14:textId="77777777" w:rsidR="00386E3F" w:rsidRPr="00D820E6" w:rsidRDefault="00386E3F" w:rsidP="003264DF">
            <w:pPr>
              <w:jc w:val="both"/>
              <w:rPr>
                <w:rFonts w:ascii="Times New Roman" w:hAnsi="Times New Roman" w:cs="Times New Roman"/>
                <w:color w:val="FF0000"/>
              </w:rPr>
            </w:pPr>
          </w:p>
        </w:tc>
      </w:tr>
      <w:tr w:rsidR="00386E3F" w:rsidRPr="00D820E6" w14:paraId="036833A6" w14:textId="77777777" w:rsidTr="003264DF">
        <w:tc>
          <w:tcPr>
            <w:tcW w:w="3192" w:type="dxa"/>
            <w:tcBorders>
              <w:top w:val="nil"/>
              <w:left w:val="nil"/>
              <w:bottom w:val="nil"/>
              <w:right w:val="nil"/>
            </w:tcBorders>
          </w:tcPr>
          <w:p w14:paraId="64725D85"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Single</w:t>
            </w:r>
          </w:p>
        </w:tc>
        <w:tc>
          <w:tcPr>
            <w:tcW w:w="2303" w:type="dxa"/>
            <w:tcBorders>
              <w:top w:val="nil"/>
              <w:left w:val="nil"/>
              <w:bottom w:val="nil"/>
              <w:right w:val="nil"/>
            </w:tcBorders>
          </w:tcPr>
          <w:p w14:paraId="127A9BE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104</w:t>
            </w:r>
          </w:p>
        </w:tc>
        <w:tc>
          <w:tcPr>
            <w:tcW w:w="2693" w:type="dxa"/>
            <w:tcBorders>
              <w:top w:val="nil"/>
              <w:left w:val="nil"/>
              <w:bottom w:val="nil"/>
              <w:right w:val="nil"/>
            </w:tcBorders>
          </w:tcPr>
          <w:p w14:paraId="04BA8AB7" w14:textId="77777777" w:rsidR="00386E3F" w:rsidRPr="00D820E6" w:rsidRDefault="00386E3F" w:rsidP="003264DF">
            <w:pPr>
              <w:jc w:val="both"/>
              <w:rPr>
                <w:rFonts w:ascii="Times New Roman" w:hAnsi="Times New Roman" w:cs="Times New Roman"/>
              </w:rPr>
            </w:pPr>
            <w:r>
              <w:rPr>
                <w:rFonts w:ascii="Times New Roman" w:hAnsi="Times New Roman" w:cs="Times New Roman"/>
              </w:rPr>
              <w:t>49.3</w:t>
            </w:r>
          </w:p>
        </w:tc>
      </w:tr>
      <w:tr w:rsidR="00386E3F" w:rsidRPr="00D820E6" w14:paraId="1A1B0B3E" w14:textId="77777777" w:rsidTr="003264DF">
        <w:tc>
          <w:tcPr>
            <w:tcW w:w="3192" w:type="dxa"/>
            <w:tcBorders>
              <w:top w:val="nil"/>
              <w:left w:val="nil"/>
              <w:bottom w:val="nil"/>
              <w:right w:val="nil"/>
            </w:tcBorders>
          </w:tcPr>
          <w:p w14:paraId="4F921E6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Married</w:t>
            </w:r>
          </w:p>
        </w:tc>
        <w:tc>
          <w:tcPr>
            <w:tcW w:w="2303" w:type="dxa"/>
            <w:tcBorders>
              <w:top w:val="nil"/>
              <w:left w:val="nil"/>
              <w:bottom w:val="nil"/>
              <w:right w:val="nil"/>
            </w:tcBorders>
          </w:tcPr>
          <w:p w14:paraId="33A4361F"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79</w:t>
            </w:r>
          </w:p>
        </w:tc>
        <w:tc>
          <w:tcPr>
            <w:tcW w:w="2693" w:type="dxa"/>
            <w:tcBorders>
              <w:top w:val="nil"/>
              <w:left w:val="nil"/>
              <w:bottom w:val="nil"/>
              <w:right w:val="nil"/>
            </w:tcBorders>
          </w:tcPr>
          <w:p w14:paraId="3DBD16A8" w14:textId="77777777" w:rsidR="00386E3F" w:rsidRPr="00D820E6" w:rsidRDefault="00386E3F" w:rsidP="003264DF">
            <w:pPr>
              <w:jc w:val="both"/>
              <w:rPr>
                <w:rFonts w:ascii="Times New Roman" w:hAnsi="Times New Roman" w:cs="Times New Roman"/>
              </w:rPr>
            </w:pPr>
            <w:r>
              <w:rPr>
                <w:rFonts w:ascii="Times New Roman" w:hAnsi="Times New Roman" w:cs="Times New Roman"/>
              </w:rPr>
              <w:t>37.4</w:t>
            </w:r>
          </w:p>
        </w:tc>
      </w:tr>
      <w:tr w:rsidR="00386E3F" w:rsidRPr="00D820E6" w14:paraId="7620841E" w14:textId="77777777" w:rsidTr="003264DF">
        <w:tc>
          <w:tcPr>
            <w:tcW w:w="3192" w:type="dxa"/>
            <w:tcBorders>
              <w:top w:val="nil"/>
              <w:left w:val="nil"/>
              <w:bottom w:val="nil"/>
              <w:right w:val="nil"/>
            </w:tcBorders>
          </w:tcPr>
          <w:p w14:paraId="1A8B05B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Divorced</w:t>
            </w:r>
          </w:p>
        </w:tc>
        <w:tc>
          <w:tcPr>
            <w:tcW w:w="2303" w:type="dxa"/>
            <w:tcBorders>
              <w:top w:val="nil"/>
              <w:left w:val="nil"/>
              <w:bottom w:val="nil"/>
              <w:right w:val="nil"/>
            </w:tcBorders>
          </w:tcPr>
          <w:p w14:paraId="62662BAB"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28</w:t>
            </w:r>
          </w:p>
        </w:tc>
        <w:tc>
          <w:tcPr>
            <w:tcW w:w="2693" w:type="dxa"/>
            <w:tcBorders>
              <w:top w:val="nil"/>
              <w:left w:val="nil"/>
              <w:bottom w:val="nil"/>
              <w:right w:val="nil"/>
            </w:tcBorders>
          </w:tcPr>
          <w:p w14:paraId="04A62D32" w14:textId="77777777" w:rsidR="00386E3F" w:rsidRPr="00D820E6" w:rsidRDefault="00386E3F" w:rsidP="003264DF">
            <w:pPr>
              <w:jc w:val="both"/>
              <w:rPr>
                <w:rFonts w:ascii="Times New Roman" w:hAnsi="Times New Roman" w:cs="Times New Roman"/>
              </w:rPr>
            </w:pPr>
            <w:r>
              <w:rPr>
                <w:rFonts w:ascii="Times New Roman" w:hAnsi="Times New Roman" w:cs="Times New Roman"/>
              </w:rPr>
              <w:t>13.3</w:t>
            </w:r>
          </w:p>
        </w:tc>
      </w:tr>
      <w:tr w:rsidR="00386E3F" w:rsidRPr="00D820E6" w14:paraId="5CCAB360" w14:textId="77777777" w:rsidTr="003264DF">
        <w:tc>
          <w:tcPr>
            <w:tcW w:w="3192" w:type="dxa"/>
            <w:tcBorders>
              <w:top w:val="nil"/>
              <w:left w:val="nil"/>
              <w:right w:val="nil"/>
            </w:tcBorders>
          </w:tcPr>
          <w:p w14:paraId="58797280"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right w:val="nil"/>
            </w:tcBorders>
          </w:tcPr>
          <w:p w14:paraId="462A7F3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right w:val="nil"/>
            </w:tcBorders>
          </w:tcPr>
          <w:p w14:paraId="675FAF08"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100</w:t>
            </w:r>
          </w:p>
        </w:tc>
      </w:tr>
    </w:tbl>
    <w:p w14:paraId="6750522C" w14:textId="77777777" w:rsidR="00762E1C" w:rsidRPr="00D85B2E" w:rsidRDefault="00762E1C" w:rsidP="00762E1C">
      <w:pPr>
        <w:spacing w:after="0" w:line="360" w:lineRule="auto"/>
        <w:jc w:val="both"/>
        <w:rPr>
          <w:rFonts w:ascii="Times New Roman" w:hAnsi="Times New Roman" w:cs="Times New Roman"/>
          <w:b/>
          <w:bCs/>
          <w:sz w:val="24"/>
          <w:szCs w:val="24"/>
        </w:rPr>
      </w:pPr>
      <w:r w:rsidRPr="00D85B2E">
        <w:rPr>
          <w:rFonts w:ascii="Times New Roman" w:hAnsi="Times New Roman" w:cs="Times New Roman"/>
        </w:rPr>
        <w:t>Figures in Parenthesis are in Percentages</w:t>
      </w:r>
    </w:p>
    <w:p w14:paraId="0F6D5C32" w14:textId="2806AD74" w:rsidR="00762E1C" w:rsidRDefault="000C6EF9" w:rsidP="00762E1C">
      <w:pPr>
        <w:spacing w:line="360" w:lineRule="auto"/>
        <w:jc w:val="both"/>
        <w:rPr>
          <w:rFonts w:ascii="Times New Roman" w:hAnsi="Times New Roman" w:cs="Times New Roman"/>
        </w:rPr>
      </w:pPr>
      <w:r>
        <w:rPr>
          <w:rFonts w:ascii="Times New Roman" w:hAnsi="Times New Roman" w:cs="Times New Roman"/>
        </w:rPr>
        <w:t>Source: Field Survey, 2023</w:t>
      </w:r>
      <w:r w:rsidR="00762E1C">
        <w:rPr>
          <w:rFonts w:ascii="Times New Roman" w:hAnsi="Times New Roman" w:cs="Times New Roman"/>
        </w:rPr>
        <w:t>.</w:t>
      </w:r>
    </w:p>
    <w:p w14:paraId="7176A774" w14:textId="77777777" w:rsidR="00386E3F" w:rsidRPr="00D820E6" w:rsidRDefault="00386E3F" w:rsidP="00386E3F">
      <w:pPr>
        <w:spacing w:line="360" w:lineRule="auto"/>
        <w:jc w:val="both"/>
        <w:rPr>
          <w:rFonts w:ascii="Times New Roman" w:hAnsi="Times New Roman" w:cs="Times New Roman"/>
        </w:rPr>
      </w:pPr>
    </w:p>
    <w:p w14:paraId="7002FD4E" w14:textId="77777777" w:rsidR="00386E3F" w:rsidRPr="009238CB" w:rsidRDefault="00386E3F" w:rsidP="00386E3F">
      <w:pPr>
        <w:spacing w:line="360" w:lineRule="auto"/>
        <w:jc w:val="both"/>
        <w:rPr>
          <w:rFonts w:ascii="Times New Roman" w:hAnsi="Times New Roman" w:cs="Times New Roman"/>
          <w:b/>
        </w:rPr>
      </w:pPr>
      <w:r w:rsidRPr="009238CB">
        <w:rPr>
          <w:rFonts w:ascii="Times New Roman" w:hAnsi="Times New Roman" w:cs="Times New Roman"/>
          <w:b/>
        </w:rPr>
        <w:t>Competitive and Comparative advantages</w:t>
      </w:r>
    </w:p>
    <w:p w14:paraId="3DBC9664" w14:textId="77777777" w:rsidR="00386E3F" w:rsidRDefault="00386E3F" w:rsidP="00386E3F">
      <w:pPr>
        <w:spacing w:line="360" w:lineRule="auto"/>
        <w:jc w:val="both"/>
        <w:rPr>
          <w:rFonts w:ascii="Times New Roman" w:hAnsi="Times New Roman" w:cs="Times New Roman"/>
          <w:sz w:val="24"/>
          <w:szCs w:val="24"/>
        </w:rPr>
      </w:pPr>
      <w:r>
        <w:rPr>
          <w:rFonts w:ascii="Times New Roman" w:hAnsi="Times New Roman" w:cs="Times New Roman"/>
        </w:rPr>
        <w:t>Table 3</w:t>
      </w:r>
      <w:r w:rsidRPr="002B63FE">
        <w:rPr>
          <w:rFonts w:ascii="Times New Roman" w:hAnsi="Times New Roman" w:cs="Times New Roman"/>
        </w:rPr>
        <w:t xml:space="preserve"> showed the estimated total cost for medium scale tea marketers stood at ₦ 385,498.3 and ₦ 424,664.18) per</w:t>
      </w:r>
      <w:r w:rsidR="00597461">
        <w:rPr>
          <w:rFonts w:ascii="Times New Roman" w:hAnsi="Times New Roman" w:cs="Times New Roman"/>
        </w:rPr>
        <w:t xml:space="preserve"> ton at private and social prices</w:t>
      </w:r>
      <w:r w:rsidRPr="002B63FE">
        <w:rPr>
          <w:rFonts w:ascii="Times New Roman" w:hAnsi="Times New Roman" w:cs="Times New Roman"/>
        </w:rPr>
        <w:t>, respectively. The estimation of the cost includes, input cost which was ₦ 212,187.55 and ₦ 251,353.43 per ton at private and social value, respectively.  Factor cost was</w:t>
      </w:r>
      <w:r w:rsidR="00597461">
        <w:rPr>
          <w:rFonts w:ascii="Times New Roman" w:hAnsi="Times New Roman" w:cs="Times New Roman"/>
        </w:rPr>
        <w:t xml:space="preserve"> </w:t>
      </w:r>
      <w:r w:rsidR="00597461" w:rsidRPr="00597461">
        <w:rPr>
          <w:rFonts w:ascii="Times New Roman" w:hAnsi="Times New Roman" w:cs="Times New Roman"/>
        </w:rPr>
        <w:t>₦179099.1</w:t>
      </w:r>
      <w:r w:rsidR="00597461" w:rsidRPr="00597461">
        <w:rPr>
          <w:rFonts w:ascii="Times New Roman" w:hAnsi="Times New Roman" w:cs="Times New Roman"/>
          <w:sz w:val="20"/>
          <w:szCs w:val="20"/>
        </w:rPr>
        <w:t xml:space="preserve"> and</w:t>
      </w:r>
      <w:r w:rsidRPr="002B63FE">
        <w:rPr>
          <w:rFonts w:ascii="Times New Roman" w:hAnsi="Times New Roman" w:cs="Times New Roman"/>
        </w:rPr>
        <w:t xml:space="preserve"> ₦ 155,744.93 per ton at both private and social prices respectively. </w:t>
      </w:r>
      <w:proofErr w:type="spellStart"/>
      <w:r w:rsidRPr="002B63FE">
        <w:rPr>
          <w:rFonts w:ascii="Times New Roman" w:hAnsi="Times New Roman" w:cs="Times New Roman"/>
        </w:rPr>
        <w:t>Labour</w:t>
      </w:r>
      <w:proofErr w:type="spellEnd"/>
      <w:r w:rsidRPr="002B63FE">
        <w:rPr>
          <w:rFonts w:ascii="Times New Roman" w:hAnsi="Times New Roman" w:cs="Times New Roman"/>
        </w:rPr>
        <w:t xml:space="preserve"> cost was ₦17,565.82 per ton </w:t>
      </w:r>
      <w:r w:rsidR="00597461">
        <w:rPr>
          <w:rFonts w:ascii="Times New Roman" w:hAnsi="Times New Roman" w:cs="Times New Roman"/>
        </w:rPr>
        <w:t>at both private and social prices</w:t>
      </w:r>
      <w:r w:rsidRPr="002B63FE">
        <w:rPr>
          <w:rFonts w:ascii="Times New Roman" w:hAnsi="Times New Roman" w:cs="Times New Roman"/>
        </w:rPr>
        <w:t xml:space="preserve">, respectively. The average revenue derived per ton by medium scale marketers was ₦ 1,096,512.25 and ₦ 1,195,660 per ton valued at private and social </w:t>
      </w:r>
      <w:r w:rsidRPr="002B63FE">
        <w:rPr>
          <w:rFonts w:ascii="Times New Roman" w:hAnsi="Times New Roman" w:cs="Times New Roman"/>
        </w:rPr>
        <w:lastRenderedPageBreak/>
        <w:t>prices, respectively. Therefore, the average net profit per ton was ₦ 711,013.95 and ₦ 770,995.82 at private and social value respectively.</w:t>
      </w:r>
      <w:r>
        <w:rPr>
          <w:rFonts w:ascii="Times New Roman" w:hAnsi="Times New Roman" w:cs="Times New Roman"/>
        </w:rPr>
        <w:t xml:space="preserve"> </w:t>
      </w:r>
      <w:r w:rsidRPr="009238CB">
        <w:rPr>
          <w:rFonts w:ascii="Times New Roman" w:hAnsi="Times New Roman" w:cs="Times New Roman"/>
        </w:rPr>
        <w:t xml:space="preserve">The results of costs and financial (private) profit analysis </w:t>
      </w:r>
      <w:r>
        <w:rPr>
          <w:rFonts w:ascii="Times New Roman" w:hAnsi="Times New Roman" w:cs="Times New Roman"/>
        </w:rPr>
        <w:t xml:space="preserve">therefore </w:t>
      </w:r>
      <w:r w:rsidRPr="009238CB">
        <w:rPr>
          <w:rFonts w:ascii="Times New Roman" w:hAnsi="Times New Roman" w:cs="Times New Roman"/>
        </w:rPr>
        <w:t>show that tea marketing, both small and medium scale of Nigeria</w:t>
      </w:r>
      <w:r>
        <w:rPr>
          <w:rFonts w:ascii="Times New Roman" w:hAnsi="Times New Roman" w:cs="Times New Roman"/>
        </w:rPr>
        <w:t>, was profit</w:t>
      </w:r>
      <w:r w:rsidRPr="009238CB">
        <w:rPr>
          <w:rFonts w:ascii="Times New Roman" w:hAnsi="Times New Roman" w:cs="Times New Roman"/>
        </w:rPr>
        <w:t>able. In general, social or economic p</w:t>
      </w:r>
      <w:r>
        <w:rPr>
          <w:rFonts w:ascii="Times New Roman" w:hAnsi="Times New Roman" w:cs="Times New Roman"/>
        </w:rPr>
        <w:t>rofit was higher in medium scale marketing than small scale.</w:t>
      </w:r>
      <w:r w:rsidRPr="002B63FE">
        <w:rPr>
          <w:rFonts w:ascii="Times New Roman" w:hAnsi="Times New Roman" w:cs="Times New Roman"/>
          <w:sz w:val="24"/>
          <w:szCs w:val="24"/>
        </w:rPr>
        <w:t xml:space="preserve"> </w:t>
      </w:r>
      <w:r>
        <w:rPr>
          <w:rFonts w:ascii="Times New Roman" w:hAnsi="Times New Roman" w:cs="Times New Roman"/>
          <w:sz w:val="24"/>
          <w:szCs w:val="24"/>
        </w:rPr>
        <w:t>The observed trend where the medium scale tea marketers had the highest private profit, and were the most competitive</w:t>
      </w:r>
      <w:r w:rsidRPr="00BB268F">
        <w:rPr>
          <w:rFonts w:ascii="Times New Roman" w:hAnsi="Times New Roman" w:cs="Times New Roman"/>
          <w:sz w:val="24"/>
          <w:szCs w:val="24"/>
        </w:rPr>
        <w:t xml:space="preserve"> may be due to volume of operations, and other opportunities open</w:t>
      </w:r>
      <w:r>
        <w:rPr>
          <w:rFonts w:ascii="Times New Roman" w:hAnsi="Times New Roman" w:cs="Times New Roman"/>
          <w:sz w:val="24"/>
          <w:szCs w:val="24"/>
        </w:rPr>
        <w:t>ed</w:t>
      </w:r>
      <w:r w:rsidRPr="00BB268F">
        <w:rPr>
          <w:rFonts w:ascii="Times New Roman" w:hAnsi="Times New Roman" w:cs="Times New Roman"/>
          <w:sz w:val="24"/>
          <w:szCs w:val="24"/>
        </w:rPr>
        <w:t xml:space="preserve"> to them. </w:t>
      </w:r>
    </w:p>
    <w:p w14:paraId="06E25A51" w14:textId="77777777" w:rsidR="00386E3F" w:rsidRPr="00DF4A54" w:rsidRDefault="00386E3F" w:rsidP="00386E3F">
      <w:pPr>
        <w:spacing w:line="360" w:lineRule="auto"/>
        <w:jc w:val="both"/>
        <w:rPr>
          <w:rFonts w:ascii="Times New Roman" w:hAnsi="Times New Roman" w:cs="Times New Roman"/>
        </w:rPr>
      </w:pPr>
      <w:r w:rsidRPr="00DF4A54">
        <w:rPr>
          <w:rFonts w:ascii="Times New Roman" w:hAnsi="Times New Roman" w:cs="Times New Roman"/>
        </w:rPr>
        <w:t>Results of analysis of PCR of tea marketing showed that tea marketing by small scale had a PCR of 0.45 while the medium scale marketers had 0.20. The PCR results between the two actors is less than one. This is an indication that, tea marketing is competitive given the current</w:t>
      </w:r>
      <w:r>
        <w:rPr>
          <w:rFonts w:ascii="Times New Roman" w:hAnsi="Times New Roman" w:cs="Times New Roman"/>
          <w:sz w:val="24"/>
          <w:szCs w:val="24"/>
        </w:rPr>
        <w:t xml:space="preserve"> </w:t>
      </w:r>
      <w:r w:rsidRPr="00DF4A54">
        <w:rPr>
          <w:rFonts w:ascii="Times New Roman" w:hAnsi="Times New Roman" w:cs="Times New Roman"/>
        </w:rPr>
        <w:t>technology, prices of inputs and outputs and prevailing policies. Thus, the marketers are earning profit and can pay for domestic factors and other marketing expenses and still remains competitive. The competitiveness was possible because the private factor cost was less than the value added in private prices. It could however be noticed that out of the two actors, medium scale marketing was most competitive. This is because the medium -scale marketers had least PCR and the lower the PCR, the higher the competitiveness.</w:t>
      </w:r>
    </w:p>
    <w:p w14:paraId="34AF7CB0" w14:textId="77777777" w:rsidR="00386E3F" w:rsidRPr="00D6616C" w:rsidRDefault="00386E3F" w:rsidP="00386E3F">
      <w:pPr>
        <w:spacing w:line="360" w:lineRule="auto"/>
        <w:rPr>
          <w:rFonts w:ascii="Times New Roman" w:hAnsi="Times New Roman" w:cs="Times New Roman"/>
          <w:b/>
          <w:bCs/>
        </w:rPr>
      </w:pPr>
      <w:r w:rsidRPr="00D6616C">
        <w:rPr>
          <w:rFonts w:ascii="Times New Roman" w:hAnsi="Times New Roman" w:cs="Times New Roman"/>
          <w:b/>
          <w:bCs/>
        </w:rPr>
        <w:t>Table 3      Budgetary Estimate and Competitiveness for Tea Marketing</w:t>
      </w:r>
    </w:p>
    <w:tbl>
      <w:tblPr>
        <w:tblStyle w:val="TableGrid6"/>
        <w:tblW w:w="0" w:type="auto"/>
        <w:tblInd w:w="5" w:type="dxa"/>
        <w:tblLook w:val="04A0" w:firstRow="1" w:lastRow="0" w:firstColumn="1" w:lastColumn="0" w:noHBand="0" w:noVBand="1"/>
      </w:tblPr>
      <w:tblGrid>
        <w:gridCol w:w="1662"/>
        <w:gridCol w:w="1976"/>
        <w:gridCol w:w="1976"/>
        <w:gridCol w:w="1868"/>
        <w:gridCol w:w="1868"/>
      </w:tblGrid>
      <w:tr w:rsidR="00386E3F" w:rsidRPr="00D85B2E" w14:paraId="43AEE324" w14:textId="77777777" w:rsidTr="003264DF">
        <w:tc>
          <w:tcPr>
            <w:tcW w:w="1662" w:type="dxa"/>
            <w:vMerge w:val="restart"/>
            <w:tcBorders>
              <w:left w:val="nil"/>
              <w:bottom w:val="nil"/>
              <w:right w:val="nil"/>
            </w:tcBorders>
          </w:tcPr>
          <w:p w14:paraId="4B4F4CAB"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 xml:space="preserve">Item  </w:t>
            </w:r>
          </w:p>
        </w:tc>
        <w:tc>
          <w:tcPr>
            <w:tcW w:w="3952" w:type="dxa"/>
            <w:gridSpan w:val="2"/>
            <w:tcBorders>
              <w:left w:val="nil"/>
              <w:bottom w:val="nil"/>
              <w:right w:val="nil"/>
            </w:tcBorders>
          </w:tcPr>
          <w:p w14:paraId="3C3D2911"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 xml:space="preserve">           Small scale</w:t>
            </w:r>
          </w:p>
        </w:tc>
        <w:tc>
          <w:tcPr>
            <w:tcW w:w="3736" w:type="dxa"/>
            <w:gridSpan w:val="2"/>
            <w:tcBorders>
              <w:left w:val="nil"/>
              <w:bottom w:val="nil"/>
              <w:right w:val="nil"/>
            </w:tcBorders>
          </w:tcPr>
          <w:p w14:paraId="115D4F10"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 xml:space="preserve">      Medium scale</w:t>
            </w:r>
          </w:p>
        </w:tc>
      </w:tr>
      <w:tr w:rsidR="00386E3F" w:rsidRPr="00D85B2E" w14:paraId="0C0C0A96" w14:textId="77777777" w:rsidTr="003264DF">
        <w:tc>
          <w:tcPr>
            <w:tcW w:w="1662" w:type="dxa"/>
            <w:vMerge/>
            <w:tcBorders>
              <w:top w:val="nil"/>
              <w:left w:val="nil"/>
              <w:bottom w:val="nil"/>
              <w:right w:val="nil"/>
            </w:tcBorders>
          </w:tcPr>
          <w:p w14:paraId="274CBD1D" w14:textId="77777777" w:rsidR="00386E3F" w:rsidRPr="00D85B2E" w:rsidRDefault="00386E3F" w:rsidP="003264DF">
            <w:pPr>
              <w:spacing w:line="360" w:lineRule="auto"/>
              <w:jc w:val="both"/>
              <w:rPr>
                <w:rFonts w:ascii="Times New Roman" w:hAnsi="Times New Roman" w:cs="Times New Roman"/>
                <w:sz w:val="20"/>
                <w:szCs w:val="20"/>
              </w:rPr>
            </w:pPr>
          </w:p>
        </w:tc>
        <w:tc>
          <w:tcPr>
            <w:tcW w:w="1976" w:type="dxa"/>
            <w:tcBorders>
              <w:top w:val="nil"/>
              <w:left w:val="nil"/>
              <w:bottom w:val="nil"/>
              <w:right w:val="nil"/>
            </w:tcBorders>
          </w:tcPr>
          <w:p w14:paraId="45FFBDA1"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Private price</w:t>
            </w:r>
          </w:p>
        </w:tc>
        <w:tc>
          <w:tcPr>
            <w:tcW w:w="1976" w:type="dxa"/>
            <w:tcBorders>
              <w:top w:val="nil"/>
              <w:left w:val="nil"/>
              <w:bottom w:val="nil"/>
              <w:right w:val="nil"/>
            </w:tcBorders>
          </w:tcPr>
          <w:p w14:paraId="7F1A96E3"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Social price</w:t>
            </w:r>
          </w:p>
        </w:tc>
        <w:tc>
          <w:tcPr>
            <w:tcW w:w="1868" w:type="dxa"/>
            <w:tcBorders>
              <w:top w:val="nil"/>
              <w:left w:val="nil"/>
              <w:bottom w:val="nil"/>
              <w:right w:val="nil"/>
            </w:tcBorders>
          </w:tcPr>
          <w:p w14:paraId="3A1B74A8"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Private price</w:t>
            </w:r>
          </w:p>
        </w:tc>
        <w:tc>
          <w:tcPr>
            <w:tcW w:w="1868" w:type="dxa"/>
            <w:tcBorders>
              <w:top w:val="nil"/>
              <w:left w:val="nil"/>
              <w:bottom w:val="nil"/>
              <w:right w:val="nil"/>
            </w:tcBorders>
          </w:tcPr>
          <w:p w14:paraId="4A5723FA"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Social price</w:t>
            </w:r>
          </w:p>
        </w:tc>
      </w:tr>
      <w:tr w:rsidR="00386E3F" w:rsidRPr="00D85B2E" w14:paraId="7475C7D0" w14:textId="77777777" w:rsidTr="003264DF">
        <w:tc>
          <w:tcPr>
            <w:tcW w:w="1662" w:type="dxa"/>
            <w:tcBorders>
              <w:top w:val="nil"/>
              <w:left w:val="nil"/>
              <w:bottom w:val="nil"/>
              <w:right w:val="nil"/>
            </w:tcBorders>
          </w:tcPr>
          <w:p w14:paraId="44FECB06"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Domestic factor</w:t>
            </w:r>
          </w:p>
        </w:tc>
        <w:tc>
          <w:tcPr>
            <w:tcW w:w="1976" w:type="dxa"/>
            <w:tcBorders>
              <w:top w:val="nil"/>
              <w:left w:val="nil"/>
              <w:bottom w:val="nil"/>
              <w:right w:val="nil"/>
            </w:tcBorders>
          </w:tcPr>
          <w:p w14:paraId="7DBF774C"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 xml:space="preserve">377,551.15 (94.21%)   </w:t>
            </w:r>
          </w:p>
        </w:tc>
        <w:tc>
          <w:tcPr>
            <w:tcW w:w="1976" w:type="dxa"/>
            <w:tcBorders>
              <w:top w:val="nil"/>
              <w:left w:val="nil"/>
              <w:bottom w:val="nil"/>
              <w:right w:val="nil"/>
            </w:tcBorders>
          </w:tcPr>
          <w:p w14:paraId="3550A1CF"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377,551.15 (47.09%)</w:t>
            </w:r>
          </w:p>
        </w:tc>
        <w:tc>
          <w:tcPr>
            <w:tcW w:w="1868" w:type="dxa"/>
            <w:tcBorders>
              <w:top w:val="nil"/>
              <w:left w:val="nil"/>
              <w:bottom w:val="nil"/>
              <w:right w:val="nil"/>
            </w:tcBorders>
          </w:tcPr>
          <w:p w14:paraId="715C5E22"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179099.1(40.40%)</w:t>
            </w:r>
          </w:p>
        </w:tc>
        <w:tc>
          <w:tcPr>
            <w:tcW w:w="1868" w:type="dxa"/>
            <w:tcBorders>
              <w:top w:val="nil"/>
              <w:left w:val="nil"/>
              <w:bottom w:val="nil"/>
              <w:right w:val="nil"/>
            </w:tcBorders>
          </w:tcPr>
          <w:p w14:paraId="7F9439AE"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155,744.9(36.67%)</w:t>
            </w:r>
          </w:p>
        </w:tc>
      </w:tr>
      <w:tr w:rsidR="00386E3F" w:rsidRPr="00D85B2E" w14:paraId="4B9CD3A3" w14:textId="77777777" w:rsidTr="003264DF">
        <w:tc>
          <w:tcPr>
            <w:tcW w:w="1662" w:type="dxa"/>
            <w:tcBorders>
              <w:top w:val="nil"/>
              <w:left w:val="nil"/>
              <w:bottom w:val="nil"/>
              <w:right w:val="nil"/>
            </w:tcBorders>
          </w:tcPr>
          <w:p w14:paraId="657F5D4A" w14:textId="77777777" w:rsidR="00386E3F" w:rsidRPr="00D85B2E" w:rsidRDefault="00386E3F" w:rsidP="003264DF">
            <w:pPr>
              <w:spacing w:line="360" w:lineRule="auto"/>
              <w:jc w:val="both"/>
              <w:rPr>
                <w:rFonts w:ascii="Times New Roman" w:hAnsi="Times New Roman" w:cs="Times New Roman"/>
                <w:sz w:val="20"/>
                <w:szCs w:val="20"/>
              </w:rPr>
            </w:pPr>
            <w:proofErr w:type="spellStart"/>
            <w:r w:rsidRPr="00D85B2E">
              <w:rPr>
                <w:rFonts w:ascii="Times New Roman" w:hAnsi="Times New Roman" w:cs="Times New Roman"/>
                <w:sz w:val="20"/>
                <w:szCs w:val="20"/>
              </w:rPr>
              <w:t>Labour</w:t>
            </w:r>
            <w:proofErr w:type="spellEnd"/>
          </w:p>
        </w:tc>
        <w:tc>
          <w:tcPr>
            <w:tcW w:w="1976" w:type="dxa"/>
            <w:tcBorders>
              <w:top w:val="nil"/>
              <w:left w:val="nil"/>
              <w:bottom w:val="nil"/>
              <w:right w:val="nil"/>
            </w:tcBorders>
          </w:tcPr>
          <w:p w14:paraId="622ABAEB"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14,490.3 (3.62%)</w:t>
            </w:r>
          </w:p>
        </w:tc>
        <w:tc>
          <w:tcPr>
            <w:tcW w:w="1976" w:type="dxa"/>
            <w:tcBorders>
              <w:top w:val="nil"/>
              <w:left w:val="nil"/>
              <w:bottom w:val="nil"/>
              <w:right w:val="nil"/>
            </w:tcBorders>
          </w:tcPr>
          <w:p w14:paraId="1C51BDD0"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14,490.3 (1.81%)</w:t>
            </w:r>
          </w:p>
        </w:tc>
        <w:tc>
          <w:tcPr>
            <w:tcW w:w="1868" w:type="dxa"/>
            <w:tcBorders>
              <w:top w:val="nil"/>
              <w:left w:val="nil"/>
              <w:bottom w:val="nil"/>
              <w:right w:val="nil"/>
            </w:tcBorders>
          </w:tcPr>
          <w:p w14:paraId="06EB9262"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17,565.8 (4.56%)</w:t>
            </w:r>
          </w:p>
        </w:tc>
        <w:tc>
          <w:tcPr>
            <w:tcW w:w="1868" w:type="dxa"/>
            <w:tcBorders>
              <w:top w:val="nil"/>
              <w:left w:val="nil"/>
              <w:bottom w:val="nil"/>
              <w:right w:val="nil"/>
            </w:tcBorders>
          </w:tcPr>
          <w:p w14:paraId="165B6776"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17,565.8 (4.14%)</w:t>
            </w:r>
          </w:p>
        </w:tc>
      </w:tr>
      <w:tr w:rsidR="00386E3F" w:rsidRPr="00D85B2E" w14:paraId="2681A2D1" w14:textId="77777777" w:rsidTr="003264DF">
        <w:tc>
          <w:tcPr>
            <w:tcW w:w="1662" w:type="dxa"/>
            <w:tcBorders>
              <w:top w:val="nil"/>
              <w:left w:val="nil"/>
              <w:bottom w:val="nil"/>
              <w:right w:val="nil"/>
            </w:tcBorders>
          </w:tcPr>
          <w:p w14:paraId="5A6FEFC7"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Tradable input</w:t>
            </w:r>
          </w:p>
        </w:tc>
        <w:tc>
          <w:tcPr>
            <w:tcW w:w="1976" w:type="dxa"/>
            <w:tcBorders>
              <w:top w:val="nil"/>
              <w:left w:val="nil"/>
              <w:bottom w:val="nil"/>
              <w:right w:val="nil"/>
            </w:tcBorders>
          </w:tcPr>
          <w:p w14:paraId="134E7DC9"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8697.88(2.17%)</w:t>
            </w:r>
          </w:p>
        </w:tc>
        <w:tc>
          <w:tcPr>
            <w:tcW w:w="1976" w:type="dxa"/>
            <w:tcBorders>
              <w:top w:val="nil"/>
              <w:left w:val="nil"/>
              <w:bottom w:val="nil"/>
              <w:right w:val="nil"/>
            </w:tcBorders>
          </w:tcPr>
          <w:p w14:paraId="453C4F5A"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409754.3(51.10%)</w:t>
            </w:r>
          </w:p>
        </w:tc>
        <w:tc>
          <w:tcPr>
            <w:tcW w:w="1868" w:type="dxa"/>
            <w:tcBorders>
              <w:top w:val="nil"/>
              <w:left w:val="nil"/>
              <w:bottom w:val="nil"/>
              <w:right w:val="nil"/>
            </w:tcBorders>
          </w:tcPr>
          <w:p w14:paraId="35BD068A"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212,187.5(55.04%)</w:t>
            </w:r>
          </w:p>
        </w:tc>
        <w:tc>
          <w:tcPr>
            <w:tcW w:w="1868" w:type="dxa"/>
            <w:tcBorders>
              <w:top w:val="nil"/>
              <w:left w:val="nil"/>
              <w:bottom w:val="nil"/>
              <w:right w:val="nil"/>
            </w:tcBorders>
          </w:tcPr>
          <w:p w14:paraId="2FB0A39E"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251,353(59.19%)</w:t>
            </w:r>
          </w:p>
        </w:tc>
      </w:tr>
      <w:tr w:rsidR="00386E3F" w:rsidRPr="00D85B2E" w14:paraId="531673AC" w14:textId="77777777" w:rsidTr="003264DF">
        <w:tc>
          <w:tcPr>
            <w:tcW w:w="1662" w:type="dxa"/>
            <w:tcBorders>
              <w:top w:val="nil"/>
              <w:left w:val="nil"/>
              <w:bottom w:val="nil"/>
              <w:right w:val="nil"/>
            </w:tcBorders>
          </w:tcPr>
          <w:p w14:paraId="564FEB2A"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Total cost/ton</w:t>
            </w:r>
          </w:p>
        </w:tc>
        <w:tc>
          <w:tcPr>
            <w:tcW w:w="1976" w:type="dxa"/>
            <w:tcBorders>
              <w:top w:val="nil"/>
              <w:left w:val="nil"/>
              <w:bottom w:val="nil"/>
              <w:right w:val="nil"/>
            </w:tcBorders>
          </w:tcPr>
          <w:p w14:paraId="52FD8FC9"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 xml:space="preserve">400,739.9   </w:t>
            </w:r>
          </w:p>
        </w:tc>
        <w:tc>
          <w:tcPr>
            <w:tcW w:w="1976" w:type="dxa"/>
            <w:tcBorders>
              <w:top w:val="nil"/>
              <w:left w:val="nil"/>
              <w:bottom w:val="nil"/>
              <w:right w:val="nil"/>
            </w:tcBorders>
          </w:tcPr>
          <w:p w14:paraId="6481F094"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 xml:space="preserve">801,795.84  </w:t>
            </w:r>
          </w:p>
        </w:tc>
        <w:tc>
          <w:tcPr>
            <w:tcW w:w="1868" w:type="dxa"/>
            <w:tcBorders>
              <w:top w:val="nil"/>
              <w:left w:val="nil"/>
              <w:bottom w:val="nil"/>
              <w:right w:val="nil"/>
            </w:tcBorders>
          </w:tcPr>
          <w:p w14:paraId="67F74072"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385,498.3</w:t>
            </w:r>
          </w:p>
        </w:tc>
        <w:tc>
          <w:tcPr>
            <w:tcW w:w="1868" w:type="dxa"/>
            <w:tcBorders>
              <w:top w:val="nil"/>
              <w:left w:val="nil"/>
              <w:bottom w:val="nil"/>
              <w:right w:val="nil"/>
            </w:tcBorders>
          </w:tcPr>
          <w:p w14:paraId="137037B9"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424,664.18</w:t>
            </w:r>
          </w:p>
        </w:tc>
      </w:tr>
      <w:tr w:rsidR="00386E3F" w:rsidRPr="00D85B2E" w14:paraId="3C24710D" w14:textId="77777777" w:rsidTr="003264DF">
        <w:tc>
          <w:tcPr>
            <w:tcW w:w="1662" w:type="dxa"/>
            <w:tcBorders>
              <w:top w:val="nil"/>
              <w:left w:val="nil"/>
              <w:bottom w:val="nil"/>
              <w:right w:val="nil"/>
            </w:tcBorders>
          </w:tcPr>
          <w:p w14:paraId="1F60618E"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Revenue/ton</w:t>
            </w:r>
          </w:p>
        </w:tc>
        <w:tc>
          <w:tcPr>
            <w:tcW w:w="1976" w:type="dxa"/>
            <w:tcBorders>
              <w:top w:val="nil"/>
              <w:left w:val="nil"/>
              <w:bottom w:val="nil"/>
              <w:right w:val="nil"/>
            </w:tcBorders>
          </w:tcPr>
          <w:p w14:paraId="4F8B56C8"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878,425.86</w:t>
            </w:r>
          </w:p>
        </w:tc>
        <w:tc>
          <w:tcPr>
            <w:tcW w:w="1976" w:type="dxa"/>
            <w:tcBorders>
              <w:top w:val="nil"/>
              <w:left w:val="nil"/>
              <w:bottom w:val="nil"/>
              <w:right w:val="nil"/>
            </w:tcBorders>
          </w:tcPr>
          <w:p w14:paraId="2F8D1A76"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1195660</w:t>
            </w:r>
          </w:p>
        </w:tc>
        <w:tc>
          <w:tcPr>
            <w:tcW w:w="1868" w:type="dxa"/>
            <w:tcBorders>
              <w:top w:val="nil"/>
              <w:left w:val="nil"/>
              <w:bottom w:val="nil"/>
              <w:right w:val="nil"/>
            </w:tcBorders>
          </w:tcPr>
          <w:p w14:paraId="533CF89B"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 xml:space="preserve">1096512.25  </w:t>
            </w:r>
          </w:p>
        </w:tc>
        <w:tc>
          <w:tcPr>
            <w:tcW w:w="1868" w:type="dxa"/>
            <w:tcBorders>
              <w:top w:val="nil"/>
              <w:left w:val="nil"/>
              <w:bottom w:val="nil"/>
              <w:right w:val="nil"/>
            </w:tcBorders>
          </w:tcPr>
          <w:p w14:paraId="651A470C"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1195660</w:t>
            </w:r>
          </w:p>
        </w:tc>
      </w:tr>
      <w:tr w:rsidR="00386E3F" w:rsidRPr="00D85B2E" w14:paraId="24B105EB" w14:textId="77777777" w:rsidTr="003264DF">
        <w:tc>
          <w:tcPr>
            <w:tcW w:w="1662" w:type="dxa"/>
            <w:tcBorders>
              <w:top w:val="nil"/>
              <w:left w:val="nil"/>
              <w:bottom w:val="nil"/>
              <w:right w:val="nil"/>
            </w:tcBorders>
          </w:tcPr>
          <w:p w14:paraId="5D11C375" w14:textId="77777777" w:rsidR="00386E3F" w:rsidRPr="00D85B2E" w:rsidRDefault="00386E3F" w:rsidP="003264DF">
            <w:pPr>
              <w:spacing w:line="360" w:lineRule="auto"/>
              <w:jc w:val="both"/>
              <w:rPr>
                <w:rFonts w:ascii="Times New Roman" w:hAnsi="Times New Roman" w:cs="Times New Roman"/>
                <w:b/>
                <w:sz w:val="20"/>
                <w:szCs w:val="20"/>
              </w:rPr>
            </w:pPr>
            <w:r w:rsidRPr="00D85B2E">
              <w:rPr>
                <w:rFonts w:ascii="Times New Roman" w:hAnsi="Times New Roman" w:cs="Times New Roman"/>
                <w:b/>
                <w:sz w:val="20"/>
                <w:szCs w:val="20"/>
              </w:rPr>
              <w:t>Profit/ton</w:t>
            </w:r>
          </w:p>
        </w:tc>
        <w:tc>
          <w:tcPr>
            <w:tcW w:w="1976" w:type="dxa"/>
            <w:tcBorders>
              <w:top w:val="nil"/>
              <w:left w:val="nil"/>
              <w:bottom w:val="nil"/>
              <w:right w:val="nil"/>
            </w:tcBorders>
          </w:tcPr>
          <w:p w14:paraId="0D844124"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477,686.47</w:t>
            </w:r>
          </w:p>
        </w:tc>
        <w:tc>
          <w:tcPr>
            <w:tcW w:w="1976" w:type="dxa"/>
            <w:tcBorders>
              <w:top w:val="nil"/>
              <w:left w:val="nil"/>
              <w:bottom w:val="nil"/>
              <w:right w:val="nil"/>
            </w:tcBorders>
          </w:tcPr>
          <w:p w14:paraId="25C3A931"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393,864.16</w:t>
            </w:r>
          </w:p>
        </w:tc>
        <w:tc>
          <w:tcPr>
            <w:tcW w:w="1868" w:type="dxa"/>
            <w:tcBorders>
              <w:top w:val="nil"/>
              <w:left w:val="nil"/>
              <w:bottom w:val="nil"/>
              <w:right w:val="nil"/>
            </w:tcBorders>
          </w:tcPr>
          <w:p w14:paraId="5E3E8F98"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711,013.95</w:t>
            </w:r>
          </w:p>
        </w:tc>
        <w:tc>
          <w:tcPr>
            <w:tcW w:w="1868" w:type="dxa"/>
            <w:tcBorders>
              <w:top w:val="nil"/>
              <w:left w:val="nil"/>
              <w:bottom w:val="nil"/>
              <w:right w:val="nil"/>
            </w:tcBorders>
          </w:tcPr>
          <w:p w14:paraId="2117AF69"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770,995.82</w:t>
            </w:r>
          </w:p>
        </w:tc>
      </w:tr>
      <w:tr w:rsidR="00386E3F" w:rsidRPr="00D85B2E" w14:paraId="7BEA6FBD" w14:textId="77777777" w:rsidTr="003264DF">
        <w:tc>
          <w:tcPr>
            <w:tcW w:w="1662" w:type="dxa"/>
            <w:tcBorders>
              <w:top w:val="nil"/>
              <w:left w:val="nil"/>
              <w:right w:val="nil"/>
            </w:tcBorders>
          </w:tcPr>
          <w:p w14:paraId="363CD9BF" w14:textId="77777777" w:rsidR="00386E3F" w:rsidRPr="00D85B2E" w:rsidRDefault="00386E3F" w:rsidP="003264DF">
            <w:pPr>
              <w:spacing w:line="360" w:lineRule="auto"/>
              <w:jc w:val="both"/>
              <w:rPr>
                <w:rFonts w:ascii="Times New Roman" w:hAnsi="Times New Roman" w:cs="Times New Roman"/>
                <w:b/>
                <w:sz w:val="20"/>
                <w:szCs w:val="20"/>
              </w:rPr>
            </w:pPr>
            <w:r w:rsidRPr="00D85B2E">
              <w:rPr>
                <w:rFonts w:ascii="Times New Roman" w:hAnsi="Times New Roman" w:cs="Times New Roman"/>
                <w:b/>
                <w:sz w:val="20"/>
                <w:szCs w:val="20"/>
              </w:rPr>
              <w:t>PCR</w:t>
            </w:r>
          </w:p>
        </w:tc>
        <w:tc>
          <w:tcPr>
            <w:tcW w:w="3952" w:type="dxa"/>
            <w:gridSpan w:val="2"/>
            <w:tcBorders>
              <w:top w:val="nil"/>
              <w:left w:val="nil"/>
              <w:right w:val="nil"/>
            </w:tcBorders>
          </w:tcPr>
          <w:p w14:paraId="577A31E7" w14:textId="65E860C1" w:rsidR="00386E3F" w:rsidRPr="00D85B2E" w:rsidRDefault="00581729" w:rsidP="003264DF">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86E3F" w:rsidRPr="00D85B2E">
              <w:rPr>
                <w:rFonts w:ascii="Times New Roman" w:hAnsi="Times New Roman" w:cs="Times New Roman"/>
                <w:sz w:val="20"/>
                <w:szCs w:val="20"/>
              </w:rPr>
              <w:t xml:space="preserve"> 0.45</w:t>
            </w:r>
          </w:p>
        </w:tc>
        <w:tc>
          <w:tcPr>
            <w:tcW w:w="3736" w:type="dxa"/>
            <w:gridSpan w:val="2"/>
            <w:tcBorders>
              <w:top w:val="nil"/>
              <w:left w:val="nil"/>
              <w:right w:val="nil"/>
            </w:tcBorders>
          </w:tcPr>
          <w:p w14:paraId="05D949A2"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 xml:space="preserve">                           0.20</w:t>
            </w:r>
          </w:p>
        </w:tc>
      </w:tr>
    </w:tbl>
    <w:p w14:paraId="6BCDA616" w14:textId="77777777" w:rsidR="00386E3F" w:rsidRPr="00D85B2E" w:rsidRDefault="00386E3F" w:rsidP="00386E3F">
      <w:pPr>
        <w:spacing w:after="0" w:line="360" w:lineRule="auto"/>
        <w:jc w:val="both"/>
        <w:rPr>
          <w:rFonts w:ascii="Times New Roman" w:hAnsi="Times New Roman" w:cs="Times New Roman"/>
          <w:b/>
          <w:bCs/>
          <w:sz w:val="24"/>
          <w:szCs w:val="24"/>
        </w:rPr>
      </w:pPr>
      <w:r w:rsidRPr="00D85B2E">
        <w:rPr>
          <w:rFonts w:ascii="Times New Roman" w:hAnsi="Times New Roman" w:cs="Times New Roman"/>
        </w:rPr>
        <w:t>Figures in Parenthesis are in Percentages</w:t>
      </w:r>
    </w:p>
    <w:p w14:paraId="4B6980B8" w14:textId="13A2BDC7" w:rsidR="00386E3F" w:rsidRDefault="000C6EF9" w:rsidP="00386E3F">
      <w:pPr>
        <w:spacing w:line="360" w:lineRule="auto"/>
        <w:jc w:val="both"/>
        <w:rPr>
          <w:rFonts w:ascii="Times New Roman" w:hAnsi="Times New Roman" w:cs="Times New Roman"/>
        </w:rPr>
      </w:pPr>
      <w:r>
        <w:rPr>
          <w:rFonts w:ascii="Times New Roman" w:hAnsi="Times New Roman" w:cs="Times New Roman"/>
        </w:rPr>
        <w:t>Source: Field Survey, 2023</w:t>
      </w:r>
      <w:r w:rsidR="00386E3F">
        <w:rPr>
          <w:rFonts w:ascii="Times New Roman" w:hAnsi="Times New Roman" w:cs="Times New Roman"/>
        </w:rPr>
        <w:t>.</w:t>
      </w:r>
    </w:p>
    <w:p w14:paraId="297BEDE2" w14:textId="77777777" w:rsidR="00386E3F" w:rsidRPr="00D6616C" w:rsidRDefault="00386E3F" w:rsidP="00386E3F">
      <w:pPr>
        <w:spacing w:line="360" w:lineRule="auto"/>
        <w:jc w:val="both"/>
        <w:rPr>
          <w:rFonts w:ascii="Times New Roman" w:hAnsi="Times New Roman" w:cs="Times New Roman"/>
          <w:b/>
        </w:rPr>
      </w:pPr>
      <w:r w:rsidRPr="00D6616C">
        <w:rPr>
          <w:rFonts w:ascii="Times New Roman" w:hAnsi="Times New Roman" w:cs="Times New Roman"/>
          <w:b/>
        </w:rPr>
        <w:t>Comparative Advantage of Tea Marketing</w:t>
      </w:r>
    </w:p>
    <w:p w14:paraId="1261C52E" w14:textId="77777777" w:rsidR="00386E3F" w:rsidRPr="00D6616C" w:rsidRDefault="00386E3F" w:rsidP="00386E3F">
      <w:pPr>
        <w:spacing w:line="360" w:lineRule="auto"/>
        <w:jc w:val="both"/>
        <w:rPr>
          <w:rFonts w:ascii="Times New Roman" w:hAnsi="Times New Roman" w:cs="Times New Roman"/>
        </w:rPr>
      </w:pPr>
      <w:r w:rsidRPr="00D6616C">
        <w:rPr>
          <w:rFonts w:ascii="Times New Roman" w:hAnsi="Times New Roman" w:cs="Times New Roman"/>
        </w:rPr>
        <w:t>The results of social profitability of tea marketing in Nigeria is as shown in Table 4. Th</w:t>
      </w:r>
      <w:r w:rsidR="001D0112">
        <w:rPr>
          <w:rFonts w:ascii="Times New Roman" w:hAnsi="Times New Roman" w:cs="Times New Roman"/>
        </w:rPr>
        <w:t>e table showed that small scale</w:t>
      </w:r>
      <w:r w:rsidRPr="00D6616C">
        <w:rPr>
          <w:rFonts w:ascii="Times New Roman" w:hAnsi="Times New Roman" w:cs="Times New Roman"/>
        </w:rPr>
        <w:t xml:space="preserve"> marketers had social profitability of ₦ 393,86</w:t>
      </w:r>
      <w:r w:rsidR="001D0112">
        <w:rPr>
          <w:rFonts w:ascii="Times New Roman" w:hAnsi="Times New Roman" w:cs="Times New Roman"/>
        </w:rPr>
        <w:t>4.55 per ton while medium scale</w:t>
      </w:r>
      <w:r w:rsidRPr="00D6616C">
        <w:rPr>
          <w:rFonts w:ascii="Times New Roman" w:hAnsi="Times New Roman" w:cs="Times New Roman"/>
        </w:rPr>
        <w:t xml:space="preserve"> marketers had ₦ 770,995.82 per ton. It can be observed that positive social profit results from the two-marketing methods practiced in the study areas. This implied that tea marketing in the study areas is socially profitab</w:t>
      </w:r>
      <w:r w:rsidR="001D0112">
        <w:rPr>
          <w:rFonts w:ascii="Times New Roman" w:hAnsi="Times New Roman" w:cs="Times New Roman"/>
        </w:rPr>
        <w:t>le. Marketers in the study area</w:t>
      </w:r>
      <w:r w:rsidRPr="00D6616C">
        <w:rPr>
          <w:rFonts w:ascii="Times New Roman" w:hAnsi="Times New Roman" w:cs="Times New Roman"/>
        </w:rPr>
        <w:t xml:space="preserve"> are utilizing scarce resources efficiently in marketing of tea. It is </w:t>
      </w:r>
      <w:r w:rsidRPr="00D6616C">
        <w:rPr>
          <w:rFonts w:ascii="Times New Roman" w:hAnsi="Times New Roman" w:cs="Times New Roman"/>
        </w:rPr>
        <w:lastRenderedPageBreak/>
        <w:t xml:space="preserve">worthy of note that medium scale marketers had the highest social profit. This might be because of volume of sales, availability of credit and array of customers. Also presented in the table is the result of the analysis of Domestic Resource Cost (DRC) for marketing management systems in the study areas. The table shows that small-scale system had a DRC of 0.50 and medium-scale management had DRC of 0.18. It could be observed from the table that the DRC values for the two- marketing system was less than one. This shows there is efficiency in marketing of tea nationally in Nigeria. This is also an indication that the value of domestic inputs used in tea marketing was lower than the value added and therefore there was an efficient use of domestic resources in tea marketing. This further implied that, tea marketing is economically profitable and is having comparative advantage. The result also shows that medium-scale system had the lowest DRC implying that, medium-scale management system had the highest comparative advantage. The standard is, the lower the DRC, the larger the level of efficiency in production.  </w:t>
      </w:r>
    </w:p>
    <w:p w14:paraId="4BD63387" w14:textId="77777777" w:rsidR="00386E3F" w:rsidRPr="00D820E6" w:rsidRDefault="00386E3F" w:rsidP="00386E3F">
      <w:pPr>
        <w:spacing w:line="360" w:lineRule="auto"/>
        <w:jc w:val="both"/>
        <w:rPr>
          <w:rFonts w:ascii="Times New Roman" w:hAnsi="Times New Roman" w:cs="Times New Roman"/>
        </w:rPr>
      </w:pPr>
      <w:r w:rsidRPr="00D6616C">
        <w:rPr>
          <w:rFonts w:ascii="Times New Roman" w:hAnsi="Times New Roman" w:cs="Times New Roman"/>
        </w:rPr>
        <w:t>The result of the analysis of Social Cost Benefit (SCB) of tea marketing management systems also indicate that small-scale management system had a SCB of 0.67. The medium-scale</w:t>
      </w:r>
      <w:r>
        <w:rPr>
          <w:rFonts w:ascii="Times New Roman" w:hAnsi="Times New Roman" w:cs="Times New Roman"/>
          <w:sz w:val="24"/>
          <w:szCs w:val="24"/>
        </w:rPr>
        <w:t xml:space="preserve"> </w:t>
      </w:r>
      <w:r w:rsidRPr="00D6616C">
        <w:rPr>
          <w:rFonts w:ascii="Times New Roman" w:hAnsi="Times New Roman" w:cs="Times New Roman"/>
        </w:rPr>
        <w:t>management had SCB of 0.36. It could be observed that the SCB values for the two-management system were less than one. This is an indication that summation of tradable input cost and domestic factor cost used in tea marketing at social prices was less than the total revenue at social prices under the prevailing market condition. Tea marketing between the actors is socially profitable. Nevertheless, lower SCB implied higher degree of efficiency in marketing.</w:t>
      </w:r>
    </w:p>
    <w:p w14:paraId="73839642" w14:textId="77777777" w:rsidR="00386E3F" w:rsidRPr="00D6616C" w:rsidRDefault="00386E3F" w:rsidP="00386E3F">
      <w:pPr>
        <w:spacing w:line="360" w:lineRule="auto"/>
        <w:jc w:val="both"/>
        <w:rPr>
          <w:rFonts w:ascii="Times New Roman" w:hAnsi="Times New Roman" w:cs="Times New Roman"/>
          <w:b/>
        </w:rPr>
      </w:pPr>
      <w:r w:rsidRPr="00D6616C">
        <w:rPr>
          <w:rFonts w:ascii="Times New Roman" w:hAnsi="Times New Roman" w:cs="Times New Roman"/>
          <w:b/>
        </w:rPr>
        <w:t>Table 4. Comparative Advantage of Marketing</w:t>
      </w:r>
    </w:p>
    <w:tbl>
      <w:tblPr>
        <w:tblStyle w:val="TableGrid"/>
        <w:tblW w:w="0" w:type="auto"/>
        <w:tblLook w:val="04A0" w:firstRow="1" w:lastRow="0" w:firstColumn="1" w:lastColumn="0" w:noHBand="0" w:noVBand="1"/>
      </w:tblPr>
      <w:tblGrid>
        <w:gridCol w:w="2394"/>
        <w:gridCol w:w="2394"/>
        <w:gridCol w:w="2394"/>
        <w:gridCol w:w="2394"/>
      </w:tblGrid>
      <w:tr w:rsidR="00386E3F" w:rsidRPr="00B13B92" w14:paraId="179FF374" w14:textId="77777777" w:rsidTr="003264DF">
        <w:tc>
          <w:tcPr>
            <w:tcW w:w="2394" w:type="dxa"/>
            <w:tcBorders>
              <w:left w:val="nil"/>
              <w:bottom w:val="single" w:sz="4" w:space="0" w:color="auto"/>
              <w:right w:val="nil"/>
            </w:tcBorders>
          </w:tcPr>
          <w:p w14:paraId="1A28687A"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Marketing System</w:t>
            </w:r>
          </w:p>
        </w:tc>
        <w:tc>
          <w:tcPr>
            <w:tcW w:w="2394" w:type="dxa"/>
            <w:tcBorders>
              <w:left w:val="nil"/>
              <w:bottom w:val="single" w:sz="4" w:space="0" w:color="auto"/>
              <w:right w:val="nil"/>
            </w:tcBorders>
          </w:tcPr>
          <w:p w14:paraId="1B3CC599"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Social Profitability(₦/ton)</w:t>
            </w:r>
          </w:p>
        </w:tc>
        <w:tc>
          <w:tcPr>
            <w:tcW w:w="2394" w:type="dxa"/>
            <w:tcBorders>
              <w:left w:val="nil"/>
              <w:bottom w:val="single" w:sz="4" w:space="0" w:color="auto"/>
              <w:right w:val="nil"/>
            </w:tcBorders>
          </w:tcPr>
          <w:p w14:paraId="057537AE"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Domestic Resource cost</w:t>
            </w:r>
          </w:p>
        </w:tc>
        <w:tc>
          <w:tcPr>
            <w:tcW w:w="2394" w:type="dxa"/>
            <w:tcBorders>
              <w:left w:val="nil"/>
              <w:bottom w:val="single" w:sz="4" w:space="0" w:color="auto"/>
              <w:right w:val="nil"/>
            </w:tcBorders>
          </w:tcPr>
          <w:p w14:paraId="7CE5D16B"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Social cost benefit</w:t>
            </w:r>
          </w:p>
        </w:tc>
      </w:tr>
      <w:tr w:rsidR="00386E3F" w:rsidRPr="00B13B92" w14:paraId="3FA466A7" w14:textId="77777777" w:rsidTr="003264DF">
        <w:tc>
          <w:tcPr>
            <w:tcW w:w="2394" w:type="dxa"/>
            <w:tcBorders>
              <w:left w:val="nil"/>
              <w:bottom w:val="nil"/>
              <w:right w:val="nil"/>
            </w:tcBorders>
          </w:tcPr>
          <w:p w14:paraId="6E4B6D19"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Small</w:t>
            </w:r>
          </w:p>
        </w:tc>
        <w:tc>
          <w:tcPr>
            <w:tcW w:w="2394" w:type="dxa"/>
            <w:tcBorders>
              <w:left w:val="nil"/>
              <w:bottom w:val="nil"/>
              <w:right w:val="nil"/>
            </w:tcBorders>
          </w:tcPr>
          <w:p w14:paraId="5EA54E9E"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 xml:space="preserve">393,864.55  </w:t>
            </w:r>
          </w:p>
        </w:tc>
        <w:tc>
          <w:tcPr>
            <w:tcW w:w="2394" w:type="dxa"/>
            <w:tcBorders>
              <w:left w:val="nil"/>
              <w:bottom w:val="nil"/>
              <w:right w:val="nil"/>
            </w:tcBorders>
          </w:tcPr>
          <w:p w14:paraId="06C5EB07"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0.50</w:t>
            </w:r>
          </w:p>
        </w:tc>
        <w:tc>
          <w:tcPr>
            <w:tcW w:w="2394" w:type="dxa"/>
            <w:tcBorders>
              <w:left w:val="nil"/>
              <w:bottom w:val="nil"/>
              <w:right w:val="nil"/>
            </w:tcBorders>
          </w:tcPr>
          <w:p w14:paraId="71D62709"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0.67</w:t>
            </w:r>
          </w:p>
        </w:tc>
      </w:tr>
      <w:tr w:rsidR="00386E3F" w:rsidRPr="00B13B92" w14:paraId="54D647A1" w14:textId="77777777" w:rsidTr="003264DF">
        <w:tc>
          <w:tcPr>
            <w:tcW w:w="2394" w:type="dxa"/>
            <w:tcBorders>
              <w:top w:val="nil"/>
              <w:left w:val="nil"/>
              <w:right w:val="nil"/>
            </w:tcBorders>
          </w:tcPr>
          <w:p w14:paraId="2102DB2D"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Medium</w:t>
            </w:r>
          </w:p>
        </w:tc>
        <w:tc>
          <w:tcPr>
            <w:tcW w:w="2394" w:type="dxa"/>
            <w:tcBorders>
              <w:top w:val="nil"/>
              <w:left w:val="nil"/>
              <w:right w:val="nil"/>
            </w:tcBorders>
          </w:tcPr>
          <w:p w14:paraId="059F2445"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770,995.82</w:t>
            </w:r>
          </w:p>
        </w:tc>
        <w:tc>
          <w:tcPr>
            <w:tcW w:w="2394" w:type="dxa"/>
            <w:tcBorders>
              <w:top w:val="nil"/>
              <w:left w:val="nil"/>
              <w:right w:val="nil"/>
            </w:tcBorders>
          </w:tcPr>
          <w:p w14:paraId="453F1327"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0.18</w:t>
            </w:r>
          </w:p>
        </w:tc>
        <w:tc>
          <w:tcPr>
            <w:tcW w:w="2394" w:type="dxa"/>
            <w:tcBorders>
              <w:top w:val="nil"/>
              <w:left w:val="nil"/>
              <w:right w:val="nil"/>
            </w:tcBorders>
          </w:tcPr>
          <w:p w14:paraId="1FCE9FD4"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0.36</w:t>
            </w:r>
          </w:p>
        </w:tc>
      </w:tr>
    </w:tbl>
    <w:p w14:paraId="3B86CD7F" w14:textId="6E6F8DBC" w:rsidR="00386E3F" w:rsidRPr="00B13B92" w:rsidRDefault="00E83548" w:rsidP="00386E3F">
      <w:pPr>
        <w:spacing w:line="360" w:lineRule="auto"/>
        <w:jc w:val="both"/>
        <w:rPr>
          <w:rFonts w:ascii="Times New Roman" w:hAnsi="Times New Roman" w:cs="Times New Roman"/>
        </w:rPr>
      </w:pPr>
      <w:r>
        <w:rPr>
          <w:rFonts w:ascii="Times New Roman" w:hAnsi="Times New Roman" w:cs="Times New Roman"/>
        </w:rPr>
        <w:t>S</w:t>
      </w:r>
      <w:r w:rsidR="000C6EF9">
        <w:rPr>
          <w:rFonts w:ascii="Times New Roman" w:hAnsi="Times New Roman" w:cs="Times New Roman"/>
        </w:rPr>
        <w:t>ource: Field Survey, 2023</w:t>
      </w:r>
    </w:p>
    <w:p w14:paraId="3D864B17" w14:textId="77777777" w:rsidR="00386E3F" w:rsidRDefault="00386E3F" w:rsidP="00386E3F">
      <w:pPr>
        <w:spacing w:line="360" w:lineRule="auto"/>
        <w:jc w:val="both"/>
        <w:rPr>
          <w:rFonts w:ascii="Times New Roman" w:hAnsi="Times New Roman" w:cs="Times New Roman"/>
          <w:color w:val="FF0000"/>
          <w:sz w:val="24"/>
          <w:szCs w:val="24"/>
        </w:rPr>
      </w:pPr>
    </w:p>
    <w:p w14:paraId="63FB95E8" w14:textId="77777777" w:rsidR="00B17CCC" w:rsidRDefault="00B17CCC" w:rsidP="00386E3F">
      <w:pPr>
        <w:spacing w:line="360" w:lineRule="auto"/>
        <w:jc w:val="both"/>
        <w:rPr>
          <w:rFonts w:ascii="Times New Roman" w:hAnsi="Times New Roman" w:cs="Times New Roman"/>
          <w:b/>
          <w:sz w:val="24"/>
          <w:szCs w:val="24"/>
        </w:rPr>
      </w:pPr>
    </w:p>
    <w:p w14:paraId="45B2DC58" w14:textId="77777777" w:rsidR="00B17CCC" w:rsidRDefault="00B17CCC" w:rsidP="00386E3F">
      <w:pPr>
        <w:spacing w:line="360" w:lineRule="auto"/>
        <w:jc w:val="both"/>
        <w:rPr>
          <w:rFonts w:ascii="Times New Roman" w:hAnsi="Times New Roman" w:cs="Times New Roman"/>
          <w:b/>
          <w:sz w:val="24"/>
          <w:szCs w:val="24"/>
        </w:rPr>
      </w:pPr>
    </w:p>
    <w:p w14:paraId="79BBE77E" w14:textId="77777777" w:rsidR="00013A3E" w:rsidRDefault="00013A3E" w:rsidP="00386E3F">
      <w:pPr>
        <w:spacing w:line="360" w:lineRule="auto"/>
        <w:jc w:val="both"/>
        <w:rPr>
          <w:rFonts w:ascii="Times New Roman" w:hAnsi="Times New Roman" w:cs="Times New Roman"/>
          <w:b/>
          <w:sz w:val="24"/>
          <w:szCs w:val="24"/>
        </w:rPr>
      </w:pPr>
    </w:p>
    <w:p w14:paraId="38ACD093" w14:textId="77777777" w:rsidR="00386E3F" w:rsidRDefault="00644665" w:rsidP="00386E3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86E3F" w:rsidRPr="006A0324">
        <w:rPr>
          <w:rFonts w:ascii="Times New Roman" w:hAnsi="Times New Roman" w:cs="Times New Roman"/>
          <w:b/>
          <w:sz w:val="24"/>
          <w:szCs w:val="24"/>
        </w:rPr>
        <w:t>Conclusions</w:t>
      </w:r>
    </w:p>
    <w:p w14:paraId="58CA5E5C" w14:textId="77777777" w:rsidR="00386E3F" w:rsidRDefault="00386E3F" w:rsidP="00386E3F">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R</w:t>
      </w:r>
      <w:r w:rsidRPr="002A4270">
        <w:rPr>
          <w:rFonts w:ascii="Times New Roman" w:hAnsi="Times New Roman" w:cs="Times New Roman"/>
          <w:sz w:val="24"/>
          <w:szCs w:val="24"/>
        </w:rPr>
        <w:t>esult obtained</w:t>
      </w:r>
      <w:r>
        <w:rPr>
          <w:rFonts w:ascii="Times New Roman" w:hAnsi="Times New Roman" w:cs="Times New Roman"/>
          <w:sz w:val="24"/>
          <w:szCs w:val="24"/>
        </w:rPr>
        <w:t xml:space="preserve"> from this study revealed that</w:t>
      </w:r>
      <w:r w:rsidR="00C9749A">
        <w:rPr>
          <w:rFonts w:ascii="Times New Roman" w:hAnsi="Times New Roman" w:cs="Times New Roman"/>
          <w:sz w:val="24"/>
          <w:szCs w:val="24"/>
        </w:rPr>
        <w:t xml:space="preserve"> Nigeria</w:t>
      </w:r>
      <w:r w:rsidR="00187857">
        <w:rPr>
          <w:rFonts w:ascii="Times New Roman" w:hAnsi="Times New Roman" w:cs="Times New Roman"/>
          <w:sz w:val="24"/>
          <w:szCs w:val="24"/>
        </w:rPr>
        <w:t xml:space="preserve"> </w:t>
      </w:r>
      <w:r w:rsidR="00C9749A">
        <w:rPr>
          <w:rFonts w:ascii="Times New Roman" w:hAnsi="Times New Roman" w:cs="Times New Roman"/>
          <w:sz w:val="24"/>
          <w:szCs w:val="24"/>
        </w:rPr>
        <w:t>has</w:t>
      </w:r>
      <w:r w:rsidR="00187857">
        <w:rPr>
          <w:rFonts w:ascii="Times New Roman" w:hAnsi="Times New Roman" w:cs="Times New Roman"/>
          <w:sz w:val="24"/>
          <w:szCs w:val="24"/>
        </w:rPr>
        <w:t xml:space="preserve"> competitive</w:t>
      </w:r>
      <w:r w:rsidR="00C9749A">
        <w:rPr>
          <w:rFonts w:ascii="Times New Roman" w:hAnsi="Times New Roman" w:cs="Times New Roman"/>
          <w:sz w:val="24"/>
          <w:szCs w:val="24"/>
        </w:rPr>
        <w:t xml:space="preserve"> and comparative advantage </w:t>
      </w:r>
      <w:r w:rsidR="00187857">
        <w:rPr>
          <w:rFonts w:ascii="Times New Roman" w:hAnsi="Times New Roman" w:cs="Times New Roman"/>
          <w:sz w:val="24"/>
          <w:szCs w:val="24"/>
        </w:rPr>
        <w:t>in</w:t>
      </w:r>
      <w:r w:rsidR="004F5D04">
        <w:rPr>
          <w:rFonts w:ascii="Times New Roman" w:hAnsi="Times New Roman" w:cs="Times New Roman"/>
          <w:sz w:val="24"/>
          <w:szCs w:val="24"/>
        </w:rPr>
        <w:t xml:space="preserve"> tea marketing. Resources are optimally utilized in marketing at </w:t>
      </w:r>
      <w:r w:rsidR="00187857">
        <w:rPr>
          <w:rFonts w:ascii="Times New Roman" w:hAnsi="Times New Roman" w:cs="Times New Roman"/>
          <w:sz w:val="24"/>
          <w:szCs w:val="24"/>
        </w:rPr>
        <w:t>b</w:t>
      </w:r>
      <w:r>
        <w:rPr>
          <w:rFonts w:ascii="Times New Roman" w:hAnsi="Times New Roman" w:cs="Times New Roman"/>
          <w:sz w:val="24"/>
          <w:szCs w:val="24"/>
        </w:rPr>
        <w:t xml:space="preserve">oth </w:t>
      </w:r>
      <w:r w:rsidR="004F5D04">
        <w:rPr>
          <w:rFonts w:ascii="Times New Roman" w:hAnsi="Times New Roman" w:cs="Times New Roman"/>
          <w:sz w:val="24"/>
          <w:szCs w:val="24"/>
        </w:rPr>
        <w:t>small and medium scale marketing</w:t>
      </w:r>
      <w:r w:rsidR="00C9749A">
        <w:rPr>
          <w:rFonts w:ascii="Times New Roman" w:hAnsi="Times New Roman" w:cs="Times New Roman"/>
          <w:sz w:val="24"/>
          <w:szCs w:val="24"/>
        </w:rPr>
        <w:t xml:space="preserve"> level</w:t>
      </w:r>
      <w:r w:rsidR="004F5D04">
        <w:rPr>
          <w:rFonts w:ascii="Times New Roman" w:hAnsi="Times New Roman" w:cs="Times New Roman"/>
          <w:sz w:val="24"/>
          <w:szCs w:val="24"/>
        </w:rPr>
        <w:t>s</w:t>
      </w:r>
      <w:r w:rsidR="00C9749A">
        <w:rPr>
          <w:rFonts w:ascii="Times New Roman" w:hAnsi="Times New Roman" w:cs="Times New Roman"/>
          <w:sz w:val="24"/>
          <w:szCs w:val="24"/>
        </w:rPr>
        <w:t>.</w:t>
      </w:r>
      <w:r w:rsidR="004F5D04">
        <w:rPr>
          <w:rFonts w:ascii="Times New Roman" w:hAnsi="Times New Roman" w:cs="Times New Roman"/>
          <w:sz w:val="24"/>
          <w:szCs w:val="24"/>
        </w:rPr>
        <w:t xml:space="preserve"> Hence, tea marketing is a worthwhile investment, for intending investors to consider. Government should enhance tea marketing for attaining maximum income for economic growth. Government policy should organize tea marketing activities and provide a linkage between producers and marketers.</w:t>
      </w:r>
    </w:p>
    <w:p w14:paraId="2854001C" w14:textId="77777777" w:rsidR="00386E3F" w:rsidRDefault="00386E3F" w:rsidP="00386E3F">
      <w:pPr>
        <w:spacing w:line="360" w:lineRule="auto"/>
        <w:jc w:val="both"/>
        <w:rPr>
          <w:rFonts w:ascii="Times New Roman" w:hAnsi="Times New Roman" w:cs="Times New Roman"/>
          <w:b/>
          <w:sz w:val="24"/>
          <w:szCs w:val="24"/>
        </w:rPr>
      </w:pPr>
      <w:r w:rsidRPr="006A0324">
        <w:rPr>
          <w:rFonts w:ascii="Times New Roman" w:hAnsi="Times New Roman" w:cs="Times New Roman"/>
          <w:b/>
          <w:sz w:val="24"/>
          <w:szCs w:val="24"/>
        </w:rPr>
        <w:t>References</w:t>
      </w:r>
    </w:p>
    <w:p w14:paraId="3994EEB7" w14:textId="77777777" w:rsidR="00386E3F" w:rsidRDefault="00386E3F" w:rsidP="00386E3F">
      <w:pPr>
        <w:spacing w:line="360" w:lineRule="auto"/>
        <w:jc w:val="both"/>
        <w:rPr>
          <w:rFonts w:ascii="Times New Roman" w:hAnsi="Times New Roman" w:cs="Times New Roman"/>
        </w:rPr>
      </w:pPr>
      <w:r w:rsidRPr="00EE2528">
        <w:rPr>
          <w:rFonts w:ascii="Times New Roman" w:hAnsi="Times New Roman" w:cs="Times New Roman"/>
        </w:rPr>
        <w:t xml:space="preserve">FAO, </w:t>
      </w:r>
      <w:r w:rsidR="00513723">
        <w:rPr>
          <w:rFonts w:ascii="Times New Roman" w:hAnsi="Times New Roman" w:cs="Times New Roman"/>
        </w:rPr>
        <w:t>(</w:t>
      </w:r>
      <w:r w:rsidRPr="00EE2528">
        <w:rPr>
          <w:rFonts w:ascii="Times New Roman" w:hAnsi="Times New Roman" w:cs="Times New Roman"/>
        </w:rPr>
        <w:t>2021</w:t>
      </w:r>
      <w:r w:rsidR="00513723">
        <w:rPr>
          <w:rFonts w:ascii="Times New Roman" w:hAnsi="Times New Roman" w:cs="Times New Roman"/>
        </w:rPr>
        <w:t>)</w:t>
      </w:r>
      <w:r w:rsidRPr="00EE2528">
        <w:rPr>
          <w:rFonts w:ascii="Times New Roman" w:hAnsi="Times New Roman" w:cs="Times New Roman"/>
        </w:rPr>
        <w:t xml:space="preserve"> Food and Agricultural Organization (2021)</w:t>
      </w:r>
      <w:r w:rsidRPr="0018034B">
        <w:rPr>
          <w:rFonts w:ascii="Times New Roman" w:hAnsi="Times New Roman" w:cs="Times New Roman"/>
          <w:i/>
        </w:rPr>
        <w:t>. Production yearbook 2021, FAO, Rome</w:t>
      </w:r>
    </w:p>
    <w:p w14:paraId="2196B355" w14:textId="77777777" w:rsidR="000F580F" w:rsidRDefault="000F580F" w:rsidP="000F580F">
      <w:pPr>
        <w:spacing w:line="240" w:lineRule="auto"/>
        <w:rPr>
          <w:rFonts w:ascii="Times New Roman" w:hAnsi="Times New Roman" w:cs="Times New Roman"/>
        </w:rPr>
      </w:pPr>
      <w:r>
        <w:rPr>
          <w:rFonts w:ascii="Times New Roman" w:hAnsi="Times New Roman" w:cs="Times New Roman"/>
        </w:rPr>
        <w:t>FAO, (2022): International Tea M</w:t>
      </w:r>
      <w:r w:rsidRPr="00C83C16">
        <w:rPr>
          <w:rFonts w:ascii="Times New Roman" w:hAnsi="Times New Roman" w:cs="Times New Roman"/>
        </w:rPr>
        <w:t>arket: market situation, prospects and emerging issues.</w:t>
      </w:r>
    </w:p>
    <w:p w14:paraId="2D6A76FB" w14:textId="77777777" w:rsidR="00B9594F" w:rsidRPr="00B9594F" w:rsidRDefault="00B9594F" w:rsidP="00B9594F">
      <w:pPr>
        <w:spacing w:line="360" w:lineRule="auto"/>
        <w:jc w:val="both"/>
        <w:rPr>
          <w:rFonts w:ascii="Times New Roman" w:hAnsi="Times New Roman" w:cs="Times New Roman"/>
          <w:sz w:val="24"/>
          <w:szCs w:val="24"/>
        </w:rPr>
      </w:pPr>
      <w:r w:rsidRPr="00B9594F">
        <w:rPr>
          <w:rFonts w:ascii="Times New Roman" w:hAnsi="Times New Roman" w:cs="Times New Roman"/>
          <w:sz w:val="24"/>
          <w:szCs w:val="24"/>
        </w:rPr>
        <w:t>Dunmore, J.C. (1985).</w:t>
      </w:r>
      <w:r>
        <w:rPr>
          <w:rFonts w:ascii="Times New Roman" w:hAnsi="Times New Roman" w:cs="Times New Roman"/>
          <w:sz w:val="24"/>
          <w:szCs w:val="24"/>
        </w:rPr>
        <w:t xml:space="preserve"> Economic Policy and U.S Agriculture Competitive Position. Paper Presented at </w:t>
      </w:r>
      <w:r w:rsidRPr="0018034B">
        <w:rPr>
          <w:rFonts w:ascii="Times New Roman" w:hAnsi="Times New Roman" w:cs="Times New Roman"/>
          <w:i/>
          <w:sz w:val="24"/>
          <w:szCs w:val="24"/>
        </w:rPr>
        <w:t>Federal Reserve Bank of Cleveland (OH)</w:t>
      </w:r>
      <w:r>
        <w:rPr>
          <w:rFonts w:ascii="Times New Roman" w:hAnsi="Times New Roman" w:cs="Times New Roman"/>
          <w:sz w:val="24"/>
          <w:szCs w:val="24"/>
        </w:rPr>
        <w:t>, 24 May, 1985</w:t>
      </w:r>
    </w:p>
    <w:p w14:paraId="68635060" w14:textId="77777777" w:rsidR="00B9594F" w:rsidRPr="00C83C16" w:rsidRDefault="00B9594F" w:rsidP="000F580F">
      <w:pPr>
        <w:spacing w:line="240" w:lineRule="auto"/>
        <w:rPr>
          <w:rFonts w:ascii="Times New Roman" w:hAnsi="Times New Roman" w:cs="Times New Roman"/>
        </w:rPr>
      </w:pPr>
      <w:r>
        <w:rPr>
          <w:rFonts w:ascii="Times New Roman" w:hAnsi="Times New Roman" w:cs="Times New Roman"/>
        </w:rPr>
        <w:t xml:space="preserve">Havila, I and Gunawardana, P. (2003). Analysis of Comparative </w:t>
      </w:r>
      <w:r w:rsidR="0018034B">
        <w:rPr>
          <w:rFonts w:ascii="Times New Roman" w:hAnsi="Times New Roman" w:cs="Times New Roman"/>
        </w:rPr>
        <w:t>Advantage and</w:t>
      </w:r>
      <w:r>
        <w:rPr>
          <w:rFonts w:ascii="Times New Roman" w:hAnsi="Times New Roman" w:cs="Times New Roman"/>
        </w:rPr>
        <w:t xml:space="preserve"> Competitiveness: an application of Australian </w:t>
      </w:r>
      <w:r w:rsidR="0018034B">
        <w:rPr>
          <w:rFonts w:ascii="Times New Roman" w:hAnsi="Times New Roman" w:cs="Times New Roman"/>
        </w:rPr>
        <w:t xml:space="preserve">Textile and Clothing Industries. </w:t>
      </w:r>
      <w:r w:rsidR="0018034B" w:rsidRPr="0018034B">
        <w:rPr>
          <w:rFonts w:ascii="Times New Roman" w:hAnsi="Times New Roman" w:cs="Times New Roman"/>
          <w:i/>
        </w:rPr>
        <w:t xml:space="preserve">Australia’s Economic Paper </w:t>
      </w:r>
      <w:r w:rsidR="0018034B">
        <w:rPr>
          <w:rFonts w:ascii="Times New Roman" w:hAnsi="Times New Roman" w:cs="Times New Roman"/>
        </w:rPr>
        <w:t>42(1): 103 – 117.</w:t>
      </w:r>
      <w:r>
        <w:rPr>
          <w:rFonts w:ascii="Times New Roman" w:hAnsi="Times New Roman" w:cs="Times New Roman"/>
        </w:rPr>
        <w:t xml:space="preserve"> </w:t>
      </w:r>
    </w:p>
    <w:p w14:paraId="450F60DF" w14:textId="77777777" w:rsidR="000F580F" w:rsidRDefault="000F580F" w:rsidP="00B15657">
      <w:pPr>
        <w:pStyle w:val="NoSpacing"/>
        <w:spacing w:line="276" w:lineRule="auto"/>
        <w:rPr>
          <w:rFonts w:ascii="Times New Roman" w:hAnsi="Times New Roman" w:cs="Times New Roman"/>
        </w:rPr>
      </w:pPr>
    </w:p>
    <w:p w14:paraId="7A04175C" w14:textId="77777777" w:rsidR="00B15657" w:rsidRDefault="00386E3F" w:rsidP="000F580F">
      <w:pPr>
        <w:pStyle w:val="NoSpacing"/>
        <w:spacing w:line="276" w:lineRule="auto"/>
        <w:rPr>
          <w:rFonts w:ascii="Times New Roman" w:hAnsi="Times New Roman" w:cs="Times New Roman"/>
        </w:rPr>
      </w:pPr>
      <w:r w:rsidRPr="00E9719D">
        <w:rPr>
          <w:rFonts w:ascii="Times New Roman" w:hAnsi="Times New Roman" w:cs="Times New Roman"/>
        </w:rPr>
        <w:t xml:space="preserve"> </w:t>
      </w:r>
      <w:r w:rsidRPr="00B15657">
        <w:rPr>
          <w:rFonts w:ascii="Times New Roman" w:hAnsi="Times New Roman" w:cs="Times New Roman"/>
        </w:rPr>
        <w:t xml:space="preserve">Nelson, C., </w:t>
      </w:r>
      <w:proofErr w:type="spellStart"/>
      <w:r w:rsidRPr="00B15657">
        <w:rPr>
          <w:rFonts w:ascii="Times New Roman" w:hAnsi="Times New Roman" w:cs="Times New Roman"/>
        </w:rPr>
        <w:t>Panggabean</w:t>
      </w:r>
      <w:proofErr w:type="spellEnd"/>
      <w:r w:rsidRPr="00B15657">
        <w:rPr>
          <w:rFonts w:ascii="Times New Roman" w:hAnsi="Times New Roman" w:cs="Times New Roman"/>
        </w:rPr>
        <w:t xml:space="preserve">, M. (1991). The costs of Indonesian Sugar Policy: A Policy Analysis Matrix Approach. </w:t>
      </w:r>
      <w:r w:rsidRPr="00B15657">
        <w:rPr>
          <w:rFonts w:ascii="Times New Roman" w:hAnsi="Times New Roman" w:cs="Times New Roman"/>
          <w:i/>
        </w:rPr>
        <w:t>American Journal of Agricultural Economics,</w:t>
      </w:r>
      <w:r w:rsidRPr="00B15657">
        <w:rPr>
          <w:rFonts w:ascii="Times New Roman" w:hAnsi="Times New Roman" w:cs="Times New Roman"/>
        </w:rPr>
        <w:t xml:space="preserve"> 1991, 73, p. 703-12. Accessed: 25/07/2011. Online ISSN 1467-8276, Print ISSN 0002-9092.</w:t>
      </w:r>
    </w:p>
    <w:p w14:paraId="0A012826" w14:textId="77777777" w:rsidR="000F580F" w:rsidRPr="000F580F" w:rsidRDefault="000F580F" w:rsidP="000F580F">
      <w:pPr>
        <w:pStyle w:val="NoSpacing"/>
        <w:spacing w:line="276" w:lineRule="auto"/>
        <w:rPr>
          <w:rFonts w:ascii="Times New Roman" w:hAnsi="Times New Roman" w:cs="Times New Roman"/>
        </w:rPr>
      </w:pPr>
    </w:p>
    <w:p w14:paraId="696DF9DE" w14:textId="77777777" w:rsidR="00B15657" w:rsidRDefault="00513723" w:rsidP="00386E3F">
      <w:pPr>
        <w:autoSpaceDE w:val="0"/>
        <w:autoSpaceDN w:val="0"/>
        <w:adjustRightInd w:val="0"/>
        <w:spacing w:after="0" w:line="240" w:lineRule="auto"/>
        <w:jc w:val="both"/>
        <w:rPr>
          <w:rFonts w:ascii="Times New Roman" w:eastAsia="CIDFont+F4" w:hAnsi="Times New Roman" w:cs="Times New Roman"/>
          <w:color w:val="000000"/>
        </w:rPr>
      </w:pPr>
      <w:proofErr w:type="spellStart"/>
      <w:r>
        <w:rPr>
          <w:rFonts w:ascii="Times New Roman" w:eastAsia="CIDFont+F4" w:hAnsi="Times New Roman" w:cs="Times New Roman"/>
          <w:color w:val="000000"/>
        </w:rPr>
        <w:t>Oluyole</w:t>
      </w:r>
      <w:proofErr w:type="spellEnd"/>
      <w:r>
        <w:rPr>
          <w:rFonts w:ascii="Times New Roman" w:eastAsia="CIDFont+F4" w:hAnsi="Times New Roman" w:cs="Times New Roman"/>
          <w:color w:val="000000"/>
        </w:rPr>
        <w:t>, K. A. (2019</w:t>
      </w:r>
      <w:r w:rsidR="00386E3F">
        <w:rPr>
          <w:rFonts w:ascii="Times New Roman" w:eastAsia="CIDFont+F4" w:hAnsi="Times New Roman" w:cs="Times New Roman"/>
          <w:color w:val="000000"/>
        </w:rPr>
        <w:t>):</w:t>
      </w:r>
      <w:r>
        <w:rPr>
          <w:rFonts w:ascii="Times New Roman" w:eastAsia="CIDFont+F4" w:hAnsi="Times New Roman" w:cs="Times New Roman"/>
          <w:color w:val="000000"/>
        </w:rPr>
        <w:t xml:space="preserve"> </w:t>
      </w:r>
      <w:r w:rsidR="00884AE6">
        <w:rPr>
          <w:rFonts w:ascii="Times New Roman" w:eastAsia="CIDFont+F4" w:hAnsi="Times New Roman" w:cs="Times New Roman"/>
          <w:color w:val="000000"/>
        </w:rPr>
        <w:t>Comparative</w:t>
      </w:r>
      <w:r>
        <w:rPr>
          <w:rFonts w:ascii="Times New Roman" w:eastAsia="CIDFont+F4" w:hAnsi="Times New Roman" w:cs="Times New Roman"/>
          <w:color w:val="000000"/>
        </w:rPr>
        <w:t xml:space="preserve"> Analysis of Demand for Different Brand of Tea in So</w:t>
      </w:r>
      <w:r w:rsidR="00884AE6">
        <w:rPr>
          <w:rFonts w:ascii="Times New Roman" w:eastAsia="CIDFont+F4" w:hAnsi="Times New Roman" w:cs="Times New Roman"/>
          <w:color w:val="000000"/>
        </w:rPr>
        <w:t>u</w:t>
      </w:r>
      <w:r>
        <w:rPr>
          <w:rFonts w:ascii="Times New Roman" w:eastAsia="CIDFont+F4" w:hAnsi="Times New Roman" w:cs="Times New Roman"/>
          <w:color w:val="000000"/>
        </w:rPr>
        <w:t>th West</w:t>
      </w:r>
      <w:r w:rsidR="00884AE6">
        <w:rPr>
          <w:rFonts w:ascii="Times New Roman" w:eastAsia="CIDFont+F4" w:hAnsi="Times New Roman" w:cs="Times New Roman"/>
          <w:color w:val="000000"/>
        </w:rPr>
        <w:t xml:space="preserve"> </w:t>
      </w:r>
      <w:r w:rsidR="00B15657">
        <w:rPr>
          <w:rFonts w:ascii="Times New Roman" w:eastAsia="CIDFont+F4" w:hAnsi="Times New Roman" w:cs="Times New Roman"/>
          <w:color w:val="000000"/>
        </w:rPr>
        <w:t xml:space="preserve">   </w:t>
      </w:r>
    </w:p>
    <w:p w14:paraId="3B179F1A" w14:textId="77777777" w:rsidR="00386E3F" w:rsidRDefault="00B15657" w:rsidP="00386E3F">
      <w:pPr>
        <w:autoSpaceDE w:val="0"/>
        <w:autoSpaceDN w:val="0"/>
        <w:adjustRightInd w:val="0"/>
        <w:spacing w:after="0" w:line="240" w:lineRule="auto"/>
        <w:jc w:val="both"/>
        <w:rPr>
          <w:rFonts w:ascii="Times New Roman" w:eastAsia="CIDFont+F4" w:hAnsi="Times New Roman" w:cs="Times New Roman"/>
          <w:color w:val="000000"/>
        </w:rPr>
      </w:pPr>
      <w:r>
        <w:rPr>
          <w:rFonts w:ascii="Times New Roman" w:eastAsia="CIDFont+F4" w:hAnsi="Times New Roman" w:cs="Times New Roman"/>
          <w:color w:val="000000"/>
        </w:rPr>
        <w:t xml:space="preserve">                          </w:t>
      </w:r>
      <w:r w:rsidR="00884AE6">
        <w:rPr>
          <w:rFonts w:ascii="Times New Roman" w:eastAsia="CIDFont+F4" w:hAnsi="Times New Roman" w:cs="Times New Roman"/>
          <w:color w:val="000000"/>
        </w:rPr>
        <w:t xml:space="preserve">Nigeria. </w:t>
      </w:r>
      <w:r w:rsidR="00884AE6" w:rsidRPr="00B15657">
        <w:rPr>
          <w:rFonts w:ascii="Times New Roman" w:eastAsia="CIDFont+F4" w:hAnsi="Times New Roman" w:cs="Times New Roman"/>
          <w:i/>
          <w:color w:val="000000"/>
        </w:rPr>
        <w:t xml:space="preserve">Int. Journal of Innovative Agriculture and Biology </w:t>
      </w:r>
      <w:r w:rsidR="00990E49" w:rsidRPr="00B15657">
        <w:rPr>
          <w:rFonts w:ascii="Times New Roman" w:eastAsia="CIDFont+F4" w:hAnsi="Times New Roman" w:cs="Times New Roman"/>
          <w:i/>
          <w:color w:val="000000"/>
        </w:rPr>
        <w:t>Research</w:t>
      </w:r>
      <w:r w:rsidR="00990E49">
        <w:rPr>
          <w:rFonts w:ascii="Times New Roman" w:eastAsia="CIDFont+F4" w:hAnsi="Times New Roman" w:cs="Times New Roman"/>
          <w:color w:val="000000"/>
        </w:rPr>
        <w:t xml:space="preserve"> 7</w:t>
      </w:r>
      <w:r w:rsidR="00884AE6">
        <w:rPr>
          <w:rFonts w:ascii="Times New Roman" w:eastAsia="CIDFont+F4" w:hAnsi="Times New Roman" w:cs="Times New Roman"/>
          <w:color w:val="000000"/>
        </w:rPr>
        <w:t>(4); 23 – 29.</w:t>
      </w:r>
    </w:p>
    <w:p w14:paraId="143F800A" w14:textId="77777777" w:rsidR="000F580F" w:rsidRDefault="000F580F" w:rsidP="00386E3F">
      <w:pPr>
        <w:autoSpaceDE w:val="0"/>
        <w:autoSpaceDN w:val="0"/>
        <w:adjustRightInd w:val="0"/>
        <w:spacing w:after="0" w:line="240" w:lineRule="auto"/>
        <w:jc w:val="both"/>
        <w:rPr>
          <w:rFonts w:ascii="Times New Roman" w:eastAsia="CIDFont+F4" w:hAnsi="Times New Roman" w:cs="Times New Roman"/>
          <w:color w:val="000000"/>
        </w:rPr>
      </w:pPr>
    </w:p>
    <w:p w14:paraId="631FC012" w14:textId="77777777" w:rsidR="000F580F" w:rsidRDefault="000F580F" w:rsidP="000F580F">
      <w:pPr>
        <w:spacing w:line="240" w:lineRule="auto"/>
        <w:rPr>
          <w:rFonts w:ascii="Times New Roman" w:hAnsi="Times New Roman" w:cs="Times New Roman"/>
        </w:rPr>
      </w:pPr>
      <w:proofErr w:type="spellStart"/>
      <w:r w:rsidRPr="00C83C16">
        <w:rPr>
          <w:rFonts w:ascii="Times New Roman" w:hAnsi="Times New Roman" w:cs="Times New Roman"/>
        </w:rPr>
        <w:t>Latruffe</w:t>
      </w:r>
      <w:proofErr w:type="spellEnd"/>
      <w:r w:rsidRPr="00C83C16">
        <w:rPr>
          <w:rFonts w:ascii="Times New Roman" w:hAnsi="Times New Roman" w:cs="Times New Roman"/>
        </w:rPr>
        <w:t xml:space="preserve"> Laure (2010). Competitiveness, Productivity, Efficiency in the Agriculture and Agric-Food </w:t>
      </w:r>
    </w:p>
    <w:p w14:paraId="54185478" w14:textId="77777777" w:rsidR="000F580F" w:rsidRPr="00C83C16" w:rsidRDefault="000F580F" w:rsidP="000F580F">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 xml:space="preserve">Sector. </w:t>
      </w:r>
      <w:r w:rsidRPr="0018034B">
        <w:rPr>
          <w:rFonts w:ascii="Times New Roman" w:hAnsi="Times New Roman" w:cs="Times New Roman"/>
          <w:i/>
        </w:rPr>
        <w:t>French National Institute for Research on Agriculture Food</w:t>
      </w:r>
    </w:p>
    <w:p w14:paraId="446D68F1" w14:textId="77777777" w:rsidR="000F580F" w:rsidRDefault="000F580F" w:rsidP="000F580F">
      <w:pPr>
        <w:spacing w:line="240" w:lineRule="auto"/>
        <w:rPr>
          <w:rFonts w:ascii="Times New Roman" w:hAnsi="Times New Roman" w:cs="Times New Roman"/>
        </w:rPr>
      </w:pPr>
      <w:r w:rsidRPr="00C83C16">
        <w:rPr>
          <w:rFonts w:ascii="Times New Roman" w:hAnsi="Times New Roman" w:cs="Times New Roman"/>
        </w:rPr>
        <w:t xml:space="preserve">Long, Y. (2021). Export Competitiveness of Agricultural Products and agricultural Sustainability in </w:t>
      </w:r>
    </w:p>
    <w:p w14:paraId="345FCE3A" w14:textId="77777777" w:rsidR="000F580F" w:rsidRPr="00C83C16" w:rsidRDefault="000F580F" w:rsidP="000F580F">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China. Regional Sustainability.  203-210.</w:t>
      </w:r>
    </w:p>
    <w:p w14:paraId="5A775764" w14:textId="77777777" w:rsidR="000F580F" w:rsidRPr="00C83C16" w:rsidRDefault="000F580F" w:rsidP="000F580F">
      <w:pPr>
        <w:spacing w:line="240" w:lineRule="auto"/>
        <w:contextualSpacing/>
        <w:jc w:val="both"/>
        <w:rPr>
          <w:rFonts w:ascii="Times New Roman" w:hAnsi="Times New Roman" w:cs="Times New Roman"/>
        </w:rPr>
      </w:pPr>
    </w:p>
    <w:p w14:paraId="2F608CBE" w14:textId="77777777" w:rsidR="000F580F" w:rsidRDefault="000F580F" w:rsidP="000F580F">
      <w:pPr>
        <w:spacing w:line="240" w:lineRule="auto"/>
        <w:jc w:val="both"/>
        <w:rPr>
          <w:rFonts w:ascii="Times New Roman" w:hAnsi="Times New Roman" w:cs="Times New Roman"/>
        </w:rPr>
      </w:pPr>
      <w:r w:rsidRPr="00C83C16">
        <w:rPr>
          <w:rFonts w:ascii="Times New Roman" w:hAnsi="Times New Roman" w:cs="Times New Roman"/>
        </w:rPr>
        <w:t xml:space="preserve">Monke, E. A. and Pearson, S. R. (1989):  The Policy Analysis Matrix for Agricultural Development.  </w:t>
      </w:r>
    </w:p>
    <w:p w14:paraId="260420B4" w14:textId="77777777" w:rsidR="000F580F" w:rsidRDefault="000F580F" w:rsidP="000F580F">
      <w:pPr>
        <w:spacing w:line="240" w:lineRule="auto"/>
        <w:jc w:val="both"/>
        <w:rPr>
          <w:rFonts w:ascii="Times New Roman" w:hAnsi="Times New Roman" w:cs="Times New Roman"/>
        </w:rPr>
      </w:pPr>
      <w:r>
        <w:rPr>
          <w:rFonts w:ascii="Times New Roman" w:hAnsi="Times New Roman" w:cs="Times New Roman"/>
        </w:rPr>
        <w:t xml:space="preserve">                                       </w:t>
      </w:r>
      <w:proofErr w:type="gramStart"/>
      <w:r w:rsidRPr="00C83C16">
        <w:rPr>
          <w:rFonts w:ascii="Times New Roman" w:hAnsi="Times New Roman" w:cs="Times New Roman"/>
        </w:rPr>
        <w:t>Ithaca  and</w:t>
      </w:r>
      <w:proofErr w:type="gramEnd"/>
      <w:r w:rsidRPr="00C83C16">
        <w:rPr>
          <w:rFonts w:ascii="Times New Roman" w:hAnsi="Times New Roman" w:cs="Times New Roman"/>
        </w:rPr>
        <w:t xml:space="preserve"> London: Cornell University Press.</w:t>
      </w:r>
    </w:p>
    <w:p w14:paraId="07675E67" w14:textId="77777777" w:rsidR="000F580F" w:rsidRDefault="000F580F" w:rsidP="00386E3F">
      <w:pPr>
        <w:autoSpaceDE w:val="0"/>
        <w:autoSpaceDN w:val="0"/>
        <w:adjustRightInd w:val="0"/>
        <w:spacing w:after="0" w:line="240" w:lineRule="auto"/>
        <w:jc w:val="both"/>
        <w:rPr>
          <w:rFonts w:ascii="Times New Roman" w:eastAsia="CIDFont+F4" w:hAnsi="Times New Roman" w:cs="Times New Roman"/>
          <w:color w:val="000000"/>
        </w:rPr>
      </w:pPr>
    </w:p>
    <w:p w14:paraId="239D540F" w14:textId="77777777" w:rsidR="00B15657" w:rsidRDefault="00B15657" w:rsidP="00B15657">
      <w:pPr>
        <w:spacing w:line="240" w:lineRule="auto"/>
        <w:jc w:val="both"/>
        <w:rPr>
          <w:rFonts w:ascii="Times New Roman" w:hAnsi="Times New Roman" w:cs="Times New Roman"/>
        </w:rPr>
      </w:pPr>
      <w:proofErr w:type="spellStart"/>
      <w:r w:rsidRPr="00C83C16">
        <w:rPr>
          <w:rFonts w:ascii="Times New Roman" w:hAnsi="Times New Roman" w:cs="Times New Roman"/>
        </w:rPr>
        <w:t>Saptana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Apri</w:t>
      </w:r>
      <w:proofErr w:type="spellEnd"/>
      <w:r w:rsidRPr="00C83C16">
        <w:rPr>
          <w:rFonts w:ascii="Times New Roman" w:hAnsi="Times New Roman" w:cs="Times New Roman"/>
        </w:rPr>
        <w:t xml:space="preserve"> Laila </w:t>
      </w:r>
      <w:proofErr w:type="spellStart"/>
      <w:r w:rsidRPr="00C83C16">
        <w:rPr>
          <w:rFonts w:ascii="Times New Roman" w:hAnsi="Times New Roman" w:cs="Times New Roman"/>
        </w:rPr>
        <w:t>Sayekti</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Atika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Dyah</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Perioita</w:t>
      </w:r>
      <w:proofErr w:type="spellEnd"/>
      <w:r w:rsidRPr="00C83C16">
        <w:rPr>
          <w:rFonts w:ascii="Times New Roman" w:hAnsi="Times New Roman" w:cs="Times New Roman"/>
        </w:rPr>
        <w:t xml:space="preserve">, Bambang </w:t>
      </w:r>
      <w:proofErr w:type="spellStart"/>
      <w:r w:rsidRPr="00C83C16">
        <w:rPr>
          <w:rFonts w:ascii="Times New Roman" w:hAnsi="Times New Roman" w:cs="Times New Roman"/>
        </w:rPr>
        <w:t>Sayeka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Endro</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Gunawan</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Syahrul</w:t>
      </w:r>
      <w:proofErr w:type="spellEnd"/>
      <w:r w:rsidRPr="00C83C16">
        <w:rPr>
          <w:rFonts w:ascii="Times New Roman" w:hAnsi="Times New Roman" w:cs="Times New Roman"/>
        </w:rPr>
        <w:t xml:space="preserve"> Ganda  </w:t>
      </w:r>
    </w:p>
    <w:p w14:paraId="65AE9797" w14:textId="77777777" w:rsidR="00B15657" w:rsidRDefault="00B15657" w:rsidP="00B15657">
      <w:pPr>
        <w:spacing w:line="240" w:lineRule="auto"/>
        <w:jc w:val="both"/>
        <w:rPr>
          <w:rFonts w:ascii="Times New Roman" w:hAnsi="Times New Roman" w:cs="Times New Roman"/>
        </w:rPr>
      </w:pPr>
      <w:r>
        <w:rPr>
          <w:rFonts w:ascii="Times New Roman" w:hAnsi="Times New Roman" w:cs="Times New Roman"/>
        </w:rPr>
        <w:t xml:space="preserve">         </w:t>
      </w:r>
      <w:proofErr w:type="spellStart"/>
      <w:r w:rsidRPr="00C83C16">
        <w:rPr>
          <w:rFonts w:ascii="Times New Roman" w:hAnsi="Times New Roman" w:cs="Times New Roman"/>
        </w:rPr>
        <w:t>Sukmaya</w:t>
      </w:r>
      <w:proofErr w:type="spellEnd"/>
      <w:r w:rsidRPr="00C83C16">
        <w:rPr>
          <w:rFonts w:ascii="Times New Roman" w:hAnsi="Times New Roman" w:cs="Times New Roman"/>
        </w:rPr>
        <w:t xml:space="preserve">, Nur </w:t>
      </w:r>
      <w:proofErr w:type="spellStart"/>
      <w:r w:rsidRPr="00C83C16">
        <w:rPr>
          <w:rFonts w:ascii="Times New Roman" w:hAnsi="Times New Roman" w:cs="Times New Roman"/>
        </w:rPr>
        <w:t>Qomariuh</w:t>
      </w:r>
      <w:proofErr w:type="spellEnd"/>
      <w:r w:rsidRPr="00C83C16">
        <w:rPr>
          <w:rFonts w:ascii="Times New Roman" w:hAnsi="Times New Roman" w:cs="Times New Roman"/>
        </w:rPr>
        <w:t xml:space="preserve"> </w:t>
      </w:r>
      <w:proofErr w:type="spellStart"/>
      <w:proofErr w:type="gramStart"/>
      <w:r w:rsidRPr="00C83C16">
        <w:rPr>
          <w:rFonts w:ascii="Times New Roman" w:hAnsi="Times New Roman" w:cs="Times New Roman"/>
        </w:rPr>
        <w:t>Hayati,Yusuf</w:t>
      </w:r>
      <w:proofErr w:type="spellEnd"/>
      <w:proofErr w:type="gramEnd"/>
      <w:r w:rsidRPr="00C83C16">
        <w:rPr>
          <w:rFonts w:ascii="Times New Roman" w:hAnsi="Times New Roman" w:cs="Times New Roman"/>
        </w:rPr>
        <w:t xml:space="preserve"> </w:t>
      </w:r>
      <w:proofErr w:type="spellStart"/>
      <w:r w:rsidRPr="00C83C16">
        <w:rPr>
          <w:rFonts w:ascii="Times New Roman" w:hAnsi="Times New Roman" w:cs="Times New Roman"/>
        </w:rPr>
        <w:t>Sumaryanto</w:t>
      </w:r>
      <w:proofErr w:type="spellEnd"/>
      <w:r w:rsidRPr="00C83C16">
        <w:rPr>
          <w:rFonts w:ascii="Times New Roman" w:hAnsi="Times New Roman" w:cs="Times New Roman"/>
        </w:rPr>
        <w:t xml:space="preserve">, Muhammad </w:t>
      </w:r>
      <w:proofErr w:type="spellStart"/>
      <w:r w:rsidRPr="00C83C16">
        <w:rPr>
          <w:rFonts w:ascii="Times New Roman" w:hAnsi="Times New Roman" w:cs="Times New Roman"/>
        </w:rPr>
        <w:t>Prama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Yufdy</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Sudi</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Mardianto</w:t>
      </w:r>
      <w:proofErr w:type="spellEnd"/>
      <w:r w:rsidRPr="00C83C16">
        <w:rPr>
          <w:rFonts w:ascii="Times New Roman" w:hAnsi="Times New Roman" w:cs="Times New Roman"/>
        </w:rPr>
        <w:t xml:space="preserve">, </w:t>
      </w:r>
    </w:p>
    <w:p w14:paraId="75FA7B61" w14:textId="77777777" w:rsidR="00B15657" w:rsidRDefault="0018034B" w:rsidP="00B15657">
      <w:pPr>
        <w:spacing w:line="240" w:lineRule="auto"/>
        <w:jc w:val="both"/>
        <w:rPr>
          <w:rFonts w:ascii="Times New Roman" w:hAnsi="Times New Roman" w:cs="Times New Roman"/>
        </w:rPr>
      </w:pPr>
      <w:r>
        <w:rPr>
          <w:rFonts w:ascii="Times New Roman" w:hAnsi="Times New Roman" w:cs="Times New Roman"/>
        </w:rPr>
        <w:lastRenderedPageBreak/>
        <w:t xml:space="preserve">   </w:t>
      </w:r>
      <w:proofErr w:type="spellStart"/>
      <w:r w:rsidR="00B15657" w:rsidRPr="00C83C16">
        <w:rPr>
          <w:rFonts w:ascii="Times New Roman" w:hAnsi="Times New Roman" w:cs="Times New Roman"/>
        </w:rPr>
        <w:t>Atika</w:t>
      </w:r>
      <w:proofErr w:type="spellEnd"/>
      <w:r w:rsidR="00B15657" w:rsidRPr="00C83C16">
        <w:rPr>
          <w:rFonts w:ascii="Times New Roman" w:hAnsi="Times New Roman" w:cs="Times New Roman"/>
        </w:rPr>
        <w:t xml:space="preserve"> Dian </w:t>
      </w:r>
      <w:proofErr w:type="spellStart"/>
      <w:r w:rsidR="00B15657" w:rsidRPr="00C83C16">
        <w:rPr>
          <w:rFonts w:ascii="Times New Roman" w:hAnsi="Times New Roman" w:cs="Times New Roman"/>
        </w:rPr>
        <w:t>Pitaloka</w:t>
      </w:r>
      <w:proofErr w:type="spellEnd"/>
      <w:r w:rsidR="00B15657" w:rsidRPr="00C83C16">
        <w:rPr>
          <w:rFonts w:ascii="Times New Roman" w:hAnsi="Times New Roman" w:cs="Times New Roman"/>
        </w:rPr>
        <w:t xml:space="preserve"> (2022): Analysis of Competitiveness and Comparative Advantage of </w:t>
      </w:r>
    </w:p>
    <w:p w14:paraId="255C3E49" w14:textId="77777777" w:rsidR="00B15657" w:rsidRDefault="00B15657" w:rsidP="00B15657">
      <w:pPr>
        <w:spacing w:line="240" w:lineRule="auto"/>
        <w:jc w:val="both"/>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 xml:space="preserve">Potato Production in Indonesia. </w:t>
      </w:r>
      <w:r w:rsidRPr="00B15657">
        <w:rPr>
          <w:rFonts w:ascii="Times New Roman" w:hAnsi="Times New Roman" w:cs="Times New Roman"/>
          <w:i/>
        </w:rPr>
        <w:t xml:space="preserve">Journal Pone PLOS ONE </w:t>
      </w:r>
      <w:r w:rsidRPr="00C83C16">
        <w:rPr>
          <w:rFonts w:ascii="Times New Roman" w:hAnsi="Times New Roman" w:cs="Times New Roman"/>
        </w:rPr>
        <w:t>17(2).</w:t>
      </w:r>
    </w:p>
    <w:p w14:paraId="5ECE4EB5" w14:textId="77777777" w:rsidR="00B15657" w:rsidRDefault="00B15657" w:rsidP="00B15657">
      <w:pPr>
        <w:spacing w:line="240" w:lineRule="auto"/>
        <w:rPr>
          <w:rFonts w:ascii="Times New Roman" w:hAnsi="Times New Roman" w:cs="Times New Roman"/>
        </w:rPr>
      </w:pPr>
      <w:proofErr w:type="spellStart"/>
      <w:r w:rsidRPr="00C83C16">
        <w:rPr>
          <w:rFonts w:ascii="Times New Roman" w:hAnsi="Times New Roman" w:cs="Times New Roman"/>
        </w:rPr>
        <w:t>Saidova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Daildora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Nurmatovna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Ashurmetova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Nigora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Azatbekovna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Dexkanva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Shakhlokhon</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Sagdiyeivna</w:t>
      </w:r>
      <w:proofErr w:type="spellEnd"/>
      <w:r w:rsidRPr="00C83C16">
        <w:rPr>
          <w:rFonts w:ascii="Times New Roman" w:hAnsi="Times New Roman" w:cs="Times New Roman"/>
        </w:rPr>
        <w:t xml:space="preserve"> </w:t>
      </w:r>
    </w:p>
    <w:p w14:paraId="2BAE6DF1" w14:textId="77777777" w:rsidR="00B15657" w:rsidRDefault="00B15657" w:rsidP="00B15657">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 xml:space="preserve">Mustafayev and </w:t>
      </w:r>
      <w:proofErr w:type="spellStart"/>
      <w:r w:rsidRPr="00C83C16">
        <w:rPr>
          <w:rFonts w:ascii="Times New Roman" w:hAnsi="Times New Roman" w:cs="Times New Roman"/>
        </w:rPr>
        <w:t>Sarvar</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Abdirozzokovitch</w:t>
      </w:r>
      <w:proofErr w:type="spellEnd"/>
      <w:r w:rsidRPr="00C83C16">
        <w:rPr>
          <w:rFonts w:ascii="Times New Roman" w:hAnsi="Times New Roman" w:cs="Times New Roman"/>
        </w:rPr>
        <w:t xml:space="preserve">, (2020). Methods and Criterial for Measuring </w:t>
      </w:r>
    </w:p>
    <w:p w14:paraId="5DBC7783" w14:textId="77777777" w:rsidR="00B15657" w:rsidRDefault="00B15657" w:rsidP="00B15657">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Competitiveness of Agricultural Sector P</w:t>
      </w:r>
      <w:r w:rsidRPr="00B15657">
        <w:rPr>
          <w:rFonts w:ascii="Times New Roman" w:hAnsi="Times New Roman" w:cs="Times New Roman"/>
          <w:i/>
        </w:rPr>
        <w:t xml:space="preserve">al </w:t>
      </w:r>
      <w:proofErr w:type="spellStart"/>
      <w:proofErr w:type="gramStart"/>
      <w:r w:rsidRPr="00B15657">
        <w:rPr>
          <w:rFonts w:ascii="Times New Roman" w:hAnsi="Times New Roman" w:cs="Times New Roman"/>
          <w:i/>
        </w:rPr>
        <w:t>Arch,s</w:t>
      </w:r>
      <w:proofErr w:type="spellEnd"/>
      <w:proofErr w:type="gramEnd"/>
      <w:r w:rsidRPr="00B15657">
        <w:rPr>
          <w:rFonts w:ascii="Times New Roman" w:hAnsi="Times New Roman" w:cs="Times New Roman"/>
          <w:i/>
        </w:rPr>
        <w:t xml:space="preserve"> Journal of </w:t>
      </w:r>
      <w:proofErr w:type="spellStart"/>
      <w:r w:rsidRPr="00B15657">
        <w:rPr>
          <w:rFonts w:ascii="Times New Roman" w:hAnsi="Times New Roman" w:cs="Times New Roman"/>
          <w:i/>
        </w:rPr>
        <w:t>Achaeology</w:t>
      </w:r>
      <w:proofErr w:type="spellEnd"/>
      <w:r w:rsidRPr="00B15657">
        <w:rPr>
          <w:rFonts w:ascii="Times New Roman" w:hAnsi="Times New Roman" w:cs="Times New Roman"/>
          <w:i/>
        </w:rPr>
        <w:t xml:space="preserve"> of Egypt</w:t>
      </w:r>
      <w:r w:rsidRPr="00C83C16">
        <w:rPr>
          <w:rFonts w:ascii="Times New Roman" w:hAnsi="Times New Roman" w:cs="Times New Roman"/>
        </w:rPr>
        <w:t xml:space="preserve"> 17 (6). 3392-3398</w:t>
      </w:r>
    </w:p>
    <w:p w14:paraId="2241C8F0" w14:textId="77777777" w:rsidR="000F580F" w:rsidRPr="00C83C16" w:rsidRDefault="000F580F" w:rsidP="000F580F">
      <w:pPr>
        <w:spacing w:line="240" w:lineRule="auto"/>
        <w:jc w:val="both"/>
        <w:rPr>
          <w:rFonts w:ascii="Times New Roman" w:hAnsi="Times New Roman" w:cs="Times New Roman"/>
        </w:rPr>
      </w:pPr>
      <w:r w:rsidRPr="00C83C16">
        <w:rPr>
          <w:rFonts w:ascii="Times New Roman" w:hAnsi="Times New Roman" w:cs="Times New Roman"/>
        </w:rPr>
        <w:t xml:space="preserve">Ilchenko. S; </w:t>
      </w:r>
      <w:proofErr w:type="spellStart"/>
      <w:r w:rsidRPr="00C83C16">
        <w:rPr>
          <w:rFonts w:ascii="Times New Roman" w:hAnsi="Times New Roman" w:cs="Times New Roman"/>
        </w:rPr>
        <w:t>Vadym</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Gryshchenko</w:t>
      </w:r>
      <w:proofErr w:type="spellEnd"/>
      <w:r w:rsidRPr="00C83C16">
        <w:rPr>
          <w:rFonts w:ascii="Times New Roman" w:hAnsi="Times New Roman" w:cs="Times New Roman"/>
        </w:rPr>
        <w:t xml:space="preserve"> and Iryna </w:t>
      </w:r>
      <w:proofErr w:type="spellStart"/>
      <w:r w:rsidRPr="00C83C16">
        <w:rPr>
          <w:rFonts w:ascii="Times New Roman" w:hAnsi="Times New Roman" w:cs="Times New Roman"/>
        </w:rPr>
        <w:t>Gryshchenko</w:t>
      </w:r>
      <w:proofErr w:type="spellEnd"/>
      <w:r w:rsidRPr="00C83C16">
        <w:rPr>
          <w:rFonts w:ascii="Times New Roman" w:hAnsi="Times New Roman" w:cs="Times New Roman"/>
        </w:rPr>
        <w:t xml:space="preserve"> (2021): Definition and the concept of </w:t>
      </w:r>
    </w:p>
    <w:p w14:paraId="50C66BB0" w14:textId="77777777" w:rsidR="000F580F" w:rsidRDefault="000F580F" w:rsidP="000F580F">
      <w:pPr>
        <w:spacing w:line="240" w:lineRule="auto"/>
        <w:jc w:val="both"/>
        <w:rPr>
          <w:rFonts w:ascii="Times New Roman" w:hAnsi="Times New Roman" w:cs="Times New Roman"/>
        </w:rPr>
      </w:pPr>
      <w:r w:rsidRPr="00C83C16">
        <w:rPr>
          <w:rFonts w:ascii="Times New Roman" w:hAnsi="Times New Roman" w:cs="Times New Roman"/>
        </w:rPr>
        <w:t xml:space="preserve">           </w:t>
      </w:r>
      <w:r>
        <w:rPr>
          <w:rFonts w:ascii="Times New Roman" w:hAnsi="Times New Roman" w:cs="Times New Roman"/>
        </w:rPr>
        <w:t xml:space="preserve">     </w:t>
      </w:r>
      <w:r w:rsidRPr="00C83C16">
        <w:rPr>
          <w:rFonts w:ascii="Times New Roman" w:hAnsi="Times New Roman" w:cs="Times New Roman"/>
        </w:rPr>
        <w:t>competitiveness and competitive advantage. International scientific</w:t>
      </w:r>
      <w:r>
        <w:rPr>
          <w:rFonts w:ascii="Times New Roman" w:hAnsi="Times New Roman" w:cs="Times New Roman"/>
        </w:rPr>
        <w:t xml:space="preserve"> and practical conference. </w:t>
      </w:r>
    </w:p>
    <w:p w14:paraId="671E2A3C" w14:textId="77777777" w:rsidR="000F580F" w:rsidRDefault="000F580F" w:rsidP="000F580F">
      <w:pPr>
        <w:spacing w:line="240" w:lineRule="auto"/>
        <w:jc w:val="both"/>
        <w:rPr>
          <w:rFonts w:ascii="Times New Roman" w:hAnsi="Times New Roman" w:cs="Times New Roman"/>
        </w:rPr>
      </w:pPr>
      <w:r>
        <w:rPr>
          <w:rFonts w:ascii="Times New Roman" w:hAnsi="Times New Roman" w:cs="Times New Roman"/>
        </w:rPr>
        <w:t xml:space="preserve">                    Vol-</w:t>
      </w:r>
      <w:r w:rsidRPr="00C83C16">
        <w:rPr>
          <w:rFonts w:ascii="Times New Roman" w:hAnsi="Times New Roman" w:cs="Times New Roman"/>
        </w:rPr>
        <w:t xml:space="preserve"> 3126 paper 18.</w:t>
      </w:r>
    </w:p>
    <w:p w14:paraId="0B471DD6" w14:textId="77777777" w:rsidR="000F580F" w:rsidRDefault="000F580F" w:rsidP="000F580F">
      <w:pPr>
        <w:spacing w:line="240" w:lineRule="auto"/>
        <w:jc w:val="both"/>
        <w:rPr>
          <w:rFonts w:ascii="Times New Roman" w:hAnsi="Times New Roman" w:cs="Times New Roman"/>
        </w:rPr>
      </w:pPr>
      <w:r w:rsidRPr="00C83C16">
        <w:rPr>
          <w:rFonts w:ascii="Times New Roman" w:hAnsi="Times New Roman" w:cs="Times New Roman"/>
        </w:rPr>
        <w:t xml:space="preserve">Vivek </w:t>
      </w:r>
      <w:proofErr w:type="spellStart"/>
      <w:r w:rsidRPr="00C83C16">
        <w:rPr>
          <w:rFonts w:ascii="Times New Roman" w:hAnsi="Times New Roman" w:cs="Times New Roman"/>
        </w:rPr>
        <w:t>Voora</w:t>
      </w:r>
      <w:proofErr w:type="spellEnd"/>
      <w:r w:rsidRPr="00C83C16">
        <w:rPr>
          <w:rFonts w:ascii="Times New Roman" w:hAnsi="Times New Roman" w:cs="Times New Roman"/>
        </w:rPr>
        <w:t xml:space="preserve">, </w:t>
      </w:r>
      <w:proofErr w:type="spellStart"/>
      <w:r w:rsidRPr="00C83C16">
        <w:rPr>
          <w:rFonts w:ascii="Times New Roman" w:hAnsi="Times New Roman" w:cs="Times New Roman"/>
        </w:rPr>
        <w:t>Steffany</w:t>
      </w:r>
      <w:proofErr w:type="spellEnd"/>
      <w:r w:rsidRPr="00C83C16">
        <w:rPr>
          <w:rFonts w:ascii="Times New Roman" w:hAnsi="Times New Roman" w:cs="Times New Roman"/>
        </w:rPr>
        <w:t xml:space="preserve"> Bermudez, Cristina Larrea, (2019): Global Market report: Tea. Sustainable </w:t>
      </w:r>
    </w:p>
    <w:p w14:paraId="42504CA5" w14:textId="77777777" w:rsidR="000F580F" w:rsidRDefault="000F580F" w:rsidP="000F580F">
      <w:pPr>
        <w:spacing w:line="240" w:lineRule="auto"/>
        <w:jc w:val="both"/>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International Institut</w:t>
      </w:r>
      <w:r>
        <w:rPr>
          <w:rFonts w:ascii="Times New Roman" w:hAnsi="Times New Roman" w:cs="Times New Roman"/>
        </w:rPr>
        <w:t xml:space="preserve">e for sustainable development </w:t>
      </w:r>
      <w:r w:rsidRPr="00C83C16">
        <w:rPr>
          <w:rFonts w:ascii="Times New Roman" w:hAnsi="Times New Roman" w:cs="Times New Roman"/>
        </w:rPr>
        <w:t>market place series.</w:t>
      </w:r>
    </w:p>
    <w:p w14:paraId="1D992EBC" w14:textId="77777777" w:rsidR="00B15657" w:rsidRPr="00C83C16" w:rsidRDefault="00B15657" w:rsidP="00B15657">
      <w:pPr>
        <w:autoSpaceDE w:val="0"/>
        <w:autoSpaceDN w:val="0"/>
        <w:adjustRightInd w:val="0"/>
        <w:spacing w:after="0" w:line="240" w:lineRule="auto"/>
        <w:jc w:val="both"/>
        <w:rPr>
          <w:rFonts w:ascii="Times New Roman" w:hAnsi="Times New Roman" w:cs="Times New Roman"/>
        </w:rPr>
      </w:pPr>
    </w:p>
    <w:p w14:paraId="18A29F24" w14:textId="77777777" w:rsidR="00B15657" w:rsidRDefault="00B15657" w:rsidP="00B15657">
      <w:pPr>
        <w:spacing w:line="240" w:lineRule="auto"/>
        <w:rPr>
          <w:rFonts w:ascii="Times New Roman" w:hAnsi="Times New Roman" w:cs="Times New Roman"/>
        </w:rPr>
      </w:pPr>
      <w:r w:rsidRPr="00C83C16">
        <w:rPr>
          <w:rFonts w:ascii="Times New Roman" w:hAnsi="Times New Roman" w:cs="Times New Roman"/>
        </w:rPr>
        <w:t>Rahji M.A.Y and Omotosho, O.A, (2006): Technical Inefficiency and comp</w:t>
      </w:r>
      <w:r>
        <w:rPr>
          <w:rFonts w:ascii="Times New Roman" w:hAnsi="Times New Roman" w:cs="Times New Roman"/>
        </w:rPr>
        <w:t xml:space="preserve">etitiveness in Production: The    </w:t>
      </w:r>
    </w:p>
    <w:p w14:paraId="31BFEE70" w14:textId="77777777" w:rsidR="00B15657" w:rsidRPr="00C83C16" w:rsidRDefault="00B15657" w:rsidP="00B15657">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case of Rice Farms in Niger State Nigeria. Agro search (2006).8 no1.67-79.</w:t>
      </w:r>
    </w:p>
    <w:p w14:paraId="2B2B07AB" w14:textId="77777777" w:rsidR="00B15657" w:rsidRPr="00C83C16" w:rsidRDefault="00B15657" w:rsidP="00B15657">
      <w:pPr>
        <w:spacing w:line="240" w:lineRule="auto"/>
        <w:jc w:val="both"/>
        <w:rPr>
          <w:rFonts w:ascii="Times New Roman" w:hAnsi="Times New Roman" w:cs="Times New Roman"/>
        </w:rPr>
      </w:pPr>
    </w:p>
    <w:p w14:paraId="2CD201D1" w14:textId="77777777" w:rsidR="00B15657" w:rsidRDefault="00B15657" w:rsidP="00386E3F">
      <w:pPr>
        <w:autoSpaceDE w:val="0"/>
        <w:autoSpaceDN w:val="0"/>
        <w:adjustRightInd w:val="0"/>
        <w:spacing w:after="0" w:line="240" w:lineRule="auto"/>
        <w:jc w:val="both"/>
        <w:rPr>
          <w:rFonts w:ascii="Times New Roman" w:eastAsia="CIDFont+F4" w:hAnsi="Times New Roman" w:cs="Times New Roman"/>
          <w:color w:val="000000"/>
        </w:rPr>
      </w:pPr>
    </w:p>
    <w:p w14:paraId="0F9C6879" w14:textId="77777777" w:rsidR="00386E3F" w:rsidRPr="00775DBE" w:rsidRDefault="00386E3F" w:rsidP="00386E3F">
      <w:pPr>
        <w:pStyle w:val="NoSpacing"/>
        <w:jc w:val="both"/>
        <w:rPr>
          <w:rFonts w:ascii="Times New Roman" w:hAnsi="Times New Roman" w:cs="Times New Roman"/>
          <w:color w:val="FF0000"/>
          <w:sz w:val="24"/>
          <w:szCs w:val="24"/>
        </w:rPr>
      </w:pPr>
    </w:p>
    <w:p w14:paraId="7E60B09C" w14:textId="77777777" w:rsidR="00386E3F" w:rsidRPr="00F045AA" w:rsidRDefault="00386E3F" w:rsidP="00386E3F">
      <w:pPr>
        <w:spacing w:line="360" w:lineRule="auto"/>
        <w:jc w:val="both"/>
        <w:rPr>
          <w:rFonts w:ascii="Times New Roman" w:hAnsi="Times New Roman" w:cs="Times New Roman"/>
          <w:sz w:val="24"/>
          <w:szCs w:val="24"/>
        </w:rPr>
      </w:pPr>
    </w:p>
    <w:p w14:paraId="5E645BE3" w14:textId="77777777" w:rsidR="00386E3F" w:rsidRPr="0047600F" w:rsidRDefault="00386E3F">
      <w:pPr>
        <w:rPr>
          <w:rFonts w:ascii="Times New Roman" w:hAnsi="Times New Roman" w:cs="Times New Roman"/>
          <w:b/>
        </w:rPr>
      </w:pPr>
    </w:p>
    <w:sectPr w:rsidR="00386E3F" w:rsidRPr="004760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72FAD" w14:textId="77777777" w:rsidR="0080236B" w:rsidRDefault="0080236B" w:rsidP="00AA3672">
      <w:pPr>
        <w:spacing w:after="0" w:line="240" w:lineRule="auto"/>
      </w:pPr>
      <w:r>
        <w:separator/>
      </w:r>
    </w:p>
  </w:endnote>
  <w:endnote w:type="continuationSeparator" w:id="0">
    <w:p w14:paraId="42476F46" w14:textId="77777777" w:rsidR="0080236B" w:rsidRDefault="0080236B" w:rsidP="00AA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4">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E034" w14:textId="77777777" w:rsidR="00AA3672" w:rsidRDefault="00AA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DBB2" w14:textId="77777777" w:rsidR="00AA3672" w:rsidRDefault="00AA3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CF9F" w14:textId="77777777" w:rsidR="00AA3672" w:rsidRDefault="00AA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20BB1" w14:textId="77777777" w:rsidR="0080236B" w:rsidRDefault="0080236B" w:rsidP="00AA3672">
      <w:pPr>
        <w:spacing w:after="0" w:line="240" w:lineRule="auto"/>
      </w:pPr>
      <w:r>
        <w:separator/>
      </w:r>
    </w:p>
  </w:footnote>
  <w:footnote w:type="continuationSeparator" w:id="0">
    <w:p w14:paraId="0E1E8F8A" w14:textId="77777777" w:rsidR="0080236B" w:rsidRDefault="0080236B" w:rsidP="00AA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4A989" w14:textId="176D1C89" w:rsidR="00AA3672" w:rsidRDefault="00AA3672">
    <w:pPr>
      <w:pStyle w:val="Header"/>
    </w:pPr>
    <w:r>
      <w:rPr>
        <w:noProof/>
      </w:rPr>
      <w:pict w14:anchorId="39AC0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7119" w14:textId="18D13A47" w:rsidR="00AA3672" w:rsidRDefault="00AA3672">
    <w:pPr>
      <w:pStyle w:val="Header"/>
    </w:pPr>
    <w:r>
      <w:rPr>
        <w:noProof/>
      </w:rPr>
      <w:pict w14:anchorId="53770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F431" w14:textId="6AC91D27" w:rsidR="00AA3672" w:rsidRDefault="00AA3672">
    <w:pPr>
      <w:pStyle w:val="Header"/>
    </w:pPr>
    <w:r>
      <w:rPr>
        <w:noProof/>
      </w:rPr>
      <w:pict w14:anchorId="0EAF0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00F"/>
    <w:rsid w:val="00013A3E"/>
    <w:rsid w:val="0001471B"/>
    <w:rsid w:val="00070008"/>
    <w:rsid w:val="000C6EF9"/>
    <w:rsid w:val="000F580F"/>
    <w:rsid w:val="000F5DF3"/>
    <w:rsid w:val="001736AC"/>
    <w:rsid w:val="0018034B"/>
    <w:rsid w:val="00187857"/>
    <w:rsid w:val="001B3DE1"/>
    <w:rsid w:val="001C4E41"/>
    <w:rsid w:val="001D0112"/>
    <w:rsid w:val="001F75EF"/>
    <w:rsid w:val="002A6676"/>
    <w:rsid w:val="002B4BB1"/>
    <w:rsid w:val="00314882"/>
    <w:rsid w:val="00316988"/>
    <w:rsid w:val="00364170"/>
    <w:rsid w:val="00386E3F"/>
    <w:rsid w:val="003C37E2"/>
    <w:rsid w:val="0047600F"/>
    <w:rsid w:val="004F5D04"/>
    <w:rsid w:val="00513723"/>
    <w:rsid w:val="00530FF3"/>
    <w:rsid w:val="00551C8D"/>
    <w:rsid w:val="00581729"/>
    <w:rsid w:val="00597461"/>
    <w:rsid w:val="00644665"/>
    <w:rsid w:val="006B6399"/>
    <w:rsid w:val="00723376"/>
    <w:rsid w:val="00762762"/>
    <w:rsid w:val="00762E1C"/>
    <w:rsid w:val="007A4FF4"/>
    <w:rsid w:val="0080236B"/>
    <w:rsid w:val="00827ED9"/>
    <w:rsid w:val="0084797E"/>
    <w:rsid w:val="00884AE6"/>
    <w:rsid w:val="008B4AB0"/>
    <w:rsid w:val="008E1F09"/>
    <w:rsid w:val="00990E49"/>
    <w:rsid w:val="009C663C"/>
    <w:rsid w:val="009D328C"/>
    <w:rsid w:val="009E19F0"/>
    <w:rsid w:val="009F6136"/>
    <w:rsid w:val="00AA3672"/>
    <w:rsid w:val="00AB26CE"/>
    <w:rsid w:val="00AE1767"/>
    <w:rsid w:val="00AF2D9A"/>
    <w:rsid w:val="00AF6DD5"/>
    <w:rsid w:val="00AF7407"/>
    <w:rsid w:val="00B1301D"/>
    <w:rsid w:val="00B15657"/>
    <w:rsid w:val="00B17CCC"/>
    <w:rsid w:val="00B62F28"/>
    <w:rsid w:val="00B9594F"/>
    <w:rsid w:val="00B95FE5"/>
    <w:rsid w:val="00BA25F0"/>
    <w:rsid w:val="00BA2FF3"/>
    <w:rsid w:val="00BD0572"/>
    <w:rsid w:val="00C37B65"/>
    <w:rsid w:val="00C9749A"/>
    <w:rsid w:val="00CB74EF"/>
    <w:rsid w:val="00CD7B9B"/>
    <w:rsid w:val="00CE6584"/>
    <w:rsid w:val="00CE726E"/>
    <w:rsid w:val="00CF07F8"/>
    <w:rsid w:val="00CF6B8C"/>
    <w:rsid w:val="00D06B95"/>
    <w:rsid w:val="00E2471F"/>
    <w:rsid w:val="00E83548"/>
    <w:rsid w:val="00E9180A"/>
    <w:rsid w:val="00F9521D"/>
    <w:rsid w:val="00F9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E1FA6C"/>
  <w15:docId w15:val="{022F8181-29A2-46C2-8B9F-4388961D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6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6E3F"/>
    <w:pPr>
      <w:spacing w:after="0" w:line="240" w:lineRule="auto"/>
    </w:pPr>
  </w:style>
  <w:style w:type="table" w:customStyle="1" w:styleId="TableGrid6">
    <w:name w:val="Table Grid6"/>
    <w:basedOn w:val="TableNormal"/>
    <w:next w:val="TableGrid"/>
    <w:uiPriority w:val="39"/>
    <w:rsid w:val="00386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E3F"/>
    <w:rPr>
      <w:rFonts w:ascii="Tahoma" w:hAnsi="Tahoma" w:cs="Tahoma"/>
      <w:sz w:val="16"/>
      <w:szCs w:val="16"/>
    </w:rPr>
  </w:style>
  <w:style w:type="character" w:styleId="Hyperlink">
    <w:name w:val="Hyperlink"/>
    <w:basedOn w:val="DefaultParagraphFont"/>
    <w:uiPriority w:val="99"/>
    <w:unhideWhenUsed/>
    <w:rsid w:val="00CF07F8"/>
    <w:rPr>
      <w:color w:val="0000FF" w:themeColor="hyperlink"/>
      <w:u w:val="single"/>
    </w:rPr>
  </w:style>
  <w:style w:type="character" w:styleId="UnresolvedMention">
    <w:name w:val="Unresolved Mention"/>
    <w:basedOn w:val="DefaultParagraphFont"/>
    <w:uiPriority w:val="99"/>
    <w:semiHidden/>
    <w:unhideWhenUsed/>
    <w:rsid w:val="00CF07F8"/>
    <w:rPr>
      <w:color w:val="605E5C"/>
      <w:shd w:val="clear" w:color="auto" w:fill="E1DFDD"/>
    </w:rPr>
  </w:style>
  <w:style w:type="paragraph" w:styleId="Header">
    <w:name w:val="header"/>
    <w:basedOn w:val="Normal"/>
    <w:link w:val="HeaderChar"/>
    <w:uiPriority w:val="99"/>
    <w:unhideWhenUsed/>
    <w:rsid w:val="00AA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672"/>
  </w:style>
  <w:style w:type="paragraph" w:styleId="Footer">
    <w:name w:val="footer"/>
    <w:basedOn w:val="Normal"/>
    <w:link w:val="FooterChar"/>
    <w:uiPriority w:val="99"/>
    <w:unhideWhenUsed/>
    <w:rsid w:val="00AA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3666">
      <w:bodyDiv w:val="1"/>
      <w:marLeft w:val="0"/>
      <w:marRight w:val="0"/>
      <w:marTop w:val="0"/>
      <w:marBottom w:val="0"/>
      <w:divBdr>
        <w:top w:val="none" w:sz="0" w:space="0" w:color="auto"/>
        <w:left w:val="none" w:sz="0" w:space="0" w:color="auto"/>
        <w:bottom w:val="none" w:sz="0" w:space="0" w:color="auto"/>
        <w:right w:val="none" w:sz="0" w:space="0" w:color="auto"/>
      </w:divBdr>
    </w:div>
    <w:div w:id="530343837">
      <w:bodyDiv w:val="1"/>
      <w:marLeft w:val="0"/>
      <w:marRight w:val="0"/>
      <w:marTop w:val="0"/>
      <w:marBottom w:val="0"/>
      <w:divBdr>
        <w:top w:val="none" w:sz="0" w:space="0" w:color="auto"/>
        <w:left w:val="none" w:sz="0" w:space="0" w:color="auto"/>
        <w:bottom w:val="none" w:sz="0" w:space="0" w:color="auto"/>
        <w:right w:val="none" w:sz="0" w:space="0" w:color="auto"/>
      </w:divBdr>
    </w:div>
    <w:div w:id="15764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10</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BUSINESS-HUB PC</dc:creator>
  <cp:lastModifiedBy>SDI 1084</cp:lastModifiedBy>
  <cp:revision>47</cp:revision>
  <dcterms:created xsi:type="dcterms:W3CDTF">2023-06-19T15:56:00Z</dcterms:created>
  <dcterms:modified xsi:type="dcterms:W3CDTF">2025-03-15T06:00:00Z</dcterms:modified>
</cp:coreProperties>
</file>