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F5FAC" w14:textId="77777777" w:rsidR="00632B59" w:rsidRPr="00632B59" w:rsidRDefault="00632B59" w:rsidP="00632B59">
      <w:pPr>
        <w:spacing w:line="480" w:lineRule="auto"/>
        <w:rPr>
          <w:rFonts w:ascii="Arial" w:eastAsia="Arial" w:hAnsi="Arial" w:cs="Arial"/>
          <w:b/>
          <w:bCs/>
          <w:i/>
          <w:iCs/>
          <w:sz w:val="24"/>
          <w:szCs w:val="24"/>
          <w:u w:val="single"/>
        </w:rPr>
      </w:pPr>
      <w:r w:rsidRPr="00632B59">
        <w:rPr>
          <w:rFonts w:ascii="Arial" w:eastAsia="Arial" w:hAnsi="Arial" w:cs="Arial"/>
          <w:b/>
          <w:bCs/>
          <w:i/>
          <w:iCs/>
          <w:sz w:val="24"/>
          <w:szCs w:val="24"/>
          <w:u w:val="single"/>
        </w:rPr>
        <w:t>Original Research Article</w:t>
      </w:r>
    </w:p>
    <w:p w14:paraId="1D177776" w14:textId="77777777" w:rsidR="00632B59" w:rsidRDefault="00632B59">
      <w:pPr>
        <w:spacing w:line="480" w:lineRule="auto"/>
        <w:rPr>
          <w:rFonts w:ascii="Arial" w:eastAsia="Arial" w:hAnsi="Arial" w:cs="Arial"/>
          <w:b/>
          <w:sz w:val="24"/>
          <w:szCs w:val="24"/>
        </w:rPr>
      </w:pPr>
    </w:p>
    <w:p w14:paraId="19ED00CF" w14:textId="7ED3C41D" w:rsidR="009F5352" w:rsidRDefault="002918AF">
      <w:pPr>
        <w:spacing w:line="480" w:lineRule="auto"/>
        <w:rPr>
          <w:rFonts w:ascii="Arial" w:eastAsia="Arial" w:hAnsi="Arial" w:cs="Arial"/>
          <w:b/>
          <w:sz w:val="24"/>
          <w:szCs w:val="24"/>
        </w:rPr>
      </w:pPr>
      <w:r>
        <w:rPr>
          <w:rFonts w:ascii="Arial" w:eastAsia="Arial" w:hAnsi="Arial" w:cs="Arial"/>
          <w:b/>
          <w:sz w:val="24"/>
          <w:szCs w:val="24"/>
        </w:rPr>
        <w:t>Novel findings in Occupation and Posture Related Musculoskeletal Low Back Pain: A Cross-sectional Study of Female Traders in Benin City Nigeria</w:t>
      </w:r>
    </w:p>
    <w:p w14:paraId="075A6477" w14:textId="77777777" w:rsidR="00632B59" w:rsidRDefault="00632B59">
      <w:pPr>
        <w:spacing w:line="480" w:lineRule="auto"/>
        <w:rPr>
          <w:rFonts w:ascii="Arial" w:eastAsia="Arial" w:hAnsi="Arial" w:cs="Arial"/>
          <w:b/>
          <w:sz w:val="24"/>
          <w:szCs w:val="24"/>
        </w:rPr>
      </w:pPr>
    </w:p>
    <w:p w14:paraId="3444BB13" w14:textId="77777777" w:rsidR="009F5352" w:rsidRDefault="009F5352">
      <w:pPr>
        <w:spacing w:line="480" w:lineRule="auto"/>
        <w:rPr>
          <w:rFonts w:ascii="Arial" w:eastAsia="Arial" w:hAnsi="Arial" w:cs="Arial"/>
          <w:sz w:val="24"/>
          <w:szCs w:val="24"/>
        </w:rPr>
      </w:pPr>
    </w:p>
    <w:p w14:paraId="4BC99261"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ABSTRACT</w:t>
      </w:r>
    </w:p>
    <w:p w14:paraId="0F018236" w14:textId="77777777" w:rsidR="009F5352" w:rsidRDefault="009F5352">
      <w:pPr>
        <w:spacing w:line="480" w:lineRule="auto"/>
        <w:rPr>
          <w:rFonts w:ascii="Arial" w:eastAsia="Arial" w:hAnsi="Arial" w:cs="Arial"/>
          <w:sz w:val="24"/>
          <w:szCs w:val="24"/>
        </w:rPr>
      </w:pPr>
    </w:p>
    <w:p w14:paraId="47ED0578"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Low back pain (LBP) is a pervasive musculoskeletal condition affecting millions worldwide, with approximately 7.5% of the global population experiencing it (Hartvigsen et al., 2018). It is not just a clinical concern but a major public health iss</w:t>
      </w:r>
      <w:r>
        <w:rPr>
          <w:rFonts w:ascii="Arial" w:eastAsia="Arial" w:hAnsi="Arial" w:cs="Arial"/>
          <w:sz w:val="24"/>
          <w:szCs w:val="24"/>
        </w:rPr>
        <w:t xml:space="preserve">ue, ranking as the leading cause of disability globally. </w:t>
      </w:r>
    </w:p>
    <w:p w14:paraId="6AF79ABE"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Despite its widespread impact, the interplay between occupational posture and LBP remains an area of ongoing debate, particularly in physically demanding jobs. </w:t>
      </w:r>
    </w:p>
    <w:p w14:paraId="37F8562C"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Market women, who spend long hours li</w:t>
      </w:r>
      <w:r>
        <w:rPr>
          <w:rFonts w:ascii="Arial" w:eastAsia="Arial" w:hAnsi="Arial" w:cs="Arial"/>
          <w:sz w:val="24"/>
          <w:szCs w:val="24"/>
        </w:rPr>
        <w:t>fting, bending, standing, and sitting in non-ergonomic conditions, represent an understudied yet critical population in this discourse. However, research on LBP in this population remains limited, leaving a gap in understanding how occupational posture con</w:t>
      </w:r>
      <w:r>
        <w:rPr>
          <w:rFonts w:ascii="Arial" w:eastAsia="Arial" w:hAnsi="Arial" w:cs="Arial"/>
          <w:sz w:val="24"/>
          <w:szCs w:val="24"/>
        </w:rPr>
        <w:t>tributes to its development.</w:t>
      </w:r>
    </w:p>
    <w:p w14:paraId="4D0EA63B" w14:textId="77777777" w:rsidR="009F5352" w:rsidRDefault="009F5352">
      <w:pPr>
        <w:spacing w:line="480" w:lineRule="auto"/>
        <w:rPr>
          <w:rFonts w:ascii="Arial" w:eastAsia="Arial" w:hAnsi="Arial" w:cs="Arial"/>
          <w:sz w:val="24"/>
          <w:szCs w:val="24"/>
        </w:rPr>
      </w:pPr>
    </w:p>
    <w:p w14:paraId="460C13E1" w14:textId="77777777" w:rsidR="009F5352" w:rsidRDefault="009F5352">
      <w:pPr>
        <w:spacing w:line="480" w:lineRule="auto"/>
        <w:rPr>
          <w:rFonts w:ascii="Arial" w:eastAsia="Arial" w:hAnsi="Arial" w:cs="Arial"/>
          <w:sz w:val="24"/>
          <w:szCs w:val="24"/>
        </w:rPr>
      </w:pPr>
    </w:p>
    <w:p w14:paraId="58636E89"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Methods: A cross-sectional study was conducted among 201 market women selected from two markets using purposive sampling. The Standard Nordic </w:t>
      </w:r>
      <w:r>
        <w:rPr>
          <w:rFonts w:ascii="Arial" w:eastAsia="Arial" w:hAnsi="Arial" w:cs="Arial"/>
          <w:sz w:val="24"/>
          <w:szCs w:val="24"/>
        </w:rPr>
        <w:lastRenderedPageBreak/>
        <w:t>Musculoskeletal Questionnaire was employed to assess LBP prevalence, while the Rapi</w:t>
      </w:r>
      <w:r>
        <w:rPr>
          <w:rFonts w:ascii="Arial" w:eastAsia="Arial" w:hAnsi="Arial" w:cs="Arial"/>
          <w:sz w:val="24"/>
          <w:szCs w:val="24"/>
        </w:rPr>
        <w:t>d Entire Body Assessment (REBA) tool evaluated postural risk levels associated with specific work tasks. Chi-square tests and Spearman’s Rank Correlation were used for statistical analysis, with significance set at p=0.05.</w:t>
      </w:r>
    </w:p>
    <w:p w14:paraId="799468C4" w14:textId="77777777" w:rsidR="009F5352" w:rsidRDefault="009F5352">
      <w:pPr>
        <w:spacing w:line="480" w:lineRule="auto"/>
        <w:rPr>
          <w:rFonts w:ascii="Arial" w:eastAsia="Arial" w:hAnsi="Arial" w:cs="Arial"/>
          <w:sz w:val="24"/>
          <w:szCs w:val="24"/>
        </w:rPr>
      </w:pPr>
    </w:p>
    <w:p w14:paraId="4D840FBA"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Results: The findings revealed t</w:t>
      </w:r>
      <w:r>
        <w:rPr>
          <w:rFonts w:ascii="Arial" w:eastAsia="Arial" w:hAnsi="Arial" w:cs="Arial"/>
          <w:sz w:val="24"/>
          <w:szCs w:val="24"/>
        </w:rPr>
        <w:t xml:space="preserve">hat 38.8% of participants exhibited a medium risk of musculoskeletal disorders, while 29.9% and 29.4% demonstrated high and very high risks, respectively. The mean REBA score was 5.85 ± 1.77. A significant relationship was observed between posture and LBP </w:t>
      </w:r>
      <w:r>
        <w:rPr>
          <w:rFonts w:ascii="Arial" w:eastAsia="Arial" w:hAnsi="Arial" w:cs="Arial"/>
          <w:sz w:val="24"/>
          <w:szCs w:val="24"/>
        </w:rPr>
        <w:t>(rho=0.741; p=0.05), with bending and lifting being the most common postures linked to increased LBP risk (rho=0.184; p=0.001).</w:t>
      </w:r>
    </w:p>
    <w:p w14:paraId="5E5C3B65" w14:textId="77777777" w:rsidR="009F5352" w:rsidRDefault="009F5352">
      <w:pPr>
        <w:spacing w:line="480" w:lineRule="auto"/>
        <w:rPr>
          <w:rFonts w:ascii="Arial" w:eastAsia="Arial" w:hAnsi="Arial" w:cs="Arial"/>
          <w:sz w:val="24"/>
          <w:szCs w:val="24"/>
        </w:rPr>
      </w:pPr>
    </w:p>
    <w:p w14:paraId="135F6FF4"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Conclusion: </w:t>
      </w:r>
    </w:p>
    <w:p w14:paraId="4F56AA72"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This study aims to bridge that gap by examining the prevalence of LBP and its relationship with work posture among</w:t>
      </w:r>
      <w:r>
        <w:rPr>
          <w:rFonts w:ascii="Arial" w:eastAsia="Arial" w:hAnsi="Arial" w:cs="Arial"/>
          <w:sz w:val="24"/>
          <w:szCs w:val="24"/>
        </w:rPr>
        <w:t xml:space="preserve"> market women in Benin City. By identifying risk factors and patterns, this research could inform targeted interventions, not just for market traders but for other physically demanding occupations worldwide. The findings may also contribute to a broader un</w:t>
      </w:r>
      <w:r>
        <w:rPr>
          <w:rFonts w:ascii="Arial" w:eastAsia="Arial" w:hAnsi="Arial" w:cs="Arial"/>
          <w:sz w:val="24"/>
          <w:szCs w:val="24"/>
        </w:rPr>
        <w:t>derstanding of how work-related postures influence musculoskeletal health across different settings, offering practical applications for prevention and management strategies.</w:t>
      </w:r>
    </w:p>
    <w:p w14:paraId="4AD5CA34" w14:textId="77777777" w:rsidR="009F5352" w:rsidRDefault="009F5352">
      <w:pPr>
        <w:spacing w:line="480" w:lineRule="auto"/>
        <w:rPr>
          <w:rFonts w:ascii="Arial" w:eastAsia="Arial" w:hAnsi="Arial" w:cs="Arial"/>
          <w:sz w:val="24"/>
          <w:szCs w:val="24"/>
        </w:rPr>
      </w:pPr>
    </w:p>
    <w:p w14:paraId="06BB1139" w14:textId="77777777" w:rsidR="009F5352" w:rsidRDefault="009F5352">
      <w:pPr>
        <w:spacing w:line="480" w:lineRule="auto"/>
        <w:rPr>
          <w:rFonts w:ascii="Arial" w:eastAsia="Arial" w:hAnsi="Arial" w:cs="Arial"/>
          <w:sz w:val="24"/>
          <w:szCs w:val="24"/>
        </w:rPr>
      </w:pPr>
    </w:p>
    <w:p w14:paraId="51907380"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INTRODUCTION</w:t>
      </w:r>
    </w:p>
    <w:p w14:paraId="2DABCD64" w14:textId="77777777" w:rsidR="009F5352" w:rsidRDefault="009F5352">
      <w:pPr>
        <w:spacing w:line="480" w:lineRule="auto"/>
        <w:rPr>
          <w:rFonts w:ascii="Arial" w:eastAsia="Arial" w:hAnsi="Arial" w:cs="Arial"/>
          <w:sz w:val="24"/>
          <w:szCs w:val="24"/>
        </w:rPr>
      </w:pPr>
    </w:p>
    <w:p w14:paraId="32F351A4"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lastRenderedPageBreak/>
        <w:t>Low back pain (LBP) is a leading cause of disability worldwide, a</w:t>
      </w:r>
      <w:r>
        <w:rPr>
          <w:rFonts w:ascii="Arial" w:eastAsia="Arial" w:hAnsi="Arial" w:cs="Arial"/>
          <w:sz w:val="24"/>
          <w:szCs w:val="24"/>
        </w:rPr>
        <w:t>ffecting approximately 7.5% of the global population at any given time, which translates to an estimated 577 million people (Hartvigsen et al., 2018). It poses a significant economic and public health burden, limiting work productivity and reducing the qua</w:t>
      </w:r>
      <w:r>
        <w:rPr>
          <w:rFonts w:ascii="Arial" w:eastAsia="Arial" w:hAnsi="Arial" w:cs="Arial"/>
          <w:sz w:val="24"/>
          <w:szCs w:val="24"/>
        </w:rPr>
        <w:t>lity of life. While LBP affects individuals across various professions, those engaged in physically demanding jobs, particularly in informal sectors, face an even greater risk. Among them, market women represent a highly vulnerable yet understudied group.</w:t>
      </w:r>
    </w:p>
    <w:p w14:paraId="3B8FD207" w14:textId="77777777" w:rsidR="009F5352" w:rsidRDefault="009F5352">
      <w:pPr>
        <w:spacing w:line="480" w:lineRule="auto"/>
        <w:rPr>
          <w:rFonts w:ascii="Arial" w:eastAsia="Arial" w:hAnsi="Arial" w:cs="Arial"/>
          <w:sz w:val="24"/>
          <w:szCs w:val="24"/>
        </w:rPr>
      </w:pPr>
    </w:p>
    <w:p w14:paraId="17791B08"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Research on occupational LBP has largely focused on factory workers, office employees, and healthcare professionals (Bontrup et al., 2019; Zemp et al., 2016). However, limited attention has been given to informal traders, who operate under harsh condition</w:t>
      </w:r>
      <w:r>
        <w:rPr>
          <w:rFonts w:ascii="Arial" w:eastAsia="Arial" w:hAnsi="Arial" w:cs="Arial"/>
          <w:sz w:val="24"/>
          <w:szCs w:val="24"/>
        </w:rPr>
        <w:t>s with little or no ergonomic support.</w:t>
      </w:r>
    </w:p>
    <w:p w14:paraId="1C0EB622" w14:textId="77777777" w:rsidR="009F5352" w:rsidRDefault="009F5352">
      <w:pPr>
        <w:spacing w:line="480" w:lineRule="auto"/>
        <w:rPr>
          <w:rFonts w:ascii="Arial" w:eastAsia="Arial" w:hAnsi="Arial" w:cs="Arial"/>
          <w:sz w:val="24"/>
          <w:szCs w:val="24"/>
        </w:rPr>
      </w:pPr>
    </w:p>
    <w:p w14:paraId="7B6E00FA"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Market trading is an occupation that involves long hours of standing, lifting heavy goods, frequent bending, and prolonged sitting in non-ergonomic conditions. These repetitive physical demands place substantial stra</w:t>
      </w:r>
      <w:r>
        <w:rPr>
          <w:rFonts w:ascii="Arial" w:eastAsia="Arial" w:hAnsi="Arial" w:cs="Arial"/>
          <w:sz w:val="24"/>
          <w:szCs w:val="24"/>
        </w:rPr>
        <w:t>in on the musculoskeletal system, increasing the risk of LBP. Despite their essential role in local economies, market women often lack access to healthcare, ergonomic training, and structured workplace modifications, exacerbating their musculoskeletal heal</w:t>
      </w:r>
      <w:r>
        <w:rPr>
          <w:rFonts w:ascii="Arial" w:eastAsia="Arial" w:hAnsi="Arial" w:cs="Arial"/>
          <w:sz w:val="24"/>
          <w:szCs w:val="24"/>
        </w:rPr>
        <w:t>th risks.</w:t>
      </w:r>
    </w:p>
    <w:p w14:paraId="462873BA" w14:textId="77777777" w:rsidR="009F5352" w:rsidRDefault="009F5352">
      <w:pPr>
        <w:spacing w:line="480" w:lineRule="auto"/>
        <w:rPr>
          <w:rFonts w:ascii="Arial" w:eastAsia="Arial" w:hAnsi="Arial" w:cs="Arial"/>
          <w:sz w:val="24"/>
          <w:szCs w:val="24"/>
        </w:rPr>
      </w:pPr>
    </w:p>
    <w:p w14:paraId="18EC789F"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This gap in research leaves crucial questions unanswered: How does work posture contribute to LBP among market women? What specific postural </w:t>
      </w:r>
      <w:r>
        <w:rPr>
          <w:rFonts w:ascii="Arial" w:eastAsia="Arial" w:hAnsi="Arial" w:cs="Arial"/>
          <w:sz w:val="24"/>
          <w:szCs w:val="24"/>
        </w:rPr>
        <w:lastRenderedPageBreak/>
        <w:t>patterns increase the risk? And what interventions can help mitigate the burden?</w:t>
      </w:r>
    </w:p>
    <w:p w14:paraId="42DC1B44" w14:textId="77777777" w:rsidR="009F5352" w:rsidRDefault="009F5352">
      <w:pPr>
        <w:spacing w:line="480" w:lineRule="auto"/>
        <w:rPr>
          <w:rFonts w:ascii="Arial" w:eastAsia="Arial" w:hAnsi="Arial" w:cs="Arial"/>
          <w:sz w:val="24"/>
          <w:szCs w:val="24"/>
        </w:rPr>
      </w:pPr>
    </w:p>
    <w:p w14:paraId="110EDFB1"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This study aims to add</w:t>
      </w:r>
      <w:r>
        <w:rPr>
          <w:rFonts w:ascii="Arial" w:eastAsia="Arial" w:hAnsi="Arial" w:cs="Arial"/>
          <w:sz w:val="24"/>
          <w:szCs w:val="24"/>
        </w:rPr>
        <w:t>ress these questions by investigating the prevalence of LBP and its relationship with work posture among market women in Benin City, Nigeria. Understanding these occupational risks is crucial for developing targeted interventions that can improve musculosk</w:t>
      </w:r>
      <w:r>
        <w:rPr>
          <w:rFonts w:ascii="Arial" w:eastAsia="Arial" w:hAnsi="Arial" w:cs="Arial"/>
          <w:sz w:val="24"/>
          <w:szCs w:val="24"/>
        </w:rPr>
        <w:t>eletal health not only for market traders but for workers in other physically demanding jobs globally. By shedding light on the ergonomic challenges faced by this population, this study contributes to a broader conversation on occupational health and workp</w:t>
      </w:r>
      <w:r>
        <w:rPr>
          <w:rFonts w:ascii="Arial" w:eastAsia="Arial" w:hAnsi="Arial" w:cs="Arial"/>
          <w:sz w:val="24"/>
          <w:szCs w:val="24"/>
        </w:rPr>
        <w:t>lace safety in informal economies.</w:t>
      </w:r>
    </w:p>
    <w:p w14:paraId="02A83091" w14:textId="77777777" w:rsidR="009F5352" w:rsidRDefault="009F5352">
      <w:pPr>
        <w:spacing w:line="480" w:lineRule="auto"/>
        <w:rPr>
          <w:rFonts w:ascii="Arial" w:eastAsia="Arial" w:hAnsi="Arial" w:cs="Arial"/>
          <w:sz w:val="24"/>
          <w:szCs w:val="24"/>
        </w:rPr>
      </w:pPr>
    </w:p>
    <w:p w14:paraId="095BE50C" w14:textId="77777777" w:rsidR="009F5352" w:rsidRDefault="009F5352">
      <w:pPr>
        <w:spacing w:line="480" w:lineRule="auto"/>
        <w:rPr>
          <w:rFonts w:ascii="Arial" w:eastAsia="Arial" w:hAnsi="Arial" w:cs="Arial"/>
          <w:sz w:val="24"/>
          <w:szCs w:val="24"/>
        </w:rPr>
      </w:pPr>
    </w:p>
    <w:p w14:paraId="256EC3F2" w14:textId="77777777" w:rsidR="009F5352" w:rsidRDefault="009F5352">
      <w:pPr>
        <w:spacing w:line="480" w:lineRule="auto"/>
        <w:rPr>
          <w:rFonts w:ascii="Arial" w:eastAsia="Arial" w:hAnsi="Arial" w:cs="Arial"/>
          <w:sz w:val="24"/>
          <w:szCs w:val="24"/>
        </w:rPr>
      </w:pPr>
    </w:p>
    <w:p w14:paraId="255FE96E" w14:textId="77777777" w:rsidR="009F5352" w:rsidRDefault="009F5352">
      <w:pPr>
        <w:spacing w:line="480" w:lineRule="auto"/>
        <w:rPr>
          <w:rFonts w:ascii="Arial" w:eastAsia="Arial" w:hAnsi="Arial" w:cs="Arial"/>
          <w:sz w:val="24"/>
          <w:szCs w:val="24"/>
        </w:rPr>
      </w:pPr>
    </w:p>
    <w:p w14:paraId="6B8AF956" w14:textId="77777777" w:rsidR="009F5352" w:rsidRDefault="009F5352">
      <w:pPr>
        <w:spacing w:line="480" w:lineRule="auto"/>
        <w:rPr>
          <w:rFonts w:ascii="Arial" w:eastAsia="Arial" w:hAnsi="Arial" w:cs="Arial"/>
          <w:sz w:val="24"/>
          <w:szCs w:val="24"/>
        </w:rPr>
      </w:pPr>
    </w:p>
    <w:p w14:paraId="4D8C4EAA"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METHODS</w:t>
      </w:r>
    </w:p>
    <w:p w14:paraId="1AB2C014" w14:textId="77777777" w:rsidR="009F5352" w:rsidRDefault="009F5352">
      <w:pPr>
        <w:spacing w:line="480" w:lineRule="auto"/>
        <w:rPr>
          <w:rFonts w:ascii="Arial" w:eastAsia="Arial" w:hAnsi="Arial" w:cs="Arial"/>
          <w:sz w:val="24"/>
          <w:szCs w:val="24"/>
        </w:rPr>
      </w:pPr>
    </w:p>
    <w:p w14:paraId="567F7D74"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A cross-sectional study was conducted among 201 market women selected from two major markets in Benin City through purposive sampling. The inclusion criteria required participants to be actively engaged in t</w:t>
      </w:r>
      <w:r>
        <w:rPr>
          <w:rFonts w:ascii="Arial" w:eastAsia="Arial" w:hAnsi="Arial" w:cs="Arial"/>
          <w:sz w:val="24"/>
          <w:szCs w:val="24"/>
        </w:rPr>
        <w:t>rading activities for at least one year. Those with a history of spinal surgeries or diagnosed musculoskeletal disorders were excluded.</w:t>
      </w:r>
    </w:p>
    <w:p w14:paraId="73FCC233" w14:textId="77777777" w:rsidR="009F5352" w:rsidRDefault="009F5352">
      <w:pPr>
        <w:spacing w:line="480" w:lineRule="auto"/>
        <w:rPr>
          <w:rFonts w:ascii="Arial" w:eastAsia="Arial" w:hAnsi="Arial" w:cs="Arial"/>
          <w:sz w:val="24"/>
          <w:szCs w:val="24"/>
        </w:rPr>
      </w:pPr>
    </w:p>
    <w:p w14:paraId="42B3106B"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lastRenderedPageBreak/>
        <w:t>The Standard Nordic Musculoskeletal Questionnaire was used to assess the prevalence and occurrence of LBP, while the Ra</w:t>
      </w:r>
      <w:r>
        <w:rPr>
          <w:rFonts w:ascii="Arial" w:eastAsia="Arial" w:hAnsi="Arial" w:cs="Arial"/>
          <w:sz w:val="24"/>
          <w:szCs w:val="24"/>
        </w:rPr>
        <w:t>pid Entire Body Assessment (REBA) tool evaluated the risk of musculoskeletal disorders associated with specific work tasks. Data analysis was performed using SPSS software, applying Chi-square tests and Spearman’s Rank Correlation to determine associations</w:t>
      </w:r>
      <w:r>
        <w:rPr>
          <w:rFonts w:ascii="Arial" w:eastAsia="Arial" w:hAnsi="Arial" w:cs="Arial"/>
          <w:sz w:val="24"/>
          <w:szCs w:val="24"/>
        </w:rPr>
        <w:t xml:space="preserve"> between work posture and LBP. Statistical significance was set at p=0.05.</w:t>
      </w:r>
    </w:p>
    <w:p w14:paraId="6A89B64E" w14:textId="77777777" w:rsidR="009F5352" w:rsidRDefault="009F5352">
      <w:pPr>
        <w:spacing w:line="480" w:lineRule="auto"/>
        <w:rPr>
          <w:rFonts w:ascii="Arial" w:eastAsia="Arial" w:hAnsi="Arial" w:cs="Arial"/>
          <w:sz w:val="24"/>
          <w:szCs w:val="24"/>
        </w:rPr>
      </w:pPr>
    </w:p>
    <w:p w14:paraId="4023BB95"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Ethical approval was obtained from the relevant institutional review board, and all participants provided informed consent before data collection.</w:t>
      </w:r>
    </w:p>
    <w:p w14:paraId="35E01686" w14:textId="77777777" w:rsidR="009F5352" w:rsidRDefault="009F5352">
      <w:pPr>
        <w:spacing w:line="480" w:lineRule="auto"/>
        <w:rPr>
          <w:rFonts w:ascii="Arial" w:eastAsia="Arial" w:hAnsi="Arial" w:cs="Arial"/>
          <w:sz w:val="24"/>
          <w:szCs w:val="24"/>
        </w:rPr>
      </w:pPr>
    </w:p>
    <w:p w14:paraId="70CCF2E3" w14:textId="77777777" w:rsidR="009F5352" w:rsidRDefault="009F5352">
      <w:pPr>
        <w:spacing w:line="480" w:lineRule="auto"/>
        <w:rPr>
          <w:rFonts w:ascii="Arial" w:eastAsia="Arial" w:hAnsi="Arial" w:cs="Arial"/>
          <w:sz w:val="24"/>
          <w:szCs w:val="24"/>
        </w:rPr>
      </w:pPr>
    </w:p>
    <w:p w14:paraId="018ED100"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RESULTS</w:t>
      </w:r>
    </w:p>
    <w:p w14:paraId="5EF49B14" w14:textId="77777777" w:rsidR="009F5352" w:rsidRDefault="009F5352">
      <w:pPr>
        <w:spacing w:line="480" w:lineRule="auto"/>
        <w:rPr>
          <w:rFonts w:ascii="Arial" w:eastAsia="Arial" w:hAnsi="Arial" w:cs="Arial"/>
          <w:sz w:val="24"/>
          <w:szCs w:val="24"/>
        </w:rPr>
      </w:pPr>
    </w:p>
    <w:p w14:paraId="68EE434D"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The study findings </w:t>
      </w:r>
      <w:r>
        <w:rPr>
          <w:rFonts w:ascii="Arial" w:eastAsia="Arial" w:hAnsi="Arial" w:cs="Arial"/>
          <w:sz w:val="24"/>
          <w:szCs w:val="24"/>
        </w:rPr>
        <w:t>revealed that 38.8% of the participants exhibited a medium risk of musculoskeletal disorders, while 29.9% and 29.4% were categorized as high and very high risk, respectively. The mean REBA score was 5.85 ± 1.77. A significant relationship was observed betw</w:t>
      </w:r>
      <w:r>
        <w:rPr>
          <w:rFonts w:ascii="Arial" w:eastAsia="Arial" w:hAnsi="Arial" w:cs="Arial"/>
          <w:sz w:val="24"/>
          <w:szCs w:val="24"/>
        </w:rPr>
        <w:t>een posture and LBP (rho=0.741; p=0.05), indicating that work posture plays a critical role in LBP prevalence.</w:t>
      </w:r>
    </w:p>
    <w:p w14:paraId="1798E201" w14:textId="77777777" w:rsidR="009F5352" w:rsidRDefault="009F5352">
      <w:pPr>
        <w:spacing w:line="480" w:lineRule="auto"/>
        <w:rPr>
          <w:rFonts w:ascii="Arial" w:eastAsia="Arial" w:hAnsi="Arial" w:cs="Arial"/>
          <w:sz w:val="24"/>
          <w:szCs w:val="24"/>
        </w:rPr>
      </w:pPr>
    </w:p>
    <w:p w14:paraId="5F22EB98"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Bending and lifting were among the most frequently adopted postures and were significantly associated with increased LBP risk (rho=0.184; p=0.00</w:t>
      </w:r>
      <w:r>
        <w:rPr>
          <w:rFonts w:ascii="Arial" w:eastAsia="Arial" w:hAnsi="Arial" w:cs="Arial"/>
          <w:sz w:val="24"/>
          <w:szCs w:val="24"/>
        </w:rPr>
        <w:t xml:space="preserve">1). Additionally, prolonged sitting had a notable negative effect on the lower back. The study also found that middle-aged to older women were more affected than their younger counterparts, though the association between age and LBP was </w:t>
      </w:r>
      <w:r>
        <w:rPr>
          <w:rFonts w:ascii="Arial" w:eastAsia="Arial" w:hAnsi="Arial" w:cs="Arial"/>
          <w:sz w:val="24"/>
          <w:szCs w:val="24"/>
        </w:rPr>
        <w:lastRenderedPageBreak/>
        <w:t>not statistically s</w:t>
      </w:r>
      <w:r>
        <w:rPr>
          <w:rFonts w:ascii="Arial" w:eastAsia="Arial" w:hAnsi="Arial" w:cs="Arial"/>
          <w:sz w:val="24"/>
          <w:szCs w:val="24"/>
        </w:rPr>
        <w:t>ignificant. Similarly, educational background appeared to influence LBP prevalence, with less educated women experiencing higher rates of LBP.</w:t>
      </w:r>
    </w:p>
    <w:p w14:paraId="59B51F00" w14:textId="77777777" w:rsidR="009F5352" w:rsidRDefault="009F5352">
      <w:pPr>
        <w:spacing w:line="480" w:lineRule="auto"/>
        <w:rPr>
          <w:rFonts w:ascii="Arial" w:eastAsia="Arial" w:hAnsi="Arial" w:cs="Arial"/>
          <w:sz w:val="24"/>
          <w:szCs w:val="24"/>
        </w:rPr>
      </w:pPr>
    </w:p>
    <w:p w14:paraId="14733BB6" w14:textId="77777777" w:rsidR="009F5352" w:rsidRDefault="009F5352">
      <w:pPr>
        <w:spacing w:line="480" w:lineRule="auto"/>
        <w:rPr>
          <w:rFonts w:ascii="Arial" w:eastAsia="Arial" w:hAnsi="Arial" w:cs="Arial"/>
          <w:sz w:val="24"/>
          <w:szCs w:val="24"/>
        </w:rPr>
      </w:pPr>
    </w:p>
    <w:p w14:paraId="23C6807F" w14:textId="77777777" w:rsidR="009F5352" w:rsidRDefault="009F5352">
      <w:pPr>
        <w:spacing w:line="480" w:lineRule="auto"/>
        <w:rPr>
          <w:rFonts w:ascii="Arial" w:eastAsia="Arial" w:hAnsi="Arial" w:cs="Arial"/>
          <w:sz w:val="24"/>
          <w:szCs w:val="24"/>
        </w:rPr>
      </w:pPr>
    </w:p>
    <w:p w14:paraId="113C57A4" w14:textId="77777777" w:rsidR="009F5352" w:rsidRDefault="009F5352">
      <w:pPr>
        <w:spacing w:line="480" w:lineRule="auto"/>
        <w:rPr>
          <w:rFonts w:ascii="Arial" w:eastAsia="Arial" w:hAnsi="Arial" w:cs="Arial"/>
          <w:sz w:val="24"/>
          <w:szCs w:val="24"/>
        </w:rPr>
      </w:pPr>
    </w:p>
    <w:p w14:paraId="52FAD757" w14:textId="77777777" w:rsidR="009F5352" w:rsidRDefault="002918AF">
      <w:pPr>
        <w:rPr>
          <w:rFonts w:ascii="Arial" w:eastAsia="Arial" w:hAnsi="Arial" w:cs="Arial"/>
          <w:sz w:val="24"/>
          <w:szCs w:val="24"/>
        </w:rPr>
      </w:pPr>
      <w:r>
        <w:rPr>
          <w:rFonts w:ascii="Arial" w:eastAsia="Arial" w:hAnsi="Arial" w:cs="Arial"/>
          <w:sz w:val="24"/>
          <w:szCs w:val="24"/>
        </w:rPr>
        <w:t xml:space="preserve">Socio-demographic Variables of the Participants: </w:t>
      </w:r>
    </w:p>
    <w:p w14:paraId="7C23F73F" w14:textId="77777777" w:rsidR="009F5352" w:rsidRDefault="009F5352">
      <w:pPr>
        <w:rPr>
          <w:rFonts w:ascii="Arial" w:eastAsia="Arial" w:hAnsi="Arial" w:cs="Arial"/>
          <w:sz w:val="24"/>
          <w:szCs w:val="24"/>
        </w:rPr>
      </w:pPr>
    </w:p>
    <w:p w14:paraId="0AD13981" w14:textId="77777777" w:rsidR="009F5352" w:rsidRDefault="002918AF">
      <w:pPr>
        <w:spacing w:line="480" w:lineRule="auto"/>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b/>
          <w:color w:val="000000"/>
          <w:sz w:val="24"/>
          <w:szCs w:val="24"/>
        </w:rPr>
        <w:t xml:space="preserve"> </w:t>
      </w:r>
      <w:r>
        <w:rPr>
          <w:rFonts w:ascii="Arial" w:eastAsia="Arial" w:hAnsi="Arial" w:cs="Arial"/>
          <w:color w:val="000000"/>
          <w:sz w:val="24"/>
          <w:szCs w:val="24"/>
        </w:rPr>
        <w:t>larger number of the respondents 35.3% (n=71) were older</w:t>
      </w:r>
      <w:r>
        <w:rPr>
          <w:rFonts w:ascii="Arial" w:eastAsia="Arial" w:hAnsi="Arial" w:cs="Arial"/>
          <w:color w:val="000000"/>
          <w:sz w:val="24"/>
          <w:szCs w:val="24"/>
        </w:rPr>
        <w:t xml:space="preserve"> than 50 years, while 27.9% were within the age range of 41-50 years, followed by 26.4% (n=53) from the 31-40 age group. A considerable number, 48.3% (n=97) had secondary school education, while 33.3% (n=67) did not. Majority 77.1% (n=155), were married wh</w:t>
      </w:r>
      <w:r>
        <w:rPr>
          <w:rFonts w:ascii="Arial" w:eastAsia="Arial" w:hAnsi="Arial" w:cs="Arial"/>
          <w:color w:val="000000"/>
          <w:sz w:val="24"/>
          <w:szCs w:val="24"/>
        </w:rPr>
        <w:t xml:space="preserve">ile 97.0% (n=195) were Christians (Table 1). </w:t>
      </w:r>
    </w:p>
    <w:p w14:paraId="1797C908" w14:textId="77777777" w:rsidR="009F5352" w:rsidRDefault="009F5352">
      <w:pPr>
        <w:spacing w:line="480" w:lineRule="auto"/>
        <w:rPr>
          <w:rFonts w:ascii="Arial" w:eastAsia="Arial" w:hAnsi="Arial" w:cs="Arial"/>
          <w:b/>
          <w:color w:val="000000"/>
          <w:sz w:val="24"/>
          <w:szCs w:val="24"/>
        </w:rPr>
      </w:pPr>
    </w:p>
    <w:p w14:paraId="3507F01A" w14:textId="7B0BA225" w:rsidR="009F5352" w:rsidRDefault="009F5352">
      <w:pPr>
        <w:spacing w:after="160" w:line="259" w:lineRule="auto"/>
        <w:jc w:val="left"/>
        <w:rPr>
          <w:rFonts w:ascii="Arial" w:eastAsia="Arial" w:hAnsi="Arial" w:cs="Arial"/>
          <w:b/>
          <w:color w:val="000000"/>
          <w:sz w:val="24"/>
          <w:szCs w:val="24"/>
        </w:rPr>
      </w:pPr>
    </w:p>
    <w:p w14:paraId="0C92F821" w14:textId="77777777" w:rsidR="009F5352" w:rsidRDefault="002918AF">
      <w:pPr>
        <w:rPr>
          <w:rFonts w:ascii="Arial" w:eastAsia="Arial" w:hAnsi="Arial" w:cs="Arial"/>
          <w:sz w:val="24"/>
          <w:szCs w:val="24"/>
        </w:rPr>
      </w:pPr>
      <w:r>
        <w:rPr>
          <w:rFonts w:ascii="Arial" w:eastAsia="Arial" w:hAnsi="Arial" w:cs="Arial"/>
          <w:sz w:val="24"/>
          <w:szCs w:val="24"/>
        </w:rPr>
        <w:t>Table 1: Socio-demographic Variables of the Participants (N=201)</w:t>
      </w:r>
    </w:p>
    <w:tbl>
      <w:tblPr>
        <w:tblStyle w:val="a"/>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1963"/>
        <w:gridCol w:w="2572"/>
      </w:tblGrid>
      <w:tr w:rsidR="009F5352" w14:paraId="76562DC8" w14:textId="77777777">
        <w:trPr>
          <w:trHeight w:val="677"/>
        </w:trPr>
        <w:tc>
          <w:tcPr>
            <w:tcW w:w="2972" w:type="dxa"/>
            <w:tcBorders>
              <w:top w:val="single" w:sz="4" w:space="0" w:color="000000"/>
              <w:left w:val="nil"/>
              <w:bottom w:val="single" w:sz="4" w:space="0" w:color="000000"/>
              <w:right w:val="nil"/>
            </w:tcBorders>
          </w:tcPr>
          <w:p w14:paraId="7D45C5ED"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963" w:type="dxa"/>
            <w:tcBorders>
              <w:top w:val="single" w:sz="4" w:space="0" w:color="000000"/>
              <w:left w:val="nil"/>
              <w:bottom w:val="single" w:sz="4" w:space="0" w:color="000000"/>
              <w:right w:val="nil"/>
            </w:tcBorders>
          </w:tcPr>
          <w:p w14:paraId="78C72149"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Frequency </w:t>
            </w:r>
          </w:p>
        </w:tc>
        <w:tc>
          <w:tcPr>
            <w:tcW w:w="2572" w:type="dxa"/>
            <w:tcBorders>
              <w:top w:val="single" w:sz="4" w:space="0" w:color="000000"/>
              <w:left w:val="nil"/>
              <w:bottom w:val="single" w:sz="4" w:space="0" w:color="000000"/>
              <w:right w:val="nil"/>
            </w:tcBorders>
          </w:tcPr>
          <w:p w14:paraId="0A54E808"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Percentage (%)</w:t>
            </w:r>
          </w:p>
        </w:tc>
      </w:tr>
      <w:tr w:rsidR="009F5352" w14:paraId="3E1FB3AF" w14:textId="77777777">
        <w:tc>
          <w:tcPr>
            <w:tcW w:w="2972" w:type="dxa"/>
            <w:tcBorders>
              <w:top w:val="single" w:sz="4" w:space="0" w:color="000000"/>
              <w:left w:val="nil"/>
              <w:bottom w:val="nil"/>
              <w:right w:val="nil"/>
            </w:tcBorders>
          </w:tcPr>
          <w:p w14:paraId="6327384E"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Age</w:t>
            </w:r>
          </w:p>
        </w:tc>
        <w:tc>
          <w:tcPr>
            <w:tcW w:w="1963" w:type="dxa"/>
            <w:tcBorders>
              <w:top w:val="single" w:sz="4" w:space="0" w:color="000000"/>
              <w:left w:val="nil"/>
              <w:bottom w:val="nil"/>
              <w:right w:val="nil"/>
            </w:tcBorders>
          </w:tcPr>
          <w:p w14:paraId="72A802D7" w14:textId="77777777" w:rsidR="009F5352" w:rsidRDefault="009F5352">
            <w:pPr>
              <w:spacing w:line="360" w:lineRule="auto"/>
              <w:rPr>
                <w:rFonts w:ascii="Arial" w:eastAsia="Arial" w:hAnsi="Arial" w:cs="Arial"/>
                <w:color w:val="000000"/>
                <w:sz w:val="24"/>
                <w:szCs w:val="24"/>
              </w:rPr>
            </w:pPr>
          </w:p>
        </w:tc>
        <w:tc>
          <w:tcPr>
            <w:tcW w:w="2572" w:type="dxa"/>
            <w:tcBorders>
              <w:top w:val="single" w:sz="4" w:space="0" w:color="000000"/>
              <w:left w:val="nil"/>
              <w:bottom w:val="nil"/>
              <w:right w:val="nil"/>
            </w:tcBorders>
          </w:tcPr>
          <w:p w14:paraId="3281F1A2" w14:textId="77777777" w:rsidR="009F5352" w:rsidRDefault="009F5352">
            <w:pPr>
              <w:spacing w:line="360" w:lineRule="auto"/>
              <w:rPr>
                <w:rFonts w:ascii="Arial" w:eastAsia="Arial" w:hAnsi="Arial" w:cs="Arial"/>
                <w:color w:val="000000"/>
                <w:sz w:val="24"/>
                <w:szCs w:val="24"/>
              </w:rPr>
            </w:pPr>
          </w:p>
        </w:tc>
      </w:tr>
      <w:tr w:rsidR="009F5352" w14:paraId="4FF6A0B9" w14:textId="77777777">
        <w:tc>
          <w:tcPr>
            <w:tcW w:w="2972" w:type="dxa"/>
            <w:tcBorders>
              <w:top w:val="nil"/>
              <w:left w:val="nil"/>
              <w:bottom w:val="nil"/>
              <w:right w:val="nil"/>
            </w:tcBorders>
          </w:tcPr>
          <w:p w14:paraId="613D26A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18-20</w:t>
            </w:r>
          </w:p>
        </w:tc>
        <w:tc>
          <w:tcPr>
            <w:tcW w:w="1963" w:type="dxa"/>
            <w:tcBorders>
              <w:top w:val="nil"/>
              <w:left w:val="nil"/>
              <w:bottom w:val="nil"/>
              <w:right w:val="nil"/>
            </w:tcBorders>
            <w:vAlign w:val="center"/>
          </w:tcPr>
          <w:p w14:paraId="01FFB11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w:t>
            </w:r>
          </w:p>
        </w:tc>
        <w:tc>
          <w:tcPr>
            <w:tcW w:w="2572" w:type="dxa"/>
            <w:tcBorders>
              <w:top w:val="nil"/>
              <w:left w:val="nil"/>
              <w:bottom w:val="nil"/>
              <w:right w:val="nil"/>
            </w:tcBorders>
            <w:vAlign w:val="center"/>
          </w:tcPr>
          <w:p w14:paraId="4939F84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1.5</w:t>
            </w:r>
          </w:p>
        </w:tc>
      </w:tr>
      <w:tr w:rsidR="009F5352" w14:paraId="1D9956D2" w14:textId="77777777">
        <w:tc>
          <w:tcPr>
            <w:tcW w:w="2972" w:type="dxa"/>
            <w:tcBorders>
              <w:top w:val="nil"/>
              <w:left w:val="nil"/>
              <w:bottom w:val="nil"/>
              <w:right w:val="nil"/>
            </w:tcBorders>
          </w:tcPr>
          <w:p w14:paraId="4380BD63"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21-30</w:t>
            </w:r>
          </w:p>
        </w:tc>
        <w:tc>
          <w:tcPr>
            <w:tcW w:w="1963" w:type="dxa"/>
            <w:tcBorders>
              <w:top w:val="nil"/>
              <w:left w:val="nil"/>
              <w:bottom w:val="nil"/>
              <w:right w:val="nil"/>
            </w:tcBorders>
            <w:vAlign w:val="center"/>
          </w:tcPr>
          <w:p w14:paraId="3CEE532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w:t>
            </w:r>
          </w:p>
        </w:tc>
        <w:tc>
          <w:tcPr>
            <w:tcW w:w="2572" w:type="dxa"/>
            <w:tcBorders>
              <w:top w:val="nil"/>
              <w:left w:val="nil"/>
              <w:bottom w:val="nil"/>
              <w:right w:val="nil"/>
            </w:tcBorders>
            <w:vAlign w:val="center"/>
          </w:tcPr>
          <w:p w14:paraId="1DFA123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9.0</w:t>
            </w:r>
          </w:p>
        </w:tc>
      </w:tr>
      <w:tr w:rsidR="009F5352" w14:paraId="0332C8C8" w14:textId="77777777">
        <w:tc>
          <w:tcPr>
            <w:tcW w:w="2972" w:type="dxa"/>
            <w:tcBorders>
              <w:top w:val="nil"/>
              <w:left w:val="nil"/>
              <w:bottom w:val="nil"/>
              <w:right w:val="nil"/>
            </w:tcBorders>
          </w:tcPr>
          <w:p w14:paraId="1EA4686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31-40</w:t>
            </w:r>
          </w:p>
        </w:tc>
        <w:tc>
          <w:tcPr>
            <w:tcW w:w="1963" w:type="dxa"/>
            <w:tcBorders>
              <w:top w:val="nil"/>
              <w:left w:val="nil"/>
              <w:bottom w:val="nil"/>
              <w:right w:val="nil"/>
            </w:tcBorders>
            <w:vAlign w:val="center"/>
          </w:tcPr>
          <w:p w14:paraId="2446983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53</w:t>
            </w:r>
          </w:p>
        </w:tc>
        <w:tc>
          <w:tcPr>
            <w:tcW w:w="2572" w:type="dxa"/>
            <w:tcBorders>
              <w:top w:val="nil"/>
              <w:left w:val="nil"/>
              <w:bottom w:val="nil"/>
              <w:right w:val="nil"/>
            </w:tcBorders>
            <w:vAlign w:val="center"/>
          </w:tcPr>
          <w:p w14:paraId="4349D9B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26.4</w:t>
            </w:r>
          </w:p>
        </w:tc>
      </w:tr>
      <w:tr w:rsidR="009F5352" w14:paraId="1C68A62B" w14:textId="77777777">
        <w:tc>
          <w:tcPr>
            <w:tcW w:w="2972" w:type="dxa"/>
            <w:tcBorders>
              <w:top w:val="nil"/>
              <w:left w:val="nil"/>
              <w:bottom w:val="nil"/>
              <w:right w:val="nil"/>
            </w:tcBorders>
          </w:tcPr>
          <w:p w14:paraId="4E4D5F1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41-50</w:t>
            </w:r>
          </w:p>
        </w:tc>
        <w:tc>
          <w:tcPr>
            <w:tcW w:w="1963" w:type="dxa"/>
            <w:tcBorders>
              <w:top w:val="nil"/>
              <w:left w:val="nil"/>
              <w:bottom w:val="nil"/>
              <w:right w:val="nil"/>
            </w:tcBorders>
            <w:vAlign w:val="center"/>
          </w:tcPr>
          <w:p w14:paraId="09451B2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56</w:t>
            </w:r>
          </w:p>
        </w:tc>
        <w:tc>
          <w:tcPr>
            <w:tcW w:w="2572" w:type="dxa"/>
            <w:tcBorders>
              <w:top w:val="nil"/>
              <w:left w:val="nil"/>
              <w:bottom w:val="nil"/>
              <w:right w:val="nil"/>
            </w:tcBorders>
            <w:vAlign w:val="center"/>
          </w:tcPr>
          <w:p w14:paraId="3B2F309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27.9</w:t>
            </w:r>
          </w:p>
        </w:tc>
      </w:tr>
      <w:tr w:rsidR="009F5352" w14:paraId="47D44D1E" w14:textId="77777777">
        <w:tc>
          <w:tcPr>
            <w:tcW w:w="2972" w:type="dxa"/>
            <w:tcBorders>
              <w:top w:val="nil"/>
              <w:left w:val="nil"/>
              <w:bottom w:val="nil"/>
              <w:right w:val="nil"/>
            </w:tcBorders>
          </w:tcPr>
          <w:p w14:paraId="75BB7CC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50 and above</w:t>
            </w:r>
          </w:p>
        </w:tc>
        <w:tc>
          <w:tcPr>
            <w:tcW w:w="1963" w:type="dxa"/>
            <w:tcBorders>
              <w:top w:val="nil"/>
              <w:left w:val="nil"/>
              <w:bottom w:val="nil"/>
              <w:right w:val="nil"/>
            </w:tcBorders>
            <w:vAlign w:val="center"/>
          </w:tcPr>
          <w:p w14:paraId="34AE271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71</w:t>
            </w:r>
          </w:p>
        </w:tc>
        <w:tc>
          <w:tcPr>
            <w:tcW w:w="2572" w:type="dxa"/>
            <w:tcBorders>
              <w:top w:val="nil"/>
              <w:left w:val="nil"/>
              <w:bottom w:val="nil"/>
              <w:right w:val="nil"/>
            </w:tcBorders>
            <w:vAlign w:val="center"/>
          </w:tcPr>
          <w:p w14:paraId="181DBC7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35.3</w:t>
            </w:r>
          </w:p>
        </w:tc>
      </w:tr>
      <w:tr w:rsidR="009F5352" w14:paraId="03A1BB73" w14:textId="77777777">
        <w:tc>
          <w:tcPr>
            <w:tcW w:w="2972" w:type="dxa"/>
            <w:tcBorders>
              <w:top w:val="nil"/>
              <w:left w:val="nil"/>
              <w:bottom w:val="nil"/>
              <w:right w:val="nil"/>
            </w:tcBorders>
          </w:tcPr>
          <w:p w14:paraId="369F459A" w14:textId="77777777" w:rsidR="009F5352" w:rsidRDefault="002918AF">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Marital status</w:t>
            </w:r>
          </w:p>
        </w:tc>
        <w:tc>
          <w:tcPr>
            <w:tcW w:w="1963" w:type="dxa"/>
            <w:tcBorders>
              <w:top w:val="nil"/>
              <w:left w:val="nil"/>
              <w:bottom w:val="nil"/>
              <w:right w:val="nil"/>
            </w:tcBorders>
          </w:tcPr>
          <w:p w14:paraId="173DE649" w14:textId="77777777" w:rsidR="009F5352" w:rsidRDefault="009F5352">
            <w:pPr>
              <w:spacing w:line="360" w:lineRule="auto"/>
              <w:rPr>
                <w:rFonts w:ascii="Arial" w:eastAsia="Arial" w:hAnsi="Arial" w:cs="Arial"/>
                <w:color w:val="000000"/>
                <w:sz w:val="24"/>
                <w:szCs w:val="24"/>
              </w:rPr>
            </w:pPr>
          </w:p>
        </w:tc>
        <w:tc>
          <w:tcPr>
            <w:tcW w:w="2572" w:type="dxa"/>
            <w:tcBorders>
              <w:top w:val="nil"/>
              <w:left w:val="nil"/>
              <w:bottom w:val="nil"/>
              <w:right w:val="nil"/>
            </w:tcBorders>
          </w:tcPr>
          <w:p w14:paraId="3CB840FB" w14:textId="77777777" w:rsidR="009F5352" w:rsidRDefault="009F5352">
            <w:pPr>
              <w:spacing w:line="360" w:lineRule="auto"/>
              <w:rPr>
                <w:rFonts w:ascii="Arial" w:eastAsia="Arial" w:hAnsi="Arial" w:cs="Arial"/>
                <w:color w:val="000000"/>
                <w:sz w:val="24"/>
                <w:szCs w:val="24"/>
              </w:rPr>
            </w:pPr>
          </w:p>
        </w:tc>
      </w:tr>
      <w:tr w:rsidR="009F5352" w14:paraId="22CFC75E" w14:textId="77777777">
        <w:tc>
          <w:tcPr>
            <w:tcW w:w="2972" w:type="dxa"/>
            <w:tcBorders>
              <w:top w:val="nil"/>
              <w:left w:val="nil"/>
              <w:bottom w:val="nil"/>
              <w:right w:val="nil"/>
            </w:tcBorders>
          </w:tcPr>
          <w:p w14:paraId="6EA0CB3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Single</w:t>
            </w:r>
          </w:p>
        </w:tc>
        <w:tc>
          <w:tcPr>
            <w:tcW w:w="1963" w:type="dxa"/>
            <w:tcBorders>
              <w:top w:val="nil"/>
              <w:left w:val="nil"/>
              <w:bottom w:val="nil"/>
              <w:right w:val="nil"/>
            </w:tcBorders>
            <w:vAlign w:val="center"/>
          </w:tcPr>
          <w:p w14:paraId="29A11623"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w:t>
            </w:r>
          </w:p>
        </w:tc>
        <w:tc>
          <w:tcPr>
            <w:tcW w:w="2572" w:type="dxa"/>
            <w:tcBorders>
              <w:top w:val="nil"/>
              <w:left w:val="nil"/>
              <w:bottom w:val="nil"/>
              <w:right w:val="nil"/>
            </w:tcBorders>
            <w:vAlign w:val="center"/>
          </w:tcPr>
          <w:p w14:paraId="23DAFAA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13.4</w:t>
            </w:r>
          </w:p>
        </w:tc>
      </w:tr>
      <w:tr w:rsidR="009F5352" w14:paraId="21AAE546" w14:textId="77777777">
        <w:tc>
          <w:tcPr>
            <w:tcW w:w="2972" w:type="dxa"/>
            <w:tcBorders>
              <w:top w:val="nil"/>
              <w:left w:val="nil"/>
              <w:bottom w:val="nil"/>
              <w:right w:val="nil"/>
            </w:tcBorders>
          </w:tcPr>
          <w:p w14:paraId="1820390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Married</w:t>
            </w:r>
          </w:p>
        </w:tc>
        <w:tc>
          <w:tcPr>
            <w:tcW w:w="1963" w:type="dxa"/>
            <w:tcBorders>
              <w:top w:val="nil"/>
              <w:left w:val="nil"/>
              <w:bottom w:val="nil"/>
              <w:right w:val="nil"/>
            </w:tcBorders>
            <w:vAlign w:val="center"/>
          </w:tcPr>
          <w:p w14:paraId="273910F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155</w:t>
            </w:r>
          </w:p>
        </w:tc>
        <w:tc>
          <w:tcPr>
            <w:tcW w:w="2572" w:type="dxa"/>
            <w:tcBorders>
              <w:top w:val="nil"/>
              <w:left w:val="nil"/>
              <w:bottom w:val="nil"/>
              <w:right w:val="nil"/>
            </w:tcBorders>
            <w:vAlign w:val="center"/>
          </w:tcPr>
          <w:p w14:paraId="534BE55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77.1</w:t>
            </w:r>
          </w:p>
        </w:tc>
      </w:tr>
      <w:tr w:rsidR="009F5352" w14:paraId="2AB18729" w14:textId="77777777">
        <w:tc>
          <w:tcPr>
            <w:tcW w:w="2972" w:type="dxa"/>
            <w:tcBorders>
              <w:top w:val="nil"/>
              <w:left w:val="nil"/>
              <w:bottom w:val="nil"/>
              <w:right w:val="nil"/>
            </w:tcBorders>
          </w:tcPr>
          <w:p w14:paraId="342A62A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Divorced</w:t>
            </w:r>
          </w:p>
        </w:tc>
        <w:tc>
          <w:tcPr>
            <w:tcW w:w="1963" w:type="dxa"/>
            <w:tcBorders>
              <w:top w:val="nil"/>
              <w:left w:val="nil"/>
              <w:bottom w:val="nil"/>
              <w:right w:val="nil"/>
            </w:tcBorders>
            <w:vAlign w:val="center"/>
          </w:tcPr>
          <w:p w14:paraId="591791A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w:t>
            </w:r>
          </w:p>
        </w:tc>
        <w:tc>
          <w:tcPr>
            <w:tcW w:w="2572" w:type="dxa"/>
            <w:tcBorders>
              <w:top w:val="nil"/>
              <w:left w:val="nil"/>
              <w:bottom w:val="nil"/>
              <w:right w:val="nil"/>
            </w:tcBorders>
            <w:vAlign w:val="center"/>
          </w:tcPr>
          <w:p w14:paraId="783BD6E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3.0</w:t>
            </w:r>
          </w:p>
        </w:tc>
      </w:tr>
      <w:tr w:rsidR="009F5352" w14:paraId="46DBEED1" w14:textId="77777777">
        <w:tc>
          <w:tcPr>
            <w:tcW w:w="2972" w:type="dxa"/>
            <w:tcBorders>
              <w:top w:val="nil"/>
              <w:left w:val="nil"/>
              <w:bottom w:val="nil"/>
              <w:right w:val="nil"/>
            </w:tcBorders>
          </w:tcPr>
          <w:p w14:paraId="779AFEF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Widowed</w:t>
            </w:r>
          </w:p>
        </w:tc>
        <w:tc>
          <w:tcPr>
            <w:tcW w:w="1963" w:type="dxa"/>
            <w:tcBorders>
              <w:top w:val="nil"/>
              <w:left w:val="nil"/>
              <w:bottom w:val="nil"/>
              <w:right w:val="nil"/>
            </w:tcBorders>
            <w:vAlign w:val="center"/>
          </w:tcPr>
          <w:p w14:paraId="1033559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13</w:t>
            </w:r>
          </w:p>
        </w:tc>
        <w:tc>
          <w:tcPr>
            <w:tcW w:w="2572" w:type="dxa"/>
            <w:tcBorders>
              <w:top w:val="nil"/>
              <w:left w:val="nil"/>
              <w:bottom w:val="nil"/>
              <w:right w:val="nil"/>
            </w:tcBorders>
            <w:vAlign w:val="center"/>
          </w:tcPr>
          <w:p w14:paraId="1C676D6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6.5</w:t>
            </w:r>
          </w:p>
        </w:tc>
      </w:tr>
      <w:tr w:rsidR="009F5352" w14:paraId="53A43EB6" w14:textId="77777777">
        <w:tc>
          <w:tcPr>
            <w:tcW w:w="2972" w:type="dxa"/>
            <w:tcBorders>
              <w:top w:val="nil"/>
              <w:left w:val="nil"/>
              <w:bottom w:val="nil"/>
              <w:right w:val="nil"/>
            </w:tcBorders>
          </w:tcPr>
          <w:p w14:paraId="7E6593D3" w14:textId="77777777" w:rsidR="009F5352" w:rsidRDefault="002918AF">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lastRenderedPageBreak/>
              <w:t xml:space="preserve">Religion </w:t>
            </w:r>
          </w:p>
        </w:tc>
        <w:tc>
          <w:tcPr>
            <w:tcW w:w="1963" w:type="dxa"/>
            <w:tcBorders>
              <w:top w:val="nil"/>
              <w:left w:val="nil"/>
              <w:bottom w:val="nil"/>
              <w:right w:val="nil"/>
            </w:tcBorders>
            <w:vAlign w:val="center"/>
          </w:tcPr>
          <w:p w14:paraId="19E505EF" w14:textId="77777777" w:rsidR="009F5352" w:rsidRDefault="009F5352">
            <w:pPr>
              <w:spacing w:line="360" w:lineRule="auto"/>
              <w:ind w:left="60" w:right="60"/>
              <w:rPr>
                <w:rFonts w:ascii="Arial" w:eastAsia="Arial" w:hAnsi="Arial" w:cs="Arial"/>
                <w:color w:val="000000"/>
                <w:sz w:val="24"/>
                <w:szCs w:val="24"/>
              </w:rPr>
            </w:pPr>
          </w:p>
        </w:tc>
        <w:tc>
          <w:tcPr>
            <w:tcW w:w="2572" w:type="dxa"/>
            <w:tcBorders>
              <w:top w:val="nil"/>
              <w:left w:val="nil"/>
              <w:bottom w:val="nil"/>
              <w:right w:val="nil"/>
            </w:tcBorders>
            <w:vAlign w:val="center"/>
          </w:tcPr>
          <w:p w14:paraId="0221541B" w14:textId="77777777" w:rsidR="009F5352" w:rsidRDefault="009F5352">
            <w:pPr>
              <w:spacing w:line="360" w:lineRule="auto"/>
              <w:ind w:left="60" w:right="60"/>
              <w:rPr>
                <w:rFonts w:ascii="Arial" w:eastAsia="Arial" w:hAnsi="Arial" w:cs="Arial"/>
                <w:color w:val="000000"/>
                <w:sz w:val="24"/>
                <w:szCs w:val="24"/>
              </w:rPr>
            </w:pPr>
          </w:p>
        </w:tc>
      </w:tr>
      <w:tr w:rsidR="009F5352" w14:paraId="103F4739" w14:textId="77777777">
        <w:tc>
          <w:tcPr>
            <w:tcW w:w="2972" w:type="dxa"/>
            <w:tcBorders>
              <w:top w:val="nil"/>
              <w:left w:val="nil"/>
              <w:bottom w:val="nil"/>
              <w:right w:val="nil"/>
            </w:tcBorders>
          </w:tcPr>
          <w:p w14:paraId="5F06C115"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Christian</w:t>
            </w:r>
          </w:p>
        </w:tc>
        <w:tc>
          <w:tcPr>
            <w:tcW w:w="1963" w:type="dxa"/>
            <w:tcBorders>
              <w:top w:val="nil"/>
              <w:left w:val="nil"/>
              <w:bottom w:val="nil"/>
              <w:right w:val="nil"/>
            </w:tcBorders>
            <w:vAlign w:val="center"/>
          </w:tcPr>
          <w:p w14:paraId="212A21D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195</w:t>
            </w:r>
          </w:p>
        </w:tc>
        <w:tc>
          <w:tcPr>
            <w:tcW w:w="2572" w:type="dxa"/>
            <w:tcBorders>
              <w:top w:val="nil"/>
              <w:left w:val="nil"/>
              <w:bottom w:val="nil"/>
              <w:right w:val="nil"/>
            </w:tcBorders>
            <w:vAlign w:val="center"/>
          </w:tcPr>
          <w:p w14:paraId="6861EFF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97.0</w:t>
            </w:r>
          </w:p>
        </w:tc>
      </w:tr>
      <w:tr w:rsidR="009F5352" w14:paraId="283F5B16" w14:textId="77777777">
        <w:tc>
          <w:tcPr>
            <w:tcW w:w="2972" w:type="dxa"/>
            <w:tcBorders>
              <w:top w:val="nil"/>
              <w:left w:val="nil"/>
              <w:bottom w:val="nil"/>
              <w:right w:val="nil"/>
            </w:tcBorders>
          </w:tcPr>
          <w:p w14:paraId="669C188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Muslim</w:t>
            </w:r>
          </w:p>
        </w:tc>
        <w:tc>
          <w:tcPr>
            <w:tcW w:w="1963" w:type="dxa"/>
            <w:tcBorders>
              <w:top w:val="nil"/>
              <w:left w:val="nil"/>
              <w:bottom w:val="nil"/>
              <w:right w:val="nil"/>
            </w:tcBorders>
            <w:vAlign w:val="center"/>
          </w:tcPr>
          <w:p w14:paraId="0D66673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w:t>
            </w:r>
          </w:p>
        </w:tc>
        <w:tc>
          <w:tcPr>
            <w:tcW w:w="2572" w:type="dxa"/>
            <w:tcBorders>
              <w:top w:val="nil"/>
              <w:left w:val="nil"/>
              <w:bottom w:val="nil"/>
              <w:right w:val="nil"/>
            </w:tcBorders>
            <w:vAlign w:val="center"/>
          </w:tcPr>
          <w:p w14:paraId="2C93415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2.5</w:t>
            </w:r>
          </w:p>
        </w:tc>
      </w:tr>
      <w:tr w:rsidR="009F5352" w14:paraId="259FE880" w14:textId="77777777">
        <w:trPr>
          <w:trHeight w:val="80"/>
        </w:trPr>
        <w:tc>
          <w:tcPr>
            <w:tcW w:w="2972" w:type="dxa"/>
            <w:tcBorders>
              <w:top w:val="nil"/>
              <w:left w:val="nil"/>
              <w:bottom w:val="nil"/>
              <w:right w:val="nil"/>
            </w:tcBorders>
          </w:tcPr>
          <w:p w14:paraId="21962DB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Others</w:t>
            </w:r>
          </w:p>
        </w:tc>
        <w:tc>
          <w:tcPr>
            <w:tcW w:w="1963" w:type="dxa"/>
            <w:tcBorders>
              <w:top w:val="nil"/>
              <w:left w:val="nil"/>
              <w:bottom w:val="nil"/>
              <w:right w:val="nil"/>
            </w:tcBorders>
            <w:vAlign w:val="center"/>
          </w:tcPr>
          <w:p w14:paraId="19648D5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72" w:type="dxa"/>
            <w:tcBorders>
              <w:top w:val="nil"/>
              <w:left w:val="nil"/>
              <w:bottom w:val="nil"/>
              <w:right w:val="nil"/>
            </w:tcBorders>
            <w:vAlign w:val="center"/>
          </w:tcPr>
          <w:p w14:paraId="418EFD8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0.5</w:t>
            </w:r>
          </w:p>
        </w:tc>
      </w:tr>
      <w:tr w:rsidR="009F5352" w14:paraId="223F2930" w14:textId="77777777">
        <w:tc>
          <w:tcPr>
            <w:tcW w:w="2972" w:type="dxa"/>
            <w:tcBorders>
              <w:top w:val="nil"/>
              <w:left w:val="nil"/>
              <w:bottom w:val="nil"/>
              <w:right w:val="nil"/>
            </w:tcBorders>
          </w:tcPr>
          <w:p w14:paraId="02A7378B" w14:textId="77777777" w:rsidR="009F5352" w:rsidRDefault="002918AF">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Educational level</w:t>
            </w:r>
          </w:p>
        </w:tc>
        <w:tc>
          <w:tcPr>
            <w:tcW w:w="1963" w:type="dxa"/>
            <w:tcBorders>
              <w:top w:val="nil"/>
              <w:left w:val="nil"/>
              <w:bottom w:val="nil"/>
              <w:right w:val="nil"/>
            </w:tcBorders>
            <w:vAlign w:val="center"/>
          </w:tcPr>
          <w:p w14:paraId="640A7615" w14:textId="77777777" w:rsidR="009F5352" w:rsidRDefault="009F5352">
            <w:pPr>
              <w:spacing w:line="360" w:lineRule="auto"/>
              <w:ind w:left="60" w:right="60"/>
              <w:rPr>
                <w:rFonts w:ascii="Arial" w:eastAsia="Arial" w:hAnsi="Arial" w:cs="Arial"/>
                <w:color w:val="000000"/>
                <w:sz w:val="24"/>
                <w:szCs w:val="24"/>
              </w:rPr>
            </w:pPr>
          </w:p>
        </w:tc>
        <w:tc>
          <w:tcPr>
            <w:tcW w:w="2572" w:type="dxa"/>
            <w:tcBorders>
              <w:top w:val="nil"/>
              <w:left w:val="nil"/>
              <w:bottom w:val="nil"/>
              <w:right w:val="nil"/>
            </w:tcBorders>
            <w:vAlign w:val="center"/>
          </w:tcPr>
          <w:p w14:paraId="0060F261" w14:textId="77777777" w:rsidR="009F5352" w:rsidRDefault="009F5352">
            <w:pPr>
              <w:spacing w:line="360" w:lineRule="auto"/>
              <w:ind w:left="60" w:right="60"/>
              <w:rPr>
                <w:rFonts w:ascii="Arial" w:eastAsia="Arial" w:hAnsi="Arial" w:cs="Arial"/>
                <w:color w:val="000000"/>
                <w:sz w:val="24"/>
                <w:szCs w:val="24"/>
              </w:rPr>
            </w:pPr>
          </w:p>
        </w:tc>
      </w:tr>
      <w:tr w:rsidR="009F5352" w14:paraId="68677906" w14:textId="77777777">
        <w:tc>
          <w:tcPr>
            <w:tcW w:w="2972" w:type="dxa"/>
            <w:tcBorders>
              <w:top w:val="nil"/>
              <w:left w:val="nil"/>
              <w:bottom w:val="nil"/>
              <w:right w:val="nil"/>
            </w:tcBorders>
          </w:tcPr>
          <w:p w14:paraId="6C1BE7E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Primary</w:t>
            </w:r>
          </w:p>
        </w:tc>
        <w:tc>
          <w:tcPr>
            <w:tcW w:w="1963" w:type="dxa"/>
            <w:tcBorders>
              <w:top w:val="nil"/>
              <w:left w:val="nil"/>
              <w:bottom w:val="nil"/>
              <w:right w:val="nil"/>
            </w:tcBorders>
            <w:vAlign w:val="center"/>
          </w:tcPr>
          <w:p w14:paraId="059BC25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67</w:t>
            </w:r>
          </w:p>
        </w:tc>
        <w:tc>
          <w:tcPr>
            <w:tcW w:w="2572" w:type="dxa"/>
            <w:tcBorders>
              <w:top w:val="nil"/>
              <w:left w:val="nil"/>
              <w:bottom w:val="nil"/>
              <w:right w:val="nil"/>
            </w:tcBorders>
            <w:vAlign w:val="center"/>
          </w:tcPr>
          <w:p w14:paraId="437B332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r>
      <w:tr w:rsidR="009F5352" w14:paraId="6361C84F" w14:textId="77777777">
        <w:tc>
          <w:tcPr>
            <w:tcW w:w="2972" w:type="dxa"/>
            <w:tcBorders>
              <w:top w:val="nil"/>
              <w:left w:val="nil"/>
              <w:bottom w:val="nil"/>
              <w:right w:val="nil"/>
            </w:tcBorders>
          </w:tcPr>
          <w:p w14:paraId="649ACB0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Secondary</w:t>
            </w:r>
          </w:p>
        </w:tc>
        <w:tc>
          <w:tcPr>
            <w:tcW w:w="1963" w:type="dxa"/>
            <w:tcBorders>
              <w:top w:val="nil"/>
              <w:left w:val="nil"/>
              <w:bottom w:val="nil"/>
              <w:right w:val="nil"/>
            </w:tcBorders>
            <w:vAlign w:val="center"/>
          </w:tcPr>
          <w:p w14:paraId="216C6C7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97</w:t>
            </w:r>
          </w:p>
        </w:tc>
        <w:tc>
          <w:tcPr>
            <w:tcW w:w="2572" w:type="dxa"/>
            <w:tcBorders>
              <w:top w:val="nil"/>
              <w:left w:val="nil"/>
              <w:bottom w:val="nil"/>
              <w:right w:val="nil"/>
            </w:tcBorders>
            <w:vAlign w:val="center"/>
          </w:tcPr>
          <w:p w14:paraId="5789FAA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48.3</w:t>
            </w:r>
          </w:p>
        </w:tc>
      </w:tr>
      <w:tr w:rsidR="009F5352" w14:paraId="5BFE2935" w14:textId="77777777">
        <w:tc>
          <w:tcPr>
            <w:tcW w:w="2972" w:type="dxa"/>
            <w:tcBorders>
              <w:top w:val="nil"/>
              <w:left w:val="nil"/>
              <w:bottom w:val="nil"/>
              <w:right w:val="nil"/>
            </w:tcBorders>
          </w:tcPr>
          <w:p w14:paraId="394E714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Tertiary</w:t>
            </w:r>
          </w:p>
        </w:tc>
        <w:tc>
          <w:tcPr>
            <w:tcW w:w="1963" w:type="dxa"/>
            <w:tcBorders>
              <w:top w:val="nil"/>
              <w:left w:val="nil"/>
              <w:bottom w:val="nil"/>
              <w:right w:val="nil"/>
            </w:tcBorders>
            <w:vAlign w:val="center"/>
          </w:tcPr>
          <w:p w14:paraId="115C0D2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37</w:t>
            </w:r>
          </w:p>
        </w:tc>
        <w:tc>
          <w:tcPr>
            <w:tcW w:w="2572" w:type="dxa"/>
            <w:tcBorders>
              <w:top w:val="nil"/>
              <w:left w:val="nil"/>
              <w:bottom w:val="nil"/>
              <w:right w:val="nil"/>
            </w:tcBorders>
            <w:vAlign w:val="center"/>
          </w:tcPr>
          <w:p w14:paraId="1370732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18.4</w:t>
            </w:r>
          </w:p>
        </w:tc>
      </w:tr>
      <w:tr w:rsidR="009F5352" w14:paraId="5BE4EF6C" w14:textId="77777777">
        <w:tc>
          <w:tcPr>
            <w:tcW w:w="2972" w:type="dxa"/>
            <w:tcBorders>
              <w:top w:val="single" w:sz="4" w:space="0" w:color="000000"/>
              <w:left w:val="nil"/>
              <w:bottom w:val="nil"/>
              <w:right w:val="nil"/>
            </w:tcBorders>
          </w:tcPr>
          <w:p w14:paraId="407FBD21" w14:textId="77777777" w:rsidR="009F5352" w:rsidRDefault="009F5352">
            <w:pPr>
              <w:spacing w:line="360" w:lineRule="auto"/>
              <w:ind w:left="60" w:right="60"/>
              <w:rPr>
                <w:rFonts w:ascii="Arial" w:eastAsia="Arial" w:hAnsi="Arial" w:cs="Arial"/>
                <w:color w:val="000000"/>
                <w:sz w:val="24"/>
                <w:szCs w:val="24"/>
              </w:rPr>
            </w:pPr>
          </w:p>
        </w:tc>
        <w:tc>
          <w:tcPr>
            <w:tcW w:w="1963" w:type="dxa"/>
            <w:tcBorders>
              <w:top w:val="single" w:sz="4" w:space="0" w:color="000000"/>
              <w:left w:val="nil"/>
              <w:bottom w:val="nil"/>
              <w:right w:val="nil"/>
            </w:tcBorders>
            <w:vAlign w:val="center"/>
          </w:tcPr>
          <w:p w14:paraId="7F8783E2" w14:textId="77777777" w:rsidR="009F5352" w:rsidRDefault="009F5352">
            <w:pPr>
              <w:spacing w:line="360" w:lineRule="auto"/>
              <w:ind w:left="60" w:right="60"/>
              <w:rPr>
                <w:rFonts w:ascii="Arial" w:eastAsia="Arial" w:hAnsi="Arial" w:cs="Arial"/>
                <w:color w:val="000000"/>
                <w:sz w:val="24"/>
                <w:szCs w:val="24"/>
              </w:rPr>
            </w:pPr>
          </w:p>
        </w:tc>
        <w:tc>
          <w:tcPr>
            <w:tcW w:w="2572" w:type="dxa"/>
            <w:tcBorders>
              <w:top w:val="single" w:sz="4" w:space="0" w:color="000000"/>
              <w:left w:val="nil"/>
              <w:bottom w:val="nil"/>
              <w:right w:val="nil"/>
            </w:tcBorders>
            <w:vAlign w:val="center"/>
          </w:tcPr>
          <w:p w14:paraId="0CDB80B2" w14:textId="77777777" w:rsidR="009F5352" w:rsidRDefault="009F5352">
            <w:pPr>
              <w:spacing w:line="360" w:lineRule="auto"/>
              <w:ind w:left="60" w:right="60"/>
              <w:rPr>
                <w:rFonts w:ascii="Arial" w:eastAsia="Arial" w:hAnsi="Arial" w:cs="Arial"/>
                <w:color w:val="000000"/>
                <w:sz w:val="24"/>
                <w:szCs w:val="24"/>
              </w:rPr>
            </w:pPr>
          </w:p>
        </w:tc>
      </w:tr>
    </w:tbl>
    <w:p w14:paraId="78C1FC5D" w14:textId="77777777" w:rsidR="009F5352" w:rsidRDefault="009F5352">
      <w:pPr>
        <w:spacing w:line="480" w:lineRule="auto"/>
        <w:rPr>
          <w:rFonts w:ascii="Arial" w:eastAsia="Arial" w:hAnsi="Arial" w:cs="Arial"/>
          <w:b/>
          <w:color w:val="000000"/>
          <w:sz w:val="24"/>
          <w:szCs w:val="24"/>
        </w:rPr>
      </w:pPr>
    </w:p>
    <w:p w14:paraId="44FB7ED6" w14:textId="77777777" w:rsidR="009F5352" w:rsidRDefault="009F5352">
      <w:pPr>
        <w:spacing w:line="480" w:lineRule="auto"/>
        <w:rPr>
          <w:rFonts w:ascii="Arial" w:eastAsia="Arial" w:hAnsi="Arial" w:cs="Arial"/>
          <w:b/>
          <w:color w:val="000000"/>
          <w:sz w:val="24"/>
          <w:szCs w:val="24"/>
        </w:rPr>
      </w:pPr>
    </w:p>
    <w:p w14:paraId="7F3DA5BD" w14:textId="77777777" w:rsidR="009F5352" w:rsidRDefault="009F5352">
      <w:pPr>
        <w:spacing w:line="480" w:lineRule="auto"/>
        <w:rPr>
          <w:rFonts w:ascii="Arial" w:eastAsia="Arial" w:hAnsi="Arial" w:cs="Arial"/>
          <w:b/>
          <w:color w:val="000000"/>
          <w:sz w:val="24"/>
          <w:szCs w:val="24"/>
        </w:rPr>
      </w:pPr>
    </w:p>
    <w:p w14:paraId="7B0C473B" w14:textId="77777777" w:rsidR="009F5352" w:rsidRDefault="002918AF">
      <w:pPr>
        <w:rPr>
          <w:rFonts w:ascii="Arial" w:eastAsia="Arial" w:hAnsi="Arial" w:cs="Arial"/>
          <w:b/>
          <w:color w:val="000000"/>
          <w:sz w:val="24"/>
          <w:szCs w:val="24"/>
        </w:rPr>
      </w:pPr>
      <w:r>
        <w:br w:type="page"/>
      </w:r>
    </w:p>
    <w:p w14:paraId="2115A124" w14:textId="77777777" w:rsidR="009F5352" w:rsidRDefault="002918AF">
      <w:pPr>
        <w:rPr>
          <w:rFonts w:ascii="Arial" w:eastAsia="Arial" w:hAnsi="Arial" w:cs="Arial"/>
          <w:sz w:val="24"/>
          <w:szCs w:val="24"/>
        </w:rPr>
      </w:pPr>
      <w:r>
        <w:rPr>
          <w:rFonts w:ascii="Arial" w:eastAsia="Arial" w:hAnsi="Arial" w:cs="Arial"/>
          <w:sz w:val="24"/>
          <w:szCs w:val="24"/>
        </w:rPr>
        <w:lastRenderedPageBreak/>
        <w:t xml:space="preserve">2.0 Occurrence of LBP in Relation to </w:t>
      </w:r>
      <w:r>
        <w:rPr>
          <w:rFonts w:ascii="Arial" w:eastAsia="Arial" w:hAnsi="Arial" w:cs="Arial"/>
          <w:sz w:val="24"/>
          <w:szCs w:val="24"/>
        </w:rPr>
        <w:t>Participants Socio-demographics</w:t>
      </w:r>
    </w:p>
    <w:p w14:paraId="55D39B8C" w14:textId="77777777" w:rsidR="009F5352" w:rsidRDefault="002918AF">
      <w:pPr>
        <w:spacing w:line="480" w:lineRule="auto"/>
        <w:rPr>
          <w:rFonts w:ascii="Arial" w:eastAsia="Arial" w:hAnsi="Arial" w:cs="Arial"/>
          <w:color w:val="000000"/>
          <w:sz w:val="24"/>
          <w:szCs w:val="24"/>
        </w:rPr>
      </w:pPr>
      <w:r>
        <w:rPr>
          <w:rFonts w:ascii="Arial" w:eastAsia="Arial" w:hAnsi="Arial" w:cs="Arial"/>
          <w:color w:val="000000"/>
          <w:sz w:val="24"/>
          <w:szCs w:val="24"/>
        </w:rPr>
        <w:t>Approximately 79.2% (n=42) of the participants in the 31-40 age group had suffered LBP, while 71.4% (n=40) from the 41-</w:t>
      </w:r>
      <w:proofErr w:type="gramStart"/>
      <w:r>
        <w:rPr>
          <w:rFonts w:ascii="Arial" w:eastAsia="Arial" w:hAnsi="Arial" w:cs="Arial"/>
          <w:color w:val="000000"/>
          <w:sz w:val="24"/>
          <w:szCs w:val="24"/>
        </w:rPr>
        <w:t>50  age</w:t>
      </w:r>
      <w:proofErr w:type="gramEnd"/>
      <w:r>
        <w:rPr>
          <w:rFonts w:ascii="Arial" w:eastAsia="Arial" w:hAnsi="Arial" w:cs="Arial"/>
          <w:color w:val="000000"/>
          <w:sz w:val="24"/>
          <w:szCs w:val="24"/>
        </w:rPr>
        <w:t xml:space="preserve"> group had suffered LBP. The Majority 72.8% (n=142) of the </w:t>
      </w:r>
      <w:proofErr w:type="gramStart"/>
      <w:r>
        <w:rPr>
          <w:rFonts w:ascii="Arial" w:eastAsia="Arial" w:hAnsi="Arial" w:cs="Arial"/>
          <w:color w:val="000000"/>
          <w:sz w:val="24"/>
          <w:szCs w:val="24"/>
        </w:rPr>
        <w:t>Christians  suffered</w:t>
      </w:r>
      <w:proofErr w:type="gramEnd"/>
      <w:r>
        <w:rPr>
          <w:rFonts w:ascii="Arial" w:eastAsia="Arial" w:hAnsi="Arial" w:cs="Arial"/>
          <w:color w:val="000000"/>
          <w:sz w:val="24"/>
          <w:szCs w:val="24"/>
        </w:rPr>
        <w:t xml:space="preserve"> from low back pain</w:t>
      </w:r>
      <w:r>
        <w:rPr>
          <w:rFonts w:ascii="Arial" w:eastAsia="Arial" w:hAnsi="Arial" w:cs="Arial"/>
          <w:color w:val="000000"/>
          <w:sz w:val="24"/>
          <w:szCs w:val="24"/>
        </w:rPr>
        <w:t>. Approximately 47.8% (n=32) that had primary school education suffered LBP, 41.2% (n=40) who had secondary school education suffered LBP and 46.0% (n=17) of those who had tertiary education suffered LBP (Table 2).</w:t>
      </w:r>
    </w:p>
    <w:p w14:paraId="5CD94B76" w14:textId="77777777" w:rsidR="009F5352" w:rsidRDefault="002918AF">
      <w:pPr>
        <w:rPr>
          <w:rFonts w:ascii="Arial" w:eastAsia="Arial" w:hAnsi="Arial" w:cs="Arial"/>
          <w:sz w:val="24"/>
          <w:szCs w:val="24"/>
        </w:rPr>
      </w:pPr>
      <w:r>
        <w:rPr>
          <w:rFonts w:ascii="Arial" w:eastAsia="Arial" w:hAnsi="Arial" w:cs="Arial"/>
          <w:sz w:val="24"/>
          <w:szCs w:val="24"/>
        </w:rPr>
        <w:t>Table 2: Occurrence of LBP in Relation to</w:t>
      </w:r>
      <w:r>
        <w:rPr>
          <w:rFonts w:ascii="Arial" w:eastAsia="Arial" w:hAnsi="Arial" w:cs="Arial"/>
          <w:sz w:val="24"/>
          <w:szCs w:val="24"/>
        </w:rPr>
        <w:t xml:space="preserve"> Participants Socio-demographics (N=201)</w:t>
      </w:r>
    </w:p>
    <w:tbl>
      <w:tblPr>
        <w:tblStyle w:val="a0"/>
        <w:tblW w:w="836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701"/>
        <w:gridCol w:w="2410"/>
        <w:gridCol w:w="1701"/>
        <w:gridCol w:w="2552"/>
      </w:tblGrid>
      <w:tr w:rsidR="009F5352" w14:paraId="0C32E33F" w14:textId="77777777">
        <w:trPr>
          <w:trHeight w:val="385"/>
        </w:trPr>
        <w:tc>
          <w:tcPr>
            <w:tcW w:w="1701" w:type="dxa"/>
            <w:tcBorders>
              <w:top w:val="single" w:sz="4" w:space="0" w:color="000000"/>
              <w:bottom w:val="single" w:sz="4" w:space="0" w:color="000000"/>
            </w:tcBorders>
          </w:tcPr>
          <w:p w14:paraId="1730C529"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2410" w:type="dxa"/>
            <w:tcBorders>
              <w:top w:val="single" w:sz="4" w:space="0" w:color="000000"/>
              <w:bottom w:val="single" w:sz="4" w:space="0" w:color="000000"/>
            </w:tcBorders>
          </w:tcPr>
          <w:p w14:paraId="450880D3" w14:textId="77777777" w:rsidR="009F5352" w:rsidRDefault="009F5352">
            <w:pPr>
              <w:spacing w:line="360" w:lineRule="auto"/>
              <w:rPr>
                <w:rFonts w:ascii="Arial" w:eastAsia="Arial" w:hAnsi="Arial" w:cs="Arial"/>
                <w:b/>
                <w:color w:val="000000"/>
                <w:sz w:val="24"/>
                <w:szCs w:val="24"/>
              </w:rPr>
            </w:pPr>
          </w:p>
        </w:tc>
        <w:tc>
          <w:tcPr>
            <w:tcW w:w="4253" w:type="dxa"/>
            <w:gridSpan w:val="2"/>
            <w:tcBorders>
              <w:top w:val="single" w:sz="4" w:space="0" w:color="000000"/>
              <w:bottom w:val="single" w:sz="4" w:space="0" w:color="000000"/>
            </w:tcBorders>
            <w:vAlign w:val="bottom"/>
          </w:tcPr>
          <w:p w14:paraId="7242EAB4"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Have you ever had low back trouble (ache pain or discomfort)?</w:t>
            </w:r>
          </w:p>
        </w:tc>
      </w:tr>
      <w:tr w:rsidR="009F5352" w14:paraId="34951346" w14:textId="77777777">
        <w:trPr>
          <w:trHeight w:val="397"/>
        </w:trPr>
        <w:tc>
          <w:tcPr>
            <w:tcW w:w="1701" w:type="dxa"/>
            <w:tcBorders>
              <w:top w:val="single" w:sz="4" w:space="0" w:color="000000"/>
              <w:bottom w:val="single" w:sz="4" w:space="0" w:color="000000"/>
            </w:tcBorders>
          </w:tcPr>
          <w:p w14:paraId="17449213" w14:textId="77777777" w:rsidR="009F5352" w:rsidRDefault="009F5352">
            <w:pPr>
              <w:spacing w:line="360" w:lineRule="auto"/>
              <w:rPr>
                <w:rFonts w:ascii="Arial" w:eastAsia="Arial" w:hAnsi="Arial" w:cs="Arial"/>
                <w:b/>
                <w:color w:val="000000"/>
                <w:sz w:val="24"/>
                <w:szCs w:val="24"/>
              </w:rPr>
            </w:pPr>
          </w:p>
        </w:tc>
        <w:tc>
          <w:tcPr>
            <w:tcW w:w="2410" w:type="dxa"/>
            <w:tcBorders>
              <w:top w:val="single" w:sz="4" w:space="0" w:color="000000"/>
              <w:bottom w:val="single" w:sz="4" w:space="0" w:color="000000"/>
            </w:tcBorders>
          </w:tcPr>
          <w:p w14:paraId="3CA4A07E" w14:textId="77777777" w:rsidR="009F5352" w:rsidRDefault="009F5352">
            <w:pPr>
              <w:spacing w:line="360" w:lineRule="auto"/>
              <w:rPr>
                <w:rFonts w:ascii="Arial" w:eastAsia="Arial" w:hAnsi="Arial" w:cs="Arial"/>
                <w:b/>
                <w:color w:val="000000"/>
                <w:sz w:val="24"/>
                <w:szCs w:val="24"/>
              </w:rPr>
            </w:pPr>
          </w:p>
        </w:tc>
        <w:tc>
          <w:tcPr>
            <w:tcW w:w="4253" w:type="dxa"/>
            <w:gridSpan w:val="2"/>
            <w:tcBorders>
              <w:top w:val="single" w:sz="4" w:space="0" w:color="000000"/>
              <w:bottom w:val="single" w:sz="4" w:space="0" w:color="000000"/>
            </w:tcBorders>
            <w:vAlign w:val="bottom"/>
          </w:tcPr>
          <w:p w14:paraId="12ADE774"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No                         Yes                       </w:t>
            </w:r>
          </w:p>
        </w:tc>
      </w:tr>
      <w:tr w:rsidR="009F5352" w14:paraId="15FE0100" w14:textId="77777777">
        <w:trPr>
          <w:trHeight w:val="358"/>
        </w:trPr>
        <w:tc>
          <w:tcPr>
            <w:tcW w:w="1701" w:type="dxa"/>
            <w:tcBorders>
              <w:top w:val="single" w:sz="4" w:space="0" w:color="000000"/>
              <w:bottom w:val="nil"/>
              <w:right w:val="nil"/>
            </w:tcBorders>
          </w:tcPr>
          <w:p w14:paraId="56113ED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b/>
                <w:color w:val="000000"/>
                <w:sz w:val="24"/>
                <w:szCs w:val="24"/>
              </w:rPr>
              <w:t>Age (years)</w:t>
            </w:r>
          </w:p>
          <w:p w14:paraId="6EA5ADB3" w14:textId="77777777" w:rsidR="009F5352" w:rsidRDefault="009F5352">
            <w:pPr>
              <w:spacing w:line="360" w:lineRule="auto"/>
              <w:ind w:left="60" w:right="60"/>
              <w:rPr>
                <w:rFonts w:ascii="Arial" w:eastAsia="Arial" w:hAnsi="Arial" w:cs="Arial"/>
                <w:color w:val="000000"/>
                <w:sz w:val="24"/>
                <w:szCs w:val="24"/>
              </w:rPr>
            </w:pPr>
          </w:p>
          <w:p w14:paraId="6505B12C"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18-20</w:t>
            </w:r>
          </w:p>
        </w:tc>
        <w:tc>
          <w:tcPr>
            <w:tcW w:w="2410" w:type="dxa"/>
            <w:tcBorders>
              <w:top w:val="single" w:sz="4" w:space="0" w:color="000000"/>
              <w:left w:val="nil"/>
              <w:bottom w:val="nil"/>
              <w:right w:val="nil"/>
            </w:tcBorders>
          </w:tcPr>
          <w:p w14:paraId="266ADCA6" w14:textId="77777777" w:rsidR="009F5352" w:rsidRDefault="009F5352">
            <w:pPr>
              <w:spacing w:line="360" w:lineRule="auto"/>
              <w:ind w:left="60" w:right="60"/>
              <w:rPr>
                <w:rFonts w:ascii="Arial" w:eastAsia="Arial" w:hAnsi="Arial" w:cs="Arial"/>
                <w:color w:val="000000"/>
                <w:sz w:val="24"/>
                <w:szCs w:val="24"/>
              </w:rPr>
            </w:pPr>
          </w:p>
          <w:p w14:paraId="6C9F82DA" w14:textId="77777777" w:rsidR="009F5352" w:rsidRDefault="009F5352">
            <w:pPr>
              <w:spacing w:line="360" w:lineRule="auto"/>
              <w:ind w:left="60" w:right="60"/>
              <w:rPr>
                <w:rFonts w:ascii="Arial" w:eastAsia="Arial" w:hAnsi="Arial" w:cs="Arial"/>
                <w:color w:val="000000"/>
                <w:sz w:val="24"/>
                <w:szCs w:val="24"/>
              </w:rPr>
            </w:pPr>
          </w:p>
          <w:p w14:paraId="3E6BC80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tcBorders>
              <w:top w:val="single" w:sz="4" w:space="0" w:color="000000"/>
              <w:left w:val="nil"/>
              <w:bottom w:val="nil"/>
              <w:right w:val="nil"/>
            </w:tcBorders>
            <w:vAlign w:val="bottom"/>
          </w:tcPr>
          <w:p w14:paraId="47E57E7F"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tcBorders>
              <w:top w:val="single" w:sz="4" w:space="0" w:color="000000"/>
              <w:left w:val="nil"/>
              <w:bottom w:val="nil"/>
            </w:tcBorders>
            <w:vAlign w:val="bottom"/>
          </w:tcPr>
          <w:p w14:paraId="4A32B2B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w:t>
            </w:r>
          </w:p>
        </w:tc>
      </w:tr>
      <w:tr w:rsidR="009F5352" w14:paraId="50B9E5BF" w14:textId="77777777">
        <w:tc>
          <w:tcPr>
            <w:tcW w:w="1701" w:type="dxa"/>
            <w:tcBorders>
              <w:top w:val="nil"/>
              <w:bottom w:val="nil"/>
              <w:right w:val="nil"/>
            </w:tcBorders>
          </w:tcPr>
          <w:p w14:paraId="4C792887" w14:textId="77777777" w:rsidR="009F5352" w:rsidRDefault="009F5352">
            <w:pPr>
              <w:spacing w:line="360" w:lineRule="auto"/>
              <w:rPr>
                <w:rFonts w:ascii="Arial" w:eastAsia="Arial" w:hAnsi="Arial" w:cs="Arial"/>
                <w:color w:val="000000"/>
                <w:sz w:val="24"/>
                <w:szCs w:val="24"/>
              </w:rPr>
            </w:pPr>
          </w:p>
        </w:tc>
        <w:tc>
          <w:tcPr>
            <w:tcW w:w="2410" w:type="dxa"/>
            <w:tcBorders>
              <w:top w:val="nil"/>
              <w:left w:val="nil"/>
              <w:bottom w:val="nil"/>
              <w:right w:val="nil"/>
            </w:tcBorders>
          </w:tcPr>
          <w:p w14:paraId="5F14A07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tcBorders>
              <w:top w:val="nil"/>
              <w:left w:val="nil"/>
              <w:bottom w:val="nil"/>
              <w:right w:val="nil"/>
            </w:tcBorders>
            <w:vAlign w:val="center"/>
          </w:tcPr>
          <w:p w14:paraId="355D559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c>
          <w:tcPr>
            <w:tcW w:w="2552" w:type="dxa"/>
            <w:tcBorders>
              <w:top w:val="nil"/>
              <w:left w:val="nil"/>
              <w:bottom w:val="nil"/>
            </w:tcBorders>
            <w:vAlign w:val="center"/>
          </w:tcPr>
          <w:p w14:paraId="58A86F1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66.7%</w:t>
            </w:r>
          </w:p>
        </w:tc>
      </w:tr>
      <w:tr w:rsidR="009F5352" w14:paraId="185D34DB" w14:textId="77777777">
        <w:tc>
          <w:tcPr>
            <w:tcW w:w="1701" w:type="dxa"/>
            <w:tcBorders>
              <w:top w:val="nil"/>
            </w:tcBorders>
          </w:tcPr>
          <w:p w14:paraId="06AFB2E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21-30</w:t>
            </w:r>
          </w:p>
        </w:tc>
        <w:tc>
          <w:tcPr>
            <w:tcW w:w="2410" w:type="dxa"/>
            <w:tcBorders>
              <w:top w:val="nil"/>
            </w:tcBorders>
          </w:tcPr>
          <w:p w14:paraId="1D6FB5B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tcBorders>
              <w:top w:val="nil"/>
            </w:tcBorders>
            <w:vAlign w:val="center"/>
          </w:tcPr>
          <w:p w14:paraId="619C01B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w:t>
            </w:r>
          </w:p>
        </w:tc>
        <w:tc>
          <w:tcPr>
            <w:tcW w:w="2552" w:type="dxa"/>
            <w:tcBorders>
              <w:top w:val="nil"/>
            </w:tcBorders>
            <w:vAlign w:val="center"/>
          </w:tcPr>
          <w:p w14:paraId="38FB364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12</w:t>
            </w:r>
          </w:p>
        </w:tc>
      </w:tr>
      <w:tr w:rsidR="009F5352" w14:paraId="648D8A24" w14:textId="77777777">
        <w:tc>
          <w:tcPr>
            <w:tcW w:w="1701" w:type="dxa"/>
          </w:tcPr>
          <w:p w14:paraId="4AC175D9" w14:textId="77777777" w:rsidR="009F5352" w:rsidRDefault="009F5352">
            <w:pPr>
              <w:spacing w:line="360" w:lineRule="auto"/>
              <w:rPr>
                <w:rFonts w:ascii="Arial" w:eastAsia="Arial" w:hAnsi="Arial" w:cs="Arial"/>
                <w:color w:val="000000"/>
                <w:sz w:val="24"/>
                <w:szCs w:val="24"/>
              </w:rPr>
            </w:pPr>
          </w:p>
        </w:tc>
        <w:tc>
          <w:tcPr>
            <w:tcW w:w="2410" w:type="dxa"/>
          </w:tcPr>
          <w:p w14:paraId="7AD2D9D3"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05FB653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c>
          <w:tcPr>
            <w:tcW w:w="2552" w:type="dxa"/>
            <w:vAlign w:val="center"/>
          </w:tcPr>
          <w:p w14:paraId="1867E37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66.7%</w:t>
            </w:r>
          </w:p>
        </w:tc>
      </w:tr>
      <w:tr w:rsidR="009F5352" w14:paraId="43E08B5E" w14:textId="77777777">
        <w:tc>
          <w:tcPr>
            <w:tcW w:w="1701" w:type="dxa"/>
          </w:tcPr>
          <w:p w14:paraId="24F97F5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31-40</w:t>
            </w:r>
          </w:p>
        </w:tc>
        <w:tc>
          <w:tcPr>
            <w:tcW w:w="2410" w:type="dxa"/>
          </w:tcPr>
          <w:p w14:paraId="1296F48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43013F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11</w:t>
            </w:r>
          </w:p>
        </w:tc>
        <w:tc>
          <w:tcPr>
            <w:tcW w:w="2552" w:type="dxa"/>
            <w:vAlign w:val="center"/>
          </w:tcPr>
          <w:p w14:paraId="037BEA8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42</w:t>
            </w:r>
          </w:p>
        </w:tc>
      </w:tr>
      <w:tr w:rsidR="009F5352" w14:paraId="595D7883" w14:textId="77777777">
        <w:tc>
          <w:tcPr>
            <w:tcW w:w="1701" w:type="dxa"/>
          </w:tcPr>
          <w:p w14:paraId="184F5E95" w14:textId="77777777" w:rsidR="009F5352" w:rsidRDefault="009F5352">
            <w:pPr>
              <w:spacing w:line="360" w:lineRule="auto"/>
              <w:rPr>
                <w:rFonts w:ascii="Arial" w:eastAsia="Arial" w:hAnsi="Arial" w:cs="Arial"/>
                <w:color w:val="000000"/>
                <w:sz w:val="24"/>
                <w:szCs w:val="24"/>
              </w:rPr>
            </w:pPr>
          </w:p>
        </w:tc>
        <w:tc>
          <w:tcPr>
            <w:tcW w:w="2410" w:type="dxa"/>
          </w:tcPr>
          <w:p w14:paraId="37EC2DE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7AA9E47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20.8%</w:t>
            </w:r>
          </w:p>
        </w:tc>
        <w:tc>
          <w:tcPr>
            <w:tcW w:w="2552" w:type="dxa"/>
            <w:vAlign w:val="center"/>
          </w:tcPr>
          <w:p w14:paraId="62AE722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79.2%</w:t>
            </w:r>
          </w:p>
        </w:tc>
      </w:tr>
      <w:tr w:rsidR="009F5352" w14:paraId="18145EC4" w14:textId="77777777">
        <w:tc>
          <w:tcPr>
            <w:tcW w:w="1701" w:type="dxa"/>
          </w:tcPr>
          <w:p w14:paraId="71E5249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41-50</w:t>
            </w:r>
          </w:p>
        </w:tc>
        <w:tc>
          <w:tcPr>
            <w:tcW w:w="2410" w:type="dxa"/>
          </w:tcPr>
          <w:p w14:paraId="7EB97703"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2C17BD4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16</w:t>
            </w:r>
          </w:p>
        </w:tc>
        <w:tc>
          <w:tcPr>
            <w:tcW w:w="2552" w:type="dxa"/>
            <w:vAlign w:val="center"/>
          </w:tcPr>
          <w:p w14:paraId="25C52B2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40</w:t>
            </w:r>
          </w:p>
        </w:tc>
      </w:tr>
      <w:tr w:rsidR="009F5352" w14:paraId="0E7E7756" w14:textId="77777777">
        <w:tc>
          <w:tcPr>
            <w:tcW w:w="1701" w:type="dxa"/>
          </w:tcPr>
          <w:p w14:paraId="60844D82" w14:textId="77777777" w:rsidR="009F5352" w:rsidRDefault="009F5352">
            <w:pPr>
              <w:spacing w:line="360" w:lineRule="auto"/>
              <w:rPr>
                <w:rFonts w:ascii="Arial" w:eastAsia="Arial" w:hAnsi="Arial" w:cs="Arial"/>
                <w:color w:val="000000"/>
                <w:sz w:val="24"/>
                <w:szCs w:val="24"/>
              </w:rPr>
            </w:pPr>
          </w:p>
        </w:tc>
        <w:tc>
          <w:tcPr>
            <w:tcW w:w="2410" w:type="dxa"/>
          </w:tcPr>
          <w:p w14:paraId="4E9E58E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2BC6811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28.6%</w:t>
            </w:r>
          </w:p>
        </w:tc>
        <w:tc>
          <w:tcPr>
            <w:tcW w:w="2552" w:type="dxa"/>
            <w:vAlign w:val="center"/>
          </w:tcPr>
          <w:p w14:paraId="79535F5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71.4%</w:t>
            </w:r>
          </w:p>
        </w:tc>
      </w:tr>
      <w:tr w:rsidR="009F5352" w14:paraId="77A0352B" w14:textId="77777777">
        <w:tc>
          <w:tcPr>
            <w:tcW w:w="1701" w:type="dxa"/>
          </w:tcPr>
          <w:p w14:paraId="24B4DE2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&gt;50</w:t>
            </w:r>
          </w:p>
        </w:tc>
        <w:tc>
          <w:tcPr>
            <w:tcW w:w="2410" w:type="dxa"/>
          </w:tcPr>
          <w:p w14:paraId="49BB7C0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3892B83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w:t>
            </w:r>
          </w:p>
        </w:tc>
        <w:tc>
          <w:tcPr>
            <w:tcW w:w="2552" w:type="dxa"/>
            <w:vAlign w:val="center"/>
          </w:tcPr>
          <w:p w14:paraId="6FB115D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50</w:t>
            </w:r>
          </w:p>
        </w:tc>
      </w:tr>
      <w:tr w:rsidR="009F5352" w14:paraId="0649BA03" w14:textId="77777777">
        <w:tc>
          <w:tcPr>
            <w:tcW w:w="1701" w:type="dxa"/>
          </w:tcPr>
          <w:p w14:paraId="58249EE4" w14:textId="77777777" w:rsidR="009F5352" w:rsidRDefault="009F5352">
            <w:pPr>
              <w:spacing w:line="360" w:lineRule="auto"/>
              <w:rPr>
                <w:rFonts w:ascii="Arial" w:eastAsia="Arial" w:hAnsi="Arial" w:cs="Arial"/>
                <w:color w:val="000000"/>
                <w:sz w:val="24"/>
                <w:szCs w:val="24"/>
              </w:rPr>
            </w:pPr>
          </w:p>
        </w:tc>
        <w:tc>
          <w:tcPr>
            <w:tcW w:w="2410" w:type="dxa"/>
          </w:tcPr>
          <w:p w14:paraId="0FF07CC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17F0948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29.6%</w:t>
            </w:r>
          </w:p>
        </w:tc>
        <w:tc>
          <w:tcPr>
            <w:tcW w:w="2552" w:type="dxa"/>
            <w:vAlign w:val="center"/>
          </w:tcPr>
          <w:p w14:paraId="037DA5A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70.4%</w:t>
            </w:r>
          </w:p>
        </w:tc>
      </w:tr>
      <w:tr w:rsidR="009F5352" w14:paraId="20825D0B" w14:textId="77777777">
        <w:tc>
          <w:tcPr>
            <w:tcW w:w="1701" w:type="dxa"/>
          </w:tcPr>
          <w:p w14:paraId="5571C89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Total</w:t>
            </w:r>
          </w:p>
        </w:tc>
        <w:tc>
          <w:tcPr>
            <w:tcW w:w="2410" w:type="dxa"/>
          </w:tcPr>
          <w:p w14:paraId="092988A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196D0853"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w:t>
            </w:r>
          </w:p>
        </w:tc>
        <w:tc>
          <w:tcPr>
            <w:tcW w:w="2552" w:type="dxa"/>
            <w:vAlign w:val="center"/>
          </w:tcPr>
          <w:p w14:paraId="06E529D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146</w:t>
            </w:r>
          </w:p>
        </w:tc>
      </w:tr>
      <w:tr w:rsidR="009F5352" w14:paraId="09F37938" w14:textId="77777777">
        <w:tc>
          <w:tcPr>
            <w:tcW w:w="1701" w:type="dxa"/>
          </w:tcPr>
          <w:p w14:paraId="44383D39"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3C917F7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34D39DD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27.4%</w:t>
            </w:r>
          </w:p>
        </w:tc>
        <w:tc>
          <w:tcPr>
            <w:tcW w:w="2552" w:type="dxa"/>
            <w:vAlign w:val="center"/>
          </w:tcPr>
          <w:p w14:paraId="355B485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72.6%</w:t>
            </w:r>
          </w:p>
        </w:tc>
      </w:tr>
      <w:tr w:rsidR="009F5352" w14:paraId="1A76277B" w14:textId="77777777">
        <w:tc>
          <w:tcPr>
            <w:tcW w:w="1701" w:type="dxa"/>
          </w:tcPr>
          <w:p w14:paraId="5C7E089F"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Religion</w:t>
            </w:r>
          </w:p>
        </w:tc>
        <w:tc>
          <w:tcPr>
            <w:tcW w:w="2410" w:type="dxa"/>
          </w:tcPr>
          <w:p w14:paraId="6A1DAD33" w14:textId="77777777" w:rsidR="009F5352" w:rsidRDefault="009F5352">
            <w:pPr>
              <w:spacing w:line="360" w:lineRule="auto"/>
              <w:ind w:left="60" w:right="60"/>
              <w:rPr>
                <w:rFonts w:ascii="Arial" w:eastAsia="Arial" w:hAnsi="Arial" w:cs="Arial"/>
                <w:color w:val="000000"/>
                <w:sz w:val="24"/>
                <w:szCs w:val="24"/>
              </w:rPr>
            </w:pPr>
          </w:p>
        </w:tc>
        <w:tc>
          <w:tcPr>
            <w:tcW w:w="1701" w:type="dxa"/>
            <w:vAlign w:val="center"/>
          </w:tcPr>
          <w:p w14:paraId="0F8A7DE2" w14:textId="77777777" w:rsidR="009F5352" w:rsidRDefault="009F5352">
            <w:pPr>
              <w:spacing w:line="360" w:lineRule="auto"/>
              <w:ind w:left="60" w:right="60"/>
              <w:rPr>
                <w:rFonts w:ascii="Arial" w:eastAsia="Arial" w:hAnsi="Arial" w:cs="Arial"/>
                <w:color w:val="000000"/>
                <w:sz w:val="24"/>
                <w:szCs w:val="24"/>
              </w:rPr>
            </w:pPr>
          </w:p>
        </w:tc>
        <w:tc>
          <w:tcPr>
            <w:tcW w:w="2552" w:type="dxa"/>
            <w:vAlign w:val="center"/>
          </w:tcPr>
          <w:p w14:paraId="4F0C0059" w14:textId="77777777" w:rsidR="009F5352" w:rsidRDefault="009F5352">
            <w:pPr>
              <w:spacing w:line="360" w:lineRule="auto"/>
              <w:ind w:left="60" w:right="60"/>
              <w:rPr>
                <w:rFonts w:ascii="Arial" w:eastAsia="Arial" w:hAnsi="Arial" w:cs="Arial"/>
                <w:color w:val="000000"/>
                <w:sz w:val="24"/>
                <w:szCs w:val="24"/>
              </w:rPr>
            </w:pPr>
          </w:p>
        </w:tc>
      </w:tr>
      <w:tr w:rsidR="009F5352" w14:paraId="43B88CAB" w14:textId="77777777">
        <w:tc>
          <w:tcPr>
            <w:tcW w:w="1701" w:type="dxa"/>
          </w:tcPr>
          <w:p w14:paraId="41D568A9"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 xml:space="preserve">Christian </w:t>
            </w:r>
          </w:p>
        </w:tc>
        <w:tc>
          <w:tcPr>
            <w:tcW w:w="2410" w:type="dxa"/>
          </w:tcPr>
          <w:p w14:paraId="331CE01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75CE34F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53</w:t>
            </w:r>
          </w:p>
        </w:tc>
        <w:tc>
          <w:tcPr>
            <w:tcW w:w="2552" w:type="dxa"/>
            <w:vAlign w:val="center"/>
          </w:tcPr>
          <w:p w14:paraId="02D1BFD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142</w:t>
            </w:r>
          </w:p>
        </w:tc>
      </w:tr>
      <w:tr w:rsidR="009F5352" w14:paraId="6E9CED53" w14:textId="77777777">
        <w:tc>
          <w:tcPr>
            <w:tcW w:w="1701" w:type="dxa"/>
          </w:tcPr>
          <w:p w14:paraId="19F94A80"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0BABDAD5"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5AF6D80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27.2%</w:t>
            </w:r>
          </w:p>
        </w:tc>
        <w:tc>
          <w:tcPr>
            <w:tcW w:w="2552" w:type="dxa"/>
            <w:vAlign w:val="center"/>
          </w:tcPr>
          <w:p w14:paraId="4ACB26D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72.8%</w:t>
            </w:r>
          </w:p>
        </w:tc>
      </w:tr>
      <w:tr w:rsidR="009F5352" w14:paraId="2103BCFE" w14:textId="77777777">
        <w:tc>
          <w:tcPr>
            <w:tcW w:w="1701" w:type="dxa"/>
          </w:tcPr>
          <w:p w14:paraId="15497B5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Muslim </w:t>
            </w:r>
          </w:p>
        </w:tc>
        <w:tc>
          <w:tcPr>
            <w:tcW w:w="2410" w:type="dxa"/>
          </w:tcPr>
          <w:p w14:paraId="3F0DB1E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0B6F3AC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vAlign w:val="center"/>
          </w:tcPr>
          <w:p w14:paraId="452E6C7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w:t>
            </w:r>
          </w:p>
        </w:tc>
      </w:tr>
      <w:tr w:rsidR="009F5352" w14:paraId="3931F114" w14:textId="77777777">
        <w:tc>
          <w:tcPr>
            <w:tcW w:w="1701" w:type="dxa"/>
          </w:tcPr>
          <w:p w14:paraId="277612C0"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77BA053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3668364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20.0%</w:t>
            </w:r>
          </w:p>
        </w:tc>
        <w:tc>
          <w:tcPr>
            <w:tcW w:w="2552" w:type="dxa"/>
            <w:vAlign w:val="center"/>
          </w:tcPr>
          <w:p w14:paraId="56F6128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80.0%</w:t>
            </w:r>
          </w:p>
        </w:tc>
      </w:tr>
      <w:tr w:rsidR="009F5352" w14:paraId="5ECAB898" w14:textId="77777777">
        <w:tc>
          <w:tcPr>
            <w:tcW w:w="1701" w:type="dxa"/>
          </w:tcPr>
          <w:p w14:paraId="4BFA67E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Others </w:t>
            </w:r>
          </w:p>
        </w:tc>
        <w:tc>
          <w:tcPr>
            <w:tcW w:w="2410" w:type="dxa"/>
          </w:tcPr>
          <w:p w14:paraId="6070E86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668F947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vAlign w:val="center"/>
          </w:tcPr>
          <w:p w14:paraId="2D3ED6F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w:t>
            </w:r>
          </w:p>
        </w:tc>
      </w:tr>
      <w:tr w:rsidR="009F5352" w14:paraId="4B066345" w14:textId="77777777">
        <w:tc>
          <w:tcPr>
            <w:tcW w:w="1701" w:type="dxa"/>
          </w:tcPr>
          <w:p w14:paraId="221895C2"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2435F49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44F518C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100.0%</w:t>
            </w:r>
          </w:p>
        </w:tc>
        <w:tc>
          <w:tcPr>
            <w:tcW w:w="2552" w:type="dxa"/>
            <w:vAlign w:val="center"/>
          </w:tcPr>
          <w:p w14:paraId="09C44E8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0.0%</w:t>
            </w:r>
          </w:p>
        </w:tc>
      </w:tr>
      <w:tr w:rsidR="009F5352" w14:paraId="57AE433B" w14:textId="77777777">
        <w:tc>
          <w:tcPr>
            <w:tcW w:w="1701" w:type="dxa"/>
          </w:tcPr>
          <w:p w14:paraId="4F1B250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Total </w:t>
            </w:r>
          </w:p>
        </w:tc>
        <w:tc>
          <w:tcPr>
            <w:tcW w:w="2410" w:type="dxa"/>
          </w:tcPr>
          <w:p w14:paraId="5F6985D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6E41722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w:t>
            </w:r>
          </w:p>
        </w:tc>
        <w:tc>
          <w:tcPr>
            <w:tcW w:w="2552" w:type="dxa"/>
            <w:vAlign w:val="center"/>
          </w:tcPr>
          <w:p w14:paraId="5FC65B6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146</w:t>
            </w:r>
          </w:p>
        </w:tc>
      </w:tr>
      <w:tr w:rsidR="009F5352" w14:paraId="7936BCB4" w14:textId="77777777">
        <w:tc>
          <w:tcPr>
            <w:tcW w:w="1701" w:type="dxa"/>
          </w:tcPr>
          <w:p w14:paraId="53561815"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28E6BBD1"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36C000C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27.4%</w:t>
            </w:r>
          </w:p>
        </w:tc>
        <w:tc>
          <w:tcPr>
            <w:tcW w:w="2552" w:type="dxa"/>
            <w:vAlign w:val="center"/>
          </w:tcPr>
          <w:p w14:paraId="7EEA2FBF"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72.6%</w:t>
            </w:r>
          </w:p>
        </w:tc>
      </w:tr>
      <w:tr w:rsidR="009F5352" w14:paraId="3843761C" w14:textId="77777777">
        <w:tc>
          <w:tcPr>
            <w:tcW w:w="1701" w:type="dxa"/>
          </w:tcPr>
          <w:p w14:paraId="43F22B38" w14:textId="77777777" w:rsidR="009F5352" w:rsidRDefault="002918AF">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Educational level</w:t>
            </w:r>
          </w:p>
        </w:tc>
        <w:tc>
          <w:tcPr>
            <w:tcW w:w="2410" w:type="dxa"/>
          </w:tcPr>
          <w:p w14:paraId="3C70D77D" w14:textId="77777777" w:rsidR="009F5352" w:rsidRDefault="009F5352">
            <w:pPr>
              <w:spacing w:line="360" w:lineRule="auto"/>
              <w:ind w:left="60" w:right="60"/>
              <w:rPr>
                <w:rFonts w:ascii="Arial" w:eastAsia="Arial" w:hAnsi="Arial" w:cs="Arial"/>
                <w:color w:val="000000"/>
                <w:sz w:val="24"/>
                <w:szCs w:val="24"/>
              </w:rPr>
            </w:pPr>
          </w:p>
        </w:tc>
        <w:tc>
          <w:tcPr>
            <w:tcW w:w="1701" w:type="dxa"/>
            <w:vAlign w:val="center"/>
          </w:tcPr>
          <w:p w14:paraId="5007AF93" w14:textId="77777777" w:rsidR="009F5352" w:rsidRDefault="009F5352">
            <w:pPr>
              <w:spacing w:line="360" w:lineRule="auto"/>
              <w:ind w:left="60" w:right="60"/>
              <w:rPr>
                <w:rFonts w:ascii="Arial" w:eastAsia="Arial" w:hAnsi="Arial" w:cs="Arial"/>
                <w:color w:val="000000"/>
                <w:sz w:val="24"/>
                <w:szCs w:val="24"/>
              </w:rPr>
            </w:pPr>
          </w:p>
        </w:tc>
        <w:tc>
          <w:tcPr>
            <w:tcW w:w="2552" w:type="dxa"/>
            <w:vAlign w:val="center"/>
          </w:tcPr>
          <w:p w14:paraId="51E77A16" w14:textId="77777777" w:rsidR="009F5352" w:rsidRDefault="009F5352">
            <w:pPr>
              <w:spacing w:line="360" w:lineRule="auto"/>
              <w:ind w:left="60" w:right="60"/>
              <w:rPr>
                <w:rFonts w:ascii="Arial" w:eastAsia="Arial" w:hAnsi="Arial" w:cs="Arial"/>
                <w:color w:val="000000"/>
                <w:sz w:val="24"/>
                <w:szCs w:val="24"/>
              </w:rPr>
            </w:pPr>
          </w:p>
        </w:tc>
      </w:tr>
      <w:tr w:rsidR="009F5352" w14:paraId="066B2E39" w14:textId="77777777">
        <w:tc>
          <w:tcPr>
            <w:tcW w:w="1701" w:type="dxa"/>
          </w:tcPr>
          <w:p w14:paraId="0F16DB0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Primary</w:t>
            </w:r>
          </w:p>
        </w:tc>
        <w:tc>
          <w:tcPr>
            <w:tcW w:w="2410" w:type="dxa"/>
          </w:tcPr>
          <w:p w14:paraId="7ADD60A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19D0C61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35</w:t>
            </w:r>
          </w:p>
        </w:tc>
        <w:tc>
          <w:tcPr>
            <w:tcW w:w="2552" w:type="dxa"/>
            <w:vAlign w:val="center"/>
          </w:tcPr>
          <w:p w14:paraId="794C7D2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32</w:t>
            </w:r>
          </w:p>
        </w:tc>
      </w:tr>
      <w:tr w:rsidR="009F5352" w14:paraId="59FE6136" w14:textId="77777777">
        <w:tc>
          <w:tcPr>
            <w:tcW w:w="1701" w:type="dxa"/>
          </w:tcPr>
          <w:p w14:paraId="58D8F262"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15D783D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07EA0B6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52.2%</w:t>
            </w:r>
          </w:p>
        </w:tc>
        <w:tc>
          <w:tcPr>
            <w:tcW w:w="2552" w:type="dxa"/>
            <w:vAlign w:val="center"/>
          </w:tcPr>
          <w:p w14:paraId="38C433A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47.8%</w:t>
            </w:r>
          </w:p>
        </w:tc>
      </w:tr>
      <w:tr w:rsidR="009F5352" w14:paraId="1CB34C38" w14:textId="77777777">
        <w:tc>
          <w:tcPr>
            <w:tcW w:w="1701" w:type="dxa"/>
          </w:tcPr>
          <w:p w14:paraId="0EE442C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Secondary</w:t>
            </w:r>
          </w:p>
        </w:tc>
        <w:tc>
          <w:tcPr>
            <w:tcW w:w="2410" w:type="dxa"/>
          </w:tcPr>
          <w:p w14:paraId="65E20D2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2C1E801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57</w:t>
            </w:r>
          </w:p>
        </w:tc>
        <w:tc>
          <w:tcPr>
            <w:tcW w:w="2552" w:type="dxa"/>
            <w:vAlign w:val="center"/>
          </w:tcPr>
          <w:p w14:paraId="292572D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40</w:t>
            </w:r>
          </w:p>
        </w:tc>
      </w:tr>
      <w:tr w:rsidR="009F5352" w14:paraId="4892F0A4" w14:textId="77777777">
        <w:tc>
          <w:tcPr>
            <w:tcW w:w="1701" w:type="dxa"/>
          </w:tcPr>
          <w:p w14:paraId="257FB6F8"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2F9B0B8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6A16262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58.8%</w:t>
            </w:r>
          </w:p>
        </w:tc>
        <w:tc>
          <w:tcPr>
            <w:tcW w:w="2552" w:type="dxa"/>
            <w:vAlign w:val="center"/>
          </w:tcPr>
          <w:p w14:paraId="6EC2F73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41.2%</w:t>
            </w:r>
          </w:p>
        </w:tc>
      </w:tr>
      <w:tr w:rsidR="009F5352" w14:paraId="1274358E" w14:textId="77777777">
        <w:tc>
          <w:tcPr>
            <w:tcW w:w="1701" w:type="dxa"/>
          </w:tcPr>
          <w:p w14:paraId="4826A09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Tertiary</w:t>
            </w:r>
          </w:p>
        </w:tc>
        <w:tc>
          <w:tcPr>
            <w:tcW w:w="2410" w:type="dxa"/>
          </w:tcPr>
          <w:p w14:paraId="0CEA9E1D"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1FC0844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w:t>
            </w:r>
          </w:p>
        </w:tc>
        <w:tc>
          <w:tcPr>
            <w:tcW w:w="2552" w:type="dxa"/>
            <w:vAlign w:val="center"/>
          </w:tcPr>
          <w:p w14:paraId="37A00F35"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17</w:t>
            </w:r>
          </w:p>
        </w:tc>
      </w:tr>
      <w:tr w:rsidR="009F5352" w14:paraId="5F5945E3" w14:textId="77777777">
        <w:tc>
          <w:tcPr>
            <w:tcW w:w="1701" w:type="dxa"/>
          </w:tcPr>
          <w:p w14:paraId="0F373F23"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557DDE2E"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58C17AF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54.0%</w:t>
            </w:r>
          </w:p>
        </w:tc>
        <w:tc>
          <w:tcPr>
            <w:tcW w:w="2552" w:type="dxa"/>
            <w:vAlign w:val="center"/>
          </w:tcPr>
          <w:p w14:paraId="1196C03B"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46.0%</w:t>
            </w:r>
          </w:p>
        </w:tc>
      </w:tr>
      <w:tr w:rsidR="009F5352" w14:paraId="3330BBC3" w14:textId="77777777">
        <w:tc>
          <w:tcPr>
            <w:tcW w:w="1701" w:type="dxa"/>
          </w:tcPr>
          <w:p w14:paraId="7EDB06FA"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Total </w:t>
            </w:r>
          </w:p>
        </w:tc>
        <w:tc>
          <w:tcPr>
            <w:tcW w:w="2410" w:type="dxa"/>
          </w:tcPr>
          <w:p w14:paraId="33A7AC24"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283BCB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112</w:t>
            </w:r>
          </w:p>
        </w:tc>
        <w:tc>
          <w:tcPr>
            <w:tcW w:w="2552" w:type="dxa"/>
            <w:vAlign w:val="center"/>
          </w:tcPr>
          <w:p w14:paraId="52EB97F0"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89</w:t>
            </w:r>
          </w:p>
        </w:tc>
      </w:tr>
      <w:tr w:rsidR="009F5352" w14:paraId="05ABA7BB" w14:textId="77777777">
        <w:tc>
          <w:tcPr>
            <w:tcW w:w="1701" w:type="dxa"/>
          </w:tcPr>
          <w:p w14:paraId="6F9FFF0E" w14:textId="77777777" w:rsidR="009F5352" w:rsidRDefault="009F5352">
            <w:pPr>
              <w:spacing w:line="360" w:lineRule="auto"/>
              <w:ind w:left="60" w:right="60"/>
              <w:rPr>
                <w:rFonts w:ascii="Arial" w:eastAsia="Arial" w:hAnsi="Arial" w:cs="Arial"/>
                <w:color w:val="000000"/>
                <w:sz w:val="24"/>
                <w:szCs w:val="24"/>
              </w:rPr>
            </w:pPr>
          </w:p>
        </w:tc>
        <w:tc>
          <w:tcPr>
            <w:tcW w:w="2410" w:type="dxa"/>
          </w:tcPr>
          <w:p w14:paraId="6808A66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2EE4DA65"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55.7%</w:t>
            </w:r>
          </w:p>
        </w:tc>
        <w:tc>
          <w:tcPr>
            <w:tcW w:w="2552" w:type="dxa"/>
            <w:vAlign w:val="center"/>
          </w:tcPr>
          <w:p w14:paraId="1C9B1CC6"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44.3%</w:t>
            </w:r>
          </w:p>
        </w:tc>
      </w:tr>
    </w:tbl>
    <w:p w14:paraId="254E7592" w14:textId="77777777" w:rsidR="009F5352" w:rsidRDefault="009F5352">
      <w:pPr>
        <w:spacing w:line="480" w:lineRule="auto"/>
        <w:rPr>
          <w:rFonts w:ascii="Arial" w:eastAsia="Arial" w:hAnsi="Arial" w:cs="Arial"/>
          <w:color w:val="000000"/>
          <w:sz w:val="24"/>
          <w:szCs w:val="24"/>
        </w:rPr>
      </w:pPr>
    </w:p>
    <w:p w14:paraId="60334DFA" w14:textId="77777777" w:rsidR="009F5352" w:rsidRDefault="002918AF">
      <w:pPr>
        <w:rPr>
          <w:rFonts w:ascii="Arial" w:eastAsia="Arial" w:hAnsi="Arial" w:cs="Arial"/>
          <w:b/>
          <w:color w:val="000000"/>
          <w:sz w:val="24"/>
          <w:szCs w:val="24"/>
        </w:rPr>
      </w:pPr>
      <w:r>
        <w:br w:type="page"/>
      </w:r>
    </w:p>
    <w:p w14:paraId="2B436622" w14:textId="77777777" w:rsidR="009F5352" w:rsidRDefault="002918AF">
      <w:pPr>
        <w:rPr>
          <w:rFonts w:ascii="Arial" w:eastAsia="Arial" w:hAnsi="Arial" w:cs="Arial"/>
          <w:sz w:val="24"/>
          <w:szCs w:val="24"/>
        </w:rPr>
      </w:pPr>
      <w:r>
        <w:rPr>
          <w:rFonts w:ascii="Arial" w:eastAsia="Arial" w:hAnsi="Arial" w:cs="Arial"/>
          <w:sz w:val="24"/>
          <w:szCs w:val="24"/>
        </w:rPr>
        <w:lastRenderedPageBreak/>
        <w:t>3.0 Level of MSD Risk in Relation to Most Adopted Posture While Working</w:t>
      </w:r>
    </w:p>
    <w:p w14:paraId="1CD80738" w14:textId="08586499" w:rsidR="009F5352" w:rsidRPr="00632B59" w:rsidRDefault="002918AF">
      <w:pPr>
        <w:spacing w:line="480" w:lineRule="auto"/>
        <w:rPr>
          <w:rFonts w:ascii="Arial" w:eastAsia="Arial" w:hAnsi="Arial" w:cs="Arial"/>
          <w:color w:val="000000"/>
          <w:sz w:val="24"/>
          <w:szCs w:val="24"/>
        </w:rPr>
      </w:pPr>
      <w:r>
        <w:rPr>
          <w:rFonts w:ascii="Arial" w:eastAsia="Arial" w:hAnsi="Arial" w:cs="Arial"/>
          <w:color w:val="000000"/>
          <w:sz w:val="24"/>
          <w:szCs w:val="24"/>
        </w:rPr>
        <w:t xml:space="preserve">Approximately 40.4% (n=19) of </w:t>
      </w:r>
      <w:r>
        <w:rPr>
          <w:rFonts w:ascii="Arial" w:eastAsia="Arial" w:hAnsi="Arial" w:cs="Arial"/>
          <w:color w:val="000000"/>
          <w:sz w:val="24"/>
          <w:szCs w:val="24"/>
        </w:rPr>
        <w:t>participants that had standing as an adopted posture showed medium risk, while 27.7% (n=13) showed very high risk. In sitting posture, 38.7% (58) showed medium risk, 30.0% (n=45) showed very high risk, while 50% (n=2) showed high risk on lifting or bending</w:t>
      </w:r>
      <w:r>
        <w:rPr>
          <w:rFonts w:ascii="Arial" w:eastAsia="Arial" w:hAnsi="Arial" w:cs="Arial"/>
          <w:color w:val="000000"/>
          <w:sz w:val="24"/>
          <w:szCs w:val="24"/>
        </w:rPr>
        <w:t>. In total, 38.8% (n=78) of the participants showed medium risk, 29.9% (n=60) high risk, 29.4% (n=59) very high risk, and 2.0% (n=4) low risk (Table 3).</w:t>
      </w:r>
    </w:p>
    <w:p w14:paraId="2699B554" w14:textId="77777777" w:rsidR="009F5352" w:rsidRDefault="009F5352">
      <w:pPr>
        <w:spacing w:line="480" w:lineRule="auto"/>
        <w:rPr>
          <w:rFonts w:ascii="Arial" w:eastAsia="Arial" w:hAnsi="Arial" w:cs="Arial"/>
          <w:b/>
          <w:color w:val="000000"/>
          <w:sz w:val="24"/>
          <w:szCs w:val="24"/>
        </w:rPr>
      </w:pPr>
    </w:p>
    <w:p w14:paraId="71CE2404" w14:textId="77777777" w:rsidR="009F5352" w:rsidRDefault="002918AF">
      <w:pPr>
        <w:rPr>
          <w:rFonts w:ascii="Arial" w:eastAsia="Arial" w:hAnsi="Arial" w:cs="Arial"/>
          <w:sz w:val="24"/>
          <w:szCs w:val="24"/>
        </w:rPr>
      </w:pPr>
      <w:r>
        <w:rPr>
          <w:rFonts w:ascii="Arial" w:eastAsia="Arial" w:hAnsi="Arial" w:cs="Arial"/>
          <w:sz w:val="24"/>
          <w:szCs w:val="24"/>
        </w:rPr>
        <w:t>Table 3: Level of MSD Risk in Relation to Most Adopted Posture while Working</w:t>
      </w:r>
    </w:p>
    <w:tbl>
      <w:tblPr>
        <w:tblStyle w:val="a1"/>
        <w:tblW w:w="902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774"/>
        <w:gridCol w:w="1441"/>
        <w:gridCol w:w="879"/>
        <w:gridCol w:w="1513"/>
        <w:gridCol w:w="1198"/>
        <w:gridCol w:w="1176"/>
        <w:gridCol w:w="1041"/>
      </w:tblGrid>
      <w:tr w:rsidR="009F5352" w14:paraId="4490774F" w14:textId="77777777" w:rsidTr="00632B59">
        <w:trPr>
          <w:trHeight w:val="924"/>
          <w:jc w:val="center"/>
        </w:trPr>
        <w:tc>
          <w:tcPr>
            <w:tcW w:w="1774" w:type="dxa"/>
            <w:tcBorders>
              <w:top w:val="single" w:sz="4" w:space="0" w:color="000000"/>
              <w:bottom w:val="single" w:sz="4" w:space="0" w:color="000000"/>
            </w:tcBorders>
          </w:tcPr>
          <w:p w14:paraId="0C4898C1" w14:textId="77777777" w:rsidR="009F5352" w:rsidRDefault="009F5352">
            <w:pPr>
              <w:spacing w:line="360" w:lineRule="auto"/>
              <w:rPr>
                <w:rFonts w:ascii="Arial" w:eastAsia="Arial" w:hAnsi="Arial" w:cs="Arial"/>
                <w:b/>
                <w:color w:val="000000"/>
                <w:sz w:val="24"/>
                <w:szCs w:val="24"/>
              </w:rPr>
            </w:pPr>
          </w:p>
        </w:tc>
        <w:tc>
          <w:tcPr>
            <w:tcW w:w="1441" w:type="dxa"/>
            <w:tcBorders>
              <w:top w:val="single" w:sz="4" w:space="0" w:color="000000"/>
              <w:bottom w:val="single" w:sz="4" w:space="0" w:color="000000"/>
            </w:tcBorders>
          </w:tcPr>
          <w:p w14:paraId="5818DBC9" w14:textId="77777777" w:rsidR="009F5352" w:rsidRDefault="009F5352">
            <w:pPr>
              <w:spacing w:line="360" w:lineRule="auto"/>
              <w:rPr>
                <w:rFonts w:ascii="Arial" w:eastAsia="Arial" w:hAnsi="Arial" w:cs="Arial"/>
                <w:b/>
                <w:color w:val="000000"/>
                <w:sz w:val="24"/>
                <w:szCs w:val="24"/>
              </w:rPr>
            </w:pPr>
          </w:p>
        </w:tc>
        <w:tc>
          <w:tcPr>
            <w:tcW w:w="5807" w:type="dxa"/>
            <w:gridSpan w:val="5"/>
            <w:tcBorders>
              <w:top w:val="single" w:sz="4" w:space="0" w:color="000000"/>
              <w:bottom w:val="single" w:sz="4" w:space="0" w:color="000000"/>
            </w:tcBorders>
            <w:vAlign w:val="bottom"/>
          </w:tcPr>
          <w:p w14:paraId="4CB48649"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Rapid assessment body a</w:t>
            </w:r>
            <w:r>
              <w:rPr>
                <w:rFonts w:ascii="Arial" w:eastAsia="Arial" w:hAnsi="Arial" w:cs="Arial"/>
                <w:b/>
                <w:color w:val="000000"/>
                <w:sz w:val="24"/>
                <w:szCs w:val="24"/>
              </w:rPr>
              <w:t>ssessment (REBA)</w:t>
            </w:r>
          </w:p>
        </w:tc>
      </w:tr>
      <w:tr w:rsidR="009F5352" w14:paraId="61C1C805" w14:textId="77777777" w:rsidTr="00632B59">
        <w:trPr>
          <w:jc w:val="center"/>
        </w:trPr>
        <w:tc>
          <w:tcPr>
            <w:tcW w:w="1774" w:type="dxa"/>
            <w:tcBorders>
              <w:top w:val="single" w:sz="4" w:space="0" w:color="000000"/>
              <w:bottom w:val="single" w:sz="4" w:space="0" w:color="000000"/>
            </w:tcBorders>
          </w:tcPr>
          <w:p w14:paraId="753DF4E7" w14:textId="77777777" w:rsidR="009F5352" w:rsidRDefault="009F5352">
            <w:pPr>
              <w:spacing w:line="360" w:lineRule="auto"/>
              <w:rPr>
                <w:rFonts w:ascii="Arial" w:eastAsia="Arial" w:hAnsi="Arial" w:cs="Arial"/>
                <w:color w:val="000000"/>
                <w:sz w:val="24"/>
                <w:szCs w:val="24"/>
              </w:rPr>
            </w:pPr>
          </w:p>
        </w:tc>
        <w:tc>
          <w:tcPr>
            <w:tcW w:w="1441" w:type="dxa"/>
            <w:tcBorders>
              <w:top w:val="single" w:sz="4" w:space="0" w:color="000000"/>
              <w:bottom w:val="single" w:sz="4" w:space="0" w:color="000000"/>
            </w:tcBorders>
          </w:tcPr>
          <w:p w14:paraId="64E92EA3" w14:textId="77777777" w:rsidR="009F5352" w:rsidRDefault="009F5352">
            <w:pPr>
              <w:spacing w:line="360" w:lineRule="auto"/>
              <w:rPr>
                <w:rFonts w:ascii="Arial" w:eastAsia="Arial" w:hAnsi="Arial" w:cs="Arial"/>
                <w:b/>
                <w:color w:val="000000"/>
                <w:sz w:val="24"/>
                <w:szCs w:val="24"/>
              </w:rPr>
            </w:pPr>
          </w:p>
        </w:tc>
        <w:tc>
          <w:tcPr>
            <w:tcW w:w="879" w:type="dxa"/>
            <w:tcBorders>
              <w:top w:val="single" w:sz="4" w:space="0" w:color="000000"/>
              <w:bottom w:val="single" w:sz="4" w:space="0" w:color="000000"/>
            </w:tcBorders>
          </w:tcPr>
          <w:p w14:paraId="60AF12A2" w14:textId="77777777" w:rsidR="009F5352" w:rsidRDefault="002918AF">
            <w:pPr>
              <w:spacing w:line="360" w:lineRule="auto"/>
              <w:rPr>
                <w:rFonts w:ascii="Arial" w:eastAsia="Arial" w:hAnsi="Arial" w:cs="Arial"/>
                <w:b/>
                <w:color w:val="000000"/>
                <w:sz w:val="24"/>
                <w:szCs w:val="24"/>
              </w:rPr>
            </w:pPr>
            <w:r>
              <w:rPr>
                <w:rFonts w:ascii="Arial" w:eastAsia="Arial" w:hAnsi="Arial" w:cs="Arial"/>
                <w:color w:val="000000"/>
                <w:sz w:val="24"/>
                <w:szCs w:val="24"/>
              </w:rPr>
              <w:t>Low risk, change may be needed</w:t>
            </w:r>
          </w:p>
        </w:tc>
        <w:tc>
          <w:tcPr>
            <w:tcW w:w="1513" w:type="dxa"/>
            <w:tcBorders>
              <w:top w:val="single" w:sz="4" w:space="0" w:color="000000"/>
              <w:bottom w:val="single" w:sz="4" w:space="0" w:color="000000"/>
            </w:tcBorders>
            <w:vAlign w:val="bottom"/>
          </w:tcPr>
          <w:p w14:paraId="376AAE83" w14:textId="77777777" w:rsidR="009F5352" w:rsidRDefault="002918AF">
            <w:pPr>
              <w:spacing w:line="360" w:lineRule="auto"/>
              <w:ind w:left="60" w:right="60"/>
              <w:jc w:val="center"/>
              <w:rPr>
                <w:rFonts w:ascii="Arial" w:eastAsia="Arial" w:hAnsi="Arial" w:cs="Arial"/>
                <w:color w:val="000000"/>
                <w:sz w:val="24"/>
                <w:szCs w:val="24"/>
              </w:rPr>
            </w:pPr>
            <w:r>
              <w:rPr>
                <w:rFonts w:ascii="Arial" w:eastAsia="Arial" w:hAnsi="Arial" w:cs="Arial"/>
                <w:color w:val="000000"/>
                <w:sz w:val="24"/>
                <w:szCs w:val="24"/>
              </w:rPr>
              <w:t>Medium risk, further investigation, change soon</w:t>
            </w:r>
          </w:p>
        </w:tc>
        <w:tc>
          <w:tcPr>
            <w:tcW w:w="1198" w:type="dxa"/>
            <w:tcBorders>
              <w:top w:val="single" w:sz="4" w:space="0" w:color="000000"/>
              <w:bottom w:val="single" w:sz="4" w:space="0" w:color="000000"/>
            </w:tcBorders>
          </w:tcPr>
          <w:p w14:paraId="12B5B361" w14:textId="77777777" w:rsidR="009F5352" w:rsidRDefault="002918AF">
            <w:pPr>
              <w:spacing w:line="360" w:lineRule="auto"/>
              <w:rPr>
                <w:rFonts w:ascii="Arial" w:eastAsia="Arial" w:hAnsi="Arial" w:cs="Arial"/>
                <w:b/>
                <w:color w:val="000000"/>
                <w:sz w:val="24"/>
                <w:szCs w:val="24"/>
              </w:rPr>
            </w:pPr>
            <w:r>
              <w:rPr>
                <w:rFonts w:ascii="Arial" w:eastAsia="Arial" w:hAnsi="Arial" w:cs="Arial"/>
                <w:color w:val="000000"/>
                <w:sz w:val="24"/>
                <w:szCs w:val="24"/>
              </w:rPr>
              <w:t>High risk, investigate and implement change</w:t>
            </w:r>
          </w:p>
        </w:tc>
        <w:tc>
          <w:tcPr>
            <w:tcW w:w="1176" w:type="dxa"/>
            <w:tcBorders>
              <w:top w:val="single" w:sz="4" w:space="0" w:color="000000"/>
              <w:bottom w:val="single" w:sz="4" w:space="0" w:color="000000"/>
            </w:tcBorders>
          </w:tcPr>
          <w:p w14:paraId="5FAF5745" w14:textId="77777777" w:rsidR="009F5352" w:rsidRDefault="002918AF">
            <w:pPr>
              <w:spacing w:line="360" w:lineRule="auto"/>
              <w:rPr>
                <w:rFonts w:ascii="Arial" w:eastAsia="Arial" w:hAnsi="Arial" w:cs="Arial"/>
                <w:b/>
                <w:color w:val="000000"/>
                <w:sz w:val="24"/>
                <w:szCs w:val="24"/>
              </w:rPr>
            </w:pPr>
            <w:r>
              <w:rPr>
                <w:rFonts w:ascii="Arial" w:eastAsia="Arial" w:hAnsi="Arial" w:cs="Arial"/>
                <w:color w:val="000000"/>
                <w:sz w:val="24"/>
                <w:szCs w:val="24"/>
              </w:rPr>
              <w:t>Very high risk, implement change</w:t>
            </w:r>
          </w:p>
        </w:tc>
        <w:tc>
          <w:tcPr>
            <w:tcW w:w="1041" w:type="dxa"/>
            <w:tcBorders>
              <w:top w:val="single" w:sz="4" w:space="0" w:color="000000"/>
              <w:bottom w:val="single" w:sz="4" w:space="0" w:color="000000"/>
            </w:tcBorders>
          </w:tcPr>
          <w:p w14:paraId="64B3D365" w14:textId="77777777" w:rsidR="009F5352" w:rsidRDefault="002918AF">
            <w:pPr>
              <w:spacing w:line="360" w:lineRule="auto"/>
              <w:rPr>
                <w:rFonts w:ascii="Arial" w:eastAsia="Arial" w:hAnsi="Arial" w:cs="Arial"/>
                <w:b/>
                <w:color w:val="000000"/>
                <w:sz w:val="24"/>
                <w:szCs w:val="24"/>
              </w:rPr>
            </w:pPr>
            <w:r>
              <w:rPr>
                <w:rFonts w:ascii="Arial" w:eastAsia="Arial" w:hAnsi="Arial" w:cs="Arial"/>
                <w:color w:val="000000"/>
                <w:sz w:val="24"/>
                <w:szCs w:val="24"/>
              </w:rPr>
              <w:t>Total</w:t>
            </w:r>
          </w:p>
        </w:tc>
      </w:tr>
      <w:tr w:rsidR="009F5352" w14:paraId="7FC16BE2" w14:textId="77777777" w:rsidTr="00632B59">
        <w:trPr>
          <w:trHeight w:val="1204"/>
          <w:jc w:val="center"/>
        </w:trPr>
        <w:tc>
          <w:tcPr>
            <w:tcW w:w="1774" w:type="dxa"/>
            <w:tcBorders>
              <w:top w:val="single" w:sz="4" w:space="0" w:color="000000"/>
            </w:tcBorders>
          </w:tcPr>
          <w:p w14:paraId="62234B18"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Most adopted posture while working?</w:t>
            </w:r>
          </w:p>
        </w:tc>
        <w:tc>
          <w:tcPr>
            <w:tcW w:w="1441" w:type="dxa"/>
            <w:tcBorders>
              <w:top w:val="single" w:sz="4" w:space="0" w:color="000000"/>
            </w:tcBorders>
          </w:tcPr>
          <w:p w14:paraId="7F04CB68" w14:textId="77777777" w:rsidR="009F5352" w:rsidRDefault="009F5352">
            <w:pPr>
              <w:spacing w:line="360" w:lineRule="auto"/>
              <w:rPr>
                <w:rFonts w:ascii="Arial" w:eastAsia="Arial" w:hAnsi="Arial" w:cs="Arial"/>
                <w:b/>
                <w:color w:val="000000"/>
                <w:sz w:val="24"/>
                <w:szCs w:val="24"/>
              </w:rPr>
            </w:pPr>
          </w:p>
        </w:tc>
        <w:tc>
          <w:tcPr>
            <w:tcW w:w="879" w:type="dxa"/>
            <w:tcBorders>
              <w:top w:val="single" w:sz="4" w:space="0" w:color="000000"/>
            </w:tcBorders>
          </w:tcPr>
          <w:p w14:paraId="75FC4000" w14:textId="77777777" w:rsidR="009F5352" w:rsidRDefault="009F5352">
            <w:pPr>
              <w:spacing w:line="360" w:lineRule="auto"/>
              <w:rPr>
                <w:rFonts w:ascii="Arial" w:eastAsia="Arial" w:hAnsi="Arial" w:cs="Arial"/>
                <w:b/>
                <w:color w:val="000000"/>
                <w:sz w:val="24"/>
                <w:szCs w:val="24"/>
              </w:rPr>
            </w:pPr>
          </w:p>
        </w:tc>
        <w:tc>
          <w:tcPr>
            <w:tcW w:w="1513" w:type="dxa"/>
            <w:tcBorders>
              <w:top w:val="single" w:sz="4" w:space="0" w:color="000000"/>
            </w:tcBorders>
          </w:tcPr>
          <w:p w14:paraId="69303D81" w14:textId="77777777" w:rsidR="009F5352" w:rsidRDefault="009F5352">
            <w:pPr>
              <w:spacing w:line="360" w:lineRule="auto"/>
              <w:rPr>
                <w:rFonts w:ascii="Arial" w:eastAsia="Arial" w:hAnsi="Arial" w:cs="Arial"/>
                <w:b/>
                <w:color w:val="000000"/>
                <w:sz w:val="24"/>
                <w:szCs w:val="24"/>
              </w:rPr>
            </w:pPr>
          </w:p>
        </w:tc>
        <w:tc>
          <w:tcPr>
            <w:tcW w:w="1198" w:type="dxa"/>
            <w:tcBorders>
              <w:top w:val="single" w:sz="4" w:space="0" w:color="000000"/>
            </w:tcBorders>
          </w:tcPr>
          <w:p w14:paraId="7AB4614A" w14:textId="77777777" w:rsidR="009F5352" w:rsidRDefault="009F5352">
            <w:pPr>
              <w:spacing w:line="360" w:lineRule="auto"/>
              <w:rPr>
                <w:rFonts w:ascii="Arial" w:eastAsia="Arial" w:hAnsi="Arial" w:cs="Arial"/>
                <w:b/>
                <w:color w:val="000000"/>
                <w:sz w:val="24"/>
                <w:szCs w:val="24"/>
              </w:rPr>
            </w:pPr>
          </w:p>
        </w:tc>
        <w:tc>
          <w:tcPr>
            <w:tcW w:w="1176" w:type="dxa"/>
            <w:tcBorders>
              <w:top w:val="single" w:sz="4" w:space="0" w:color="000000"/>
            </w:tcBorders>
          </w:tcPr>
          <w:p w14:paraId="75055581" w14:textId="77777777" w:rsidR="009F5352" w:rsidRDefault="009F5352">
            <w:pPr>
              <w:spacing w:line="360" w:lineRule="auto"/>
              <w:rPr>
                <w:rFonts w:ascii="Arial" w:eastAsia="Arial" w:hAnsi="Arial" w:cs="Arial"/>
                <w:b/>
                <w:color w:val="000000"/>
                <w:sz w:val="24"/>
                <w:szCs w:val="24"/>
              </w:rPr>
            </w:pPr>
          </w:p>
        </w:tc>
        <w:tc>
          <w:tcPr>
            <w:tcW w:w="1041" w:type="dxa"/>
            <w:tcBorders>
              <w:top w:val="single" w:sz="4" w:space="0" w:color="000000"/>
            </w:tcBorders>
          </w:tcPr>
          <w:p w14:paraId="68AE3F5B" w14:textId="77777777" w:rsidR="009F5352" w:rsidRDefault="009F5352">
            <w:pPr>
              <w:spacing w:line="360" w:lineRule="auto"/>
              <w:rPr>
                <w:rFonts w:ascii="Arial" w:eastAsia="Arial" w:hAnsi="Arial" w:cs="Arial"/>
                <w:b/>
                <w:color w:val="000000"/>
                <w:sz w:val="24"/>
                <w:szCs w:val="24"/>
              </w:rPr>
            </w:pPr>
          </w:p>
        </w:tc>
      </w:tr>
      <w:tr w:rsidR="009F5352" w14:paraId="50C14F7F" w14:textId="77777777" w:rsidTr="00632B59">
        <w:trPr>
          <w:trHeight w:val="341"/>
          <w:jc w:val="center"/>
        </w:trPr>
        <w:tc>
          <w:tcPr>
            <w:tcW w:w="1774" w:type="dxa"/>
          </w:tcPr>
          <w:p w14:paraId="3A54B789"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Standing</w:t>
            </w:r>
          </w:p>
        </w:tc>
        <w:tc>
          <w:tcPr>
            <w:tcW w:w="1441" w:type="dxa"/>
          </w:tcPr>
          <w:p w14:paraId="5F11D51D"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4A29AB47"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w:t>
            </w:r>
          </w:p>
        </w:tc>
        <w:tc>
          <w:tcPr>
            <w:tcW w:w="1513" w:type="dxa"/>
            <w:vAlign w:val="center"/>
          </w:tcPr>
          <w:p w14:paraId="3B9C924B"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19</w:t>
            </w:r>
          </w:p>
        </w:tc>
        <w:tc>
          <w:tcPr>
            <w:tcW w:w="1198" w:type="dxa"/>
            <w:vAlign w:val="center"/>
          </w:tcPr>
          <w:p w14:paraId="00A51660"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12</w:t>
            </w:r>
          </w:p>
        </w:tc>
        <w:tc>
          <w:tcPr>
            <w:tcW w:w="1176" w:type="dxa"/>
            <w:vAlign w:val="center"/>
          </w:tcPr>
          <w:p w14:paraId="58580D28"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13</w:t>
            </w:r>
          </w:p>
        </w:tc>
        <w:tc>
          <w:tcPr>
            <w:tcW w:w="1041" w:type="dxa"/>
            <w:vAlign w:val="center"/>
          </w:tcPr>
          <w:p w14:paraId="44FD9EC9"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47</w:t>
            </w:r>
          </w:p>
        </w:tc>
      </w:tr>
      <w:tr w:rsidR="009F5352" w14:paraId="6A1251FD" w14:textId="77777777" w:rsidTr="00632B59">
        <w:trPr>
          <w:trHeight w:val="1036"/>
          <w:jc w:val="center"/>
        </w:trPr>
        <w:tc>
          <w:tcPr>
            <w:tcW w:w="1774" w:type="dxa"/>
          </w:tcPr>
          <w:p w14:paraId="2313AA1C" w14:textId="77777777" w:rsidR="009F5352" w:rsidRDefault="009F5352">
            <w:pPr>
              <w:spacing w:line="360" w:lineRule="auto"/>
              <w:rPr>
                <w:rFonts w:ascii="Arial" w:eastAsia="Arial" w:hAnsi="Arial" w:cs="Arial"/>
                <w:color w:val="000000"/>
                <w:sz w:val="24"/>
                <w:szCs w:val="24"/>
              </w:rPr>
            </w:pPr>
          </w:p>
        </w:tc>
        <w:tc>
          <w:tcPr>
            <w:tcW w:w="1441" w:type="dxa"/>
          </w:tcPr>
          <w:p w14:paraId="4471A806"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Percentage</w:t>
            </w:r>
          </w:p>
        </w:tc>
        <w:tc>
          <w:tcPr>
            <w:tcW w:w="879" w:type="dxa"/>
            <w:vAlign w:val="center"/>
          </w:tcPr>
          <w:p w14:paraId="5747BC54"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6.4%</w:t>
            </w:r>
          </w:p>
        </w:tc>
        <w:tc>
          <w:tcPr>
            <w:tcW w:w="1513" w:type="dxa"/>
            <w:vAlign w:val="center"/>
          </w:tcPr>
          <w:p w14:paraId="7610CDA9"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40.4%</w:t>
            </w:r>
          </w:p>
        </w:tc>
        <w:tc>
          <w:tcPr>
            <w:tcW w:w="1198" w:type="dxa"/>
            <w:vAlign w:val="center"/>
          </w:tcPr>
          <w:p w14:paraId="7DAEC2DA"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25.5%</w:t>
            </w:r>
          </w:p>
        </w:tc>
        <w:tc>
          <w:tcPr>
            <w:tcW w:w="1176" w:type="dxa"/>
            <w:vAlign w:val="center"/>
          </w:tcPr>
          <w:p w14:paraId="34762C24"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27.7%</w:t>
            </w:r>
          </w:p>
        </w:tc>
        <w:tc>
          <w:tcPr>
            <w:tcW w:w="1041" w:type="dxa"/>
            <w:vAlign w:val="center"/>
          </w:tcPr>
          <w:p w14:paraId="3488402A"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9F5352" w14:paraId="11118AB4" w14:textId="77777777" w:rsidTr="00632B59">
        <w:trPr>
          <w:trHeight w:val="245"/>
          <w:jc w:val="center"/>
        </w:trPr>
        <w:tc>
          <w:tcPr>
            <w:tcW w:w="1774" w:type="dxa"/>
          </w:tcPr>
          <w:p w14:paraId="5BE042BB"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Sitting</w:t>
            </w:r>
          </w:p>
        </w:tc>
        <w:tc>
          <w:tcPr>
            <w:tcW w:w="1441" w:type="dxa"/>
          </w:tcPr>
          <w:p w14:paraId="456CE862"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7E1BD961"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513" w:type="dxa"/>
            <w:vAlign w:val="center"/>
          </w:tcPr>
          <w:p w14:paraId="0D6F6004"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58</w:t>
            </w:r>
          </w:p>
        </w:tc>
        <w:tc>
          <w:tcPr>
            <w:tcW w:w="1198" w:type="dxa"/>
            <w:vAlign w:val="center"/>
          </w:tcPr>
          <w:p w14:paraId="04C34403"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46</w:t>
            </w:r>
          </w:p>
        </w:tc>
        <w:tc>
          <w:tcPr>
            <w:tcW w:w="1176" w:type="dxa"/>
            <w:vAlign w:val="center"/>
          </w:tcPr>
          <w:p w14:paraId="5214D04D"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45</w:t>
            </w:r>
          </w:p>
        </w:tc>
        <w:tc>
          <w:tcPr>
            <w:tcW w:w="1041" w:type="dxa"/>
            <w:vAlign w:val="center"/>
          </w:tcPr>
          <w:p w14:paraId="0387F012"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150</w:t>
            </w:r>
          </w:p>
        </w:tc>
      </w:tr>
      <w:tr w:rsidR="009F5352" w14:paraId="4545F178" w14:textId="77777777" w:rsidTr="00632B59">
        <w:trPr>
          <w:trHeight w:val="251"/>
          <w:jc w:val="center"/>
        </w:trPr>
        <w:tc>
          <w:tcPr>
            <w:tcW w:w="1774" w:type="dxa"/>
          </w:tcPr>
          <w:p w14:paraId="6902DCA7" w14:textId="77777777" w:rsidR="009F5352" w:rsidRDefault="009F5352">
            <w:pPr>
              <w:spacing w:line="360" w:lineRule="auto"/>
              <w:rPr>
                <w:rFonts w:ascii="Arial" w:eastAsia="Arial" w:hAnsi="Arial" w:cs="Arial"/>
                <w:color w:val="000000"/>
                <w:sz w:val="24"/>
                <w:szCs w:val="24"/>
              </w:rPr>
            </w:pPr>
          </w:p>
        </w:tc>
        <w:tc>
          <w:tcPr>
            <w:tcW w:w="1441" w:type="dxa"/>
          </w:tcPr>
          <w:p w14:paraId="2DD7D487"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879" w:type="dxa"/>
            <w:vAlign w:val="center"/>
          </w:tcPr>
          <w:p w14:paraId="4C00FB0F"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0.7%</w:t>
            </w:r>
          </w:p>
        </w:tc>
        <w:tc>
          <w:tcPr>
            <w:tcW w:w="1513" w:type="dxa"/>
            <w:vAlign w:val="center"/>
          </w:tcPr>
          <w:p w14:paraId="5CAC5B3E"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38.7%</w:t>
            </w:r>
          </w:p>
        </w:tc>
        <w:tc>
          <w:tcPr>
            <w:tcW w:w="1198" w:type="dxa"/>
            <w:vAlign w:val="center"/>
          </w:tcPr>
          <w:p w14:paraId="5B354FD5"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30.7%</w:t>
            </w:r>
          </w:p>
        </w:tc>
        <w:tc>
          <w:tcPr>
            <w:tcW w:w="1176" w:type="dxa"/>
            <w:vAlign w:val="center"/>
          </w:tcPr>
          <w:p w14:paraId="27449751"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30.0%</w:t>
            </w:r>
          </w:p>
        </w:tc>
        <w:tc>
          <w:tcPr>
            <w:tcW w:w="1041" w:type="dxa"/>
            <w:vAlign w:val="center"/>
          </w:tcPr>
          <w:p w14:paraId="0D6DB859"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9F5352" w14:paraId="6B58CB2B" w14:textId="77777777" w:rsidTr="00632B59">
        <w:trPr>
          <w:trHeight w:val="275"/>
          <w:jc w:val="center"/>
        </w:trPr>
        <w:tc>
          <w:tcPr>
            <w:tcW w:w="1774" w:type="dxa"/>
          </w:tcPr>
          <w:p w14:paraId="274D58D8"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Lifting/Bending</w:t>
            </w:r>
          </w:p>
        </w:tc>
        <w:tc>
          <w:tcPr>
            <w:tcW w:w="1441" w:type="dxa"/>
          </w:tcPr>
          <w:p w14:paraId="5D561E8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4BDED705"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w:t>
            </w:r>
          </w:p>
        </w:tc>
        <w:tc>
          <w:tcPr>
            <w:tcW w:w="1513" w:type="dxa"/>
            <w:vAlign w:val="center"/>
          </w:tcPr>
          <w:p w14:paraId="3EEBC5D0"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198" w:type="dxa"/>
            <w:vAlign w:val="center"/>
          </w:tcPr>
          <w:p w14:paraId="7610A516"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w:t>
            </w:r>
          </w:p>
        </w:tc>
        <w:tc>
          <w:tcPr>
            <w:tcW w:w="1176" w:type="dxa"/>
            <w:vAlign w:val="center"/>
          </w:tcPr>
          <w:p w14:paraId="779A25BD"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041" w:type="dxa"/>
            <w:vAlign w:val="center"/>
          </w:tcPr>
          <w:p w14:paraId="6FA6C176"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w:t>
            </w:r>
          </w:p>
        </w:tc>
      </w:tr>
      <w:tr w:rsidR="009F5352" w14:paraId="494EDB49" w14:textId="77777777" w:rsidTr="00632B59">
        <w:trPr>
          <w:trHeight w:val="564"/>
          <w:jc w:val="center"/>
        </w:trPr>
        <w:tc>
          <w:tcPr>
            <w:tcW w:w="1774" w:type="dxa"/>
          </w:tcPr>
          <w:p w14:paraId="487721D6" w14:textId="77777777" w:rsidR="009F5352" w:rsidRDefault="009F5352">
            <w:pPr>
              <w:spacing w:line="360" w:lineRule="auto"/>
              <w:rPr>
                <w:rFonts w:ascii="Arial" w:eastAsia="Arial" w:hAnsi="Arial" w:cs="Arial"/>
                <w:color w:val="000000"/>
                <w:sz w:val="24"/>
                <w:szCs w:val="24"/>
              </w:rPr>
            </w:pPr>
          </w:p>
        </w:tc>
        <w:tc>
          <w:tcPr>
            <w:tcW w:w="1441" w:type="dxa"/>
          </w:tcPr>
          <w:p w14:paraId="1D59FA44" w14:textId="77777777" w:rsidR="009F5352" w:rsidRDefault="009F5352">
            <w:pPr>
              <w:spacing w:line="360" w:lineRule="auto"/>
              <w:ind w:right="60"/>
              <w:rPr>
                <w:rFonts w:ascii="Arial" w:eastAsia="Arial" w:hAnsi="Arial" w:cs="Arial"/>
                <w:color w:val="000000"/>
                <w:sz w:val="24"/>
                <w:szCs w:val="24"/>
              </w:rPr>
            </w:pPr>
          </w:p>
          <w:p w14:paraId="1FE2CF48"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Percentage </w:t>
            </w:r>
          </w:p>
        </w:tc>
        <w:tc>
          <w:tcPr>
            <w:tcW w:w="879" w:type="dxa"/>
            <w:vAlign w:val="center"/>
          </w:tcPr>
          <w:p w14:paraId="5B36C90F" w14:textId="77777777" w:rsidR="009F5352" w:rsidRDefault="009F5352">
            <w:pPr>
              <w:spacing w:line="360" w:lineRule="auto"/>
              <w:ind w:left="60" w:right="60"/>
              <w:jc w:val="right"/>
              <w:rPr>
                <w:rFonts w:ascii="Arial" w:eastAsia="Arial" w:hAnsi="Arial" w:cs="Arial"/>
                <w:color w:val="000000"/>
                <w:sz w:val="24"/>
                <w:szCs w:val="24"/>
              </w:rPr>
            </w:pPr>
          </w:p>
          <w:p w14:paraId="5FCC1E5D"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0.0%</w:t>
            </w:r>
          </w:p>
        </w:tc>
        <w:tc>
          <w:tcPr>
            <w:tcW w:w="1513" w:type="dxa"/>
            <w:vAlign w:val="center"/>
          </w:tcPr>
          <w:p w14:paraId="34B5AE6D" w14:textId="77777777" w:rsidR="009F5352" w:rsidRDefault="009F5352">
            <w:pPr>
              <w:spacing w:line="360" w:lineRule="auto"/>
              <w:ind w:left="60" w:right="60"/>
              <w:jc w:val="right"/>
              <w:rPr>
                <w:rFonts w:ascii="Arial" w:eastAsia="Arial" w:hAnsi="Arial" w:cs="Arial"/>
                <w:color w:val="000000"/>
                <w:sz w:val="24"/>
                <w:szCs w:val="24"/>
              </w:rPr>
            </w:pPr>
          </w:p>
          <w:p w14:paraId="38F160DE"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25.0%</w:t>
            </w:r>
          </w:p>
        </w:tc>
        <w:tc>
          <w:tcPr>
            <w:tcW w:w="1198" w:type="dxa"/>
            <w:vAlign w:val="center"/>
          </w:tcPr>
          <w:p w14:paraId="1F1DF340" w14:textId="77777777" w:rsidR="009F5352" w:rsidRDefault="009F5352">
            <w:pPr>
              <w:spacing w:line="360" w:lineRule="auto"/>
              <w:ind w:left="60" w:right="60"/>
              <w:jc w:val="right"/>
              <w:rPr>
                <w:rFonts w:ascii="Arial" w:eastAsia="Arial" w:hAnsi="Arial" w:cs="Arial"/>
                <w:color w:val="000000"/>
                <w:sz w:val="24"/>
                <w:szCs w:val="24"/>
              </w:rPr>
            </w:pPr>
          </w:p>
          <w:p w14:paraId="5B09A67B"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50.0%</w:t>
            </w:r>
          </w:p>
        </w:tc>
        <w:tc>
          <w:tcPr>
            <w:tcW w:w="1176" w:type="dxa"/>
            <w:vAlign w:val="center"/>
          </w:tcPr>
          <w:p w14:paraId="1C449A6C" w14:textId="77777777" w:rsidR="009F5352" w:rsidRDefault="009F5352">
            <w:pPr>
              <w:spacing w:line="360" w:lineRule="auto"/>
              <w:ind w:left="60" w:right="60"/>
              <w:jc w:val="right"/>
              <w:rPr>
                <w:rFonts w:ascii="Arial" w:eastAsia="Arial" w:hAnsi="Arial" w:cs="Arial"/>
                <w:color w:val="000000"/>
                <w:sz w:val="24"/>
                <w:szCs w:val="24"/>
              </w:rPr>
            </w:pPr>
          </w:p>
          <w:p w14:paraId="0EE4DDA1"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25.0%</w:t>
            </w:r>
          </w:p>
        </w:tc>
        <w:tc>
          <w:tcPr>
            <w:tcW w:w="1041" w:type="dxa"/>
            <w:vAlign w:val="center"/>
          </w:tcPr>
          <w:p w14:paraId="7D172C65" w14:textId="77777777" w:rsidR="009F5352" w:rsidRDefault="009F5352">
            <w:pPr>
              <w:spacing w:line="360" w:lineRule="auto"/>
              <w:ind w:left="60" w:right="60"/>
              <w:jc w:val="right"/>
              <w:rPr>
                <w:rFonts w:ascii="Arial" w:eastAsia="Arial" w:hAnsi="Arial" w:cs="Arial"/>
                <w:color w:val="000000"/>
                <w:sz w:val="24"/>
                <w:szCs w:val="24"/>
              </w:rPr>
            </w:pPr>
          </w:p>
          <w:p w14:paraId="7D0F26C2"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9F5352" w14:paraId="46727339" w14:textId="77777777" w:rsidTr="00632B59">
        <w:trPr>
          <w:trHeight w:val="414"/>
          <w:jc w:val="center"/>
        </w:trPr>
        <w:tc>
          <w:tcPr>
            <w:tcW w:w="1774" w:type="dxa"/>
          </w:tcPr>
          <w:p w14:paraId="713F4E44" w14:textId="77777777" w:rsidR="009F5352" w:rsidRDefault="002918AF">
            <w:pPr>
              <w:spacing w:line="360" w:lineRule="auto"/>
              <w:ind w:right="60"/>
              <w:rPr>
                <w:rFonts w:ascii="Arial" w:eastAsia="Arial" w:hAnsi="Arial" w:cs="Arial"/>
                <w:color w:val="000000"/>
                <w:sz w:val="24"/>
                <w:szCs w:val="24"/>
              </w:rPr>
            </w:pPr>
            <w:r>
              <w:rPr>
                <w:rFonts w:ascii="Arial" w:eastAsia="Arial" w:hAnsi="Arial" w:cs="Arial"/>
                <w:color w:val="000000"/>
                <w:sz w:val="24"/>
                <w:szCs w:val="24"/>
              </w:rPr>
              <w:t>Total</w:t>
            </w:r>
          </w:p>
        </w:tc>
        <w:tc>
          <w:tcPr>
            <w:tcW w:w="1441" w:type="dxa"/>
          </w:tcPr>
          <w:p w14:paraId="24AA833C"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3C796A71"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w:t>
            </w:r>
          </w:p>
        </w:tc>
        <w:tc>
          <w:tcPr>
            <w:tcW w:w="1513" w:type="dxa"/>
            <w:vAlign w:val="center"/>
          </w:tcPr>
          <w:p w14:paraId="18F53C22"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78</w:t>
            </w:r>
          </w:p>
        </w:tc>
        <w:tc>
          <w:tcPr>
            <w:tcW w:w="1198" w:type="dxa"/>
            <w:vAlign w:val="center"/>
          </w:tcPr>
          <w:p w14:paraId="131097FB"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60</w:t>
            </w:r>
          </w:p>
        </w:tc>
        <w:tc>
          <w:tcPr>
            <w:tcW w:w="1176" w:type="dxa"/>
            <w:vAlign w:val="center"/>
          </w:tcPr>
          <w:p w14:paraId="7EA3316D"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59</w:t>
            </w:r>
          </w:p>
        </w:tc>
        <w:tc>
          <w:tcPr>
            <w:tcW w:w="1041" w:type="dxa"/>
            <w:vAlign w:val="center"/>
          </w:tcPr>
          <w:p w14:paraId="55AC1A1B"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201</w:t>
            </w:r>
          </w:p>
        </w:tc>
      </w:tr>
      <w:tr w:rsidR="009F5352" w14:paraId="4E28496C" w14:textId="77777777" w:rsidTr="00632B59">
        <w:trPr>
          <w:jc w:val="center"/>
        </w:trPr>
        <w:tc>
          <w:tcPr>
            <w:tcW w:w="1774" w:type="dxa"/>
          </w:tcPr>
          <w:p w14:paraId="2FBB1D63" w14:textId="77777777" w:rsidR="009F5352" w:rsidRDefault="009F5352">
            <w:pPr>
              <w:spacing w:line="360" w:lineRule="auto"/>
              <w:ind w:left="60" w:right="60"/>
              <w:rPr>
                <w:rFonts w:ascii="Arial" w:eastAsia="Arial" w:hAnsi="Arial" w:cs="Arial"/>
                <w:color w:val="000000"/>
                <w:sz w:val="24"/>
                <w:szCs w:val="24"/>
              </w:rPr>
            </w:pPr>
          </w:p>
        </w:tc>
        <w:tc>
          <w:tcPr>
            <w:tcW w:w="1441" w:type="dxa"/>
          </w:tcPr>
          <w:p w14:paraId="386323F9" w14:textId="77777777" w:rsidR="009F5352" w:rsidRDefault="002918AF">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Percentage </w:t>
            </w:r>
          </w:p>
        </w:tc>
        <w:tc>
          <w:tcPr>
            <w:tcW w:w="879" w:type="dxa"/>
            <w:vAlign w:val="center"/>
          </w:tcPr>
          <w:p w14:paraId="4E67EC76"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2.0%</w:t>
            </w:r>
          </w:p>
        </w:tc>
        <w:tc>
          <w:tcPr>
            <w:tcW w:w="1513" w:type="dxa"/>
            <w:vAlign w:val="center"/>
          </w:tcPr>
          <w:p w14:paraId="03E73F04"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38.8%</w:t>
            </w:r>
          </w:p>
        </w:tc>
        <w:tc>
          <w:tcPr>
            <w:tcW w:w="1198" w:type="dxa"/>
            <w:vAlign w:val="center"/>
          </w:tcPr>
          <w:p w14:paraId="59692F41"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29.9%</w:t>
            </w:r>
          </w:p>
        </w:tc>
        <w:tc>
          <w:tcPr>
            <w:tcW w:w="1176" w:type="dxa"/>
            <w:vAlign w:val="center"/>
          </w:tcPr>
          <w:p w14:paraId="3346B04C"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29.4%</w:t>
            </w:r>
          </w:p>
        </w:tc>
        <w:tc>
          <w:tcPr>
            <w:tcW w:w="1041" w:type="dxa"/>
            <w:vAlign w:val="center"/>
          </w:tcPr>
          <w:p w14:paraId="39E62BBA" w14:textId="77777777" w:rsidR="009F5352" w:rsidRDefault="002918AF">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bl>
    <w:p w14:paraId="7A959FAE" w14:textId="77777777" w:rsidR="009F5352" w:rsidRDefault="009F5352">
      <w:pPr>
        <w:rPr>
          <w:rFonts w:ascii="Arial" w:eastAsia="Arial" w:hAnsi="Arial" w:cs="Arial"/>
          <w:sz w:val="24"/>
          <w:szCs w:val="24"/>
        </w:rPr>
      </w:pPr>
    </w:p>
    <w:p w14:paraId="591BC22E" w14:textId="4217FE80" w:rsidR="009F5352" w:rsidRDefault="009F5352">
      <w:pPr>
        <w:rPr>
          <w:rFonts w:ascii="Arial" w:eastAsia="Arial" w:hAnsi="Arial" w:cs="Arial"/>
          <w:b/>
          <w:color w:val="000000"/>
          <w:sz w:val="24"/>
          <w:szCs w:val="24"/>
        </w:rPr>
      </w:pPr>
    </w:p>
    <w:p w14:paraId="18F5552D" w14:textId="77777777" w:rsidR="009F5352" w:rsidRDefault="002918AF">
      <w:pPr>
        <w:rPr>
          <w:rFonts w:ascii="Arial" w:eastAsia="Arial" w:hAnsi="Arial" w:cs="Arial"/>
          <w:sz w:val="24"/>
          <w:szCs w:val="24"/>
        </w:rPr>
      </w:pPr>
      <w:r>
        <w:rPr>
          <w:rFonts w:ascii="Arial" w:eastAsia="Arial" w:hAnsi="Arial" w:cs="Arial"/>
          <w:sz w:val="24"/>
          <w:szCs w:val="24"/>
        </w:rPr>
        <w:t>4.0: Association between Socio-Demographic Variables and Scores of Low Back Pain and REBA Scores Using Chi Square</w:t>
      </w:r>
    </w:p>
    <w:p w14:paraId="16D1597F" w14:textId="77777777" w:rsidR="009F5352" w:rsidRDefault="002918AF">
      <w:pPr>
        <w:spacing w:line="480" w:lineRule="auto"/>
        <w:rPr>
          <w:rFonts w:ascii="Arial" w:eastAsia="Arial" w:hAnsi="Arial" w:cs="Arial"/>
          <w:b/>
          <w:color w:val="000000"/>
          <w:sz w:val="24"/>
          <w:szCs w:val="24"/>
        </w:rPr>
      </w:pPr>
      <w:r>
        <w:rPr>
          <w:rFonts w:ascii="Arial" w:eastAsia="Arial" w:hAnsi="Arial" w:cs="Arial"/>
          <w:color w:val="000000"/>
          <w:sz w:val="24"/>
          <w:szCs w:val="24"/>
        </w:rPr>
        <w:t>Age had no significant association with low back pain (X</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=0.780; P=0.718) and scores of REBA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 xml:space="preserve">=0.412; </w:t>
      </w:r>
      <w:r>
        <w:rPr>
          <w:rFonts w:ascii="Arial" w:eastAsia="Arial" w:hAnsi="Arial" w:cs="Arial"/>
          <w:color w:val="000000"/>
          <w:sz w:val="24"/>
          <w:szCs w:val="24"/>
        </w:rPr>
        <w:t>P=0.301). Religion had no significant association with low back pain (X</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=0.247; P=0.412) and scores of REBA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=0.424; P=0.911), while most adopted posture had a significant association with LBP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=0.184; P=&lt;0.001) (Table 4).</w:t>
      </w:r>
    </w:p>
    <w:p w14:paraId="0B3C2BD0" w14:textId="77777777" w:rsidR="009F5352" w:rsidRDefault="002918AF">
      <w:pPr>
        <w:spacing w:after="160" w:line="259" w:lineRule="auto"/>
        <w:jc w:val="left"/>
        <w:rPr>
          <w:rFonts w:ascii="Arial" w:eastAsia="Arial" w:hAnsi="Arial" w:cs="Arial"/>
          <w:b/>
          <w:color w:val="000000"/>
          <w:sz w:val="24"/>
          <w:szCs w:val="24"/>
        </w:rPr>
      </w:pPr>
      <w:r>
        <w:br w:type="page"/>
      </w:r>
    </w:p>
    <w:p w14:paraId="1E6993EB" w14:textId="77777777" w:rsidR="009F5352" w:rsidRDefault="002918AF">
      <w:pPr>
        <w:rPr>
          <w:rFonts w:ascii="Arial" w:eastAsia="Arial" w:hAnsi="Arial" w:cs="Arial"/>
          <w:sz w:val="24"/>
          <w:szCs w:val="24"/>
        </w:rPr>
      </w:pPr>
      <w:r>
        <w:rPr>
          <w:rFonts w:ascii="Arial" w:eastAsia="Arial" w:hAnsi="Arial" w:cs="Arial"/>
          <w:sz w:val="24"/>
          <w:szCs w:val="24"/>
        </w:rPr>
        <w:lastRenderedPageBreak/>
        <w:t>Table 4: Association bet</w:t>
      </w:r>
      <w:r>
        <w:rPr>
          <w:rFonts w:ascii="Arial" w:eastAsia="Arial" w:hAnsi="Arial" w:cs="Arial"/>
          <w:sz w:val="24"/>
          <w:szCs w:val="24"/>
        </w:rPr>
        <w:t>ween Socio-Demographic Variables and Scores of Low Back Pain and REBA Scores Using Chi Square.</w:t>
      </w:r>
    </w:p>
    <w:tbl>
      <w:tblPr>
        <w:tblStyle w:val="a2"/>
        <w:tblW w:w="902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544"/>
        <w:gridCol w:w="1626"/>
        <w:gridCol w:w="2358"/>
        <w:gridCol w:w="1498"/>
      </w:tblGrid>
      <w:tr w:rsidR="009F5352" w14:paraId="47054D05" w14:textId="77777777">
        <w:trPr>
          <w:trHeight w:val="918"/>
        </w:trPr>
        <w:tc>
          <w:tcPr>
            <w:tcW w:w="3544" w:type="dxa"/>
            <w:tcBorders>
              <w:top w:val="single" w:sz="4" w:space="0" w:color="000000"/>
              <w:bottom w:val="single" w:sz="4" w:space="0" w:color="000000"/>
            </w:tcBorders>
          </w:tcPr>
          <w:p w14:paraId="535C718A"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626" w:type="dxa"/>
            <w:tcBorders>
              <w:top w:val="single" w:sz="4" w:space="0" w:color="000000"/>
              <w:bottom w:val="single" w:sz="4" w:space="0" w:color="000000"/>
            </w:tcBorders>
          </w:tcPr>
          <w:p w14:paraId="1C7CACCD" w14:textId="77777777" w:rsidR="009F5352" w:rsidRDefault="009F5352">
            <w:pPr>
              <w:spacing w:line="360" w:lineRule="auto"/>
              <w:rPr>
                <w:rFonts w:ascii="Arial" w:eastAsia="Arial" w:hAnsi="Arial" w:cs="Arial"/>
                <w:b/>
                <w:color w:val="000000"/>
                <w:sz w:val="24"/>
                <w:szCs w:val="24"/>
              </w:rPr>
            </w:pPr>
          </w:p>
        </w:tc>
        <w:tc>
          <w:tcPr>
            <w:tcW w:w="2358" w:type="dxa"/>
            <w:tcBorders>
              <w:top w:val="single" w:sz="4" w:space="0" w:color="000000"/>
              <w:bottom w:val="single" w:sz="4" w:space="0" w:color="000000"/>
            </w:tcBorders>
          </w:tcPr>
          <w:p w14:paraId="75FDFD00"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Low Back Pain</w:t>
            </w:r>
          </w:p>
        </w:tc>
        <w:tc>
          <w:tcPr>
            <w:tcW w:w="1498" w:type="dxa"/>
            <w:tcBorders>
              <w:top w:val="single" w:sz="4" w:space="0" w:color="000000"/>
              <w:bottom w:val="single" w:sz="4" w:space="0" w:color="000000"/>
            </w:tcBorders>
          </w:tcPr>
          <w:p w14:paraId="2BDFE29C"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REBA</w:t>
            </w:r>
          </w:p>
        </w:tc>
      </w:tr>
      <w:tr w:rsidR="009F5352" w14:paraId="51F78EE6" w14:textId="77777777">
        <w:tc>
          <w:tcPr>
            <w:tcW w:w="3544" w:type="dxa"/>
            <w:tcBorders>
              <w:top w:val="single" w:sz="4" w:space="0" w:color="000000"/>
            </w:tcBorders>
          </w:tcPr>
          <w:p w14:paraId="31688432" w14:textId="77777777" w:rsidR="009F5352" w:rsidRDefault="002918AF">
            <w:pPr>
              <w:spacing w:line="360" w:lineRule="auto"/>
              <w:rPr>
                <w:rFonts w:ascii="Arial" w:eastAsia="Arial" w:hAnsi="Arial" w:cs="Arial"/>
                <w:color w:val="000000"/>
                <w:sz w:val="24"/>
                <w:szCs w:val="24"/>
              </w:rPr>
            </w:pPr>
            <w:r>
              <w:rPr>
                <w:rFonts w:ascii="Arial" w:eastAsia="Arial" w:hAnsi="Arial" w:cs="Arial"/>
                <w:b/>
                <w:color w:val="000000"/>
                <w:sz w:val="24"/>
                <w:szCs w:val="24"/>
              </w:rPr>
              <w:t>Age in years</w:t>
            </w:r>
          </w:p>
        </w:tc>
        <w:tc>
          <w:tcPr>
            <w:tcW w:w="1626" w:type="dxa"/>
            <w:tcBorders>
              <w:top w:val="single" w:sz="4" w:space="0" w:color="000000"/>
            </w:tcBorders>
          </w:tcPr>
          <w:p w14:paraId="11A441AB"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6577E5E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Borders>
              <w:top w:val="single" w:sz="4" w:space="0" w:color="000000"/>
            </w:tcBorders>
          </w:tcPr>
          <w:p w14:paraId="43BAE1BF"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0.780</w:t>
            </w:r>
          </w:p>
          <w:p w14:paraId="737343A3"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0.718</w:t>
            </w:r>
          </w:p>
        </w:tc>
        <w:tc>
          <w:tcPr>
            <w:tcW w:w="1498" w:type="dxa"/>
            <w:tcBorders>
              <w:top w:val="single" w:sz="4" w:space="0" w:color="000000"/>
            </w:tcBorders>
          </w:tcPr>
          <w:p w14:paraId="27F6A998"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0.412</w:t>
            </w:r>
          </w:p>
          <w:p w14:paraId="3CD4FCEB"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0.301</w:t>
            </w:r>
          </w:p>
        </w:tc>
      </w:tr>
      <w:tr w:rsidR="009F5352" w14:paraId="23743CDE" w14:textId="77777777">
        <w:tc>
          <w:tcPr>
            <w:tcW w:w="3544" w:type="dxa"/>
          </w:tcPr>
          <w:p w14:paraId="2131EAFE" w14:textId="77777777" w:rsidR="009F5352" w:rsidRDefault="009F5352">
            <w:pPr>
              <w:spacing w:line="360" w:lineRule="auto"/>
              <w:rPr>
                <w:rFonts w:ascii="Arial" w:eastAsia="Arial" w:hAnsi="Arial" w:cs="Arial"/>
                <w:color w:val="000000"/>
                <w:sz w:val="24"/>
                <w:szCs w:val="24"/>
              </w:rPr>
            </w:pPr>
          </w:p>
        </w:tc>
        <w:tc>
          <w:tcPr>
            <w:tcW w:w="1626" w:type="dxa"/>
          </w:tcPr>
          <w:p w14:paraId="1310D929" w14:textId="77777777" w:rsidR="009F5352" w:rsidRDefault="009F5352">
            <w:pPr>
              <w:spacing w:line="360" w:lineRule="auto"/>
              <w:rPr>
                <w:rFonts w:ascii="Arial" w:eastAsia="Arial" w:hAnsi="Arial" w:cs="Arial"/>
                <w:color w:val="000000"/>
                <w:sz w:val="24"/>
                <w:szCs w:val="24"/>
              </w:rPr>
            </w:pPr>
          </w:p>
        </w:tc>
        <w:tc>
          <w:tcPr>
            <w:tcW w:w="2358" w:type="dxa"/>
          </w:tcPr>
          <w:p w14:paraId="0867A6EE" w14:textId="77777777" w:rsidR="009F5352" w:rsidRDefault="009F5352">
            <w:pPr>
              <w:spacing w:line="360" w:lineRule="auto"/>
              <w:rPr>
                <w:rFonts w:ascii="Arial" w:eastAsia="Arial" w:hAnsi="Arial" w:cs="Arial"/>
                <w:color w:val="000000"/>
                <w:sz w:val="24"/>
                <w:szCs w:val="24"/>
              </w:rPr>
            </w:pPr>
          </w:p>
        </w:tc>
        <w:tc>
          <w:tcPr>
            <w:tcW w:w="1498" w:type="dxa"/>
          </w:tcPr>
          <w:p w14:paraId="0B7BB24F" w14:textId="77777777" w:rsidR="009F5352" w:rsidRDefault="009F5352">
            <w:pPr>
              <w:spacing w:line="360" w:lineRule="auto"/>
              <w:rPr>
                <w:rFonts w:ascii="Arial" w:eastAsia="Arial" w:hAnsi="Arial" w:cs="Arial"/>
                <w:color w:val="000000"/>
                <w:sz w:val="24"/>
                <w:szCs w:val="24"/>
              </w:rPr>
            </w:pPr>
          </w:p>
        </w:tc>
      </w:tr>
      <w:tr w:rsidR="009F5352" w14:paraId="6A2EFD79" w14:textId="77777777">
        <w:tc>
          <w:tcPr>
            <w:tcW w:w="3544" w:type="dxa"/>
          </w:tcPr>
          <w:p w14:paraId="3D4FE505" w14:textId="77777777" w:rsidR="009F5352" w:rsidRDefault="002918AF">
            <w:pPr>
              <w:spacing w:line="360" w:lineRule="auto"/>
              <w:rPr>
                <w:rFonts w:ascii="Arial" w:eastAsia="Arial" w:hAnsi="Arial" w:cs="Arial"/>
                <w:color w:val="000000"/>
                <w:sz w:val="24"/>
                <w:szCs w:val="24"/>
              </w:rPr>
            </w:pPr>
            <w:r>
              <w:rPr>
                <w:rFonts w:ascii="Arial" w:eastAsia="Arial" w:hAnsi="Arial" w:cs="Arial"/>
                <w:b/>
                <w:color w:val="000000"/>
                <w:sz w:val="24"/>
                <w:szCs w:val="24"/>
              </w:rPr>
              <w:t>Religion</w:t>
            </w:r>
          </w:p>
        </w:tc>
        <w:tc>
          <w:tcPr>
            <w:tcW w:w="1626" w:type="dxa"/>
          </w:tcPr>
          <w:p w14:paraId="3D11B886"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6BE0BFFF"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Pr>
          <w:p w14:paraId="2832993E"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0.247</w:t>
            </w:r>
          </w:p>
          <w:p w14:paraId="382D9FE3"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0.412</w:t>
            </w:r>
          </w:p>
        </w:tc>
        <w:tc>
          <w:tcPr>
            <w:tcW w:w="1498" w:type="dxa"/>
          </w:tcPr>
          <w:p w14:paraId="495BA26D"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0.424</w:t>
            </w:r>
          </w:p>
          <w:p w14:paraId="5B731D1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0.911</w:t>
            </w:r>
          </w:p>
        </w:tc>
      </w:tr>
      <w:tr w:rsidR="009F5352" w14:paraId="30269CA7" w14:textId="77777777">
        <w:tc>
          <w:tcPr>
            <w:tcW w:w="3544" w:type="dxa"/>
          </w:tcPr>
          <w:p w14:paraId="27BF052B" w14:textId="77777777" w:rsidR="009F5352" w:rsidRDefault="009F5352">
            <w:pPr>
              <w:spacing w:line="360" w:lineRule="auto"/>
              <w:rPr>
                <w:rFonts w:ascii="Arial" w:eastAsia="Arial" w:hAnsi="Arial" w:cs="Arial"/>
                <w:color w:val="000000"/>
                <w:sz w:val="24"/>
                <w:szCs w:val="24"/>
              </w:rPr>
            </w:pPr>
          </w:p>
        </w:tc>
        <w:tc>
          <w:tcPr>
            <w:tcW w:w="1626" w:type="dxa"/>
          </w:tcPr>
          <w:p w14:paraId="6635FFE9" w14:textId="77777777" w:rsidR="009F5352" w:rsidRDefault="009F5352">
            <w:pPr>
              <w:spacing w:line="360" w:lineRule="auto"/>
              <w:rPr>
                <w:rFonts w:ascii="Arial" w:eastAsia="Arial" w:hAnsi="Arial" w:cs="Arial"/>
                <w:color w:val="000000"/>
                <w:sz w:val="24"/>
                <w:szCs w:val="24"/>
              </w:rPr>
            </w:pPr>
          </w:p>
        </w:tc>
        <w:tc>
          <w:tcPr>
            <w:tcW w:w="2358" w:type="dxa"/>
          </w:tcPr>
          <w:p w14:paraId="40A77DD0" w14:textId="77777777" w:rsidR="009F5352" w:rsidRDefault="009F5352">
            <w:pPr>
              <w:spacing w:line="360" w:lineRule="auto"/>
              <w:rPr>
                <w:rFonts w:ascii="Arial" w:eastAsia="Arial" w:hAnsi="Arial" w:cs="Arial"/>
                <w:color w:val="000000"/>
                <w:sz w:val="24"/>
                <w:szCs w:val="24"/>
              </w:rPr>
            </w:pPr>
          </w:p>
        </w:tc>
        <w:tc>
          <w:tcPr>
            <w:tcW w:w="1498" w:type="dxa"/>
          </w:tcPr>
          <w:p w14:paraId="74926B2D" w14:textId="77777777" w:rsidR="009F5352" w:rsidRDefault="009F5352">
            <w:pPr>
              <w:spacing w:line="360" w:lineRule="auto"/>
              <w:rPr>
                <w:rFonts w:ascii="Arial" w:eastAsia="Arial" w:hAnsi="Arial" w:cs="Arial"/>
                <w:color w:val="000000"/>
                <w:sz w:val="24"/>
                <w:szCs w:val="24"/>
              </w:rPr>
            </w:pPr>
          </w:p>
        </w:tc>
      </w:tr>
      <w:tr w:rsidR="009F5352" w14:paraId="4AFCB986" w14:textId="77777777">
        <w:trPr>
          <w:trHeight w:val="1101"/>
        </w:trPr>
        <w:tc>
          <w:tcPr>
            <w:tcW w:w="3544" w:type="dxa"/>
          </w:tcPr>
          <w:p w14:paraId="54547D85"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Most adopted posture</w:t>
            </w:r>
          </w:p>
        </w:tc>
        <w:tc>
          <w:tcPr>
            <w:tcW w:w="1626" w:type="dxa"/>
          </w:tcPr>
          <w:p w14:paraId="486042C3"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2FEE1ED0"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Pr>
          <w:p w14:paraId="5D20E196"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0.184</w:t>
            </w:r>
          </w:p>
          <w:p w14:paraId="517B1108"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0.001*</w:t>
            </w:r>
          </w:p>
        </w:tc>
        <w:tc>
          <w:tcPr>
            <w:tcW w:w="1498" w:type="dxa"/>
          </w:tcPr>
          <w:p w14:paraId="79493C1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0.307</w:t>
            </w:r>
          </w:p>
          <w:p w14:paraId="0992420E"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0.265</w:t>
            </w:r>
          </w:p>
        </w:tc>
      </w:tr>
    </w:tbl>
    <w:p w14:paraId="5C662A7C" w14:textId="77777777" w:rsidR="009F5352" w:rsidRDefault="002918AF">
      <w:pPr>
        <w:spacing w:line="480" w:lineRule="auto"/>
        <w:rPr>
          <w:rFonts w:ascii="Arial" w:eastAsia="Arial" w:hAnsi="Arial" w:cs="Arial"/>
          <w:b/>
          <w:color w:val="000000"/>
          <w:sz w:val="24"/>
          <w:szCs w:val="24"/>
        </w:rPr>
      </w:pPr>
      <w:r>
        <w:rPr>
          <w:rFonts w:ascii="Arial" w:eastAsia="Arial" w:hAnsi="Arial" w:cs="Arial"/>
          <w:color w:val="000000"/>
          <w:sz w:val="24"/>
          <w:szCs w:val="24"/>
        </w:rPr>
        <w:t>* Significant at p =0.05</w:t>
      </w:r>
    </w:p>
    <w:p w14:paraId="5678CAF6" w14:textId="77777777" w:rsidR="009F5352" w:rsidRDefault="009F5352">
      <w:pPr>
        <w:spacing w:line="480" w:lineRule="auto"/>
        <w:rPr>
          <w:rFonts w:ascii="Arial" w:eastAsia="Arial" w:hAnsi="Arial" w:cs="Arial"/>
          <w:b/>
          <w:color w:val="000000"/>
          <w:sz w:val="24"/>
          <w:szCs w:val="24"/>
        </w:rPr>
      </w:pPr>
    </w:p>
    <w:p w14:paraId="730F1921" w14:textId="2D8B41D4" w:rsidR="009F5352" w:rsidRDefault="009F5352">
      <w:pPr>
        <w:spacing w:after="160" w:line="259" w:lineRule="auto"/>
        <w:jc w:val="left"/>
        <w:rPr>
          <w:rFonts w:ascii="Arial" w:eastAsia="Arial" w:hAnsi="Arial" w:cs="Arial"/>
          <w:b/>
          <w:color w:val="000000"/>
          <w:sz w:val="24"/>
          <w:szCs w:val="24"/>
        </w:rPr>
      </w:pPr>
    </w:p>
    <w:p w14:paraId="2543F80F" w14:textId="77777777" w:rsidR="009F5352" w:rsidRDefault="002918AF">
      <w:pPr>
        <w:rPr>
          <w:rFonts w:ascii="Arial" w:eastAsia="Arial" w:hAnsi="Arial" w:cs="Arial"/>
          <w:sz w:val="24"/>
          <w:szCs w:val="24"/>
        </w:rPr>
      </w:pPr>
      <w:r>
        <w:rPr>
          <w:rFonts w:ascii="Arial" w:eastAsia="Arial" w:hAnsi="Arial" w:cs="Arial"/>
          <w:sz w:val="24"/>
          <w:szCs w:val="24"/>
        </w:rPr>
        <w:t>5.0 Relationship between Duration of Trading on Years, Hours of Trading Daily, and Low Back Pain Scores using Spearman's Rank Correlation</w:t>
      </w:r>
    </w:p>
    <w:p w14:paraId="3B900EAC" w14:textId="77777777" w:rsidR="009F5352" w:rsidRDefault="002918AF">
      <w:pPr>
        <w:spacing w:line="480" w:lineRule="auto"/>
        <w:rPr>
          <w:rFonts w:ascii="Arial" w:eastAsia="Arial" w:hAnsi="Arial" w:cs="Arial"/>
          <w:color w:val="000000"/>
          <w:sz w:val="24"/>
          <w:szCs w:val="24"/>
        </w:rPr>
      </w:pPr>
      <w:r>
        <w:rPr>
          <w:rFonts w:ascii="Arial" w:eastAsia="Arial" w:hAnsi="Arial" w:cs="Arial"/>
          <w:color w:val="000000"/>
          <w:sz w:val="24"/>
          <w:szCs w:val="24"/>
        </w:rPr>
        <w:t xml:space="preserve">Table 5 showed the mean duration of trading was 12.93 ± (9.82), the </w:t>
      </w:r>
      <w:r>
        <w:rPr>
          <w:rFonts w:ascii="Arial" w:eastAsia="Arial" w:hAnsi="Arial" w:cs="Arial"/>
          <w:color w:val="000000"/>
          <w:sz w:val="24"/>
          <w:szCs w:val="24"/>
        </w:rPr>
        <w:t>mean hours of trading daily were 8.95 ± (1.69), and mean REBA score was 5.85 ± (1.77). Duration of trading had no significant relationship with LBP (rho=0.049; p=0.490) and REBA scores (rho= -0.289; p=0.085). There was a significant and positive associatio</w:t>
      </w:r>
      <w:r>
        <w:rPr>
          <w:rFonts w:ascii="Arial" w:eastAsia="Arial" w:hAnsi="Arial" w:cs="Arial"/>
          <w:color w:val="000000"/>
          <w:sz w:val="24"/>
          <w:szCs w:val="24"/>
        </w:rPr>
        <w:t>n between LBP and REBA scores (rho= 0.741; 0.05).</w:t>
      </w:r>
    </w:p>
    <w:p w14:paraId="208FB14E" w14:textId="77777777" w:rsidR="009F5352" w:rsidRDefault="009F5352">
      <w:pPr>
        <w:spacing w:line="480" w:lineRule="auto"/>
        <w:rPr>
          <w:rFonts w:ascii="Arial" w:eastAsia="Arial" w:hAnsi="Arial" w:cs="Arial"/>
          <w:b/>
          <w:color w:val="000000"/>
          <w:sz w:val="24"/>
          <w:szCs w:val="24"/>
        </w:rPr>
      </w:pPr>
    </w:p>
    <w:p w14:paraId="4391C87D" w14:textId="77777777" w:rsidR="009F5352" w:rsidRDefault="002918AF">
      <w:pPr>
        <w:spacing w:after="160" w:line="259" w:lineRule="auto"/>
        <w:jc w:val="left"/>
        <w:rPr>
          <w:rFonts w:ascii="Arial" w:eastAsia="Arial" w:hAnsi="Arial" w:cs="Arial"/>
          <w:b/>
          <w:color w:val="000000"/>
          <w:sz w:val="24"/>
          <w:szCs w:val="24"/>
        </w:rPr>
      </w:pPr>
      <w:r>
        <w:br w:type="page"/>
      </w:r>
    </w:p>
    <w:p w14:paraId="4AC5445E" w14:textId="77777777" w:rsidR="009F5352" w:rsidRDefault="002918AF">
      <w:pPr>
        <w:rPr>
          <w:rFonts w:ascii="Arial" w:eastAsia="Arial" w:hAnsi="Arial" w:cs="Arial"/>
          <w:sz w:val="24"/>
          <w:szCs w:val="24"/>
        </w:rPr>
      </w:pPr>
      <w:r>
        <w:rPr>
          <w:rFonts w:ascii="Arial" w:eastAsia="Arial" w:hAnsi="Arial" w:cs="Arial"/>
          <w:sz w:val="24"/>
          <w:szCs w:val="24"/>
        </w:rPr>
        <w:lastRenderedPageBreak/>
        <w:t>Table 5: Relationship between Duration of Trading, Hours of Trading Daily and Low Back Pain using Spearman's Rank Correlation.</w:t>
      </w:r>
    </w:p>
    <w:tbl>
      <w:tblPr>
        <w:tblStyle w:val="a3"/>
        <w:tblW w:w="902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825"/>
        <w:gridCol w:w="1625"/>
        <w:gridCol w:w="1446"/>
        <w:gridCol w:w="1192"/>
        <w:gridCol w:w="1938"/>
      </w:tblGrid>
      <w:tr w:rsidR="009F5352" w14:paraId="39CD522B" w14:textId="77777777">
        <w:trPr>
          <w:trHeight w:val="1125"/>
        </w:trPr>
        <w:tc>
          <w:tcPr>
            <w:tcW w:w="2825" w:type="dxa"/>
            <w:tcBorders>
              <w:top w:val="single" w:sz="4" w:space="0" w:color="000000"/>
              <w:bottom w:val="single" w:sz="4" w:space="0" w:color="000000"/>
            </w:tcBorders>
          </w:tcPr>
          <w:p w14:paraId="0CDCA5A4"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625" w:type="dxa"/>
            <w:tcBorders>
              <w:top w:val="single" w:sz="4" w:space="0" w:color="000000"/>
              <w:bottom w:val="single" w:sz="4" w:space="0" w:color="000000"/>
            </w:tcBorders>
          </w:tcPr>
          <w:p w14:paraId="07CB2FBE"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Mean ± SD</w:t>
            </w:r>
          </w:p>
        </w:tc>
        <w:tc>
          <w:tcPr>
            <w:tcW w:w="1446" w:type="dxa"/>
            <w:tcBorders>
              <w:top w:val="single" w:sz="4" w:space="0" w:color="000000"/>
              <w:bottom w:val="single" w:sz="4" w:space="0" w:color="000000"/>
            </w:tcBorders>
          </w:tcPr>
          <w:p w14:paraId="18F3311E" w14:textId="77777777" w:rsidR="009F5352" w:rsidRDefault="009F5352">
            <w:pPr>
              <w:spacing w:line="360" w:lineRule="auto"/>
              <w:rPr>
                <w:rFonts w:ascii="Arial" w:eastAsia="Arial" w:hAnsi="Arial" w:cs="Arial"/>
                <w:b/>
                <w:color w:val="000000"/>
                <w:sz w:val="24"/>
                <w:szCs w:val="24"/>
              </w:rPr>
            </w:pPr>
          </w:p>
        </w:tc>
        <w:tc>
          <w:tcPr>
            <w:tcW w:w="1192" w:type="dxa"/>
            <w:tcBorders>
              <w:top w:val="single" w:sz="4" w:space="0" w:color="000000"/>
              <w:bottom w:val="single" w:sz="4" w:space="0" w:color="000000"/>
            </w:tcBorders>
          </w:tcPr>
          <w:p w14:paraId="44AFFC01"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LBP </w:t>
            </w:r>
          </w:p>
        </w:tc>
        <w:tc>
          <w:tcPr>
            <w:tcW w:w="1938" w:type="dxa"/>
            <w:tcBorders>
              <w:top w:val="single" w:sz="4" w:space="0" w:color="000000"/>
              <w:bottom w:val="single" w:sz="4" w:space="0" w:color="000000"/>
            </w:tcBorders>
          </w:tcPr>
          <w:p w14:paraId="2E637D5E"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REBA Scores</w:t>
            </w:r>
          </w:p>
        </w:tc>
      </w:tr>
      <w:tr w:rsidR="009F5352" w14:paraId="49BD6B39" w14:textId="77777777">
        <w:trPr>
          <w:trHeight w:val="1693"/>
        </w:trPr>
        <w:tc>
          <w:tcPr>
            <w:tcW w:w="2825" w:type="dxa"/>
            <w:tcBorders>
              <w:top w:val="single" w:sz="4" w:space="0" w:color="000000"/>
            </w:tcBorders>
          </w:tcPr>
          <w:p w14:paraId="14D61F5B"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Duration of trading </w:t>
            </w:r>
          </w:p>
        </w:tc>
        <w:tc>
          <w:tcPr>
            <w:tcW w:w="1625" w:type="dxa"/>
            <w:tcBorders>
              <w:top w:val="single" w:sz="4" w:space="0" w:color="000000"/>
            </w:tcBorders>
          </w:tcPr>
          <w:p w14:paraId="757D9077"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12.93 ± 9.82</w:t>
            </w:r>
          </w:p>
        </w:tc>
        <w:tc>
          <w:tcPr>
            <w:tcW w:w="1446" w:type="dxa"/>
            <w:tcBorders>
              <w:top w:val="single" w:sz="4" w:space="0" w:color="000000"/>
            </w:tcBorders>
          </w:tcPr>
          <w:p w14:paraId="6D1C1E16"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6ABB31BE"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1192" w:type="dxa"/>
            <w:tcBorders>
              <w:top w:val="single" w:sz="4" w:space="0" w:color="000000"/>
            </w:tcBorders>
          </w:tcPr>
          <w:p w14:paraId="2A703AB0"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0.049</w:t>
            </w:r>
          </w:p>
          <w:p w14:paraId="2E8844A9"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0.490</w:t>
            </w:r>
          </w:p>
        </w:tc>
        <w:tc>
          <w:tcPr>
            <w:tcW w:w="1938" w:type="dxa"/>
            <w:tcBorders>
              <w:top w:val="single" w:sz="4" w:space="0" w:color="000000"/>
            </w:tcBorders>
          </w:tcPr>
          <w:p w14:paraId="3CBECF40"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-0.289</w:t>
            </w:r>
          </w:p>
          <w:p w14:paraId="7F21AB8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0.085</w:t>
            </w:r>
          </w:p>
        </w:tc>
      </w:tr>
      <w:tr w:rsidR="009F5352" w14:paraId="0022FBA6" w14:textId="77777777">
        <w:trPr>
          <w:trHeight w:val="842"/>
        </w:trPr>
        <w:tc>
          <w:tcPr>
            <w:tcW w:w="2825" w:type="dxa"/>
          </w:tcPr>
          <w:p w14:paraId="02C75130"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Hours of trading daily</w:t>
            </w:r>
          </w:p>
          <w:p w14:paraId="33824BFF" w14:textId="77777777" w:rsidR="009F5352" w:rsidRDefault="009F5352">
            <w:pPr>
              <w:spacing w:line="360" w:lineRule="auto"/>
              <w:rPr>
                <w:rFonts w:ascii="Arial" w:eastAsia="Arial" w:hAnsi="Arial" w:cs="Arial"/>
                <w:color w:val="000000"/>
                <w:sz w:val="24"/>
                <w:szCs w:val="24"/>
              </w:rPr>
            </w:pPr>
          </w:p>
          <w:p w14:paraId="28AA39E7" w14:textId="77777777" w:rsidR="009F5352" w:rsidRDefault="009F5352">
            <w:pPr>
              <w:spacing w:line="360" w:lineRule="auto"/>
              <w:rPr>
                <w:rFonts w:ascii="Arial" w:eastAsia="Arial" w:hAnsi="Arial" w:cs="Arial"/>
                <w:color w:val="000000"/>
                <w:sz w:val="24"/>
                <w:szCs w:val="24"/>
              </w:rPr>
            </w:pPr>
          </w:p>
          <w:p w14:paraId="257C093E" w14:textId="77777777" w:rsidR="009F5352" w:rsidRDefault="009F5352">
            <w:pPr>
              <w:spacing w:line="360" w:lineRule="auto"/>
              <w:rPr>
                <w:rFonts w:ascii="Arial" w:eastAsia="Arial" w:hAnsi="Arial" w:cs="Arial"/>
                <w:color w:val="000000"/>
                <w:sz w:val="24"/>
                <w:szCs w:val="24"/>
              </w:rPr>
            </w:pPr>
          </w:p>
          <w:p w14:paraId="227B5D73" w14:textId="77777777" w:rsidR="009F5352" w:rsidRDefault="002918AF">
            <w:pPr>
              <w:spacing w:line="360" w:lineRule="auto"/>
              <w:rPr>
                <w:rFonts w:ascii="Arial" w:eastAsia="Arial" w:hAnsi="Arial" w:cs="Arial"/>
                <w:b/>
                <w:color w:val="000000"/>
                <w:sz w:val="24"/>
                <w:szCs w:val="24"/>
              </w:rPr>
            </w:pPr>
            <w:r>
              <w:rPr>
                <w:rFonts w:ascii="Arial" w:eastAsia="Arial" w:hAnsi="Arial" w:cs="Arial"/>
                <w:b/>
                <w:color w:val="000000"/>
                <w:sz w:val="24"/>
                <w:szCs w:val="24"/>
              </w:rPr>
              <w:t>REBA scores</w:t>
            </w:r>
          </w:p>
        </w:tc>
        <w:tc>
          <w:tcPr>
            <w:tcW w:w="1625" w:type="dxa"/>
          </w:tcPr>
          <w:p w14:paraId="71BCDB04"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8.95 ± 1.69</w:t>
            </w:r>
          </w:p>
          <w:p w14:paraId="752B2B46" w14:textId="77777777" w:rsidR="009F5352" w:rsidRDefault="009F5352">
            <w:pPr>
              <w:spacing w:line="360" w:lineRule="auto"/>
              <w:rPr>
                <w:rFonts w:ascii="Arial" w:eastAsia="Arial" w:hAnsi="Arial" w:cs="Arial"/>
                <w:color w:val="000000"/>
                <w:sz w:val="24"/>
                <w:szCs w:val="24"/>
              </w:rPr>
            </w:pPr>
          </w:p>
          <w:p w14:paraId="14282254" w14:textId="77777777" w:rsidR="009F5352" w:rsidRDefault="009F5352">
            <w:pPr>
              <w:spacing w:line="360" w:lineRule="auto"/>
              <w:rPr>
                <w:rFonts w:ascii="Arial" w:eastAsia="Arial" w:hAnsi="Arial" w:cs="Arial"/>
                <w:color w:val="000000"/>
                <w:sz w:val="24"/>
                <w:szCs w:val="24"/>
              </w:rPr>
            </w:pPr>
          </w:p>
          <w:p w14:paraId="62B9BAC5" w14:textId="77777777" w:rsidR="009F5352" w:rsidRDefault="009F5352">
            <w:pPr>
              <w:spacing w:line="360" w:lineRule="auto"/>
              <w:rPr>
                <w:rFonts w:ascii="Arial" w:eastAsia="Arial" w:hAnsi="Arial" w:cs="Arial"/>
                <w:color w:val="000000"/>
                <w:sz w:val="24"/>
                <w:szCs w:val="24"/>
              </w:rPr>
            </w:pPr>
          </w:p>
          <w:p w14:paraId="0A3EF1A2"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5.85 ± 1.77</w:t>
            </w:r>
          </w:p>
        </w:tc>
        <w:tc>
          <w:tcPr>
            <w:tcW w:w="1446" w:type="dxa"/>
          </w:tcPr>
          <w:p w14:paraId="2BC8941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48E51D34"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p w14:paraId="189E233E" w14:textId="77777777" w:rsidR="009F5352" w:rsidRDefault="009F5352">
            <w:pPr>
              <w:spacing w:line="360" w:lineRule="auto"/>
              <w:rPr>
                <w:rFonts w:ascii="Arial" w:eastAsia="Arial" w:hAnsi="Arial" w:cs="Arial"/>
                <w:color w:val="000000"/>
                <w:sz w:val="24"/>
                <w:szCs w:val="24"/>
              </w:rPr>
            </w:pPr>
          </w:p>
          <w:p w14:paraId="05BAC2B7" w14:textId="77777777" w:rsidR="009F5352" w:rsidRDefault="009F5352">
            <w:pPr>
              <w:spacing w:line="360" w:lineRule="auto"/>
              <w:rPr>
                <w:rFonts w:ascii="Arial" w:eastAsia="Arial" w:hAnsi="Arial" w:cs="Arial"/>
                <w:color w:val="000000"/>
                <w:sz w:val="24"/>
                <w:szCs w:val="24"/>
              </w:rPr>
            </w:pPr>
          </w:p>
          <w:p w14:paraId="68CC9B01"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0C635BDE"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1192" w:type="dxa"/>
          </w:tcPr>
          <w:p w14:paraId="5AC819B5"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0.095</w:t>
            </w:r>
          </w:p>
          <w:p w14:paraId="498F0839"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0.182</w:t>
            </w:r>
          </w:p>
          <w:p w14:paraId="0F3B59E3" w14:textId="77777777" w:rsidR="009F5352" w:rsidRDefault="009F5352">
            <w:pPr>
              <w:spacing w:line="360" w:lineRule="auto"/>
              <w:rPr>
                <w:rFonts w:ascii="Arial" w:eastAsia="Arial" w:hAnsi="Arial" w:cs="Arial"/>
                <w:color w:val="000000"/>
                <w:sz w:val="24"/>
                <w:szCs w:val="24"/>
              </w:rPr>
            </w:pPr>
          </w:p>
          <w:p w14:paraId="72F41182" w14:textId="77777777" w:rsidR="009F5352" w:rsidRDefault="009F5352">
            <w:pPr>
              <w:spacing w:line="360" w:lineRule="auto"/>
              <w:rPr>
                <w:rFonts w:ascii="Arial" w:eastAsia="Arial" w:hAnsi="Arial" w:cs="Arial"/>
                <w:color w:val="000000"/>
                <w:sz w:val="24"/>
                <w:szCs w:val="24"/>
              </w:rPr>
            </w:pPr>
          </w:p>
          <w:p w14:paraId="1850A356"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0.741</w:t>
            </w:r>
          </w:p>
          <w:p w14:paraId="6896DE80"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0.05*</w:t>
            </w:r>
          </w:p>
        </w:tc>
        <w:tc>
          <w:tcPr>
            <w:tcW w:w="1938" w:type="dxa"/>
          </w:tcPr>
          <w:p w14:paraId="7EE2C08B"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-0.132</w:t>
            </w:r>
          </w:p>
          <w:p w14:paraId="5C0191DA"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0.061</w:t>
            </w:r>
          </w:p>
          <w:p w14:paraId="43452DB0" w14:textId="77777777" w:rsidR="009F5352" w:rsidRDefault="009F5352">
            <w:pPr>
              <w:spacing w:line="360" w:lineRule="auto"/>
              <w:rPr>
                <w:rFonts w:ascii="Arial" w:eastAsia="Arial" w:hAnsi="Arial" w:cs="Arial"/>
                <w:color w:val="000000"/>
                <w:sz w:val="24"/>
                <w:szCs w:val="24"/>
              </w:rPr>
            </w:pPr>
          </w:p>
          <w:p w14:paraId="4FF69C71" w14:textId="77777777" w:rsidR="009F5352" w:rsidRDefault="009F5352">
            <w:pPr>
              <w:spacing w:line="360" w:lineRule="auto"/>
              <w:rPr>
                <w:rFonts w:ascii="Arial" w:eastAsia="Arial" w:hAnsi="Arial" w:cs="Arial"/>
                <w:color w:val="000000"/>
                <w:sz w:val="24"/>
                <w:szCs w:val="24"/>
              </w:rPr>
            </w:pPr>
          </w:p>
          <w:p w14:paraId="42DC7D48"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1.000</w:t>
            </w:r>
          </w:p>
          <w:p w14:paraId="1FBF1205" w14:textId="77777777" w:rsidR="009F5352" w:rsidRDefault="002918AF">
            <w:pPr>
              <w:spacing w:line="360" w:lineRule="auto"/>
              <w:rPr>
                <w:rFonts w:ascii="Arial" w:eastAsia="Arial" w:hAnsi="Arial" w:cs="Arial"/>
                <w:color w:val="000000"/>
                <w:sz w:val="24"/>
                <w:szCs w:val="24"/>
              </w:rPr>
            </w:pPr>
            <w:r>
              <w:rPr>
                <w:rFonts w:ascii="Arial" w:eastAsia="Arial" w:hAnsi="Arial" w:cs="Arial"/>
                <w:color w:val="000000"/>
                <w:sz w:val="24"/>
                <w:szCs w:val="24"/>
              </w:rPr>
              <w:t>-</w:t>
            </w:r>
          </w:p>
        </w:tc>
      </w:tr>
    </w:tbl>
    <w:p w14:paraId="591CBAC3" w14:textId="77777777" w:rsidR="009F5352" w:rsidRDefault="002918AF">
      <w:pPr>
        <w:spacing w:line="480" w:lineRule="auto"/>
        <w:rPr>
          <w:rFonts w:ascii="Arial" w:eastAsia="Arial" w:hAnsi="Arial" w:cs="Arial"/>
          <w:color w:val="000000"/>
          <w:sz w:val="24"/>
          <w:szCs w:val="24"/>
        </w:rPr>
      </w:pPr>
      <w:r>
        <w:rPr>
          <w:rFonts w:ascii="Arial" w:eastAsia="Arial" w:hAnsi="Arial" w:cs="Arial"/>
          <w:color w:val="000000"/>
          <w:sz w:val="24"/>
          <w:szCs w:val="24"/>
        </w:rPr>
        <w:t>* Significant at p =0.05</w:t>
      </w:r>
    </w:p>
    <w:p w14:paraId="3E35B22B" w14:textId="77777777" w:rsidR="009F5352" w:rsidRDefault="009F5352">
      <w:pPr>
        <w:spacing w:line="480" w:lineRule="auto"/>
        <w:rPr>
          <w:rFonts w:ascii="Arial" w:eastAsia="Arial" w:hAnsi="Arial" w:cs="Arial"/>
          <w:b/>
          <w:color w:val="000000"/>
          <w:sz w:val="24"/>
          <w:szCs w:val="24"/>
        </w:rPr>
      </w:pPr>
    </w:p>
    <w:p w14:paraId="56C1C419" w14:textId="77777777" w:rsidR="009F5352" w:rsidRDefault="002918AF">
      <w:pPr>
        <w:spacing w:after="160" w:line="259" w:lineRule="auto"/>
        <w:jc w:val="left"/>
        <w:rPr>
          <w:rFonts w:ascii="Arial" w:eastAsia="Arial" w:hAnsi="Arial" w:cs="Arial"/>
          <w:b/>
          <w:color w:val="000000"/>
          <w:sz w:val="24"/>
          <w:szCs w:val="24"/>
        </w:rPr>
      </w:pPr>
      <w:r>
        <w:br w:type="page"/>
      </w:r>
    </w:p>
    <w:p w14:paraId="628CC713" w14:textId="77777777" w:rsidR="009F5352" w:rsidRDefault="009F5352">
      <w:pPr>
        <w:spacing w:line="480" w:lineRule="auto"/>
        <w:rPr>
          <w:rFonts w:ascii="Arial" w:eastAsia="Arial" w:hAnsi="Arial" w:cs="Arial"/>
          <w:b/>
          <w:color w:val="000000"/>
          <w:sz w:val="24"/>
          <w:szCs w:val="24"/>
        </w:rPr>
      </w:pPr>
    </w:p>
    <w:p w14:paraId="4DBE157E" w14:textId="77777777" w:rsidR="009F5352" w:rsidRDefault="009F5352">
      <w:pPr>
        <w:spacing w:line="480" w:lineRule="auto"/>
        <w:rPr>
          <w:rFonts w:ascii="Arial" w:eastAsia="Arial" w:hAnsi="Arial" w:cs="Arial"/>
          <w:b/>
          <w:color w:val="000000"/>
          <w:sz w:val="24"/>
          <w:szCs w:val="24"/>
        </w:rPr>
      </w:pPr>
    </w:p>
    <w:p w14:paraId="104B6AB4" w14:textId="77777777" w:rsidR="009F5352" w:rsidRDefault="002918AF">
      <w:pPr>
        <w:spacing w:line="480" w:lineRule="auto"/>
        <w:rPr>
          <w:rFonts w:ascii="Arial" w:eastAsia="Arial" w:hAnsi="Arial" w:cs="Arial"/>
          <w:b/>
          <w:color w:val="000000"/>
          <w:sz w:val="24"/>
          <w:szCs w:val="24"/>
        </w:rPr>
      </w:pPr>
      <w:r>
        <w:rPr>
          <w:rFonts w:ascii="Arial" w:eastAsia="Arial" w:hAnsi="Arial" w:cs="Arial"/>
          <w:noProof/>
          <w:color w:val="000000"/>
          <w:sz w:val="24"/>
          <w:szCs w:val="24"/>
        </w:rPr>
        <w:drawing>
          <wp:anchor distT="0" distB="0" distL="0" distR="0" simplePos="0" relativeHeight="2" behindDoc="0" locked="0" layoutInCell="1" allowOverlap="1" wp14:anchorId="1D04467D" wp14:editId="01A5683F">
            <wp:simplePos x="0" y="0"/>
            <wp:positionH relativeFrom="margin">
              <wp:posOffset>-7670</wp:posOffset>
            </wp:positionH>
            <wp:positionV relativeFrom="margin">
              <wp:posOffset>826572</wp:posOffset>
            </wp:positionV>
            <wp:extent cx="4707329" cy="2842903"/>
            <wp:effectExtent l="19050" t="19050" r="17145" b="14605"/>
            <wp:wrapNone/>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cstate="print"/>
                    <a:srcRect/>
                    <a:stretch/>
                  </pic:blipFill>
                  <pic:spPr>
                    <a:xfrm>
                      <a:off x="0" y="0"/>
                      <a:ext cx="4730062" cy="2856632"/>
                    </a:xfrm>
                    <a:prstGeom prst="rect">
                      <a:avLst/>
                    </a:prstGeom>
                    <a:ln w="9525" cap="flat" cmpd="sng">
                      <a:solidFill>
                        <a:srgbClr val="000000"/>
                      </a:solidFill>
                      <a:prstDash val="solid"/>
                      <a:round/>
                      <a:headEnd/>
                      <a:tailEnd/>
                    </a:ln>
                  </pic:spPr>
                </pic:pic>
              </a:graphicData>
            </a:graphic>
            <wp14:sizeRelH relativeFrom="margin">
              <wp14:pctWidth>0</wp14:pctWidth>
            </wp14:sizeRelH>
            <wp14:sizeRelV relativeFrom="margin">
              <wp14:pctHeight>0</wp14:pctHeight>
            </wp14:sizeRelV>
          </wp:anchor>
        </w:drawing>
      </w:r>
    </w:p>
    <w:p w14:paraId="38492C65" w14:textId="77777777" w:rsidR="009F5352" w:rsidRDefault="009F5352">
      <w:pPr>
        <w:spacing w:line="480" w:lineRule="auto"/>
        <w:rPr>
          <w:rFonts w:ascii="Arial" w:eastAsia="Arial" w:hAnsi="Arial" w:cs="Arial"/>
          <w:b/>
          <w:color w:val="000000"/>
          <w:sz w:val="24"/>
          <w:szCs w:val="24"/>
        </w:rPr>
      </w:pPr>
    </w:p>
    <w:p w14:paraId="6A38F096" w14:textId="77777777" w:rsidR="009F5352" w:rsidRDefault="009F5352">
      <w:pPr>
        <w:spacing w:line="480" w:lineRule="auto"/>
        <w:rPr>
          <w:rFonts w:ascii="Arial" w:eastAsia="Arial" w:hAnsi="Arial" w:cs="Arial"/>
          <w:b/>
          <w:color w:val="000000"/>
          <w:sz w:val="24"/>
          <w:szCs w:val="24"/>
        </w:rPr>
      </w:pPr>
    </w:p>
    <w:p w14:paraId="257298CA" w14:textId="77777777" w:rsidR="009F5352" w:rsidRDefault="009F5352">
      <w:pPr>
        <w:spacing w:line="480" w:lineRule="auto"/>
        <w:rPr>
          <w:rFonts w:ascii="Arial" w:eastAsia="Arial" w:hAnsi="Arial" w:cs="Arial"/>
          <w:color w:val="000000"/>
          <w:sz w:val="24"/>
          <w:szCs w:val="24"/>
        </w:rPr>
      </w:pPr>
    </w:p>
    <w:p w14:paraId="385C3F3F" w14:textId="77777777" w:rsidR="009F5352" w:rsidRDefault="009F5352">
      <w:pPr>
        <w:spacing w:line="480" w:lineRule="auto"/>
        <w:rPr>
          <w:rFonts w:ascii="Arial" w:eastAsia="Arial" w:hAnsi="Arial" w:cs="Arial"/>
          <w:color w:val="000000"/>
          <w:sz w:val="24"/>
          <w:szCs w:val="24"/>
        </w:rPr>
      </w:pPr>
    </w:p>
    <w:p w14:paraId="45F320C3" w14:textId="77777777" w:rsidR="009F5352" w:rsidRDefault="009F5352">
      <w:pPr>
        <w:spacing w:line="480" w:lineRule="auto"/>
        <w:rPr>
          <w:rFonts w:ascii="Arial" w:eastAsia="Arial" w:hAnsi="Arial" w:cs="Arial"/>
          <w:color w:val="000000"/>
          <w:sz w:val="24"/>
          <w:szCs w:val="24"/>
        </w:rPr>
      </w:pPr>
    </w:p>
    <w:p w14:paraId="1B3CC09E" w14:textId="77777777" w:rsidR="009F5352" w:rsidRDefault="009F5352">
      <w:pPr>
        <w:spacing w:line="480" w:lineRule="auto"/>
        <w:rPr>
          <w:rFonts w:ascii="Arial" w:eastAsia="Arial" w:hAnsi="Arial" w:cs="Arial"/>
          <w:color w:val="000000"/>
          <w:sz w:val="24"/>
          <w:szCs w:val="24"/>
        </w:rPr>
      </w:pPr>
    </w:p>
    <w:p w14:paraId="59A27ED6" w14:textId="77777777" w:rsidR="00632B59" w:rsidRDefault="00632B59">
      <w:pPr>
        <w:spacing w:line="480" w:lineRule="auto"/>
        <w:rPr>
          <w:rFonts w:ascii="Arial" w:eastAsia="Arial" w:hAnsi="Arial" w:cs="Arial"/>
          <w:color w:val="000000"/>
          <w:sz w:val="24"/>
          <w:szCs w:val="24"/>
        </w:rPr>
      </w:pPr>
    </w:p>
    <w:p w14:paraId="000E0600" w14:textId="77777777" w:rsidR="00632B59" w:rsidRDefault="00632B59">
      <w:pPr>
        <w:spacing w:line="480" w:lineRule="auto"/>
        <w:rPr>
          <w:rFonts w:ascii="Arial" w:eastAsia="Arial" w:hAnsi="Arial" w:cs="Arial"/>
          <w:color w:val="000000"/>
          <w:sz w:val="24"/>
          <w:szCs w:val="24"/>
        </w:rPr>
      </w:pPr>
    </w:p>
    <w:p w14:paraId="5D623D27" w14:textId="77777777" w:rsidR="009F5352" w:rsidRDefault="002918AF">
      <w:pPr>
        <w:rPr>
          <w:rFonts w:ascii="Arial" w:eastAsia="Arial" w:hAnsi="Arial" w:cs="Arial"/>
          <w:sz w:val="24"/>
          <w:szCs w:val="24"/>
        </w:rPr>
      </w:pPr>
      <w:r>
        <w:rPr>
          <w:rFonts w:ascii="Arial" w:eastAsia="Arial" w:hAnsi="Arial" w:cs="Arial"/>
          <w:sz w:val="24"/>
          <w:szCs w:val="24"/>
        </w:rPr>
        <w:t>Figure 1.0 showing the ages of the participants.</w:t>
      </w:r>
    </w:p>
    <w:p w14:paraId="1CD0EEB7" w14:textId="77777777" w:rsidR="009F5352" w:rsidRDefault="009F5352">
      <w:pPr>
        <w:spacing w:line="480" w:lineRule="auto"/>
        <w:rPr>
          <w:rFonts w:ascii="Arial" w:eastAsia="Arial" w:hAnsi="Arial" w:cs="Arial"/>
          <w:color w:val="000000"/>
          <w:sz w:val="24"/>
          <w:szCs w:val="24"/>
        </w:rPr>
      </w:pPr>
    </w:p>
    <w:p w14:paraId="0F722B61" w14:textId="77777777" w:rsidR="009F5352" w:rsidRDefault="009F5352">
      <w:pPr>
        <w:spacing w:after="160" w:line="259" w:lineRule="auto"/>
        <w:jc w:val="left"/>
        <w:rPr>
          <w:rFonts w:ascii="Arial" w:eastAsia="Arial" w:hAnsi="Arial" w:cs="Arial"/>
          <w:color w:val="000000"/>
          <w:sz w:val="24"/>
          <w:szCs w:val="24"/>
        </w:rPr>
      </w:pPr>
    </w:p>
    <w:p w14:paraId="3F9F5EB0" w14:textId="77777777" w:rsidR="009F5352" w:rsidRDefault="009F5352">
      <w:pPr>
        <w:spacing w:after="160" w:line="259" w:lineRule="auto"/>
        <w:jc w:val="left"/>
        <w:rPr>
          <w:rFonts w:ascii="Arial" w:eastAsia="Arial" w:hAnsi="Arial" w:cs="Arial"/>
          <w:color w:val="000000"/>
          <w:sz w:val="24"/>
          <w:szCs w:val="24"/>
        </w:rPr>
      </w:pPr>
    </w:p>
    <w:p w14:paraId="60006D7D" w14:textId="77777777" w:rsidR="009F5352" w:rsidRDefault="009F5352">
      <w:pPr>
        <w:spacing w:after="160" w:line="259" w:lineRule="auto"/>
        <w:jc w:val="left"/>
        <w:rPr>
          <w:rFonts w:ascii="Arial" w:eastAsia="Arial" w:hAnsi="Arial" w:cs="Arial"/>
          <w:color w:val="000000"/>
          <w:sz w:val="24"/>
          <w:szCs w:val="24"/>
        </w:rPr>
      </w:pPr>
    </w:p>
    <w:p w14:paraId="0B752F4D" w14:textId="77777777" w:rsidR="009F5352" w:rsidRDefault="002918AF">
      <w:pPr>
        <w:rPr>
          <w:rFonts w:ascii="Arial" w:eastAsia="Arial" w:hAnsi="Arial" w:cs="Arial"/>
          <w:sz w:val="24"/>
          <w:szCs w:val="24"/>
        </w:rPr>
      </w:pPr>
      <w:r>
        <w:rPr>
          <w:rFonts w:ascii="Arial" w:eastAsia="Arial" w:hAnsi="Arial" w:cs="Arial"/>
          <w:sz w:val="24"/>
          <w:szCs w:val="24"/>
        </w:rPr>
        <w:t>Figure 2.0 showing the marital status of the participants.</w:t>
      </w:r>
    </w:p>
    <w:p w14:paraId="29A45D1D" w14:textId="77777777" w:rsidR="009F5352" w:rsidRDefault="002918AF">
      <w:pPr>
        <w:spacing w:after="160" w:line="259" w:lineRule="auto"/>
        <w:jc w:val="left"/>
        <w:rPr>
          <w:rFonts w:ascii="Arial" w:eastAsia="Arial" w:hAnsi="Arial" w:cs="Arial"/>
          <w:color w:val="000000"/>
          <w:sz w:val="24"/>
          <w:szCs w:val="24"/>
        </w:rPr>
      </w:pPr>
      <w:r>
        <w:br w:type="page"/>
      </w:r>
      <w:r>
        <w:rPr>
          <w:rFonts w:ascii="Arial" w:eastAsia="Arial" w:hAnsi="Arial" w:cs="Arial"/>
          <w:noProof/>
          <w:color w:val="000000"/>
          <w:sz w:val="24"/>
          <w:szCs w:val="24"/>
        </w:rPr>
        <w:lastRenderedPageBreak/>
        <w:drawing>
          <wp:inline distT="0" distB="0" distL="0" distR="0" wp14:anchorId="4AC2D8F4" wp14:editId="6E51DC74">
            <wp:extent cx="4593590" cy="2901950"/>
            <wp:effectExtent l="19050" t="19050" r="16510" b="12700"/>
            <wp:docPr id="1027"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8" cstate="print">
                      <a:extLst>
                        <a:ext uri="{28A0092B-C50C-407E-A947-70E740481C1C}">
                          <a14:useLocalDpi xmlns:a14="http://schemas.microsoft.com/office/drawing/2010/main" val="0"/>
                        </a:ext>
                      </a:extLst>
                    </a:blip>
                    <a:srcRect/>
                    <a:stretch/>
                  </pic:blipFill>
                  <pic:spPr>
                    <a:xfrm>
                      <a:off x="0" y="0"/>
                      <a:ext cx="4593590" cy="2901950"/>
                    </a:xfrm>
                    <a:prstGeom prst="rect">
                      <a:avLst/>
                    </a:prstGeom>
                    <a:ln w="9525" cap="flat" cmpd="sng">
                      <a:solidFill>
                        <a:srgbClr val="000000"/>
                      </a:solidFill>
                      <a:prstDash val="solid"/>
                      <a:round/>
                      <a:headEnd/>
                      <a:tailEnd/>
                    </a:ln>
                  </pic:spPr>
                </pic:pic>
              </a:graphicData>
            </a:graphic>
          </wp:inline>
        </w:drawing>
      </w:r>
    </w:p>
    <w:p w14:paraId="2194E798" w14:textId="77777777" w:rsidR="009F5352" w:rsidRDefault="009F5352">
      <w:pPr>
        <w:spacing w:line="480" w:lineRule="auto"/>
        <w:rPr>
          <w:rFonts w:ascii="Arial" w:eastAsia="Arial" w:hAnsi="Arial" w:cs="Arial"/>
          <w:color w:val="000000"/>
          <w:sz w:val="24"/>
          <w:szCs w:val="24"/>
        </w:rPr>
      </w:pPr>
    </w:p>
    <w:p w14:paraId="688585B0"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Eleven hypotheses were tested to examine the associations between selected demographic and occupational variables with REBA scores and the presence of low back pain (LBP) among market women</w:t>
      </w:r>
      <w:r>
        <w:rPr>
          <w:rFonts w:ascii="Arial" w:eastAsia="Arial" w:hAnsi="Arial" w:cs="Arial"/>
          <w:sz w:val="24"/>
          <w:szCs w:val="24"/>
        </w:rPr>
        <w:t xml:space="preserve"> in Benin. The level of significance was set at α = 0.05.</w:t>
      </w:r>
    </w:p>
    <w:p w14:paraId="6566981D" w14:textId="77777777" w:rsidR="009F5352" w:rsidRDefault="009F5352">
      <w:pPr>
        <w:spacing w:line="480" w:lineRule="auto"/>
        <w:rPr>
          <w:rFonts w:ascii="Arial" w:eastAsia="Arial" w:hAnsi="Arial" w:cs="Arial"/>
          <w:sz w:val="24"/>
          <w:szCs w:val="24"/>
        </w:rPr>
      </w:pPr>
    </w:p>
    <w:p w14:paraId="2BE66EF2"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Hypotheses 1 to 9 were accepted, as their p values exceeded the threshold of significance (p &gt; 0.05). This indicates that there were no statistically significant associations between REBA scores or</w:t>
      </w:r>
      <w:r>
        <w:rPr>
          <w:rFonts w:ascii="Arial" w:eastAsia="Arial" w:hAnsi="Arial" w:cs="Arial"/>
          <w:sz w:val="24"/>
          <w:szCs w:val="24"/>
        </w:rPr>
        <w:t xml:space="preserve"> LBP and factors such as age, religion, duration of trading, hours of trading, gender, and most adopted posture (in relation to REBA scores).</w:t>
      </w:r>
    </w:p>
    <w:p w14:paraId="423B0EA8" w14:textId="77777777" w:rsidR="009F5352" w:rsidRDefault="009F5352">
      <w:pPr>
        <w:spacing w:line="480" w:lineRule="auto"/>
        <w:rPr>
          <w:rFonts w:ascii="Arial" w:eastAsia="Arial" w:hAnsi="Arial" w:cs="Arial"/>
          <w:sz w:val="24"/>
          <w:szCs w:val="24"/>
        </w:rPr>
      </w:pPr>
    </w:p>
    <w:p w14:paraId="6EAE2D94"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However, Hypotheses 10 and 11 were rejected. Hypothesis 10 showed a statistically significant association between</w:t>
      </w:r>
      <w:r>
        <w:rPr>
          <w:rFonts w:ascii="Arial" w:eastAsia="Arial" w:hAnsi="Arial" w:cs="Arial"/>
          <w:sz w:val="24"/>
          <w:szCs w:val="24"/>
        </w:rPr>
        <w:t xml:space="preserve"> the most adopted posture and LBP (p &lt; 0.001), while Hypothesis 11 revealed a significant association between REBA scores and LBP (p = 0.05).</w:t>
      </w:r>
    </w:p>
    <w:p w14:paraId="2B176BD8" w14:textId="77777777" w:rsidR="009F5352" w:rsidRDefault="009F5352">
      <w:pPr>
        <w:spacing w:line="480" w:lineRule="auto"/>
        <w:rPr>
          <w:rFonts w:ascii="Arial" w:eastAsia="Arial" w:hAnsi="Arial" w:cs="Arial"/>
          <w:sz w:val="24"/>
          <w:szCs w:val="24"/>
        </w:rPr>
      </w:pPr>
    </w:p>
    <w:p w14:paraId="3C9118A8"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lastRenderedPageBreak/>
        <w:t>In conclusion, posture-related factors showed significant relationships with LBP, while other demographic and occ</w:t>
      </w:r>
      <w:r>
        <w:rPr>
          <w:rFonts w:ascii="Arial" w:eastAsia="Arial" w:hAnsi="Arial" w:cs="Arial"/>
          <w:sz w:val="24"/>
          <w:szCs w:val="24"/>
        </w:rPr>
        <w:t>upational variables did not exhibit significant associations with REBA scores or LBP in this population.</w:t>
      </w:r>
    </w:p>
    <w:p w14:paraId="256BC10C" w14:textId="77777777" w:rsidR="009F5352" w:rsidRDefault="009F5352">
      <w:pPr>
        <w:spacing w:line="480" w:lineRule="auto"/>
        <w:rPr>
          <w:rFonts w:ascii="Arial" w:eastAsia="Arial" w:hAnsi="Arial" w:cs="Arial"/>
          <w:sz w:val="24"/>
          <w:szCs w:val="24"/>
        </w:rPr>
      </w:pPr>
    </w:p>
    <w:p w14:paraId="31D99EEF"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DISCUSSION</w:t>
      </w:r>
    </w:p>
    <w:p w14:paraId="04B30BCC" w14:textId="77777777" w:rsidR="009F5352" w:rsidRDefault="009F5352">
      <w:pPr>
        <w:spacing w:line="480" w:lineRule="auto"/>
        <w:rPr>
          <w:rFonts w:ascii="Arial" w:eastAsia="Arial" w:hAnsi="Arial" w:cs="Arial"/>
          <w:sz w:val="24"/>
          <w:szCs w:val="24"/>
        </w:rPr>
      </w:pPr>
    </w:p>
    <w:p w14:paraId="63D843D5"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The findings of this study align with previous research on occupational risk factors for LBP. A study conducted by Suryadi and Rachmawati </w:t>
      </w:r>
      <w:r>
        <w:rPr>
          <w:rFonts w:ascii="Arial" w:eastAsia="Arial" w:hAnsi="Arial" w:cs="Arial"/>
          <w:sz w:val="24"/>
          <w:szCs w:val="24"/>
        </w:rPr>
        <w:t>(2020) among Indonesian tobacco factory workers reported similar risk levels across various postures. However, the results contrast with Watanabe et al. (2023), who found a significant association between age and LBP among Japanese workers. This discrepanc</w:t>
      </w:r>
      <w:r>
        <w:rPr>
          <w:rFonts w:ascii="Arial" w:eastAsia="Arial" w:hAnsi="Arial" w:cs="Arial"/>
          <w:sz w:val="24"/>
          <w:szCs w:val="24"/>
        </w:rPr>
        <w:t>y may be attributed to geographical and occupational differences, as well as variations in population size.</w:t>
      </w:r>
    </w:p>
    <w:p w14:paraId="7AAF4174" w14:textId="77777777" w:rsidR="009F5352" w:rsidRDefault="009F5352">
      <w:pPr>
        <w:spacing w:line="480" w:lineRule="auto"/>
        <w:rPr>
          <w:rFonts w:ascii="Arial" w:eastAsia="Arial" w:hAnsi="Arial" w:cs="Arial"/>
          <w:sz w:val="24"/>
          <w:szCs w:val="24"/>
        </w:rPr>
      </w:pPr>
    </w:p>
    <w:p w14:paraId="306F01BE"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The study also identified fear-avoidance behaviors among participants, a phenomenon documented in research by Vlaeyen et al. (2016). Market women t</w:t>
      </w:r>
      <w:r>
        <w:rPr>
          <w:rFonts w:ascii="Arial" w:eastAsia="Arial" w:hAnsi="Arial" w:cs="Arial"/>
          <w:sz w:val="24"/>
          <w:szCs w:val="24"/>
        </w:rPr>
        <w:t>end to limit certain movements due to the fear of pain, which may contribute to prolonged static postures that exacerbate musculoskeletal strain. The complex and multifactorial nature of LBP, which includes sociopsychological and physiological factors, fur</w:t>
      </w:r>
      <w:r>
        <w:rPr>
          <w:rFonts w:ascii="Arial" w:eastAsia="Arial" w:hAnsi="Arial" w:cs="Arial"/>
          <w:sz w:val="24"/>
          <w:szCs w:val="24"/>
        </w:rPr>
        <w:t>ther explains why some variations exist in study findings.</w:t>
      </w:r>
    </w:p>
    <w:p w14:paraId="2DA2A094" w14:textId="77777777" w:rsidR="009F5352" w:rsidRDefault="009F5352">
      <w:pPr>
        <w:spacing w:line="480" w:lineRule="auto"/>
        <w:rPr>
          <w:rFonts w:ascii="Arial" w:eastAsia="Arial" w:hAnsi="Arial" w:cs="Arial"/>
          <w:sz w:val="24"/>
          <w:szCs w:val="24"/>
        </w:rPr>
      </w:pPr>
    </w:p>
    <w:p w14:paraId="52F71D57"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Moreover, research by Bento et al. (2020) in Brazil demonstrated a lower LBP prevalence (28.8%) among various occupational groups, highlighting that work-related factors differ across industries. </w:t>
      </w:r>
      <w:r>
        <w:rPr>
          <w:rFonts w:ascii="Arial" w:eastAsia="Arial" w:hAnsi="Arial" w:cs="Arial"/>
          <w:sz w:val="24"/>
          <w:szCs w:val="24"/>
        </w:rPr>
        <w:t xml:space="preserve">Compared to factory workers, market </w:t>
      </w:r>
      <w:r>
        <w:rPr>
          <w:rFonts w:ascii="Arial" w:eastAsia="Arial" w:hAnsi="Arial" w:cs="Arial"/>
          <w:sz w:val="24"/>
          <w:szCs w:val="24"/>
        </w:rPr>
        <w:lastRenderedPageBreak/>
        <w:t>women may experience different biomechanical loads, which could explain variations in LBP prevalence. These findings emphasize the need for further investigation into the specific occupational risks faced by different wo</w:t>
      </w:r>
      <w:r>
        <w:rPr>
          <w:rFonts w:ascii="Arial" w:eastAsia="Arial" w:hAnsi="Arial" w:cs="Arial"/>
          <w:sz w:val="24"/>
          <w:szCs w:val="24"/>
        </w:rPr>
        <w:t>rker populations.</w:t>
      </w:r>
    </w:p>
    <w:p w14:paraId="6D2D68B2" w14:textId="77777777" w:rsidR="009F5352" w:rsidRDefault="009F5352">
      <w:pPr>
        <w:spacing w:line="480" w:lineRule="auto"/>
        <w:rPr>
          <w:rFonts w:ascii="Arial" w:eastAsia="Arial" w:hAnsi="Arial" w:cs="Arial"/>
          <w:sz w:val="24"/>
          <w:szCs w:val="24"/>
        </w:rPr>
      </w:pPr>
    </w:p>
    <w:p w14:paraId="0216698E"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Another important observation from this study is the significant association between "most adopted posture" and LBP. The results are consistent with studies by Bontrup et al. (2019) and Zemp et al. (2016), which linked prolonged static p</w:t>
      </w:r>
      <w:r>
        <w:rPr>
          <w:rFonts w:ascii="Arial" w:eastAsia="Arial" w:hAnsi="Arial" w:cs="Arial"/>
          <w:sz w:val="24"/>
          <w:szCs w:val="24"/>
        </w:rPr>
        <w:t>ostures with back pain in occupational settings. The tendency for market women to engage in alternating postures throughout the day might help mitigate LBP symptoms to some extent. However, excessive exposure to high-risk postures, such as prolonged sittin</w:t>
      </w:r>
      <w:r>
        <w:rPr>
          <w:rFonts w:ascii="Arial" w:eastAsia="Arial" w:hAnsi="Arial" w:cs="Arial"/>
          <w:sz w:val="24"/>
          <w:szCs w:val="24"/>
        </w:rPr>
        <w:t>g or frequent lifting, remains a crucial factor in LBP development.</w:t>
      </w:r>
    </w:p>
    <w:p w14:paraId="20FCB417"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CONCLUSION</w:t>
      </w:r>
    </w:p>
    <w:p w14:paraId="1995A8DB" w14:textId="77777777" w:rsidR="009F5352" w:rsidRDefault="009F5352">
      <w:pPr>
        <w:spacing w:line="480" w:lineRule="auto"/>
        <w:rPr>
          <w:rFonts w:ascii="Arial" w:eastAsia="Arial" w:hAnsi="Arial" w:cs="Arial"/>
          <w:sz w:val="24"/>
          <w:szCs w:val="24"/>
        </w:rPr>
      </w:pPr>
    </w:p>
    <w:p w14:paraId="1D7B8C83"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This study highlights the significant burden of musculoskeletal disorders among market women in Benin City, with work postures such as bending, lifting, and prolonged sitting p</w:t>
      </w:r>
      <w:r>
        <w:rPr>
          <w:rFonts w:ascii="Arial" w:eastAsia="Arial" w:hAnsi="Arial" w:cs="Arial"/>
          <w:sz w:val="24"/>
          <w:szCs w:val="24"/>
        </w:rPr>
        <w:t>laying a critical role in LBP development. The results indicate that while work posture is an essential factor, other variables, including education and occupational behavior, contribute to LBP prevalence.</w:t>
      </w:r>
    </w:p>
    <w:p w14:paraId="27CA44D9" w14:textId="77777777" w:rsidR="009F5352" w:rsidRDefault="009F5352">
      <w:pPr>
        <w:spacing w:line="480" w:lineRule="auto"/>
        <w:rPr>
          <w:rFonts w:ascii="Arial" w:eastAsia="Arial" w:hAnsi="Arial" w:cs="Arial"/>
          <w:sz w:val="24"/>
          <w:szCs w:val="24"/>
        </w:rPr>
      </w:pPr>
    </w:p>
    <w:p w14:paraId="15C008B5"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Given the high prevalence of musculoskeletal diso</w:t>
      </w:r>
      <w:r>
        <w:rPr>
          <w:rFonts w:ascii="Arial" w:eastAsia="Arial" w:hAnsi="Arial" w:cs="Arial"/>
          <w:sz w:val="24"/>
          <w:szCs w:val="24"/>
        </w:rPr>
        <w:t xml:space="preserve">rders, targeted ergonomic interventions are necessary to improve occupational health among market women. Educating traders on proper lifting techniques, promoting periodic </w:t>
      </w:r>
      <w:r>
        <w:rPr>
          <w:rFonts w:ascii="Arial" w:eastAsia="Arial" w:hAnsi="Arial" w:cs="Arial"/>
          <w:sz w:val="24"/>
          <w:szCs w:val="24"/>
        </w:rPr>
        <w:lastRenderedPageBreak/>
        <w:t>postural changes, and incorporating workplace modifications can help mitigate LBP ri</w:t>
      </w:r>
      <w:r>
        <w:rPr>
          <w:rFonts w:ascii="Arial" w:eastAsia="Arial" w:hAnsi="Arial" w:cs="Arial"/>
          <w:sz w:val="24"/>
          <w:szCs w:val="24"/>
        </w:rPr>
        <w:t>sks.</w:t>
      </w:r>
    </w:p>
    <w:p w14:paraId="031AD35C"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 xml:space="preserve">Since LBP has multiple causes, future research should include biomechanical assessments and explore how pain intensity varies across different jobs. Classifying LBP into mechanical and non-mechanical types could also help develop better treatment and </w:t>
      </w:r>
      <w:r>
        <w:rPr>
          <w:rFonts w:ascii="Arial" w:eastAsia="Arial" w:hAnsi="Arial" w:cs="Arial"/>
          <w:sz w:val="24"/>
          <w:szCs w:val="24"/>
        </w:rPr>
        <w:t>prevention strategies.</w:t>
      </w:r>
    </w:p>
    <w:p w14:paraId="372B2E77" w14:textId="77777777" w:rsidR="009F5352" w:rsidRDefault="009F5352">
      <w:pPr>
        <w:spacing w:line="480" w:lineRule="auto"/>
        <w:rPr>
          <w:rFonts w:ascii="Arial" w:eastAsia="Arial" w:hAnsi="Arial" w:cs="Arial"/>
          <w:sz w:val="24"/>
          <w:szCs w:val="24"/>
        </w:rPr>
      </w:pPr>
    </w:p>
    <w:p w14:paraId="0EA24DFF"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Market women would benefit from training on ergonomic practices, such as proper lifting techniques and the importance of changing postures regularly. Support from both government and non-governmental organizations is crucial to impr</w:t>
      </w:r>
      <w:r>
        <w:rPr>
          <w:rFonts w:ascii="Arial" w:eastAsia="Arial" w:hAnsi="Arial" w:cs="Arial"/>
          <w:sz w:val="24"/>
          <w:szCs w:val="24"/>
        </w:rPr>
        <w:t>oving their working conditions and ensuring access to healthcare services that can help reduce the risk of LBP.</w:t>
      </w:r>
    </w:p>
    <w:p w14:paraId="0396F40D" w14:textId="77777777" w:rsidR="009F5352" w:rsidRDefault="009F5352">
      <w:pPr>
        <w:spacing w:line="480" w:lineRule="auto"/>
        <w:rPr>
          <w:rFonts w:ascii="Arial" w:eastAsia="Arial" w:hAnsi="Arial" w:cs="Arial"/>
          <w:sz w:val="24"/>
          <w:szCs w:val="24"/>
        </w:rPr>
      </w:pPr>
    </w:p>
    <w:p w14:paraId="480285EB" w14:textId="77777777" w:rsidR="009F5352" w:rsidRDefault="009F5352">
      <w:pPr>
        <w:spacing w:line="480" w:lineRule="auto"/>
        <w:rPr>
          <w:rFonts w:ascii="Arial" w:eastAsia="Arial" w:hAnsi="Arial" w:cs="Arial"/>
          <w:sz w:val="24"/>
          <w:szCs w:val="24"/>
        </w:rPr>
      </w:pPr>
    </w:p>
    <w:p w14:paraId="4976F5B6" w14:textId="77777777" w:rsidR="009F5352" w:rsidRDefault="009F5352">
      <w:pPr>
        <w:spacing w:line="480" w:lineRule="auto"/>
        <w:rPr>
          <w:rFonts w:ascii="Arial" w:eastAsia="Arial" w:hAnsi="Arial" w:cs="Arial"/>
          <w:sz w:val="24"/>
          <w:szCs w:val="24"/>
        </w:rPr>
      </w:pPr>
      <w:bookmarkStart w:id="0" w:name="_GoBack"/>
      <w:bookmarkEnd w:id="0"/>
    </w:p>
    <w:p w14:paraId="73BD2A78"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CONSENT</w:t>
      </w:r>
    </w:p>
    <w:p w14:paraId="3B133841" w14:textId="77777777" w:rsidR="009F5352" w:rsidRDefault="002918AF">
      <w:pPr>
        <w:spacing w:line="480" w:lineRule="auto"/>
        <w:rPr>
          <w:rFonts w:ascii="Arial" w:eastAsia="Arial" w:hAnsi="Arial" w:cs="Arial"/>
          <w:sz w:val="24"/>
          <w:szCs w:val="24"/>
        </w:rPr>
      </w:pPr>
      <w:r>
        <w:rPr>
          <w:rFonts w:ascii="Arial" w:eastAsia="Arial" w:hAnsi="Arial" w:cs="Arial"/>
          <w:sz w:val="24"/>
          <w:szCs w:val="24"/>
        </w:rPr>
        <w:t>As per international standards or university standards, patient(s) written consent has been collected and preserved by the author(s).</w:t>
      </w:r>
    </w:p>
    <w:p w14:paraId="6B61D66D" w14:textId="77777777" w:rsidR="009F5352" w:rsidRDefault="009F5352">
      <w:pPr>
        <w:spacing w:line="480" w:lineRule="auto"/>
        <w:rPr>
          <w:rFonts w:ascii="Arial" w:eastAsia="Arial" w:hAnsi="Arial" w:cs="Arial"/>
          <w:sz w:val="24"/>
          <w:szCs w:val="24"/>
        </w:rPr>
      </w:pPr>
    </w:p>
    <w:p w14:paraId="236BF202" w14:textId="77777777" w:rsidR="009F5352" w:rsidRDefault="009F5352">
      <w:pPr>
        <w:spacing w:line="480" w:lineRule="auto"/>
        <w:rPr>
          <w:rFonts w:ascii="Arial" w:eastAsia="Arial" w:hAnsi="Arial" w:cs="Arial"/>
          <w:sz w:val="24"/>
          <w:szCs w:val="24"/>
        </w:rPr>
      </w:pPr>
    </w:p>
    <w:p w14:paraId="471E1339" w14:textId="746196B7" w:rsidR="009F5352" w:rsidRDefault="009F5352">
      <w:pPr>
        <w:spacing w:line="480" w:lineRule="auto"/>
        <w:rPr>
          <w:rFonts w:ascii="Arial" w:eastAsia="Arial" w:hAnsi="Arial" w:cs="Arial"/>
          <w:sz w:val="24"/>
          <w:szCs w:val="24"/>
        </w:rPr>
      </w:pPr>
      <w:bookmarkStart w:id="1" w:name="_Hlk195978985"/>
    </w:p>
    <w:p w14:paraId="67D450CA" w14:textId="77777777" w:rsidR="009F5352" w:rsidRDefault="009F5352">
      <w:pPr>
        <w:rPr>
          <w:rFonts w:ascii="Arial" w:eastAsia="Arial" w:hAnsi="Arial" w:cs="Arial"/>
          <w:color w:val="000000"/>
          <w:sz w:val="24"/>
          <w:szCs w:val="24"/>
        </w:rPr>
      </w:pPr>
    </w:p>
    <w:bookmarkEnd w:id="1"/>
    <w:p w14:paraId="572C427A" w14:textId="77777777" w:rsidR="009F5352" w:rsidRDefault="002918AF">
      <w:pPr>
        <w:jc w:val="center"/>
        <w:rPr>
          <w:rFonts w:ascii="Arial" w:eastAsia="Arial" w:hAnsi="Arial" w:cs="Arial"/>
          <w:sz w:val="24"/>
          <w:szCs w:val="24"/>
        </w:rPr>
      </w:pPr>
      <w:r>
        <w:rPr>
          <w:rFonts w:ascii="Arial" w:eastAsia="Arial" w:hAnsi="Arial" w:cs="Arial"/>
          <w:sz w:val="24"/>
          <w:szCs w:val="24"/>
        </w:rPr>
        <w:t>REFERENCES</w:t>
      </w:r>
    </w:p>
    <w:p w14:paraId="57FF2E24" w14:textId="77777777" w:rsidR="009F5352" w:rsidRDefault="009F5352">
      <w:pPr>
        <w:jc w:val="center"/>
        <w:rPr>
          <w:rFonts w:ascii="Arial" w:eastAsia="Arial" w:hAnsi="Arial" w:cs="Arial"/>
          <w:sz w:val="24"/>
          <w:szCs w:val="24"/>
        </w:rPr>
      </w:pPr>
    </w:p>
    <w:p w14:paraId="739A0386"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American Industrial Hygiene </w:t>
      </w:r>
      <w:r>
        <w:rPr>
          <w:rFonts w:ascii="Arial" w:eastAsia="Arial" w:hAnsi="Arial" w:cs="Arial"/>
          <w:color w:val="000000"/>
          <w:sz w:val="24"/>
          <w:szCs w:val="24"/>
        </w:rPr>
        <w:t>Association (2019). Ergonomics and Human Factors.</w:t>
      </w:r>
      <w:r>
        <w:rPr>
          <w:rFonts w:ascii="Arial" w:eastAsia="Arial" w:hAnsi="Arial" w:cs="Arial"/>
          <w:i/>
          <w:color w:val="000000"/>
          <w:sz w:val="24"/>
          <w:szCs w:val="24"/>
        </w:rPr>
        <w:t xml:space="preserve"> Available on:</w:t>
      </w:r>
      <w:r>
        <w:rPr>
          <w:rFonts w:ascii="Arial" w:eastAsia="Arial" w:hAnsi="Arial" w:cs="Arial"/>
          <w:color w:val="000000"/>
          <w:sz w:val="24"/>
          <w:szCs w:val="24"/>
        </w:rPr>
        <w:t xml:space="preserve"> </w:t>
      </w:r>
      <w:hyperlink r:id="rId9" w:history="1">
        <w:r w:rsidR="009F5352">
          <w:rPr>
            <w:rFonts w:ascii="Arial" w:eastAsia="Arial" w:hAnsi="Arial" w:cs="Arial"/>
            <w:color w:val="000000"/>
            <w:sz w:val="24"/>
            <w:szCs w:val="24"/>
            <w:u w:val="single"/>
          </w:rPr>
          <w:t>https://www.aiha.org/topics/ergonomics-and-human-factors/</w:t>
        </w:r>
      </w:hyperlink>
      <w:r>
        <w:rPr>
          <w:rFonts w:ascii="Arial" w:eastAsia="Arial" w:hAnsi="Arial" w:cs="Arial"/>
          <w:color w:val="000000"/>
          <w:sz w:val="24"/>
          <w:szCs w:val="24"/>
        </w:rPr>
        <w:t xml:space="preserve"> Accessed 24 July,2023.</w:t>
      </w:r>
    </w:p>
    <w:p w14:paraId="768633D2"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Bastiaenen, C.H., de Bie, R.A., Vlaey</w:t>
      </w:r>
      <w:r>
        <w:rPr>
          <w:rFonts w:ascii="Arial" w:eastAsia="Arial" w:hAnsi="Arial" w:cs="Arial"/>
          <w:color w:val="000000"/>
          <w:sz w:val="24"/>
          <w:szCs w:val="24"/>
        </w:rPr>
        <w:t xml:space="preserve">en, J.W., Goossens, M.E., Leffers, P., Wolters, P.M., Bastiaanssen, J.M., Brandt, P.A.V.D., &amp; Essed, G.G. (2008). Long-term effectiveness and costs of a brief self-management intervention in women with pregnancy-related low back pain after delivery. </w:t>
      </w:r>
      <w:r>
        <w:rPr>
          <w:rFonts w:ascii="Arial" w:eastAsia="Arial" w:hAnsi="Arial" w:cs="Arial"/>
          <w:i/>
          <w:color w:val="000000"/>
          <w:sz w:val="24"/>
          <w:szCs w:val="24"/>
        </w:rPr>
        <w:t>BMC Pr</w:t>
      </w:r>
      <w:r>
        <w:rPr>
          <w:rFonts w:ascii="Arial" w:eastAsia="Arial" w:hAnsi="Arial" w:cs="Arial"/>
          <w:i/>
          <w:color w:val="000000"/>
          <w:sz w:val="24"/>
          <w:szCs w:val="24"/>
        </w:rPr>
        <w:t>egnancy and Childbirth,</w:t>
      </w:r>
      <w:r>
        <w:rPr>
          <w:rFonts w:ascii="Arial" w:eastAsia="Arial" w:hAnsi="Arial" w:cs="Arial"/>
          <w:color w:val="000000"/>
          <w:sz w:val="24"/>
          <w:szCs w:val="24"/>
        </w:rPr>
        <w:t xml:space="preserve"> 8, pp.1-14.</w:t>
      </w:r>
    </w:p>
    <w:p w14:paraId="157F0125"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Bello, B., &amp; Adebayo, H. B. (2017). A systematic review on the prevalence of low back pain in Nigeria. </w:t>
      </w:r>
      <w:r>
        <w:rPr>
          <w:rFonts w:ascii="Arial" w:eastAsia="Arial" w:hAnsi="Arial" w:cs="Arial"/>
          <w:i/>
          <w:color w:val="000000"/>
          <w:sz w:val="24"/>
          <w:szCs w:val="24"/>
        </w:rPr>
        <w:t>Middle East Journal of Rehabilitation and Health,</w:t>
      </w:r>
      <w:r>
        <w:rPr>
          <w:rFonts w:ascii="Arial" w:eastAsia="Arial" w:hAnsi="Arial" w:cs="Arial"/>
          <w:color w:val="000000"/>
          <w:sz w:val="24"/>
          <w:szCs w:val="24"/>
        </w:rPr>
        <w:t xml:space="preserve"> 4(2), pp.20.</w:t>
      </w:r>
    </w:p>
    <w:p w14:paraId="445B93AD"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Bento T., Genebra C.A., Maciel, N., Cornelio, G.P., Si</w:t>
      </w:r>
      <w:r>
        <w:rPr>
          <w:rFonts w:ascii="Arial" w:eastAsia="Arial" w:hAnsi="Arial" w:cs="Arial"/>
          <w:color w:val="000000"/>
          <w:sz w:val="24"/>
          <w:szCs w:val="24"/>
        </w:rPr>
        <w:t>meão A.P., &amp; Vitta A. (2020). Low back pain and some associated factors: is there any difference between genders?</w:t>
      </w:r>
      <w:r>
        <w:rPr>
          <w:rFonts w:ascii="Arial" w:eastAsia="Arial" w:hAnsi="Arial" w:cs="Arial"/>
          <w:i/>
          <w:color w:val="000000"/>
          <w:sz w:val="24"/>
          <w:szCs w:val="24"/>
        </w:rPr>
        <w:t xml:space="preserve"> Brazilian Journal of Physical Therapy</w:t>
      </w:r>
      <w:r>
        <w:rPr>
          <w:rFonts w:ascii="Arial" w:eastAsia="Arial" w:hAnsi="Arial" w:cs="Arial"/>
          <w:color w:val="000000"/>
          <w:sz w:val="24"/>
          <w:szCs w:val="24"/>
        </w:rPr>
        <w:t>,24 (1), pp. 79-87</w:t>
      </w:r>
    </w:p>
    <w:p w14:paraId="083D2646" w14:textId="77777777" w:rsidR="009F5352" w:rsidRDefault="002918AF">
      <w:pPr>
        <w:numPr>
          <w:ilvl w:val="0"/>
          <w:numId w:val="1"/>
        </w:numPr>
        <w:spacing w:line="48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Birabi, B.N, Dienye, P.O., &amp; Ndukwu, G.U. (2012). Prevalence of low back pain among pe</w:t>
      </w:r>
      <w:r>
        <w:rPr>
          <w:rFonts w:ascii="Arial" w:eastAsia="Arial" w:hAnsi="Arial" w:cs="Arial"/>
          <w:color w:val="000000"/>
          <w:sz w:val="24"/>
          <w:szCs w:val="24"/>
          <w:highlight w:val="white"/>
        </w:rPr>
        <w:t>asant farmers in a rural community in South South Nigeria. Rural Remote Health. 12:1920. PMID: 22934910.</w:t>
      </w:r>
    </w:p>
    <w:p w14:paraId="2CF1F76A"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Bontrupa, C., Taylora, W.R., Fliesserb, M., Visschera, R., Greenb, T., Wippertb, P., &amp; Zempa R. (2019). Low back pain and its relationship with sitting</w:t>
      </w:r>
      <w:r>
        <w:rPr>
          <w:rFonts w:ascii="Arial" w:eastAsia="Arial" w:hAnsi="Arial" w:cs="Arial"/>
          <w:color w:val="000000"/>
          <w:sz w:val="24"/>
          <w:szCs w:val="24"/>
        </w:rPr>
        <w:t xml:space="preserve"> behaviour among sedentary office workers.</w:t>
      </w:r>
      <w:r>
        <w:rPr>
          <w:rFonts w:ascii="Arial" w:eastAsia="Arial" w:hAnsi="Arial" w:cs="Arial"/>
          <w:i/>
          <w:color w:val="000000"/>
          <w:sz w:val="24"/>
          <w:szCs w:val="24"/>
        </w:rPr>
        <w:t xml:space="preserve"> Applied Ergonomics,</w:t>
      </w:r>
      <w:r>
        <w:rPr>
          <w:rFonts w:ascii="Arial" w:eastAsia="Arial" w:hAnsi="Arial" w:cs="Arial"/>
          <w:color w:val="000000"/>
          <w:sz w:val="24"/>
          <w:szCs w:val="24"/>
        </w:rPr>
        <w:t xml:space="preserve"> 81, pp.102-894</w:t>
      </w:r>
    </w:p>
    <w:p w14:paraId="59AD68E2"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Caneiro, J. P., et al. (2020). The Association Between Physical Posture and Health: A Systematic Review of the Literature. </w:t>
      </w:r>
      <w:r>
        <w:rPr>
          <w:rFonts w:ascii="Arial" w:eastAsia="Arial" w:hAnsi="Arial" w:cs="Arial"/>
          <w:i/>
          <w:color w:val="000000"/>
          <w:sz w:val="24"/>
          <w:szCs w:val="24"/>
        </w:rPr>
        <w:t xml:space="preserve">Journal of Pain Research, </w:t>
      </w:r>
      <w:r>
        <w:rPr>
          <w:rFonts w:ascii="Arial" w:eastAsia="Arial" w:hAnsi="Arial" w:cs="Arial"/>
          <w:color w:val="000000"/>
          <w:sz w:val="24"/>
          <w:szCs w:val="24"/>
        </w:rPr>
        <w:t>13, pp. 1275-1296.</w:t>
      </w:r>
    </w:p>
    <w:p w14:paraId="6C9D9BF6"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Chaitow, L</w:t>
      </w:r>
      <w:r>
        <w:rPr>
          <w:rFonts w:ascii="Arial" w:eastAsia="Arial" w:hAnsi="Arial" w:cs="Arial"/>
          <w:color w:val="000000"/>
          <w:sz w:val="24"/>
          <w:szCs w:val="24"/>
        </w:rPr>
        <w:t>., Bradley, D., &amp; Gilbert, C. (2017). The Thorax: An Integrated Approach. Churchill Livingstone. 38-45.</w:t>
      </w:r>
    </w:p>
    <w:p w14:paraId="757521DA"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Chiba, R., Takakusaki, K., Ota, J., Yozu, A., &amp; Haga, N. (2016). Human upright posture control models based on multisensory inputs; in fast and slow dyn</w:t>
      </w:r>
      <w:r>
        <w:rPr>
          <w:rFonts w:ascii="Arial" w:eastAsia="Arial" w:hAnsi="Arial" w:cs="Arial"/>
          <w:color w:val="000000"/>
          <w:sz w:val="24"/>
          <w:szCs w:val="24"/>
        </w:rPr>
        <w:t xml:space="preserve">amics. </w:t>
      </w:r>
      <w:r>
        <w:rPr>
          <w:rFonts w:ascii="Arial" w:eastAsia="Arial" w:hAnsi="Arial" w:cs="Arial"/>
          <w:i/>
          <w:color w:val="000000"/>
          <w:sz w:val="24"/>
          <w:szCs w:val="24"/>
        </w:rPr>
        <w:t>Neuroscience research,</w:t>
      </w:r>
      <w:r>
        <w:rPr>
          <w:rFonts w:ascii="Arial" w:eastAsia="Arial" w:hAnsi="Arial" w:cs="Arial"/>
          <w:color w:val="000000"/>
          <w:sz w:val="24"/>
          <w:szCs w:val="24"/>
        </w:rPr>
        <w:t xml:space="preserve"> 104, pp.96-104.</w:t>
      </w:r>
    </w:p>
    <w:p w14:paraId="29A0A135"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Chiu et al. (2018). Effects of a posture-based intervention on musculoskeletal symptoms and fatigue among school backpack users. </w:t>
      </w:r>
      <w:r>
        <w:rPr>
          <w:rFonts w:ascii="Arial" w:eastAsia="Arial" w:hAnsi="Arial" w:cs="Arial"/>
          <w:i/>
          <w:color w:val="000000"/>
          <w:sz w:val="24"/>
          <w:szCs w:val="24"/>
        </w:rPr>
        <w:t>Journal of Pediatric Nursing,</w:t>
      </w:r>
      <w:r>
        <w:rPr>
          <w:rFonts w:ascii="Arial" w:eastAsia="Arial" w:hAnsi="Arial" w:cs="Arial"/>
          <w:color w:val="000000"/>
          <w:sz w:val="24"/>
          <w:szCs w:val="24"/>
        </w:rPr>
        <w:t xml:space="preserve"> 41, pp.89-95.</w:t>
      </w:r>
    </w:p>
    <w:p w14:paraId="12552F38"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Christe et al. (2020). The Relationship Between Posture and Low Back Pain in Adolescents. </w:t>
      </w:r>
      <w:r>
        <w:rPr>
          <w:rFonts w:ascii="Arial" w:eastAsia="Arial" w:hAnsi="Arial" w:cs="Arial"/>
          <w:i/>
          <w:color w:val="000000"/>
          <w:sz w:val="24"/>
          <w:szCs w:val="24"/>
        </w:rPr>
        <w:t>International Journal of Environmental Research and Public Health,</w:t>
      </w:r>
      <w:r>
        <w:rPr>
          <w:rFonts w:ascii="Arial" w:eastAsia="Arial" w:hAnsi="Arial" w:cs="Arial"/>
          <w:color w:val="000000"/>
          <w:sz w:val="24"/>
          <w:szCs w:val="24"/>
        </w:rPr>
        <w:t xml:space="preserve"> 17(8), pp.2852.</w:t>
      </w:r>
    </w:p>
    <w:p w14:paraId="69013D53"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Delitto, A., George, S.Z., Van Dillen, L., Whitman, J.M., Sowa, G., Shekelle, P., D</w:t>
      </w:r>
      <w:r>
        <w:rPr>
          <w:rFonts w:ascii="Arial" w:eastAsia="Arial" w:hAnsi="Arial" w:cs="Arial"/>
          <w:color w:val="000000"/>
          <w:sz w:val="24"/>
          <w:szCs w:val="24"/>
        </w:rPr>
        <w:t xml:space="preserve">enninger, T.R., &amp; Godges, J.J. (2012). Low Back Pain. </w:t>
      </w:r>
      <w:r>
        <w:rPr>
          <w:rFonts w:ascii="Arial" w:eastAsia="Arial" w:hAnsi="Arial" w:cs="Arial"/>
          <w:i/>
          <w:color w:val="000000"/>
          <w:sz w:val="24"/>
          <w:szCs w:val="24"/>
        </w:rPr>
        <w:t xml:space="preserve">Journal of Orthopaedic &amp; Sports Physical Therapy, </w:t>
      </w:r>
      <w:r>
        <w:rPr>
          <w:rFonts w:ascii="Arial" w:eastAsia="Arial" w:hAnsi="Arial" w:cs="Arial"/>
          <w:color w:val="000000"/>
          <w:sz w:val="24"/>
          <w:szCs w:val="24"/>
        </w:rPr>
        <w:t>42(4), pp. A1–A57.</w:t>
      </w:r>
    </w:p>
    <w:p w14:paraId="6F9A8C04"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DeSai C., Reddy V., &amp; Agarwal A. (2022). Anatomy, Back, Vertebral Column,</w:t>
      </w:r>
      <w:r>
        <w:rPr>
          <w:rFonts w:ascii="Arial" w:eastAsia="Arial" w:hAnsi="Arial" w:cs="Arial"/>
          <w:i/>
          <w:color w:val="000000"/>
          <w:sz w:val="24"/>
          <w:szCs w:val="24"/>
        </w:rPr>
        <w:t xml:space="preserve"> Available on:</w:t>
      </w:r>
      <w:r>
        <w:rPr>
          <w:rFonts w:ascii="Arial" w:eastAsia="Arial" w:hAnsi="Arial" w:cs="Arial"/>
          <w:color w:val="000000"/>
          <w:sz w:val="24"/>
          <w:szCs w:val="24"/>
        </w:rPr>
        <w:t xml:space="preserve"> www.statpearls.com/kb/viewarticle/29361. Acce</w:t>
      </w:r>
      <w:r>
        <w:rPr>
          <w:rFonts w:ascii="Arial" w:eastAsia="Arial" w:hAnsi="Arial" w:cs="Arial"/>
          <w:color w:val="000000"/>
          <w:sz w:val="24"/>
          <w:szCs w:val="24"/>
        </w:rPr>
        <w:t>ssed on April 15, 2023, 1:23pm.</w:t>
      </w:r>
    </w:p>
    <w:p w14:paraId="16FA60C1"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Fernández-de-Las-Peñas, C., Alonso-Blanco, C., Cuadrado, M. L., &amp; Pareja, J. A. (2006). Forward head posture and neck mobility in chronic tension-type headache: a blinded, controlled study. </w:t>
      </w:r>
      <w:r>
        <w:rPr>
          <w:rFonts w:ascii="Arial" w:eastAsia="Arial" w:hAnsi="Arial" w:cs="Arial"/>
          <w:i/>
          <w:color w:val="000000"/>
          <w:sz w:val="24"/>
          <w:szCs w:val="24"/>
        </w:rPr>
        <w:t xml:space="preserve">Cephalalgia, </w:t>
      </w:r>
      <w:r>
        <w:rPr>
          <w:rFonts w:ascii="Arial" w:eastAsia="Arial" w:hAnsi="Arial" w:cs="Arial"/>
          <w:color w:val="000000"/>
          <w:sz w:val="24"/>
          <w:szCs w:val="24"/>
        </w:rPr>
        <w:t>26(2), pp. 314-319.</w:t>
      </w:r>
    </w:p>
    <w:p w14:paraId="1E5E83CA"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 xml:space="preserve">aavik, H., Niazi, I. K., Jochumsen, M., Sherwin, D., Flavel, S., Türker, K. S., &amp; Murphy, B. (2017). The effects of a single session of chiropractic care on strength, cortical drive, and spinal excitability in stroke patients. </w:t>
      </w:r>
      <w:r>
        <w:rPr>
          <w:rFonts w:ascii="Arial" w:eastAsia="Arial" w:hAnsi="Arial" w:cs="Arial"/>
          <w:i/>
          <w:color w:val="000000"/>
          <w:sz w:val="24"/>
          <w:szCs w:val="24"/>
        </w:rPr>
        <w:t>BMC Musculoskeletal Disorders</w:t>
      </w:r>
      <w:r>
        <w:rPr>
          <w:rFonts w:ascii="Arial" w:eastAsia="Arial" w:hAnsi="Arial" w:cs="Arial"/>
          <w:i/>
          <w:color w:val="000000"/>
          <w:sz w:val="24"/>
          <w:szCs w:val="24"/>
        </w:rPr>
        <w:t xml:space="preserve">, </w:t>
      </w:r>
      <w:r>
        <w:rPr>
          <w:rFonts w:ascii="Arial" w:eastAsia="Arial" w:hAnsi="Arial" w:cs="Arial"/>
          <w:color w:val="000000"/>
          <w:sz w:val="24"/>
          <w:szCs w:val="24"/>
        </w:rPr>
        <w:t>18(1), pp.302.</w:t>
      </w:r>
    </w:p>
    <w:p w14:paraId="2AF28E49"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Harrison, D. D., et al. (2014). Spinal Biomechanics: A Review of the Biomechanics of the Normal and Injured Spine. </w:t>
      </w:r>
      <w:r>
        <w:rPr>
          <w:rFonts w:ascii="Arial" w:eastAsia="Arial" w:hAnsi="Arial" w:cs="Arial"/>
          <w:i/>
          <w:color w:val="000000"/>
          <w:sz w:val="24"/>
          <w:szCs w:val="24"/>
        </w:rPr>
        <w:t>Journal of Manipulative and Physiological Therapeutics,</w:t>
      </w:r>
      <w:r>
        <w:rPr>
          <w:rFonts w:ascii="Arial" w:eastAsia="Arial" w:hAnsi="Arial" w:cs="Arial"/>
          <w:color w:val="000000"/>
          <w:sz w:val="24"/>
          <w:szCs w:val="24"/>
        </w:rPr>
        <w:t xml:space="preserve"> 37(7), pp.522-537.</w:t>
      </w:r>
    </w:p>
    <w:p w14:paraId="36495F4F"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Hoy, D., Bain, C., Williams, G., March, L., Brook</w:t>
      </w:r>
      <w:r>
        <w:rPr>
          <w:rFonts w:ascii="Arial" w:eastAsia="Arial" w:hAnsi="Arial" w:cs="Arial"/>
          <w:color w:val="000000"/>
          <w:sz w:val="24"/>
          <w:szCs w:val="24"/>
        </w:rPr>
        <w:t xml:space="preserve">s, P., Blyth, F., Woolf, A., Vos, T., &amp; Buchbinder, R. (2012). A Systematic Review of the Global Prevalence of Low Back Pain. </w:t>
      </w:r>
      <w:r>
        <w:rPr>
          <w:rFonts w:ascii="Arial" w:eastAsia="Arial" w:hAnsi="Arial" w:cs="Arial"/>
          <w:i/>
          <w:color w:val="000000"/>
          <w:sz w:val="24"/>
          <w:szCs w:val="24"/>
        </w:rPr>
        <w:t>Arthritis and Rheumatism.</w:t>
      </w:r>
      <w:r>
        <w:rPr>
          <w:rFonts w:ascii="Arial" w:eastAsia="Arial" w:hAnsi="Arial" w:cs="Arial"/>
          <w:color w:val="000000"/>
          <w:sz w:val="24"/>
          <w:szCs w:val="24"/>
        </w:rPr>
        <w:t xml:space="preserve"> 64 (6), pp.2028 – 2037.</w:t>
      </w:r>
    </w:p>
    <w:p w14:paraId="37DA3CE8"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Hoy, D., Bain, C., Williams, G., March, L., Brooks, P., Blyth, F., Woolf, A., Vo</w:t>
      </w:r>
      <w:r>
        <w:rPr>
          <w:rFonts w:ascii="Arial" w:eastAsia="Arial" w:hAnsi="Arial" w:cs="Arial"/>
          <w:color w:val="000000"/>
          <w:sz w:val="24"/>
          <w:szCs w:val="24"/>
        </w:rPr>
        <w:t>s, T.</w:t>
      </w:r>
      <w:proofErr w:type="gramStart"/>
      <w:r>
        <w:rPr>
          <w:rFonts w:ascii="Arial" w:eastAsia="Arial" w:hAnsi="Arial" w:cs="Arial"/>
          <w:color w:val="000000"/>
          <w:sz w:val="24"/>
          <w:szCs w:val="24"/>
        </w:rPr>
        <w:t>,  &amp;</w:t>
      </w:r>
      <w:proofErr w:type="gramEnd"/>
      <w:r>
        <w:rPr>
          <w:rFonts w:ascii="Arial" w:eastAsia="Arial" w:hAnsi="Arial" w:cs="Arial"/>
          <w:color w:val="000000"/>
          <w:sz w:val="24"/>
          <w:szCs w:val="24"/>
        </w:rPr>
        <w:t xml:space="preserve"> Buchbinder, R. (2012). A Systematic Review of the Global Prevalence of Low Back Pain. </w:t>
      </w:r>
      <w:r>
        <w:rPr>
          <w:rFonts w:ascii="Arial" w:eastAsia="Arial" w:hAnsi="Arial" w:cs="Arial"/>
          <w:i/>
          <w:color w:val="000000"/>
          <w:sz w:val="24"/>
          <w:szCs w:val="24"/>
        </w:rPr>
        <w:t>Arthritis and Rheumatis,</w:t>
      </w:r>
      <w:r>
        <w:rPr>
          <w:rFonts w:ascii="Arial" w:eastAsia="Arial" w:hAnsi="Arial" w:cs="Arial"/>
          <w:color w:val="000000"/>
          <w:sz w:val="24"/>
          <w:szCs w:val="24"/>
        </w:rPr>
        <w:t xml:space="preserve"> 64 (6), pp.2028 – 2037.</w:t>
      </w:r>
    </w:p>
    <w:p w14:paraId="4A5F56A3"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Joshi, S., Balthillaya, G. &amp; Neelapala, R. (2019). Thoracic posture and mobility in mechanical neck pain popula</w:t>
      </w:r>
      <w:r>
        <w:rPr>
          <w:rFonts w:ascii="Arial" w:eastAsia="Arial" w:hAnsi="Arial" w:cs="Arial"/>
          <w:color w:val="000000"/>
          <w:sz w:val="24"/>
          <w:szCs w:val="24"/>
        </w:rPr>
        <w:t xml:space="preserve">tion: A review of the literature. </w:t>
      </w:r>
      <w:r>
        <w:rPr>
          <w:rFonts w:ascii="Arial" w:eastAsia="Arial" w:hAnsi="Arial" w:cs="Arial"/>
          <w:i/>
          <w:color w:val="000000"/>
          <w:sz w:val="24"/>
          <w:szCs w:val="24"/>
        </w:rPr>
        <w:t>Asian spine journal,</w:t>
      </w:r>
      <w:r>
        <w:rPr>
          <w:rFonts w:ascii="Arial" w:eastAsia="Arial" w:hAnsi="Arial" w:cs="Arial"/>
          <w:color w:val="000000"/>
          <w:sz w:val="24"/>
          <w:szCs w:val="24"/>
        </w:rPr>
        <w:t xml:space="preserve"> 13 (5), pp. 849-860. doi: 10.31616/asj.2018.0302. PMCID: PMC6773982PMID: 31154701.</w:t>
      </w:r>
    </w:p>
    <w:p w14:paraId="468B9A8F"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Kado, D. M., Huang, M. H., Karlamangla, A. S., Barrett-Connor, E., &amp; Greendale, G. A. (2016). Association of spinal an</w:t>
      </w:r>
      <w:r>
        <w:rPr>
          <w:rFonts w:ascii="Arial" w:eastAsia="Arial" w:hAnsi="Arial" w:cs="Arial"/>
          <w:color w:val="000000"/>
          <w:sz w:val="24"/>
          <w:szCs w:val="24"/>
        </w:rPr>
        <w:t xml:space="preserve">d pelvic postures in standing and walking with low back pain: a systematic review. </w:t>
      </w:r>
      <w:r>
        <w:rPr>
          <w:rFonts w:ascii="Arial" w:eastAsia="Arial" w:hAnsi="Arial" w:cs="Arial"/>
          <w:i/>
          <w:color w:val="000000"/>
          <w:sz w:val="24"/>
          <w:szCs w:val="24"/>
        </w:rPr>
        <w:t>Gait &amp; Posture,</w:t>
      </w:r>
      <w:r>
        <w:rPr>
          <w:rFonts w:ascii="Arial" w:eastAsia="Arial" w:hAnsi="Arial" w:cs="Arial"/>
          <w:color w:val="000000"/>
          <w:sz w:val="24"/>
          <w:szCs w:val="24"/>
        </w:rPr>
        <w:t xml:space="preserve"> 48, pp.169-182.</w:t>
      </w:r>
    </w:p>
    <w:p w14:paraId="74B536A3" w14:textId="77777777" w:rsidR="009F5352" w:rsidRDefault="002918AF">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Kaiser, M., Brambrink, S., Benditz, A., Achenbach, L., Gehentges, M. &amp; König, M.A. (2022). Increase in Lower Limb Strength after Multimodal Pain Management in Patients with Low Back Pain. </w:t>
      </w:r>
      <w:r>
        <w:rPr>
          <w:rFonts w:ascii="Arial" w:eastAsia="Arial" w:hAnsi="Arial" w:cs="Arial"/>
          <w:i/>
          <w:color w:val="000000"/>
          <w:sz w:val="24"/>
          <w:szCs w:val="24"/>
        </w:rPr>
        <w:t>Medicina,</w:t>
      </w:r>
      <w:r>
        <w:rPr>
          <w:rFonts w:ascii="Arial" w:eastAsia="Arial" w:hAnsi="Arial" w:cs="Arial"/>
          <w:color w:val="000000"/>
          <w:sz w:val="24"/>
          <w:szCs w:val="24"/>
        </w:rPr>
        <w:t xml:space="preserve"> 58(7), pp.837.</w:t>
      </w:r>
    </w:p>
    <w:p w14:paraId="66FE117C" w14:textId="77777777" w:rsidR="009F5352" w:rsidRDefault="002918AF">
      <w:pPr>
        <w:rPr>
          <w:rFonts w:ascii="Arial" w:eastAsia="Arial" w:hAnsi="Arial" w:cs="Arial"/>
          <w:b/>
          <w:sz w:val="24"/>
          <w:szCs w:val="24"/>
        </w:rPr>
      </w:pPr>
      <w:r>
        <w:br w:type="page"/>
      </w:r>
    </w:p>
    <w:p w14:paraId="3BF1AF11" w14:textId="77777777" w:rsidR="009F5352" w:rsidRDefault="009F5352">
      <w:pPr>
        <w:spacing w:after="160"/>
        <w:rPr>
          <w:rFonts w:ascii="Arial" w:eastAsia="Arial" w:hAnsi="Arial" w:cs="Arial"/>
          <w:color w:val="000000"/>
          <w:sz w:val="24"/>
          <w:szCs w:val="24"/>
        </w:rPr>
      </w:pPr>
    </w:p>
    <w:p w14:paraId="41D60408" w14:textId="77777777" w:rsidR="009F5352" w:rsidRDefault="009F5352">
      <w:pPr>
        <w:spacing w:line="360" w:lineRule="auto"/>
        <w:rPr>
          <w:rFonts w:ascii="Arial" w:eastAsia="Arial" w:hAnsi="Arial" w:cs="Arial"/>
          <w:b/>
          <w:color w:val="000000"/>
          <w:sz w:val="24"/>
          <w:szCs w:val="24"/>
        </w:rPr>
      </w:pPr>
    </w:p>
    <w:p w14:paraId="4A656D1D" w14:textId="77777777" w:rsidR="009F5352" w:rsidRDefault="009F5352">
      <w:pPr>
        <w:spacing w:line="360" w:lineRule="auto"/>
        <w:rPr>
          <w:rFonts w:ascii="Arial" w:eastAsia="Arial" w:hAnsi="Arial" w:cs="Arial"/>
          <w:b/>
          <w:color w:val="000000"/>
          <w:sz w:val="24"/>
          <w:szCs w:val="24"/>
        </w:rPr>
      </w:pPr>
    </w:p>
    <w:p w14:paraId="3017D2F1" w14:textId="6584677A" w:rsidR="009F5352" w:rsidRDefault="009F5352">
      <w:pPr>
        <w:spacing w:after="160" w:line="259" w:lineRule="auto"/>
        <w:jc w:val="left"/>
        <w:rPr>
          <w:rFonts w:ascii="Arial" w:eastAsia="Arial" w:hAnsi="Arial" w:cs="Arial"/>
          <w:b/>
          <w:color w:val="000000"/>
          <w:sz w:val="24"/>
          <w:szCs w:val="24"/>
        </w:rPr>
      </w:pPr>
      <w:bookmarkStart w:id="2" w:name="_i3oz6fh13oto" w:colFirst="0" w:colLast="0"/>
      <w:bookmarkEnd w:id="2"/>
    </w:p>
    <w:sectPr w:rsidR="009F535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45ED" w14:textId="77777777" w:rsidR="002918AF" w:rsidRDefault="002918AF">
      <w:r>
        <w:separator/>
      </w:r>
    </w:p>
  </w:endnote>
  <w:endnote w:type="continuationSeparator" w:id="0">
    <w:p w14:paraId="66B6CE52" w14:textId="77777777" w:rsidR="002918AF" w:rsidRDefault="0029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FE2F" w14:textId="77777777" w:rsidR="009F5352" w:rsidRDefault="002918A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157334F5" w14:textId="77777777" w:rsidR="009F5352" w:rsidRDefault="009F535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6DF4" w14:textId="77777777" w:rsidR="009F5352" w:rsidRDefault="002918A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BC3DD6A" w14:textId="77777777" w:rsidR="009F5352" w:rsidRDefault="009F5352">
    <w:pPr>
      <w:pBdr>
        <w:top w:val="nil"/>
        <w:left w:val="nil"/>
        <w:bottom w:val="nil"/>
        <w:right w:val="nil"/>
        <w:between w:val="nil"/>
      </w:pBdr>
      <w:tabs>
        <w:tab w:val="center" w:pos="4680"/>
        <w:tab w:val="right" w:pos="9360"/>
      </w:tabs>
      <w:jc w:val="center"/>
      <w:rPr>
        <w:color w:val="000000"/>
      </w:rPr>
    </w:pPr>
  </w:p>
  <w:p w14:paraId="3412190E" w14:textId="77777777" w:rsidR="009F5352" w:rsidRDefault="009F535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9A12" w14:textId="77777777" w:rsidR="005C4182" w:rsidRDefault="005C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7E3E" w14:textId="77777777" w:rsidR="002918AF" w:rsidRDefault="002918AF">
      <w:r>
        <w:separator/>
      </w:r>
    </w:p>
  </w:footnote>
  <w:footnote w:type="continuationSeparator" w:id="0">
    <w:p w14:paraId="17E14D3B" w14:textId="77777777" w:rsidR="002918AF" w:rsidRDefault="0029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E8DD" w14:textId="6B433C6B" w:rsidR="005C4182" w:rsidRDefault="005C4182">
    <w:pPr>
      <w:pStyle w:val="Header"/>
    </w:pPr>
    <w:r>
      <w:rPr>
        <w:noProof/>
      </w:rPr>
      <w:pict w14:anchorId="34DF0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8261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B528" w14:textId="099A1EA2" w:rsidR="005C4182" w:rsidRDefault="005C4182">
    <w:pPr>
      <w:pStyle w:val="Header"/>
    </w:pPr>
    <w:r>
      <w:rPr>
        <w:noProof/>
      </w:rPr>
      <w:pict w14:anchorId="5F27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8261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715B" w14:textId="17E0B472" w:rsidR="005C4182" w:rsidRDefault="005C4182">
    <w:pPr>
      <w:pStyle w:val="Header"/>
    </w:pPr>
    <w:r>
      <w:rPr>
        <w:noProof/>
      </w:rPr>
      <w:pict w14:anchorId="1EF77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8260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00E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52"/>
    <w:rsid w:val="002918AF"/>
    <w:rsid w:val="004979D0"/>
    <w:rsid w:val="004B2635"/>
    <w:rsid w:val="005C4182"/>
    <w:rsid w:val="00632B59"/>
    <w:rsid w:val="009F5352"/>
    <w:rsid w:val="00B80D93"/>
    <w:rsid w:val="00CD59D2"/>
    <w:rsid w:val="00ED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EBD67"/>
  <w15:docId w15:val="{4A3B192C-226A-4546-8E1C-3A3C01F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240" w:line="360" w:lineRule="auto"/>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character" w:styleId="Hyperlink">
    <w:name w:val="Hyperlink"/>
    <w:basedOn w:val="DefaultParagraphFont"/>
    <w:rPr>
      <w:rFonts w:ascii="Times New Roman" w:eastAsia="SimSun" w:hAnsi="Times New Roman" w:cs="Times New Roman"/>
      <w:color w:val="0000FF"/>
      <w:sz w:val="21"/>
      <w:u w:val="single"/>
    </w:rPr>
  </w:style>
  <w:style w:type="paragraph" w:styleId="Header">
    <w:name w:val="header"/>
    <w:basedOn w:val="Normal"/>
    <w:link w:val="HeaderChar"/>
    <w:uiPriority w:val="99"/>
    <w:unhideWhenUsed/>
    <w:rsid w:val="005C4182"/>
    <w:pPr>
      <w:tabs>
        <w:tab w:val="center" w:pos="4680"/>
        <w:tab w:val="right" w:pos="9360"/>
      </w:tabs>
    </w:pPr>
  </w:style>
  <w:style w:type="character" w:customStyle="1" w:styleId="HeaderChar">
    <w:name w:val="Header Char"/>
    <w:basedOn w:val="DefaultParagraphFont"/>
    <w:link w:val="Header"/>
    <w:uiPriority w:val="99"/>
    <w:rsid w:val="005C4182"/>
  </w:style>
  <w:style w:type="paragraph" w:styleId="Footer">
    <w:name w:val="footer"/>
    <w:basedOn w:val="Normal"/>
    <w:link w:val="FooterChar"/>
    <w:uiPriority w:val="99"/>
    <w:unhideWhenUsed/>
    <w:rsid w:val="005C4182"/>
    <w:pPr>
      <w:tabs>
        <w:tab w:val="center" w:pos="4680"/>
        <w:tab w:val="right" w:pos="9360"/>
      </w:tabs>
    </w:pPr>
  </w:style>
  <w:style w:type="character" w:customStyle="1" w:styleId="FooterChar">
    <w:name w:val="Footer Char"/>
    <w:basedOn w:val="DefaultParagraphFont"/>
    <w:link w:val="Footer"/>
    <w:uiPriority w:val="99"/>
    <w:rsid w:val="005C4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iha.org/topics/ergonomics-and-human-facto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5</cp:revision>
  <dcterms:created xsi:type="dcterms:W3CDTF">2025-04-19T09:06:00Z</dcterms:created>
  <dcterms:modified xsi:type="dcterms:W3CDTF">2025-04-19T13:48:00Z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7922ee1b9caf40c0b6aef7704bfca942</vt:lpwstr>
  </property>
</Properties>
</file>