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012D4" w14:textId="4CFC9E3F" w:rsidR="00BB7E46" w:rsidRPr="00F21C22" w:rsidRDefault="00BB7E46" w:rsidP="00FC67EE">
      <w:pPr>
        <w:spacing w:after="0" w:line="240" w:lineRule="auto"/>
        <w:jc w:val="center"/>
        <w:rPr>
          <w:rFonts w:ascii="Times New Roman" w:eastAsia="Times New Roman" w:hAnsi="Times New Roman" w:cs="Times New Roman"/>
          <w:b/>
          <w:bCs/>
          <w:sz w:val="24"/>
          <w:szCs w:val="24"/>
        </w:rPr>
      </w:pPr>
      <w:r w:rsidRPr="00F21C22">
        <w:rPr>
          <w:rFonts w:ascii="Times New Roman" w:eastAsia="Times New Roman" w:hAnsi="Times New Roman" w:cs="Times New Roman"/>
          <w:b/>
          <w:bCs/>
          <w:sz w:val="24"/>
          <w:szCs w:val="24"/>
        </w:rPr>
        <w:t>Ph</w:t>
      </w:r>
      <w:r w:rsidR="006D0BC2">
        <w:rPr>
          <w:rFonts w:ascii="Times New Roman" w:eastAsia="Times New Roman" w:hAnsi="Times New Roman" w:cs="Times New Roman"/>
          <w:b/>
          <w:bCs/>
          <w:sz w:val="24"/>
          <w:szCs w:val="24"/>
        </w:rPr>
        <w:t>y</w:t>
      </w:r>
      <w:r w:rsidRPr="00F21C22">
        <w:rPr>
          <w:rFonts w:ascii="Times New Roman" w:eastAsia="Times New Roman" w:hAnsi="Times New Roman" w:cs="Times New Roman"/>
          <w:b/>
          <w:bCs/>
          <w:sz w:val="24"/>
          <w:szCs w:val="24"/>
        </w:rPr>
        <w:t>tochemical characteri</w:t>
      </w:r>
      <w:r w:rsidR="006D0BC2">
        <w:rPr>
          <w:rFonts w:ascii="Times New Roman" w:eastAsia="Times New Roman" w:hAnsi="Times New Roman" w:cs="Times New Roman"/>
          <w:b/>
          <w:bCs/>
          <w:sz w:val="24"/>
          <w:szCs w:val="24"/>
        </w:rPr>
        <w:t>z</w:t>
      </w:r>
      <w:r w:rsidRPr="00F21C22">
        <w:rPr>
          <w:rFonts w:ascii="Times New Roman" w:eastAsia="Times New Roman" w:hAnsi="Times New Roman" w:cs="Times New Roman"/>
          <w:b/>
          <w:bCs/>
          <w:sz w:val="24"/>
          <w:szCs w:val="24"/>
        </w:rPr>
        <w:t xml:space="preserve">ation of leaf and stem extracts of </w:t>
      </w:r>
      <w:proofErr w:type="spellStart"/>
      <w:r w:rsidRPr="00F21C22">
        <w:rPr>
          <w:rFonts w:ascii="Times New Roman" w:eastAsia="Times New Roman" w:hAnsi="Times New Roman" w:cs="Times New Roman"/>
          <w:b/>
          <w:bCs/>
          <w:i/>
          <w:iCs/>
          <w:sz w:val="24"/>
          <w:szCs w:val="24"/>
        </w:rPr>
        <w:t>Anog</w:t>
      </w:r>
      <w:r w:rsidR="006663FC">
        <w:rPr>
          <w:rFonts w:ascii="Times New Roman" w:eastAsia="Times New Roman" w:hAnsi="Times New Roman" w:cs="Times New Roman"/>
          <w:b/>
          <w:bCs/>
          <w:i/>
          <w:iCs/>
          <w:sz w:val="24"/>
          <w:szCs w:val="24"/>
        </w:rPr>
        <w:t>e</w:t>
      </w:r>
      <w:r w:rsidRPr="00F21C22">
        <w:rPr>
          <w:rFonts w:ascii="Times New Roman" w:eastAsia="Times New Roman" w:hAnsi="Times New Roman" w:cs="Times New Roman"/>
          <w:b/>
          <w:bCs/>
          <w:i/>
          <w:iCs/>
          <w:sz w:val="24"/>
          <w:szCs w:val="24"/>
        </w:rPr>
        <w:t>issus</w:t>
      </w:r>
      <w:proofErr w:type="spellEnd"/>
      <w:r w:rsidRPr="00F21C22">
        <w:rPr>
          <w:rFonts w:ascii="Times New Roman" w:eastAsia="Times New Roman" w:hAnsi="Times New Roman" w:cs="Times New Roman"/>
          <w:b/>
          <w:bCs/>
          <w:i/>
          <w:iCs/>
          <w:sz w:val="24"/>
          <w:szCs w:val="24"/>
        </w:rPr>
        <w:t xml:space="preserve"> pendula</w:t>
      </w:r>
      <w:r w:rsidRPr="00F21C22">
        <w:rPr>
          <w:rFonts w:ascii="Times New Roman" w:eastAsia="Times New Roman" w:hAnsi="Times New Roman" w:cs="Times New Roman"/>
          <w:b/>
          <w:bCs/>
          <w:sz w:val="24"/>
          <w:szCs w:val="24"/>
        </w:rPr>
        <w:t>:</w:t>
      </w:r>
      <w:r w:rsidR="003C339F">
        <w:rPr>
          <w:rFonts w:ascii="Times New Roman" w:eastAsia="Times New Roman" w:hAnsi="Times New Roman" w:cs="Times New Roman"/>
          <w:b/>
          <w:bCs/>
          <w:sz w:val="24"/>
          <w:szCs w:val="24"/>
        </w:rPr>
        <w:t xml:space="preserve"> </w:t>
      </w:r>
      <w:r w:rsidRPr="00F21C22">
        <w:rPr>
          <w:rFonts w:ascii="Times New Roman" w:eastAsia="Times New Roman" w:hAnsi="Times New Roman" w:cs="Times New Roman"/>
          <w:b/>
          <w:bCs/>
          <w:sz w:val="24"/>
          <w:szCs w:val="24"/>
        </w:rPr>
        <w:t>A climax species of the Aravalli’s</w:t>
      </w:r>
    </w:p>
    <w:p w14:paraId="2E49B44F" w14:textId="77777777" w:rsidR="00A20DB8" w:rsidRDefault="00A20DB8" w:rsidP="00FC67EE">
      <w:pPr>
        <w:spacing w:after="0" w:line="240" w:lineRule="auto"/>
        <w:jc w:val="center"/>
        <w:rPr>
          <w:rFonts w:ascii="Times New Roman" w:eastAsia="Times New Roman" w:hAnsi="Times New Roman" w:cs="Times New Roman"/>
          <w:sz w:val="24"/>
          <w:szCs w:val="24"/>
        </w:rPr>
      </w:pPr>
    </w:p>
    <w:p w14:paraId="11E2C11A" w14:textId="77777777" w:rsidR="00D8743C" w:rsidRDefault="00D8743C">
      <w:pPr>
        <w:spacing w:line="360" w:lineRule="auto"/>
        <w:jc w:val="center"/>
        <w:rPr>
          <w:rFonts w:ascii="Times New Roman" w:eastAsia="Times New Roman" w:hAnsi="Times New Roman" w:cs="Times New Roman"/>
          <w:sz w:val="24"/>
          <w:szCs w:val="24"/>
        </w:rPr>
      </w:pPr>
    </w:p>
    <w:p w14:paraId="11E2C11B" w14:textId="5BEE8A44"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br/>
        <w:t xml:space="preserve">The deciduous shrub </w:t>
      </w: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proofErr w:type="spellStart"/>
      <w:r>
        <w:rPr>
          <w:rFonts w:ascii="Times New Roman" w:eastAsia="Times New Roman" w:hAnsi="Times New Roman" w:cs="Times New Roman"/>
          <w:sz w:val="24"/>
          <w:szCs w:val="24"/>
        </w:rPr>
        <w:t>Edgew</w:t>
      </w:r>
      <w:proofErr w:type="spellEnd"/>
      <w:r>
        <w:rPr>
          <w:rFonts w:ascii="Times New Roman" w:eastAsia="Times New Roman" w:hAnsi="Times New Roman" w:cs="Times New Roman"/>
          <w:sz w:val="24"/>
          <w:szCs w:val="24"/>
        </w:rPr>
        <w:t>., also referred to as "</w:t>
      </w:r>
      <w:proofErr w:type="spellStart"/>
      <w:r>
        <w:rPr>
          <w:rFonts w:ascii="Times New Roman" w:eastAsia="Times New Roman" w:hAnsi="Times New Roman" w:cs="Times New Roman"/>
          <w:sz w:val="24"/>
          <w:szCs w:val="24"/>
        </w:rPr>
        <w:t>dhok</w:t>
      </w:r>
      <w:proofErr w:type="spellEnd"/>
      <w:r>
        <w:rPr>
          <w:rFonts w:ascii="Times New Roman" w:eastAsia="Times New Roman" w:hAnsi="Times New Roman" w:cs="Times New Roman"/>
          <w:sz w:val="24"/>
          <w:szCs w:val="24"/>
        </w:rPr>
        <w:t>" or "button tree," is indigenous to the arid and semi-arid areas of the Aravalli range and is especially prevalent in Rajasthan. Using methanolic and ethyl acetate extracts, this study focusses on the phytochemical screening and quantif</w:t>
      </w:r>
      <w:bookmarkStart w:id="0" w:name="_GoBack"/>
      <w:bookmarkEnd w:id="0"/>
      <w:r>
        <w:rPr>
          <w:rFonts w:ascii="Times New Roman" w:eastAsia="Times New Roman" w:hAnsi="Times New Roman" w:cs="Times New Roman"/>
          <w:sz w:val="24"/>
          <w:szCs w:val="24"/>
        </w:rPr>
        <w:t xml:space="preserve">ication of bioactive components from the leaf and stem of </w:t>
      </w:r>
      <w:r>
        <w:rPr>
          <w:rFonts w:ascii="Times New Roman" w:eastAsia="Times New Roman" w:hAnsi="Times New Roman" w:cs="Times New Roman"/>
          <w:i/>
          <w:sz w:val="24"/>
          <w:szCs w:val="24"/>
        </w:rPr>
        <w:t>A. pendula</w:t>
      </w:r>
      <w:r>
        <w:rPr>
          <w:rFonts w:ascii="Times New Roman" w:eastAsia="Times New Roman" w:hAnsi="Times New Roman" w:cs="Times New Roman"/>
          <w:sz w:val="24"/>
          <w:szCs w:val="24"/>
        </w:rPr>
        <w:t xml:space="preserve">. With differences across solvent extracts, qualitative analysis identified a number of significant phytochemicals, including lignin, flavonoids, terpenoids, alkaloids, phenolic compounds, and cardiac glycosides. Interestingly, </w:t>
      </w:r>
      <w:proofErr w:type="spellStart"/>
      <w:r w:rsidR="008E10C0">
        <w:rPr>
          <w:rFonts w:ascii="Times New Roman" w:eastAsia="Times New Roman" w:hAnsi="Times New Roman" w:cs="Times New Roman"/>
          <w:sz w:val="24"/>
          <w:szCs w:val="24"/>
        </w:rPr>
        <w:t>Phlobatannins</w:t>
      </w:r>
      <w:proofErr w:type="spellEnd"/>
      <w:r>
        <w:rPr>
          <w:rFonts w:ascii="Times New Roman" w:eastAsia="Times New Roman" w:hAnsi="Times New Roman" w:cs="Times New Roman"/>
          <w:sz w:val="24"/>
          <w:szCs w:val="24"/>
        </w:rPr>
        <w:t xml:space="preserve"> and anthraquinones were not present in any of the extracts, while tannins and resins were only present in the ethyl acetate extracts. The identification of substances like lignin and phenolics points to the possibility of using them in composite formulations or natural polymers, extending their usage beyond medicine. Comparing the leaf to the stem, quantitative analysis revealed that the leaf has greater amounts of reducing sugars (100 mg/g), non-reducing sugars (70 mg/g), proteins (83 mg/g), ascorbic acid (1.0 mg/g), lipids (39 mg/g), and alkaloids (24 mg/g). These findings confirm the traditional ethnomedical applications of </w:t>
      </w:r>
      <w:r>
        <w:rPr>
          <w:rFonts w:ascii="Times New Roman" w:eastAsia="Times New Roman" w:hAnsi="Times New Roman" w:cs="Times New Roman"/>
          <w:i/>
          <w:sz w:val="24"/>
          <w:szCs w:val="24"/>
        </w:rPr>
        <w:t>A. pendula</w:t>
      </w:r>
      <w:r>
        <w:rPr>
          <w:rFonts w:ascii="Times New Roman" w:eastAsia="Times New Roman" w:hAnsi="Times New Roman" w:cs="Times New Roman"/>
          <w:sz w:val="24"/>
          <w:szCs w:val="24"/>
        </w:rPr>
        <w:t xml:space="preserve"> and demonstrate its pharmacological, nutritional, and material value, especially in its leaves. It is advised that more research be done to examine its biological activity, medicinal potential, and suitability for the synthesis of natural polymers or composites.</w:t>
      </w:r>
    </w:p>
    <w:p w14:paraId="1CB33C13" w14:textId="79E93BA3" w:rsidR="00FD59DF" w:rsidRDefault="00FD59D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Keywords: Phytochemical, </w:t>
      </w:r>
      <w:proofErr w:type="spellStart"/>
      <w:r w:rsidRPr="00323AE6">
        <w:rPr>
          <w:rFonts w:ascii="Times New Roman" w:eastAsia="Times New Roman" w:hAnsi="Times New Roman" w:cs="Times New Roman"/>
          <w:i/>
          <w:iCs/>
          <w:sz w:val="24"/>
          <w:szCs w:val="24"/>
        </w:rPr>
        <w:t>Anoge</w:t>
      </w:r>
      <w:r w:rsidR="00323AE6" w:rsidRPr="00323AE6">
        <w:rPr>
          <w:rFonts w:ascii="Times New Roman" w:eastAsia="Times New Roman" w:hAnsi="Times New Roman" w:cs="Times New Roman"/>
          <w:i/>
          <w:iCs/>
          <w:sz w:val="24"/>
          <w:szCs w:val="24"/>
        </w:rPr>
        <w:t>issus</w:t>
      </w:r>
      <w:proofErr w:type="spellEnd"/>
      <w:r w:rsidR="00323AE6" w:rsidRPr="00323AE6">
        <w:rPr>
          <w:rFonts w:ascii="Times New Roman" w:eastAsia="Times New Roman" w:hAnsi="Times New Roman" w:cs="Times New Roman"/>
          <w:i/>
          <w:iCs/>
          <w:sz w:val="24"/>
          <w:szCs w:val="24"/>
        </w:rPr>
        <w:t xml:space="preserve"> pendula</w:t>
      </w:r>
      <w:r w:rsidR="00323AE6">
        <w:rPr>
          <w:rFonts w:ascii="Times New Roman" w:eastAsia="Times New Roman" w:hAnsi="Times New Roman" w:cs="Times New Roman"/>
          <w:sz w:val="24"/>
          <w:szCs w:val="24"/>
        </w:rPr>
        <w:t>,</w:t>
      </w:r>
      <w:r w:rsidR="00B561DA">
        <w:rPr>
          <w:rFonts w:ascii="Times New Roman" w:eastAsia="Times New Roman" w:hAnsi="Times New Roman" w:cs="Times New Roman"/>
          <w:sz w:val="24"/>
          <w:szCs w:val="24"/>
        </w:rPr>
        <w:t xml:space="preserve"> Methanol, Ethyl acetate</w:t>
      </w:r>
      <w:r w:rsidR="006B3202">
        <w:rPr>
          <w:rFonts w:ascii="Times New Roman" w:eastAsia="Times New Roman" w:hAnsi="Times New Roman" w:cs="Times New Roman"/>
          <w:sz w:val="24"/>
          <w:szCs w:val="24"/>
        </w:rPr>
        <w:t xml:space="preserve">, </w:t>
      </w:r>
      <w:r w:rsidR="00044FE8">
        <w:rPr>
          <w:rFonts w:ascii="Times New Roman" w:eastAsia="Times New Roman" w:hAnsi="Times New Roman" w:cs="Times New Roman"/>
          <w:sz w:val="24"/>
          <w:szCs w:val="24"/>
        </w:rPr>
        <w:t>E</w:t>
      </w:r>
      <w:r w:rsidR="00BE7F18">
        <w:rPr>
          <w:rFonts w:ascii="Times New Roman" w:eastAsia="Times New Roman" w:hAnsi="Times New Roman" w:cs="Times New Roman"/>
          <w:sz w:val="24"/>
          <w:szCs w:val="24"/>
        </w:rPr>
        <w:t>thnomedical.</w:t>
      </w:r>
    </w:p>
    <w:p w14:paraId="11E2C11C" w14:textId="77777777" w:rsidR="00D8743C" w:rsidRPr="002D7313" w:rsidRDefault="00BB1CB6" w:rsidP="002D7313">
      <w:pPr>
        <w:pStyle w:val="ListParagraph"/>
        <w:numPr>
          <w:ilvl w:val="0"/>
          <w:numId w:val="5"/>
        </w:numPr>
        <w:spacing w:line="360" w:lineRule="auto"/>
        <w:jc w:val="both"/>
        <w:rPr>
          <w:rFonts w:ascii="Times New Roman" w:eastAsia="Times New Roman" w:hAnsi="Times New Roman" w:cs="Times New Roman"/>
          <w:b/>
          <w:sz w:val="24"/>
          <w:szCs w:val="24"/>
        </w:rPr>
      </w:pPr>
      <w:r w:rsidRPr="002D7313">
        <w:rPr>
          <w:rFonts w:ascii="Times New Roman" w:eastAsia="Times New Roman" w:hAnsi="Times New Roman" w:cs="Times New Roman"/>
          <w:b/>
          <w:sz w:val="24"/>
          <w:szCs w:val="24"/>
        </w:rPr>
        <w:t>Introduction</w:t>
      </w:r>
    </w:p>
    <w:p w14:paraId="11E2C11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Pendula </w:t>
      </w:r>
      <w:proofErr w:type="spellStart"/>
      <w:r>
        <w:rPr>
          <w:rFonts w:ascii="Times New Roman" w:eastAsia="Times New Roman" w:hAnsi="Times New Roman" w:cs="Times New Roman"/>
          <w:sz w:val="24"/>
          <w:szCs w:val="24"/>
        </w:rPr>
        <w:t>Anogeissus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Edgew</w:t>
      </w:r>
      <w:proofErr w:type="spellEnd"/>
      <w:r>
        <w:rPr>
          <w:rFonts w:ascii="Times New Roman" w:eastAsia="Times New Roman" w:hAnsi="Times New Roman" w:cs="Times New Roman"/>
          <w:sz w:val="24"/>
          <w:szCs w:val="24"/>
        </w:rPr>
        <w:t xml:space="preserve"> (Family: </w:t>
      </w:r>
      <w:proofErr w:type="spellStart"/>
      <w:r>
        <w:rPr>
          <w:rFonts w:ascii="Times New Roman" w:eastAsia="Times New Roman" w:hAnsi="Times New Roman" w:cs="Times New Roman"/>
          <w:sz w:val="24"/>
          <w:szCs w:val="24"/>
        </w:rPr>
        <w:t>Combretaceae</w:t>
      </w:r>
      <w:proofErr w:type="spellEnd"/>
      <w:r>
        <w:rPr>
          <w:rFonts w:ascii="Times New Roman" w:eastAsia="Times New Roman" w:hAnsi="Times New Roman" w:cs="Times New Roman"/>
          <w:sz w:val="24"/>
          <w:szCs w:val="24"/>
        </w:rPr>
        <w:t>) is commonly referred to as "button tree" in English, "</w:t>
      </w:r>
      <w:proofErr w:type="spellStart"/>
      <w:r>
        <w:rPr>
          <w:rFonts w:ascii="Times New Roman" w:eastAsia="Times New Roman" w:hAnsi="Times New Roman" w:cs="Times New Roman"/>
          <w:sz w:val="24"/>
          <w:szCs w:val="24"/>
        </w:rPr>
        <w:t>dhok</w:t>
      </w:r>
      <w:proofErr w:type="spellEnd"/>
      <w:r>
        <w:rPr>
          <w:rFonts w:ascii="Times New Roman" w:eastAsia="Times New Roman" w:hAnsi="Times New Roman" w:cs="Times New Roman"/>
          <w:sz w:val="24"/>
          <w:szCs w:val="24"/>
        </w:rPr>
        <w:t xml:space="preserve">," and "kala </w:t>
      </w:r>
      <w:proofErr w:type="spellStart"/>
      <w:r>
        <w:rPr>
          <w:rFonts w:ascii="Times New Roman" w:eastAsia="Times New Roman" w:hAnsi="Times New Roman" w:cs="Times New Roman"/>
          <w:sz w:val="24"/>
          <w:szCs w:val="24"/>
        </w:rPr>
        <w:t>dhavda</w:t>
      </w:r>
      <w:proofErr w:type="spellEnd"/>
      <w:r>
        <w:rPr>
          <w:rFonts w:ascii="Times New Roman" w:eastAsia="Times New Roman" w:hAnsi="Times New Roman" w:cs="Times New Roman"/>
          <w:sz w:val="24"/>
          <w:szCs w:val="24"/>
        </w:rPr>
        <w:t xml:space="preserve">" in Hindi. A unique plant found in the dry and semi-arid Aravalli region, </w:t>
      </w: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Edgew</w:t>
      </w:r>
      <w:proofErr w:type="spellEnd"/>
      <w:r>
        <w:rPr>
          <w:rFonts w:ascii="Times New Roman" w:eastAsia="Times New Roman" w:hAnsi="Times New Roman" w:cs="Times New Roman"/>
          <w:sz w:val="24"/>
          <w:szCs w:val="24"/>
        </w:rPr>
        <w:t xml:space="preserve">) is abundant in fuel, fodder, timber and medicinal uses. According to Lata and </w:t>
      </w:r>
      <w:proofErr w:type="spellStart"/>
      <w:r>
        <w:rPr>
          <w:rFonts w:ascii="Times New Roman" w:eastAsia="Times New Roman" w:hAnsi="Times New Roman" w:cs="Times New Roman"/>
          <w:sz w:val="24"/>
          <w:szCs w:val="24"/>
        </w:rPr>
        <w:t>Bhadoria</w:t>
      </w:r>
      <w:proofErr w:type="spellEnd"/>
      <w:r>
        <w:rPr>
          <w:rFonts w:ascii="Times New Roman" w:eastAsia="Times New Roman" w:hAnsi="Times New Roman" w:cs="Times New Roman"/>
          <w:sz w:val="24"/>
          <w:szCs w:val="24"/>
        </w:rPr>
        <w:t xml:space="preserve"> (2010), it encompasses almost half of Rajasthan's total forest area. It grows in dry and mixed forests and is a deciduous, gregarious shrub or small tree (Ramana et al., 2000; Krishen, 2013). Its maximum height and girth are 9–15 m and 1 m, respectively (Singh et al., 2017). The appearance of stem bark varies greatly; it starts off smooth and silvery and eventually turns grey and rough with black, cracked spots on older trees. With pre-monsoon showers in early June, older leaves that have turned purply-red before being lost </w:t>
      </w:r>
      <w:r>
        <w:rPr>
          <w:rFonts w:ascii="Times New Roman" w:eastAsia="Times New Roman" w:hAnsi="Times New Roman" w:cs="Times New Roman"/>
          <w:sz w:val="24"/>
          <w:szCs w:val="24"/>
        </w:rPr>
        <w:lastRenderedPageBreak/>
        <w:t>between December and February are rejuvenated. Greenish-yellow flowers that are massed in spherical heads without petals bloom from late July to September (Lata et al., 2023).</w:t>
      </w:r>
    </w:p>
    <w:p w14:paraId="11E2C11E" w14:textId="32853CCC"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Stem bark, seed, fruit, and twig have been used for a variety of ethnomedical purposes, including gastrointestinal disorders, burns, diarrhoea, dysentery, coughing, wound healing, and skin illnesses (Danai et al., 2021; Meena et al., 2018). On swellings, its leaf paste is used externally. The ethyl alcohol extract of aerial portions is also said to have diuretic and cardiovascular stimulating properties. This versatile plant is used by some cultures for fuel wood, lumber and feed. Alkaloid and phenolic substances, including tannins and lignin, were found by phytochemical analyses (Khandelwal, 2008). A polyphenolic flavonoid compound isolated, viz. 5,7,3′,4′,5′</w:t>
      </w:r>
      <w:r>
        <w:rPr>
          <w:rFonts w:ascii="Cambria Math" w:eastAsia="Cambria Math" w:hAnsi="Cambria Math" w:cs="Cambria Math"/>
          <w:sz w:val="24"/>
          <w:szCs w:val="24"/>
        </w:rPr>
        <w:t>‑</w:t>
      </w:r>
      <w:r>
        <w:rPr>
          <w:rFonts w:ascii="Times New Roman" w:eastAsia="Times New Roman" w:hAnsi="Times New Roman" w:cs="Times New Roman"/>
          <w:sz w:val="24"/>
          <w:szCs w:val="24"/>
        </w:rPr>
        <w:t>pentahydroxy di</w:t>
      </w:r>
      <w:r w:rsidR="002710C3">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w:t>
      </w:r>
      <w:r w:rsidR="002710C3">
        <w:rPr>
          <w:rFonts w:ascii="Times New Roman" w:eastAsia="Times New Roman" w:hAnsi="Times New Roman" w:cs="Times New Roman"/>
          <w:sz w:val="24"/>
          <w:szCs w:val="24"/>
        </w:rPr>
        <w:t>y</w:t>
      </w:r>
      <w:r>
        <w:rPr>
          <w:rFonts w:ascii="Times New Roman" w:eastAsia="Times New Roman" w:hAnsi="Times New Roman" w:cs="Times New Roman"/>
          <w:sz w:val="24"/>
          <w:szCs w:val="24"/>
        </w:rPr>
        <w:t>drofla</w:t>
      </w:r>
      <w:proofErr w:type="spellEnd"/>
      <w:r>
        <w:rPr>
          <w:rFonts w:ascii="Times New Roman" w:eastAsia="Times New Roman" w:hAnsi="Times New Roman" w:cs="Times New Roman"/>
          <w:sz w:val="24"/>
          <w:szCs w:val="24"/>
        </w:rPr>
        <w:t xml:space="preserve"> vanol</w:t>
      </w:r>
      <w:r>
        <w:rPr>
          <w:rFonts w:ascii="Cambria Math" w:eastAsia="Cambria Math" w:hAnsi="Cambria Math" w:cs="Cambria Math"/>
          <w:sz w:val="24"/>
          <w:szCs w:val="24"/>
        </w:rPr>
        <w:t>‑</w:t>
      </w:r>
      <w:r>
        <w:rPr>
          <w:rFonts w:ascii="Times New Roman" w:eastAsia="Times New Roman" w:hAnsi="Times New Roman" w:cs="Times New Roman"/>
          <w:sz w:val="24"/>
          <w:szCs w:val="24"/>
        </w:rPr>
        <w:t>3</w:t>
      </w:r>
      <w:r>
        <w:rPr>
          <w:rFonts w:ascii="Cambria Math" w:eastAsia="Cambria Math" w:hAnsi="Cambria Math" w:cs="Cambria Math"/>
          <w:sz w:val="24"/>
          <w:szCs w:val="24"/>
        </w:rPr>
        <w:t>‑</w:t>
      </w:r>
      <w:r>
        <w:rPr>
          <w:rFonts w:ascii="Times New Roman" w:eastAsia="Times New Roman" w:hAnsi="Times New Roman" w:cs="Times New Roman"/>
          <w:sz w:val="24"/>
          <w:szCs w:val="24"/>
        </w:rPr>
        <w:t>O</w:t>
      </w:r>
      <w:r>
        <w:rPr>
          <w:rFonts w:ascii="Cambria Math" w:eastAsia="Cambria Math" w:hAnsi="Cambria Math" w:cs="Cambria Math"/>
          <w:sz w:val="24"/>
          <w:szCs w:val="24"/>
        </w:rPr>
        <w:t>‑</w:t>
      </w:r>
      <w:r>
        <w:rPr>
          <w:rFonts w:ascii="Times New Roman" w:eastAsia="Times New Roman" w:hAnsi="Times New Roman" w:cs="Times New Roman"/>
          <w:sz w:val="24"/>
          <w:szCs w:val="24"/>
        </w:rPr>
        <w:t>(2″</w:t>
      </w:r>
      <w:r>
        <w:rPr>
          <w:rFonts w:ascii="Cambria Math" w:eastAsia="Cambria Math" w:hAnsi="Cambria Math" w:cs="Cambria Math"/>
          <w:sz w:val="24"/>
          <w:szCs w:val="24"/>
        </w:rPr>
        <w:t>‑</w:t>
      </w:r>
      <w:r>
        <w:rPr>
          <w:rFonts w:ascii="Times New Roman" w:eastAsia="Times New Roman" w:hAnsi="Times New Roman" w:cs="Times New Roman"/>
          <w:sz w:val="24"/>
          <w:szCs w:val="24"/>
        </w:rPr>
        <w:t>O</w:t>
      </w:r>
      <w:r>
        <w:rPr>
          <w:rFonts w:ascii="Cambria Math" w:eastAsia="Cambria Math" w:hAnsi="Cambria Math" w:cs="Cambria Math"/>
          <w:sz w:val="24"/>
          <w:szCs w:val="24"/>
        </w:rPr>
        <w:t>‑</w:t>
      </w:r>
      <w:r w:rsidR="00F21C22">
        <w:rPr>
          <w:rFonts w:ascii="Times New Roman" w:eastAsia="Times New Roman" w:hAnsi="Times New Roman" w:cs="Times New Roman"/>
          <w:sz w:val="24"/>
          <w:szCs w:val="24"/>
        </w:rPr>
        <w:t>galloyl)</w:t>
      </w:r>
      <w:r w:rsidR="00F21C22">
        <w:rPr>
          <w:rFonts w:ascii="Cambria Math" w:eastAsia="Cambria Math" w:hAnsi="Cambria Math" w:cs="Cambria Math"/>
          <w:sz w:val="24"/>
          <w:szCs w:val="24"/>
        </w:rPr>
        <w:t xml:space="preserve"> </w:t>
      </w:r>
      <w:r w:rsidR="00F21C22">
        <w:rPr>
          <w:rFonts w:ascii="Cambria Math" w:eastAsia="Cambria Math" w:hAnsi="Cambria Math" w:cs="Cambria Math"/>
          <w:sz w:val="24"/>
          <w:szCs w:val="24"/>
        </w:rPr>
        <w:noBreakHyphen/>
      </w:r>
      <w:r>
        <w:rPr>
          <w:rFonts w:ascii="Times New Roman" w:eastAsia="Times New Roman" w:hAnsi="Times New Roman" w:cs="Times New Roman"/>
          <w:sz w:val="24"/>
          <w:szCs w:val="24"/>
        </w:rPr>
        <w:t>β</w:t>
      </w:r>
      <w:r>
        <w:rPr>
          <w:rFonts w:ascii="Cambria Math" w:eastAsia="Cambria Math" w:hAnsi="Cambria Math" w:cs="Cambria Math"/>
          <w:sz w:val="24"/>
          <w:szCs w:val="24"/>
        </w:rPr>
        <w:t>‑</w:t>
      </w:r>
      <w:r>
        <w:rPr>
          <w:rFonts w:ascii="Times New Roman" w:eastAsia="Times New Roman" w:hAnsi="Times New Roman" w:cs="Times New Roman"/>
          <w:sz w:val="24"/>
          <w:szCs w:val="24"/>
        </w:rPr>
        <w:t>D</w:t>
      </w:r>
      <w:r>
        <w:rPr>
          <w:rFonts w:ascii="Cambria Math" w:eastAsia="Cambria Math" w:hAnsi="Cambria Math" w:cs="Cambria Math"/>
          <w:sz w:val="24"/>
          <w:szCs w:val="24"/>
        </w:rPr>
        <w:t>‑</w:t>
      </w:r>
      <w:r>
        <w:rPr>
          <w:rFonts w:ascii="Times New Roman" w:eastAsia="Times New Roman" w:hAnsi="Times New Roman" w:cs="Times New Roman"/>
          <w:sz w:val="24"/>
          <w:szCs w:val="24"/>
        </w:rPr>
        <w:t>glucopyranoside, was tested for its neuroprotective effect in transient focal cerebral ischemia in rats and found to be a good neuroprotective agent in stroke as it reduced apoptosis and found to have good antioxidant and anti</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inflammatory potential (Singh et al., 2016). The aim of this study is to perform a detailed qualitative and quantitative phytochemical screening of leaf and bark extracts of </w:t>
      </w:r>
      <w:r>
        <w:rPr>
          <w:rFonts w:ascii="Times New Roman" w:eastAsia="Times New Roman" w:hAnsi="Times New Roman" w:cs="Times New Roman"/>
          <w:i/>
          <w:sz w:val="24"/>
          <w:szCs w:val="24"/>
        </w:rPr>
        <w:t>A. pendula</w:t>
      </w:r>
      <w:r>
        <w:rPr>
          <w:rFonts w:ascii="Times New Roman" w:eastAsia="Times New Roman" w:hAnsi="Times New Roman" w:cs="Times New Roman"/>
          <w:sz w:val="24"/>
          <w:szCs w:val="24"/>
        </w:rPr>
        <w:t xml:space="preserve"> using various solvents.</w:t>
      </w:r>
    </w:p>
    <w:p w14:paraId="11E2C11F" w14:textId="77777777" w:rsidR="00D8743C" w:rsidRPr="002D7313" w:rsidRDefault="00BB1CB6" w:rsidP="002D7313">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2D7313">
        <w:rPr>
          <w:rFonts w:ascii="Times New Roman" w:eastAsia="Times New Roman" w:hAnsi="Times New Roman" w:cs="Times New Roman"/>
          <w:b/>
          <w:color w:val="000000"/>
          <w:sz w:val="24"/>
          <w:szCs w:val="24"/>
        </w:rPr>
        <w:t>Material &amp; Methodology</w:t>
      </w:r>
    </w:p>
    <w:p w14:paraId="11E2C120" w14:textId="4CF8B1B9" w:rsidR="00D8743C" w:rsidRDefault="00BB1CB6">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2.1 Collection of plant </w:t>
      </w:r>
      <w:proofErr w:type="gramStart"/>
      <w:r>
        <w:rPr>
          <w:rFonts w:ascii="Times New Roman" w:eastAsia="Times New Roman" w:hAnsi="Times New Roman" w:cs="Times New Roman"/>
          <w:b/>
          <w:sz w:val="24"/>
          <w:szCs w:val="24"/>
        </w:rPr>
        <w:t>materials:</w:t>
      </w:r>
      <w:r w:rsidR="00D41C33">
        <w:rPr>
          <w:rFonts w:ascii="Times New Roman" w:eastAsia="Times New Roman" w:hAnsi="Times New Roman" w:cs="Times New Roman"/>
          <w:b/>
          <w:sz w:val="24"/>
          <w:szCs w:val="24"/>
        </w:rPr>
        <w:t>+</w:t>
      </w:r>
      <w:proofErr w:type="gramEnd"/>
      <w:r w:rsidR="00D41C33">
        <w:rPr>
          <w:rFonts w:ascii="Times New Roman" w:eastAsia="Times New Roman" w:hAnsi="Times New Roman" w:cs="Times New Roman"/>
          <w:b/>
          <w:sz w:val="24"/>
          <w:szCs w:val="24"/>
        </w:rPr>
        <w:t>6</w:t>
      </w:r>
    </w:p>
    <w:p w14:paraId="11E2C121" w14:textId="031DC9A0" w:rsidR="00D8743C" w:rsidRPr="00B42568" w:rsidRDefault="00BB1CB6">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Fresh leaves and twigs of </w:t>
      </w: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w:t>
      </w:r>
      <w:r w:rsidR="00B42568">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were collected from Jaipur and nearby area. Collected leaves were washed with tap water for 2 to 3 times. The excess water was removed by sterilized blotting paper.</w:t>
      </w:r>
    </w:p>
    <w:p w14:paraId="11E2C122"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Preparation of plant extract: </w:t>
      </w:r>
    </w:p>
    <w:p w14:paraId="11E2C123" w14:textId="1F4C7B35"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plant material was shade dried for like 10 to 15 days. Dried material was crushed in </w:t>
      </w:r>
      <w:proofErr w:type="gramStart"/>
      <w:r w:rsidR="006E1022">
        <w:rPr>
          <w:rFonts w:ascii="Times New Roman" w:eastAsia="Times New Roman" w:hAnsi="Times New Roman" w:cs="Times New Roman"/>
          <w:sz w:val="24"/>
          <w:szCs w:val="24"/>
        </w:rPr>
        <w:t>an</w:t>
      </w:r>
      <w:proofErr w:type="gramEnd"/>
      <w:r w:rsidR="006E10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grinder to make powder. (B. K. Nayak1 et al., 2015) Crude plant extract was prepared by Soxhlet extraction method. About 20 gm of powdered plant material was packed into </w:t>
      </w:r>
      <w:r w:rsidR="002710C3">
        <w:rPr>
          <w:rFonts w:ascii="Times New Roman" w:eastAsia="Times New Roman" w:hAnsi="Times New Roman" w:cs="Times New Roman"/>
          <w:sz w:val="24"/>
          <w:szCs w:val="24"/>
        </w:rPr>
        <w:t>Whatman</w:t>
      </w:r>
      <w:r>
        <w:rPr>
          <w:rFonts w:ascii="Times New Roman" w:eastAsia="Times New Roman" w:hAnsi="Times New Roman" w:cs="Times New Roman"/>
          <w:sz w:val="24"/>
          <w:szCs w:val="24"/>
        </w:rPr>
        <w:t xml:space="preserve"> filter paper and extracted with 200 ml of different organic solvents separately. Methanol and ethyl</w:t>
      </w:r>
      <w:r w:rsidR="002710C3">
        <w:rPr>
          <w:rFonts w:ascii="Times New Roman" w:eastAsia="Times New Roman" w:hAnsi="Times New Roman" w:cs="Times New Roman"/>
          <w:sz w:val="24"/>
          <w:szCs w:val="24"/>
        </w:rPr>
        <w:t>-</w:t>
      </w:r>
      <w:r>
        <w:rPr>
          <w:rFonts w:ascii="Times New Roman" w:eastAsia="Times New Roman" w:hAnsi="Times New Roman" w:cs="Times New Roman"/>
          <w:sz w:val="24"/>
          <w:szCs w:val="24"/>
        </w:rPr>
        <w:t>aceta</w:t>
      </w:r>
      <w:r w:rsidR="002710C3">
        <w:rPr>
          <w:rFonts w:ascii="Times New Roman" w:eastAsia="Times New Roman" w:hAnsi="Times New Roman" w:cs="Times New Roman"/>
          <w:sz w:val="24"/>
          <w:szCs w:val="24"/>
        </w:rPr>
        <w:t>te</w:t>
      </w:r>
      <w:r>
        <w:rPr>
          <w:rFonts w:ascii="Times New Roman" w:eastAsia="Times New Roman" w:hAnsi="Times New Roman" w:cs="Times New Roman"/>
          <w:sz w:val="24"/>
          <w:szCs w:val="24"/>
        </w:rPr>
        <w:t xml:space="preserve"> were the solvents used for extraction. The process of extraction continued till the solvent in siphon tube of an extractor become </w:t>
      </w:r>
      <w:proofErr w:type="spellStart"/>
      <w:r>
        <w:rPr>
          <w:rFonts w:ascii="Times New Roman" w:eastAsia="Times New Roman" w:hAnsi="Times New Roman" w:cs="Times New Roman"/>
          <w:sz w:val="24"/>
          <w:szCs w:val="24"/>
        </w:rPr>
        <w:t>colorless</w:t>
      </w:r>
      <w:proofErr w:type="spellEnd"/>
      <w:r>
        <w:rPr>
          <w:rFonts w:ascii="Times New Roman" w:eastAsia="Times New Roman" w:hAnsi="Times New Roman" w:cs="Times New Roman"/>
          <w:sz w:val="24"/>
          <w:szCs w:val="24"/>
        </w:rPr>
        <w:t>. After that the extracts were collected into a beaker.</w:t>
      </w:r>
    </w:p>
    <w:p w14:paraId="11E2C124"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Qualitative Phytochemical Analysis </w:t>
      </w:r>
    </w:p>
    <w:p w14:paraId="11E2C125" w14:textId="77777777"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Qualitative phytochemical screening of the plant extracts was carried out using standard methods to detect the presence of various secondary metabolites. The presence of tannins was confirmed by Braymer’s test, where 1 mL of plant extract was mixed with 3 mL of distilled water and three drops of 10% ferric chloride solution; a blue-green coloration indicated tannins due to the formation of a water-soluble iron-tannin complex (Singh &amp; Kumar, 2017). Steroids were identified using the Salkowski test by mixing 2 mL of extract with 2 mL of chloroform, followed by 10 drops of acetic anhydride and 2 mL of concentrated sulfuric acid; a reddish-brown ring at the junction indicated the presence of steroids (Raaman, 2006). For </w:t>
      </w:r>
      <w:proofErr w:type="spellStart"/>
      <w:r>
        <w:rPr>
          <w:rFonts w:ascii="Times New Roman" w:eastAsia="Times New Roman" w:hAnsi="Times New Roman" w:cs="Times New Roman"/>
          <w:sz w:val="24"/>
          <w:szCs w:val="24"/>
        </w:rPr>
        <w:t>phlobatannins</w:t>
      </w:r>
      <w:proofErr w:type="spellEnd"/>
      <w:r>
        <w:rPr>
          <w:rFonts w:ascii="Times New Roman" w:eastAsia="Times New Roman" w:hAnsi="Times New Roman" w:cs="Times New Roman"/>
          <w:sz w:val="24"/>
          <w:szCs w:val="24"/>
        </w:rPr>
        <w:t>, 2 mL of extract was boiled with 2 mL of 1% hydrochloric acid, resulting in a red precipitate that confirmed their presence (Njoku &amp; Obi, 2009). Terpenoids were detected by adding 2 mL of chloroform and 3 mL of concentrated sulfuric acid to 5 mL of extract, producing a reddish-brown interface coloration (Singh &amp; Kumar, 2017).</w:t>
      </w:r>
    </w:p>
    <w:p w14:paraId="11E2C126" w14:textId="1935C927"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Anthraquinones were detected via Borntrager’s test, where 3 mL of extract was added to 10 mL of 10% ammonia solution, and the formation of a pink </w:t>
      </w:r>
      <w:r w:rsidR="00C5794F">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in the ammoniacal layer indicated a positive result (Raaman, 2006). Emodin was identified by mixing 2 mL of extract with 2 mL of ammonium hydroxide and 3 mL of benzene, which yielded a red </w:t>
      </w:r>
      <w:r w:rsidR="00C5794F">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(De Silva et al., 2017). The presence of coumarins was indicated by a yellow </w:t>
      </w:r>
      <w:r w:rsidR="00C5794F">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upon adding 3 mL of 10% NaOH to 2 mL of extract (De Silva et al., 2017). Phenolic compounds were detected using the ferric chloride test, where the addition of a few drops of 5% ferric chloride solution to the extract produced a dark green or bluish-black </w:t>
      </w:r>
      <w:r w:rsidR="00C5794F">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(Raaman, 2006).</w:t>
      </w:r>
    </w:p>
    <w:p w14:paraId="11E2C127" w14:textId="77777777"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Cardiac glycosides were detected using Legal’s test, where 2 mL of extract was mixed with 3 mL of chloroform and 10% ammonia, resulting in a pink coloration (Nanna et al., 2013). Alkaloids were confirmed using </w:t>
      </w:r>
      <w:proofErr w:type="spellStart"/>
      <w:r>
        <w:rPr>
          <w:rFonts w:ascii="Times New Roman" w:eastAsia="Times New Roman" w:hAnsi="Times New Roman" w:cs="Times New Roman"/>
          <w:sz w:val="24"/>
          <w:szCs w:val="24"/>
        </w:rPr>
        <w:t>Dragendorff’s</w:t>
      </w:r>
      <w:proofErr w:type="spellEnd"/>
      <w:r>
        <w:rPr>
          <w:rFonts w:ascii="Times New Roman" w:eastAsia="Times New Roman" w:hAnsi="Times New Roman" w:cs="Times New Roman"/>
          <w:sz w:val="24"/>
          <w:szCs w:val="24"/>
        </w:rPr>
        <w:t xml:space="preserve"> reagent, where a reddish-brown precipitate indicated their presence (Raaman, 2006). Anthocyanins were detected when 2 mL of extract treated with 2N hydrochloric acid changed from pinkish-red to blue upon the addition of ammonia (Nanna et al., 2013). Flavonoids were tested using the lead acetate method, where 1 mL of extract treated with 10% lead acetate solution produced a yellow precipitate (De Silva et al., 2017).</w:t>
      </w:r>
    </w:p>
    <w:p w14:paraId="11E2C128" w14:textId="3E815D38"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Lignin was confirmed using the Labat test, in which the addition of gallic acid to the extract resulted in an olive-green </w:t>
      </w:r>
      <w:r w:rsidR="0025634C">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(Nanna et al., 2013). For resin detection, the extract was first dissolved in acetone and then poured into distilled water; a turbid solution confirmed its presence (Singh &amp; Kumar, 2017). Phytosterols were identified by the Salkowski test, where </w:t>
      </w:r>
      <w:r>
        <w:rPr>
          <w:rFonts w:ascii="Times New Roman" w:eastAsia="Times New Roman" w:hAnsi="Times New Roman" w:cs="Times New Roman"/>
          <w:sz w:val="24"/>
          <w:szCs w:val="24"/>
        </w:rPr>
        <w:lastRenderedPageBreak/>
        <w:t>the addition of concentrated sulfuric acid to the extract and subsequent shaking produced a red lower layer (Tiwari et al., 2011). Quinones were confirmed by adding alcoholic potassium hydroxide to the extract, which produced a red coloration (Santhi &amp; Sengottuvel, 2016).</w:t>
      </w:r>
    </w:p>
    <w:p w14:paraId="11E2C129" w14:textId="77777777"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Triterpenoids were also detected by the Salkowski test, with the formation of a golden-yellow layer at the bottom after adding concentrated sulfuric acid (Singh &amp; Kumar, 2017). Carbohydrates were confirmed via Molisch’s test by adding alcoholic α-naphthol and concentrated sulfuric acid to the extract, resulting in a violet ring at the interface (Singh &amp; Kumar, 2017; Raaman, 2006). Reducing sugars were identified by adding Fehling’s solutions A and B to the extract and heating in a water bath; a red precipitate indicated a positive result (Singh &amp; Kumar, 2017). Fixed oils and fats were detected using the saponification test, where soap formation or partial neutralization after heating with alcoholic KOH and phenolphthalein indicated their presence (Nanna et al., 2013).</w:t>
      </w:r>
    </w:p>
    <w:p w14:paraId="11E2C12A" w14:textId="5526CB4C" w:rsidR="00D8743C" w:rsidRDefault="00BB1CB6">
      <w:pPr>
        <w:spacing w:before="280" w:after="280" w:line="360" w:lineRule="auto"/>
        <w:jc w:val="both"/>
        <w:rPr>
          <w:rFonts w:ascii="Times New Roman" w:eastAsia="Times New Roman" w:hAnsi="Times New Roman" w:cs="Times New Roman"/>
          <w:sz w:val="24"/>
          <w:szCs w:val="24"/>
        </w:rPr>
      </w:pPr>
      <w:bookmarkStart w:id="1" w:name="_qfjvbswobccg" w:colFirst="0" w:colLast="0"/>
      <w:bookmarkEnd w:id="1"/>
      <w:r>
        <w:rPr>
          <w:rFonts w:ascii="Times New Roman" w:eastAsia="Times New Roman" w:hAnsi="Times New Roman" w:cs="Times New Roman"/>
          <w:sz w:val="24"/>
          <w:szCs w:val="24"/>
        </w:rPr>
        <w:t>Gums and mucilage were tested by dissolving 100 mg of extract in 10 mL of distilled water, followed by the addition of 25 mL absolute alcohol with constant stirring; the formation of a white or cloudy precipitate indicated a positive result (Raaman, 2006). Finally, proteins were detected using Millon’s test, where a white precipitate appeared upon the addition of Millon’s reagent, while amino acids were confirmed via the Ninhydrin test, which produced a purple-</w:t>
      </w:r>
      <w:r w:rsidR="0025634C">
        <w:rPr>
          <w:rFonts w:ascii="Times New Roman" w:eastAsia="Times New Roman" w:hAnsi="Times New Roman" w:cs="Times New Roman"/>
          <w:sz w:val="24"/>
          <w:szCs w:val="24"/>
        </w:rPr>
        <w:t>coloured</w:t>
      </w:r>
      <w:r>
        <w:rPr>
          <w:rFonts w:ascii="Times New Roman" w:eastAsia="Times New Roman" w:hAnsi="Times New Roman" w:cs="Times New Roman"/>
          <w:sz w:val="24"/>
          <w:szCs w:val="24"/>
        </w:rPr>
        <w:t xml:space="preserve"> solution upon reaction with the extract (De Silva et al., 2017; Raaman, 2006).</w:t>
      </w:r>
    </w:p>
    <w:p w14:paraId="11E2C12B"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Quantitative Tests: </w:t>
      </w:r>
    </w:p>
    <w:p w14:paraId="11E2C12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2.4.1 Carbohydrate: </w:t>
      </w:r>
      <w:r>
        <w:rPr>
          <w:rFonts w:ascii="Times New Roman" w:eastAsia="Times New Roman" w:hAnsi="Times New Roman" w:cs="Times New Roman"/>
          <w:sz w:val="24"/>
          <w:szCs w:val="24"/>
        </w:rPr>
        <w:t xml:space="preserve">Extraction and quantification [Loomis &amp; Shull, 1937: </w:t>
      </w:r>
      <w:proofErr w:type="spellStart"/>
      <w:r>
        <w:rPr>
          <w:rFonts w:ascii="Times New Roman" w:eastAsia="Times New Roman" w:hAnsi="Times New Roman" w:cs="Times New Roman"/>
          <w:sz w:val="24"/>
          <w:szCs w:val="24"/>
        </w:rPr>
        <w:t>Mccready</w:t>
      </w:r>
      <w:proofErr w:type="spellEnd"/>
      <w:r>
        <w:rPr>
          <w:rFonts w:ascii="Times New Roman" w:eastAsia="Times New Roman" w:hAnsi="Times New Roman" w:cs="Times New Roman"/>
          <w:sz w:val="24"/>
          <w:szCs w:val="24"/>
        </w:rPr>
        <w:t xml:space="preserve"> et al., 1950; Dubois et al., 1951]</w:t>
      </w:r>
    </w:p>
    <w:p w14:paraId="11E2C12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About 50 mg of each powered sample was taken, ground in a mortar and pestle with 20 ml of 80% ethanol, and left overnight to determine the total soluble sugars (Ext. 1). The supernatants were gathered and concentrated on a water bath after the centrifugation of homogenate for 12 minutes at 1500 rpm. Distilled water was used to make up the remaining 50 millilitres of the resulting concentration. The remaining pellet from the centrifugation procedure was collected for the starch (ext. 2), suspended in 6.5 mL of distilled water and 5 ml of 52% perchloric acid, agitated continuously for 5 minutes, and centrifuged for 20 minutes at 2500 rpm. After three iterations of the procedure, the supernatant was gathered. Using distilled water, the volume of the collected supernatants was increased to 100 ml.</w:t>
      </w:r>
    </w:p>
    <w:p w14:paraId="11E2C12E"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Each test sample (</w:t>
      </w:r>
      <w:proofErr w:type="spellStart"/>
      <w:r>
        <w:rPr>
          <w:rFonts w:ascii="Times New Roman" w:eastAsia="Times New Roman" w:hAnsi="Times New Roman" w:cs="Times New Roman"/>
          <w:sz w:val="24"/>
          <w:szCs w:val="24"/>
        </w:rPr>
        <w:t>ext</w:t>
      </w:r>
      <w:proofErr w:type="spellEnd"/>
      <w:r>
        <w:rPr>
          <w:rFonts w:ascii="Times New Roman" w:eastAsia="Times New Roman" w:hAnsi="Times New Roman" w:cs="Times New Roman"/>
          <w:sz w:val="24"/>
          <w:szCs w:val="24"/>
        </w:rPr>
        <w:t xml:space="preserve"> 1 &amp; 2) was estimated using the phenol-sulfuric acid reagent for quantification. Using a glucose stock solution (1 mg/ml), the standard regression curve was created. One millilitre of the test sample was placed in a test tube and stored in an ice chest. After adding 1 millilitre of 5% aqueous phenol, the mixture was gently shaken. After quickly adding 5 ml of concentrated H2SO4, the mixture was let to rest for 20 minutes at 25–300 C in a water bath. The sample's OD was measured at 490 nm. Various aqueous glucose concentrations were used for the standard curve (r2=0.991).</w:t>
      </w:r>
    </w:p>
    <w:p w14:paraId="11E2C12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Lipids</w:t>
      </w:r>
      <w:r>
        <w:rPr>
          <w:rFonts w:ascii="Times New Roman" w:eastAsia="Times New Roman" w:hAnsi="Times New Roman" w:cs="Times New Roman"/>
          <w:sz w:val="24"/>
          <w:szCs w:val="24"/>
        </w:rPr>
        <w:t xml:space="preserve">: Extraction and quantification {jayaraman1958} </w:t>
      </w:r>
    </w:p>
    <w:p w14:paraId="11E2C130" w14:textId="085DEC8F"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Using a mortar and pestle and 10 millilitres of distilled water, 1 gramme of each dry sample powder was mixed. After combining the prepared pulp with 30 millilitres of a 2:1 v/v chloroform–methanol solution, it was left to rest at room temperature for the </w:t>
      </w:r>
      <w:r w:rsidR="00F534BE">
        <w:rPr>
          <w:rFonts w:ascii="Times New Roman" w:eastAsia="Times New Roman" w:hAnsi="Times New Roman" w:cs="Times New Roman"/>
          <w:sz w:val="24"/>
          <w:szCs w:val="24"/>
        </w:rPr>
        <w:t>overnight</w:t>
      </w:r>
      <w:r>
        <w:rPr>
          <w:rFonts w:ascii="Times New Roman" w:eastAsia="Times New Roman" w:hAnsi="Times New Roman" w:cs="Times New Roman"/>
          <w:sz w:val="24"/>
          <w:szCs w:val="24"/>
        </w:rPr>
        <w:t>. Afterwards, 20 millilitres of distilled water and chloroform were added. After transferring the mixture into a separating funnel, the lower layer of lipids and chloroform was collected and placed in pre-weighed beakers to evaporate. Weight was again calculated as the weight of total lipids/g of dried plant material following evaporation.</w:t>
      </w:r>
    </w:p>
    <w:p w14:paraId="11E2C13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2.4.3 Protein</w:t>
      </w:r>
      <w:r>
        <w:rPr>
          <w:rFonts w:ascii="Times New Roman" w:eastAsia="Times New Roman" w:hAnsi="Times New Roman" w:cs="Times New Roman"/>
          <w:sz w:val="24"/>
          <w:szCs w:val="24"/>
        </w:rPr>
        <w:t xml:space="preserve">: Extraction and quantification {Osborne 1962: LOWRY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1951}</w:t>
      </w:r>
    </w:p>
    <w:p w14:paraId="11E2C13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ml of cold 10% TCA solution were mixed with 60 mg of each dried sample. After 30 minutes, the solution was left to stand at 4°C for the entire night. After centrifuging the mixture, any leftover pellets were gathered. The leftover pellets were re-suspended in a 5% TCA solution and heated for approximately half an hour at 80°C in a water bath. After cooling, the samples were centrifuged again. After being collected, the leftover pellets were centrifuged once more after being cleaned with distilled water. After being collected, the leftover pellets were dissolved in 10 millilitres of 1 n NAOH and allowed to settle at room temperature for the entire night.</w:t>
      </w:r>
    </w:p>
    <w:p w14:paraId="11E2C133"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Lowery et al., 1951 method was used to assess the total protein content. After measuring 1ml of each test sample, five millilitres of alkaline solution (50 ml of 2% Na2Co3 in 0.1 N NaOH and 1ml of 0.5% CuSO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5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in potassium sodium-tartarated) were added to each test tube, and the tubes were left at room temperature for ten minutes. Each test tube received 0.5 ml of the </w:t>
      </w:r>
      <w:proofErr w:type="spellStart"/>
      <w:r>
        <w:rPr>
          <w:rFonts w:ascii="Times New Roman" w:eastAsia="Times New Roman" w:hAnsi="Times New Roman" w:cs="Times New Roman"/>
          <w:sz w:val="24"/>
          <w:szCs w:val="24"/>
        </w:rPr>
        <w:t>folin-Ciocalteu</w:t>
      </w:r>
      <w:proofErr w:type="spellEnd"/>
      <w:r>
        <w:rPr>
          <w:rFonts w:ascii="Times New Roman" w:eastAsia="Times New Roman" w:hAnsi="Times New Roman" w:cs="Times New Roman"/>
          <w:sz w:val="24"/>
          <w:szCs w:val="24"/>
        </w:rPr>
        <w:t xml:space="preserve"> reagent, which was then combined. A spectrophotometer was used to measure the OD at 750 nm after 30 minutes. BSA solution (1 mg/ml in 1 N NAOH) R2 = 0.994, a standard regression curve, was prepared at varying concentrations and diluted with distilled water to equal 1 ml.</w:t>
      </w:r>
    </w:p>
    <w:p w14:paraId="11E2C13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2.4.4 Ascorbic Acid:</w:t>
      </w:r>
      <w:r>
        <w:rPr>
          <w:rFonts w:ascii="Times New Roman" w:eastAsia="Times New Roman" w:hAnsi="Times New Roman" w:cs="Times New Roman"/>
          <w:sz w:val="24"/>
          <w:szCs w:val="24"/>
        </w:rPr>
        <w:t xml:space="preserve"> Extraction and quantification {roe &amp; </w:t>
      </w:r>
      <w:proofErr w:type="spellStart"/>
      <w:r>
        <w:rPr>
          <w:rFonts w:ascii="Times New Roman" w:eastAsia="Times New Roman" w:hAnsi="Times New Roman" w:cs="Times New Roman"/>
          <w:sz w:val="24"/>
          <w:szCs w:val="24"/>
        </w:rPr>
        <w:t>kuenther</w:t>
      </w:r>
      <w:proofErr w:type="spellEnd"/>
      <w:r>
        <w:rPr>
          <w:rFonts w:ascii="Times New Roman" w:eastAsia="Times New Roman" w:hAnsi="Times New Roman" w:cs="Times New Roman"/>
          <w:sz w:val="24"/>
          <w:szCs w:val="24"/>
        </w:rPr>
        <w:t xml:space="preserve">, 1943} </w:t>
      </w:r>
    </w:p>
    <w:p w14:paraId="11E2C13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mixing 400 mg of the dried material with 10 ml of acetate buffer (pH 4.8), the mixture was centrifuged for 15 minutes at 1500 rpm. After the supernatants were gathered, one millilitre of each was transferred to a test tube. Each test tube was then filled with 4 ml of 4% TCA, and the tubes were left overnight. After another centrifugation of the solution, the supernatant was gathered. 1ml of the colourant (90 ml of 2.2%, 2,4-dinitrophenyl hydrazine in 10 N H2SO4), 5ml of 5% thiourea, and 5ml of 0.6% cuso4 solution were added to each supernatant. For forty-five minutes, the above solution was incubated at 57°C. Each solution was cooled before 7 ml of 65% H2SO4 was added and allowed to cool again.</w:t>
      </w:r>
    </w:p>
    <w:p w14:paraId="11E2C136"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stock solution of ascorbic acid (10 mg/100 ml in 4% TCA) with varying concentrations (0.01 to 0.09 mg/ml) (R2 = 0.991) was made in order to produce the standard curve. By adding 4% TCA solution, the volume of each was raised to 5 ml, and it was then left at room temperature for the entire night. One millilitre of the colourant was added to each test tube. Later, each test tube received 7 mL of 65% H2SO4. The spectrophotometer was used to measure the OD at 540 nm.</w:t>
      </w:r>
    </w:p>
    <w:p w14:paraId="11E2C13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2.4.5 Alkaloids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Oncho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w:t>
      </w:r>
    </w:p>
    <w:p w14:paraId="11E2C138" w14:textId="6B343960"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combining 3g of each sample powder with 20 ml of 10% acetic acid in ethanol, the mixture was let to stand for four hours. After filtering the solution, concentrated ammonium hydroxide was gradually added to the filtrate until precipitate development was stopped. After the precipitate had settled, a 10% ammonium hydroxide solution was used to wash it. Weight was measured after drying, and the solution was filtered to collect the precipitate before being placed in a pre-weighed petri dish. Alkaloids were measured as </w:t>
      </w:r>
      <w:r w:rsidR="002710C3">
        <w:rPr>
          <w:rFonts w:ascii="Times New Roman" w:eastAsia="Times New Roman" w:hAnsi="Times New Roman" w:cs="Times New Roman"/>
          <w:sz w:val="24"/>
          <w:szCs w:val="24"/>
        </w:rPr>
        <w:t>milligrams</w:t>
      </w:r>
      <w:r>
        <w:rPr>
          <w:rFonts w:ascii="Times New Roman" w:eastAsia="Times New Roman" w:hAnsi="Times New Roman" w:cs="Times New Roman"/>
          <w:sz w:val="24"/>
          <w:szCs w:val="24"/>
        </w:rPr>
        <w:t xml:space="preserve"> per gramme of sample powder.</w:t>
      </w:r>
    </w:p>
    <w:p w14:paraId="11E2C139" w14:textId="77777777" w:rsidR="00D8743C" w:rsidRPr="009640CC" w:rsidRDefault="00BB1CB6" w:rsidP="009640CC">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9640CC">
        <w:rPr>
          <w:rFonts w:ascii="Times New Roman" w:eastAsia="Times New Roman" w:hAnsi="Times New Roman" w:cs="Times New Roman"/>
          <w:b/>
          <w:color w:val="000000"/>
          <w:sz w:val="24"/>
          <w:szCs w:val="24"/>
        </w:rPr>
        <w:t>Result</w:t>
      </w:r>
    </w:p>
    <w:p w14:paraId="11E2C13A"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Qualitative Test</w:t>
      </w:r>
    </w:p>
    <w:p w14:paraId="11E2C13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Lignin, flavonoids, terpenoids, phenolic compound, coumarins, alkaloids, cardiac-glycosides, starch, phytosterol, steroids, glycosides are present in both methanolic extract of </w:t>
      </w: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 xml:space="preserve">leaf and stem. Resin and tannins are present only in ethyl-acetate extract. Terpenoids and starch present and </w:t>
      </w:r>
      <w:proofErr w:type="spellStart"/>
      <w:r>
        <w:rPr>
          <w:rFonts w:ascii="Times New Roman" w:eastAsia="Times New Roman" w:hAnsi="Times New Roman" w:cs="Times New Roman"/>
          <w:sz w:val="24"/>
          <w:szCs w:val="24"/>
        </w:rPr>
        <w:t>phlobatannins</w:t>
      </w:r>
      <w:proofErr w:type="spellEnd"/>
      <w:r>
        <w:rPr>
          <w:rFonts w:ascii="Times New Roman" w:eastAsia="Times New Roman" w:hAnsi="Times New Roman" w:cs="Times New Roman"/>
          <w:sz w:val="24"/>
          <w:szCs w:val="24"/>
        </w:rPr>
        <w:t>, antra-quinone are not present in both methanolic and ethyl- acetate extract (Table 1).</w:t>
      </w:r>
    </w:p>
    <w:p w14:paraId="11E2C13C"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1: Comparative Qualitative Phytochemical Analysis of Methanolic and Ethyl Acetate Extracts of </w:t>
      </w:r>
      <w:proofErr w:type="spellStart"/>
      <w:r>
        <w:rPr>
          <w:rFonts w:ascii="Times New Roman" w:eastAsia="Times New Roman" w:hAnsi="Times New Roman" w:cs="Times New Roman"/>
          <w:b/>
          <w:i/>
          <w:sz w:val="24"/>
          <w:szCs w:val="24"/>
        </w:rPr>
        <w:t>Anogeissus</w:t>
      </w:r>
      <w:proofErr w:type="spellEnd"/>
      <w:r>
        <w:rPr>
          <w:rFonts w:ascii="Times New Roman" w:eastAsia="Times New Roman" w:hAnsi="Times New Roman" w:cs="Times New Roman"/>
          <w:b/>
          <w:i/>
          <w:sz w:val="24"/>
          <w:szCs w:val="24"/>
        </w:rPr>
        <w:t xml:space="preserve"> pendula </w:t>
      </w:r>
      <w:r>
        <w:rPr>
          <w:rFonts w:ascii="Times New Roman" w:eastAsia="Times New Roman" w:hAnsi="Times New Roman" w:cs="Times New Roman"/>
          <w:b/>
          <w:sz w:val="24"/>
          <w:szCs w:val="24"/>
        </w:rPr>
        <w:t>Leaf and Stem</w:t>
      </w:r>
    </w:p>
    <w:tbl>
      <w:tblPr>
        <w:tblStyle w:val="a"/>
        <w:tblW w:w="916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1803"/>
        <w:gridCol w:w="1803"/>
        <w:gridCol w:w="1803"/>
        <w:gridCol w:w="1804"/>
      </w:tblGrid>
      <w:tr w:rsidR="00D8743C" w14:paraId="11E2C142" w14:textId="77777777">
        <w:tc>
          <w:tcPr>
            <w:tcW w:w="1950" w:type="dxa"/>
          </w:tcPr>
          <w:p w14:paraId="11E2C13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Phytochemicals</w:t>
            </w:r>
          </w:p>
        </w:tc>
        <w:tc>
          <w:tcPr>
            <w:tcW w:w="1803" w:type="dxa"/>
            <w:tcBorders>
              <w:right w:val="nil"/>
            </w:tcBorders>
          </w:tcPr>
          <w:p w14:paraId="11E2C13E" w14:textId="77777777" w:rsidR="00D8743C" w:rsidRDefault="00D8743C">
            <w:pPr>
              <w:spacing w:line="360" w:lineRule="auto"/>
              <w:jc w:val="both"/>
              <w:rPr>
                <w:rFonts w:ascii="Times New Roman" w:eastAsia="Times New Roman" w:hAnsi="Times New Roman" w:cs="Times New Roman"/>
                <w:sz w:val="24"/>
                <w:szCs w:val="24"/>
              </w:rPr>
            </w:pPr>
          </w:p>
        </w:tc>
        <w:tc>
          <w:tcPr>
            <w:tcW w:w="1803" w:type="dxa"/>
            <w:tcBorders>
              <w:left w:val="nil"/>
            </w:tcBorders>
          </w:tcPr>
          <w:p w14:paraId="11E2C13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Methanolic extract</w:t>
            </w:r>
          </w:p>
        </w:tc>
        <w:tc>
          <w:tcPr>
            <w:tcW w:w="1803" w:type="dxa"/>
            <w:tcBorders>
              <w:right w:val="nil"/>
            </w:tcBorders>
          </w:tcPr>
          <w:p w14:paraId="11E2C14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Ethyl acetate extract</w:t>
            </w:r>
          </w:p>
        </w:tc>
        <w:tc>
          <w:tcPr>
            <w:tcW w:w="1804" w:type="dxa"/>
            <w:tcBorders>
              <w:left w:val="nil"/>
            </w:tcBorders>
          </w:tcPr>
          <w:p w14:paraId="11E2C141" w14:textId="77777777" w:rsidR="00D8743C" w:rsidRDefault="00D8743C">
            <w:pPr>
              <w:spacing w:line="360" w:lineRule="auto"/>
              <w:jc w:val="both"/>
              <w:rPr>
                <w:rFonts w:ascii="Times New Roman" w:eastAsia="Times New Roman" w:hAnsi="Times New Roman" w:cs="Times New Roman"/>
                <w:sz w:val="24"/>
                <w:szCs w:val="24"/>
              </w:rPr>
            </w:pPr>
          </w:p>
        </w:tc>
      </w:tr>
      <w:tr w:rsidR="00D8743C" w14:paraId="11E2C148" w14:textId="77777777">
        <w:tc>
          <w:tcPr>
            <w:tcW w:w="1950" w:type="dxa"/>
          </w:tcPr>
          <w:p w14:paraId="11E2C143" w14:textId="77777777" w:rsidR="00D8743C" w:rsidRDefault="00D8743C">
            <w:pPr>
              <w:spacing w:line="360" w:lineRule="auto"/>
              <w:jc w:val="both"/>
              <w:rPr>
                <w:rFonts w:ascii="Times New Roman" w:eastAsia="Times New Roman" w:hAnsi="Times New Roman" w:cs="Times New Roman"/>
                <w:sz w:val="24"/>
                <w:szCs w:val="24"/>
              </w:rPr>
            </w:pPr>
          </w:p>
        </w:tc>
        <w:tc>
          <w:tcPr>
            <w:tcW w:w="1803" w:type="dxa"/>
          </w:tcPr>
          <w:p w14:paraId="11E2C144" w14:textId="77777777" w:rsidR="00D8743C" w:rsidRDefault="00BB1CB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leaf</w:t>
            </w:r>
          </w:p>
        </w:tc>
        <w:tc>
          <w:tcPr>
            <w:tcW w:w="1803" w:type="dxa"/>
          </w:tcPr>
          <w:p w14:paraId="11E2C145" w14:textId="77777777" w:rsidR="00D8743C" w:rsidRDefault="00BB1CB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stem</w:t>
            </w:r>
          </w:p>
        </w:tc>
        <w:tc>
          <w:tcPr>
            <w:tcW w:w="1803" w:type="dxa"/>
          </w:tcPr>
          <w:p w14:paraId="11E2C146" w14:textId="77777777" w:rsidR="00D8743C" w:rsidRDefault="00BB1CB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leaf</w:t>
            </w:r>
          </w:p>
        </w:tc>
        <w:tc>
          <w:tcPr>
            <w:tcW w:w="1804" w:type="dxa"/>
          </w:tcPr>
          <w:p w14:paraId="11E2C147" w14:textId="77777777" w:rsidR="00D8743C" w:rsidRDefault="00BB1CB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stem</w:t>
            </w:r>
          </w:p>
        </w:tc>
      </w:tr>
      <w:tr w:rsidR="00D8743C" w14:paraId="11E2C14E" w14:textId="77777777">
        <w:tc>
          <w:tcPr>
            <w:tcW w:w="1950" w:type="dxa"/>
          </w:tcPr>
          <w:p w14:paraId="11E2C14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Fixed Oil and Fat</w:t>
            </w:r>
          </w:p>
        </w:tc>
        <w:tc>
          <w:tcPr>
            <w:tcW w:w="1803" w:type="dxa"/>
          </w:tcPr>
          <w:p w14:paraId="11E2C14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4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4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4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54" w14:textId="77777777">
        <w:tc>
          <w:tcPr>
            <w:tcW w:w="1950" w:type="dxa"/>
          </w:tcPr>
          <w:p w14:paraId="11E2C14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Quinone</w:t>
            </w:r>
          </w:p>
        </w:tc>
        <w:tc>
          <w:tcPr>
            <w:tcW w:w="1803" w:type="dxa"/>
          </w:tcPr>
          <w:p w14:paraId="11E2C15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5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5A" w14:textId="77777777">
        <w:tc>
          <w:tcPr>
            <w:tcW w:w="1950" w:type="dxa"/>
          </w:tcPr>
          <w:p w14:paraId="11E2C15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Lignin</w:t>
            </w:r>
          </w:p>
        </w:tc>
        <w:tc>
          <w:tcPr>
            <w:tcW w:w="1803" w:type="dxa"/>
          </w:tcPr>
          <w:p w14:paraId="11E2C156"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5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60" w14:textId="77777777">
        <w:tc>
          <w:tcPr>
            <w:tcW w:w="1950" w:type="dxa"/>
          </w:tcPr>
          <w:p w14:paraId="11E2C15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Resin</w:t>
            </w:r>
          </w:p>
        </w:tc>
        <w:tc>
          <w:tcPr>
            <w:tcW w:w="1803" w:type="dxa"/>
          </w:tcPr>
          <w:p w14:paraId="11E2C15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5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66" w14:textId="77777777">
        <w:tc>
          <w:tcPr>
            <w:tcW w:w="1950" w:type="dxa"/>
          </w:tcPr>
          <w:p w14:paraId="11E2C16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Tannins</w:t>
            </w:r>
          </w:p>
        </w:tc>
        <w:tc>
          <w:tcPr>
            <w:tcW w:w="1803" w:type="dxa"/>
          </w:tcPr>
          <w:p w14:paraId="11E2C16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6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6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6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6C" w14:textId="77777777">
        <w:tc>
          <w:tcPr>
            <w:tcW w:w="1950" w:type="dxa"/>
          </w:tcPr>
          <w:p w14:paraId="11E2C16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w:t>
            </w:r>
          </w:p>
        </w:tc>
        <w:tc>
          <w:tcPr>
            <w:tcW w:w="1803" w:type="dxa"/>
          </w:tcPr>
          <w:p w14:paraId="11E2C16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6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6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6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72" w14:textId="77777777">
        <w:tc>
          <w:tcPr>
            <w:tcW w:w="1950" w:type="dxa"/>
          </w:tcPr>
          <w:p w14:paraId="11E2C16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Terpenoids</w:t>
            </w:r>
          </w:p>
        </w:tc>
        <w:tc>
          <w:tcPr>
            <w:tcW w:w="1803" w:type="dxa"/>
          </w:tcPr>
          <w:p w14:paraId="11E2C16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6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7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7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78" w14:textId="77777777">
        <w:tc>
          <w:tcPr>
            <w:tcW w:w="1950" w:type="dxa"/>
          </w:tcPr>
          <w:p w14:paraId="11E2C173" w14:textId="77777777" w:rsidR="00D8743C" w:rsidRDefault="00BB1CB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Phlobatannins</w:t>
            </w:r>
            <w:proofErr w:type="spellEnd"/>
          </w:p>
        </w:tc>
        <w:tc>
          <w:tcPr>
            <w:tcW w:w="1803" w:type="dxa"/>
          </w:tcPr>
          <w:p w14:paraId="11E2C17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7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76"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7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7E" w14:textId="77777777">
        <w:tc>
          <w:tcPr>
            <w:tcW w:w="1950" w:type="dxa"/>
          </w:tcPr>
          <w:p w14:paraId="11E2C17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Terpenoids</w:t>
            </w:r>
          </w:p>
        </w:tc>
        <w:tc>
          <w:tcPr>
            <w:tcW w:w="1803" w:type="dxa"/>
          </w:tcPr>
          <w:p w14:paraId="11E2C17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7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7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7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84" w14:textId="77777777">
        <w:tc>
          <w:tcPr>
            <w:tcW w:w="1950" w:type="dxa"/>
          </w:tcPr>
          <w:p w14:paraId="11E2C17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Phenolic compound</w:t>
            </w:r>
          </w:p>
        </w:tc>
        <w:tc>
          <w:tcPr>
            <w:tcW w:w="1803" w:type="dxa"/>
          </w:tcPr>
          <w:p w14:paraId="11E2C18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8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8A" w14:textId="77777777">
        <w:tc>
          <w:tcPr>
            <w:tcW w:w="1950" w:type="dxa"/>
          </w:tcPr>
          <w:p w14:paraId="11E2C18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Coumarins</w:t>
            </w:r>
          </w:p>
        </w:tc>
        <w:tc>
          <w:tcPr>
            <w:tcW w:w="1803" w:type="dxa"/>
          </w:tcPr>
          <w:p w14:paraId="11E2C186"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8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90" w14:textId="77777777">
        <w:tc>
          <w:tcPr>
            <w:tcW w:w="1950" w:type="dxa"/>
          </w:tcPr>
          <w:p w14:paraId="11E2C18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Emodin</w:t>
            </w:r>
          </w:p>
        </w:tc>
        <w:tc>
          <w:tcPr>
            <w:tcW w:w="1803" w:type="dxa"/>
          </w:tcPr>
          <w:p w14:paraId="11E2C18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8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96" w14:textId="77777777">
        <w:tc>
          <w:tcPr>
            <w:tcW w:w="1950" w:type="dxa"/>
          </w:tcPr>
          <w:p w14:paraId="11E2C19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Antra-Quinone</w:t>
            </w:r>
          </w:p>
        </w:tc>
        <w:tc>
          <w:tcPr>
            <w:tcW w:w="1803" w:type="dxa"/>
          </w:tcPr>
          <w:p w14:paraId="11E2C19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9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9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9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9C" w14:textId="77777777">
        <w:tc>
          <w:tcPr>
            <w:tcW w:w="1950" w:type="dxa"/>
          </w:tcPr>
          <w:p w14:paraId="11E2C19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Alkaloids</w:t>
            </w:r>
          </w:p>
        </w:tc>
        <w:tc>
          <w:tcPr>
            <w:tcW w:w="1803" w:type="dxa"/>
          </w:tcPr>
          <w:p w14:paraId="11E2C19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9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9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9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A2" w14:textId="77777777">
        <w:tc>
          <w:tcPr>
            <w:tcW w:w="1950" w:type="dxa"/>
          </w:tcPr>
          <w:p w14:paraId="11E2C19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Cardiac-Glycosides</w:t>
            </w:r>
          </w:p>
        </w:tc>
        <w:tc>
          <w:tcPr>
            <w:tcW w:w="1803" w:type="dxa"/>
          </w:tcPr>
          <w:p w14:paraId="11E2C19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9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A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A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A8" w14:textId="77777777">
        <w:tc>
          <w:tcPr>
            <w:tcW w:w="1950" w:type="dxa"/>
          </w:tcPr>
          <w:p w14:paraId="11E2C1A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Starch</w:t>
            </w:r>
          </w:p>
        </w:tc>
        <w:tc>
          <w:tcPr>
            <w:tcW w:w="1803" w:type="dxa"/>
          </w:tcPr>
          <w:p w14:paraId="11E2C1A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A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A6"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A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AE" w14:textId="77777777">
        <w:tc>
          <w:tcPr>
            <w:tcW w:w="1950" w:type="dxa"/>
          </w:tcPr>
          <w:p w14:paraId="11E2C1A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Saponins </w:t>
            </w:r>
          </w:p>
        </w:tc>
        <w:tc>
          <w:tcPr>
            <w:tcW w:w="1803" w:type="dxa"/>
          </w:tcPr>
          <w:p w14:paraId="11E2C1A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A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A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A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B4" w14:textId="77777777">
        <w:tc>
          <w:tcPr>
            <w:tcW w:w="1950" w:type="dxa"/>
          </w:tcPr>
          <w:p w14:paraId="11E2C1A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Phytosterol</w:t>
            </w:r>
          </w:p>
        </w:tc>
        <w:tc>
          <w:tcPr>
            <w:tcW w:w="1803" w:type="dxa"/>
          </w:tcPr>
          <w:p w14:paraId="11E2C1B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B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BA" w14:textId="77777777">
        <w:tc>
          <w:tcPr>
            <w:tcW w:w="1950" w:type="dxa"/>
          </w:tcPr>
          <w:p w14:paraId="11E2C1B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Steroids</w:t>
            </w:r>
          </w:p>
        </w:tc>
        <w:tc>
          <w:tcPr>
            <w:tcW w:w="1803" w:type="dxa"/>
          </w:tcPr>
          <w:p w14:paraId="11E2C1B6"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B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8743C" w14:paraId="11E2C1C0" w14:textId="77777777">
        <w:tc>
          <w:tcPr>
            <w:tcW w:w="1950" w:type="dxa"/>
          </w:tcPr>
          <w:p w14:paraId="11E2C1B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Glycosides</w:t>
            </w:r>
          </w:p>
        </w:tc>
        <w:tc>
          <w:tcPr>
            <w:tcW w:w="1803" w:type="dxa"/>
          </w:tcPr>
          <w:p w14:paraId="11E2C1B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B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C6" w14:textId="77777777">
        <w:tc>
          <w:tcPr>
            <w:tcW w:w="1950" w:type="dxa"/>
          </w:tcPr>
          <w:p w14:paraId="11E2C1C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sugar</w:t>
            </w:r>
          </w:p>
        </w:tc>
        <w:tc>
          <w:tcPr>
            <w:tcW w:w="1803" w:type="dxa"/>
          </w:tcPr>
          <w:p w14:paraId="11E2C1C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C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C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C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CC" w14:textId="77777777">
        <w:tc>
          <w:tcPr>
            <w:tcW w:w="1950" w:type="dxa"/>
          </w:tcPr>
          <w:p w14:paraId="11E2C1C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Non-reducing sugar</w:t>
            </w:r>
          </w:p>
        </w:tc>
        <w:tc>
          <w:tcPr>
            <w:tcW w:w="1803" w:type="dxa"/>
          </w:tcPr>
          <w:p w14:paraId="11E2C1C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C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C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C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D2" w14:textId="77777777">
        <w:tc>
          <w:tcPr>
            <w:tcW w:w="1950" w:type="dxa"/>
          </w:tcPr>
          <w:p w14:paraId="11E2C1C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Proteins</w:t>
            </w:r>
          </w:p>
        </w:tc>
        <w:tc>
          <w:tcPr>
            <w:tcW w:w="1803" w:type="dxa"/>
          </w:tcPr>
          <w:p w14:paraId="11E2C1C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C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D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D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11E2C1D3" w14:textId="77777777" w:rsidR="00D8743C" w:rsidRDefault="00D8743C">
      <w:pPr>
        <w:spacing w:line="360" w:lineRule="auto"/>
        <w:jc w:val="both"/>
        <w:rPr>
          <w:rFonts w:ascii="Times New Roman" w:eastAsia="Times New Roman" w:hAnsi="Times New Roman" w:cs="Times New Roman"/>
          <w:sz w:val="24"/>
          <w:szCs w:val="24"/>
        </w:rPr>
      </w:pPr>
    </w:p>
    <w:p w14:paraId="11E2C1D4"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3.2 Quantitative Test </w:t>
      </w:r>
    </w:p>
    <w:p w14:paraId="11E2C1D5" w14:textId="0B306B1B"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quantitative analysis carried out on the stem and leaf power of </w:t>
      </w: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as shown in table 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leaves of plant were found to contain approximately reducing sugar: 100 mg/gm, non-reducing sugar:70 mg/gm, protein:83 mg/ml, Ascorbic Acid:1.00mg/ml, lipid:39mg/ml, Alkaloids:24mg/gm. The stem of plant was found to contain approximately reducing sugar: 80mg/gm, </w:t>
      </w:r>
      <w:r w:rsidR="00C95375">
        <w:rPr>
          <w:rFonts w:ascii="Times New Roman" w:eastAsia="Times New Roman" w:hAnsi="Times New Roman" w:cs="Times New Roman"/>
          <w:sz w:val="24"/>
          <w:szCs w:val="24"/>
        </w:rPr>
        <w:t>non-reducing</w:t>
      </w:r>
      <w:r>
        <w:rPr>
          <w:rFonts w:ascii="Times New Roman" w:eastAsia="Times New Roman" w:hAnsi="Times New Roman" w:cs="Times New Roman"/>
          <w:sz w:val="24"/>
          <w:szCs w:val="24"/>
        </w:rPr>
        <w:t xml:space="preserve"> sugar: 40 mg/gm, proteins:70 mg/gm, Ascorbic acid: 0.5mg/gm, Lipid:21 mg/gm, Alkaloids: 15mg/gm.</w:t>
      </w:r>
    </w:p>
    <w:p w14:paraId="11E2C1D6"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Quantitative Estimation of Bioactive Compounds in Leaf and Stem of </w:t>
      </w:r>
      <w:proofErr w:type="spellStart"/>
      <w:r>
        <w:rPr>
          <w:rFonts w:ascii="Times New Roman" w:eastAsia="Times New Roman" w:hAnsi="Times New Roman" w:cs="Times New Roman"/>
          <w:b/>
          <w:i/>
          <w:sz w:val="24"/>
          <w:szCs w:val="24"/>
        </w:rPr>
        <w:t>Anogeissus</w:t>
      </w:r>
      <w:proofErr w:type="spellEnd"/>
      <w:r>
        <w:rPr>
          <w:rFonts w:ascii="Times New Roman" w:eastAsia="Times New Roman" w:hAnsi="Times New Roman" w:cs="Times New Roman"/>
          <w:b/>
          <w:i/>
          <w:sz w:val="24"/>
          <w:szCs w:val="24"/>
        </w:rPr>
        <w:t xml:space="preserve"> pendula</w:t>
      </w:r>
    </w:p>
    <w:tbl>
      <w:tblPr>
        <w:tblStyle w:val="a0"/>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D8743C" w14:paraId="11E2C1DA" w14:textId="77777777">
        <w:tc>
          <w:tcPr>
            <w:tcW w:w="3080" w:type="dxa"/>
          </w:tcPr>
          <w:p w14:paraId="11E2C1D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Phytochemicals</w:t>
            </w:r>
          </w:p>
        </w:tc>
        <w:tc>
          <w:tcPr>
            <w:tcW w:w="3081" w:type="dxa"/>
          </w:tcPr>
          <w:p w14:paraId="11E2C1D8" w14:textId="77777777" w:rsidR="00D8743C" w:rsidRDefault="00BB1CB6">
            <w:pPr>
              <w:spacing w:line="36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leaf</w:t>
            </w:r>
          </w:p>
        </w:tc>
        <w:tc>
          <w:tcPr>
            <w:tcW w:w="3081" w:type="dxa"/>
          </w:tcPr>
          <w:p w14:paraId="11E2C1D9" w14:textId="77777777" w:rsidR="00D8743C" w:rsidRDefault="00BB1CB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stem</w:t>
            </w:r>
          </w:p>
        </w:tc>
      </w:tr>
      <w:tr w:rsidR="00D8743C" w14:paraId="11E2C1DE" w14:textId="77777777">
        <w:tc>
          <w:tcPr>
            <w:tcW w:w="3080" w:type="dxa"/>
          </w:tcPr>
          <w:p w14:paraId="11E2C1D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Reducing Sugar </w:t>
            </w:r>
          </w:p>
        </w:tc>
        <w:tc>
          <w:tcPr>
            <w:tcW w:w="3081" w:type="dxa"/>
          </w:tcPr>
          <w:p w14:paraId="11E2C1D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mg/gm </w:t>
            </w:r>
          </w:p>
        </w:tc>
        <w:tc>
          <w:tcPr>
            <w:tcW w:w="3081" w:type="dxa"/>
          </w:tcPr>
          <w:p w14:paraId="11E2C1D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mg/gm</w:t>
            </w:r>
          </w:p>
        </w:tc>
      </w:tr>
      <w:tr w:rsidR="00D8743C" w14:paraId="11E2C1E2" w14:textId="77777777">
        <w:tc>
          <w:tcPr>
            <w:tcW w:w="3080" w:type="dxa"/>
          </w:tcPr>
          <w:p w14:paraId="11E2C1D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Non-Reducing Sugar </w:t>
            </w:r>
          </w:p>
        </w:tc>
        <w:tc>
          <w:tcPr>
            <w:tcW w:w="3081" w:type="dxa"/>
          </w:tcPr>
          <w:p w14:paraId="11E2C1E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 mg/gm</w:t>
            </w:r>
          </w:p>
        </w:tc>
        <w:tc>
          <w:tcPr>
            <w:tcW w:w="3081" w:type="dxa"/>
          </w:tcPr>
          <w:p w14:paraId="11E2C1E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mg/gm</w:t>
            </w:r>
          </w:p>
        </w:tc>
      </w:tr>
      <w:tr w:rsidR="00D8743C" w14:paraId="11E2C1E6" w14:textId="77777777">
        <w:tc>
          <w:tcPr>
            <w:tcW w:w="3080" w:type="dxa"/>
          </w:tcPr>
          <w:p w14:paraId="11E2C1E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Protein </w:t>
            </w:r>
          </w:p>
        </w:tc>
        <w:tc>
          <w:tcPr>
            <w:tcW w:w="3081" w:type="dxa"/>
          </w:tcPr>
          <w:p w14:paraId="11E2C1E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mg/gm</w:t>
            </w:r>
          </w:p>
        </w:tc>
        <w:tc>
          <w:tcPr>
            <w:tcW w:w="3081" w:type="dxa"/>
          </w:tcPr>
          <w:p w14:paraId="11E2C1E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70 mg/gm</w:t>
            </w:r>
          </w:p>
        </w:tc>
      </w:tr>
      <w:tr w:rsidR="00D8743C" w14:paraId="11E2C1EA" w14:textId="77777777">
        <w:tc>
          <w:tcPr>
            <w:tcW w:w="3080" w:type="dxa"/>
          </w:tcPr>
          <w:p w14:paraId="11E2C1E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3081" w:type="dxa"/>
          </w:tcPr>
          <w:p w14:paraId="11E2C1E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mg/gm</w:t>
            </w:r>
          </w:p>
        </w:tc>
        <w:tc>
          <w:tcPr>
            <w:tcW w:w="3081" w:type="dxa"/>
          </w:tcPr>
          <w:p w14:paraId="11E2C1E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mg/gm</w:t>
            </w:r>
          </w:p>
        </w:tc>
      </w:tr>
      <w:tr w:rsidR="00D8743C" w14:paraId="11E2C1EE" w14:textId="77777777">
        <w:tc>
          <w:tcPr>
            <w:tcW w:w="3080" w:type="dxa"/>
          </w:tcPr>
          <w:p w14:paraId="11E2C1E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Lipid</w:t>
            </w:r>
          </w:p>
        </w:tc>
        <w:tc>
          <w:tcPr>
            <w:tcW w:w="3081" w:type="dxa"/>
          </w:tcPr>
          <w:p w14:paraId="11E2C1E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mg/gm</w:t>
            </w:r>
          </w:p>
        </w:tc>
        <w:tc>
          <w:tcPr>
            <w:tcW w:w="3081" w:type="dxa"/>
          </w:tcPr>
          <w:p w14:paraId="11E2C1E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mg/gm</w:t>
            </w:r>
          </w:p>
        </w:tc>
      </w:tr>
      <w:tr w:rsidR="00D8743C" w14:paraId="11E2C1F2" w14:textId="77777777">
        <w:tc>
          <w:tcPr>
            <w:tcW w:w="3080" w:type="dxa"/>
          </w:tcPr>
          <w:p w14:paraId="11E2C1E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Alkaloids</w:t>
            </w:r>
          </w:p>
        </w:tc>
        <w:tc>
          <w:tcPr>
            <w:tcW w:w="3081" w:type="dxa"/>
          </w:tcPr>
          <w:p w14:paraId="11E2C1F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mg/gm</w:t>
            </w:r>
          </w:p>
        </w:tc>
        <w:tc>
          <w:tcPr>
            <w:tcW w:w="3081" w:type="dxa"/>
          </w:tcPr>
          <w:p w14:paraId="11E2C1F1" w14:textId="51D59E8D"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mg/gm</w:t>
            </w:r>
          </w:p>
        </w:tc>
      </w:tr>
    </w:tbl>
    <w:p w14:paraId="11E2C1F3" w14:textId="77777777" w:rsidR="00D8743C" w:rsidRDefault="00D8743C">
      <w:pPr>
        <w:spacing w:line="360" w:lineRule="auto"/>
        <w:jc w:val="both"/>
        <w:rPr>
          <w:rFonts w:ascii="Times New Roman" w:eastAsia="Times New Roman" w:hAnsi="Times New Roman" w:cs="Times New Roman"/>
          <w:sz w:val="24"/>
          <w:szCs w:val="24"/>
        </w:rPr>
      </w:pPr>
    </w:p>
    <w:p w14:paraId="11E2C1F4" w14:textId="77777777" w:rsidR="00D8743C" w:rsidRPr="00E34AA3" w:rsidRDefault="00BB1CB6" w:rsidP="00E34AA3">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E34AA3">
        <w:rPr>
          <w:rFonts w:ascii="Times New Roman" w:eastAsia="Times New Roman" w:hAnsi="Times New Roman" w:cs="Times New Roman"/>
          <w:b/>
          <w:color w:val="000000"/>
          <w:sz w:val="24"/>
          <w:szCs w:val="24"/>
        </w:rPr>
        <w:t xml:space="preserve">Discussion </w:t>
      </w:r>
    </w:p>
    <w:p w14:paraId="11E2C1F5" w14:textId="77777777" w:rsidR="00D8743C" w:rsidRDefault="00BB1CB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Both the methanolic and ethyl acetate extracts of the leaf and stem of </w:t>
      </w:r>
      <w:proofErr w:type="spellStart"/>
      <w:r>
        <w:rPr>
          <w:rFonts w:ascii="Times New Roman" w:eastAsia="Times New Roman" w:hAnsi="Times New Roman" w:cs="Times New Roman"/>
          <w:i/>
          <w:color w:val="000000"/>
          <w:sz w:val="24"/>
          <w:szCs w:val="24"/>
        </w:rPr>
        <w:t>Anogeissus</w:t>
      </w:r>
      <w:proofErr w:type="spellEnd"/>
      <w:r>
        <w:rPr>
          <w:rFonts w:ascii="Times New Roman" w:eastAsia="Times New Roman" w:hAnsi="Times New Roman" w:cs="Times New Roman"/>
          <w:i/>
          <w:color w:val="000000"/>
          <w:sz w:val="24"/>
          <w:szCs w:val="24"/>
        </w:rPr>
        <w:t xml:space="preserve"> pendula </w:t>
      </w:r>
      <w:r>
        <w:rPr>
          <w:rFonts w:ascii="Times New Roman" w:eastAsia="Times New Roman" w:hAnsi="Times New Roman" w:cs="Times New Roman"/>
          <w:color w:val="000000"/>
          <w:sz w:val="24"/>
          <w:szCs w:val="24"/>
        </w:rPr>
        <w:t xml:space="preserve">contained a wide variety of phytochemicals, according to the qualitative analysis. Both leaf and stem extracts included common substances as lignin, flavonoids, terpenoids, phenolic compounds, coumarins, alkaloids, cardiac-glycosides, starch, phytosterols, saponin, steroids, reducing sugar, and protein, suggesting that these substances were widely distributed throughout the plant. But only the ethyl acetate extract included resin and tannins, demonstrating the extract's special capacity to extract particular bioactive substances. A unique class of glycosides with soapy properties are called saponins. It has the ability to coagulate and precipitate red blood cells. According to </w:t>
      </w:r>
      <w:proofErr w:type="spellStart"/>
      <w:r>
        <w:rPr>
          <w:rFonts w:ascii="Times New Roman" w:eastAsia="Times New Roman" w:hAnsi="Times New Roman" w:cs="Times New Roman"/>
          <w:color w:val="000000"/>
          <w:sz w:val="24"/>
          <w:szCs w:val="24"/>
        </w:rPr>
        <w:t>Sodipo</w:t>
      </w:r>
      <w:proofErr w:type="spellEnd"/>
      <w:r>
        <w:rPr>
          <w:rFonts w:ascii="Times New Roman" w:eastAsia="Times New Roman" w:hAnsi="Times New Roman" w:cs="Times New Roman"/>
          <w:color w:val="000000"/>
          <w:sz w:val="24"/>
          <w:szCs w:val="24"/>
        </w:rPr>
        <w:t xml:space="preserve"> et al. (2000), saponin's qualities include bitterness, cholesterol binding, haemolytic action, and the ability to form forms in aqueous solution. These characteristics provide the leaf extract from </w:t>
      </w:r>
      <w:r>
        <w:rPr>
          <w:rFonts w:ascii="Times New Roman" w:eastAsia="Times New Roman" w:hAnsi="Times New Roman" w:cs="Times New Roman"/>
          <w:i/>
          <w:color w:val="000000"/>
          <w:sz w:val="24"/>
          <w:szCs w:val="24"/>
        </w:rPr>
        <w:t>A. pendula</w:t>
      </w:r>
      <w:r>
        <w:rPr>
          <w:rFonts w:ascii="Times New Roman" w:eastAsia="Times New Roman" w:hAnsi="Times New Roman" w:cs="Times New Roman"/>
          <w:color w:val="000000"/>
          <w:sz w:val="24"/>
          <w:szCs w:val="24"/>
        </w:rPr>
        <w:t xml:space="preserve"> its great therapeutic activity. Tannins have antibacterial properties as well. Many plant-based foods contain tannins, also known as tannic acid, which are water-soluble polyphenols. Plant polyphenols that </w:t>
      </w:r>
      <w:r>
        <w:rPr>
          <w:rFonts w:ascii="Times New Roman" w:eastAsia="Times New Roman" w:hAnsi="Times New Roman" w:cs="Times New Roman"/>
          <w:color w:val="000000"/>
          <w:sz w:val="24"/>
          <w:szCs w:val="24"/>
        </w:rPr>
        <w:lastRenderedPageBreak/>
        <w:t>precipitate proteins and are soluble in water are called tannins. According to reports, tannins inhibit the growth of germs by precipitating microbial protein and rendering it inaccessible to them (</w:t>
      </w:r>
      <w:proofErr w:type="spellStart"/>
      <w:r>
        <w:rPr>
          <w:rFonts w:ascii="Times New Roman" w:eastAsia="Times New Roman" w:hAnsi="Times New Roman" w:cs="Times New Roman"/>
          <w:color w:val="000000"/>
          <w:sz w:val="24"/>
          <w:szCs w:val="24"/>
        </w:rPr>
        <w:t>Sodipo</w:t>
      </w:r>
      <w:proofErr w:type="spellEnd"/>
      <w:r>
        <w:rPr>
          <w:rFonts w:ascii="Times New Roman" w:eastAsia="Times New Roman" w:hAnsi="Times New Roman" w:cs="Times New Roman"/>
          <w:color w:val="000000"/>
          <w:sz w:val="24"/>
          <w:szCs w:val="24"/>
        </w:rPr>
        <w:t xml:space="preserve"> et al., 1991). According to Chung et al. (1998), tannins suppressed the growth of several bacteria, viruses, yeasts, and fungi.  Tannin-containing plants are used in phytotherapy to treat mildly wounded skin, mouth and throat inflammations, and nonspecific diarrhoea. </w:t>
      </w:r>
      <w:proofErr w:type="spellStart"/>
      <w:r>
        <w:rPr>
          <w:rFonts w:ascii="Times New Roman" w:eastAsia="Times New Roman" w:hAnsi="Times New Roman" w:cs="Times New Roman"/>
          <w:color w:val="000000"/>
          <w:sz w:val="24"/>
          <w:szCs w:val="24"/>
        </w:rPr>
        <w:t>Phlobatannins</w:t>
      </w:r>
      <w:proofErr w:type="spellEnd"/>
      <w:r>
        <w:rPr>
          <w:rFonts w:ascii="Times New Roman" w:eastAsia="Times New Roman" w:hAnsi="Times New Roman" w:cs="Times New Roman"/>
          <w:color w:val="000000"/>
          <w:sz w:val="24"/>
          <w:szCs w:val="24"/>
        </w:rPr>
        <w:t xml:space="preserve"> and anthraquinones, for example, were not detectable in either the methanolic or ethyl acetate extracts, indicating that they may not be present at all or may not be extracted efficiently with these solvents. </w:t>
      </w:r>
      <w:r>
        <w:rPr>
          <w:rFonts w:ascii="Times New Roman" w:eastAsia="Times New Roman" w:hAnsi="Times New Roman" w:cs="Times New Roman"/>
          <w:color w:val="000000"/>
          <w:sz w:val="24"/>
          <w:szCs w:val="24"/>
        </w:rPr>
        <w:br/>
      </w:r>
    </w:p>
    <w:p w14:paraId="11E2C1F6" w14:textId="77777777" w:rsidR="00D8743C" w:rsidRDefault="00BB1CB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Significant variations in the composition of </w:t>
      </w:r>
      <w:proofErr w:type="spellStart"/>
      <w:r>
        <w:rPr>
          <w:rFonts w:ascii="Times New Roman" w:eastAsia="Times New Roman" w:hAnsi="Times New Roman" w:cs="Times New Roman"/>
          <w:color w:val="000000"/>
          <w:sz w:val="24"/>
          <w:szCs w:val="24"/>
        </w:rPr>
        <w:t>Anogeissus</w:t>
      </w:r>
      <w:proofErr w:type="spellEnd"/>
      <w:r>
        <w:rPr>
          <w:rFonts w:ascii="Times New Roman" w:eastAsia="Times New Roman" w:hAnsi="Times New Roman" w:cs="Times New Roman"/>
          <w:color w:val="000000"/>
          <w:sz w:val="24"/>
          <w:szCs w:val="24"/>
        </w:rPr>
        <w:t xml:space="preserve"> pendula's leaves and stem were found by the quantitative analysis. Compared to the stem, the leaf was found to have higher levels of proteins, ascorbic acid, lipids, alkaloids, reducing and non-reducing sugars, and other nutrients. In particular, the stem had 80 mg/g of reducing sugars and 40 mg/g of non-reducing sugars, whereas the leaf had 100 mg/g of both. The leaf's potential for greater nutritional and therapeutic value was further highlighted by its higher concentrations of proteins (83 mg/g), ascorbic acid (1.00 mg/g), and alkaloids (24 mg/g). The stem, on the other hand, displayed relatively reduced concentrations of these substances, especially in lipids (21 mg/g) and alkaloids (1.5 mg/g), even if it still contained significant amounts of them. Because of their analgesic, antispasmodic, and antibacterial properties, pure separated alkaloids and their synthetic derivatives are employed as fundamental therapeutic agents (Stray 1998). When given to animals, they show noticeable physiological activity. Although the precise mechanism of action is unclear, the alkaloid content found in </w:t>
      </w:r>
      <w:r>
        <w:rPr>
          <w:rFonts w:ascii="Times New Roman" w:eastAsia="Times New Roman" w:hAnsi="Times New Roman" w:cs="Times New Roman"/>
          <w:i/>
          <w:color w:val="000000"/>
          <w:sz w:val="24"/>
          <w:szCs w:val="24"/>
        </w:rPr>
        <w:t xml:space="preserve">A. pendula </w:t>
      </w:r>
      <w:r>
        <w:rPr>
          <w:rFonts w:ascii="Times New Roman" w:eastAsia="Times New Roman" w:hAnsi="Times New Roman" w:cs="Times New Roman"/>
          <w:color w:val="000000"/>
          <w:sz w:val="24"/>
          <w:szCs w:val="24"/>
        </w:rPr>
        <w:t xml:space="preserve">may be the cause of their highly praised medicinal qualities, according to the current study. According to these results, </w:t>
      </w:r>
      <w:proofErr w:type="spellStart"/>
      <w:r>
        <w:rPr>
          <w:rFonts w:ascii="Times New Roman" w:eastAsia="Times New Roman" w:hAnsi="Times New Roman" w:cs="Times New Roman"/>
          <w:i/>
          <w:color w:val="000000"/>
          <w:sz w:val="24"/>
          <w:szCs w:val="24"/>
        </w:rPr>
        <w:t>Anogeissus</w:t>
      </w:r>
      <w:proofErr w:type="spellEnd"/>
      <w:r>
        <w:rPr>
          <w:rFonts w:ascii="Times New Roman" w:eastAsia="Times New Roman" w:hAnsi="Times New Roman" w:cs="Times New Roman"/>
          <w:i/>
          <w:color w:val="000000"/>
          <w:sz w:val="24"/>
          <w:szCs w:val="24"/>
        </w:rPr>
        <w:t xml:space="preserve"> pendula </w:t>
      </w:r>
      <w:r>
        <w:rPr>
          <w:rFonts w:ascii="Times New Roman" w:eastAsia="Times New Roman" w:hAnsi="Times New Roman" w:cs="Times New Roman"/>
          <w:color w:val="000000"/>
          <w:sz w:val="24"/>
          <w:szCs w:val="24"/>
        </w:rPr>
        <w:t>leaves may have stronger bioactive qualities, which could increase their value in pharmaceutical applications. But the content of the stem is also worth taking into account, particularly because of its peculiar phytochemical profile, which may have particular medicinal effects. Further studies are needed to explore the specific biological activities of these compounds and their synergistic effects in both leaf and stem extracts.</w:t>
      </w:r>
    </w:p>
    <w:p w14:paraId="11E2C1F7" w14:textId="77777777" w:rsidR="00D8743C" w:rsidRDefault="00D8743C">
      <w:pPr>
        <w:spacing w:line="360" w:lineRule="auto"/>
        <w:jc w:val="both"/>
        <w:rPr>
          <w:rFonts w:ascii="Times New Roman" w:eastAsia="Times New Roman" w:hAnsi="Times New Roman" w:cs="Times New Roman"/>
          <w:sz w:val="24"/>
          <w:szCs w:val="24"/>
        </w:rPr>
      </w:pPr>
    </w:p>
    <w:p w14:paraId="11E2C1F8" w14:textId="77777777" w:rsidR="00D8743C" w:rsidRDefault="00D8743C">
      <w:pPr>
        <w:spacing w:line="360" w:lineRule="auto"/>
        <w:jc w:val="both"/>
        <w:rPr>
          <w:rFonts w:ascii="Times New Roman" w:eastAsia="Times New Roman" w:hAnsi="Times New Roman" w:cs="Times New Roman"/>
          <w:sz w:val="24"/>
          <w:szCs w:val="24"/>
        </w:rPr>
      </w:pPr>
    </w:p>
    <w:p w14:paraId="11E2C1F9" w14:textId="5264BDC2" w:rsidR="00D8743C" w:rsidRPr="00E34AA3" w:rsidRDefault="00BB1CB6" w:rsidP="00E34AA3">
      <w:pPr>
        <w:pStyle w:val="ListParagraph"/>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E34AA3">
        <w:rPr>
          <w:rFonts w:ascii="Times New Roman" w:eastAsia="Times New Roman" w:hAnsi="Times New Roman" w:cs="Times New Roman"/>
          <w:b/>
          <w:color w:val="000000"/>
          <w:sz w:val="24"/>
          <w:szCs w:val="24"/>
        </w:rPr>
        <w:t>Future Aspects</w:t>
      </w:r>
    </w:p>
    <w:p w14:paraId="11E2C1FA"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Further studies should focus on isolating and purifying the specific phytochemicals responsible for the plant's medicinal properties, allowing for targeted therapeutic applications.</w:t>
      </w:r>
    </w:p>
    <w:p w14:paraId="11E2C1FB"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In-vitro and in-vivo testing of extracts can confirm their medicinal potential, particularly in areas like wound healing, cardiovascular support, and neuroprotection.</w:t>
      </w:r>
    </w:p>
    <w:p w14:paraId="11E2C1FC"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Comprehensive toxicological evaluations are essential to determine safe dosage levels and ensure the plant extracts are non-toxic for human or animal use.</w:t>
      </w:r>
    </w:p>
    <w:p w14:paraId="11E2C1FD"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its phytochemical richness, </w:t>
      </w:r>
      <w:r>
        <w:rPr>
          <w:rFonts w:ascii="Times New Roman" w:eastAsia="Times New Roman" w:hAnsi="Times New Roman" w:cs="Times New Roman"/>
          <w:i/>
          <w:color w:val="000000"/>
          <w:sz w:val="24"/>
          <w:szCs w:val="24"/>
        </w:rPr>
        <w:t>A. pendula</w:t>
      </w:r>
      <w:r>
        <w:rPr>
          <w:rFonts w:ascii="Times New Roman" w:eastAsia="Times New Roman" w:hAnsi="Times New Roman" w:cs="Times New Roman"/>
          <w:color w:val="000000"/>
          <w:sz w:val="24"/>
          <w:szCs w:val="24"/>
        </w:rPr>
        <w:t xml:space="preserve"> can be used to create herbal products such as supplements, topical applications, or health beverages.</w:t>
      </w:r>
    </w:p>
    <w:p w14:paraId="11E2C1FE"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presence of lignin and phenolics suggests potential for the plant in the development of biodegradable plastics, natural resins, or eco-friendly composites.</w:t>
      </w:r>
    </w:p>
    <w:p w14:paraId="11E2C1FF"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high levels of proteins, sugars, lipids, and vitamin C, the leaf extract may serve as a valuable ingredient in functional foods or nutraceutical products</w:t>
      </w:r>
    </w:p>
    <w:p w14:paraId="11E2C200" w14:textId="77777777" w:rsidR="00D8743C" w:rsidRDefault="00D8743C">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1E2C201" w14:textId="77777777" w:rsidR="00D8743C" w:rsidRPr="00B668A1" w:rsidRDefault="00BB1CB6" w:rsidP="00B668A1">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B668A1">
        <w:rPr>
          <w:rFonts w:ascii="Times New Roman" w:eastAsia="Times New Roman" w:hAnsi="Times New Roman" w:cs="Times New Roman"/>
          <w:b/>
          <w:color w:val="000000"/>
          <w:sz w:val="24"/>
          <w:szCs w:val="24"/>
        </w:rPr>
        <w:t>Conclusion</w:t>
      </w:r>
    </w:p>
    <w:p w14:paraId="11E2C202" w14:textId="77777777"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phytochemical diversity and bioactive potential of </w:t>
      </w: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 xml:space="preserve">are thoroughly highlighted in this work, with special attention paid to the compounds' varying distribution in the leaf and stem extracts. Several important phytochemicals, including flavonoids, alkaloids, terpenoids, phenolics, and cardiac glycosides, were found through qualitative screening. Notable extract-specific substances, such as tannins and resins, were only found in ethyl acetate extracts. Additionally, quantitative analysis showed that the leaf has substantially higher concentrations of compounds that are relevant to pharmacology and nutrition, such as reducing sugars, proteins, lipids, ascorbic acid, and alkaloids, indicating that it has more therapeutic and nutritional value than the stem. The presence of substances like lignin and phenolics suggests that this plant may be used to create natural polymers or composite materials. These results not only validate </w:t>
      </w:r>
      <w:r>
        <w:rPr>
          <w:rFonts w:ascii="Times New Roman" w:eastAsia="Times New Roman" w:hAnsi="Times New Roman" w:cs="Times New Roman"/>
          <w:i/>
          <w:sz w:val="24"/>
          <w:szCs w:val="24"/>
        </w:rPr>
        <w:t>A. pendula</w:t>
      </w:r>
      <w:r>
        <w:rPr>
          <w:rFonts w:ascii="Times New Roman" w:eastAsia="Times New Roman" w:hAnsi="Times New Roman" w:cs="Times New Roman"/>
          <w:sz w:val="24"/>
          <w:szCs w:val="24"/>
        </w:rPr>
        <w:t>'s traditional therapeutic use but also pave the way for its application in the fields of material science, pharmaceuticals, and nutraceuticals. To fully utilise its medical and industrial potential, further thorough research on its bioactivity, toxicity, and mechanism of action would be beneficial.</w:t>
      </w:r>
    </w:p>
    <w:p w14:paraId="11E2C203" w14:textId="77777777" w:rsidR="00D8743C" w:rsidRDefault="00D8743C">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1E2C204" w14:textId="77777777" w:rsidR="00D8743C" w:rsidRDefault="00D8743C">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1E2C205" w14:textId="77777777" w:rsidR="00D8743C" w:rsidRDefault="00D8743C">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1E2C206" w14:textId="77777777" w:rsidR="00D8743C" w:rsidRPr="002966B9" w:rsidRDefault="00BB1CB6" w:rsidP="002966B9">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2966B9">
        <w:rPr>
          <w:rFonts w:ascii="Times New Roman" w:eastAsia="Times New Roman" w:hAnsi="Times New Roman" w:cs="Times New Roman"/>
          <w:b/>
          <w:color w:val="000000"/>
          <w:sz w:val="24"/>
          <w:szCs w:val="24"/>
        </w:rPr>
        <w:lastRenderedPageBreak/>
        <w:t>References</w:t>
      </w:r>
    </w:p>
    <w:p w14:paraId="11E2C207" w14:textId="77777777" w:rsidR="00D8743C" w:rsidRDefault="00D8743C">
      <w:pPr>
        <w:spacing w:line="360" w:lineRule="auto"/>
        <w:jc w:val="both"/>
        <w:rPr>
          <w:rFonts w:ascii="Times New Roman" w:eastAsia="Times New Roman" w:hAnsi="Times New Roman" w:cs="Times New Roman"/>
          <w:sz w:val="24"/>
          <w:szCs w:val="24"/>
        </w:rPr>
      </w:pPr>
    </w:p>
    <w:p w14:paraId="11E2C208" w14:textId="77777777" w:rsidR="00D8743C" w:rsidRDefault="00BB1CB6">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222222"/>
          <w:sz w:val="24"/>
          <w:szCs w:val="24"/>
          <w:highlight w:val="white"/>
        </w:rPr>
        <w:t>Chung, K. T., Wong, T. Y., Wei, C. I., Huang, Y. W., &amp; Lin, Y. (1998). Tannins and human health: a review. </w:t>
      </w:r>
      <w:r>
        <w:rPr>
          <w:rFonts w:ascii="Times New Roman" w:eastAsia="Times New Roman" w:hAnsi="Times New Roman" w:cs="Times New Roman"/>
          <w:i/>
          <w:color w:val="222222"/>
          <w:sz w:val="24"/>
          <w:szCs w:val="24"/>
          <w:highlight w:val="white"/>
        </w:rPr>
        <w:t>Critical reviews in food science and nutrition</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38</w:t>
      </w:r>
      <w:r>
        <w:rPr>
          <w:rFonts w:ascii="Times New Roman" w:eastAsia="Times New Roman" w:hAnsi="Times New Roman" w:cs="Times New Roman"/>
          <w:color w:val="222222"/>
          <w:sz w:val="24"/>
          <w:szCs w:val="24"/>
          <w:highlight w:val="white"/>
        </w:rPr>
        <w:t>(6), 421-464.</w:t>
      </w:r>
    </w:p>
    <w:p w14:paraId="11E2C209"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 xml:space="preserve">Danai, P., Patel, S., Pandey, V., Singh, P., Yadav, G., Kumar, A., &amp; Agarwal, T. (2021). Antiulcerogenic activity of </w:t>
      </w:r>
      <w:proofErr w:type="spellStart"/>
      <w:r>
        <w:rPr>
          <w:rFonts w:ascii="Times New Roman" w:eastAsia="Times New Roman" w:hAnsi="Times New Roman" w:cs="Times New Roman"/>
          <w:i/>
          <w:color w:val="222222"/>
          <w:sz w:val="24"/>
          <w:szCs w:val="24"/>
          <w:highlight w:val="white"/>
        </w:rPr>
        <w:t>Anogeissus</w:t>
      </w:r>
      <w:proofErr w:type="spellEnd"/>
      <w:r>
        <w:rPr>
          <w:rFonts w:ascii="Times New Roman" w:eastAsia="Times New Roman" w:hAnsi="Times New Roman" w:cs="Times New Roman"/>
          <w:i/>
          <w:color w:val="222222"/>
          <w:sz w:val="24"/>
          <w:szCs w:val="24"/>
          <w:highlight w:val="white"/>
        </w:rPr>
        <w:t xml:space="preserve"> pendula </w:t>
      </w:r>
      <w:r>
        <w:rPr>
          <w:rFonts w:ascii="Times New Roman" w:eastAsia="Times New Roman" w:hAnsi="Times New Roman" w:cs="Times New Roman"/>
          <w:color w:val="222222"/>
          <w:sz w:val="24"/>
          <w:szCs w:val="24"/>
          <w:highlight w:val="white"/>
        </w:rPr>
        <w:t>hydroalcoholic extract on pylorus ligated induced gastric ulcers in Albino Wistar rats. </w:t>
      </w:r>
      <w:r>
        <w:rPr>
          <w:rFonts w:ascii="Times New Roman" w:eastAsia="Times New Roman" w:hAnsi="Times New Roman" w:cs="Times New Roman"/>
          <w:i/>
          <w:color w:val="222222"/>
          <w:sz w:val="24"/>
          <w:szCs w:val="24"/>
          <w:highlight w:val="white"/>
        </w:rPr>
        <w:t>Phytomedicine Plus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w:t>
      </w:r>
      <w:r>
        <w:rPr>
          <w:rFonts w:ascii="Times New Roman" w:eastAsia="Times New Roman" w:hAnsi="Times New Roman" w:cs="Times New Roman"/>
          <w:color w:val="222222"/>
          <w:sz w:val="24"/>
          <w:szCs w:val="24"/>
          <w:highlight w:val="white"/>
        </w:rPr>
        <w:t>(4), 100127.</w:t>
      </w:r>
    </w:p>
    <w:p w14:paraId="11E2C20A"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 xml:space="preserve">De Silva, G. O., </w:t>
      </w:r>
      <w:proofErr w:type="spellStart"/>
      <w:r>
        <w:rPr>
          <w:rFonts w:ascii="Times New Roman" w:eastAsia="Times New Roman" w:hAnsi="Times New Roman" w:cs="Times New Roman"/>
          <w:color w:val="222222"/>
          <w:sz w:val="24"/>
          <w:szCs w:val="24"/>
          <w:highlight w:val="white"/>
        </w:rPr>
        <w:t>Abeysundara</w:t>
      </w:r>
      <w:proofErr w:type="spellEnd"/>
      <w:r>
        <w:rPr>
          <w:rFonts w:ascii="Times New Roman" w:eastAsia="Times New Roman" w:hAnsi="Times New Roman" w:cs="Times New Roman"/>
          <w:color w:val="222222"/>
          <w:sz w:val="24"/>
          <w:szCs w:val="24"/>
          <w:highlight w:val="white"/>
        </w:rPr>
        <w:t xml:space="preserve">, A. T., &amp; </w:t>
      </w:r>
      <w:proofErr w:type="spellStart"/>
      <w:r>
        <w:rPr>
          <w:rFonts w:ascii="Times New Roman" w:eastAsia="Times New Roman" w:hAnsi="Times New Roman" w:cs="Times New Roman"/>
          <w:color w:val="222222"/>
          <w:sz w:val="24"/>
          <w:szCs w:val="24"/>
          <w:highlight w:val="white"/>
        </w:rPr>
        <w:t>Aponso</w:t>
      </w:r>
      <w:proofErr w:type="spellEnd"/>
      <w:r>
        <w:rPr>
          <w:rFonts w:ascii="Times New Roman" w:eastAsia="Times New Roman" w:hAnsi="Times New Roman" w:cs="Times New Roman"/>
          <w:color w:val="222222"/>
          <w:sz w:val="24"/>
          <w:szCs w:val="24"/>
          <w:highlight w:val="white"/>
        </w:rPr>
        <w:t>, M. M. W. (2017). Extraction methods, qualitative and quantitative techniques for screening of phytochemicals from plants. </w:t>
      </w:r>
      <w:r>
        <w:rPr>
          <w:rFonts w:ascii="Times New Roman" w:eastAsia="Times New Roman" w:hAnsi="Times New Roman" w:cs="Times New Roman"/>
          <w:i/>
          <w:color w:val="222222"/>
          <w:sz w:val="24"/>
          <w:szCs w:val="24"/>
          <w:highlight w:val="white"/>
        </w:rPr>
        <w:t>American Journal of Essential Oils and Natural Products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5</w:t>
      </w:r>
      <w:r>
        <w:rPr>
          <w:rFonts w:ascii="Times New Roman" w:eastAsia="Times New Roman" w:hAnsi="Times New Roman" w:cs="Times New Roman"/>
          <w:color w:val="222222"/>
          <w:sz w:val="24"/>
          <w:szCs w:val="24"/>
          <w:highlight w:val="white"/>
        </w:rPr>
        <w:t>(2), 29-32.</w:t>
      </w:r>
    </w:p>
    <w:p w14:paraId="11E2C20B"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u w:val="single"/>
        </w:rPr>
      </w:pPr>
      <w:proofErr w:type="spellStart"/>
      <w:r>
        <w:rPr>
          <w:rFonts w:ascii="Times New Roman" w:eastAsia="Times New Roman" w:hAnsi="Times New Roman" w:cs="Times New Roman"/>
          <w:color w:val="222222"/>
          <w:sz w:val="24"/>
          <w:szCs w:val="24"/>
          <w:highlight w:val="white"/>
        </w:rPr>
        <w:t>Hungund</w:t>
      </w:r>
      <w:proofErr w:type="spellEnd"/>
      <w:r>
        <w:rPr>
          <w:rFonts w:ascii="Times New Roman" w:eastAsia="Times New Roman" w:hAnsi="Times New Roman" w:cs="Times New Roman"/>
          <w:color w:val="222222"/>
          <w:sz w:val="24"/>
          <w:szCs w:val="24"/>
          <w:highlight w:val="white"/>
        </w:rPr>
        <w:t>, B. L., &amp; Pathak, C. H. (1971). </w:t>
      </w:r>
      <w:r>
        <w:rPr>
          <w:rFonts w:ascii="Times New Roman" w:eastAsia="Times New Roman" w:hAnsi="Times New Roman" w:cs="Times New Roman"/>
          <w:i/>
          <w:color w:val="222222"/>
          <w:sz w:val="24"/>
          <w:szCs w:val="24"/>
          <w:highlight w:val="white"/>
        </w:rPr>
        <w:t>A survey of plants in Gujarat, India, for alkaloids, saponins, and tannins</w:t>
      </w:r>
      <w:r>
        <w:rPr>
          <w:rFonts w:ascii="Times New Roman" w:eastAsia="Times New Roman" w:hAnsi="Times New Roman" w:cs="Times New Roman"/>
          <w:color w:val="222222"/>
          <w:sz w:val="24"/>
          <w:szCs w:val="24"/>
          <w:highlight w:val="white"/>
        </w:rPr>
        <w:t> (Vol. 201). Northeastern Forest Experiment Station, Forest Service, US Department of Agriculture.</w:t>
      </w:r>
    </w:p>
    <w:p w14:paraId="11E2C20C"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222222"/>
          <w:sz w:val="24"/>
          <w:szCs w:val="24"/>
          <w:highlight w:val="white"/>
        </w:rPr>
        <w:t>Khandelwal, K. (2008). </w:t>
      </w:r>
      <w:r>
        <w:rPr>
          <w:rFonts w:ascii="Times New Roman" w:eastAsia="Times New Roman" w:hAnsi="Times New Roman" w:cs="Times New Roman"/>
          <w:i/>
          <w:color w:val="222222"/>
          <w:sz w:val="24"/>
          <w:szCs w:val="24"/>
          <w:highlight w:val="white"/>
        </w:rPr>
        <w:t>Practical pharmacognosy</w:t>
      </w:r>
      <w:r>
        <w:rPr>
          <w:rFonts w:ascii="Times New Roman" w:eastAsia="Times New Roman" w:hAnsi="Times New Roman" w:cs="Times New Roman"/>
          <w:color w:val="222222"/>
          <w:sz w:val="24"/>
          <w:szCs w:val="24"/>
          <w:highlight w:val="white"/>
        </w:rPr>
        <w:t xml:space="preserve">. Pragati Books </w:t>
      </w:r>
      <w:proofErr w:type="spellStart"/>
      <w:r>
        <w:rPr>
          <w:rFonts w:ascii="Times New Roman" w:eastAsia="Times New Roman" w:hAnsi="Times New Roman" w:cs="Times New Roman"/>
          <w:color w:val="222222"/>
          <w:sz w:val="24"/>
          <w:szCs w:val="24"/>
          <w:highlight w:val="white"/>
        </w:rPr>
        <w:t>Pvt.</w:t>
      </w:r>
      <w:proofErr w:type="spell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Ltd..</w:t>
      </w:r>
      <w:proofErr w:type="gramEnd"/>
    </w:p>
    <w:p w14:paraId="11E2C20D"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Krishen, P. (2013). </w:t>
      </w:r>
      <w:r>
        <w:rPr>
          <w:rFonts w:ascii="Times New Roman" w:eastAsia="Times New Roman" w:hAnsi="Times New Roman" w:cs="Times New Roman"/>
          <w:i/>
          <w:color w:val="222222"/>
          <w:sz w:val="24"/>
          <w:szCs w:val="24"/>
          <w:highlight w:val="white"/>
        </w:rPr>
        <w:t>Jungle trees of central India: A field guide for tree spotters</w:t>
      </w:r>
      <w:r>
        <w:rPr>
          <w:rFonts w:ascii="Times New Roman" w:eastAsia="Times New Roman" w:hAnsi="Times New Roman" w:cs="Times New Roman"/>
          <w:color w:val="222222"/>
          <w:sz w:val="24"/>
          <w:szCs w:val="24"/>
          <w:highlight w:val="white"/>
        </w:rPr>
        <w:t>. Penguin Books.</w:t>
      </w:r>
    </w:p>
    <w:p w14:paraId="11E2C20E"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 xml:space="preserve">Lata, S., &amp; </w:t>
      </w:r>
      <w:proofErr w:type="spellStart"/>
      <w:r>
        <w:rPr>
          <w:rFonts w:ascii="Times New Roman" w:eastAsia="Times New Roman" w:hAnsi="Times New Roman" w:cs="Times New Roman"/>
          <w:color w:val="222222"/>
          <w:sz w:val="24"/>
          <w:szCs w:val="24"/>
          <w:highlight w:val="white"/>
        </w:rPr>
        <w:t>Bhadoria</w:t>
      </w:r>
      <w:proofErr w:type="spellEnd"/>
      <w:r>
        <w:rPr>
          <w:rFonts w:ascii="Times New Roman" w:eastAsia="Times New Roman" w:hAnsi="Times New Roman" w:cs="Times New Roman"/>
          <w:color w:val="222222"/>
          <w:sz w:val="24"/>
          <w:szCs w:val="24"/>
          <w:highlight w:val="white"/>
        </w:rPr>
        <w:t xml:space="preserve">, B. K. (2010). A novel chromone-substituted trimeric </w:t>
      </w:r>
      <w:proofErr w:type="spellStart"/>
      <w:r>
        <w:rPr>
          <w:rFonts w:ascii="Times New Roman" w:eastAsia="Times New Roman" w:hAnsi="Times New Roman" w:cs="Times New Roman"/>
          <w:color w:val="222222"/>
          <w:sz w:val="24"/>
          <w:szCs w:val="24"/>
          <w:highlight w:val="white"/>
        </w:rPr>
        <w:t>dihydroflavonol</w:t>
      </w:r>
      <w:proofErr w:type="spellEnd"/>
      <w:r>
        <w:rPr>
          <w:rFonts w:ascii="Times New Roman" w:eastAsia="Times New Roman" w:hAnsi="Times New Roman" w:cs="Times New Roman"/>
          <w:color w:val="222222"/>
          <w:sz w:val="24"/>
          <w:szCs w:val="24"/>
          <w:highlight w:val="white"/>
        </w:rPr>
        <w:t xml:space="preserve"> from </w:t>
      </w:r>
      <w:proofErr w:type="spellStart"/>
      <w:r>
        <w:rPr>
          <w:rFonts w:ascii="Times New Roman" w:eastAsia="Times New Roman" w:hAnsi="Times New Roman" w:cs="Times New Roman"/>
          <w:color w:val="222222"/>
          <w:sz w:val="24"/>
          <w:szCs w:val="24"/>
          <w:highlight w:val="white"/>
        </w:rPr>
        <w:t>Anogeissus</w:t>
      </w:r>
      <w:proofErr w:type="spellEnd"/>
      <w:r>
        <w:rPr>
          <w:rFonts w:ascii="Times New Roman" w:eastAsia="Times New Roman" w:hAnsi="Times New Roman" w:cs="Times New Roman"/>
          <w:color w:val="222222"/>
          <w:sz w:val="24"/>
          <w:szCs w:val="24"/>
          <w:highlight w:val="white"/>
        </w:rPr>
        <w:t xml:space="preserve"> pendula. </w:t>
      </w:r>
      <w:r>
        <w:rPr>
          <w:rFonts w:ascii="Times New Roman" w:eastAsia="Times New Roman" w:hAnsi="Times New Roman" w:cs="Times New Roman"/>
          <w:i/>
          <w:color w:val="222222"/>
          <w:sz w:val="24"/>
          <w:szCs w:val="24"/>
          <w:highlight w:val="white"/>
        </w:rPr>
        <w:t>Chemistry of natural compounds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46</w:t>
      </w:r>
      <w:r>
        <w:rPr>
          <w:rFonts w:ascii="Times New Roman" w:eastAsia="Times New Roman" w:hAnsi="Times New Roman" w:cs="Times New Roman"/>
          <w:color w:val="222222"/>
          <w:sz w:val="24"/>
          <w:szCs w:val="24"/>
          <w:highlight w:val="white"/>
        </w:rPr>
        <w:t>, 726-729.</w:t>
      </w:r>
    </w:p>
    <w:p w14:paraId="11E2C20F"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 xml:space="preserve">Lata, S., Koli, P., Singh, S., </w:t>
      </w:r>
      <w:proofErr w:type="spellStart"/>
      <w:r>
        <w:rPr>
          <w:rFonts w:ascii="Times New Roman" w:eastAsia="Times New Roman" w:hAnsi="Times New Roman" w:cs="Times New Roman"/>
          <w:color w:val="222222"/>
          <w:sz w:val="24"/>
          <w:szCs w:val="24"/>
          <w:highlight w:val="white"/>
        </w:rPr>
        <w:t>Bhadoria</w:t>
      </w:r>
      <w:proofErr w:type="spellEnd"/>
      <w:r>
        <w:rPr>
          <w:rFonts w:ascii="Times New Roman" w:eastAsia="Times New Roman" w:hAnsi="Times New Roman" w:cs="Times New Roman"/>
          <w:color w:val="222222"/>
          <w:sz w:val="24"/>
          <w:szCs w:val="24"/>
          <w:highlight w:val="white"/>
        </w:rPr>
        <w:t xml:space="preserve">, B. K., Chand, U., &amp; Ren, Y. (2023). The study of structure and effects of two new </w:t>
      </w:r>
      <w:proofErr w:type="spellStart"/>
      <w:r>
        <w:rPr>
          <w:rFonts w:ascii="Times New Roman" w:eastAsia="Times New Roman" w:hAnsi="Times New Roman" w:cs="Times New Roman"/>
          <w:color w:val="222222"/>
          <w:sz w:val="24"/>
          <w:szCs w:val="24"/>
          <w:highlight w:val="white"/>
        </w:rPr>
        <w:t>proanthocyanidins</w:t>
      </w:r>
      <w:proofErr w:type="spellEnd"/>
      <w:r>
        <w:rPr>
          <w:rFonts w:ascii="Times New Roman" w:eastAsia="Times New Roman" w:hAnsi="Times New Roman" w:cs="Times New Roman"/>
          <w:color w:val="222222"/>
          <w:sz w:val="24"/>
          <w:szCs w:val="24"/>
          <w:highlight w:val="white"/>
        </w:rPr>
        <w:t xml:space="preserve"> from </w:t>
      </w:r>
      <w:proofErr w:type="spellStart"/>
      <w:r>
        <w:rPr>
          <w:rFonts w:ascii="Times New Roman" w:eastAsia="Times New Roman" w:hAnsi="Times New Roman" w:cs="Times New Roman"/>
          <w:i/>
          <w:color w:val="222222"/>
          <w:sz w:val="24"/>
          <w:szCs w:val="24"/>
          <w:highlight w:val="white"/>
        </w:rPr>
        <w:t>Anogeissus</w:t>
      </w:r>
      <w:proofErr w:type="spellEnd"/>
      <w:r>
        <w:rPr>
          <w:rFonts w:ascii="Times New Roman" w:eastAsia="Times New Roman" w:hAnsi="Times New Roman" w:cs="Times New Roman"/>
          <w:i/>
          <w:color w:val="222222"/>
          <w:sz w:val="24"/>
          <w:szCs w:val="24"/>
          <w:highlight w:val="white"/>
        </w:rPr>
        <w:t xml:space="preserve"> pendula </w:t>
      </w:r>
      <w:r>
        <w:rPr>
          <w:rFonts w:ascii="Times New Roman" w:eastAsia="Times New Roman" w:hAnsi="Times New Roman" w:cs="Times New Roman"/>
          <w:color w:val="222222"/>
          <w:sz w:val="24"/>
          <w:szCs w:val="24"/>
          <w:highlight w:val="white"/>
        </w:rPr>
        <w:t>leaves on rumen enzyme activities. </w:t>
      </w:r>
      <w:r>
        <w:rPr>
          <w:rFonts w:ascii="Times New Roman" w:eastAsia="Times New Roman" w:hAnsi="Times New Roman" w:cs="Times New Roman"/>
          <w:i/>
          <w:color w:val="222222"/>
          <w:sz w:val="24"/>
          <w:szCs w:val="24"/>
          <w:highlight w:val="white"/>
        </w:rPr>
        <w:t>Frontiers in veterinary science</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10</w:t>
      </w:r>
      <w:r>
        <w:rPr>
          <w:rFonts w:ascii="Times New Roman" w:eastAsia="Times New Roman" w:hAnsi="Times New Roman" w:cs="Times New Roman"/>
          <w:color w:val="222222"/>
          <w:sz w:val="24"/>
          <w:szCs w:val="24"/>
          <w:highlight w:val="white"/>
        </w:rPr>
        <w:t>, 1163197.</w:t>
      </w:r>
    </w:p>
    <w:p w14:paraId="11E2C210"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Meena, D., Bhatnagar, S., &amp; Singh, A. (2018). A CRITICAL REVIEW ON ANOGEISSUS PENDULA: AN IMPORTANT SPECIES OF ARID ZONE. </w:t>
      </w:r>
      <w:r>
        <w:rPr>
          <w:rFonts w:ascii="Times New Roman" w:eastAsia="Times New Roman" w:hAnsi="Times New Roman" w:cs="Times New Roman"/>
          <w:i/>
          <w:color w:val="222222"/>
          <w:sz w:val="24"/>
          <w:szCs w:val="24"/>
          <w:highlight w:val="white"/>
        </w:rPr>
        <w:t>International Journal of Conservation Science</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9</w:t>
      </w:r>
      <w:r>
        <w:rPr>
          <w:rFonts w:ascii="Times New Roman" w:eastAsia="Times New Roman" w:hAnsi="Times New Roman" w:cs="Times New Roman"/>
          <w:color w:val="222222"/>
          <w:sz w:val="24"/>
          <w:szCs w:val="24"/>
          <w:highlight w:val="white"/>
        </w:rPr>
        <w:t>(1).</w:t>
      </w:r>
    </w:p>
    <w:p w14:paraId="11E2C211"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 xml:space="preserve">Nanna, R. S., </w:t>
      </w:r>
      <w:proofErr w:type="spellStart"/>
      <w:r>
        <w:rPr>
          <w:rFonts w:ascii="Times New Roman" w:eastAsia="Times New Roman" w:hAnsi="Times New Roman" w:cs="Times New Roman"/>
          <w:color w:val="222222"/>
          <w:sz w:val="24"/>
          <w:szCs w:val="24"/>
          <w:highlight w:val="white"/>
        </w:rPr>
        <w:t>Banala</w:t>
      </w:r>
      <w:proofErr w:type="spellEnd"/>
      <w:r>
        <w:rPr>
          <w:rFonts w:ascii="Times New Roman" w:eastAsia="Times New Roman" w:hAnsi="Times New Roman" w:cs="Times New Roman"/>
          <w:color w:val="222222"/>
          <w:sz w:val="24"/>
          <w:szCs w:val="24"/>
          <w:highlight w:val="white"/>
        </w:rPr>
        <w:t xml:space="preserve">, M., </w:t>
      </w:r>
      <w:proofErr w:type="spellStart"/>
      <w:r>
        <w:rPr>
          <w:rFonts w:ascii="Times New Roman" w:eastAsia="Times New Roman" w:hAnsi="Times New Roman" w:cs="Times New Roman"/>
          <w:color w:val="222222"/>
          <w:sz w:val="24"/>
          <w:szCs w:val="24"/>
          <w:highlight w:val="white"/>
        </w:rPr>
        <w:t>Pamulaparthi</w:t>
      </w:r>
      <w:proofErr w:type="spellEnd"/>
      <w:r>
        <w:rPr>
          <w:rFonts w:ascii="Times New Roman" w:eastAsia="Times New Roman" w:hAnsi="Times New Roman" w:cs="Times New Roman"/>
          <w:color w:val="222222"/>
          <w:sz w:val="24"/>
          <w:szCs w:val="24"/>
          <w:highlight w:val="white"/>
        </w:rPr>
        <w:t xml:space="preserve">, A., Kurra, A., &amp; </w:t>
      </w:r>
      <w:proofErr w:type="spellStart"/>
      <w:r>
        <w:rPr>
          <w:rFonts w:ascii="Times New Roman" w:eastAsia="Times New Roman" w:hAnsi="Times New Roman" w:cs="Times New Roman"/>
          <w:color w:val="222222"/>
          <w:sz w:val="24"/>
          <w:szCs w:val="24"/>
          <w:highlight w:val="white"/>
        </w:rPr>
        <w:t>Kagithoju</w:t>
      </w:r>
      <w:proofErr w:type="spellEnd"/>
      <w:r>
        <w:rPr>
          <w:rFonts w:ascii="Times New Roman" w:eastAsia="Times New Roman" w:hAnsi="Times New Roman" w:cs="Times New Roman"/>
          <w:color w:val="222222"/>
          <w:sz w:val="24"/>
          <w:szCs w:val="24"/>
          <w:highlight w:val="white"/>
        </w:rPr>
        <w:t xml:space="preserve">, S. (2013). Evaluation of phytochemicals and fluorescent analysis of seed and leaf extracts of </w:t>
      </w:r>
      <w:proofErr w:type="spellStart"/>
      <w:r>
        <w:rPr>
          <w:rFonts w:ascii="Times New Roman" w:eastAsia="Times New Roman" w:hAnsi="Times New Roman" w:cs="Times New Roman"/>
          <w:color w:val="222222"/>
          <w:sz w:val="24"/>
          <w:szCs w:val="24"/>
          <w:highlight w:val="white"/>
        </w:rPr>
        <w:t>Cajanus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cajan</w:t>
      </w:r>
      <w:proofErr w:type="spellEnd"/>
      <w:r>
        <w:rPr>
          <w:rFonts w:ascii="Times New Roman" w:eastAsia="Times New Roman" w:hAnsi="Times New Roman" w:cs="Times New Roman"/>
          <w:color w:val="222222"/>
          <w:sz w:val="24"/>
          <w:szCs w:val="24"/>
          <w:highlight w:val="white"/>
        </w:rPr>
        <w:t xml:space="preserve"> L. </w:t>
      </w:r>
      <w:r>
        <w:rPr>
          <w:rFonts w:ascii="Times New Roman" w:eastAsia="Times New Roman" w:hAnsi="Times New Roman" w:cs="Times New Roman"/>
          <w:i/>
          <w:color w:val="222222"/>
          <w:sz w:val="24"/>
          <w:szCs w:val="24"/>
          <w:highlight w:val="white"/>
        </w:rPr>
        <w:t>International journal of pharmaceutical sciences Review and Research</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22</w:t>
      </w:r>
      <w:r>
        <w:rPr>
          <w:rFonts w:ascii="Times New Roman" w:eastAsia="Times New Roman" w:hAnsi="Times New Roman" w:cs="Times New Roman"/>
          <w:color w:val="222222"/>
          <w:sz w:val="24"/>
          <w:szCs w:val="24"/>
          <w:highlight w:val="white"/>
        </w:rPr>
        <w:t>(1), 11-18.</w:t>
      </w:r>
    </w:p>
    <w:p w14:paraId="11E2C212"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Njoku, O. V., &amp; Obi, C. (2009). Phytochemical constituents of some selected medicinal plants. </w:t>
      </w:r>
      <w:r>
        <w:rPr>
          <w:rFonts w:ascii="Times New Roman" w:eastAsia="Times New Roman" w:hAnsi="Times New Roman" w:cs="Times New Roman"/>
          <w:i/>
          <w:color w:val="222222"/>
          <w:sz w:val="24"/>
          <w:szCs w:val="24"/>
          <w:highlight w:val="white"/>
        </w:rPr>
        <w:t>African journal of pure and applied chemistry</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w:t>
      </w:r>
      <w:r>
        <w:rPr>
          <w:rFonts w:ascii="Times New Roman" w:eastAsia="Times New Roman" w:hAnsi="Times New Roman" w:cs="Times New Roman"/>
          <w:color w:val="222222"/>
          <w:sz w:val="24"/>
          <w:szCs w:val="24"/>
          <w:highlight w:val="white"/>
        </w:rPr>
        <w:t>(11), 228-233.</w:t>
      </w:r>
    </w:p>
    <w:p w14:paraId="11E2C213"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Raaman, N. (2006). </w:t>
      </w:r>
      <w:r>
        <w:rPr>
          <w:rFonts w:ascii="Times New Roman" w:eastAsia="Times New Roman" w:hAnsi="Times New Roman" w:cs="Times New Roman"/>
          <w:i/>
          <w:color w:val="222222"/>
          <w:sz w:val="24"/>
          <w:szCs w:val="24"/>
          <w:highlight w:val="white"/>
        </w:rPr>
        <w:t>Phytochemical techniques</w:t>
      </w:r>
      <w:r>
        <w:rPr>
          <w:rFonts w:ascii="Times New Roman" w:eastAsia="Times New Roman" w:hAnsi="Times New Roman" w:cs="Times New Roman"/>
          <w:color w:val="222222"/>
          <w:sz w:val="24"/>
          <w:szCs w:val="24"/>
          <w:highlight w:val="white"/>
        </w:rPr>
        <w:t>. New India Publishing.</w:t>
      </w:r>
    </w:p>
    <w:p w14:paraId="11E2C214"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lastRenderedPageBreak/>
        <w:t>Ramana, D. B. V., Singh, S., Solanki, K. R., &amp; Negi, A. S. (2000). Nutritive evaluation of some nitrogen and non-nitrogen fixing multipurpose tree species. </w:t>
      </w:r>
      <w:r>
        <w:rPr>
          <w:rFonts w:ascii="Times New Roman" w:eastAsia="Times New Roman" w:hAnsi="Times New Roman" w:cs="Times New Roman"/>
          <w:i/>
          <w:color w:val="222222"/>
          <w:sz w:val="24"/>
          <w:szCs w:val="24"/>
          <w:highlight w:val="white"/>
        </w:rPr>
        <w:t>Animal feed science and technology</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88</w:t>
      </w:r>
      <w:r>
        <w:rPr>
          <w:rFonts w:ascii="Times New Roman" w:eastAsia="Times New Roman" w:hAnsi="Times New Roman" w:cs="Times New Roman"/>
          <w:color w:val="222222"/>
          <w:sz w:val="24"/>
          <w:szCs w:val="24"/>
          <w:highlight w:val="white"/>
        </w:rPr>
        <w:t>(1-2), 103-111.</w:t>
      </w:r>
      <w:r>
        <w:rPr>
          <w:rFonts w:ascii="Times New Roman" w:eastAsia="Times New Roman" w:hAnsi="Times New Roman" w:cs="Times New Roman"/>
          <w:color w:val="000000"/>
          <w:sz w:val="24"/>
          <w:szCs w:val="24"/>
          <w:u w:val="single"/>
        </w:rPr>
        <w:t xml:space="preserve"> </w:t>
      </w:r>
    </w:p>
    <w:p w14:paraId="11E2C215"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222222"/>
          <w:sz w:val="24"/>
          <w:szCs w:val="24"/>
          <w:highlight w:val="white"/>
        </w:rPr>
        <w:t xml:space="preserve">Santhi, K., &amp; Sengottuvel, R. (2016). Qualitative and quantitative phytochemical analysis of Moringa </w:t>
      </w:r>
      <w:proofErr w:type="spellStart"/>
      <w:r>
        <w:rPr>
          <w:rFonts w:ascii="Times New Roman" w:eastAsia="Times New Roman" w:hAnsi="Times New Roman" w:cs="Times New Roman"/>
          <w:color w:val="222222"/>
          <w:sz w:val="24"/>
          <w:szCs w:val="24"/>
          <w:highlight w:val="white"/>
        </w:rPr>
        <w:t>concanensis</w:t>
      </w:r>
      <w:proofErr w:type="spellEnd"/>
      <w:r>
        <w:rPr>
          <w:rFonts w:ascii="Times New Roman" w:eastAsia="Times New Roman" w:hAnsi="Times New Roman" w:cs="Times New Roman"/>
          <w:color w:val="222222"/>
          <w:sz w:val="24"/>
          <w:szCs w:val="24"/>
          <w:highlight w:val="white"/>
        </w:rPr>
        <w:t xml:space="preserve"> Nimmo. </w:t>
      </w:r>
      <w:r>
        <w:rPr>
          <w:rFonts w:ascii="Times New Roman" w:eastAsia="Times New Roman" w:hAnsi="Times New Roman" w:cs="Times New Roman"/>
          <w:i/>
          <w:color w:val="222222"/>
          <w:sz w:val="24"/>
          <w:szCs w:val="24"/>
          <w:highlight w:val="white"/>
        </w:rPr>
        <w:t>International Journal of Current Microbiology and Applied Sciences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5</w:t>
      </w:r>
      <w:r>
        <w:rPr>
          <w:rFonts w:ascii="Times New Roman" w:eastAsia="Times New Roman" w:hAnsi="Times New Roman" w:cs="Times New Roman"/>
          <w:color w:val="222222"/>
          <w:sz w:val="24"/>
          <w:szCs w:val="24"/>
          <w:highlight w:val="white"/>
        </w:rPr>
        <w:t>(1), 633-640.</w:t>
      </w:r>
    </w:p>
    <w:p w14:paraId="11E2C216"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 xml:space="preserve">Singh, D., Baghel, U. S., Gautam, A., Baghel, D. S., Yadav, D., Malik, J., &amp; Yadav, R. (2016). The genus </w:t>
      </w:r>
      <w:proofErr w:type="spellStart"/>
      <w:r>
        <w:rPr>
          <w:rFonts w:ascii="Times New Roman" w:eastAsia="Times New Roman" w:hAnsi="Times New Roman" w:cs="Times New Roman"/>
          <w:color w:val="222222"/>
          <w:sz w:val="24"/>
          <w:szCs w:val="24"/>
          <w:highlight w:val="white"/>
        </w:rPr>
        <w:t>Anogeissus</w:t>
      </w:r>
      <w:proofErr w:type="spellEnd"/>
      <w:r>
        <w:rPr>
          <w:rFonts w:ascii="Times New Roman" w:eastAsia="Times New Roman" w:hAnsi="Times New Roman" w:cs="Times New Roman"/>
          <w:color w:val="222222"/>
          <w:sz w:val="24"/>
          <w:szCs w:val="24"/>
          <w:highlight w:val="white"/>
        </w:rPr>
        <w:t>: A review on ethnopharmacology, phytochemistry and pharmacology. </w:t>
      </w:r>
      <w:r>
        <w:rPr>
          <w:rFonts w:ascii="Times New Roman" w:eastAsia="Times New Roman" w:hAnsi="Times New Roman" w:cs="Times New Roman"/>
          <w:i/>
          <w:color w:val="222222"/>
          <w:sz w:val="24"/>
          <w:szCs w:val="24"/>
          <w:highlight w:val="white"/>
        </w:rPr>
        <w:t>Journal of Ethnopharmacology</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194</w:t>
      </w:r>
      <w:r>
        <w:rPr>
          <w:rFonts w:ascii="Times New Roman" w:eastAsia="Times New Roman" w:hAnsi="Times New Roman" w:cs="Times New Roman"/>
          <w:color w:val="222222"/>
          <w:sz w:val="24"/>
          <w:szCs w:val="24"/>
          <w:highlight w:val="white"/>
        </w:rPr>
        <w:t>, 30-56.</w:t>
      </w:r>
    </w:p>
    <w:p w14:paraId="11E2C217"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 xml:space="preserve">Singh, D., Pannu, M. S., Nama, K. S., Baghel, U. S., &amp; Yadav, R. (2017). </w:t>
      </w:r>
      <w:proofErr w:type="spellStart"/>
      <w:r>
        <w:rPr>
          <w:rFonts w:ascii="Times New Roman" w:eastAsia="Times New Roman" w:hAnsi="Times New Roman" w:cs="Times New Roman"/>
          <w:color w:val="222222"/>
          <w:sz w:val="24"/>
          <w:szCs w:val="24"/>
          <w:highlight w:val="white"/>
        </w:rPr>
        <w:t>Pharmacognostic</w:t>
      </w:r>
      <w:proofErr w:type="spellEnd"/>
      <w:r>
        <w:rPr>
          <w:rFonts w:ascii="Times New Roman" w:eastAsia="Times New Roman" w:hAnsi="Times New Roman" w:cs="Times New Roman"/>
          <w:color w:val="222222"/>
          <w:sz w:val="24"/>
          <w:szCs w:val="24"/>
          <w:highlight w:val="white"/>
        </w:rPr>
        <w:t xml:space="preserve"> evaluation of stem bark and leaves of </w:t>
      </w:r>
      <w:proofErr w:type="spellStart"/>
      <w:r>
        <w:rPr>
          <w:rFonts w:ascii="Times New Roman" w:eastAsia="Times New Roman" w:hAnsi="Times New Roman" w:cs="Times New Roman"/>
          <w:i/>
          <w:color w:val="222222"/>
          <w:sz w:val="24"/>
          <w:szCs w:val="24"/>
          <w:highlight w:val="white"/>
        </w:rPr>
        <w:t>Anogeissus</w:t>
      </w:r>
      <w:proofErr w:type="spellEnd"/>
      <w:r>
        <w:rPr>
          <w:rFonts w:ascii="Times New Roman" w:eastAsia="Times New Roman" w:hAnsi="Times New Roman" w:cs="Times New Roman"/>
          <w:i/>
          <w:color w:val="222222"/>
          <w:sz w:val="24"/>
          <w:szCs w:val="24"/>
          <w:highlight w:val="white"/>
        </w:rPr>
        <w:t xml:space="preserve"> pendula </w:t>
      </w:r>
      <w:proofErr w:type="spellStart"/>
      <w:r>
        <w:rPr>
          <w:rFonts w:ascii="Times New Roman" w:eastAsia="Times New Roman" w:hAnsi="Times New Roman" w:cs="Times New Roman"/>
          <w:color w:val="222222"/>
          <w:sz w:val="24"/>
          <w:szCs w:val="24"/>
          <w:highlight w:val="white"/>
        </w:rPr>
        <w:t>Edgew</w:t>
      </w:r>
      <w:proofErr w:type="spellEnd"/>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Ancient Science of Life</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37</w:t>
      </w:r>
      <w:r>
        <w:rPr>
          <w:rFonts w:ascii="Times New Roman" w:eastAsia="Times New Roman" w:hAnsi="Times New Roman" w:cs="Times New Roman"/>
          <w:color w:val="222222"/>
          <w:sz w:val="24"/>
          <w:szCs w:val="24"/>
          <w:highlight w:val="white"/>
        </w:rPr>
        <w:t>(1), 3-8.</w:t>
      </w:r>
    </w:p>
    <w:p w14:paraId="11E2C218" w14:textId="77777777" w:rsidR="00D8743C" w:rsidRDefault="00BB1CB6">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Singh, V., &amp; Kumar, R. (2017). Study of phytochemical analysis and antioxidant activity of Allium sativum of Bundelkhand region. </w:t>
      </w:r>
      <w:r>
        <w:rPr>
          <w:rFonts w:ascii="Times New Roman" w:eastAsia="Times New Roman" w:hAnsi="Times New Roman" w:cs="Times New Roman"/>
          <w:i/>
          <w:color w:val="222222"/>
          <w:sz w:val="24"/>
          <w:szCs w:val="24"/>
          <w:highlight w:val="white"/>
        </w:rPr>
        <w:t>International Journal of Life-Sciences Scientific Research</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w:t>
      </w:r>
      <w:r>
        <w:rPr>
          <w:rFonts w:ascii="Times New Roman" w:eastAsia="Times New Roman" w:hAnsi="Times New Roman" w:cs="Times New Roman"/>
          <w:color w:val="222222"/>
          <w:sz w:val="24"/>
          <w:szCs w:val="24"/>
          <w:highlight w:val="white"/>
        </w:rPr>
        <w:t>(6), 1451-1458.</w:t>
      </w:r>
    </w:p>
    <w:p w14:paraId="11E2C219" w14:textId="77777777" w:rsidR="00D8743C" w:rsidRDefault="00BB1CB6">
      <w:pPr>
        <w:numPr>
          <w:ilvl w:val="0"/>
          <w:numId w:val="2"/>
        </w:numPr>
        <w:pBdr>
          <w:top w:val="nil"/>
          <w:left w:val="nil"/>
          <w:bottom w:val="nil"/>
          <w:right w:val="nil"/>
          <w:between w:val="nil"/>
        </w:pBdr>
        <w:spacing w:after="0" w:line="360" w:lineRule="auto"/>
        <w:jc w:val="both"/>
      </w:pPr>
      <w:proofErr w:type="spellStart"/>
      <w:r>
        <w:rPr>
          <w:rFonts w:ascii="Times New Roman" w:eastAsia="Times New Roman" w:hAnsi="Times New Roman" w:cs="Times New Roman"/>
          <w:color w:val="222222"/>
          <w:sz w:val="24"/>
          <w:szCs w:val="24"/>
          <w:highlight w:val="white"/>
        </w:rPr>
        <w:t>Sodipo</w:t>
      </w:r>
      <w:proofErr w:type="spellEnd"/>
      <w:r>
        <w:rPr>
          <w:rFonts w:ascii="Times New Roman" w:eastAsia="Times New Roman" w:hAnsi="Times New Roman" w:cs="Times New Roman"/>
          <w:color w:val="222222"/>
          <w:sz w:val="24"/>
          <w:szCs w:val="24"/>
          <w:highlight w:val="white"/>
        </w:rPr>
        <w:t xml:space="preserve">, O. A., Akanji, M. A., Kolawole, F. B., &amp; </w:t>
      </w:r>
      <w:proofErr w:type="spellStart"/>
      <w:r>
        <w:rPr>
          <w:rFonts w:ascii="Times New Roman" w:eastAsia="Times New Roman" w:hAnsi="Times New Roman" w:cs="Times New Roman"/>
          <w:color w:val="222222"/>
          <w:sz w:val="24"/>
          <w:szCs w:val="24"/>
          <w:highlight w:val="white"/>
        </w:rPr>
        <w:t>Odutuga</w:t>
      </w:r>
      <w:proofErr w:type="spellEnd"/>
      <w:r>
        <w:rPr>
          <w:rFonts w:ascii="Times New Roman" w:eastAsia="Times New Roman" w:hAnsi="Times New Roman" w:cs="Times New Roman"/>
          <w:color w:val="222222"/>
          <w:sz w:val="24"/>
          <w:szCs w:val="24"/>
          <w:highlight w:val="white"/>
        </w:rPr>
        <w:t>, A. A. (1991). Saponin is the active antifungal principle in Garcinia kola, heckle seed. </w:t>
      </w:r>
      <w:proofErr w:type="spellStart"/>
      <w:r>
        <w:rPr>
          <w:rFonts w:ascii="Times New Roman" w:eastAsia="Times New Roman" w:hAnsi="Times New Roman" w:cs="Times New Roman"/>
          <w:i/>
          <w:color w:val="222222"/>
          <w:sz w:val="24"/>
          <w:szCs w:val="24"/>
          <w:highlight w:val="white"/>
        </w:rPr>
        <w:t>Biosci</w:t>
      </w:r>
      <w:proofErr w:type="spellEnd"/>
      <w:r>
        <w:rPr>
          <w:rFonts w:ascii="Times New Roman" w:eastAsia="Times New Roman" w:hAnsi="Times New Roman" w:cs="Times New Roman"/>
          <w:i/>
          <w:color w:val="222222"/>
          <w:sz w:val="24"/>
          <w:szCs w:val="24"/>
          <w:highlight w:val="white"/>
        </w:rPr>
        <w:t>. Res. Commun</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w:t>
      </w:r>
      <w:r>
        <w:rPr>
          <w:rFonts w:ascii="Times New Roman" w:eastAsia="Times New Roman" w:hAnsi="Times New Roman" w:cs="Times New Roman"/>
          <w:color w:val="222222"/>
          <w:sz w:val="24"/>
          <w:szCs w:val="24"/>
          <w:highlight w:val="white"/>
        </w:rPr>
        <w:t>, 171.</w:t>
      </w:r>
    </w:p>
    <w:p w14:paraId="11E2C21A" w14:textId="77777777" w:rsidR="00D8743C" w:rsidRDefault="00BB1CB6">
      <w:pPr>
        <w:numPr>
          <w:ilvl w:val="0"/>
          <w:numId w:val="2"/>
        </w:numPr>
        <w:pBdr>
          <w:top w:val="nil"/>
          <w:left w:val="nil"/>
          <w:bottom w:val="nil"/>
          <w:right w:val="nil"/>
          <w:between w:val="nil"/>
        </w:pBdr>
        <w:spacing w:after="0" w:line="360" w:lineRule="auto"/>
        <w:jc w:val="both"/>
      </w:pPr>
      <w:proofErr w:type="spellStart"/>
      <w:r>
        <w:rPr>
          <w:rFonts w:ascii="Times New Roman" w:eastAsia="Times New Roman" w:hAnsi="Times New Roman" w:cs="Times New Roman"/>
          <w:color w:val="222222"/>
          <w:sz w:val="24"/>
          <w:szCs w:val="24"/>
          <w:highlight w:val="white"/>
        </w:rPr>
        <w:t>Sodipo</w:t>
      </w:r>
      <w:proofErr w:type="spellEnd"/>
      <w:r>
        <w:rPr>
          <w:rFonts w:ascii="Times New Roman" w:eastAsia="Times New Roman" w:hAnsi="Times New Roman" w:cs="Times New Roman"/>
          <w:color w:val="222222"/>
          <w:sz w:val="24"/>
          <w:szCs w:val="24"/>
          <w:highlight w:val="white"/>
        </w:rPr>
        <w:t xml:space="preserve">, O. A., AKINNIYI, J. A., &amp; </w:t>
      </w:r>
      <w:proofErr w:type="spellStart"/>
      <w:r>
        <w:rPr>
          <w:rFonts w:ascii="Times New Roman" w:eastAsia="Times New Roman" w:hAnsi="Times New Roman" w:cs="Times New Roman"/>
          <w:color w:val="222222"/>
          <w:sz w:val="24"/>
          <w:szCs w:val="24"/>
          <w:highlight w:val="white"/>
        </w:rPr>
        <w:t>Ogunbameru</w:t>
      </w:r>
      <w:proofErr w:type="spellEnd"/>
      <w:r>
        <w:rPr>
          <w:rFonts w:ascii="Times New Roman" w:eastAsia="Times New Roman" w:hAnsi="Times New Roman" w:cs="Times New Roman"/>
          <w:color w:val="222222"/>
          <w:sz w:val="24"/>
          <w:szCs w:val="24"/>
          <w:highlight w:val="white"/>
        </w:rPr>
        <w:t xml:space="preserve">, J. V. (2000). Studies on certain characteristics of extracts of bark of </w:t>
      </w:r>
      <w:proofErr w:type="spellStart"/>
      <w:r>
        <w:rPr>
          <w:rFonts w:ascii="Times New Roman" w:eastAsia="Times New Roman" w:hAnsi="Times New Roman" w:cs="Times New Roman"/>
          <w:color w:val="222222"/>
          <w:sz w:val="24"/>
          <w:szCs w:val="24"/>
          <w:highlight w:val="white"/>
        </w:rPr>
        <w:t>Pausinystalia</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johimbe</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Pausinystalia</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macroceras</w:t>
      </w:r>
      <w:proofErr w:type="spellEnd"/>
      <w:r>
        <w:rPr>
          <w:rFonts w:ascii="Times New Roman" w:eastAsia="Times New Roman" w:hAnsi="Times New Roman" w:cs="Times New Roman"/>
          <w:color w:val="222222"/>
          <w:sz w:val="24"/>
          <w:szCs w:val="24"/>
          <w:highlight w:val="white"/>
        </w:rPr>
        <w:t xml:space="preserve"> (K Schum) Pierre ex Beille. </w:t>
      </w:r>
      <w:r>
        <w:rPr>
          <w:rFonts w:ascii="Times New Roman" w:eastAsia="Times New Roman" w:hAnsi="Times New Roman" w:cs="Times New Roman"/>
          <w:i/>
          <w:color w:val="222222"/>
          <w:sz w:val="24"/>
          <w:szCs w:val="24"/>
          <w:highlight w:val="white"/>
        </w:rPr>
        <w:t>Global Journal of Pure and Applied Sciences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6</w:t>
      </w:r>
      <w:r>
        <w:rPr>
          <w:rFonts w:ascii="Times New Roman" w:eastAsia="Times New Roman" w:hAnsi="Times New Roman" w:cs="Times New Roman"/>
          <w:color w:val="222222"/>
          <w:sz w:val="24"/>
          <w:szCs w:val="24"/>
          <w:highlight w:val="white"/>
        </w:rPr>
        <w:t>(1), 83-88.</w:t>
      </w:r>
    </w:p>
    <w:p w14:paraId="11E2C21B" w14:textId="77777777" w:rsidR="00D8743C" w:rsidRDefault="00BB1CB6">
      <w:pPr>
        <w:numPr>
          <w:ilvl w:val="0"/>
          <w:numId w:val="2"/>
        </w:numPr>
        <w:pBdr>
          <w:top w:val="nil"/>
          <w:left w:val="nil"/>
          <w:bottom w:val="nil"/>
          <w:right w:val="nil"/>
          <w:between w:val="nil"/>
        </w:pBdr>
        <w:spacing w:after="0" w:line="360" w:lineRule="auto"/>
        <w:jc w:val="both"/>
      </w:pPr>
      <w:proofErr w:type="spellStart"/>
      <w:r w:rsidRPr="00FA3E00">
        <w:rPr>
          <w:rFonts w:ascii="Times New Roman" w:eastAsia="Times New Roman" w:hAnsi="Times New Roman" w:cs="Times New Roman"/>
          <w:bCs/>
          <w:color w:val="000000"/>
          <w:sz w:val="24"/>
          <w:szCs w:val="24"/>
        </w:rPr>
        <w:t>Stray.F</w:t>
      </w:r>
      <w:proofErr w:type="spellEnd"/>
      <w:r w:rsidRPr="00FA3E00">
        <w:rPr>
          <w:rFonts w:ascii="Times New Roman" w:eastAsia="Times New Roman" w:hAnsi="Times New Roman" w:cs="Times New Roman"/>
          <w:bCs/>
          <w:color w:val="000000"/>
          <w:sz w:val="24"/>
          <w:szCs w:val="24"/>
        </w:rPr>
        <w:t xml:space="preserve"> (1998).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Natural Guide to medicinal Herbs and plants, (London: Tiger Book International-,12-16.</w:t>
      </w:r>
    </w:p>
    <w:p w14:paraId="11E2C21C" w14:textId="77777777" w:rsidR="00D8743C" w:rsidRDefault="00BB1CB6">
      <w:pPr>
        <w:numPr>
          <w:ilvl w:val="0"/>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222222"/>
          <w:sz w:val="24"/>
          <w:szCs w:val="24"/>
          <w:highlight w:val="white"/>
        </w:rPr>
        <w:t>Tiwari, P., Kumar, B., Kaur, M., Kaur, G., &amp; Kaur, H. (2011). Phytochemical screening and extraction: A Review: Intern. </w:t>
      </w:r>
      <w:proofErr w:type="spellStart"/>
      <w:r>
        <w:rPr>
          <w:rFonts w:ascii="Times New Roman" w:eastAsia="Times New Roman" w:hAnsi="Times New Roman" w:cs="Times New Roman"/>
          <w:i/>
          <w:color w:val="222222"/>
          <w:sz w:val="24"/>
          <w:szCs w:val="24"/>
          <w:highlight w:val="white"/>
        </w:rPr>
        <w:t>Pharmaceutica</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Sciencia</w:t>
      </w:r>
      <w:proofErr w:type="spellEnd"/>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w:t>
      </w:r>
      <w:r>
        <w:rPr>
          <w:rFonts w:ascii="Times New Roman" w:eastAsia="Times New Roman" w:hAnsi="Times New Roman" w:cs="Times New Roman"/>
          <w:color w:val="222222"/>
          <w:sz w:val="24"/>
          <w:szCs w:val="24"/>
          <w:highlight w:val="white"/>
        </w:rPr>
        <w:t>(1).</w:t>
      </w:r>
    </w:p>
    <w:sectPr w:rsidR="00D874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9B47F" w14:textId="77777777" w:rsidR="005E63ED" w:rsidRDefault="005E63ED" w:rsidP="009C68EC">
      <w:pPr>
        <w:spacing w:after="0" w:line="240" w:lineRule="auto"/>
      </w:pPr>
      <w:r>
        <w:separator/>
      </w:r>
    </w:p>
  </w:endnote>
  <w:endnote w:type="continuationSeparator" w:id="0">
    <w:p w14:paraId="120664C3" w14:textId="77777777" w:rsidR="005E63ED" w:rsidRDefault="005E63ED" w:rsidP="009C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B056" w14:textId="77777777" w:rsidR="009C68EC" w:rsidRDefault="009C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D8E08" w14:textId="77777777" w:rsidR="009C68EC" w:rsidRDefault="009C6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DFA8" w14:textId="77777777" w:rsidR="009C68EC" w:rsidRDefault="009C6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1DAAB" w14:textId="77777777" w:rsidR="005E63ED" w:rsidRDefault="005E63ED" w:rsidP="009C68EC">
      <w:pPr>
        <w:spacing w:after="0" w:line="240" w:lineRule="auto"/>
      </w:pPr>
      <w:r>
        <w:separator/>
      </w:r>
    </w:p>
  </w:footnote>
  <w:footnote w:type="continuationSeparator" w:id="0">
    <w:p w14:paraId="089F59F1" w14:textId="77777777" w:rsidR="005E63ED" w:rsidRDefault="005E63ED" w:rsidP="009C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E0E" w14:textId="730CD38F" w:rsidR="009C68EC" w:rsidRDefault="009C68EC">
    <w:pPr>
      <w:pStyle w:val="Header"/>
    </w:pPr>
    <w:r>
      <w:rPr>
        <w:noProof/>
      </w:rPr>
      <w:pict w14:anchorId="6E093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6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B22A" w14:textId="0BF0F19F" w:rsidR="009C68EC" w:rsidRDefault="009C68EC">
    <w:pPr>
      <w:pStyle w:val="Header"/>
    </w:pPr>
    <w:r>
      <w:rPr>
        <w:noProof/>
      </w:rPr>
      <w:pict w14:anchorId="0C2F4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6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60ABE" w14:textId="0CF2833B" w:rsidR="009C68EC" w:rsidRDefault="009C68EC">
    <w:pPr>
      <w:pStyle w:val="Header"/>
    </w:pPr>
    <w:r>
      <w:rPr>
        <w:noProof/>
      </w:rPr>
      <w:pict w14:anchorId="31D32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6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786C"/>
    <w:multiLevelType w:val="multilevel"/>
    <w:tmpl w:val="45F67E2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D6879"/>
    <w:multiLevelType w:val="multilevel"/>
    <w:tmpl w:val="874CFB4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154625"/>
    <w:multiLevelType w:val="multilevel"/>
    <w:tmpl w:val="799CD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367728"/>
    <w:multiLevelType w:val="hybridMultilevel"/>
    <w:tmpl w:val="18BA11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8E316BB"/>
    <w:multiLevelType w:val="multilevel"/>
    <w:tmpl w:val="266EB8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A46AB7"/>
    <w:multiLevelType w:val="hybridMultilevel"/>
    <w:tmpl w:val="76204B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6D6693"/>
    <w:multiLevelType w:val="multilevel"/>
    <w:tmpl w:val="75722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3C"/>
    <w:rsid w:val="00044FE8"/>
    <w:rsid w:val="00114DC5"/>
    <w:rsid w:val="0011786A"/>
    <w:rsid w:val="0025634C"/>
    <w:rsid w:val="002710C3"/>
    <w:rsid w:val="002966B9"/>
    <w:rsid w:val="002D141A"/>
    <w:rsid w:val="002D7313"/>
    <w:rsid w:val="00323AE6"/>
    <w:rsid w:val="003377E9"/>
    <w:rsid w:val="003B1332"/>
    <w:rsid w:val="003C339F"/>
    <w:rsid w:val="00466B61"/>
    <w:rsid w:val="00481458"/>
    <w:rsid w:val="004A6661"/>
    <w:rsid w:val="005E63ED"/>
    <w:rsid w:val="00644377"/>
    <w:rsid w:val="006663FC"/>
    <w:rsid w:val="006B3202"/>
    <w:rsid w:val="006D0BC2"/>
    <w:rsid w:val="006E1022"/>
    <w:rsid w:val="007E09C5"/>
    <w:rsid w:val="008131E4"/>
    <w:rsid w:val="008510F3"/>
    <w:rsid w:val="008E10C0"/>
    <w:rsid w:val="009640CC"/>
    <w:rsid w:val="009A2D6C"/>
    <w:rsid w:val="009C68EC"/>
    <w:rsid w:val="00A20DB8"/>
    <w:rsid w:val="00B0662A"/>
    <w:rsid w:val="00B42568"/>
    <w:rsid w:val="00B561DA"/>
    <w:rsid w:val="00B668A1"/>
    <w:rsid w:val="00BA5A6D"/>
    <w:rsid w:val="00BB1CB6"/>
    <w:rsid w:val="00BB7E46"/>
    <w:rsid w:val="00BE7F18"/>
    <w:rsid w:val="00C520DF"/>
    <w:rsid w:val="00C5794F"/>
    <w:rsid w:val="00C57BA5"/>
    <w:rsid w:val="00C95375"/>
    <w:rsid w:val="00CC4739"/>
    <w:rsid w:val="00D02DD1"/>
    <w:rsid w:val="00D41C33"/>
    <w:rsid w:val="00D41F60"/>
    <w:rsid w:val="00D73664"/>
    <w:rsid w:val="00D8743C"/>
    <w:rsid w:val="00E34AA3"/>
    <w:rsid w:val="00E6718D"/>
    <w:rsid w:val="00EE37EE"/>
    <w:rsid w:val="00F21C22"/>
    <w:rsid w:val="00F534BE"/>
    <w:rsid w:val="00FA3E00"/>
    <w:rsid w:val="00FC67EE"/>
    <w:rsid w:val="00FD59DF"/>
    <w:rsid w:val="00FE22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E2C116"/>
  <w15:docId w15:val="{7E4F6D5E-2710-4BE1-B97E-8761CF95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41F60"/>
    <w:pPr>
      <w:ind w:left="720"/>
      <w:contextualSpacing/>
    </w:pPr>
  </w:style>
  <w:style w:type="character" w:styleId="Hyperlink">
    <w:name w:val="Hyperlink"/>
    <w:basedOn w:val="DefaultParagraphFont"/>
    <w:uiPriority w:val="99"/>
    <w:unhideWhenUsed/>
    <w:rsid w:val="002D141A"/>
    <w:rPr>
      <w:color w:val="0000FF" w:themeColor="hyperlink"/>
      <w:u w:val="single"/>
    </w:rPr>
  </w:style>
  <w:style w:type="character" w:styleId="UnresolvedMention">
    <w:name w:val="Unresolved Mention"/>
    <w:basedOn w:val="DefaultParagraphFont"/>
    <w:uiPriority w:val="99"/>
    <w:semiHidden/>
    <w:unhideWhenUsed/>
    <w:rsid w:val="002D141A"/>
    <w:rPr>
      <w:color w:val="605E5C"/>
      <w:shd w:val="clear" w:color="auto" w:fill="E1DFDD"/>
    </w:rPr>
  </w:style>
  <w:style w:type="paragraph" w:styleId="Header">
    <w:name w:val="header"/>
    <w:basedOn w:val="Normal"/>
    <w:link w:val="HeaderChar"/>
    <w:uiPriority w:val="99"/>
    <w:unhideWhenUsed/>
    <w:rsid w:val="009C6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EC"/>
  </w:style>
  <w:style w:type="paragraph" w:styleId="Footer">
    <w:name w:val="footer"/>
    <w:basedOn w:val="Normal"/>
    <w:link w:val="FooterChar"/>
    <w:uiPriority w:val="99"/>
    <w:unhideWhenUsed/>
    <w:rsid w:val="009C6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74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3969</Words>
  <Characters>22626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50</cp:revision>
  <dcterms:created xsi:type="dcterms:W3CDTF">2025-05-02T07:45:00Z</dcterms:created>
  <dcterms:modified xsi:type="dcterms:W3CDTF">2025-05-16T08:34:00Z</dcterms:modified>
</cp:coreProperties>
</file>