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B6E31" w14:textId="77777777" w:rsidR="0069775F" w:rsidRDefault="004D7A71">
      <w:pPr>
        <w:spacing w:after="12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Histological Based Sub-Chronic Toxicity Testing of Target Heavy Metals in Fresh Water; Using </w:t>
      </w:r>
      <w:proofErr w:type="gramStart"/>
      <w:r>
        <w:rPr>
          <w:rFonts w:ascii="Times New Roman" w:eastAsia="Times New Roman" w:hAnsi="Times New Roman"/>
          <w:b/>
          <w:bCs/>
          <w:sz w:val="28"/>
          <w:szCs w:val="28"/>
        </w:rPr>
        <w:t>The</w:t>
      </w:r>
      <w:proofErr w:type="gramEnd"/>
      <w:r>
        <w:rPr>
          <w:rFonts w:ascii="Times New Roman" w:eastAsia="Times New Roman" w:hAnsi="Times New Roman"/>
          <w:b/>
          <w:bCs/>
          <w:sz w:val="28"/>
          <w:szCs w:val="28"/>
        </w:rPr>
        <w:t xml:space="preserve"> </w:t>
      </w:r>
      <w:proofErr w:type="spellStart"/>
      <w:r>
        <w:rPr>
          <w:rFonts w:ascii="Times New Roman" w:eastAsia="Times New Roman" w:hAnsi="Times New Roman"/>
          <w:b/>
          <w:bCs/>
          <w:sz w:val="28"/>
          <w:szCs w:val="28"/>
        </w:rPr>
        <w:t>Histo</w:t>
      </w:r>
      <w:proofErr w:type="spellEnd"/>
      <w:r>
        <w:rPr>
          <w:rFonts w:ascii="Times New Roman" w:eastAsia="Times New Roman" w:hAnsi="Times New Roman"/>
          <w:b/>
          <w:bCs/>
          <w:sz w:val="28"/>
          <w:szCs w:val="28"/>
        </w:rPr>
        <w:t xml:space="preserve">-Morphometry of Gills Of </w:t>
      </w:r>
      <w:proofErr w:type="spellStart"/>
      <w:r>
        <w:rPr>
          <w:rFonts w:ascii="Times New Roman" w:eastAsia="Times New Roman" w:hAnsi="Times New Roman"/>
          <w:b/>
          <w:bCs/>
          <w:i/>
          <w:sz w:val="28"/>
          <w:szCs w:val="28"/>
        </w:rPr>
        <w:t>Coptodon</w:t>
      </w:r>
      <w:proofErr w:type="spellEnd"/>
      <w:r>
        <w:rPr>
          <w:rFonts w:ascii="Times New Roman" w:eastAsia="Times New Roman" w:hAnsi="Times New Roman"/>
          <w:b/>
          <w:bCs/>
          <w:i/>
          <w:sz w:val="28"/>
          <w:szCs w:val="28"/>
        </w:rPr>
        <w:t xml:space="preserve"> </w:t>
      </w:r>
      <w:proofErr w:type="spellStart"/>
      <w:r>
        <w:rPr>
          <w:rFonts w:ascii="Times New Roman" w:eastAsia="Times New Roman" w:hAnsi="Times New Roman"/>
          <w:b/>
          <w:bCs/>
          <w:i/>
          <w:sz w:val="28"/>
          <w:szCs w:val="28"/>
        </w:rPr>
        <w:t>zillii</w:t>
      </w:r>
      <w:proofErr w:type="spellEnd"/>
    </w:p>
    <w:p w14:paraId="44A890F9" w14:textId="77777777" w:rsidR="00BD0DA5" w:rsidRDefault="00BD0DA5" w:rsidP="00BD0DA5">
      <w:pPr>
        <w:spacing w:after="120" w:line="240" w:lineRule="auto"/>
        <w:rPr>
          <w:rFonts w:ascii="Times New Roman" w:eastAsia="Times New Roman" w:hAnsi="Times New Roman"/>
          <w:b/>
          <w:bCs/>
          <w:iCs/>
          <w:sz w:val="24"/>
          <w:szCs w:val="24"/>
        </w:rPr>
      </w:pPr>
    </w:p>
    <w:p w14:paraId="3A4EE81C" w14:textId="21F915B2" w:rsidR="00625089" w:rsidRPr="00C72F49" w:rsidRDefault="00625089" w:rsidP="00625089">
      <w:pPr>
        <w:spacing w:after="12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 </w:t>
      </w:r>
    </w:p>
    <w:p w14:paraId="01FF1390"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319E32E9" w14:textId="77777777" w:rsidR="0069775F" w:rsidRDefault="004D7A71">
      <w:pPr>
        <w:spacing w:after="120" w:line="240" w:lineRule="auto"/>
        <w:jc w:val="both"/>
        <w:rPr>
          <w:rFonts w:ascii="Times New Roman" w:eastAsia="Times New Roman" w:hAnsi="Times New Roman"/>
          <w:i/>
          <w:iCs/>
          <w:sz w:val="24"/>
          <w:szCs w:val="24"/>
        </w:rPr>
      </w:pPr>
      <w:r>
        <w:rPr>
          <w:rFonts w:ascii="Times New Roman" w:eastAsia="Times New Roman" w:hAnsi="Times New Roman"/>
          <w:b/>
          <w:iCs/>
          <w:sz w:val="24"/>
          <w:szCs w:val="24"/>
        </w:rPr>
        <w:t>Abstract</w:t>
      </w:r>
      <w:r>
        <w:rPr>
          <w:rFonts w:ascii="Times New Roman" w:eastAsia="Times New Roman" w:hAnsi="Times New Roman"/>
          <w:i/>
          <w:iCs/>
          <w:sz w:val="24"/>
          <w:szCs w:val="24"/>
        </w:rPr>
        <w:t>: This histology based toxicological study is aimed to advance the histopathological characteristics of fish gills exposed to some known crude oil spill heavy metals. Based on literature review on the environmental crude oil spill burdens of Niger Delta re</w:t>
      </w:r>
      <w:r>
        <w:rPr>
          <w:rFonts w:ascii="Times New Roman" w:eastAsia="Times New Roman" w:hAnsi="Times New Roman"/>
          <w:i/>
          <w:iCs/>
          <w:sz w:val="24"/>
          <w:szCs w:val="24"/>
        </w:rPr>
        <w:t xml:space="preserve">gion of </w:t>
      </w:r>
      <w:proofErr w:type="gramStart"/>
      <w:r>
        <w:rPr>
          <w:rFonts w:ascii="Times New Roman" w:eastAsia="Times New Roman" w:hAnsi="Times New Roman"/>
          <w:i/>
          <w:iCs/>
          <w:sz w:val="24"/>
          <w:szCs w:val="24"/>
        </w:rPr>
        <w:t>Nigeria ,</w:t>
      </w:r>
      <w:proofErr w:type="gramEnd"/>
      <w:r>
        <w:rPr>
          <w:rFonts w:ascii="Times New Roman" w:eastAsia="Times New Roman" w:hAnsi="Times New Roman"/>
          <w:i/>
          <w:iCs/>
          <w:sz w:val="24"/>
          <w:szCs w:val="24"/>
        </w:rPr>
        <w:t xml:space="preserve"> the following target chemicals (TC) were selected for the study: Cadmium (Cd), Chromium (Cr), Copper (Cu), Nickel (Ni) and Lead (Pb). The experimental type is a sub-chronicity fish exposure testing for </w:t>
      </w:r>
      <w:proofErr w:type="gramStart"/>
      <w:r>
        <w:rPr>
          <w:rFonts w:ascii="Times New Roman" w:eastAsia="Times New Roman" w:hAnsi="Times New Roman"/>
          <w:i/>
          <w:iCs/>
          <w:sz w:val="24"/>
          <w:szCs w:val="24"/>
        </w:rPr>
        <w:t>twenty eight</w:t>
      </w:r>
      <w:proofErr w:type="gramEnd"/>
      <w:r>
        <w:rPr>
          <w:rFonts w:ascii="Times New Roman" w:eastAsia="Times New Roman" w:hAnsi="Times New Roman"/>
          <w:i/>
          <w:iCs/>
          <w:sz w:val="24"/>
          <w:szCs w:val="24"/>
        </w:rPr>
        <w:t xml:space="preserve"> (28) days duration. The</w:t>
      </w:r>
      <w:r>
        <w:rPr>
          <w:rFonts w:ascii="Times New Roman" w:eastAsia="Times New Roman" w:hAnsi="Times New Roman"/>
          <w:i/>
          <w:iCs/>
          <w:sz w:val="24"/>
          <w:szCs w:val="24"/>
        </w:rPr>
        <w:t xml:space="preserve"> experimental set up involves a twenty two pieces (22) of twenty liter (20l) tanks of four (4) replicate tanks per target chemical (TC) containing </w:t>
      </w:r>
      <w:proofErr w:type="gramStart"/>
      <w:r>
        <w:rPr>
          <w:rFonts w:ascii="Times New Roman" w:eastAsia="Times New Roman" w:hAnsi="Times New Roman"/>
          <w:i/>
          <w:iCs/>
          <w:sz w:val="24"/>
          <w:szCs w:val="24"/>
        </w:rPr>
        <w:t>ten(</w:t>
      </w:r>
      <w:proofErr w:type="gramEnd"/>
      <w:r>
        <w:rPr>
          <w:rFonts w:ascii="Times New Roman" w:eastAsia="Times New Roman" w:hAnsi="Times New Roman"/>
          <w:i/>
          <w:iCs/>
          <w:sz w:val="24"/>
          <w:szCs w:val="24"/>
        </w:rPr>
        <w:t>10) juvenile study fish per tank in a semi-static tank testing system. TC exposure concentrations above m</w:t>
      </w:r>
      <w:r>
        <w:rPr>
          <w:rFonts w:ascii="Times New Roman" w:eastAsia="Times New Roman" w:hAnsi="Times New Roman"/>
          <w:i/>
          <w:iCs/>
          <w:sz w:val="24"/>
          <w:szCs w:val="24"/>
        </w:rPr>
        <w:t>aximum allowable toxicant concentration (MATC) for fresh water were used for the study. Quality histologically results showed alteration which were consistent with heavy metal exposure studies. Semi-quantitative assessment showed significant difference bet</w:t>
      </w:r>
      <w:r>
        <w:rPr>
          <w:rFonts w:ascii="Times New Roman" w:eastAsia="Times New Roman" w:hAnsi="Times New Roman"/>
          <w:i/>
          <w:iCs/>
          <w:sz w:val="24"/>
          <w:szCs w:val="24"/>
        </w:rPr>
        <w:t xml:space="preserve">ween control and experimental gills organ histopathological indices. The study further validates MATC fresh water guideline use for toxicity certification in Cr, Cd and Ni exposure. </w:t>
      </w:r>
    </w:p>
    <w:p w14:paraId="1D13E5F2" w14:textId="77777777" w:rsidR="0069775F" w:rsidRDefault="0069775F">
      <w:pPr>
        <w:spacing w:after="120" w:line="240" w:lineRule="auto"/>
        <w:jc w:val="both"/>
        <w:rPr>
          <w:rFonts w:ascii="Times New Roman" w:eastAsia="Times New Roman" w:hAnsi="Times New Roman"/>
          <w:i/>
          <w:iCs/>
          <w:sz w:val="24"/>
          <w:szCs w:val="24"/>
        </w:rPr>
      </w:pPr>
    </w:p>
    <w:p w14:paraId="1F694278" w14:textId="77777777" w:rsidR="0069775F" w:rsidRDefault="004D7A71">
      <w:pPr>
        <w:spacing w:after="120" w:line="240" w:lineRule="auto"/>
        <w:jc w:val="both"/>
        <w:rPr>
          <w:rFonts w:ascii="Times New Roman" w:eastAsia="Times New Roman" w:hAnsi="Times New Roman"/>
          <w:sz w:val="24"/>
          <w:szCs w:val="24"/>
        </w:rPr>
      </w:pPr>
      <w:r>
        <w:rPr>
          <w:rFonts w:ascii="Times New Roman" w:eastAsia="Times New Roman" w:hAnsi="Times New Roman"/>
          <w:b/>
          <w:bCs/>
          <w:iCs/>
          <w:sz w:val="24"/>
          <w:szCs w:val="24"/>
        </w:rPr>
        <w:t>Keywords</w:t>
      </w:r>
      <w:r>
        <w:rPr>
          <w:rFonts w:ascii="Times New Roman" w:eastAsia="Times New Roman" w:hAnsi="Times New Roman"/>
          <w:i/>
          <w:iCs/>
          <w:sz w:val="24"/>
          <w:szCs w:val="24"/>
        </w:rPr>
        <w:t>: Histology, Toxicity, Toxicology, Sub-chronic, Heavy Metals and</w:t>
      </w:r>
      <w:r>
        <w:rPr>
          <w:rFonts w:ascii="Times New Roman" w:eastAsia="Times New Roman" w:hAnsi="Times New Roman"/>
          <w:i/>
          <w:iCs/>
          <w:sz w:val="24"/>
          <w:szCs w:val="24"/>
        </w:rPr>
        <w:t xml:space="preserve"> Fish Gills.</w:t>
      </w:r>
    </w:p>
    <w:p w14:paraId="2427A8FF"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208B0958" w14:textId="77777777" w:rsidR="0069775F" w:rsidRDefault="004D7A71">
      <w:pPr>
        <w:spacing w:after="12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Introduction</w:t>
      </w:r>
    </w:p>
    <w:p w14:paraId="10F22C1F"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Toxicology is a branch of biology, chemistry, and medicine concerned with the study of the adverse effects of chemicals on living organism (Schrager, 2006). It also studies the harmful effects of chemical, biological and physical agents in a biological sys</w:t>
      </w:r>
      <w:r>
        <w:rPr>
          <w:rFonts w:ascii="Times New Roman" w:eastAsia="Times New Roman" w:hAnsi="Times New Roman"/>
          <w:sz w:val="24"/>
          <w:szCs w:val="24"/>
        </w:rPr>
        <w:t>tem to establish the extent of damage in living organisms. Toxicity is the inherent property of a substance to cause adverse biological effect at specific concentration (ECETOC, 1986). Toxicity tests are used to expose test organisms to a medium—water, sed</w:t>
      </w:r>
      <w:r>
        <w:rPr>
          <w:rFonts w:ascii="Times New Roman" w:eastAsia="Times New Roman" w:hAnsi="Times New Roman"/>
          <w:sz w:val="24"/>
          <w:szCs w:val="24"/>
        </w:rPr>
        <w:t>iment, or soil—and evaluate the effects of contamination on behavioral, physiological, biochemical and histological end points. These tests may help to determine whether the contaminant concentrations in a site’s media are high enough to cause adverse effe</w:t>
      </w:r>
      <w:r>
        <w:rPr>
          <w:rFonts w:ascii="Times New Roman" w:eastAsia="Times New Roman" w:hAnsi="Times New Roman"/>
          <w:sz w:val="24"/>
          <w:szCs w:val="24"/>
        </w:rPr>
        <w:t>cts in organisms. Generally, toxicity tests involve collecting samples of media from a site and sending them to a toxicity laboratory, where the tests are performed.</w:t>
      </w:r>
    </w:p>
    <w:p w14:paraId="359348C0"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 goal of toxicity assessment is to identify adverse effects of a substance. Adverse eff</w:t>
      </w:r>
      <w:r>
        <w:rPr>
          <w:rFonts w:ascii="Times New Roman" w:eastAsia="Times New Roman" w:hAnsi="Times New Roman"/>
          <w:sz w:val="24"/>
          <w:szCs w:val="24"/>
        </w:rPr>
        <w:t>ects depend on two main factors (Ottoboni, 1991);</w:t>
      </w:r>
    </w:p>
    <w:p w14:paraId="6E5ABD06" w14:textId="77777777" w:rsidR="0069775F" w:rsidRDefault="004D7A71">
      <w:pPr>
        <w:pStyle w:val="ListParagraphdaeebebf-f101-4889-831f-2692a0b491de"/>
        <w:numPr>
          <w:ilvl w:val="0"/>
          <w:numId w:val="1"/>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Dosage: has to do with duration and concentration of exposure. Both large single exposures (acute) and continuous small exposures (chronic) are studied.</w:t>
      </w:r>
    </w:p>
    <w:p w14:paraId="2A126FC4" w14:textId="77777777" w:rsidR="0069775F" w:rsidRDefault="004D7A71">
      <w:pPr>
        <w:pStyle w:val="ListParagraphdaeebebf-f101-4889-831f-2692a0b491de"/>
        <w:numPr>
          <w:ilvl w:val="0"/>
          <w:numId w:val="1"/>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Route of exposure: The routes of exposure are Ingesti</w:t>
      </w:r>
      <w:r>
        <w:rPr>
          <w:rFonts w:ascii="Times New Roman" w:eastAsia="Times New Roman" w:hAnsi="Times New Roman"/>
          <w:sz w:val="24"/>
          <w:szCs w:val="24"/>
        </w:rPr>
        <w:t>on (oral), inhalation or skin absorption (dermal).</w:t>
      </w:r>
    </w:p>
    <w:p w14:paraId="20566AED" w14:textId="77777777" w:rsidR="0069775F" w:rsidRDefault="004D7A71">
      <w:pPr>
        <w:pStyle w:val="ListParagraphdaeebebf-f101-4889-831f-2692a0b491de"/>
        <w:numPr>
          <w:ilvl w:val="0"/>
          <w:numId w:val="1"/>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Other factors are species, age, sex, health, environment and individual characteristics.</w:t>
      </w:r>
    </w:p>
    <w:p w14:paraId="2E50CCD5"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Toxicity tests can measure lethal and/or sublethal effects. These effects are known as measurement endpoints: that i</w:t>
      </w:r>
      <w:r>
        <w:rPr>
          <w:rFonts w:ascii="Times New Roman" w:eastAsia="Times New Roman" w:hAnsi="Times New Roman"/>
          <w:sz w:val="24"/>
          <w:szCs w:val="24"/>
        </w:rPr>
        <w:t xml:space="preserve">s, they are ecological attributes that may be adversely affected by </w:t>
      </w:r>
      <w:r>
        <w:rPr>
          <w:rFonts w:ascii="Times New Roman" w:eastAsia="Times New Roman" w:hAnsi="Times New Roman"/>
          <w:sz w:val="24"/>
          <w:szCs w:val="24"/>
        </w:rPr>
        <w:lastRenderedPageBreak/>
        <w:t xml:space="preserve">exposure to site contaminants and </w:t>
      </w:r>
      <w:r>
        <w:rPr>
          <w:rFonts w:ascii="Times New Roman" w:eastAsia="Times New Roman" w:hAnsi="Times New Roman"/>
          <w:color w:val="FF0000"/>
          <w:sz w:val="24"/>
          <w:szCs w:val="24"/>
        </w:rPr>
        <w:t>(</w:t>
      </w:r>
      <w:r>
        <w:rPr>
          <w:rFonts w:ascii="Times New Roman" w:eastAsia="Times New Roman" w:hAnsi="Times New Roman"/>
          <w:sz w:val="24"/>
          <w:szCs w:val="24"/>
        </w:rPr>
        <w:t>that</w:t>
      </w:r>
      <w:r>
        <w:rPr>
          <w:rFonts w:ascii="Times New Roman" w:eastAsia="Times New Roman" w:hAnsi="Times New Roman"/>
          <w:color w:val="FF0000"/>
          <w:sz w:val="24"/>
          <w:szCs w:val="24"/>
        </w:rPr>
        <w:t>)</w:t>
      </w:r>
      <w:r>
        <w:rPr>
          <w:rFonts w:ascii="Times New Roman" w:eastAsia="Times New Roman" w:hAnsi="Times New Roman"/>
          <w:sz w:val="24"/>
          <w:szCs w:val="24"/>
        </w:rPr>
        <w:t xml:space="preserve"> are readily measurable. In addition, each measurement endpoint is closely related to an assessment endpoint. Because of this close relationship, a </w:t>
      </w:r>
      <w:r>
        <w:rPr>
          <w:rFonts w:ascii="Times New Roman" w:eastAsia="Times New Roman" w:hAnsi="Times New Roman"/>
          <w:sz w:val="24"/>
          <w:szCs w:val="24"/>
        </w:rPr>
        <w:t>measurement endpoint can approximate or represent the assessment endpoint if the assessment endpoint is not amenable to direct measurement (USEPA, 1992). Based on the measured end points, toxicity testing divided into Acute, Sub-Chronic and Chronic toxicit</w:t>
      </w:r>
      <w:r>
        <w:rPr>
          <w:rFonts w:ascii="Times New Roman" w:eastAsia="Times New Roman" w:hAnsi="Times New Roman"/>
          <w:sz w:val="24"/>
          <w:szCs w:val="24"/>
        </w:rPr>
        <w:t>y testing (USEPA, 1994:</w:t>
      </w:r>
    </w:p>
    <w:p w14:paraId="6CCECCD6" w14:textId="77777777" w:rsidR="0069775F" w:rsidRDefault="004D7A71">
      <w:pPr>
        <w:pStyle w:val="ListParagraphdaeebebf-f101-4889-831f-2692a0b491de"/>
        <w:numPr>
          <w:ilvl w:val="0"/>
          <w:numId w:val="2"/>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Acute toxicity tests: are short-term tests that measure the effects of exposure to relatively high concentrations of chemicals. The measurement endpoint generally reflects the extent of lethality (USEPA, 1994). </w:t>
      </w:r>
    </w:p>
    <w:p w14:paraId="54951631" w14:textId="77777777" w:rsidR="0069775F" w:rsidRDefault="004D7A71">
      <w:pPr>
        <w:pStyle w:val="ListParagraphdaeebebf-f101-4889-831f-2692a0b491de"/>
        <w:numPr>
          <w:ilvl w:val="0"/>
          <w:numId w:val="2"/>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Sub-Chronic Toxicity Testing: A toxicity test designed to investigate possible adverse effect occurring as a result of continuous or repeated exposure of several groups of experimental </w:t>
      </w:r>
      <w:proofErr w:type="gramStart"/>
      <w:r>
        <w:rPr>
          <w:rFonts w:ascii="Times New Roman" w:eastAsia="Times New Roman" w:hAnsi="Times New Roman"/>
          <w:sz w:val="24"/>
          <w:szCs w:val="24"/>
        </w:rPr>
        <w:t>animal</w:t>
      </w:r>
      <w:proofErr w:type="gramEnd"/>
      <w:r>
        <w:rPr>
          <w:rFonts w:ascii="Times New Roman" w:eastAsia="Times New Roman" w:hAnsi="Times New Roman"/>
          <w:sz w:val="24"/>
          <w:szCs w:val="24"/>
        </w:rPr>
        <w:t xml:space="preserve"> to a series of concentration of the test chemical for part (no e</w:t>
      </w:r>
      <w:r>
        <w:rPr>
          <w:rFonts w:ascii="Times New Roman" w:eastAsia="Times New Roman" w:hAnsi="Times New Roman"/>
          <w:sz w:val="24"/>
          <w:szCs w:val="24"/>
        </w:rPr>
        <w:t>xceeding 10%) of their life span (ECETOC. 1986)</w:t>
      </w:r>
    </w:p>
    <w:p w14:paraId="768137BB" w14:textId="77777777" w:rsidR="0069775F" w:rsidRDefault="004D7A71">
      <w:pPr>
        <w:pStyle w:val="ListParagraphdaeebebf-f101-4889-831f-2692a0b491de"/>
        <w:numPr>
          <w:ilvl w:val="0"/>
          <w:numId w:val="2"/>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Chronic toxicity tests, on the other hand, generally are longer-term tests that measure the effects of exposure to relatively lower, less toxic concentrations. For a chronic toxicity test, the measurement end</w:t>
      </w:r>
      <w:r>
        <w:rPr>
          <w:rFonts w:ascii="Times New Roman" w:eastAsia="Times New Roman" w:hAnsi="Times New Roman"/>
          <w:sz w:val="24"/>
          <w:szCs w:val="24"/>
        </w:rPr>
        <w:t>point concerns a sublethal effect (e.g., reproduction, growth) or both lethality and sub- lethal effect (USEPA, 1994). Results can be analyzed in several ways. One is simply by a direct comparison between percent effects occurring in organisms exposed to s</w:t>
      </w:r>
      <w:r>
        <w:rPr>
          <w:rFonts w:ascii="Times New Roman" w:eastAsia="Times New Roman" w:hAnsi="Times New Roman"/>
          <w:sz w:val="24"/>
          <w:szCs w:val="24"/>
        </w:rPr>
        <w:t xml:space="preserve">ite media and those exposed to uncontaminated media. </w:t>
      </w:r>
    </w:p>
    <w:p w14:paraId="5643EA48" w14:textId="77777777" w:rsidR="0069775F" w:rsidRDefault="004D7A71">
      <w:pPr>
        <w:pStyle w:val="ListParagraphdaeebebf-f101-4889-831f-2692a0b491de"/>
        <w:numPr>
          <w:ilvl w:val="0"/>
          <w:numId w:val="2"/>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Other approaches to analysis determine the effect concentration on fifty percent (50%) of the sample (EC50) and the lowest observed effective concentration (LOEC), or the no observed effect concentratio</w:t>
      </w:r>
      <w:r>
        <w:rPr>
          <w:rFonts w:ascii="Times New Roman" w:eastAsia="Times New Roman" w:hAnsi="Times New Roman"/>
          <w:sz w:val="24"/>
          <w:szCs w:val="24"/>
        </w:rPr>
        <w:t>n (NOEC). The effect, “E” in the aforementioned acronyms can be any of the following end points: mortality, morbidity, inhibition of growth and/ or reproduction.</w:t>
      </w:r>
    </w:p>
    <w:p w14:paraId="067FB4FC"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Heavy metal contamination of aquatic ecosystem has attracted great attention of researchers ov</w:t>
      </w:r>
      <w:r>
        <w:rPr>
          <w:rFonts w:ascii="Times New Roman" w:eastAsia="Times New Roman" w:hAnsi="Times New Roman"/>
          <w:sz w:val="24"/>
          <w:szCs w:val="24"/>
        </w:rPr>
        <w:t>er the last few decades (Farombi et al., 2007).  Metal in the aquatic environment are bioaccumulated by organisms either passively from water or by facilitated uptake. Excess metal concentration in an organism must be actively excreted, compartmentalized i</w:t>
      </w:r>
      <w:r>
        <w:rPr>
          <w:rFonts w:ascii="Times New Roman" w:eastAsia="Times New Roman" w:hAnsi="Times New Roman"/>
          <w:sz w:val="24"/>
          <w:szCs w:val="24"/>
        </w:rPr>
        <w:t>n cells or tissues, or metabolically immobilized. Some metal escape all these actions causing toxic and other adverse effects (Chapman et al., 1996; Rand et al., 1985). Some heavy metals, Chromium (Cr), cadmium (Cd), copper (Cu), lead (Pb), nickel (Ni) and</w:t>
      </w:r>
      <w:r>
        <w:rPr>
          <w:rFonts w:ascii="Times New Roman" w:eastAsia="Times New Roman" w:hAnsi="Times New Roman"/>
          <w:sz w:val="24"/>
          <w:szCs w:val="24"/>
        </w:rPr>
        <w:t xml:space="preserve"> zinc (Zn), are found in the list of organic and inorganic hazardous pollutants which is prepared by the United States Environmental Protection Agency (USEPA) (</w:t>
      </w:r>
      <w:proofErr w:type="spellStart"/>
      <w:r>
        <w:rPr>
          <w:rFonts w:ascii="Times New Roman" w:eastAsia="Times New Roman" w:hAnsi="Times New Roman"/>
          <w:sz w:val="24"/>
          <w:szCs w:val="24"/>
        </w:rPr>
        <w:t>Akar</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Tunali</w:t>
      </w:r>
      <w:proofErr w:type="spellEnd"/>
      <w:r>
        <w:rPr>
          <w:rFonts w:ascii="Times New Roman" w:eastAsia="Times New Roman" w:hAnsi="Times New Roman"/>
          <w:sz w:val="24"/>
          <w:szCs w:val="24"/>
        </w:rPr>
        <w:t>, 2005).  However, it is important to note that most essential metals may be toxi</w:t>
      </w:r>
      <w:r>
        <w:rPr>
          <w:rFonts w:ascii="Times New Roman" w:eastAsia="Times New Roman" w:hAnsi="Times New Roman"/>
          <w:sz w:val="24"/>
          <w:szCs w:val="24"/>
        </w:rPr>
        <w:t>c when present in concentrations that are in excess of the guideline levels (</w:t>
      </w:r>
      <w:proofErr w:type="spellStart"/>
      <w:r>
        <w:rPr>
          <w:rFonts w:ascii="Times New Roman" w:eastAsia="Times New Roman" w:hAnsi="Times New Roman"/>
          <w:sz w:val="24"/>
          <w:szCs w:val="24"/>
        </w:rPr>
        <w:t>Agbozu</w:t>
      </w:r>
      <w:proofErr w:type="spellEnd"/>
      <w:r>
        <w:rPr>
          <w:rFonts w:ascii="Times New Roman" w:eastAsia="Times New Roman" w:hAnsi="Times New Roman"/>
          <w:sz w:val="24"/>
          <w:szCs w:val="24"/>
        </w:rPr>
        <w:t xml:space="preserve"> et al., 2007). According to Roberts (1989 and 2001) Cu, Pb, mercury (Hg), Zn, Cr, manganese (Mn) and iron (Fe) are the most common cause of metal poisoning.  </w:t>
      </w:r>
      <w:proofErr w:type="spellStart"/>
      <w:r>
        <w:rPr>
          <w:rFonts w:ascii="Times New Roman" w:eastAsia="Times New Roman" w:hAnsi="Times New Roman"/>
          <w:sz w:val="24"/>
          <w:szCs w:val="24"/>
        </w:rPr>
        <w:t>Jarup</w:t>
      </w:r>
      <w:proofErr w:type="spellEnd"/>
      <w:r>
        <w:rPr>
          <w:rFonts w:ascii="Times New Roman" w:eastAsia="Times New Roman" w:hAnsi="Times New Roman"/>
          <w:sz w:val="24"/>
          <w:szCs w:val="24"/>
        </w:rPr>
        <w:t xml:space="preserve"> (2003) d</w:t>
      </w:r>
      <w:r>
        <w:rPr>
          <w:rFonts w:ascii="Times New Roman" w:eastAsia="Times New Roman" w:hAnsi="Times New Roman"/>
          <w:sz w:val="24"/>
          <w:szCs w:val="24"/>
        </w:rPr>
        <w:t>ocumented that the main threat to human health from heavy metals are associated with exposure to Pb, Cd, Hg, and arsenic (As) (arsenic is a metalloid but is usually classified as a heavy metal).</w:t>
      </w:r>
    </w:p>
    <w:p w14:paraId="6C4EDF71"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Gerhardt (2004) established that bioindicators are organisms </w:t>
      </w:r>
      <w:r>
        <w:rPr>
          <w:rFonts w:ascii="Times New Roman" w:eastAsia="Times New Roman" w:hAnsi="Times New Roman"/>
          <w:sz w:val="24"/>
          <w:szCs w:val="24"/>
        </w:rPr>
        <w:t xml:space="preserve">or communities of organisms which reactions are observed representatively to evaluate a situation, giving clues for the condition of the whole ecosystem; Gerhardt also indicate that bioindicators are species reacting to </w:t>
      </w:r>
      <w:proofErr w:type="spellStart"/>
      <w:r>
        <w:rPr>
          <w:rFonts w:ascii="Times New Roman" w:eastAsia="Times New Roman" w:hAnsi="Times New Roman"/>
          <w:sz w:val="24"/>
          <w:szCs w:val="24"/>
        </w:rPr>
        <w:t>anthropogenical</w:t>
      </w:r>
      <w:proofErr w:type="spellEnd"/>
      <w:r>
        <w:rPr>
          <w:rFonts w:ascii="Times New Roman" w:eastAsia="Times New Roman" w:hAnsi="Times New Roman"/>
          <w:sz w:val="24"/>
          <w:szCs w:val="24"/>
        </w:rPr>
        <w:t xml:space="preserve"> effects on the envir</w:t>
      </w:r>
      <w:r>
        <w:rPr>
          <w:rFonts w:ascii="Times New Roman" w:eastAsia="Times New Roman" w:hAnsi="Times New Roman"/>
          <w:sz w:val="24"/>
          <w:szCs w:val="24"/>
        </w:rPr>
        <w:t xml:space="preserve">onment, concluding that a biological indicator would be: a species or group of species that readily reflects the abiotic or biotic state of an environment, represents the impact of environmental change on a habitat, community or ecosystem or is indicative </w:t>
      </w:r>
      <w:r>
        <w:rPr>
          <w:rFonts w:ascii="Times New Roman" w:eastAsia="Times New Roman" w:hAnsi="Times New Roman"/>
          <w:sz w:val="24"/>
          <w:szCs w:val="24"/>
        </w:rPr>
        <w:t xml:space="preserve">of the diversity of a subset of taxa or the whole diversity within an area. In this sense, </w:t>
      </w:r>
      <w:r>
        <w:rPr>
          <w:rFonts w:ascii="Times New Roman" w:eastAsia="Times New Roman" w:hAnsi="Times New Roman"/>
          <w:sz w:val="24"/>
          <w:szCs w:val="24"/>
        </w:rPr>
        <w:lastRenderedPageBreak/>
        <w:t>the primary role of ecological indicators is to measure the response of the ecosystem to anthropogenic disturbances (Niemi and McDonald, 2004).</w:t>
      </w:r>
    </w:p>
    <w:p w14:paraId="28DEDF39"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Fish gills are used a</w:t>
      </w:r>
      <w:r>
        <w:rPr>
          <w:rFonts w:ascii="Times New Roman" w:eastAsia="Times New Roman" w:hAnsi="Times New Roman"/>
          <w:sz w:val="24"/>
          <w:szCs w:val="24"/>
        </w:rPr>
        <w:t>s biomarker for this study. Gills are critical organs for their respiratory, (gas exchange) osmoregulatory (acid-base balance/ionic regulation) and excretory (excretion of nitrogenous waste) functions (</w:t>
      </w:r>
      <w:proofErr w:type="spellStart"/>
      <w:r>
        <w:rPr>
          <w:rFonts w:ascii="Times New Roman" w:eastAsia="Times New Roman" w:hAnsi="Times New Roman"/>
          <w:sz w:val="24"/>
          <w:szCs w:val="24"/>
        </w:rPr>
        <w:t>Mallat</w:t>
      </w:r>
      <w:proofErr w:type="spellEnd"/>
      <w:r>
        <w:rPr>
          <w:rFonts w:ascii="Times New Roman" w:eastAsia="Times New Roman" w:hAnsi="Times New Roman"/>
          <w:sz w:val="24"/>
          <w:szCs w:val="24"/>
        </w:rPr>
        <w:t xml:space="preserve">, 1985; </w:t>
      </w:r>
      <w:proofErr w:type="spellStart"/>
      <w:r>
        <w:rPr>
          <w:rFonts w:ascii="Times New Roman" w:eastAsia="Times New Roman" w:hAnsi="Times New Roman"/>
          <w:sz w:val="24"/>
          <w:szCs w:val="24"/>
        </w:rPr>
        <w:t>Thopon</w:t>
      </w:r>
      <w:proofErr w:type="spellEnd"/>
      <w:r>
        <w:rPr>
          <w:rFonts w:ascii="Times New Roman" w:eastAsia="Times New Roman" w:hAnsi="Times New Roman"/>
          <w:sz w:val="24"/>
          <w:szCs w:val="24"/>
        </w:rPr>
        <w:t xml:space="preserve"> et al., 2003). The gill surface i</w:t>
      </w:r>
      <w:r>
        <w:rPr>
          <w:rFonts w:ascii="Times New Roman" w:eastAsia="Times New Roman" w:hAnsi="Times New Roman"/>
          <w:sz w:val="24"/>
          <w:szCs w:val="24"/>
        </w:rPr>
        <w:t>s more than half of the entire body surface area, with an epithelial layer of only a few microns separating the interior of the fish from the external environment (</w:t>
      </w:r>
      <w:proofErr w:type="spellStart"/>
      <w:r>
        <w:rPr>
          <w:rFonts w:ascii="Times New Roman" w:eastAsia="Times New Roman" w:hAnsi="Times New Roman"/>
          <w:sz w:val="24"/>
          <w:szCs w:val="24"/>
        </w:rPr>
        <w:t>Pawert</w:t>
      </w:r>
      <w:proofErr w:type="spellEnd"/>
      <w:r>
        <w:rPr>
          <w:rFonts w:ascii="Times New Roman" w:eastAsia="Times New Roman" w:hAnsi="Times New Roman"/>
          <w:sz w:val="24"/>
          <w:szCs w:val="24"/>
        </w:rPr>
        <w:t xml:space="preserve"> et al., 1998; Cengiz, 2006). As a result of this, a close association between water a</w:t>
      </w:r>
      <w:r>
        <w:rPr>
          <w:rFonts w:ascii="Times New Roman" w:eastAsia="Times New Roman" w:hAnsi="Times New Roman"/>
          <w:sz w:val="24"/>
          <w:szCs w:val="24"/>
        </w:rPr>
        <w:t xml:space="preserve">nd blood occur making gills strongly affected by environmental contaminants (Rombough and Garside, 1977). Yasutake and Wales (1983) stated that gill is a system for bringing the blood </w:t>
      </w:r>
      <w:proofErr w:type="spellStart"/>
      <w:r>
        <w:rPr>
          <w:rFonts w:ascii="Times New Roman" w:eastAsia="Times New Roman" w:hAnsi="Times New Roman"/>
          <w:sz w:val="24"/>
          <w:szCs w:val="24"/>
        </w:rPr>
        <w:t>haemoglobin</w:t>
      </w:r>
      <w:proofErr w:type="spellEnd"/>
      <w:r>
        <w:rPr>
          <w:rFonts w:ascii="Times New Roman" w:eastAsia="Times New Roman" w:hAnsi="Times New Roman"/>
          <w:sz w:val="24"/>
          <w:szCs w:val="24"/>
        </w:rPr>
        <w:t xml:space="preserve"> into close contact with water so that oxygen can be absorbed</w:t>
      </w:r>
      <w:r>
        <w:rPr>
          <w:rFonts w:ascii="Times New Roman" w:eastAsia="Times New Roman" w:hAnsi="Times New Roman"/>
          <w:sz w:val="24"/>
          <w:szCs w:val="24"/>
        </w:rPr>
        <w:t xml:space="preserve"> and carbon dioxide released.</w:t>
      </w:r>
    </w:p>
    <w:p w14:paraId="09265A36"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Irritation from contaminants, abrasive particles or parasitic organism can adversely affect the gill epithelium and reduce respiratory efficiency (Yasutake and Wales, 1983). Respiratory distress is one of the early symptoms of</w:t>
      </w:r>
      <w:r>
        <w:rPr>
          <w:rFonts w:ascii="Times New Roman" w:eastAsia="Times New Roman" w:hAnsi="Times New Roman"/>
          <w:sz w:val="24"/>
          <w:szCs w:val="24"/>
        </w:rPr>
        <w:t xml:space="preserve"> gill’s toxicity (McDonald, 1983). According to Skidmore and </w:t>
      </w:r>
      <w:proofErr w:type="spellStart"/>
      <w:r>
        <w:rPr>
          <w:rFonts w:ascii="Times New Roman" w:eastAsia="Times New Roman" w:hAnsi="Times New Roman"/>
          <w:sz w:val="24"/>
          <w:szCs w:val="24"/>
        </w:rPr>
        <w:t>Tovell</w:t>
      </w:r>
      <w:proofErr w:type="spellEnd"/>
      <w:r>
        <w:rPr>
          <w:rFonts w:ascii="Times New Roman" w:eastAsia="Times New Roman" w:hAnsi="Times New Roman"/>
          <w:sz w:val="24"/>
          <w:szCs w:val="24"/>
        </w:rPr>
        <w:t xml:space="preserve"> (1972) in gills, toxicants appear to break down the adhesion between epithelial branchial cells and underlying pillar cells. This is accompanied by a collapse of structural integrity of th</w:t>
      </w:r>
      <w:r>
        <w:rPr>
          <w:rFonts w:ascii="Times New Roman" w:eastAsia="Times New Roman" w:hAnsi="Times New Roman"/>
          <w:sz w:val="24"/>
          <w:szCs w:val="24"/>
        </w:rPr>
        <w:t>e secondary lamellae and subsequent failure of the respiratory functioning of the gills. Gills appear to be the most affected organ during acute toxicity, and will become blunt and thickened and lose ability to regulate body fluid ion concentrations (</w:t>
      </w:r>
      <w:proofErr w:type="spellStart"/>
      <w:r>
        <w:rPr>
          <w:rFonts w:ascii="Times New Roman" w:eastAsia="Times New Roman" w:hAnsi="Times New Roman"/>
          <w:sz w:val="24"/>
          <w:szCs w:val="24"/>
        </w:rPr>
        <w:t>Yanon</w:t>
      </w:r>
      <w:r>
        <w:rPr>
          <w:rFonts w:ascii="Times New Roman" w:eastAsia="Times New Roman" w:hAnsi="Times New Roman"/>
          <w:sz w:val="24"/>
          <w:szCs w:val="24"/>
        </w:rPr>
        <w:t>g</w:t>
      </w:r>
      <w:proofErr w:type="spellEnd"/>
      <w:r>
        <w:rPr>
          <w:rFonts w:ascii="Times New Roman" w:eastAsia="Times New Roman" w:hAnsi="Times New Roman"/>
          <w:sz w:val="24"/>
          <w:szCs w:val="24"/>
        </w:rPr>
        <w:t>, R.P.E., 2010)</w:t>
      </w:r>
    </w:p>
    <w:p w14:paraId="1F5F8E8E"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Environmental contaminants are known to induce measurable biochemical changes in exposed aquatic organisms. Likewise, stressors can load or limit physiological systems, reduce growth, impair reproduction and predispose aquatic organisms to</w:t>
      </w:r>
      <w:r>
        <w:rPr>
          <w:rFonts w:ascii="Times New Roman" w:eastAsia="Times New Roman" w:hAnsi="Times New Roman"/>
          <w:sz w:val="24"/>
          <w:szCs w:val="24"/>
        </w:rPr>
        <w:t xml:space="preserve"> disease and reduce their capacity to tolerate additional stressors. Thus, the response of aquatic organisms to the effects of contaminants may manifest at all levels of biological organization, in a hierarchical scale that can be at cellular level, organi</w:t>
      </w:r>
      <w:r>
        <w:rPr>
          <w:rFonts w:ascii="Times New Roman" w:eastAsia="Times New Roman" w:hAnsi="Times New Roman"/>
          <w:sz w:val="24"/>
          <w:szCs w:val="24"/>
        </w:rPr>
        <w:t>sms, populations, communities, and ecosystems. In this way, the measuring of a suite of indicators across such levels of organization is often necessary to assess ecological integrity; these indicators usually include biochemical, physiological, morphologi</w:t>
      </w:r>
      <w:r>
        <w:rPr>
          <w:rFonts w:ascii="Times New Roman" w:eastAsia="Times New Roman" w:hAnsi="Times New Roman"/>
          <w:sz w:val="24"/>
          <w:szCs w:val="24"/>
        </w:rPr>
        <w:t>cal (histology), population, community, and ecosystem responses. Biological indicators allow us to isolate key aspects of the environment from an overwhelming array of signals. Biological indicators of an ecology can therefore be defined as measurable alte</w:t>
      </w:r>
      <w:r>
        <w:rPr>
          <w:rFonts w:ascii="Times New Roman" w:eastAsia="Times New Roman" w:hAnsi="Times New Roman"/>
          <w:sz w:val="24"/>
          <w:szCs w:val="24"/>
        </w:rPr>
        <w:t xml:space="preserve">rations in </w:t>
      </w:r>
      <w:proofErr w:type="gramStart"/>
      <w:r>
        <w:rPr>
          <w:rFonts w:ascii="Times New Roman" w:eastAsia="Times New Roman" w:hAnsi="Times New Roman"/>
          <w:sz w:val="24"/>
          <w:szCs w:val="24"/>
        </w:rPr>
        <w:t>an</w:t>
      </w:r>
      <w:proofErr w:type="gramEnd"/>
      <w:r>
        <w:rPr>
          <w:rFonts w:ascii="Times New Roman" w:eastAsia="Times New Roman" w:hAnsi="Times New Roman"/>
          <w:sz w:val="24"/>
          <w:szCs w:val="24"/>
        </w:rPr>
        <w:t xml:space="preserve"> sentinel organism, which include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physiological, biochemical and morphological tissue changes.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physiological and biochemical changes results in the production of stressors that cause lesions or pathology in an organis</w:t>
      </w:r>
      <w:r>
        <w:rPr>
          <w:rFonts w:ascii="Times New Roman" w:eastAsia="Times New Roman" w:hAnsi="Times New Roman"/>
          <w:sz w:val="24"/>
          <w:szCs w:val="24"/>
        </w:rPr>
        <w:t xml:space="preserve">m. In-so-far that lesion </w:t>
      </w:r>
      <w:proofErr w:type="gramStart"/>
      <w:r>
        <w:rPr>
          <w:rFonts w:ascii="Times New Roman" w:eastAsia="Times New Roman" w:hAnsi="Times New Roman"/>
          <w:sz w:val="24"/>
          <w:szCs w:val="24"/>
        </w:rPr>
        <w:t>are</w:t>
      </w:r>
      <w:proofErr w:type="gramEnd"/>
      <w:r>
        <w:rPr>
          <w:rFonts w:ascii="Times New Roman" w:eastAsia="Times New Roman" w:hAnsi="Times New Roman"/>
          <w:sz w:val="24"/>
          <w:szCs w:val="24"/>
        </w:rPr>
        <w:t xml:space="preserve"> defined are areas of abnormal tissue changes, and histopathology is the science of micro-anatomical alterations, histology therefore is a gold standard in assessment sub-lethal effect of contaminants.</w:t>
      </w:r>
    </w:p>
    <w:p w14:paraId="2FEC9542"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Histology is the study of </w:t>
      </w:r>
      <w:r>
        <w:rPr>
          <w:rFonts w:ascii="Times New Roman" w:eastAsia="Times New Roman" w:hAnsi="Times New Roman"/>
          <w:sz w:val="24"/>
          <w:szCs w:val="24"/>
        </w:rPr>
        <w:t xml:space="preserve">the structure of normal tissue while histopathology is the study of the structure of abnormal, diseased tissue. According to Hinton and Lauren (1990) histological alterations are the overall result of </w:t>
      </w:r>
      <w:proofErr w:type="spellStart"/>
      <w:r>
        <w:rPr>
          <w:rFonts w:ascii="Times New Roman" w:eastAsia="Times New Roman" w:hAnsi="Times New Roman"/>
          <w:sz w:val="24"/>
          <w:szCs w:val="24"/>
        </w:rPr>
        <w:t>unfavourable</w:t>
      </w:r>
      <w:proofErr w:type="spellEnd"/>
      <w:r>
        <w:rPr>
          <w:rFonts w:ascii="Times New Roman" w:eastAsia="Times New Roman" w:hAnsi="Times New Roman"/>
          <w:color w:val="FF0000"/>
          <w:sz w:val="24"/>
          <w:szCs w:val="24"/>
        </w:rPr>
        <w:t xml:space="preserve"> </w:t>
      </w:r>
      <w:r>
        <w:rPr>
          <w:rFonts w:ascii="Times New Roman" w:eastAsia="Times New Roman" w:hAnsi="Times New Roman"/>
          <w:sz w:val="24"/>
          <w:szCs w:val="24"/>
        </w:rPr>
        <w:t xml:space="preserve">physiological and biochemical alterations </w:t>
      </w:r>
      <w:r>
        <w:rPr>
          <w:rFonts w:ascii="Times New Roman" w:eastAsia="Times New Roman" w:hAnsi="Times New Roman"/>
          <w:sz w:val="24"/>
          <w:szCs w:val="24"/>
        </w:rPr>
        <w:t>in an organism. They may be used to foresee the effects of alterations on processes or activities such as predator avoidance, growth, reproduction, and population stability that occur at higher levels of biological organization (Meyers and Hendricks, 1985)</w:t>
      </w:r>
      <w:r>
        <w:rPr>
          <w:rFonts w:ascii="Times New Roman" w:eastAsia="Times New Roman" w:hAnsi="Times New Roman"/>
          <w:sz w:val="24"/>
          <w:szCs w:val="24"/>
        </w:rPr>
        <w:t xml:space="preserve">. Negative effects as a result of toxicity generally begin at the cellular or tissue level long before the obvious signs such as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changes, loss of appetite, discoloration, or death occur. This is where histology and histopathology could be usefu</w:t>
      </w:r>
      <w:r>
        <w:rPr>
          <w:rFonts w:ascii="Times New Roman" w:eastAsia="Times New Roman" w:hAnsi="Times New Roman"/>
          <w:sz w:val="24"/>
          <w:szCs w:val="24"/>
        </w:rPr>
        <w:t xml:space="preserve">l tools in toxicity studies. Histopathology was introduced in studies where more detailed information was needed for further description or screening for early </w:t>
      </w:r>
      <w:r>
        <w:rPr>
          <w:rFonts w:ascii="Times New Roman" w:eastAsia="Times New Roman" w:hAnsi="Times New Roman"/>
          <w:sz w:val="24"/>
          <w:szCs w:val="24"/>
        </w:rPr>
        <w:lastRenderedPageBreak/>
        <w:t>preneoplastic changes (Wester et al., 2002). Histopathological characteristics of specific organ</w:t>
      </w:r>
      <w:r>
        <w:rPr>
          <w:rFonts w:ascii="Times New Roman" w:eastAsia="Times New Roman" w:hAnsi="Times New Roman"/>
          <w:sz w:val="24"/>
          <w:szCs w:val="24"/>
        </w:rPr>
        <w:t>s express condition and represent time integrated endogenous and exogenous impacts on the organism stemming from alterations at lower levels of biological organization (Hinton and Lauren, 1990; Swee et at., 1996).</w:t>
      </w:r>
    </w:p>
    <w:p w14:paraId="2226DD3F"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 capability to qualitatively or quantit</w:t>
      </w:r>
      <w:r>
        <w:rPr>
          <w:rFonts w:ascii="Times New Roman" w:eastAsia="Times New Roman" w:hAnsi="Times New Roman"/>
          <w:sz w:val="24"/>
          <w:szCs w:val="24"/>
        </w:rPr>
        <w:t>atively measure physiological, biochemical or morphological alterations before death occurs can present early signs of toxicity and important insights into the mechanisms of toxicity (Meyers and Hendricks, 1985). Critical and unfavorable biological effects</w:t>
      </w:r>
      <w:r>
        <w:rPr>
          <w:rFonts w:ascii="Times New Roman" w:eastAsia="Times New Roman" w:hAnsi="Times New Roman"/>
          <w:sz w:val="24"/>
          <w:szCs w:val="24"/>
        </w:rPr>
        <w:t xml:space="preserve"> may go unnoticed in the context of classical toxicological testing using fish. Histological monitoring (a biomarker of effect) allows for a greater sensitivity as effects will be seen at a smaller dosage in comparison to that of toxicological endpoints li</w:t>
      </w:r>
      <w:r>
        <w:rPr>
          <w:rFonts w:ascii="Times New Roman" w:eastAsia="Times New Roman" w:hAnsi="Times New Roman"/>
          <w:sz w:val="24"/>
          <w:szCs w:val="24"/>
        </w:rPr>
        <w:t xml:space="preserve">ke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changes or death (Wester et al., 2002). </w:t>
      </w:r>
    </w:p>
    <w:p w14:paraId="48026C50"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Histopathology alone has diagnostic strength. When combined with other disciplines such as analytical chemistry or xenobiotic physiology, histopathology may also reconstruct possible etiologies for th</w:t>
      </w:r>
      <w:r>
        <w:rPr>
          <w:rFonts w:ascii="Times New Roman" w:eastAsia="Times New Roman" w:hAnsi="Times New Roman"/>
          <w:sz w:val="24"/>
          <w:szCs w:val="24"/>
        </w:rPr>
        <w:t xml:space="preserve">e lesions found (Hinton and Lauren, 1990). </w:t>
      </w:r>
      <w:proofErr w:type="gramStart"/>
      <w:r>
        <w:rPr>
          <w:rFonts w:ascii="Times New Roman" w:eastAsia="Times New Roman" w:hAnsi="Times New Roman"/>
          <w:sz w:val="24"/>
          <w:szCs w:val="24"/>
        </w:rPr>
        <w:t>Furthermore</w:t>
      </w:r>
      <w:proofErr w:type="gramEnd"/>
      <w:r>
        <w:rPr>
          <w:rFonts w:ascii="Times New Roman" w:eastAsia="Times New Roman" w:hAnsi="Times New Roman"/>
          <w:sz w:val="24"/>
          <w:szCs w:val="24"/>
        </w:rPr>
        <w:t xml:space="preserve"> histological techniques like immunohistochemistry for vitellogenin (VTG) identification or histomorphometry that can help to detect microscopic effects early on, not visual during inspection, may great</w:t>
      </w:r>
      <w:r>
        <w:rPr>
          <w:rFonts w:ascii="Times New Roman" w:eastAsia="Times New Roman" w:hAnsi="Times New Roman"/>
          <w:sz w:val="24"/>
          <w:szCs w:val="24"/>
        </w:rPr>
        <w:t>ly enhance this strength (Wester et al., 2002).</w:t>
      </w:r>
    </w:p>
    <w:p w14:paraId="20021C45"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Direct exposures to various toxic pollutants may result in abnormalities and pathological alterations in fish (Bernet et al., 1999). Therefore, to determine and simulate the effects of some target heavy metal</w:t>
      </w:r>
      <w:r>
        <w:rPr>
          <w:rFonts w:ascii="Times New Roman" w:eastAsia="Times New Roman" w:hAnsi="Times New Roman"/>
          <w:sz w:val="24"/>
          <w:szCs w:val="24"/>
        </w:rPr>
        <w:t xml:space="preserve">s exposed to </w:t>
      </w:r>
      <w:proofErr w:type="spellStart"/>
      <w:r>
        <w:rPr>
          <w:rFonts w:ascii="Times New Roman" w:eastAsia="Times New Roman" w:hAnsi="Times New Roman"/>
          <w:sz w:val="24"/>
          <w:szCs w:val="24"/>
        </w:rPr>
        <w:t>Coptodon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zillii</w:t>
      </w:r>
      <w:proofErr w:type="spellEnd"/>
      <w:r>
        <w:rPr>
          <w:rFonts w:ascii="Times New Roman" w:eastAsia="Times New Roman" w:hAnsi="Times New Roman"/>
          <w:sz w:val="24"/>
          <w:szCs w:val="24"/>
        </w:rPr>
        <w:t>, a histology-based fish health assessment protocol was used to evaluate the bio-indicator fish, using the gills as a histologic biomarker.</w:t>
      </w:r>
    </w:p>
    <w:p w14:paraId="0C03496D" w14:textId="77777777" w:rsidR="0069775F" w:rsidRDefault="0069775F">
      <w:pPr>
        <w:spacing w:after="120" w:line="240" w:lineRule="auto"/>
        <w:rPr>
          <w:rFonts w:ascii="Times New Roman" w:eastAsia="Times New Roman" w:hAnsi="Times New Roman"/>
          <w:sz w:val="24"/>
          <w:szCs w:val="24"/>
        </w:rPr>
      </w:pPr>
    </w:p>
    <w:p w14:paraId="7524A393" w14:textId="77777777" w:rsidR="0069775F" w:rsidRDefault="004D7A71">
      <w:pPr>
        <w:spacing w:after="12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Materials and Method</w:t>
      </w:r>
    </w:p>
    <w:p w14:paraId="19A43B76" w14:textId="77777777" w:rsidR="0069775F" w:rsidRDefault="004D7A71">
      <w:pPr>
        <w:spacing w:after="12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Study Location</w:t>
      </w:r>
    </w:p>
    <w:p w14:paraId="4C89D77D" w14:textId="77777777" w:rsidR="0069775F" w:rsidRDefault="004D7A71">
      <w:pPr>
        <w:spacing w:after="120" w:line="240" w:lineRule="auto"/>
        <w:jc w:val="both"/>
        <w:rPr>
          <w:rFonts w:ascii="Times New Roman" w:eastAsia="Times New Roman" w:hAnsi="Times New Roman"/>
          <w:b/>
          <w:bCs/>
          <w:sz w:val="24"/>
          <w:szCs w:val="24"/>
        </w:rPr>
      </w:pPr>
      <w:r>
        <w:rPr>
          <w:rFonts w:ascii="Times New Roman" w:eastAsia="Times New Roman" w:hAnsi="Times New Roman"/>
          <w:bCs/>
          <w:sz w:val="24"/>
          <w:szCs w:val="24"/>
        </w:rPr>
        <w:t>The fish toxicity testing was done in a Wet laborat</w:t>
      </w:r>
      <w:r>
        <w:rPr>
          <w:rFonts w:ascii="Times New Roman" w:eastAsia="Times New Roman" w:hAnsi="Times New Roman"/>
          <w:bCs/>
          <w:sz w:val="24"/>
          <w:szCs w:val="24"/>
        </w:rPr>
        <w:t>ory of the Department of Aquaculture and Fisheries Management, Faculty of Agriculture, University of Benin, Nigeria. The department undertakes high level human resource development through research, training and technology transfer to ensure sustainable de</w:t>
      </w:r>
      <w:r>
        <w:rPr>
          <w:rFonts w:ascii="Times New Roman" w:eastAsia="Times New Roman" w:hAnsi="Times New Roman"/>
          <w:bCs/>
          <w:sz w:val="24"/>
          <w:szCs w:val="24"/>
        </w:rPr>
        <w:t xml:space="preserve">velopment of forest resources as well as the environmental and social impact on these resources.  </w:t>
      </w:r>
    </w:p>
    <w:p w14:paraId="5F1CA409" w14:textId="77777777" w:rsidR="0069775F" w:rsidRDefault="0069775F">
      <w:pPr>
        <w:spacing w:after="120" w:line="240" w:lineRule="auto"/>
        <w:jc w:val="both"/>
        <w:rPr>
          <w:rFonts w:ascii="Times New Roman" w:eastAsia="Times New Roman" w:hAnsi="Times New Roman"/>
          <w:sz w:val="24"/>
          <w:szCs w:val="24"/>
        </w:rPr>
      </w:pPr>
    </w:p>
    <w:p w14:paraId="68CDCE00" w14:textId="77777777" w:rsidR="0069775F" w:rsidRDefault="004D7A71">
      <w:pPr>
        <w:spacing w:after="12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Study Specie </w:t>
      </w:r>
    </w:p>
    <w:p w14:paraId="3A64C2F2" w14:textId="77777777" w:rsidR="0069775F" w:rsidRDefault="004D7A71">
      <w:pPr>
        <w:spacing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Fish selection: </w:t>
      </w:r>
      <w:r>
        <w:rPr>
          <w:rFonts w:ascii="Times New Roman" w:eastAsia="Times New Roman" w:hAnsi="Times New Roman"/>
          <w:sz w:val="24"/>
          <w:szCs w:val="24"/>
        </w:rPr>
        <w:t xml:space="preserve">EROCIPS (Emergency Response to coastal Oil, Chemical and Inert Pollution from Shipping), (2006), “Protocol for Selection of Sentinel Species” was basically used to select the appropriate sentinel specie for this study. The resident fish species,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w:t>
      </w:r>
      <w:r>
        <w:rPr>
          <w:rFonts w:ascii="Times New Roman" w:eastAsia="Times New Roman" w:hAnsi="Times New Roman"/>
          <w:i/>
          <w:sz w:val="24"/>
          <w:szCs w:val="24"/>
        </w:rPr>
        <w:t>illii</w:t>
      </w:r>
      <w:proofErr w:type="spellEnd"/>
      <w:r>
        <w:rPr>
          <w:rFonts w:ascii="Times New Roman" w:eastAsia="Times New Roman" w:hAnsi="Times New Roman"/>
          <w:sz w:val="24"/>
          <w:szCs w:val="24"/>
        </w:rPr>
        <w:t xml:space="preserve"> because it is a widely studied fish </w:t>
      </w:r>
      <w:proofErr w:type="gramStart"/>
      <w:r>
        <w:rPr>
          <w:rFonts w:ascii="Times New Roman" w:eastAsia="Times New Roman" w:hAnsi="Times New Roman"/>
          <w:sz w:val="24"/>
          <w:szCs w:val="24"/>
        </w:rPr>
        <w:t>species  (</w:t>
      </w:r>
      <w:proofErr w:type="gramEnd"/>
      <w:r>
        <w:rPr>
          <w:rFonts w:ascii="Times New Roman" w:eastAsia="Times New Roman" w:hAnsi="Times New Roman"/>
          <w:sz w:val="24"/>
          <w:szCs w:val="24"/>
        </w:rPr>
        <w:t xml:space="preserve">Harvey et al., 1999; </w:t>
      </w:r>
      <w:proofErr w:type="spellStart"/>
      <w:r>
        <w:rPr>
          <w:rFonts w:ascii="Times New Roman" w:eastAsia="Times New Roman" w:hAnsi="Times New Roman"/>
          <w:sz w:val="24"/>
          <w:szCs w:val="24"/>
        </w:rPr>
        <w:t>Pietrapiana</w:t>
      </w:r>
      <w:proofErr w:type="spellEnd"/>
      <w:r>
        <w:rPr>
          <w:rFonts w:ascii="Times New Roman" w:eastAsia="Times New Roman" w:hAnsi="Times New Roman"/>
          <w:sz w:val="24"/>
          <w:szCs w:val="24"/>
        </w:rPr>
        <w:t xml:space="preserve"> et al., 2002; Budzinski et al., 2004; EROCIPS, 2006; </w:t>
      </w:r>
      <w:proofErr w:type="spellStart"/>
      <w:r>
        <w:rPr>
          <w:rFonts w:ascii="Times New Roman" w:eastAsia="Times New Roman" w:hAnsi="Times New Roman"/>
          <w:sz w:val="24"/>
          <w:szCs w:val="24"/>
        </w:rPr>
        <w:t>Marigo´mez</w:t>
      </w:r>
      <w:proofErr w:type="spellEnd"/>
      <w:r>
        <w:rPr>
          <w:rFonts w:ascii="Times New Roman" w:eastAsia="Times New Roman" w:hAnsi="Times New Roman"/>
          <w:sz w:val="24"/>
          <w:szCs w:val="24"/>
        </w:rPr>
        <w:t xml:space="preserve"> et al., 2006; </w:t>
      </w:r>
      <w:proofErr w:type="spellStart"/>
      <w:r>
        <w:rPr>
          <w:rFonts w:ascii="Times New Roman" w:eastAsia="Times New Roman" w:hAnsi="Times New Roman"/>
          <w:sz w:val="24"/>
          <w:szCs w:val="24"/>
        </w:rPr>
        <w:t>Martı´nez-Go´mez</w:t>
      </w:r>
      <w:proofErr w:type="spellEnd"/>
      <w:r>
        <w:rPr>
          <w:rFonts w:ascii="Times New Roman" w:eastAsia="Times New Roman" w:hAnsi="Times New Roman"/>
          <w:sz w:val="24"/>
          <w:szCs w:val="24"/>
        </w:rPr>
        <w:t xml:space="preserve"> et al., 2006; Joly-</w:t>
      </w:r>
      <w:proofErr w:type="spellStart"/>
      <w:r>
        <w:rPr>
          <w:rFonts w:ascii="Times New Roman" w:eastAsia="Times New Roman" w:hAnsi="Times New Roman"/>
          <w:sz w:val="24"/>
          <w:szCs w:val="24"/>
        </w:rPr>
        <w:t>Turquin</w:t>
      </w:r>
      <w:proofErr w:type="spellEnd"/>
      <w:r>
        <w:rPr>
          <w:rFonts w:ascii="Times New Roman" w:eastAsia="Times New Roman" w:hAnsi="Times New Roman"/>
          <w:sz w:val="24"/>
          <w:szCs w:val="24"/>
        </w:rPr>
        <w:t xml:space="preserve"> et al., 2009), and it is a resident of the Niger </w:t>
      </w:r>
      <w:r>
        <w:rPr>
          <w:rFonts w:ascii="Times New Roman" w:eastAsia="Times New Roman" w:hAnsi="Times New Roman"/>
          <w:sz w:val="24"/>
          <w:szCs w:val="24"/>
        </w:rPr>
        <w:t>Delta region of Nigeria. This region is crude oil production hub of Nigeria, with the highest level of crude oil spills and other crude oil related environmental crimes.</w:t>
      </w:r>
    </w:p>
    <w:p w14:paraId="46979BCD" w14:textId="77777777" w:rsidR="0069775F" w:rsidRDefault="0069775F">
      <w:pPr>
        <w:spacing w:after="120" w:line="240" w:lineRule="auto"/>
        <w:jc w:val="both"/>
        <w:rPr>
          <w:rFonts w:ascii="Times New Roman" w:eastAsia="Times New Roman" w:hAnsi="Times New Roman"/>
          <w:sz w:val="24"/>
          <w:szCs w:val="24"/>
        </w:rPr>
      </w:pPr>
    </w:p>
    <w:p w14:paraId="4140D1CD" w14:textId="77777777" w:rsidR="0069775F" w:rsidRDefault="004D7A71">
      <w:pPr>
        <w:spacing w:after="120" w:line="240" w:lineRule="auto"/>
        <w:jc w:val="both"/>
        <w:rPr>
          <w:rFonts w:ascii="Times New Roman" w:eastAsia="Times New Roman" w:hAnsi="Times New Roman"/>
          <w:sz w:val="24"/>
          <w:szCs w:val="24"/>
        </w:rPr>
      </w:pPr>
      <w:r>
        <w:rPr>
          <w:rFonts w:ascii="Times New Roman" w:eastAsia="Times New Roman" w:hAnsi="Times New Roman"/>
          <w:b/>
          <w:sz w:val="24"/>
          <w:szCs w:val="24"/>
        </w:rPr>
        <w:lastRenderedPageBreak/>
        <w:t xml:space="preserve">Fish Biodata: </w:t>
      </w:r>
      <w:r>
        <w:rPr>
          <w:rFonts w:ascii="Times New Roman" w:eastAsia="Times New Roman" w:hAnsi="Times New Roman"/>
          <w:sz w:val="24"/>
          <w:szCs w:val="24"/>
        </w:rPr>
        <w:t xml:space="preserve">The chosen bio-indicator fish </w:t>
      </w:r>
      <w:proofErr w:type="spellStart"/>
      <w:r>
        <w:rPr>
          <w:rFonts w:ascii="Times New Roman" w:eastAsia="Times New Roman" w:hAnsi="Times New Roman"/>
          <w:sz w:val="24"/>
          <w:szCs w:val="24"/>
        </w:rPr>
        <w:t>specie</w:t>
      </w:r>
      <w:proofErr w:type="spellEnd"/>
      <w:r>
        <w:rPr>
          <w:rFonts w:ascii="Times New Roman" w:eastAsia="Times New Roman" w:hAnsi="Times New Roman"/>
          <w:sz w:val="24"/>
          <w:szCs w:val="24"/>
        </w:rPr>
        <w:t xml:space="preserve"> for this study is</w:t>
      </w:r>
      <w:r>
        <w:rPr>
          <w:sz w:val="24"/>
          <w:szCs w:val="24"/>
        </w:rPr>
        <w:t xml:space="preserve"> </w:t>
      </w:r>
      <w:r>
        <w:rPr>
          <w:rFonts w:ascii="Times New Roman" w:eastAsia="Times New Roman" w:hAnsi="Times New Roman"/>
          <w:i/>
          <w:sz w:val="24"/>
          <w:szCs w:val="24"/>
        </w:rPr>
        <w:t xml:space="preserve">Tilapia </w:t>
      </w:r>
      <w:proofErr w:type="spellStart"/>
      <w:r>
        <w:rPr>
          <w:rFonts w:ascii="Times New Roman" w:eastAsia="Times New Roman" w:hAnsi="Times New Roman"/>
          <w:i/>
          <w:sz w:val="24"/>
          <w:szCs w:val="24"/>
        </w:rPr>
        <w:t>zillii</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 xml:space="preserve">now known as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zillii</w:t>
      </w:r>
      <w:proofErr w:type="spellEnd"/>
      <w:r>
        <w:rPr>
          <w:rFonts w:ascii="Times New Roman" w:eastAsia="Times New Roman" w:hAnsi="Times New Roman"/>
          <w:i/>
          <w:sz w:val="24"/>
          <w:szCs w:val="24"/>
        </w:rPr>
        <w:t>.</w:t>
      </w:r>
      <w:r>
        <w:rPr>
          <w:rFonts w:ascii="Times New Roman" w:eastAsia="Times New Roman" w:hAnsi="Times New Roman"/>
          <w:sz w:val="24"/>
          <w:szCs w:val="24"/>
        </w:rPr>
        <w:t xml:space="preserve"> The fish </w:t>
      </w:r>
      <w:proofErr w:type="spellStart"/>
      <w:r>
        <w:rPr>
          <w:rFonts w:ascii="Times New Roman" w:eastAsia="Times New Roman" w:hAnsi="Times New Roman"/>
          <w:sz w:val="24"/>
          <w:szCs w:val="24"/>
        </w:rPr>
        <w:t>specie</w:t>
      </w:r>
      <w:proofErr w:type="spellEnd"/>
      <w:r>
        <w:rPr>
          <w:rFonts w:ascii="Times New Roman" w:eastAsia="Times New Roman" w:hAnsi="Times New Roman"/>
          <w:sz w:val="24"/>
          <w:szCs w:val="24"/>
        </w:rPr>
        <w:t xml:space="preserve"> is a resident of the Niger Delta region of Nigeria.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zillii</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has a maximum length of 40cm (SL) and a maximum published weight of 300 grams with a total of 13 to 16 Dorsal spines (GISD, 2019). The non-bre</w:t>
      </w:r>
      <w:r>
        <w:rPr>
          <w:rFonts w:ascii="Times New Roman" w:eastAsia="Times New Roman" w:hAnsi="Times New Roman"/>
          <w:sz w:val="24"/>
          <w:szCs w:val="24"/>
        </w:rPr>
        <w:t xml:space="preserve">eding </w:t>
      </w:r>
      <w:proofErr w:type="spellStart"/>
      <w:r>
        <w:rPr>
          <w:rFonts w:ascii="Times New Roman" w:eastAsia="Times New Roman" w:hAnsi="Times New Roman"/>
          <w:sz w:val="24"/>
          <w:szCs w:val="24"/>
        </w:rPr>
        <w:t>colouration</w:t>
      </w:r>
      <w:proofErr w:type="spellEnd"/>
      <w:r>
        <w:rPr>
          <w:rFonts w:ascii="Times New Roman" w:eastAsia="Times New Roman" w:hAnsi="Times New Roman"/>
          <w:sz w:val="24"/>
          <w:szCs w:val="24"/>
        </w:rPr>
        <w:t xml:space="preserve"> of </w:t>
      </w:r>
      <w:r>
        <w:rPr>
          <w:rFonts w:ascii="Times New Roman" w:eastAsia="Times New Roman" w:hAnsi="Times New Roman"/>
          <w:i/>
          <w:sz w:val="24"/>
          <w:szCs w:val="24"/>
        </w:rPr>
        <w:t xml:space="preserve">C. </w:t>
      </w:r>
      <w:proofErr w:type="spellStart"/>
      <w:r>
        <w:rPr>
          <w:rFonts w:ascii="Times New Roman" w:eastAsia="Times New Roman" w:hAnsi="Times New Roman"/>
          <w:i/>
          <w:sz w:val="24"/>
          <w:szCs w:val="24"/>
        </w:rPr>
        <w:t>zillii</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is dark olive on top and light olive to yellow-brown on the sides, often with an iridescent blue sheen. Lips are bright green and the chest is pinkish. Six to seven dark vertical bars cross two horizontal stripes on the body </w:t>
      </w:r>
      <w:r>
        <w:rPr>
          <w:rFonts w:ascii="Times New Roman" w:eastAsia="Times New Roman" w:hAnsi="Times New Roman"/>
          <w:sz w:val="24"/>
          <w:szCs w:val="24"/>
        </w:rPr>
        <w:t>and caudal peduncle. Fins are olivaceous, covered in yellow spots with the dorsal and anal fins displaying an outline of a thin orange band. Caudal fin often grey with pale interstices with dots covering the entire fin. Adults display a black spot outlined</w:t>
      </w:r>
      <w:r>
        <w:rPr>
          <w:rFonts w:ascii="Times New Roman" w:eastAsia="Times New Roman" w:hAnsi="Times New Roman"/>
          <w:sz w:val="24"/>
          <w:szCs w:val="24"/>
        </w:rPr>
        <w:t xml:space="preserve"> in yellow. C. </w:t>
      </w:r>
      <w:proofErr w:type="spellStart"/>
      <w:r>
        <w:rPr>
          <w:rFonts w:ascii="Times New Roman" w:eastAsia="Times New Roman" w:hAnsi="Times New Roman"/>
          <w:sz w:val="24"/>
          <w:szCs w:val="24"/>
        </w:rPr>
        <w:t>zillii</w:t>
      </w:r>
      <w:proofErr w:type="spellEnd"/>
      <w:r>
        <w:rPr>
          <w:rFonts w:ascii="Times New Roman" w:eastAsia="Times New Roman" w:hAnsi="Times New Roman"/>
          <w:sz w:val="24"/>
          <w:szCs w:val="24"/>
        </w:rPr>
        <w:t xml:space="preserve"> from 2 to 14cm (SL) have an entirely yellow to grey caudal fin with no dots, developing a greyish caudal fin with dots with increasing size. Spawning coloration is shiny dark green on top and sides, red and black on the throat and bel</w:t>
      </w:r>
      <w:r>
        <w:rPr>
          <w:rFonts w:ascii="Times New Roman" w:eastAsia="Times New Roman" w:hAnsi="Times New Roman"/>
          <w:sz w:val="24"/>
          <w:szCs w:val="24"/>
        </w:rPr>
        <w:t>ly, and obvious vertical bands on the sides. Heads turn dark blue to black with blue-green spots. Eggs are green to olive green, sticky, 1-2 mm in diameter; relatively smaller than eggs of other cichlids (</w:t>
      </w:r>
      <w:proofErr w:type="spellStart"/>
      <w:r>
        <w:rPr>
          <w:rFonts w:ascii="Times New Roman" w:eastAsia="Times New Roman" w:hAnsi="Times New Roman"/>
          <w:sz w:val="24"/>
          <w:szCs w:val="24"/>
        </w:rPr>
        <w:t>FishBase</w:t>
      </w:r>
      <w:proofErr w:type="spellEnd"/>
      <w:r>
        <w:rPr>
          <w:rFonts w:ascii="Times New Roman" w:eastAsia="Times New Roman" w:hAnsi="Times New Roman"/>
          <w:sz w:val="24"/>
          <w:szCs w:val="24"/>
        </w:rPr>
        <w:t>, 2008; GISD, 2019</w:t>
      </w:r>
      <w:proofErr w:type="gramStart"/>
      <w:r>
        <w:rPr>
          <w:rFonts w:ascii="Times New Roman" w:eastAsia="Times New Roman" w:hAnsi="Times New Roman"/>
          <w:sz w:val="24"/>
          <w:szCs w:val="24"/>
        </w:rPr>
        <w:t>)..</w:t>
      </w:r>
      <w:proofErr w:type="gramEnd"/>
    </w:p>
    <w:p w14:paraId="6EBD8681"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r>
        <w:rPr>
          <w:rFonts w:ascii="Times New Roman" w:eastAsia="Times New Roman" w:hAnsi="Times New Roman"/>
          <w:noProof/>
          <w:sz w:val="24"/>
          <w:szCs w:val="24"/>
        </w:rPr>
        <w:drawing>
          <wp:inline distT="0" distB="0" distL="0" distR="0" wp14:anchorId="6A442AD7" wp14:editId="542C6E9E">
            <wp:extent cx="1409700" cy="1005840"/>
            <wp:effectExtent l="0" t="0" r="0" b="3810"/>
            <wp:docPr id="102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8" cstate="print"/>
                    <a:srcRect/>
                    <a:stretch/>
                  </pic:blipFill>
                  <pic:spPr>
                    <a:xfrm>
                      <a:off x="0" y="0"/>
                      <a:ext cx="1409700" cy="1005840"/>
                    </a:xfrm>
                    <a:prstGeom prst="rect">
                      <a:avLst/>
                    </a:prstGeom>
                  </pic:spPr>
                </pic:pic>
              </a:graphicData>
            </a:graphic>
          </wp:inline>
        </w:drawing>
      </w:r>
    </w:p>
    <w:p w14:paraId="77DDE551" w14:textId="77777777" w:rsidR="0069775F" w:rsidRDefault="004D7A71">
      <w:pPr>
        <w:spacing w:after="120" w:line="240" w:lineRule="auto"/>
        <w:jc w:val="both"/>
        <w:rPr>
          <w:rFonts w:ascii="Times New Roman" w:eastAsia="Times New Roman" w:hAnsi="Times New Roman"/>
          <w:b/>
          <w:sz w:val="20"/>
          <w:szCs w:val="28"/>
        </w:rPr>
      </w:pPr>
      <w:r>
        <w:rPr>
          <w:rFonts w:ascii="Times New Roman" w:eastAsia="Times New Roman" w:hAnsi="Times New Roman"/>
          <w:b/>
          <w:sz w:val="20"/>
          <w:szCs w:val="28"/>
        </w:rPr>
        <w:t>Plate 1. Picture o</w:t>
      </w:r>
      <w:r>
        <w:rPr>
          <w:rFonts w:ascii="Times New Roman" w:eastAsia="Times New Roman" w:hAnsi="Times New Roman"/>
          <w:b/>
          <w:sz w:val="20"/>
          <w:szCs w:val="28"/>
        </w:rPr>
        <w:t xml:space="preserve">f </w:t>
      </w:r>
      <w:r>
        <w:rPr>
          <w:rFonts w:ascii="Times New Roman" w:eastAsia="Times New Roman" w:hAnsi="Times New Roman"/>
          <w:b/>
          <w:i/>
          <w:sz w:val="20"/>
          <w:szCs w:val="28"/>
        </w:rPr>
        <w:t xml:space="preserve">C. </w:t>
      </w:r>
      <w:proofErr w:type="spellStart"/>
      <w:r>
        <w:rPr>
          <w:rFonts w:ascii="Times New Roman" w:eastAsia="Times New Roman" w:hAnsi="Times New Roman"/>
          <w:b/>
          <w:i/>
          <w:sz w:val="20"/>
          <w:szCs w:val="28"/>
        </w:rPr>
        <w:t>zillii</w:t>
      </w:r>
      <w:proofErr w:type="spellEnd"/>
      <w:r>
        <w:rPr>
          <w:rFonts w:ascii="Times New Roman" w:eastAsia="Times New Roman" w:hAnsi="Times New Roman"/>
          <w:b/>
          <w:sz w:val="20"/>
          <w:szCs w:val="28"/>
        </w:rPr>
        <w:t xml:space="preserve">   </w:t>
      </w:r>
    </w:p>
    <w:p w14:paraId="16B34858" w14:textId="77777777" w:rsidR="0069775F" w:rsidRDefault="004D7A71">
      <w:pPr>
        <w:spacing w:after="120" w:line="240" w:lineRule="auto"/>
        <w:jc w:val="both"/>
        <w:rPr>
          <w:rFonts w:ascii="Times New Roman" w:hAnsi="Times New Roman"/>
          <w:sz w:val="24"/>
          <w:szCs w:val="24"/>
        </w:rPr>
      </w:pPr>
      <w:r>
        <w:rPr>
          <w:rFonts w:ascii="Times New Roman" w:eastAsia="Times New Roman" w:hAnsi="Times New Roman"/>
          <w:b/>
          <w:bCs/>
          <w:sz w:val="24"/>
          <w:szCs w:val="24"/>
        </w:rPr>
        <w:t>Fish Source: T</w:t>
      </w:r>
      <w:r>
        <w:rPr>
          <w:rFonts w:ascii="Times New Roman" w:eastAsia="Times New Roman" w:hAnsi="Times New Roman"/>
          <w:bCs/>
          <w:sz w:val="24"/>
          <w:szCs w:val="24"/>
        </w:rPr>
        <w:t>he fish used for toxicity testing was acquired from Nigeria Institution for Oceanography and Maritime Research (NIORMR) in Sapele Delta State, Nigeria. The Institute is involved in farmers' field test and incubation validated r</w:t>
      </w:r>
      <w:r>
        <w:rPr>
          <w:rFonts w:ascii="Times New Roman" w:eastAsia="Times New Roman" w:hAnsi="Times New Roman"/>
          <w:bCs/>
          <w:sz w:val="24"/>
          <w:szCs w:val="24"/>
        </w:rPr>
        <w:t xml:space="preserve">esearch results and technologies. </w:t>
      </w:r>
      <w:r>
        <w:rPr>
          <w:rFonts w:ascii="Times New Roman" w:hAnsi="Times New Roman"/>
          <w:sz w:val="24"/>
          <w:szCs w:val="24"/>
        </w:rPr>
        <w:t>The test fish was positively identified by a taxonomist from NIOMR, to be the right species for the study. The test fish used was disease-free and appear healthy, behave normally, feed well, and had low mortality in cultur</w:t>
      </w:r>
      <w:r>
        <w:rPr>
          <w:rFonts w:ascii="Times New Roman" w:hAnsi="Times New Roman"/>
          <w:sz w:val="24"/>
          <w:szCs w:val="24"/>
        </w:rPr>
        <w:t>es, during holding, and in test control. (USEPA, 2002).</w:t>
      </w:r>
    </w:p>
    <w:p w14:paraId="76EB0B71" w14:textId="77777777" w:rsidR="0069775F" w:rsidRDefault="004D7A71">
      <w:pPr>
        <w:spacing w:after="120" w:line="240" w:lineRule="auto"/>
        <w:rPr>
          <w:rFonts w:ascii="Times New Roman" w:hAnsi="Times New Roman"/>
          <w:sz w:val="24"/>
          <w:szCs w:val="24"/>
        </w:rPr>
      </w:pPr>
      <w:r>
        <w:rPr>
          <w:rFonts w:ascii="Times New Roman" w:eastAsia="Times New Roman" w:hAnsi="Times New Roman"/>
          <w:b/>
          <w:sz w:val="24"/>
          <w:szCs w:val="24"/>
        </w:rPr>
        <w:t xml:space="preserve">Test Fish Guidelines: </w:t>
      </w:r>
      <w:r>
        <w:rPr>
          <w:rFonts w:ascii="Times New Roman" w:hAnsi="Times New Roman"/>
          <w:sz w:val="24"/>
          <w:szCs w:val="24"/>
        </w:rPr>
        <w:t xml:space="preserve">Juveniles of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zillii</w:t>
      </w:r>
      <w:proofErr w:type="spellEnd"/>
      <w:r>
        <w:rPr>
          <w:rFonts w:ascii="Times New Roman" w:hAnsi="Times New Roman"/>
          <w:sz w:val="24"/>
          <w:szCs w:val="24"/>
        </w:rPr>
        <w:t xml:space="preserve"> were chosen for the study in tandem with ISO,1994 recommendation for chronic toxicity study (ISO, 1994; CEPA, 1999).   Young organisms are often more sensitive to toxicants than </w:t>
      </w:r>
      <w:r>
        <w:rPr>
          <w:rFonts w:ascii="Times New Roman" w:hAnsi="Times New Roman"/>
          <w:color w:val="FF0000"/>
          <w:sz w:val="24"/>
          <w:szCs w:val="24"/>
        </w:rPr>
        <w:t>(</w:t>
      </w:r>
      <w:r>
        <w:rPr>
          <w:rFonts w:ascii="Times New Roman" w:hAnsi="Times New Roman"/>
          <w:sz w:val="24"/>
          <w:szCs w:val="24"/>
        </w:rPr>
        <w:t>are</w:t>
      </w:r>
      <w:r>
        <w:rPr>
          <w:rFonts w:ascii="Times New Roman" w:hAnsi="Times New Roman"/>
          <w:color w:val="FF0000"/>
          <w:sz w:val="24"/>
          <w:szCs w:val="24"/>
        </w:rPr>
        <w:t>)</w:t>
      </w:r>
      <w:r>
        <w:rPr>
          <w:rFonts w:ascii="Times New Roman" w:hAnsi="Times New Roman"/>
          <w:sz w:val="24"/>
          <w:szCs w:val="24"/>
        </w:rPr>
        <w:t xml:space="preserve">adults. For this reason, the use of early life stages, such as juvenile </w:t>
      </w:r>
      <w:r>
        <w:rPr>
          <w:rFonts w:ascii="Times New Roman" w:hAnsi="Times New Roman"/>
          <w:sz w:val="24"/>
          <w:szCs w:val="24"/>
        </w:rPr>
        <w:t>is required for all tests (ISO, 1994; CEPA, 1999). Fish were approximately the same age and were gotten from the same source. Since age may affect the results of the tests, this would enhance the value and comparability of the data if the same species in t</w:t>
      </w:r>
      <w:r>
        <w:rPr>
          <w:rFonts w:ascii="Times New Roman" w:hAnsi="Times New Roman"/>
          <w:sz w:val="24"/>
          <w:szCs w:val="24"/>
        </w:rPr>
        <w:t>he same life stages were used throughout a monitoring program at a given facility (ISO, 1994; CEPA, 1999).</w:t>
      </w:r>
    </w:p>
    <w:p w14:paraId="3222E616" w14:textId="77777777" w:rsidR="0069775F" w:rsidRDefault="004D7A71">
      <w:pPr>
        <w:spacing w:after="120" w:line="240" w:lineRule="auto"/>
        <w:jc w:val="both"/>
        <w:rPr>
          <w:rFonts w:ascii="Times New Roman" w:hAnsi="Times New Roman"/>
          <w:b/>
          <w:sz w:val="24"/>
          <w:szCs w:val="24"/>
        </w:rPr>
      </w:pPr>
      <w:r>
        <w:rPr>
          <w:rFonts w:ascii="Times New Roman" w:eastAsia="Times New Roman" w:hAnsi="Times New Roman"/>
          <w:b/>
          <w:sz w:val="24"/>
          <w:szCs w:val="24"/>
        </w:rPr>
        <w:t>Study Design</w:t>
      </w:r>
    </w:p>
    <w:p w14:paraId="7FE1B387"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Study Guideline: </w:t>
      </w:r>
      <w:r>
        <w:rPr>
          <w:rFonts w:ascii="Times New Roman" w:eastAsia="Times New Roman" w:hAnsi="Times New Roman"/>
          <w:sz w:val="24"/>
          <w:szCs w:val="24"/>
        </w:rPr>
        <w:t>International Standardization Organization (ISO) test guideline standard, ISO 10229:1994 – “Chronic Toxicity Test of Fi</w:t>
      </w:r>
      <w:r>
        <w:rPr>
          <w:rFonts w:ascii="Times New Roman" w:eastAsia="Times New Roman" w:hAnsi="Times New Roman"/>
          <w:sz w:val="24"/>
          <w:szCs w:val="24"/>
        </w:rPr>
        <w:t>sh Water quality”, was used for the laboratory study (ISO, 1994). The standard specified the method for the determination of the long-term toxicity of substances (pure chemicals, mixtures, wastewater etc.). This Standard allows for the use of a semi-static</w:t>
      </w:r>
      <w:r>
        <w:rPr>
          <w:rFonts w:ascii="Times New Roman" w:eastAsia="Times New Roman" w:hAnsi="Times New Roman"/>
          <w:sz w:val="24"/>
          <w:szCs w:val="24"/>
        </w:rPr>
        <w:t xml:space="preserve"> method. The endpoint response was a measure of the morphological changes of test fish exposed to a test substance for a period of 14 to 28 days. The standard permits to adapt this method for use with a wide variety of freshwater, marine and brackish water</w:t>
      </w:r>
      <w:r>
        <w:rPr>
          <w:rFonts w:ascii="Times New Roman" w:eastAsia="Times New Roman" w:hAnsi="Times New Roman"/>
          <w:sz w:val="24"/>
          <w:szCs w:val="24"/>
        </w:rPr>
        <w:t xml:space="preserve"> fish with appropriate modifications in test conditions (temperature, food, fish marking technique).</w:t>
      </w:r>
    </w:p>
    <w:p w14:paraId="10B14492"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b/>
          <w:sz w:val="24"/>
          <w:szCs w:val="24"/>
        </w:rPr>
        <w:lastRenderedPageBreak/>
        <w:t xml:space="preserve">Experimental Set-up: </w:t>
      </w:r>
      <w:r>
        <w:rPr>
          <w:rFonts w:ascii="Times New Roman" w:eastAsia="Times New Roman" w:hAnsi="Times New Roman"/>
          <w:sz w:val="24"/>
          <w:szCs w:val="24"/>
        </w:rPr>
        <w:t>Sub-Chronic Toxicity studies were done in Department of Aquaculture and Fisheries Management, Faculty of Agriculture, University of Be</w:t>
      </w:r>
      <w:r>
        <w:rPr>
          <w:rFonts w:ascii="Times New Roman" w:eastAsia="Times New Roman" w:hAnsi="Times New Roman"/>
          <w:sz w:val="24"/>
          <w:szCs w:val="24"/>
        </w:rPr>
        <w:t xml:space="preserve">nin. The experimental duration was 28 days. </w:t>
      </w:r>
      <w:proofErr w:type="gramStart"/>
      <w:r>
        <w:rPr>
          <w:rFonts w:ascii="Times New Roman" w:eastAsia="Times New Roman" w:hAnsi="Times New Roman"/>
          <w:sz w:val="24"/>
          <w:szCs w:val="24"/>
        </w:rPr>
        <w:t>Twenty two</w:t>
      </w:r>
      <w:proofErr w:type="gramEnd"/>
      <w:r>
        <w:rPr>
          <w:rFonts w:ascii="Times New Roman" w:eastAsia="Times New Roman" w:hAnsi="Times New Roman"/>
          <w:sz w:val="24"/>
          <w:szCs w:val="24"/>
        </w:rPr>
        <w:t xml:space="preserve"> pieces (22) of twenty liter (20L) tanks were acquired for the experiment. Four replicate tanks per Target Chemical (TC) were labeled and used for the group treated. Hence, five TC of Copper, Cadmium, C</w:t>
      </w:r>
      <w:r>
        <w:rPr>
          <w:rFonts w:ascii="Times New Roman" w:eastAsia="Times New Roman" w:hAnsi="Times New Roman"/>
          <w:sz w:val="24"/>
          <w:szCs w:val="24"/>
        </w:rPr>
        <w:t>hromium, Lead and Nickel, a total of Twenty (20) tanks were set up for the experiment.</w:t>
      </w:r>
    </w:p>
    <w:p w14:paraId="7BA058B2"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79C8E8C" wp14:editId="5C1560F5">
            <wp:extent cx="3761105" cy="2885440"/>
            <wp:effectExtent l="0" t="0" r="0"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9" cstate="print"/>
                    <a:srcRect/>
                    <a:stretch/>
                  </pic:blipFill>
                  <pic:spPr>
                    <a:xfrm>
                      <a:off x="0" y="0"/>
                      <a:ext cx="3761105" cy="2885440"/>
                    </a:xfrm>
                    <a:prstGeom prst="rect">
                      <a:avLst/>
                    </a:prstGeom>
                  </pic:spPr>
                </pic:pic>
              </a:graphicData>
            </a:graphic>
          </wp:inline>
        </w:drawing>
      </w:r>
    </w:p>
    <w:p w14:paraId="5177A5B1" w14:textId="77777777" w:rsidR="0069775F" w:rsidRDefault="004D7A71">
      <w:pPr>
        <w:spacing w:after="120" w:line="240" w:lineRule="auto"/>
        <w:rPr>
          <w:rFonts w:ascii="Times New Roman" w:eastAsia="Times New Roman" w:hAnsi="Times New Roman"/>
          <w:b/>
          <w:i/>
          <w:sz w:val="20"/>
          <w:szCs w:val="24"/>
        </w:rPr>
      </w:pPr>
      <w:r>
        <w:rPr>
          <w:rFonts w:ascii="Times New Roman" w:eastAsia="Times New Roman" w:hAnsi="Times New Roman"/>
          <w:b/>
          <w:i/>
          <w:sz w:val="20"/>
          <w:szCs w:val="24"/>
        </w:rPr>
        <w:t xml:space="preserve">Plate 2: Experimental set-up in the Wet-laboratory of the Department of Agriculture University of Benin. </w:t>
      </w:r>
    </w:p>
    <w:p w14:paraId="761C490B"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b/>
          <w:sz w:val="24"/>
          <w:szCs w:val="24"/>
        </w:rPr>
        <w:t xml:space="preserve">Test Chemical/Concentration: </w:t>
      </w:r>
      <w:r>
        <w:rPr>
          <w:rFonts w:ascii="Times New Roman" w:eastAsia="Times New Roman" w:hAnsi="Times New Roman"/>
          <w:sz w:val="24"/>
          <w:szCs w:val="24"/>
        </w:rPr>
        <w:t>Target Chemicals (TC), Cadmium (</w:t>
      </w:r>
      <w:r>
        <w:rPr>
          <w:rFonts w:ascii="Times New Roman" w:eastAsia="Times New Roman" w:hAnsi="Times New Roman"/>
          <w:sz w:val="24"/>
          <w:szCs w:val="24"/>
        </w:rPr>
        <w:t>Cd0, Chromium (Cr), Copper (Cu), Nickel (Ni) and Lead (Pb) were chosen because of their cardiogenic quotient and presence in crude oil. A standard stock solution of 100mg/L of the TC (Cd, Cr, Cu, Ni and Pb) was prepared from analytical grade metallic salts</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of  Cadmium</w:t>
      </w:r>
      <w:proofErr w:type="gramEnd"/>
      <w:r>
        <w:rPr>
          <w:rFonts w:ascii="Times New Roman" w:eastAsia="Times New Roman" w:hAnsi="Times New Roman"/>
          <w:sz w:val="24"/>
          <w:szCs w:val="24"/>
        </w:rPr>
        <w:t xml:space="preserve"> Chloride (CdCl2), Lead II Nitrate (Pb(NO3)2), Nickel II Sulphate (NiSO4.(H2O)6), Copper Sulphate (CuSO4) and Potassium Dichromate (K2Cr2O7). Stock solution was prepared with de-ionized water in I-L volumetric. The maximum acceptable toxicant c</w:t>
      </w:r>
      <w:r>
        <w:rPr>
          <w:rFonts w:ascii="Times New Roman" w:eastAsia="Times New Roman" w:hAnsi="Times New Roman"/>
          <w:sz w:val="24"/>
          <w:szCs w:val="24"/>
        </w:rPr>
        <w:t xml:space="preserve">oncentration (MATC) for estuarine fresh water was set as the concentration of stock solutions for the laboratory testing (Gheorghe et al., 2017). Two concentrations below and above the estimated MATC were used for the testing (Gheorghe et al., 2017). </w:t>
      </w:r>
    </w:p>
    <w:p w14:paraId="362B31B8"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Tabl</w:t>
      </w:r>
      <w:r>
        <w:rPr>
          <w:rFonts w:ascii="Times New Roman" w:eastAsia="Times New Roman" w:hAnsi="Times New Roman"/>
          <w:sz w:val="24"/>
          <w:szCs w:val="24"/>
        </w:rPr>
        <w:t>e 1: Showing the results of TC doses applied for the fish toxicity study</w:t>
      </w:r>
    </w:p>
    <w:tbl>
      <w:tblPr>
        <w:tblW w:w="10008" w:type="dxa"/>
        <w:tblBorders>
          <w:top w:val="single" w:sz="8" w:space="0" w:color="000000"/>
          <w:bottom w:val="single" w:sz="8" w:space="0" w:color="000000"/>
        </w:tblBorders>
        <w:tblLayout w:type="fixed"/>
        <w:tblLook w:val="04A0" w:firstRow="1" w:lastRow="0" w:firstColumn="1" w:lastColumn="0" w:noHBand="0" w:noVBand="1"/>
      </w:tblPr>
      <w:tblGrid>
        <w:gridCol w:w="2808"/>
        <w:gridCol w:w="1620"/>
        <w:gridCol w:w="1260"/>
        <w:gridCol w:w="1332"/>
        <w:gridCol w:w="1409"/>
        <w:gridCol w:w="1579"/>
      </w:tblGrid>
      <w:tr w:rsidR="0069775F" w14:paraId="2EBBB2B1" w14:textId="77777777">
        <w:trPr>
          <w:trHeight w:val="303"/>
        </w:trPr>
        <w:tc>
          <w:tcPr>
            <w:tcW w:w="2808" w:type="dxa"/>
            <w:vMerge w:val="restart"/>
            <w:tcBorders>
              <w:top w:val="single" w:sz="8" w:space="0" w:color="000000"/>
              <w:left w:val="nil"/>
              <w:bottom w:val="single" w:sz="8" w:space="0" w:color="000000"/>
              <w:right w:val="nil"/>
            </w:tcBorders>
            <w:shd w:val="clear" w:color="auto" w:fill="auto"/>
          </w:tcPr>
          <w:p w14:paraId="321F2A19"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Target Chemicals (TC)</w:t>
            </w:r>
          </w:p>
        </w:tc>
        <w:tc>
          <w:tcPr>
            <w:tcW w:w="1620" w:type="dxa"/>
            <w:vMerge w:val="restart"/>
            <w:tcBorders>
              <w:top w:val="single" w:sz="8" w:space="0" w:color="000000"/>
              <w:left w:val="nil"/>
              <w:bottom w:val="single" w:sz="8" w:space="0" w:color="000000"/>
              <w:right w:val="nil"/>
            </w:tcBorders>
            <w:shd w:val="clear" w:color="auto" w:fill="auto"/>
          </w:tcPr>
          <w:p w14:paraId="709EDB25"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MATC (mg/L)</w:t>
            </w:r>
          </w:p>
        </w:tc>
        <w:tc>
          <w:tcPr>
            <w:tcW w:w="2592" w:type="dxa"/>
            <w:gridSpan w:val="2"/>
            <w:tcBorders>
              <w:top w:val="single" w:sz="8" w:space="0" w:color="000000"/>
              <w:left w:val="nil"/>
              <w:bottom w:val="single" w:sz="8" w:space="0" w:color="000000"/>
              <w:right w:val="nil"/>
            </w:tcBorders>
            <w:shd w:val="clear" w:color="auto" w:fill="auto"/>
          </w:tcPr>
          <w:p w14:paraId="194A0105"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FED: Dose above MATC (mg/L)</w:t>
            </w:r>
          </w:p>
        </w:tc>
        <w:tc>
          <w:tcPr>
            <w:tcW w:w="2988" w:type="dxa"/>
            <w:gridSpan w:val="2"/>
            <w:tcBorders>
              <w:top w:val="single" w:sz="8" w:space="0" w:color="000000"/>
              <w:left w:val="nil"/>
              <w:bottom w:val="single" w:sz="8" w:space="0" w:color="000000"/>
              <w:right w:val="nil"/>
            </w:tcBorders>
            <w:shd w:val="clear" w:color="auto" w:fill="auto"/>
          </w:tcPr>
          <w:p w14:paraId="4715E9EB"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FED: Dose below MATC (mg/L)</w:t>
            </w:r>
          </w:p>
        </w:tc>
      </w:tr>
      <w:tr w:rsidR="0069775F" w14:paraId="2663D583" w14:textId="77777777">
        <w:trPr>
          <w:trHeight w:val="253"/>
        </w:trPr>
        <w:tc>
          <w:tcPr>
            <w:tcW w:w="2808" w:type="dxa"/>
            <w:vMerge/>
            <w:tcBorders>
              <w:left w:val="nil"/>
              <w:right w:val="nil"/>
            </w:tcBorders>
            <w:shd w:val="clear" w:color="auto" w:fill="C0C0C0"/>
          </w:tcPr>
          <w:p w14:paraId="71C2ED5D" w14:textId="77777777" w:rsidR="0069775F" w:rsidRDefault="0069775F">
            <w:pPr>
              <w:spacing w:after="0" w:line="240" w:lineRule="auto"/>
              <w:rPr>
                <w:rFonts w:ascii="Times New Roman" w:eastAsia="Times New Roman" w:hAnsi="Times New Roman"/>
                <w:b/>
                <w:bCs/>
                <w:color w:val="000000"/>
                <w:sz w:val="20"/>
                <w:szCs w:val="20"/>
              </w:rPr>
            </w:pPr>
          </w:p>
        </w:tc>
        <w:tc>
          <w:tcPr>
            <w:tcW w:w="1620" w:type="dxa"/>
            <w:vMerge/>
            <w:tcBorders>
              <w:left w:val="nil"/>
              <w:right w:val="nil"/>
            </w:tcBorders>
            <w:shd w:val="clear" w:color="auto" w:fill="C0C0C0"/>
          </w:tcPr>
          <w:p w14:paraId="5E190A69" w14:textId="77777777" w:rsidR="0069775F" w:rsidRDefault="0069775F">
            <w:pPr>
              <w:spacing w:after="0" w:line="240" w:lineRule="auto"/>
              <w:rPr>
                <w:rFonts w:ascii="Times New Roman" w:eastAsia="Times New Roman" w:hAnsi="Times New Roman"/>
                <w:b/>
                <w:bCs/>
                <w:color w:val="000000"/>
                <w:sz w:val="20"/>
                <w:szCs w:val="20"/>
              </w:rPr>
            </w:pPr>
          </w:p>
        </w:tc>
        <w:tc>
          <w:tcPr>
            <w:tcW w:w="1260" w:type="dxa"/>
            <w:tcBorders>
              <w:left w:val="nil"/>
              <w:right w:val="nil"/>
            </w:tcBorders>
            <w:shd w:val="clear" w:color="auto" w:fill="C0C0C0"/>
          </w:tcPr>
          <w:p w14:paraId="01B14147"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C1</w:t>
            </w:r>
          </w:p>
        </w:tc>
        <w:tc>
          <w:tcPr>
            <w:tcW w:w="1332" w:type="dxa"/>
            <w:tcBorders>
              <w:left w:val="nil"/>
              <w:right w:val="nil"/>
            </w:tcBorders>
            <w:shd w:val="clear" w:color="auto" w:fill="C0C0C0"/>
          </w:tcPr>
          <w:p w14:paraId="08220030"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C2</w:t>
            </w:r>
          </w:p>
        </w:tc>
        <w:tc>
          <w:tcPr>
            <w:tcW w:w="1409" w:type="dxa"/>
            <w:tcBorders>
              <w:left w:val="nil"/>
              <w:right w:val="nil"/>
            </w:tcBorders>
            <w:shd w:val="clear" w:color="auto" w:fill="C0C0C0"/>
          </w:tcPr>
          <w:p w14:paraId="1B6DD82E"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C3</w:t>
            </w:r>
          </w:p>
        </w:tc>
        <w:tc>
          <w:tcPr>
            <w:tcW w:w="1579" w:type="dxa"/>
            <w:tcBorders>
              <w:left w:val="nil"/>
              <w:right w:val="nil"/>
            </w:tcBorders>
            <w:shd w:val="clear" w:color="auto" w:fill="C0C0C0"/>
          </w:tcPr>
          <w:p w14:paraId="600B23A8"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C4</w:t>
            </w:r>
          </w:p>
        </w:tc>
      </w:tr>
      <w:tr w:rsidR="0069775F" w14:paraId="5BD8F8E8" w14:textId="77777777">
        <w:tc>
          <w:tcPr>
            <w:tcW w:w="2808" w:type="dxa"/>
            <w:shd w:val="clear" w:color="auto" w:fill="auto"/>
          </w:tcPr>
          <w:p w14:paraId="5F02CCEB"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Cadmium (Cd)</w:t>
            </w:r>
          </w:p>
        </w:tc>
        <w:tc>
          <w:tcPr>
            <w:tcW w:w="1620" w:type="dxa"/>
            <w:shd w:val="clear" w:color="auto" w:fill="auto"/>
          </w:tcPr>
          <w:p w14:paraId="097C3468"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0.00001</w:t>
            </w:r>
          </w:p>
        </w:tc>
        <w:tc>
          <w:tcPr>
            <w:tcW w:w="1260" w:type="dxa"/>
            <w:shd w:val="clear" w:color="auto" w:fill="auto"/>
          </w:tcPr>
          <w:p w14:paraId="7CF335DF"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0.1</w:t>
            </w:r>
          </w:p>
        </w:tc>
        <w:tc>
          <w:tcPr>
            <w:tcW w:w="1332" w:type="dxa"/>
            <w:shd w:val="clear" w:color="auto" w:fill="auto"/>
          </w:tcPr>
          <w:p w14:paraId="19669FC7"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0.01</w:t>
            </w:r>
          </w:p>
        </w:tc>
        <w:tc>
          <w:tcPr>
            <w:tcW w:w="1409" w:type="dxa"/>
            <w:shd w:val="clear" w:color="auto" w:fill="auto"/>
          </w:tcPr>
          <w:p w14:paraId="110C6133"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0.0001</w:t>
            </w:r>
          </w:p>
        </w:tc>
        <w:tc>
          <w:tcPr>
            <w:tcW w:w="1579" w:type="dxa"/>
            <w:shd w:val="clear" w:color="auto" w:fill="auto"/>
          </w:tcPr>
          <w:p w14:paraId="22F99515"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0.0001</w:t>
            </w:r>
          </w:p>
        </w:tc>
      </w:tr>
      <w:tr w:rsidR="0069775F" w14:paraId="077037DB" w14:textId="77777777">
        <w:tc>
          <w:tcPr>
            <w:tcW w:w="2808" w:type="dxa"/>
            <w:tcBorders>
              <w:left w:val="nil"/>
              <w:right w:val="nil"/>
            </w:tcBorders>
            <w:shd w:val="clear" w:color="auto" w:fill="C0C0C0"/>
          </w:tcPr>
          <w:p w14:paraId="2DD1B18D"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Chromium (Cr)</w:t>
            </w:r>
          </w:p>
        </w:tc>
        <w:tc>
          <w:tcPr>
            <w:tcW w:w="1620" w:type="dxa"/>
            <w:tcBorders>
              <w:left w:val="nil"/>
              <w:right w:val="nil"/>
            </w:tcBorders>
            <w:shd w:val="clear" w:color="auto" w:fill="C0C0C0"/>
          </w:tcPr>
          <w:p w14:paraId="60953CD2"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c>
          <w:tcPr>
            <w:tcW w:w="1260" w:type="dxa"/>
            <w:tcBorders>
              <w:left w:val="nil"/>
              <w:right w:val="nil"/>
            </w:tcBorders>
            <w:shd w:val="clear" w:color="auto" w:fill="C0C0C0"/>
          </w:tcPr>
          <w:p w14:paraId="584B32E2"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10.0</w:t>
            </w:r>
          </w:p>
        </w:tc>
        <w:tc>
          <w:tcPr>
            <w:tcW w:w="1332" w:type="dxa"/>
            <w:tcBorders>
              <w:left w:val="nil"/>
              <w:right w:val="nil"/>
            </w:tcBorders>
            <w:shd w:val="clear" w:color="auto" w:fill="C0C0C0"/>
          </w:tcPr>
          <w:p w14:paraId="57EBE5D6"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w:t>
            </w:r>
          </w:p>
        </w:tc>
        <w:tc>
          <w:tcPr>
            <w:tcW w:w="1409" w:type="dxa"/>
            <w:tcBorders>
              <w:left w:val="nil"/>
              <w:right w:val="nil"/>
            </w:tcBorders>
            <w:shd w:val="clear" w:color="auto" w:fill="C0C0C0"/>
          </w:tcPr>
          <w:p w14:paraId="0FDD2580"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0.01</w:t>
            </w:r>
          </w:p>
        </w:tc>
        <w:tc>
          <w:tcPr>
            <w:tcW w:w="1579" w:type="dxa"/>
            <w:tcBorders>
              <w:left w:val="nil"/>
              <w:right w:val="nil"/>
            </w:tcBorders>
            <w:shd w:val="clear" w:color="auto" w:fill="C0C0C0"/>
          </w:tcPr>
          <w:p w14:paraId="31F4626A"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r>
      <w:tr w:rsidR="0069775F" w14:paraId="48EECCF2" w14:textId="77777777">
        <w:tc>
          <w:tcPr>
            <w:tcW w:w="2808" w:type="dxa"/>
            <w:shd w:val="clear" w:color="auto" w:fill="auto"/>
          </w:tcPr>
          <w:p w14:paraId="771B7AA3"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Copper (Cu)</w:t>
            </w:r>
          </w:p>
        </w:tc>
        <w:tc>
          <w:tcPr>
            <w:tcW w:w="1620" w:type="dxa"/>
            <w:shd w:val="clear" w:color="auto" w:fill="auto"/>
          </w:tcPr>
          <w:p w14:paraId="743CB440"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0.002</w:t>
            </w:r>
          </w:p>
        </w:tc>
        <w:tc>
          <w:tcPr>
            <w:tcW w:w="1260" w:type="dxa"/>
            <w:shd w:val="clear" w:color="auto" w:fill="auto"/>
          </w:tcPr>
          <w:p w14:paraId="57DBF0F6"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20.0</w:t>
            </w:r>
          </w:p>
        </w:tc>
        <w:tc>
          <w:tcPr>
            <w:tcW w:w="1332" w:type="dxa"/>
            <w:shd w:val="clear" w:color="auto" w:fill="auto"/>
          </w:tcPr>
          <w:p w14:paraId="2BB7F4FF"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w:t>
            </w:r>
          </w:p>
        </w:tc>
        <w:tc>
          <w:tcPr>
            <w:tcW w:w="1409" w:type="dxa"/>
            <w:shd w:val="clear" w:color="auto" w:fill="auto"/>
          </w:tcPr>
          <w:p w14:paraId="4B3E9621"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0.02</w:t>
            </w:r>
          </w:p>
        </w:tc>
        <w:tc>
          <w:tcPr>
            <w:tcW w:w="1579" w:type="dxa"/>
            <w:shd w:val="clear" w:color="auto" w:fill="auto"/>
          </w:tcPr>
          <w:p w14:paraId="3B12525F"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0.002</w:t>
            </w:r>
          </w:p>
        </w:tc>
      </w:tr>
      <w:tr w:rsidR="0069775F" w14:paraId="32E867B5" w14:textId="77777777">
        <w:tc>
          <w:tcPr>
            <w:tcW w:w="2808" w:type="dxa"/>
            <w:tcBorders>
              <w:left w:val="nil"/>
              <w:right w:val="nil"/>
            </w:tcBorders>
            <w:shd w:val="clear" w:color="auto" w:fill="C0C0C0"/>
          </w:tcPr>
          <w:p w14:paraId="0C392FDE"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Nickel (Ni)</w:t>
            </w:r>
          </w:p>
        </w:tc>
        <w:tc>
          <w:tcPr>
            <w:tcW w:w="1620" w:type="dxa"/>
            <w:tcBorders>
              <w:left w:val="nil"/>
              <w:right w:val="nil"/>
            </w:tcBorders>
            <w:shd w:val="clear" w:color="auto" w:fill="C0C0C0"/>
          </w:tcPr>
          <w:p w14:paraId="08EE03DC"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0.025</w:t>
            </w:r>
          </w:p>
        </w:tc>
        <w:tc>
          <w:tcPr>
            <w:tcW w:w="1260" w:type="dxa"/>
            <w:tcBorders>
              <w:left w:val="nil"/>
              <w:right w:val="nil"/>
            </w:tcBorders>
            <w:shd w:val="clear" w:color="auto" w:fill="C0C0C0"/>
          </w:tcPr>
          <w:p w14:paraId="2E16C8D8"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25.00</w:t>
            </w:r>
          </w:p>
        </w:tc>
        <w:tc>
          <w:tcPr>
            <w:tcW w:w="1332" w:type="dxa"/>
            <w:tcBorders>
              <w:left w:val="nil"/>
              <w:right w:val="nil"/>
            </w:tcBorders>
            <w:shd w:val="clear" w:color="auto" w:fill="C0C0C0"/>
          </w:tcPr>
          <w:p w14:paraId="3B23C99B"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2.5</w:t>
            </w:r>
          </w:p>
        </w:tc>
        <w:tc>
          <w:tcPr>
            <w:tcW w:w="1409" w:type="dxa"/>
            <w:tcBorders>
              <w:left w:val="nil"/>
              <w:right w:val="nil"/>
            </w:tcBorders>
            <w:shd w:val="clear" w:color="auto" w:fill="C0C0C0"/>
          </w:tcPr>
          <w:p w14:paraId="66FA0F8E"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0.05</w:t>
            </w:r>
          </w:p>
        </w:tc>
        <w:tc>
          <w:tcPr>
            <w:tcW w:w="1579" w:type="dxa"/>
            <w:tcBorders>
              <w:left w:val="nil"/>
              <w:right w:val="nil"/>
            </w:tcBorders>
            <w:shd w:val="clear" w:color="auto" w:fill="C0C0C0"/>
          </w:tcPr>
          <w:p w14:paraId="2233A908"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0.025</w:t>
            </w:r>
          </w:p>
        </w:tc>
      </w:tr>
      <w:tr w:rsidR="0069775F" w14:paraId="6E66EF60" w14:textId="77777777">
        <w:tc>
          <w:tcPr>
            <w:tcW w:w="2808" w:type="dxa"/>
            <w:shd w:val="clear" w:color="auto" w:fill="auto"/>
          </w:tcPr>
          <w:p w14:paraId="18DF4F64"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Lead (Pb)</w:t>
            </w:r>
          </w:p>
        </w:tc>
        <w:tc>
          <w:tcPr>
            <w:tcW w:w="1620" w:type="dxa"/>
            <w:shd w:val="clear" w:color="auto" w:fill="auto"/>
          </w:tcPr>
          <w:p w14:paraId="49F5717D"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c>
          <w:tcPr>
            <w:tcW w:w="1260" w:type="dxa"/>
            <w:shd w:val="clear" w:color="auto" w:fill="auto"/>
          </w:tcPr>
          <w:p w14:paraId="680FB128"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10.0</w:t>
            </w:r>
          </w:p>
        </w:tc>
        <w:tc>
          <w:tcPr>
            <w:tcW w:w="1332" w:type="dxa"/>
            <w:shd w:val="clear" w:color="auto" w:fill="auto"/>
          </w:tcPr>
          <w:p w14:paraId="3D0C4930"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w:t>
            </w:r>
          </w:p>
        </w:tc>
        <w:tc>
          <w:tcPr>
            <w:tcW w:w="1409" w:type="dxa"/>
            <w:shd w:val="clear" w:color="auto" w:fill="auto"/>
          </w:tcPr>
          <w:p w14:paraId="1B60815E"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0.01</w:t>
            </w:r>
          </w:p>
        </w:tc>
        <w:tc>
          <w:tcPr>
            <w:tcW w:w="1579" w:type="dxa"/>
            <w:shd w:val="clear" w:color="auto" w:fill="auto"/>
          </w:tcPr>
          <w:p w14:paraId="604FBF33" w14:textId="77777777" w:rsidR="0069775F" w:rsidRDefault="004D7A71">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r>
    </w:tbl>
    <w:p w14:paraId="7DFA2CA2" w14:textId="77777777" w:rsidR="0069775F" w:rsidRDefault="0069775F">
      <w:pPr>
        <w:spacing w:after="120" w:line="240" w:lineRule="auto"/>
        <w:rPr>
          <w:rFonts w:ascii="Times New Roman" w:eastAsia="Times New Roman" w:hAnsi="Times New Roman"/>
          <w:sz w:val="24"/>
          <w:szCs w:val="24"/>
        </w:rPr>
      </w:pPr>
    </w:p>
    <w:p w14:paraId="018F3F50"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i/>
          <w:sz w:val="24"/>
          <w:szCs w:val="24"/>
        </w:rPr>
        <w:t>Key</w:t>
      </w:r>
      <w:r>
        <w:rPr>
          <w:rFonts w:ascii="Times New Roman" w:eastAsia="Times New Roman" w:hAnsi="Times New Roman"/>
          <w:sz w:val="24"/>
          <w:szCs w:val="24"/>
        </w:rPr>
        <w:t xml:space="preserve">: TC = Target Chemicals; FED = Fish Exposure Dose; C1, C2, C3 and, C4 = Dose Concentrations of Heavy metal applied per Fish </w:t>
      </w:r>
      <w:r>
        <w:rPr>
          <w:rFonts w:ascii="Times New Roman" w:eastAsia="Times New Roman" w:hAnsi="Times New Roman"/>
          <w:sz w:val="24"/>
          <w:szCs w:val="24"/>
        </w:rPr>
        <w:t>Tank; MATA = CCME, 2001</w:t>
      </w:r>
    </w:p>
    <w:p w14:paraId="6F7C884C"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Test Chamber</w:t>
      </w:r>
    </w:p>
    <w:p w14:paraId="1785BA35"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Twenty (20) liters of chemically inert vessels (plastic Tanks) were used for the study. Each tanked was stocked with 25 fish, a stock capacity that was enough to allow for proper growth and maintenance of dissolved oxyg</w:t>
      </w:r>
      <w:r>
        <w:rPr>
          <w:rFonts w:ascii="Times New Roman" w:eastAsia="Times New Roman" w:hAnsi="Times New Roman"/>
          <w:sz w:val="24"/>
          <w:szCs w:val="24"/>
        </w:rPr>
        <w:t xml:space="preserve">en concentration. This is in compliance with the guideline loading rate criteria (OECD, 2013). The test chambers </w:t>
      </w:r>
      <w:proofErr w:type="gramStart"/>
      <w:r>
        <w:rPr>
          <w:rFonts w:ascii="Times New Roman" w:eastAsia="Times New Roman" w:hAnsi="Times New Roman"/>
          <w:sz w:val="24"/>
          <w:szCs w:val="24"/>
        </w:rPr>
        <w:t>was</w:t>
      </w:r>
      <w:proofErr w:type="gramEnd"/>
      <w:r>
        <w:rPr>
          <w:rFonts w:ascii="Times New Roman" w:eastAsia="Times New Roman" w:hAnsi="Times New Roman"/>
          <w:sz w:val="24"/>
          <w:szCs w:val="24"/>
        </w:rPr>
        <w:t xml:space="preserve"> randomly positioned in the test area and shielded from unwanted disturbance. The test was carried out without adjustment of </w:t>
      </w:r>
      <w:proofErr w:type="spellStart"/>
      <w:r>
        <w:rPr>
          <w:rFonts w:ascii="Times New Roman" w:eastAsia="Times New Roman" w:hAnsi="Times New Roman"/>
          <w:sz w:val="24"/>
          <w:szCs w:val="24"/>
        </w:rPr>
        <w:t>pH.</w:t>
      </w:r>
      <w:proofErr w:type="spellEnd"/>
      <w:r>
        <w:rPr>
          <w:rFonts w:ascii="Times New Roman" w:eastAsia="Times New Roman" w:hAnsi="Times New Roman"/>
          <w:sz w:val="24"/>
          <w:szCs w:val="24"/>
        </w:rPr>
        <w:t xml:space="preserve"> Nevertheles</w:t>
      </w:r>
      <w:r>
        <w:rPr>
          <w:rFonts w:ascii="Times New Roman" w:eastAsia="Times New Roman" w:hAnsi="Times New Roman"/>
          <w:sz w:val="24"/>
          <w:szCs w:val="24"/>
        </w:rPr>
        <w:t>s, where there is evidence of marked changed in the pH of the Tank water after addition of the test substance, the test would be repeated, adjusting the pH of the stock solution to the tank water before addition of the test substance. The PH adjustment wil</w:t>
      </w:r>
      <w:r>
        <w:rPr>
          <w:rFonts w:ascii="Times New Roman" w:eastAsia="Times New Roman" w:hAnsi="Times New Roman"/>
          <w:sz w:val="24"/>
          <w:szCs w:val="24"/>
        </w:rPr>
        <w:t>l be made (preferably with HC1 or Na0H) in such a way that the stock solution concentration is not changed to any significant extent and that no chemical reaction or physical precipitation of the test substance is caused (ISO, 1994; CEPA, 2004; Gheorghe et</w:t>
      </w:r>
      <w:r>
        <w:rPr>
          <w:rFonts w:ascii="Times New Roman" w:eastAsia="Times New Roman" w:hAnsi="Times New Roman"/>
          <w:sz w:val="24"/>
          <w:szCs w:val="24"/>
        </w:rPr>
        <w:t xml:space="preserve"> al., 2017). </w:t>
      </w:r>
    </w:p>
    <w:p w14:paraId="0045462B"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Test Solution Conditions</w:t>
      </w:r>
    </w:p>
    <w:p w14:paraId="7CA19AF6"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 test solution is fresh water, which was used to simulated fresh surface water. Water temperature was maintained between 20</w:t>
      </w:r>
      <w:r>
        <w:rPr>
          <w:rFonts w:ascii="Times New Roman" w:eastAsia="Times New Roman" w:hAnsi="Times New Roman"/>
          <w:sz w:val="24"/>
          <w:szCs w:val="24"/>
          <w:vertAlign w:val="superscript"/>
        </w:rPr>
        <w:t>O</w:t>
      </w:r>
      <w:r>
        <w:rPr>
          <w:rFonts w:ascii="Times New Roman" w:eastAsia="Times New Roman" w:hAnsi="Times New Roman"/>
          <w:sz w:val="24"/>
          <w:szCs w:val="24"/>
        </w:rPr>
        <w:t>C to 25</w:t>
      </w:r>
      <w:r>
        <w:rPr>
          <w:rFonts w:ascii="Times New Roman" w:eastAsia="Times New Roman" w:hAnsi="Times New Roman"/>
          <w:sz w:val="24"/>
          <w:szCs w:val="24"/>
          <w:vertAlign w:val="superscript"/>
        </w:rPr>
        <w:t>O</w:t>
      </w:r>
      <w:r>
        <w:rPr>
          <w:rFonts w:ascii="Times New Roman" w:eastAsia="Times New Roman" w:hAnsi="Times New Roman"/>
          <w:sz w:val="24"/>
          <w:szCs w:val="24"/>
        </w:rPr>
        <w:t>C (ISO, 1994; CEPA, 2004). The temperature of the test solutions was measured by p</w:t>
      </w:r>
      <w:r>
        <w:rPr>
          <w:rFonts w:ascii="Times New Roman" w:eastAsia="Times New Roman" w:hAnsi="Times New Roman"/>
          <w:sz w:val="24"/>
          <w:szCs w:val="24"/>
        </w:rPr>
        <w:t>lacing a thermometer directly into the test solutions. Temperature was recorded continuously in at least one vessel during the duration of each. DO concentration was maintained at not less than 60% of the maximum air saturation value throughout the test. D</w:t>
      </w:r>
      <w:r>
        <w:rPr>
          <w:rFonts w:ascii="Times New Roman" w:eastAsia="Times New Roman" w:hAnsi="Times New Roman"/>
          <w:sz w:val="24"/>
          <w:szCs w:val="24"/>
        </w:rPr>
        <w:t>O and pH was checked at the beginning of the test and daily, throughout the test period. Light quality was set at ambient laboratory illumination. Photoperiod was set at a minimum of ration of 12 hours light to 12hours dark, with a light intensity maintain</w:t>
      </w:r>
      <w:r>
        <w:rPr>
          <w:rFonts w:ascii="Times New Roman" w:eastAsia="Times New Roman" w:hAnsi="Times New Roman"/>
          <w:sz w:val="24"/>
          <w:szCs w:val="24"/>
        </w:rPr>
        <w:t xml:space="preserve">ed at 10 to 20 </w:t>
      </w:r>
      <w:proofErr w:type="spellStart"/>
      <w:r>
        <w:rPr>
          <w:rFonts w:ascii="Times New Roman" w:eastAsia="Times New Roman" w:hAnsi="Times New Roman"/>
          <w:sz w:val="24"/>
          <w:szCs w:val="24"/>
        </w:rPr>
        <w:t>μE</w:t>
      </w:r>
      <w:proofErr w:type="spellEnd"/>
      <w:r>
        <w:rPr>
          <w:rFonts w:ascii="Times New Roman" w:eastAsia="Times New Roman" w:hAnsi="Times New Roman"/>
          <w:sz w:val="24"/>
          <w:szCs w:val="24"/>
        </w:rPr>
        <w:t>/m2/s. Feeding was at least once daily, the quantity of food being kept constant and related to the initial fish weight, at least 2% body weight (ISO, 1994; CEPA, 2004).</w:t>
      </w:r>
    </w:p>
    <w:p w14:paraId="5EC2CA2D"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Validity of Test</w:t>
      </w:r>
    </w:p>
    <w:p w14:paraId="71D2FD7B" w14:textId="77777777" w:rsidR="0069775F" w:rsidRDefault="004D7A71">
      <w:pPr>
        <w:pStyle w:val="ListParagraphdaeebebf-f101-4889-831f-2692a0b491de"/>
        <w:numPr>
          <w:ilvl w:val="0"/>
          <w:numId w:val="3"/>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For the conditions of validity, ISO (1994) and OECD </w:t>
      </w:r>
      <w:r>
        <w:rPr>
          <w:rFonts w:ascii="Times New Roman" w:eastAsia="Times New Roman" w:hAnsi="Times New Roman"/>
          <w:sz w:val="24"/>
          <w:szCs w:val="24"/>
        </w:rPr>
        <w:t>(2013) conditions for the validity of test were adopted for this study:</w:t>
      </w:r>
    </w:p>
    <w:p w14:paraId="46534F6B" w14:textId="77777777" w:rsidR="0069775F" w:rsidRDefault="004D7A71">
      <w:pPr>
        <w:pStyle w:val="ListParagraphdaeebebf-f101-4889-831f-2692a0b491de"/>
        <w:numPr>
          <w:ilvl w:val="0"/>
          <w:numId w:val="3"/>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 mortality in the controls should not exceed 10% at the end of test.</w:t>
      </w:r>
    </w:p>
    <w:p w14:paraId="051A9FE7" w14:textId="77777777" w:rsidR="0069775F" w:rsidRDefault="004D7A71">
      <w:pPr>
        <w:pStyle w:val="ListParagraphdaeebebf-f101-4889-831f-2692a0b491de"/>
        <w:numPr>
          <w:ilvl w:val="0"/>
          <w:numId w:val="3"/>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 dissolved oxygen concentration should be at least 60% of the air saturation value throughout the test</w:t>
      </w:r>
    </w:p>
    <w:p w14:paraId="69752733" w14:textId="77777777" w:rsidR="0069775F" w:rsidRDefault="004D7A71">
      <w:pPr>
        <w:pStyle w:val="ListParagraphdaeebebf-f101-4889-831f-2692a0b491de"/>
        <w:numPr>
          <w:ilvl w:val="0"/>
          <w:numId w:val="3"/>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In sem</w:t>
      </w:r>
      <w:r>
        <w:rPr>
          <w:rFonts w:ascii="Times New Roman" w:eastAsia="Times New Roman" w:hAnsi="Times New Roman"/>
          <w:sz w:val="24"/>
          <w:szCs w:val="24"/>
        </w:rPr>
        <w:t>i-static procedures, aeration can be used, provided it does not lead to a significant loss of test substance</w:t>
      </w:r>
    </w:p>
    <w:p w14:paraId="4E6DB7E7" w14:textId="77777777" w:rsidR="0069775F" w:rsidRDefault="004D7A71">
      <w:pPr>
        <w:pStyle w:val="ListParagraphdaeebebf-f101-4889-831f-2692a0b491de"/>
        <w:numPr>
          <w:ilvl w:val="0"/>
          <w:numId w:val="3"/>
        </w:num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There should be evidence that the concentration of the substance being tested has been satisfactorily maintained (it should be at least 80% of the </w:t>
      </w:r>
      <w:r>
        <w:rPr>
          <w:rFonts w:ascii="Times New Roman" w:eastAsia="Times New Roman" w:hAnsi="Times New Roman"/>
          <w:sz w:val="24"/>
          <w:szCs w:val="24"/>
        </w:rPr>
        <w:t>nominal concentration) over the test period. The results should be based on measured concentration if the deviation from the nominal concentration is greater than 20%</w:t>
      </w:r>
    </w:p>
    <w:p w14:paraId="6234F3BB"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Histological Evaluation: </w:t>
      </w:r>
    </w:p>
    <w:p w14:paraId="24772C78"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sz w:val="24"/>
          <w:szCs w:val="24"/>
        </w:rPr>
        <w:t xml:space="preserve">At the end of the experiment, 5 fish from each tank was </w:t>
      </w:r>
      <w:r>
        <w:rPr>
          <w:rFonts w:ascii="Times New Roman" w:eastAsia="Times New Roman" w:hAnsi="Times New Roman"/>
          <w:sz w:val="24"/>
          <w:szCs w:val="24"/>
        </w:rPr>
        <w:t>sacrificed and the target organ of gills were excised and preserved in 10% buffered formalin solution and sent to the laboratory for tissue preparation. Tissue preparation was done in accordance to Drury and Wallington (1980).  The following histological e</w:t>
      </w:r>
      <w:r>
        <w:rPr>
          <w:rFonts w:ascii="Times New Roman" w:eastAsia="Times New Roman" w:hAnsi="Times New Roman"/>
          <w:sz w:val="24"/>
          <w:szCs w:val="24"/>
        </w:rPr>
        <w:t>valuations were made:</w:t>
      </w:r>
    </w:p>
    <w:p w14:paraId="0AF1C1C7" w14:textId="77777777" w:rsidR="0069775F" w:rsidRDefault="004D7A71">
      <w:pPr>
        <w:pStyle w:val="ListParagraphdaeebebf-f101-4889-831f-2692a0b491de"/>
        <w:numPr>
          <w:ilvl w:val="0"/>
          <w:numId w:val="4"/>
        </w:numPr>
        <w:spacing w:after="120" w:line="240" w:lineRule="auto"/>
        <w:rPr>
          <w:rFonts w:ascii="Times New Roman" w:eastAsia="Times New Roman" w:hAnsi="Times New Roman"/>
          <w:sz w:val="24"/>
          <w:szCs w:val="24"/>
        </w:rPr>
      </w:pPr>
      <w:r>
        <w:rPr>
          <w:rFonts w:ascii="Times New Roman" w:eastAsia="Times New Roman" w:hAnsi="Times New Roman"/>
          <w:b/>
          <w:sz w:val="24"/>
          <w:szCs w:val="24"/>
        </w:rPr>
        <w:t>Qualitative Analysis</w:t>
      </w:r>
      <w:r>
        <w:rPr>
          <w:rFonts w:ascii="Times New Roman" w:eastAsia="Times New Roman" w:hAnsi="Times New Roman"/>
          <w:sz w:val="24"/>
          <w:szCs w:val="24"/>
        </w:rPr>
        <w:t>: A Light microscopy (Olympus BH2) was used to identify and interpret (histological description) tissue slides and micrograph specimens at 40X, X100 and X400 magnification. The percentage prevalence of tissue histo</w:t>
      </w:r>
      <w:r>
        <w:rPr>
          <w:rFonts w:ascii="Times New Roman" w:eastAsia="Times New Roman" w:hAnsi="Times New Roman"/>
          <w:sz w:val="24"/>
          <w:szCs w:val="24"/>
        </w:rPr>
        <w:t xml:space="preserve">pathology was noted. </w:t>
      </w:r>
      <w:r>
        <w:rPr>
          <w:rFonts w:ascii="Times New Roman" w:eastAsia="Times New Roman" w:hAnsi="Times New Roman"/>
          <w:sz w:val="24"/>
          <w:szCs w:val="24"/>
        </w:rPr>
        <w:lastRenderedPageBreak/>
        <w:t>Histological findings in the prepared slides from Fish Exposed Dosage (FED) of TCs and control were noted.</w:t>
      </w:r>
    </w:p>
    <w:p w14:paraId="77A39C06" w14:textId="77777777" w:rsidR="0069775F" w:rsidRDefault="004D7A71">
      <w:pPr>
        <w:pStyle w:val="ListParagraphdaeebebf-f101-4889-831f-2692a0b491de"/>
        <w:numPr>
          <w:ilvl w:val="0"/>
          <w:numId w:val="4"/>
        </w:numPr>
        <w:spacing w:after="120" w:line="240" w:lineRule="auto"/>
        <w:rPr>
          <w:rFonts w:ascii="Times New Roman" w:eastAsia="Times New Roman" w:hAnsi="Times New Roman"/>
          <w:sz w:val="24"/>
          <w:szCs w:val="24"/>
        </w:rPr>
      </w:pPr>
      <w:r>
        <w:rPr>
          <w:rFonts w:ascii="Times New Roman" w:eastAsia="Times New Roman" w:hAnsi="Times New Roman"/>
          <w:b/>
          <w:sz w:val="24"/>
          <w:szCs w:val="24"/>
        </w:rPr>
        <w:t>Semi-quantitative analysis</w:t>
      </w:r>
      <w:r>
        <w:rPr>
          <w:rFonts w:ascii="Times New Roman" w:eastAsia="Times New Roman" w:hAnsi="Times New Roman"/>
          <w:sz w:val="24"/>
          <w:szCs w:val="24"/>
        </w:rPr>
        <w:t>: A standard semi-quantitative histological assessment according to the modified protocol of Bernet et</w:t>
      </w:r>
      <w:r>
        <w:rPr>
          <w:rFonts w:ascii="Times New Roman" w:eastAsia="Times New Roman" w:hAnsi="Times New Roman"/>
          <w:sz w:val="24"/>
          <w:szCs w:val="24"/>
        </w:rPr>
        <w:t xml:space="preserve"> al. (1999) modified by Van Dyk et al. (2009) was done to quantify the histopathological alterations observed in the gill of histology slides. This assessment is useful because it can be applied to any organ as well as allowing for standardized quantificat</w:t>
      </w:r>
      <w:r>
        <w:rPr>
          <w:rFonts w:ascii="Times New Roman" w:eastAsia="Times New Roman" w:hAnsi="Times New Roman"/>
          <w:sz w:val="24"/>
          <w:szCs w:val="24"/>
        </w:rPr>
        <w:t>ion of results. This assessment allows for the comparison of observed histopathologic lesions between the different Fish Exposure Dosage (FED) of TCs and controls (USEPA, 1994).</w:t>
      </w:r>
    </w:p>
    <w:p w14:paraId="5AA57CE0" w14:textId="77777777" w:rsidR="0069775F" w:rsidRDefault="0069775F">
      <w:pPr>
        <w:spacing w:after="120" w:line="240" w:lineRule="auto"/>
        <w:rPr>
          <w:rFonts w:ascii="Times New Roman" w:eastAsia="Times New Roman" w:hAnsi="Times New Roman"/>
          <w:sz w:val="24"/>
          <w:szCs w:val="24"/>
        </w:rPr>
      </w:pPr>
    </w:p>
    <w:p w14:paraId="19B49065" w14:textId="77777777" w:rsidR="0069775F" w:rsidRDefault="0069775F">
      <w:pPr>
        <w:spacing w:after="120" w:line="240" w:lineRule="auto"/>
        <w:rPr>
          <w:rFonts w:ascii="Times New Roman" w:eastAsia="Times New Roman" w:hAnsi="Times New Roman"/>
          <w:sz w:val="24"/>
          <w:szCs w:val="24"/>
        </w:rPr>
      </w:pPr>
    </w:p>
    <w:p w14:paraId="3F141F33" w14:textId="77777777" w:rsidR="0069775F" w:rsidRDefault="004D7A71">
      <w:pPr>
        <w:spacing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Results</w:t>
      </w:r>
    </w:p>
    <w:p w14:paraId="01FDBD53"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Qualitative Histological Assessment</w:t>
      </w:r>
    </w:p>
    <w:p w14:paraId="7E54CBCD" w14:textId="77777777" w:rsidR="0069775F" w:rsidRDefault="004D7A71">
      <w:pPr>
        <w:spacing w:after="120" w:line="240" w:lineRule="auto"/>
        <w:rPr>
          <w:rFonts w:ascii="Times New Roman" w:eastAsia="Times New Roman" w:hAnsi="Times New Roman"/>
          <w:sz w:val="24"/>
          <w:szCs w:val="24"/>
        </w:rPr>
      </w:pPr>
      <w:r>
        <w:rPr>
          <w:noProof/>
        </w:rPr>
        <w:drawing>
          <wp:inline distT="0" distB="0" distL="0" distR="0" wp14:anchorId="3B357783" wp14:editId="0D36B4A2">
            <wp:extent cx="6664325" cy="1828800"/>
            <wp:effectExtent l="0" t="0" r="3175" b="0"/>
            <wp:docPr id="102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8"/>
                    <pic:cNvPicPr/>
                  </pic:nvPicPr>
                  <pic:blipFill>
                    <a:blip r:embed="rId10" cstate="print"/>
                    <a:srcRect l="20175" t="61269" r="19302" b="9190"/>
                    <a:stretch/>
                  </pic:blipFill>
                  <pic:spPr>
                    <a:xfrm>
                      <a:off x="0" y="0"/>
                      <a:ext cx="6664325" cy="1828800"/>
                    </a:xfrm>
                    <a:prstGeom prst="rect">
                      <a:avLst/>
                    </a:prstGeom>
                    <a:ln>
                      <a:noFill/>
                    </a:ln>
                  </pic:spPr>
                </pic:pic>
              </a:graphicData>
            </a:graphic>
          </wp:inline>
        </w:drawing>
      </w:r>
    </w:p>
    <w:p w14:paraId="161B6F97"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b/>
          <w:i/>
          <w:sz w:val="20"/>
          <w:szCs w:val="24"/>
        </w:rPr>
        <w:t>Plate 3: Photomicrographs (H&amp;E</w:t>
      </w:r>
      <w:r>
        <w:rPr>
          <w:rFonts w:ascii="Times New Roman" w:eastAsia="Times New Roman" w:hAnsi="Times New Roman"/>
          <w:b/>
          <w:i/>
          <w:sz w:val="20"/>
          <w:szCs w:val="24"/>
        </w:rPr>
        <w:t>:400X). (A) Normal Gills showing the Primary Lamella (PL) and Secondary Lamella (SL) (B) Showing marked Primary (PL) and its cartilage (</w:t>
      </w:r>
      <w:proofErr w:type="spellStart"/>
      <w:r>
        <w:rPr>
          <w:rFonts w:ascii="Times New Roman" w:eastAsia="Times New Roman" w:hAnsi="Times New Roman"/>
          <w:b/>
          <w:i/>
          <w:sz w:val="20"/>
          <w:szCs w:val="24"/>
        </w:rPr>
        <w:t>PLc</w:t>
      </w:r>
      <w:proofErr w:type="spellEnd"/>
      <w:r>
        <w:rPr>
          <w:rFonts w:ascii="Times New Roman" w:eastAsia="Times New Roman" w:hAnsi="Times New Roman"/>
          <w:b/>
          <w:i/>
          <w:sz w:val="20"/>
          <w:szCs w:val="24"/>
        </w:rPr>
        <w:t>), marked Inflammatory Cell infiltration of the Primary Lamella (IPL). (C) showing the Gill Arch cartilage (</w:t>
      </w:r>
      <w:proofErr w:type="spellStart"/>
      <w:r>
        <w:rPr>
          <w:rFonts w:ascii="Times New Roman" w:eastAsia="Times New Roman" w:hAnsi="Times New Roman"/>
          <w:b/>
          <w:i/>
          <w:sz w:val="20"/>
          <w:szCs w:val="24"/>
        </w:rPr>
        <w:t>Gca</w:t>
      </w:r>
      <w:proofErr w:type="spellEnd"/>
      <w:r>
        <w:rPr>
          <w:rFonts w:ascii="Times New Roman" w:eastAsia="Times New Roman" w:hAnsi="Times New Roman"/>
          <w:b/>
          <w:i/>
          <w:sz w:val="20"/>
          <w:szCs w:val="24"/>
        </w:rPr>
        <w:t>) with</w:t>
      </w:r>
      <w:r>
        <w:rPr>
          <w:rFonts w:ascii="Times New Roman" w:eastAsia="Times New Roman" w:hAnsi="Times New Roman"/>
          <w:b/>
          <w:i/>
          <w:sz w:val="20"/>
          <w:szCs w:val="24"/>
        </w:rPr>
        <w:t xml:space="preserve"> marked Inflammatory Cell infiltration of the Gill Arch (Iga) and the Primary Lamella (IPL). There is atrophy of the Secondary Lamella in A and B</w:t>
      </w:r>
      <w:r>
        <w:rPr>
          <w:rFonts w:ascii="Times New Roman" w:eastAsia="Times New Roman" w:hAnsi="Times New Roman"/>
          <w:sz w:val="24"/>
          <w:szCs w:val="24"/>
        </w:rPr>
        <w:t>.</w:t>
      </w:r>
    </w:p>
    <w:p w14:paraId="35949E7E" w14:textId="77777777" w:rsidR="0069775F" w:rsidRDefault="004D7A71">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Semi-Quantitative Histopathological Assessment</w:t>
      </w:r>
    </w:p>
    <w:p w14:paraId="219108D0" w14:textId="67BB9808"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Below (Table </w:t>
      </w:r>
      <w:r w:rsidR="000A327A">
        <w:rPr>
          <w:rFonts w:ascii="Times New Roman" w:eastAsia="Times New Roman" w:hAnsi="Times New Roman"/>
          <w:sz w:val="24"/>
          <w:szCs w:val="24"/>
        </w:rPr>
        <w:t>2</w:t>
      </w:r>
      <w:r>
        <w:rPr>
          <w:rFonts w:ascii="Times New Roman" w:eastAsia="Times New Roman" w:hAnsi="Times New Roman"/>
          <w:sz w:val="24"/>
          <w:szCs w:val="24"/>
        </w:rPr>
        <w:t>) is the gills histopathologic organ index (I</w:t>
      </w:r>
      <w:r>
        <w:rPr>
          <w:rFonts w:ascii="Times New Roman" w:eastAsia="Times New Roman" w:hAnsi="Times New Roman"/>
          <w:sz w:val="24"/>
          <w:szCs w:val="24"/>
          <w:vertAlign w:val="subscript"/>
        </w:rPr>
        <w:t>org</w:t>
      </w:r>
      <w:r>
        <w:rPr>
          <w:rFonts w:ascii="Times New Roman" w:eastAsia="Times New Roman" w:hAnsi="Times New Roman"/>
          <w:sz w:val="24"/>
          <w:szCs w:val="24"/>
        </w:rPr>
        <w:t>) result collected with a score chart quantified by Bernet et al. (1999) protocol (modified by Van Dyk et al., (2009a), showed that Gills I</w:t>
      </w:r>
      <w:r>
        <w:rPr>
          <w:rFonts w:ascii="Times New Roman" w:eastAsia="Times New Roman" w:hAnsi="Times New Roman"/>
          <w:sz w:val="24"/>
          <w:szCs w:val="24"/>
          <w:vertAlign w:val="subscript"/>
        </w:rPr>
        <w:t>org</w:t>
      </w:r>
      <w:r>
        <w:rPr>
          <w:rFonts w:ascii="Times New Roman" w:eastAsia="Times New Roman" w:hAnsi="Times New Roman"/>
          <w:sz w:val="24"/>
          <w:szCs w:val="24"/>
        </w:rPr>
        <w:t xml:space="preserve"> of Cd1, Cd2, Cr1-Cr3, Cu3, Ni3, Pb2 and Pb3 were above control.</w:t>
      </w:r>
    </w:p>
    <w:p w14:paraId="540BE083"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b/>
          <w:sz w:val="24"/>
          <w:szCs w:val="24"/>
        </w:rPr>
        <w:t>Table 2</w:t>
      </w:r>
      <w:r>
        <w:rPr>
          <w:rFonts w:ascii="Times New Roman" w:eastAsia="Times New Roman" w:hAnsi="Times New Roman"/>
          <w:sz w:val="24"/>
          <w:szCs w:val="24"/>
        </w:rPr>
        <w:t xml:space="preserve">: Showing the mean Organ and fish Indices </w:t>
      </w:r>
      <w:r>
        <w:rPr>
          <w:rFonts w:ascii="Times New Roman" w:eastAsia="Times New Roman" w:hAnsi="Times New Roman"/>
          <w:sz w:val="24"/>
          <w:szCs w:val="24"/>
        </w:rPr>
        <w:t xml:space="preserve">of cultured fish lesions </w:t>
      </w:r>
    </w:p>
    <w:tbl>
      <w:tblPr>
        <w:tblStyle w:val="MediumShading1-Accent2"/>
        <w:tblW w:w="0" w:type="auto"/>
        <w:tblLayout w:type="fixed"/>
        <w:tblLook w:val="04A0" w:firstRow="1" w:lastRow="0" w:firstColumn="1" w:lastColumn="0" w:noHBand="0" w:noVBand="1"/>
      </w:tblPr>
      <w:tblGrid>
        <w:gridCol w:w="936"/>
        <w:gridCol w:w="696"/>
        <w:gridCol w:w="2005"/>
      </w:tblGrid>
      <w:tr w:rsidR="0069775F" w14:paraId="1EE4DD53" w14:textId="77777777" w:rsidTr="0069775F">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36" w:type="dxa"/>
          </w:tcPr>
          <w:p w14:paraId="66B0F055"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TC</w:t>
            </w:r>
          </w:p>
        </w:tc>
        <w:tc>
          <w:tcPr>
            <w:tcW w:w="696" w:type="dxa"/>
          </w:tcPr>
          <w:p w14:paraId="2D00D88D" w14:textId="77777777" w:rsidR="0069775F" w:rsidRDefault="004D7A71">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FEC</w:t>
            </w:r>
          </w:p>
        </w:tc>
        <w:tc>
          <w:tcPr>
            <w:tcW w:w="2005" w:type="dxa"/>
          </w:tcPr>
          <w:p w14:paraId="148073BD" w14:textId="77777777" w:rsidR="0069775F" w:rsidRDefault="004D7A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b w:val="0"/>
                <w:color w:val="000000"/>
                <w:sz w:val="24"/>
                <w:szCs w:val="24"/>
              </w:rPr>
              <w:t>Mean</w:t>
            </w:r>
            <w:r>
              <w:rPr>
                <w:rFonts w:ascii="Times New Roman" w:hAnsi="Times New Roman"/>
                <w:b w:val="0"/>
                <w:bCs w:val="0"/>
                <w:color w:val="000000"/>
                <w:sz w:val="24"/>
                <w:szCs w:val="24"/>
              </w:rPr>
              <w:t xml:space="preserve"> </w:t>
            </w:r>
            <w:r>
              <w:rPr>
                <w:rFonts w:ascii="Times New Roman" w:eastAsia="Times New Roman" w:hAnsi="Times New Roman"/>
                <w:b w:val="0"/>
                <w:sz w:val="24"/>
                <w:szCs w:val="24"/>
              </w:rPr>
              <w:t>Gills I</w:t>
            </w:r>
            <w:r>
              <w:rPr>
                <w:rFonts w:ascii="Times New Roman" w:eastAsia="Times New Roman" w:hAnsi="Times New Roman"/>
                <w:b w:val="0"/>
                <w:sz w:val="24"/>
                <w:szCs w:val="24"/>
                <w:vertAlign w:val="subscript"/>
              </w:rPr>
              <w:t>org</w:t>
            </w:r>
          </w:p>
        </w:tc>
      </w:tr>
      <w:tr w:rsidR="0069775F" w14:paraId="7D3E94F9" w14:textId="77777777" w:rsidTr="0069775F">
        <w:trPr>
          <w:trHeight w:val="88"/>
        </w:trPr>
        <w:tc>
          <w:tcPr>
            <w:cnfStyle w:val="001000000000" w:firstRow="0" w:lastRow="0" w:firstColumn="1" w:lastColumn="0" w:oddVBand="0" w:evenVBand="0" w:oddHBand="0" w:evenHBand="0" w:firstRowFirstColumn="0" w:firstRowLastColumn="0" w:lastRowFirstColumn="0" w:lastRowLastColumn="0"/>
            <w:tcW w:w="936" w:type="dxa"/>
          </w:tcPr>
          <w:p w14:paraId="4D0B6D74"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Con</w:t>
            </w:r>
          </w:p>
        </w:tc>
        <w:tc>
          <w:tcPr>
            <w:tcW w:w="696" w:type="dxa"/>
          </w:tcPr>
          <w:p w14:paraId="4A72CCBD" w14:textId="77777777" w:rsidR="0069775F" w:rsidRDefault="0069775F">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p>
        </w:tc>
        <w:tc>
          <w:tcPr>
            <w:tcW w:w="2005" w:type="dxa"/>
          </w:tcPr>
          <w:p w14:paraId="31254115"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1.2</w:t>
            </w:r>
          </w:p>
        </w:tc>
      </w:tr>
      <w:tr w:rsidR="0069775F" w14:paraId="621F078C" w14:textId="77777777" w:rsidTr="0069775F">
        <w:trPr>
          <w:trHeight w:val="265"/>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64E60632"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Cd</w:t>
            </w:r>
          </w:p>
        </w:tc>
        <w:tc>
          <w:tcPr>
            <w:tcW w:w="696" w:type="dxa"/>
          </w:tcPr>
          <w:p w14:paraId="6788A22D"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Cd1</w:t>
            </w:r>
          </w:p>
        </w:tc>
        <w:tc>
          <w:tcPr>
            <w:tcW w:w="2005" w:type="dxa"/>
          </w:tcPr>
          <w:p w14:paraId="7FC27568"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18.8</w:t>
            </w:r>
          </w:p>
        </w:tc>
      </w:tr>
      <w:tr w:rsidR="0069775F" w14:paraId="6954789F" w14:textId="77777777" w:rsidTr="0069775F">
        <w:trPr>
          <w:trHeight w:val="261"/>
        </w:trPr>
        <w:tc>
          <w:tcPr>
            <w:cnfStyle w:val="001000000000" w:firstRow="0" w:lastRow="0" w:firstColumn="1" w:lastColumn="0" w:oddVBand="0" w:evenVBand="0" w:oddHBand="0" w:evenHBand="0" w:firstRowFirstColumn="0" w:firstRowLastColumn="0" w:lastRowFirstColumn="0" w:lastRowLastColumn="0"/>
            <w:tcW w:w="936" w:type="dxa"/>
            <w:vMerge/>
          </w:tcPr>
          <w:p w14:paraId="5B716DEF"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29934F21"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Cd2</w:t>
            </w:r>
          </w:p>
        </w:tc>
        <w:tc>
          <w:tcPr>
            <w:tcW w:w="2005" w:type="dxa"/>
          </w:tcPr>
          <w:p w14:paraId="134F6EA5"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13.4</w:t>
            </w:r>
          </w:p>
        </w:tc>
      </w:tr>
      <w:tr w:rsidR="0069775F" w14:paraId="10E79B7C"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68A44CF1" w14:textId="77777777" w:rsidR="0069775F" w:rsidRDefault="0069775F">
            <w:pPr>
              <w:spacing w:before="100" w:beforeAutospacing="1" w:after="100" w:afterAutospacing="1" w:line="240" w:lineRule="auto"/>
              <w:ind w:left="720" w:firstLine="720"/>
              <w:jc w:val="center"/>
              <w:rPr>
                <w:rFonts w:ascii="Times New Roman" w:hAnsi="Times New Roman"/>
                <w:color w:val="000000"/>
                <w:sz w:val="24"/>
                <w:szCs w:val="24"/>
              </w:rPr>
            </w:pPr>
          </w:p>
        </w:tc>
        <w:tc>
          <w:tcPr>
            <w:tcW w:w="696" w:type="dxa"/>
          </w:tcPr>
          <w:p w14:paraId="0228A9F3"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Cd3</w:t>
            </w:r>
          </w:p>
        </w:tc>
        <w:tc>
          <w:tcPr>
            <w:tcW w:w="2005" w:type="dxa"/>
          </w:tcPr>
          <w:p w14:paraId="6D0C6E12"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1.0</w:t>
            </w:r>
          </w:p>
        </w:tc>
      </w:tr>
      <w:tr w:rsidR="0069775F" w14:paraId="4BB519F4"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tcPr>
          <w:p w14:paraId="2044A0AB"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03D47194"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Cd4</w:t>
            </w:r>
          </w:p>
        </w:tc>
        <w:tc>
          <w:tcPr>
            <w:tcW w:w="2005" w:type="dxa"/>
          </w:tcPr>
          <w:p w14:paraId="0815E9C0"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0.4</w:t>
            </w:r>
          </w:p>
        </w:tc>
      </w:tr>
      <w:tr w:rsidR="0069775F" w14:paraId="28CB5E05" w14:textId="77777777" w:rsidTr="0069775F">
        <w:trPr>
          <w:trHeight w:val="265"/>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7DB1901C"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Cr</w:t>
            </w:r>
          </w:p>
        </w:tc>
        <w:tc>
          <w:tcPr>
            <w:tcW w:w="696" w:type="dxa"/>
          </w:tcPr>
          <w:p w14:paraId="1FF286A6"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Cr1</w:t>
            </w:r>
          </w:p>
        </w:tc>
        <w:tc>
          <w:tcPr>
            <w:tcW w:w="2005" w:type="dxa"/>
          </w:tcPr>
          <w:p w14:paraId="3624472D"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20.8</w:t>
            </w:r>
          </w:p>
        </w:tc>
      </w:tr>
      <w:tr w:rsidR="0069775F" w14:paraId="77EE8C6C" w14:textId="77777777" w:rsidTr="0069775F">
        <w:trPr>
          <w:trHeight w:val="261"/>
        </w:trPr>
        <w:tc>
          <w:tcPr>
            <w:cnfStyle w:val="001000000000" w:firstRow="0" w:lastRow="0" w:firstColumn="1" w:lastColumn="0" w:oddVBand="0" w:evenVBand="0" w:oddHBand="0" w:evenHBand="0" w:firstRowFirstColumn="0" w:firstRowLastColumn="0" w:lastRowFirstColumn="0" w:lastRowLastColumn="0"/>
            <w:tcW w:w="936" w:type="dxa"/>
            <w:vMerge/>
          </w:tcPr>
          <w:p w14:paraId="1CE2A309"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3D95531B"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Cr2</w:t>
            </w:r>
          </w:p>
        </w:tc>
        <w:tc>
          <w:tcPr>
            <w:tcW w:w="2005" w:type="dxa"/>
          </w:tcPr>
          <w:p w14:paraId="24A20D8C"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14.6</w:t>
            </w:r>
          </w:p>
        </w:tc>
      </w:tr>
      <w:tr w:rsidR="0069775F" w14:paraId="5A911F73"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tcPr>
          <w:p w14:paraId="158DFFE7"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039EED5B"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Cr3</w:t>
            </w:r>
          </w:p>
        </w:tc>
        <w:tc>
          <w:tcPr>
            <w:tcW w:w="2005" w:type="dxa"/>
          </w:tcPr>
          <w:p w14:paraId="03046486"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2.0</w:t>
            </w:r>
          </w:p>
        </w:tc>
      </w:tr>
      <w:tr w:rsidR="0069775F" w14:paraId="2E366406" w14:textId="77777777" w:rsidTr="0069775F">
        <w:trPr>
          <w:trHeight w:val="224"/>
        </w:trPr>
        <w:tc>
          <w:tcPr>
            <w:cnfStyle w:val="001000000000" w:firstRow="0" w:lastRow="0" w:firstColumn="1" w:lastColumn="0" w:oddVBand="0" w:evenVBand="0" w:oddHBand="0" w:evenHBand="0" w:firstRowFirstColumn="0" w:firstRowLastColumn="0" w:lastRowFirstColumn="0" w:lastRowLastColumn="0"/>
            <w:tcW w:w="936" w:type="dxa"/>
            <w:vMerge/>
          </w:tcPr>
          <w:p w14:paraId="0C707685"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517F7A79"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Cr4</w:t>
            </w:r>
          </w:p>
        </w:tc>
        <w:tc>
          <w:tcPr>
            <w:tcW w:w="2005" w:type="dxa"/>
          </w:tcPr>
          <w:p w14:paraId="228A499A"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0.8</w:t>
            </w:r>
          </w:p>
        </w:tc>
      </w:tr>
      <w:tr w:rsidR="0069775F" w14:paraId="3ED1281B" w14:textId="77777777" w:rsidTr="0069775F">
        <w:trPr>
          <w:trHeight w:val="366"/>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77A8142A"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Cu</w:t>
            </w:r>
          </w:p>
        </w:tc>
        <w:tc>
          <w:tcPr>
            <w:tcW w:w="696" w:type="dxa"/>
          </w:tcPr>
          <w:p w14:paraId="061A953C"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Cu1</w:t>
            </w:r>
          </w:p>
        </w:tc>
        <w:tc>
          <w:tcPr>
            <w:tcW w:w="2005" w:type="dxa"/>
          </w:tcPr>
          <w:p w14:paraId="44DBC995"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6E86B6A9" w14:textId="77777777" w:rsidTr="0069775F">
        <w:trPr>
          <w:trHeight w:val="173"/>
        </w:trPr>
        <w:tc>
          <w:tcPr>
            <w:cnfStyle w:val="001000000000" w:firstRow="0" w:lastRow="0" w:firstColumn="1" w:lastColumn="0" w:oddVBand="0" w:evenVBand="0" w:oddHBand="0" w:evenHBand="0" w:firstRowFirstColumn="0" w:firstRowLastColumn="0" w:lastRowFirstColumn="0" w:lastRowLastColumn="0"/>
            <w:tcW w:w="936" w:type="dxa"/>
            <w:vMerge/>
          </w:tcPr>
          <w:p w14:paraId="78FC5884"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03DCAF73"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Cu2</w:t>
            </w:r>
          </w:p>
        </w:tc>
        <w:tc>
          <w:tcPr>
            <w:tcW w:w="2005" w:type="dxa"/>
          </w:tcPr>
          <w:p w14:paraId="44438D0B"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547D5399" w14:textId="77777777" w:rsidTr="0069775F">
        <w:trPr>
          <w:trHeight w:val="291"/>
        </w:trPr>
        <w:tc>
          <w:tcPr>
            <w:cnfStyle w:val="001000000000" w:firstRow="0" w:lastRow="0" w:firstColumn="1" w:lastColumn="0" w:oddVBand="0" w:evenVBand="0" w:oddHBand="0" w:evenHBand="0" w:firstRowFirstColumn="0" w:firstRowLastColumn="0" w:lastRowFirstColumn="0" w:lastRowLastColumn="0"/>
            <w:tcW w:w="936" w:type="dxa"/>
            <w:vMerge/>
          </w:tcPr>
          <w:p w14:paraId="411A5F2A"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2BC1AC25"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Cu3</w:t>
            </w:r>
          </w:p>
        </w:tc>
        <w:tc>
          <w:tcPr>
            <w:tcW w:w="2005" w:type="dxa"/>
          </w:tcPr>
          <w:p w14:paraId="3FF5D1C5"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11.6</w:t>
            </w:r>
          </w:p>
        </w:tc>
      </w:tr>
      <w:tr w:rsidR="0069775F" w14:paraId="01AE4B08"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tcPr>
          <w:p w14:paraId="66FCF709"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119E0809"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Cu4</w:t>
            </w:r>
          </w:p>
        </w:tc>
        <w:tc>
          <w:tcPr>
            <w:tcW w:w="2005" w:type="dxa"/>
          </w:tcPr>
          <w:p w14:paraId="76A70D18"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1.6</w:t>
            </w:r>
          </w:p>
        </w:tc>
      </w:tr>
      <w:tr w:rsidR="0069775F" w14:paraId="1B0C86ED"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16812862"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Ni</w:t>
            </w:r>
          </w:p>
        </w:tc>
        <w:tc>
          <w:tcPr>
            <w:tcW w:w="696" w:type="dxa"/>
          </w:tcPr>
          <w:p w14:paraId="73F6ED1A"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Ni1</w:t>
            </w:r>
          </w:p>
        </w:tc>
        <w:tc>
          <w:tcPr>
            <w:tcW w:w="2005" w:type="dxa"/>
          </w:tcPr>
          <w:p w14:paraId="62F2E372"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7D26BDA5" w14:textId="77777777" w:rsidTr="0069775F">
        <w:trPr>
          <w:trHeight w:val="253"/>
        </w:trPr>
        <w:tc>
          <w:tcPr>
            <w:cnfStyle w:val="001000000000" w:firstRow="0" w:lastRow="0" w:firstColumn="1" w:lastColumn="0" w:oddVBand="0" w:evenVBand="0" w:oddHBand="0" w:evenHBand="0" w:firstRowFirstColumn="0" w:firstRowLastColumn="0" w:lastRowFirstColumn="0" w:lastRowLastColumn="0"/>
            <w:tcW w:w="936" w:type="dxa"/>
            <w:vMerge/>
          </w:tcPr>
          <w:p w14:paraId="4AA0E4E6"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197A2B3E"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Ni2</w:t>
            </w:r>
          </w:p>
        </w:tc>
        <w:tc>
          <w:tcPr>
            <w:tcW w:w="2005" w:type="dxa"/>
          </w:tcPr>
          <w:p w14:paraId="7ED99B46"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42810566" w14:textId="77777777" w:rsidTr="0069775F">
        <w:trPr>
          <w:trHeight w:val="240"/>
        </w:trPr>
        <w:tc>
          <w:tcPr>
            <w:cnfStyle w:val="001000000000" w:firstRow="0" w:lastRow="0" w:firstColumn="1" w:lastColumn="0" w:oddVBand="0" w:evenVBand="0" w:oddHBand="0" w:evenHBand="0" w:firstRowFirstColumn="0" w:firstRowLastColumn="0" w:lastRowFirstColumn="0" w:lastRowLastColumn="0"/>
            <w:tcW w:w="936" w:type="dxa"/>
            <w:vMerge/>
          </w:tcPr>
          <w:p w14:paraId="52464E76"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6E3CF7E1"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Ni3</w:t>
            </w:r>
          </w:p>
        </w:tc>
        <w:tc>
          <w:tcPr>
            <w:tcW w:w="2005" w:type="dxa"/>
          </w:tcPr>
          <w:p w14:paraId="33FE6BF9"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4.0</w:t>
            </w:r>
          </w:p>
        </w:tc>
      </w:tr>
      <w:tr w:rsidR="0069775F" w14:paraId="6D3EBA8E" w14:textId="77777777" w:rsidTr="0069775F">
        <w:trPr>
          <w:trHeight w:val="240"/>
        </w:trPr>
        <w:tc>
          <w:tcPr>
            <w:cnfStyle w:val="001000000000" w:firstRow="0" w:lastRow="0" w:firstColumn="1" w:lastColumn="0" w:oddVBand="0" w:evenVBand="0" w:oddHBand="0" w:evenHBand="0" w:firstRowFirstColumn="0" w:firstRowLastColumn="0" w:lastRowFirstColumn="0" w:lastRowLastColumn="0"/>
            <w:tcW w:w="936" w:type="dxa"/>
            <w:vMerge/>
          </w:tcPr>
          <w:p w14:paraId="6AB90101"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5668733B"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Ni4</w:t>
            </w:r>
          </w:p>
        </w:tc>
        <w:tc>
          <w:tcPr>
            <w:tcW w:w="2005" w:type="dxa"/>
          </w:tcPr>
          <w:p w14:paraId="00197F8B"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0.4</w:t>
            </w:r>
          </w:p>
        </w:tc>
      </w:tr>
      <w:tr w:rsidR="0069775F" w14:paraId="60332B9D" w14:textId="77777777" w:rsidTr="0069775F">
        <w:trPr>
          <w:trHeight w:val="211"/>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1A87C93C" w14:textId="77777777" w:rsidR="0069775F" w:rsidRDefault="004D7A71">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Pb</w:t>
            </w:r>
          </w:p>
        </w:tc>
        <w:tc>
          <w:tcPr>
            <w:tcW w:w="696" w:type="dxa"/>
          </w:tcPr>
          <w:p w14:paraId="663FB66C"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Pb1</w:t>
            </w:r>
          </w:p>
        </w:tc>
        <w:tc>
          <w:tcPr>
            <w:tcW w:w="2005" w:type="dxa"/>
          </w:tcPr>
          <w:p w14:paraId="35462CD8"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5CAC3564" w14:textId="77777777" w:rsidTr="0069775F">
        <w:trPr>
          <w:trHeight w:val="328"/>
        </w:trPr>
        <w:tc>
          <w:tcPr>
            <w:cnfStyle w:val="001000000000" w:firstRow="0" w:lastRow="0" w:firstColumn="1" w:lastColumn="0" w:oddVBand="0" w:evenVBand="0" w:oddHBand="0" w:evenHBand="0" w:firstRowFirstColumn="0" w:firstRowLastColumn="0" w:lastRowFirstColumn="0" w:lastRowLastColumn="0"/>
            <w:tcW w:w="936" w:type="dxa"/>
            <w:vMerge/>
          </w:tcPr>
          <w:p w14:paraId="261D1B60"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45AFF696"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Pb2</w:t>
            </w:r>
          </w:p>
        </w:tc>
        <w:tc>
          <w:tcPr>
            <w:tcW w:w="2005" w:type="dxa"/>
          </w:tcPr>
          <w:p w14:paraId="0A93A1A0"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14.8</w:t>
            </w:r>
          </w:p>
        </w:tc>
      </w:tr>
      <w:tr w:rsidR="0069775F" w14:paraId="58C0318F" w14:textId="77777777" w:rsidTr="0069775F">
        <w:trPr>
          <w:trHeight w:val="227"/>
        </w:trPr>
        <w:tc>
          <w:tcPr>
            <w:cnfStyle w:val="001000000000" w:firstRow="0" w:lastRow="0" w:firstColumn="1" w:lastColumn="0" w:oddVBand="0" w:evenVBand="0" w:oddHBand="0" w:evenHBand="0" w:firstRowFirstColumn="0" w:firstRowLastColumn="0" w:lastRowFirstColumn="0" w:lastRowLastColumn="0"/>
            <w:tcW w:w="936" w:type="dxa"/>
            <w:vMerge/>
          </w:tcPr>
          <w:p w14:paraId="558914FE"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06F7420C"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Pb3</w:t>
            </w:r>
          </w:p>
        </w:tc>
        <w:tc>
          <w:tcPr>
            <w:tcW w:w="2005" w:type="dxa"/>
          </w:tcPr>
          <w:p w14:paraId="56AD7DCE"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6.4</w:t>
            </w:r>
          </w:p>
        </w:tc>
      </w:tr>
      <w:tr w:rsidR="0069775F" w14:paraId="240EC22A" w14:textId="77777777" w:rsidTr="0069775F">
        <w:trPr>
          <w:trHeight w:val="316"/>
        </w:trPr>
        <w:tc>
          <w:tcPr>
            <w:cnfStyle w:val="001000000000" w:firstRow="0" w:lastRow="0" w:firstColumn="1" w:lastColumn="0" w:oddVBand="0" w:evenVBand="0" w:oddHBand="0" w:evenHBand="0" w:firstRowFirstColumn="0" w:firstRowLastColumn="0" w:lastRowFirstColumn="0" w:lastRowLastColumn="0"/>
            <w:tcW w:w="936" w:type="dxa"/>
            <w:vMerge/>
          </w:tcPr>
          <w:p w14:paraId="603A201A" w14:textId="77777777" w:rsidR="0069775F" w:rsidRDefault="0069775F">
            <w:pPr>
              <w:spacing w:before="100" w:beforeAutospacing="1" w:after="100" w:afterAutospacing="1" w:line="240" w:lineRule="auto"/>
              <w:jc w:val="center"/>
              <w:rPr>
                <w:rFonts w:ascii="Times New Roman" w:hAnsi="Times New Roman"/>
                <w:color w:val="000000"/>
                <w:sz w:val="24"/>
                <w:szCs w:val="24"/>
              </w:rPr>
            </w:pPr>
          </w:p>
        </w:tc>
        <w:tc>
          <w:tcPr>
            <w:tcW w:w="696" w:type="dxa"/>
          </w:tcPr>
          <w:p w14:paraId="30EE6787"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Pb4</w:t>
            </w:r>
          </w:p>
        </w:tc>
        <w:tc>
          <w:tcPr>
            <w:tcW w:w="2005" w:type="dxa"/>
          </w:tcPr>
          <w:p w14:paraId="450676F7" w14:textId="77777777" w:rsidR="0069775F" w:rsidRDefault="004D7A71">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1.2</w:t>
            </w:r>
          </w:p>
        </w:tc>
      </w:tr>
    </w:tbl>
    <w:p w14:paraId="653B9654" w14:textId="77777777" w:rsidR="0069775F" w:rsidRDefault="0069775F">
      <w:pPr>
        <w:spacing w:after="120" w:line="240" w:lineRule="auto"/>
        <w:rPr>
          <w:rFonts w:ascii="Times New Roman" w:eastAsia="Times New Roman" w:hAnsi="Times New Roman"/>
          <w:sz w:val="24"/>
          <w:szCs w:val="24"/>
        </w:rPr>
      </w:pPr>
    </w:p>
    <w:p w14:paraId="3A0302E3" w14:textId="77777777" w:rsidR="0069775F" w:rsidRDefault="004D7A71">
      <w:pPr>
        <w:spacing w:after="12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Key: Cd1, Cd2…Cr1, Cr2… </w:t>
      </w:r>
      <w:proofErr w:type="spellStart"/>
      <w:r>
        <w:rPr>
          <w:rFonts w:ascii="Times New Roman" w:eastAsia="Times New Roman" w:hAnsi="Times New Roman"/>
          <w:i/>
          <w:sz w:val="24"/>
          <w:szCs w:val="24"/>
        </w:rPr>
        <w:t>etc</w:t>
      </w:r>
      <w:proofErr w:type="spellEnd"/>
      <w:r>
        <w:rPr>
          <w:rFonts w:ascii="Times New Roman" w:eastAsia="Times New Roman" w:hAnsi="Times New Roman"/>
          <w:i/>
          <w:sz w:val="24"/>
          <w:szCs w:val="24"/>
        </w:rPr>
        <w:t xml:space="preserve"> = Concentrations of Heavy metal applied per Fish Tank; Conc = Concentration: </w:t>
      </w:r>
      <w:r>
        <w:rPr>
          <w:rFonts w:ascii="Times New Roman" w:eastAsia="Times New Roman" w:hAnsi="Times New Roman"/>
          <w:i/>
          <w:color w:val="FF0000"/>
          <w:sz w:val="24"/>
          <w:szCs w:val="24"/>
        </w:rPr>
        <w:t xml:space="preserve">red </w:t>
      </w:r>
      <w:r>
        <w:rPr>
          <w:rFonts w:ascii="Times New Roman" w:eastAsia="Times New Roman" w:hAnsi="Times New Roman"/>
          <w:i/>
          <w:sz w:val="24"/>
          <w:szCs w:val="24"/>
        </w:rPr>
        <w:t xml:space="preserve">= values above the control values; FEC = Fish </w:t>
      </w:r>
      <w:proofErr w:type="gramStart"/>
      <w:r>
        <w:rPr>
          <w:rFonts w:ascii="Times New Roman" w:eastAsia="Times New Roman" w:hAnsi="Times New Roman"/>
          <w:i/>
          <w:sz w:val="24"/>
          <w:szCs w:val="24"/>
        </w:rPr>
        <w:t>Exposure  Concentration</w:t>
      </w:r>
      <w:proofErr w:type="gramEnd"/>
      <w:r>
        <w:rPr>
          <w:rFonts w:ascii="Times New Roman" w:eastAsia="Times New Roman" w:hAnsi="Times New Roman"/>
          <w:i/>
          <w:sz w:val="24"/>
          <w:szCs w:val="24"/>
        </w:rPr>
        <w:t xml:space="preserve">; Iorg = Organ Index; Nil – Fish in the test chamber did </w:t>
      </w:r>
      <w:r>
        <w:rPr>
          <w:rFonts w:ascii="Times New Roman" w:eastAsia="Times New Roman" w:hAnsi="Times New Roman"/>
          <w:i/>
          <w:sz w:val="24"/>
          <w:szCs w:val="24"/>
        </w:rPr>
        <w:t>not survive the duration of the experiment</w:t>
      </w:r>
    </w:p>
    <w:p w14:paraId="2092874C" w14:textId="77777777" w:rsidR="0069775F" w:rsidRDefault="0069775F">
      <w:pPr>
        <w:spacing w:after="120" w:line="240" w:lineRule="auto"/>
        <w:rPr>
          <w:rFonts w:ascii="Times New Roman" w:eastAsia="Times New Roman" w:hAnsi="Times New Roman"/>
          <w:i/>
          <w:sz w:val="24"/>
          <w:szCs w:val="24"/>
        </w:rPr>
      </w:pPr>
    </w:p>
    <w:p w14:paraId="305D375E" w14:textId="77777777" w:rsidR="0069775F" w:rsidRDefault="004D7A71">
      <w:pPr>
        <w:rPr>
          <w:rFonts w:ascii="Times New Roman" w:hAnsi="Times New Roman"/>
          <w:sz w:val="28"/>
          <w:szCs w:val="28"/>
        </w:rPr>
      </w:pPr>
      <w:r>
        <w:rPr>
          <w:rFonts w:ascii="Times New Roman" w:hAnsi="Times New Roman"/>
          <w:sz w:val="28"/>
          <w:szCs w:val="28"/>
        </w:rPr>
        <w:t>Table 3: Gills Paired Sample T Test of the Fish Toxicity Study, comparing the mean Organ Indices (Iorg) of fish from the different FED tanks with the control fish.</w:t>
      </w:r>
    </w:p>
    <w:tbl>
      <w:tblPr>
        <w:tblStyle w:val="MediumShading1-Accent2"/>
        <w:tblW w:w="9980" w:type="dxa"/>
        <w:tblLayout w:type="fixed"/>
        <w:tblLook w:val="04A0" w:firstRow="1" w:lastRow="0" w:firstColumn="1" w:lastColumn="0" w:noHBand="0" w:noVBand="1"/>
      </w:tblPr>
      <w:tblGrid>
        <w:gridCol w:w="1057"/>
        <w:gridCol w:w="1198"/>
        <w:gridCol w:w="956"/>
        <w:gridCol w:w="1061"/>
        <w:gridCol w:w="952"/>
        <w:gridCol w:w="956"/>
        <w:gridCol w:w="953"/>
        <w:gridCol w:w="952"/>
        <w:gridCol w:w="941"/>
        <w:gridCol w:w="954"/>
      </w:tblGrid>
      <w:tr w:rsidR="0069775F" w14:paraId="178164B2" w14:textId="77777777" w:rsidTr="0069775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9" w:type="dxa"/>
            <w:gridSpan w:val="2"/>
            <w:vMerge w:val="restart"/>
          </w:tcPr>
          <w:p w14:paraId="0321D2F1" w14:textId="77777777" w:rsidR="0069775F" w:rsidRDefault="004D7A71">
            <w:pPr>
              <w:spacing w:after="0" w:line="240" w:lineRule="auto"/>
              <w:rPr>
                <w:rFonts w:eastAsia="Times New Roman" w:cs="Calibri"/>
                <w:color w:val="000000"/>
                <w:sz w:val="20"/>
                <w:szCs w:val="20"/>
              </w:rPr>
            </w:pPr>
            <w:r>
              <w:rPr>
                <w:rFonts w:eastAsia="Times New Roman" w:cs="Calibri"/>
                <w:color w:val="000000"/>
                <w:sz w:val="20"/>
                <w:szCs w:val="20"/>
              </w:rPr>
              <w:t> </w:t>
            </w:r>
          </w:p>
        </w:tc>
        <w:tc>
          <w:tcPr>
            <w:tcW w:w="4879" w:type="dxa"/>
            <w:gridSpan w:val="5"/>
          </w:tcPr>
          <w:p w14:paraId="43A60718" w14:textId="77777777" w:rsidR="0069775F" w:rsidRDefault="004D7A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Paired Differences</w:t>
            </w:r>
          </w:p>
        </w:tc>
        <w:tc>
          <w:tcPr>
            <w:tcW w:w="952" w:type="dxa"/>
            <w:vMerge w:val="restart"/>
          </w:tcPr>
          <w:p w14:paraId="536B0F9E" w14:textId="77777777" w:rsidR="0069775F" w:rsidRDefault="004D7A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t</w:t>
            </w:r>
          </w:p>
        </w:tc>
        <w:tc>
          <w:tcPr>
            <w:tcW w:w="941" w:type="dxa"/>
            <w:vMerge w:val="restart"/>
          </w:tcPr>
          <w:p w14:paraId="4D430075" w14:textId="77777777" w:rsidR="0069775F" w:rsidRDefault="004D7A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df</w:t>
            </w:r>
          </w:p>
        </w:tc>
        <w:tc>
          <w:tcPr>
            <w:tcW w:w="954" w:type="dxa"/>
            <w:vMerge w:val="restart"/>
          </w:tcPr>
          <w:p w14:paraId="1E755D1A" w14:textId="77777777" w:rsidR="0069775F" w:rsidRDefault="004D7A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Sig. (2-tailed)</w:t>
            </w:r>
          </w:p>
        </w:tc>
      </w:tr>
      <w:tr w:rsidR="0069775F" w14:paraId="23BE1569"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2259" w:type="dxa"/>
            <w:gridSpan w:val="2"/>
            <w:vMerge/>
          </w:tcPr>
          <w:p w14:paraId="5A00C79F" w14:textId="77777777" w:rsidR="0069775F" w:rsidRDefault="0069775F">
            <w:pPr>
              <w:spacing w:after="0" w:line="240" w:lineRule="auto"/>
              <w:rPr>
                <w:rFonts w:eastAsia="Times New Roman" w:cs="Calibri"/>
                <w:color w:val="000000"/>
                <w:sz w:val="20"/>
                <w:szCs w:val="20"/>
              </w:rPr>
            </w:pPr>
          </w:p>
        </w:tc>
        <w:tc>
          <w:tcPr>
            <w:tcW w:w="956" w:type="dxa"/>
            <w:vMerge w:val="restart"/>
          </w:tcPr>
          <w:p w14:paraId="6AF6F91F"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Mean</w:t>
            </w:r>
          </w:p>
        </w:tc>
        <w:tc>
          <w:tcPr>
            <w:tcW w:w="1062" w:type="dxa"/>
            <w:vMerge w:val="restart"/>
          </w:tcPr>
          <w:p w14:paraId="1FC01CB7"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Std. Deviation</w:t>
            </w:r>
          </w:p>
        </w:tc>
        <w:tc>
          <w:tcPr>
            <w:tcW w:w="952" w:type="dxa"/>
            <w:vMerge w:val="restart"/>
          </w:tcPr>
          <w:p w14:paraId="281A5519"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Std. Error Mean</w:t>
            </w:r>
          </w:p>
        </w:tc>
        <w:tc>
          <w:tcPr>
            <w:tcW w:w="1909" w:type="dxa"/>
            <w:gridSpan w:val="2"/>
          </w:tcPr>
          <w:p w14:paraId="153F77E7"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95% Confidence Interval of the Difference</w:t>
            </w:r>
          </w:p>
        </w:tc>
        <w:tc>
          <w:tcPr>
            <w:tcW w:w="952" w:type="dxa"/>
            <w:vMerge/>
          </w:tcPr>
          <w:p w14:paraId="3EE787E6"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941" w:type="dxa"/>
            <w:vMerge/>
          </w:tcPr>
          <w:p w14:paraId="5355581F"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954" w:type="dxa"/>
            <w:vMerge/>
          </w:tcPr>
          <w:p w14:paraId="0C2287BD"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r>
      <w:tr w:rsidR="0069775F" w14:paraId="5C135C8A"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2259" w:type="dxa"/>
            <w:gridSpan w:val="2"/>
            <w:vMerge/>
          </w:tcPr>
          <w:p w14:paraId="4E481604" w14:textId="77777777" w:rsidR="0069775F" w:rsidRDefault="0069775F">
            <w:pPr>
              <w:spacing w:after="0" w:line="240" w:lineRule="auto"/>
              <w:rPr>
                <w:rFonts w:eastAsia="Times New Roman" w:cs="Calibri"/>
                <w:color w:val="000000"/>
                <w:sz w:val="20"/>
                <w:szCs w:val="20"/>
              </w:rPr>
            </w:pPr>
          </w:p>
        </w:tc>
        <w:tc>
          <w:tcPr>
            <w:tcW w:w="956" w:type="dxa"/>
            <w:vMerge/>
          </w:tcPr>
          <w:p w14:paraId="3E816C1F"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062" w:type="dxa"/>
            <w:vMerge/>
          </w:tcPr>
          <w:p w14:paraId="061DC4D8"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52" w:type="dxa"/>
            <w:vMerge/>
          </w:tcPr>
          <w:p w14:paraId="3F15554E"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56" w:type="dxa"/>
          </w:tcPr>
          <w:p w14:paraId="30766C13"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Lower</w:t>
            </w:r>
          </w:p>
        </w:tc>
        <w:tc>
          <w:tcPr>
            <w:tcW w:w="953" w:type="dxa"/>
          </w:tcPr>
          <w:p w14:paraId="4A1CED78" w14:textId="77777777" w:rsidR="0069775F" w:rsidRDefault="004D7A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Upper</w:t>
            </w:r>
          </w:p>
        </w:tc>
        <w:tc>
          <w:tcPr>
            <w:tcW w:w="952" w:type="dxa"/>
            <w:vMerge/>
          </w:tcPr>
          <w:p w14:paraId="52CEE2E5"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41" w:type="dxa"/>
            <w:vMerge/>
          </w:tcPr>
          <w:p w14:paraId="65E33DE9"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54" w:type="dxa"/>
            <w:vMerge/>
          </w:tcPr>
          <w:p w14:paraId="59CB01DD" w14:textId="77777777" w:rsidR="0069775F" w:rsidRDefault="0069775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r>
      <w:tr w:rsidR="0069775F" w14:paraId="6234B362"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6DD2117E" w14:textId="77777777" w:rsidR="0069775F" w:rsidRDefault="004D7A71">
            <w:pPr>
              <w:spacing w:after="0" w:line="240" w:lineRule="auto"/>
              <w:jc w:val="center"/>
              <w:rPr>
                <w:rFonts w:eastAsia="Times New Roman" w:cs="Calibri"/>
                <w:color w:val="000000"/>
                <w:sz w:val="20"/>
                <w:szCs w:val="20"/>
              </w:rPr>
            </w:pPr>
            <w:r>
              <w:rPr>
                <w:rFonts w:eastAsia="Times New Roman" w:cs="Calibri"/>
                <w:color w:val="000000"/>
                <w:sz w:val="20"/>
                <w:szCs w:val="20"/>
              </w:rPr>
              <w:t>Cd</w:t>
            </w:r>
          </w:p>
        </w:tc>
        <w:tc>
          <w:tcPr>
            <w:tcW w:w="1200" w:type="dxa"/>
          </w:tcPr>
          <w:p w14:paraId="2EF5F62D"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Cd1</w:t>
            </w:r>
          </w:p>
        </w:tc>
        <w:tc>
          <w:tcPr>
            <w:tcW w:w="956" w:type="dxa"/>
          </w:tcPr>
          <w:p w14:paraId="2CF1E94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-18.200</w:t>
            </w:r>
          </w:p>
        </w:tc>
        <w:tc>
          <w:tcPr>
            <w:tcW w:w="1062" w:type="dxa"/>
          </w:tcPr>
          <w:p w14:paraId="578FF75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11.345</w:t>
            </w:r>
          </w:p>
        </w:tc>
        <w:tc>
          <w:tcPr>
            <w:tcW w:w="952" w:type="dxa"/>
          </w:tcPr>
          <w:p w14:paraId="4911235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5.073</w:t>
            </w:r>
          </w:p>
        </w:tc>
        <w:tc>
          <w:tcPr>
            <w:tcW w:w="956" w:type="dxa"/>
          </w:tcPr>
          <w:p w14:paraId="3186A7A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-32.286</w:t>
            </w:r>
          </w:p>
        </w:tc>
        <w:tc>
          <w:tcPr>
            <w:tcW w:w="953" w:type="dxa"/>
          </w:tcPr>
          <w:p w14:paraId="15DAE86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-4.114</w:t>
            </w:r>
          </w:p>
        </w:tc>
        <w:tc>
          <w:tcPr>
            <w:tcW w:w="952" w:type="dxa"/>
          </w:tcPr>
          <w:p w14:paraId="0A132B8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-3.587</w:t>
            </w:r>
          </w:p>
        </w:tc>
        <w:tc>
          <w:tcPr>
            <w:tcW w:w="941" w:type="dxa"/>
          </w:tcPr>
          <w:p w14:paraId="1C79F85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E3A009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.023</w:t>
            </w:r>
          </w:p>
        </w:tc>
      </w:tr>
      <w:tr w:rsidR="0069775F" w14:paraId="1F2FB525"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tcPr>
          <w:p w14:paraId="1AD2A858" w14:textId="77777777" w:rsidR="0069775F" w:rsidRDefault="0069775F">
            <w:pPr>
              <w:spacing w:after="0" w:line="240" w:lineRule="auto"/>
              <w:rPr>
                <w:rFonts w:eastAsia="Times New Roman" w:cs="Calibri"/>
                <w:color w:val="000000"/>
                <w:sz w:val="20"/>
                <w:szCs w:val="20"/>
              </w:rPr>
            </w:pPr>
          </w:p>
        </w:tc>
        <w:tc>
          <w:tcPr>
            <w:tcW w:w="1200" w:type="dxa"/>
          </w:tcPr>
          <w:p w14:paraId="1E910778"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Cd2</w:t>
            </w:r>
          </w:p>
        </w:tc>
        <w:tc>
          <w:tcPr>
            <w:tcW w:w="956" w:type="dxa"/>
          </w:tcPr>
          <w:p w14:paraId="3CD855B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-12.800</w:t>
            </w:r>
          </w:p>
        </w:tc>
        <w:tc>
          <w:tcPr>
            <w:tcW w:w="1062" w:type="dxa"/>
          </w:tcPr>
          <w:p w14:paraId="525D467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4.604</w:t>
            </w:r>
          </w:p>
        </w:tc>
        <w:tc>
          <w:tcPr>
            <w:tcW w:w="952" w:type="dxa"/>
          </w:tcPr>
          <w:p w14:paraId="5F6610A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2.059</w:t>
            </w:r>
          </w:p>
        </w:tc>
        <w:tc>
          <w:tcPr>
            <w:tcW w:w="956" w:type="dxa"/>
          </w:tcPr>
          <w:p w14:paraId="699A08C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-18.517</w:t>
            </w:r>
          </w:p>
        </w:tc>
        <w:tc>
          <w:tcPr>
            <w:tcW w:w="953" w:type="dxa"/>
          </w:tcPr>
          <w:p w14:paraId="554F648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-7.083</w:t>
            </w:r>
          </w:p>
        </w:tc>
        <w:tc>
          <w:tcPr>
            <w:tcW w:w="952" w:type="dxa"/>
          </w:tcPr>
          <w:p w14:paraId="61D1602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-6.216</w:t>
            </w:r>
          </w:p>
        </w:tc>
        <w:tc>
          <w:tcPr>
            <w:tcW w:w="941" w:type="dxa"/>
          </w:tcPr>
          <w:p w14:paraId="38624D0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2E30BF82"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.003</w:t>
            </w:r>
          </w:p>
        </w:tc>
      </w:tr>
      <w:tr w:rsidR="0069775F" w14:paraId="2C997D70"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04451AE5" w14:textId="77777777" w:rsidR="0069775F" w:rsidRDefault="0069775F">
            <w:pPr>
              <w:spacing w:after="0" w:line="240" w:lineRule="auto"/>
              <w:rPr>
                <w:rFonts w:eastAsia="Times New Roman" w:cs="Calibri"/>
                <w:color w:val="000000"/>
                <w:sz w:val="20"/>
                <w:szCs w:val="20"/>
              </w:rPr>
            </w:pPr>
          </w:p>
        </w:tc>
        <w:tc>
          <w:tcPr>
            <w:tcW w:w="1200" w:type="dxa"/>
          </w:tcPr>
          <w:p w14:paraId="6A257D7C"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Cd3</w:t>
            </w:r>
          </w:p>
        </w:tc>
        <w:tc>
          <w:tcPr>
            <w:tcW w:w="956" w:type="dxa"/>
          </w:tcPr>
          <w:p w14:paraId="3B4BE40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1062" w:type="dxa"/>
          </w:tcPr>
          <w:p w14:paraId="69779C2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1.140</w:t>
            </w:r>
          </w:p>
        </w:tc>
        <w:tc>
          <w:tcPr>
            <w:tcW w:w="952" w:type="dxa"/>
          </w:tcPr>
          <w:p w14:paraId="2CAFA76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.510</w:t>
            </w:r>
          </w:p>
        </w:tc>
        <w:tc>
          <w:tcPr>
            <w:tcW w:w="956" w:type="dxa"/>
          </w:tcPr>
          <w:p w14:paraId="69B58BE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-1.815</w:t>
            </w:r>
          </w:p>
        </w:tc>
        <w:tc>
          <w:tcPr>
            <w:tcW w:w="953" w:type="dxa"/>
          </w:tcPr>
          <w:p w14:paraId="74C42DC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1.016</w:t>
            </w:r>
          </w:p>
        </w:tc>
        <w:tc>
          <w:tcPr>
            <w:tcW w:w="952" w:type="dxa"/>
          </w:tcPr>
          <w:p w14:paraId="251DDD0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-.784</w:t>
            </w:r>
          </w:p>
        </w:tc>
        <w:tc>
          <w:tcPr>
            <w:tcW w:w="941" w:type="dxa"/>
          </w:tcPr>
          <w:p w14:paraId="05B4267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6B335D9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.477</w:t>
            </w:r>
          </w:p>
        </w:tc>
      </w:tr>
      <w:tr w:rsidR="0069775F" w14:paraId="567CBA83"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tcPr>
          <w:p w14:paraId="176DEB9C" w14:textId="77777777" w:rsidR="0069775F" w:rsidRDefault="0069775F">
            <w:pPr>
              <w:spacing w:after="0" w:line="240" w:lineRule="auto"/>
              <w:rPr>
                <w:rFonts w:eastAsia="Times New Roman" w:cs="Calibri"/>
                <w:color w:val="000000"/>
                <w:sz w:val="20"/>
                <w:szCs w:val="20"/>
              </w:rPr>
            </w:pPr>
          </w:p>
        </w:tc>
        <w:tc>
          <w:tcPr>
            <w:tcW w:w="1200" w:type="dxa"/>
          </w:tcPr>
          <w:p w14:paraId="6EF482CE"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Cd3</w:t>
            </w:r>
          </w:p>
        </w:tc>
        <w:tc>
          <w:tcPr>
            <w:tcW w:w="956" w:type="dxa"/>
          </w:tcPr>
          <w:p w14:paraId="354B0F7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1062" w:type="dxa"/>
          </w:tcPr>
          <w:p w14:paraId="1B9C76F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.447</w:t>
            </w:r>
          </w:p>
        </w:tc>
        <w:tc>
          <w:tcPr>
            <w:tcW w:w="952" w:type="dxa"/>
          </w:tcPr>
          <w:p w14:paraId="5C8B859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956" w:type="dxa"/>
          </w:tcPr>
          <w:p w14:paraId="6F90D8B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-.355</w:t>
            </w:r>
          </w:p>
        </w:tc>
        <w:tc>
          <w:tcPr>
            <w:tcW w:w="953" w:type="dxa"/>
          </w:tcPr>
          <w:p w14:paraId="22D766D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.755</w:t>
            </w:r>
          </w:p>
        </w:tc>
        <w:tc>
          <w:tcPr>
            <w:tcW w:w="952" w:type="dxa"/>
          </w:tcPr>
          <w:p w14:paraId="3C90DE9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1.000</w:t>
            </w:r>
          </w:p>
        </w:tc>
        <w:tc>
          <w:tcPr>
            <w:tcW w:w="941" w:type="dxa"/>
          </w:tcPr>
          <w:p w14:paraId="1CB8C95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78119B3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.374</w:t>
            </w:r>
          </w:p>
        </w:tc>
      </w:tr>
      <w:tr w:rsidR="0069775F" w14:paraId="54BD854B" w14:textId="77777777" w:rsidTr="0069775F">
        <w:trPr>
          <w:trHeight w:val="253"/>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0A0C2782" w14:textId="77777777" w:rsidR="0069775F" w:rsidRDefault="004D7A71">
            <w:pPr>
              <w:spacing w:after="0" w:line="240" w:lineRule="auto"/>
              <w:jc w:val="center"/>
              <w:rPr>
                <w:rFonts w:eastAsia="Times New Roman" w:cs="Calibri"/>
                <w:color w:val="000000"/>
                <w:sz w:val="20"/>
                <w:szCs w:val="20"/>
              </w:rPr>
            </w:pPr>
            <w:r>
              <w:rPr>
                <w:rFonts w:eastAsia="Times New Roman" w:cs="Calibri"/>
                <w:color w:val="000000"/>
                <w:sz w:val="20"/>
                <w:szCs w:val="20"/>
              </w:rPr>
              <w:t xml:space="preserve"> Cr</w:t>
            </w:r>
          </w:p>
        </w:tc>
        <w:tc>
          <w:tcPr>
            <w:tcW w:w="1200" w:type="dxa"/>
          </w:tcPr>
          <w:p w14:paraId="0F5459A1"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Cr1</w:t>
            </w:r>
          </w:p>
        </w:tc>
        <w:tc>
          <w:tcPr>
            <w:tcW w:w="956" w:type="dxa"/>
          </w:tcPr>
          <w:p w14:paraId="31FF403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-20.200</w:t>
            </w:r>
          </w:p>
        </w:tc>
        <w:tc>
          <w:tcPr>
            <w:tcW w:w="1062" w:type="dxa"/>
          </w:tcPr>
          <w:p w14:paraId="284E755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13.161</w:t>
            </w:r>
          </w:p>
        </w:tc>
        <w:tc>
          <w:tcPr>
            <w:tcW w:w="952" w:type="dxa"/>
          </w:tcPr>
          <w:p w14:paraId="64F74BE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5.886</w:t>
            </w:r>
          </w:p>
        </w:tc>
        <w:tc>
          <w:tcPr>
            <w:tcW w:w="956" w:type="dxa"/>
          </w:tcPr>
          <w:p w14:paraId="7E281F4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-36.541</w:t>
            </w:r>
          </w:p>
        </w:tc>
        <w:tc>
          <w:tcPr>
            <w:tcW w:w="953" w:type="dxa"/>
          </w:tcPr>
          <w:p w14:paraId="6444EDB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-3.859</w:t>
            </w:r>
          </w:p>
        </w:tc>
        <w:tc>
          <w:tcPr>
            <w:tcW w:w="952" w:type="dxa"/>
          </w:tcPr>
          <w:p w14:paraId="43614AB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-3.432</w:t>
            </w:r>
          </w:p>
        </w:tc>
        <w:tc>
          <w:tcPr>
            <w:tcW w:w="941" w:type="dxa"/>
          </w:tcPr>
          <w:p w14:paraId="067D481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F4492B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.026</w:t>
            </w:r>
          </w:p>
        </w:tc>
      </w:tr>
      <w:tr w:rsidR="0069775F" w14:paraId="73B4B882" w14:textId="77777777" w:rsidTr="0069775F">
        <w:trPr>
          <w:trHeight w:val="157"/>
        </w:trPr>
        <w:tc>
          <w:tcPr>
            <w:cnfStyle w:val="001000000000" w:firstRow="0" w:lastRow="0" w:firstColumn="1" w:lastColumn="0" w:oddVBand="0" w:evenVBand="0" w:oddHBand="0" w:evenHBand="0" w:firstRowFirstColumn="0" w:firstRowLastColumn="0" w:lastRowFirstColumn="0" w:lastRowLastColumn="0"/>
            <w:tcW w:w="1059" w:type="dxa"/>
            <w:vMerge/>
          </w:tcPr>
          <w:p w14:paraId="05AF7008" w14:textId="77777777" w:rsidR="0069775F" w:rsidRDefault="0069775F">
            <w:pPr>
              <w:spacing w:after="0" w:line="240" w:lineRule="auto"/>
              <w:rPr>
                <w:rFonts w:eastAsia="Times New Roman" w:cs="Calibri"/>
                <w:color w:val="000000"/>
                <w:sz w:val="20"/>
                <w:szCs w:val="20"/>
              </w:rPr>
            </w:pPr>
          </w:p>
        </w:tc>
        <w:tc>
          <w:tcPr>
            <w:tcW w:w="1200" w:type="dxa"/>
          </w:tcPr>
          <w:p w14:paraId="366997F5"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Cr2</w:t>
            </w:r>
          </w:p>
        </w:tc>
        <w:tc>
          <w:tcPr>
            <w:tcW w:w="956" w:type="dxa"/>
          </w:tcPr>
          <w:p w14:paraId="0BF75C9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-14.000</w:t>
            </w:r>
          </w:p>
        </w:tc>
        <w:tc>
          <w:tcPr>
            <w:tcW w:w="1062" w:type="dxa"/>
          </w:tcPr>
          <w:p w14:paraId="2BA6A98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10.075</w:t>
            </w:r>
          </w:p>
        </w:tc>
        <w:tc>
          <w:tcPr>
            <w:tcW w:w="952" w:type="dxa"/>
          </w:tcPr>
          <w:p w14:paraId="33C24FC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4.506</w:t>
            </w:r>
          </w:p>
        </w:tc>
        <w:tc>
          <w:tcPr>
            <w:tcW w:w="956" w:type="dxa"/>
          </w:tcPr>
          <w:p w14:paraId="407B2D7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-26.509</w:t>
            </w:r>
          </w:p>
        </w:tc>
        <w:tc>
          <w:tcPr>
            <w:tcW w:w="953" w:type="dxa"/>
          </w:tcPr>
          <w:p w14:paraId="508BA2C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-1.491</w:t>
            </w:r>
          </w:p>
        </w:tc>
        <w:tc>
          <w:tcPr>
            <w:tcW w:w="952" w:type="dxa"/>
          </w:tcPr>
          <w:p w14:paraId="17F01B1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-3.107</w:t>
            </w:r>
          </w:p>
        </w:tc>
        <w:tc>
          <w:tcPr>
            <w:tcW w:w="941" w:type="dxa"/>
          </w:tcPr>
          <w:p w14:paraId="714AF0D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6305E1C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.036</w:t>
            </w:r>
          </w:p>
        </w:tc>
      </w:tr>
      <w:tr w:rsidR="0069775F" w14:paraId="52BBF503" w14:textId="77777777" w:rsidTr="0069775F">
        <w:trPr>
          <w:trHeight w:val="189"/>
        </w:trPr>
        <w:tc>
          <w:tcPr>
            <w:cnfStyle w:val="001000000000" w:firstRow="0" w:lastRow="0" w:firstColumn="1" w:lastColumn="0" w:oddVBand="0" w:evenVBand="0" w:oddHBand="0" w:evenHBand="0" w:firstRowFirstColumn="0" w:firstRowLastColumn="0" w:lastRowFirstColumn="0" w:lastRowLastColumn="0"/>
            <w:tcW w:w="1059" w:type="dxa"/>
            <w:vMerge/>
          </w:tcPr>
          <w:p w14:paraId="77174C28" w14:textId="77777777" w:rsidR="0069775F" w:rsidRDefault="0069775F">
            <w:pPr>
              <w:spacing w:after="0" w:line="240" w:lineRule="auto"/>
              <w:rPr>
                <w:rFonts w:eastAsia="Times New Roman" w:cs="Calibri"/>
                <w:color w:val="000000"/>
                <w:sz w:val="20"/>
                <w:szCs w:val="20"/>
              </w:rPr>
            </w:pPr>
          </w:p>
        </w:tc>
        <w:tc>
          <w:tcPr>
            <w:tcW w:w="1200" w:type="dxa"/>
          </w:tcPr>
          <w:p w14:paraId="53D1A154"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Cr3</w:t>
            </w:r>
          </w:p>
        </w:tc>
        <w:tc>
          <w:tcPr>
            <w:tcW w:w="956" w:type="dxa"/>
          </w:tcPr>
          <w:p w14:paraId="2C26E4A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1062" w:type="dxa"/>
          </w:tcPr>
          <w:p w14:paraId="6B1F1CB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1.517</w:t>
            </w:r>
          </w:p>
        </w:tc>
        <w:tc>
          <w:tcPr>
            <w:tcW w:w="952" w:type="dxa"/>
          </w:tcPr>
          <w:p w14:paraId="239E1D02"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.678</w:t>
            </w:r>
          </w:p>
        </w:tc>
        <w:tc>
          <w:tcPr>
            <w:tcW w:w="956" w:type="dxa"/>
          </w:tcPr>
          <w:p w14:paraId="03CB9EE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-2.283</w:t>
            </w:r>
          </w:p>
        </w:tc>
        <w:tc>
          <w:tcPr>
            <w:tcW w:w="953" w:type="dxa"/>
          </w:tcPr>
          <w:p w14:paraId="359CFC0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1.483</w:t>
            </w:r>
          </w:p>
        </w:tc>
        <w:tc>
          <w:tcPr>
            <w:tcW w:w="952" w:type="dxa"/>
          </w:tcPr>
          <w:p w14:paraId="627E9EF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-.590</w:t>
            </w:r>
          </w:p>
        </w:tc>
        <w:tc>
          <w:tcPr>
            <w:tcW w:w="941" w:type="dxa"/>
          </w:tcPr>
          <w:p w14:paraId="2EA6646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4067372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.587</w:t>
            </w:r>
          </w:p>
        </w:tc>
      </w:tr>
      <w:tr w:rsidR="0069775F" w14:paraId="25D40976" w14:textId="77777777" w:rsidTr="0069775F">
        <w:trPr>
          <w:trHeight w:val="235"/>
        </w:trPr>
        <w:tc>
          <w:tcPr>
            <w:cnfStyle w:val="001000000000" w:firstRow="0" w:lastRow="0" w:firstColumn="1" w:lastColumn="0" w:oddVBand="0" w:evenVBand="0" w:oddHBand="0" w:evenHBand="0" w:firstRowFirstColumn="0" w:firstRowLastColumn="0" w:lastRowFirstColumn="0" w:lastRowLastColumn="0"/>
            <w:tcW w:w="1059" w:type="dxa"/>
            <w:vMerge/>
          </w:tcPr>
          <w:p w14:paraId="0FB35B1F" w14:textId="77777777" w:rsidR="0069775F" w:rsidRDefault="0069775F">
            <w:pPr>
              <w:spacing w:after="0" w:line="240" w:lineRule="auto"/>
              <w:rPr>
                <w:rFonts w:eastAsia="Times New Roman" w:cs="Calibri"/>
                <w:color w:val="000000"/>
                <w:sz w:val="20"/>
                <w:szCs w:val="20"/>
              </w:rPr>
            </w:pPr>
          </w:p>
        </w:tc>
        <w:tc>
          <w:tcPr>
            <w:tcW w:w="1200" w:type="dxa"/>
          </w:tcPr>
          <w:p w14:paraId="6EBB5E5E"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Cr4</w:t>
            </w:r>
          </w:p>
        </w:tc>
        <w:tc>
          <w:tcPr>
            <w:tcW w:w="956" w:type="dxa"/>
          </w:tcPr>
          <w:p w14:paraId="25203F8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1062" w:type="dxa"/>
          </w:tcPr>
          <w:p w14:paraId="6130D502"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.837</w:t>
            </w:r>
          </w:p>
        </w:tc>
        <w:tc>
          <w:tcPr>
            <w:tcW w:w="952" w:type="dxa"/>
          </w:tcPr>
          <w:p w14:paraId="2968A0D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.374</w:t>
            </w:r>
          </w:p>
        </w:tc>
        <w:tc>
          <w:tcPr>
            <w:tcW w:w="956" w:type="dxa"/>
          </w:tcPr>
          <w:p w14:paraId="2DEE4BC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-.839</w:t>
            </w:r>
          </w:p>
        </w:tc>
        <w:tc>
          <w:tcPr>
            <w:tcW w:w="953" w:type="dxa"/>
          </w:tcPr>
          <w:p w14:paraId="29DD6FE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1.239</w:t>
            </w:r>
          </w:p>
        </w:tc>
        <w:tc>
          <w:tcPr>
            <w:tcW w:w="952" w:type="dxa"/>
          </w:tcPr>
          <w:p w14:paraId="2F19BDC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.535</w:t>
            </w:r>
          </w:p>
        </w:tc>
        <w:tc>
          <w:tcPr>
            <w:tcW w:w="941" w:type="dxa"/>
          </w:tcPr>
          <w:p w14:paraId="0991D66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3ADC05B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.621</w:t>
            </w:r>
          </w:p>
        </w:tc>
      </w:tr>
      <w:tr w:rsidR="0069775F" w14:paraId="0DB44054"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527BAE63" w14:textId="77777777" w:rsidR="0069775F" w:rsidRDefault="004D7A71">
            <w:pPr>
              <w:spacing w:after="0" w:line="240" w:lineRule="auto"/>
              <w:jc w:val="center"/>
              <w:rPr>
                <w:rFonts w:eastAsia="Times New Roman" w:cs="Calibri"/>
                <w:color w:val="000000"/>
                <w:sz w:val="20"/>
                <w:szCs w:val="20"/>
              </w:rPr>
            </w:pPr>
            <w:r>
              <w:rPr>
                <w:rFonts w:eastAsia="Times New Roman" w:cs="Calibri"/>
                <w:color w:val="000000"/>
                <w:sz w:val="20"/>
                <w:szCs w:val="20"/>
              </w:rPr>
              <w:t xml:space="preserve"> Cu</w:t>
            </w:r>
          </w:p>
        </w:tc>
        <w:tc>
          <w:tcPr>
            <w:tcW w:w="1200" w:type="dxa"/>
          </w:tcPr>
          <w:p w14:paraId="6DDDE07B"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Cu1</w:t>
            </w:r>
          </w:p>
        </w:tc>
        <w:tc>
          <w:tcPr>
            <w:tcW w:w="956" w:type="dxa"/>
          </w:tcPr>
          <w:p w14:paraId="73F9CAB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50E1B37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7DAE4A2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22605C7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65C7289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246D75B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164991D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1F6C02C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7C93F826"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57147F6D" w14:textId="77777777" w:rsidR="0069775F" w:rsidRDefault="0069775F">
            <w:pPr>
              <w:spacing w:after="0" w:line="240" w:lineRule="auto"/>
              <w:rPr>
                <w:rFonts w:eastAsia="Times New Roman" w:cs="Calibri"/>
                <w:color w:val="000000"/>
                <w:sz w:val="20"/>
                <w:szCs w:val="20"/>
              </w:rPr>
            </w:pPr>
          </w:p>
        </w:tc>
        <w:tc>
          <w:tcPr>
            <w:tcW w:w="1200" w:type="dxa"/>
          </w:tcPr>
          <w:p w14:paraId="4869592E"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Cu2</w:t>
            </w:r>
          </w:p>
        </w:tc>
        <w:tc>
          <w:tcPr>
            <w:tcW w:w="956" w:type="dxa"/>
          </w:tcPr>
          <w:p w14:paraId="0C8F18B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68B430F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63C78A09"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7907635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2B7B0C4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2A92A31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56874BA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1F6EE6A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6340E26F"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53A3B553" w14:textId="77777777" w:rsidR="0069775F" w:rsidRDefault="0069775F">
            <w:pPr>
              <w:spacing w:after="0" w:line="240" w:lineRule="auto"/>
              <w:rPr>
                <w:rFonts w:eastAsia="Times New Roman" w:cs="Calibri"/>
                <w:color w:val="000000"/>
                <w:sz w:val="20"/>
                <w:szCs w:val="20"/>
              </w:rPr>
            </w:pPr>
          </w:p>
        </w:tc>
        <w:tc>
          <w:tcPr>
            <w:tcW w:w="1200" w:type="dxa"/>
          </w:tcPr>
          <w:p w14:paraId="4A70242B"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Cu3</w:t>
            </w:r>
          </w:p>
        </w:tc>
        <w:tc>
          <w:tcPr>
            <w:tcW w:w="956" w:type="dxa"/>
          </w:tcPr>
          <w:p w14:paraId="4B28587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-2.800</w:t>
            </w:r>
          </w:p>
        </w:tc>
        <w:tc>
          <w:tcPr>
            <w:tcW w:w="1062" w:type="dxa"/>
          </w:tcPr>
          <w:p w14:paraId="65D7AF9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1.924</w:t>
            </w:r>
          </w:p>
        </w:tc>
        <w:tc>
          <w:tcPr>
            <w:tcW w:w="952" w:type="dxa"/>
          </w:tcPr>
          <w:p w14:paraId="1E7726B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.860</w:t>
            </w:r>
          </w:p>
        </w:tc>
        <w:tc>
          <w:tcPr>
            <w:tcW w:w="956" w:type="dxa"/>
          </w:tcPr>
          <w:p w14:paraId="5C14260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-5.188</w:t>
            </w:r>
          </w:p>
        </w:tc>
        <w:tc>
          <w:tcPr>
            <w:tcW w:w="953" w:type="dxa"/>
          </w:tcPr>
          <w:p w14:paraId="0C047AB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-.411</w:t>
            </w:r>
          </w:p>
        </w:tc>
        <w:tc>
          <w:tcPr>
            <w:tcW w:w="952" w:type="dxa"/>
          </w:tcPr>
          <w:p w14:paraId="22E4AEF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-3.255</w:t>
            </w:r>
          </w:p>
        </w:tc>
        <w:tc>
          <w:tcPr>
            <w:tcW w:w="941" w:type="dxa"/>
          </w:tcPr>
          <w:p w14:paraId="3A186C6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56039A3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.031</w:t>
            </w:r>
          </w:p>
        </w:tc>
      </w:tr>
      <w:tr w:rsidR="0069775F" w14:paraId="482F453C"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4B3BB914" w14:textId="77777777" w:rsidR="0069775F" w:rsidRDefault="0069775F">
            <w:pPr>
              <w:spacing w:after="0" w:line="240" w:lineRule="auto"/>
              <w:rPr>
                <w:rFonts w:eastAsia="Times New Roman" w:cs="Calibri"/>
                <w:color w:val="000000"/>
                <w:sz w:val="20"/>
                <w:szCs w:val="20"/>
              </w:rPr>
            </w:pPr>
          </w:p>
        </w:tc>
        <w:tc>
          <w:tcPr>
            <w:tcW w:w="1200" w:type="dxa"/>
          </w:tcPr>
          <w:p w14:paraId="4D381EAA"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Cu4</w:t>
            </w:r>
          </w:p>
        </w:tc>
        <w:tc>
          <w:tcPr>
            <w:tcW w:w="956" w:type="dxa"/>
          </w:tcPr>
          <w:p w14:paraId="7CFD36E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192FF8E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606CD71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4A845C0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52CB6E1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614BDB6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362DA15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F94528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0CDFB7D0"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587FE51D" w14:textId="77777777" w:rsidR="0069775F" w:rsidRDefault="004D7A71">
            <w:pPr>
              <w:spacing w:after="0" w:line="240" w:lineRule="auto"/>
              <w:jc w:val="center"/>
              <w:rPr>
                <w:rFonts w:eastAsia="Times New Roman" w:cs="Calibri"/>
                <w:color w:val="000000"/>
                <w:sz w:val="20"/>
                <w:szCs w:val="20"/>
              </w:rPr>
            </w:pPr>
            <w:r>
              <w:rPr>
                <w:rFonts w:eastAsia="Times New Roman" w:cs="Calibri"/>
                <w:color w:val="000000"/>
                <w:sz w:val="20"/>
                <w:szCs w:val="20"/>
              </w:rPr>
              <w:t xml:space="preserve"> Ni</w:t>
            </w:r>
          </w:p>
        </w:tc>
        <w:tc>
          <w:tcPr>
            <w:tcW w:w="1200" w:type="dxa"/>
          </w:tcPr>
          <w:p w14:paraId="3D856CF7"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Ni1</w:t>
            </w:r>
          </w:p>
        </w:tc>
        <w:tc>
          <w:tcPr>
            <w:tcW w:w="956" w:type="dxa"/>
          </w:tcPr>
          <w:p w14:paraId="42B21AF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45C2654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4DB3466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71A1BF4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6534E8E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39D7D08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27682A2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6226FDB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27B506C2"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7D9B5CBB" w14:textId="77777777" w:rsidR="0069775F" w:rsidRDefault="0069775F">
            <w:pPr>
              <w:spacing w:after="0" w:line="240" w:lineRule="auto"/>
              <w:rPr>
                <w:rFonts w:eastAsia="Times New Roman" w:cs="Calibri"/>
                <w:color w:val="000000"/>
                <w:sz w:val="20"/>
                <w:szCs w:val="20"/>
              </w:rPr>
            </w:pPr>
          </w:p>
        </w:tc>
        <w:tc>
          <w:tcPr>
            <w:tcW w:w="1200" w:type="dxa"/>
          </w:tcPr>
          <w:p w14:paraId="4C417EA6"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Ni2</w:t>
            </w:r>
          </w:p>
        </w:tc>
        <w:tc>
          <w:tcPr>
            <w:tcW w:w="956" w:type="dxa"/>
          </w:tcPr>
          <w:p w14:paraId="07A484F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4D8CD4D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2ECDF3E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2E13B14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4485A78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56787D4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676AA5B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165568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46ED479F"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66D0FD2B" w14:textId="77777777" w:rsidR="0069775F" w:rsidRDefault="0069775F">
            <w:pPr>
              <w:spacing w:after="0" w:line="240" w:lineRule="auto"/>
              <w:rPr>
                <w:rFonts w:eastAsia="Times New Roman" w:cs="Calibri"/>
                <w:color w:val="000000"/>
                <w:sz w:val="20"/>
                <w:szCs w:val="20"/>
              </w:rPr>
            </w:pPr>
          </w:p>
        </w:tc>
        <w:tc>
          <w:tcPr>
            <w:tcW w:w="1200" w:type="dxa"/>
          </w:tcPr>
          <w:p w14:paraId="7A8D44E7"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Ni3</w:t>
            </w:r>
          </w:p>
        </w:tc>
        <w:tc>
          <w:tcPr>
            <w:tcW w:w="956" w:type="dxa"/>
          </w:tcPr>
          <w:p w14:paraId="1899583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-3.400</w:t>
            </w:r>
          </w:p>
        </w:tc>
        <w:tc>
          <w:tcPr>
            <w:tcW w:w="1062" w:type="dxa"/>
          </w:tcPr>
          <w:p w14:paraId="4DD9167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3.782</w:t>
            </w:r>
          </w:p>
        </w:tc>
        <w:tc>
          <w:tcPr>
            <w:tcW w:w="952" w:type="dxa"/>
          </w:tcPr>
          <w:p w14:paraId="1C3F6B5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1.691</w:t>
            </w:r>
          </w:p>
        </w:tc>
        <w:tc>
          <w:tcPr>
            <w:tcW w:w="956" w:type="dxa"/>
          </w:tcPr>
          <w:p w14:paraId="48066EA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-8.095</w:t>
            </w:r>
          </w:p>
        </w:tc>
        <w:tc>
          <w:tcPr>
            <w:tcW w:w="953" w:type="dxa"/>
          </w:tcPr>
          <w:p w14:paraId="39CEF7E5"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1.295</w:t>
            </w:r>
          </w:p>
        </w:tc>
        <w:tc>
          <w:tcPr>
            <w:tcW w:w="952" w:type="dxa"/>
          </w:tcPr>
          <w:p w14:paraId="5408EB2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-2.010</w:t>
            </w:r>
          </w:p>
        </w:tc>
        <w:tc>
          <w:tcPr>
            <w:tcW w:w="941" w:type="dxa"/>
          </w:tcPr>
          <w:p w14:paraId="753109C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755131B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.115</w:t>
            </w:r>
          </w:p>
        </w:tc>
      </w:tr>
      <w:tr w:rsidR="0069775F" w14:paraId="71D252E9"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17E16845" w14:textId="77777777" w:rsidR="0069775F" w:rsidRDefault="0069775F">
            <w:pPr>
              <w:spacing w:after="0" w:line="240" w:lineRule="auto"/>
              <w:rPr>
                <w:rFonts w:eastAsia="Times New Roman" w:cs="Calibri"/>
                <w:color w:val="000000"/>
                <w:sz w:val="20"/>
                <w:szCs w:val="20"/>
              </w:rPr>
            </w:pPr>
          </w:p>
        </w:tc>
        <w:tc>
          <w:tcPr>
            <w:tcW w:w="1200" w:type="dxa"/>
          </w:tcPr>
          <w:p w14:paraId="3D69D9D0"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Ni4</w:t>
            </w:r>
          </w:p>
        </w:tc>
        <w:tc>
          <w:tcPr>
            <w:tcW w:w="956" w:type="dxa"/>
          </w:tcPr>
          <w:p w14:paraId="20D5C3A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1062" w:type="dxa"/>
          </w:tcPr>
          <w:p w14:paraId="43BE9A6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.447</w:t>
            </w:r>
          </w:p>
        </w:tc>
        <w:tc>
          <w:tcPr>
            <w:tcW w:w="952" w:type="dxa"/>
          </w:tcPr>
          <w:p w14:paraId="023653F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956" w:type="dxa"/>
          </w:tcPr>
          <w:p w14:paraId="7940B9F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-.355</w:t>
            </w:r>
          </w:p>
        </w:tc>
        <w:tc>
          <w:tcPr>
            <w:tcW w:w="953" w:type="dxa"/>
          </w:tcPr>
          <w:p w14:paraId="432B4D9E"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.755</w:t>
            </w:r>
          </w:p>
        </w:tc>
        <w:tc>
          <w:tcPr>
            <w:tcW w:w="952" w:type="dxa"/>
          </w:tcPr>
          <w:p w14:paraId="6F4D6DC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1.000</w:t>
            </w:r>
          </w:p>
        </w:tc>
        <w:tc>
          <w:tcPr>
            <w:tcW w:w="941" w:type="dxa"/>
          </w:tcPr>
          <w:p w14:paraId="087A55A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583484A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.374</w:t>
            </w:r>
          </w:p>
        </w:tc>
      </w:tr>
      <w:tr w:rsidR="0069775F" w14:paraId="0DB93B28"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2CC396BA" w14:textId="77777777" w:rsidR="0069775F" w:rsidRDefault="004D7A71">
            <w:pPr>
              <w:spacing w:after="0" w:line="240" w:lineRule="auto"/>
              <w:jc w:val="center"/>
              <w:rPr>
                <w:rFonts w:eastAsia="Times New Roman" w:cs="Calibri"/>
                <w:color w:val="000000"/>
                <w:sz w:val="20"/>
                <w:szCs w:val="20"/>
              </w:rPr>
            </w:pPr>
            <w:r>
              <w:rPr>
                <w:rFonts w:eastAsia="Times New Roman" w:cs="Calibri"/>
                <w:color w:val="000000"/>
                <w:sz w:val="20"/>
                <w:szCs w:val="20"/>
              </w:rPr>
              <w:t xml:space="preserve"> Pb</w:t>
            </w:r>
          </w:p>
        </w:tc>
        <w:tc>
          <w:tcPr>
            <w:tcW w:w="1200" w:type="dxa"/>
          </w:tcPr>
          <w:p w14:paraId="667A2E91"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Pb1</w:t>
            </w:r>
          </w:p>
        </w:tc>
        <w:tc>
          <w:tcPr>
            <w:tcW w:w="956" w:type="dxa"/>
          </w:tcPr>
          <w:p w14:paraId="7859581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1694C43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643860CC"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61E664B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5EB3F02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38107F7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6BF7427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7BD8C3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01476EFE"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161F15D8" w14:textId="77777777" w:rsidR="0069775F" w:rsidRDefault="0069775F">
            <w:pPr>
              <w:spacing w:after="0" w:line="240" w:lineRule="auto"/>
              <w:rPr>
                <w:rFonts w:eastAsia="Times New Roman" w:cs="Calibri"/>
                <w:color w:val="000000"/>
                <w:sz w:val="20"/>
                <w:szCs w:val="20"/>
              </w:rPr>
            </w:pPr>
          </w:p>
        </w:tc>
        <w:tc>
          <w:tcPr>
            <w:tcW w:w="1200" w:type="dxa"/>
          </w:tcPr>
          <w:p w14:paraId="4195CEAB"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Pb2</w:t>
            </w:r>
          </w:p>
        </w:tc>
        <w:tc>
          <w:tcPr>
            <w:tcW w:w="956" w:type="dxa"/>
          </w:tcPr>
          <w:p w14:paraId="2B264FB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-14.200</w:t>
            </w:r>
          </w:p>
        </w:tc>
        <w:tc>
          <w:tcPr>
            <w:tcW w:w="1062" w:type="dxa"/>
          </w:tcPr>
          <w:p w14:paraId="77CDC26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9.834</w:t>
            </w:r>
          </w:p>
        </w:tc>
        <w:tc>
          <w:tcPr>
            <w:tcW w:w="952" w:type="dxa"/>
          </w:tcPr>
          <w:p w14:paraId="2BA8B55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4.398</w:t>
            </w:r>
          </w:p>
        </w:tc>
        <w:tc>
          <w:tcPr>
            <w:tcW w:w="956" w:type="dxa"/>
          </w:tcPr>
          <w:p w14:paraId="02420AF3"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-26.410</w:t>
            </w:r>
          </w:p>
        </w:tc>
        <w:tc>
          <w:tcPr>
            <w:tcW w:w="953" w:type="dxa"/>
          </w:tcPr>
          <w:p w14:paraId="3AAACA2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-1.990</w:t>
            </w:r>
          </w:p>
        </w:tc>
        <w:tc>
          <w:tcPr>
            <w:tcW w:w="952" w:type="dxa"/>
          </w:tcPr>
          <w:p w14:paraId="451AAED0"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-3.229</w:t>
            </w:r>
          </w:p>
        </w:tc>
        <w:tc>
          <w:tcPr>
            <w:tcW w:w="941" w:type="dxa"/>
          </w:tcPr>
          <w:p w14:paraId="2BB12E3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4746C6DA"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.032</w:t>
            </w:r>
          </w:p>
        </w:tc>
      </w:tr>
      <w:tr w:rsidR="0069775F" w14:paraId="36D8DB06"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2C79B8ED" w14:textId="77777777" w:rsidR="0069775F" w:rsidRDefault="0069775F">
            <w:pPr>
              <w:spacing w:after="0" w:line="240" w:lineRule="auto"/>
              <w:rPr>
                <w:rFonts w:eastAsia="Times New Roman" w:cs="Calibri"/>
                <w:color w:val="000000"/>
                <w:sz w:val="20"/>
                <w:szCs w:val="20"/>
              </w:rPr>
            </w:pPr>
          </w:p>
        </w:tc>
        <w:tc>
          <w:tcPr>
            <w:tcW w:w="1200" w:type="dxa"/>
          </w:tcPr>
          <w:p w14:paraId="54B82DD8"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Pb3</w:t>
            </w:r>
          </w:p>
        </w:tc>
        <w:tc>
          <w:tcPr>
            <w:tcW w:w="956" w:type="dxa"/>
          </w:tcPr>
          <w:p w14:paraId="38C3A35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-1.200</w:t>
            </w:r>
          </w:p>
        </w:tc>
        <w:tc>
          <w:tcPr>
            <w:tcW w:w="1062" w:type="dxa"/>
          </w:tcPr>
          <w:p w14:paraId="445DA63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2.388</w:t>
            </w:r>
          </w:p>
        </w:tc>
        <w:tc>
          <w:tcPr>
            <w:tcW w:w="952" w:type="dxa"/>
          </w:tcPr>
          <w:p w14:paraId="57BF01AB"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1.068</w:t>
            </w:r>
          </w:p>
        </w:tc>
        <w:tc>
          <w:tcPr>
            <w:tcW w:w="956" w:type="dxa"/>
          </w:tcPr>
          <w:p w14:paraId="55AFEDF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-4.164</w:t>
            </w:r>
          </w:p>
        </w:tc>
        <w:tc>
          <w:tcPr>
            <w:tcW w:w="953" w:type="dxa"/>
          </w:tcPr>
          <w:p w14:paraId="5948E556"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1.764</w:t>
            </w:r>
          </w:p>
        </w:tc>
        <w:tc>
          <w:tcPr>
            <w:tcW w:w="952" w:type="dxa"/>
          </w:tcPr>
          <w:p w14:paraId="5C92EE74"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-1.124</w:t>
            </w:r>
          </w:p>
        </w:tc>
        <w:tc>
          <w:tcPr>
            <w:tcW w:w="941" w:type="dxa"/>
          </w:tcPr>
          <w:p w14:paraId="0BD2CCA8"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31020DD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.324</w:t>
            </w:r>
          </w:p>
        </w:tc>
      </w:tr>
      <w:tr w:rsidR="0069775F" w14:paraId="725B2496"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385755B0" w14:textId="77777777" w:rsidR="0069775F" w:rsidRDefault="0069775F">
            <w:pPr>
              <w:spacing w:after="0" w:line="240" w:lineRule="auto"/>
              <w:rPr>
                <w:rFonts w:eastAsia="Times New Roman" w:cs="Calibri"/>
                <w:color w:val="000000"/>
                <w:sz w:val="20"/>
                <w:szCs w:val="20"/>
              </w:rPr>
            </w:pPr>
          </w:p>
        </w:tc>
        <w:tc>
          <w:tcPr>
            <w:tcW w:w="1200" w:type="dxa"/>
          </w:tcPr>
          <w:p w14:paraId="097F18FB" w14:textId="77777777" w:rsidR="0069775F" w:rsidRDefault="004D7A7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Pb4</w:t>
            </w:r>
          </w:p>
        </w:tc>
        <w:tc>
          <w:tcPr>
            <w:tcW w:w="956" w:type="dxa"/>
          </w:tcPr>
          <w:p w14:paraId="6BEE191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0.000</w:t>
            </w:r>
          </w:p>
        </w:tc>
        <w:tc>
          <w:tcPr>
            <w:tcW w:w="1062" w:type="dxa"/>
          </w:tcPr>
          <w:p w14:paraId="284490B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1.581</w:t>
            </w:r>
          </w:p>
        </w:tc>
        <w:tc>
          <w:tcPr>
            <w:tcW w:w="952" w:type="dxa"/>
          </w:tcPr>
          <w:p w14:paraId="6971B4B1"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.707</w:t>
            </w:r>
          </w:p>
        </w:tc>
        <w:tc>
          <w:tcPr>
            <w:tcW w:w="956" w:type="dxa"/>
          </w:tcPr>
          <w:p w14:paraId="4A2DEB2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-1.963</w:t>
            </w:r>
          </w:p>
        </w:tc>
        <w:tc>
          <w:tcPr>
            <w:tcW w:w="953" w:type="dxa"/>
          </w:tcPr>
          <w:p w14:paraId="5EA4075F"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1.963</w:t>
            </w:r>
          </w:p>
        </w:tc>
        <w:tc>
          <w:tcPr>
            <w:tcW w:w="952" w:type="dxa"/>
          </w:tcPr>
          <w:p w14:paraId="55BBA22D"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0.000</w:t>
            </w:r>
          </w:p>
        </w:tc>
        <w:tc>
          <w:tcPr>
            <w:tcW w:w="941" w:type="dxa"/>
          </w:tcPr>
          <w:p w14:paraId="1A4969F2"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D723B57" w14:textId="77777777" w:rsidR="0069775F" w:rsidRDefault="004D7A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1.000</w:t>
            </w:r>
          </w:p>
        </w:tc>
      </w:tr>
    </w:tbl>
    <w:p w14:paraId="2D97803C" w14:textId="77777777" w:rsidR="0069775F" w:rsidRDefault="0069775F">
      <w:pPr>
        <w:rPr>
          <w:rFonts w:ascii="Times New Roman" w:hAnsi="Times New Roman"/>
          <w:sz w:val="28"/>
          <w:szCs w:val="28"/>
        </w:rPr>
      </w:pPr>
      <w:bookmarkStart w:id="0" w:name="_GoBack"/>
      <w:bookmarkEnd w:id="0"/>
    </w:p>
    <w:p w14:paraId="281F4D73" w14:textId="77777777" w:rsidR="0069775F" w:rsidRDefault="004D7A71">
      <w:pPr>
        <w:spacing w:after="120" w:line="240" w:lineRule="auto"/>
        <w:rPr>
          <w:rFonts w:ascii="Times New Roman" w:eastAsia="Times New Roman" w:hAnsi="Times New Roman"/>
          <w:b/>
          <w:i/>
          <w:sz w:val="20"/>
          <w:szCs w:val="24"/>
        </w:rPr>
      </w:pPr>
      <w:r>
        <w:rPr>
          <w:rFonts w:ascii="Times New Roman" w:eastAsia="Times New Roman" w:hAnsi="Times New Roman"/>
          <w:b/>
          <w:i/>
          <w:sz w:val="20"/>
          <w:szCs w:val="24"/>
        </w:rPr>
        <w:t xml:space="preserve">Key: TC = Toxicant </w:t>
      </w:r>
      <w:proofErr w:type="gramStart"/>
      <w:r>
        <w:rPr>
          <w:rFonts w:ascii="Times New Roman" w:eastAsia="Times New Roman" w:hAnsi="Times New Roman"/>
          <w:b/>
          <w:i/>
          <w:sz w:val="20"/>
          <w:szCs w:val="24"/>
        </w:rPr>
        <w:t>Conc,;</w:t>
      </w:r>
      <w:proofErr w:type="gramEnd"/>
      <w:r>
        <w:rPr>
          <w:rFonts w:ascii="Times New Roman" w:eastAsia="Times New Roman" w:hAnsi="Times New Roman"/>
          <w:b/>
          <w:i/>
          <w:sz w:val="20"/>
          <w:szCs w:val="24"/>
        </w:rPr>
        <w:t xml:space="preserve"> FEC = Fish Exposure Conc. NA = Not Application (Fish group all died); </w:t>
      </w:r>
      <w:r>
        <w:rPr>
          <w:rFonts w:ascii="Times New Roman" w:eastAsia="Times New Roman" w:hAnsi="Times New Roman"/>
          <w:b/>
          <w:i/>
          <w:color w:val="FF0000"/>
          <w:sz w:val="20"/>
          <w:szCs w:val="24"/>
        </w:rPr>
        <w:t xml:space="preserve">RED </w:t>
      </w:r>
      <w:r>
        <w:rPr>
          <w:rFonts w:ascii="Times New Roman" w:eastAsia="Times New Roman" w:hAnsi="Times New Roman"/>
          <w:b/>
          <w:i/>
          <w:sz w:val="20"/>
          <w:szCs w:val="24"/>
        </w:rPr>
        <w:t>= values above the control values</w:t>
      </w:r>
    </w:p>
    <w:p w14:paraId="53EAEB79" w14:textId="77777777" w:rsidR="0069775F" w:rsidRDefault="0069775F">
      <w:pPr>
        <w:spacing w:after="120" w:line="240" w:lineRule="auto"/>
        <w:rPr>
          <w:rFonts w:ascii="Times New Roman" w:eastAsia="Times New Roman" w:hAnsi="Times New Roman"/>
          <w:i/>
          <w:sz w:val="24"/>
          <w:szCs w:val="24"/>
        </w:rPr>
      </w:pPr>
    </w:p>
    <w:p w14:paraId="765871B9" w14:textId="77777777" w:rsidR="0069775F" w:rsidRDefault="004D7A71">
      <w:pPr>
        <w:spacing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Discussion</w:t>
      </w:r>
    </w:p>
    <w:p w14:paraId="3A0FAE35"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The qualitative histological assessment in this study showed generalized necrosis of vascular walls with diffuse coagulative necrosis leading to disruption of the Gill’s architecture; Epithelial Lifting; Vascular Congestion; </w:t>
      </w:r>
      <w:proofErr w:type="spellStart"/>
      <w:r>
        <w:rPr>
          <w:rFonts w:ascii="Times New Roman" w:eastAsia="Times New Roman" w:hAnsi="Times New Roman"/>
          <w:sz w:val="24"/>
          <w:szCs w:val="24"/>
        </w:rPr>
        <w:t>Haemorrhage</w:t>
      </w:r>
      <w:proofErr w:type="spellEnd"/>
      <w:r>
        <w:rPr>
          <w:rFonts w:ascii="Times New Roman" w:eastAsia="Times New Roman" w:hAnsi="Times New Roman"/>
          <w:sz w:val="24"/>
          <w:szCs w:val="24"/>
        </w:rPr>
        <w:t>; diffuse Vacuolizat</w:t>
      </w:r>
      <w:r>
        <w:rPr>
          <w:rFonts w:ascii="Times New Roman" w:eastAsia="Times New Roman" w:hAnsi="Times New Roman"/>
          <w:sz w:val="24"/>
          <w:szCs w:val="24"/>
        </w:rPr>
        <w:t>ion; Telangiectasia and Secondary Lamella Fusion. Histopathological findings in this study is consistent with findings in the following studies: hyperplasia, aneurism, epithelial lifting and lamellar fusion in fish exposed to variety of environmental stres</w:t>
      </w:r>
      <w:r>
        <w:rPr>
          <w:rFonts w:ascii="Times New Roman" w:eastAsia="Times New Roman" w:hAnsi="Times New Roman"/>
          <w:sz w:val="24"/>
          <w:szCs w:val="24"/>
        </w:rPr>
        <w:t xml:space="preserve">sors that include heavy metals (Lauren and McDonald 1985, </w:t>
      </w:r>
      <w:proofErr w:type="spellStart"/>
      <w:r>
        <w:rPr>
          <w:rFonts w:ascii="Times New Roman" w:eastAsia="Times New Roman" w:hAnsi="Times New Roman"/>
          <w:sz w:val="24"/>
          <w:szCs w:val="24"/>
        </w:rPr>
        <w:t>Verbost</w:t>
      </w:r>
      <w:proofErr w:type="spellEnd"/>
      <w:r>
        <w:rPr>
          <w:rFonts w:ascii="Times New Roman" w:eastAsia="Times New Roman" w:hAnsi="Times New Roman"/>
          <w:sz w:val="24"/>
          <w:szCs w:val="24"/>
        </w:rPr>
        <w:t xml:space="preserve"> et al., 1987; </w:t>
      </w:r>
      <w:proofErr w:type="spellStart"/>
      <w:r>
        <w:rPr>
          <w:rFonts w:ascii="Times New Roman" w:eastAsia="Times New Roman" w:hAnsi="Times New Roman"/>
          <w:sz w:val="24"/>
          <w:szCs w:val="24"/>
        </w:rPr>
        <w:t>Olojo</w:t>
      </w:r>
      <w:proofErr w:type="spellEnd"/>
      <w:r>
        <w:rPr>
          <w:rFonts w:ascii="Times New Roman" w:eastAsia="Times New Roman" w:hAnsi="Times New Roman"/>
          <w:sz w:val="24"/>
          <w:szCs w:val="24"/>
        </w:rPr>
        <w:t xml:space="preserve"> et al., 2005; </w:t>
      </w:r>
      <w:proofErr w:type="spellStart"/>
      <w:r>
        <w:rPr>
          <w:rFonts w:ascii="Times New Roman" w:eastAsia="Times New Roman" w:hAnsi="Times New Roman"/>
          <w:sz w:val="24"/>
          <w:szCs w:val="24"/>
        </w:rPr>
        <w:t>Giari</w:t>
      </w:r>
      <w:proofErr w:type="spellEnd"/>
      <w:r>
        <w:rPr>
          <w:rFonts w:ascii="Times New Roman" w:eastAsia="Times New Roman" w:hAnsi="Times New Roman"/>
          <w:sz w:val="24"/>
          <w:szCs w:val="24"/>
        </w:rPr>
        <w:t xml:space="preserve"> et. al., 2007; Bopp et al., 2008) and oil sands process-affected water (Nero et al., 2006).</w:t>
      </w:r>
    </w:p>
    <w:p w14:paraId="069B0598"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The semi-quantitative analysis showed that the TC concentr</w:t>
      </w:r>
      <w:r>
        <w:rPr>
          <w:rFonts w:ascii="Times New Roman" w:eastAsia="Times New Roman" w:hAnsi="Times New Roman"/>
          <w:sz w:val="24"/>
          <w:szCs w:val="24"/>
        </w:rPr>
        <w:t>ations above MATC had worse kidney organ histopathologic indices (Iorg) than control. This validates the guideline MATC for fresh water aquatic life (ECETOC,2002) which proposes deleterious ecological exposure effect beyond the allowable environmental conc</w:t>
      </w:r>
      <w:r>
        <w:rPr>
          <w:rFonts w:ascii="Times New Roman" w:eastAsia="Times New Roman" w:hAnsi="Times New Roman"/>
          <w:sz w:val="24"/>
          <w:szCs w:val="24"/>
        </w:rPr>
        <w:t>entration of the TC. Though concentrations of Cu3, Cu4 &amp; Pb3 caused hazardous effect even at concentrations lower that the MATC. This might not be unrelated to the hazardous quotient of the metals, but nevertheless needs further investigation. Furthermore,</w:t>
      </w:r>
      <w:r>
        <w:rPr>
          <w:rFonts w:ascii="Times New Roman" w:eastAsia="Times New Roman" w:hAnsi="Times New Roman"/>
          <w:sz w:val="24"/>
          <w:szCs w:val="24"/>
        </w:rPr>
        <w:t xml:space="preserve"> there was significant difference (P&lt;0.005) for the gills histopathologic organ indices (I</w:t>
      </w:r>
      <w:r>
        <w:rPr>
          <w:rFonts w:ascii="Times New Roman" w:eastAsia="Times New Roman" w:hAnsi="Times New Roman"/>
          <w:sz w:val="24"/>
          <w:szCs w:val="24"/>
          <w:vertAlign w:val="subscript"/>
        </w:rPr>
        <w:t>org</w:t>
      </w:r>
      <w:r>
        <w:rPr>
          <w:rFonts w:ascii="Times New Roman" w:eastAsia="Times New Roman" w:hAnsi="Times New Roman"/>
          <w:sz w:val="24"/>
          <w:szCs w:val="24"/>
        </w:rPr>
        <w:t>) between the control and TC concentrations of Cr1, Cr2, Cu3 and Pb2.This further validates the MATC guideline for fresh water aquatic life (ECETOC,2002). Cu3, whi</w:t>
      </w:r>
      <w:r>
        <w:rPr>
          <w:rFonts w:ascii="Times New Roman" w:eastAsia="Times New Roman" w:hAnsi="Times New Roman"/>
          <w:sz w:val="24"/>
          <w:szCs w:val="24"/>
        </w:rPr>
        <w:t xml:space="preserve">ch is a TC concentration below MATC, showed hazardous exposure effect which was inconsistent with MATC guideline. This might be due Cu toxic affinity for gills and or Hazardous Quotient in fresh water bodies. Nevertheless, </w:t>
      </w:r>
      <w:proofErr w:type="gramStart"/>
      <w:r>
        <w:rPr>
          <w:rFonts w:ascii="Times New Roman" w:eastAsia="Times New Roman" w:hAnsi="Times New Roman"/>
          <w:sz w:val="24"/>
          <w:szCs w:val="24"/>
        </w:rPr>
        <w:t>this facts</w:t>
      </w:r>
      <w:proofErr w:type="gramEnd"/>
      <w:r>
        <w:rPr>
          <w:rFonts w:ascii="Times New Roman" w:eastAsia="Times New Roman" w:hAnsi="Times New Roman"/>
          <w:sz w:val="24"/>
          <w:szCs w:val="24"/>
        </w:rPr>
        <w:t xml:space="preserve"> needs further investig</w:t>
      </w:r>
      <w:r>
        <w:rPr>
          <w:rFonts w:ascii="Times New Roman" w:eastAsia="Times New Roman" w:hAnsi="Times New Roman"/>
          <w:sz w:val="24"/>
          <w:szCs w:val="24"/>
        </w:rPr>
        <w:t xml:space="preserve">ation. </w:t>
      </w:r>
    </w:p>
    <w:p w14:paraId="04323FA3" w14:textId="77777777" w:rsidR="0069775F" w:rsidRDefault="0069775F">
      <w:pPr>
        <w:spacing w:after="120" w:line="240" w:lineRule="auto"/>
        <w:rPr>
          <w:rFonts w:ascii="Times New Roman" w:eastAsia="Times New Roman" w:hAnsi="Times New Roman"/>
          <w:sz w:val="24"/>
          <w:szCs w:val="24"/>
        </w:rPr>
      </w:pPr>
    </w:p>
    <w:p w14:paraId="16BFF229" w14:textId="77777777" w:rsidR="0069775F" w:rsidRDefault="004D7A71">
      <w:pPr>
        <w:pStyle w:val="ListParagraphdaeebebf-f101-4889-831f-2692a0b491de"/>
        <w:spacing w:after="120" w:line="240" w:lineRule="auto"/>
        <w:ind w:left="0"/>
        <w:contextualSpacing w:val="0"/>
        <w:jc w:val="center"/>
        <w:rPr>
          <w:rFonts w:ascii="Times New Roman" w:hAnsi="Times New Roman"/>
          <w:b/>
          <w:bCs/>
          <w:caps/>
          <w:color w:val="000000"/>
          <w:sz w:val="28"/>
          <w:szCs w:val="28"/>
        </w:rPr>
      </w:pPr>
      <w:r>
        <w:rPr>
          <w:rFonts w:ascii="Times New Roman" w:hAnsi="Times New Roman"/>
          <w:b/>
          <w:bCs/>
          <w:color w:val="000000"/>
          <w:sz w:val="28"/>
          <w:szCs w:val="28"/>
        </w:rPr>
        <w:t>Conclusion</w:t>
      </w:r>
    </w:p>
    <w:p w14:paraId="5CB9CD3C" w14:textId="77777777" w:rsidR="0069775F" w:rsidRDefault="004D7A71">
      <w:pPr>
        <w:pStyle w:val="ListParagraphdaeebebf-f101-4889-831f-2692a0b491de"/>
        <w:spacing w:after="120" w:line="240" w:lineRule="auto"/>
        <w:ind w:left="0"/>
        <w:contextualSpacing w:val="0"/>
        <w:jc w:val="both"/>
        <w:rPr>
          <w:rFonts w:ascii="Times New Roman" w:hAnsi="Times New Roman"/>
          <w:color w:val="000000"/>
          <w:sz w:val="24"/>
        </w:rPr>
      </w:pPr>
      <w:r>
        <w:rPr>
          <w:rFonts w:ascii="Times New Roman" w:hAnsi="Times New Roman"/>
          <w:color w:val="000000"/>
          <w:sz w:val="24"/>
        </w:rPr>
        <w:t>The study was able to demonstrate that heavy metal toxicity can be simulated in a laboratory setting. Though there is need to further investigate the pharmacokinetics behind the hazardous exposure effects caused by the concentrations of Cu and Pb that were</w:t>
      </w:r>
      <w:r>
        <w:rPr>
          <w:rFonts w:ascii="Times New Roman" w:hAnsi="Times New Roman"/>
          <w:color w:val="000000"/>
          <w:sz w:val="24"/>
        </w:rPr>
        <w:t xml:space="preserve"> below MATC guideline, which was inconsistent with MATC regulatory provision. Nonetheless, it has further proven that target chemicals concentration above the MATC regulatory guidelines can be used for gills toxicity exposure certification for Cr, Cd and N</w:t>
      </w:r>
      <w:r>
        <w:rPr>
          <w:rFonts w:ascii="Times New Roman" w:hAnsi="Times New Roman"/>
          <w:color w:val="000000"/>
          <w:sz w:val="24"/>
        </w:rPr>
        <w:t xml:space="preserve">i exposure. The study has also proven that histopathologic organ indexing is an explorable environmental tool for histological based toxicity certification. </w:t>
      </w:r>
    </w:p>
    <w:p w14:paraId="5F03556E" w14:textId="77777777" w:rsidR="0069775F" w:rsidRDefault="0069775F">
      <w:pPr>
        <w:pStyle w:val="ListParagraphdaeebebf-f101-4889-831f-2692a0b491de"/>
        <w:spacing w:after="120" w:line="240" w:lineRule="auto"/>
        <w:ind w:left="0"/>
        <w:contextualSpacing w:val="0"/>
        <w:jc w:val="both"/>
        <w:rPr>
          <w:rFonts w:ascii="Times New Roman" w:hAnsi="Times New Roman"/>
          <w:color w:val="000000"/>
          <w:sz w:val="24"/>
        </w:rPr>
      </w:pPr>
    </w:p>
    <w:p w14:paraId="1DF1469D" w14:textId="77777777" w:rsidR="0069775F" w:rsidRDefault="004D7A71">
      <w:pPr>
        <w:spacing w:after="12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References</w:t>
      </w:r>
    </w:p>
    <w:p w14:paraId="4C2EACDB"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Agbozu</w:t>
      </w:r>
      <w:proofErr w:type="spellEnd"/>
      <w:r>
        <w:rPr>
          <w:rFonts w:ascii="Times New Roman" w:eastAsia="SimSun" w:hAnsi="Times New Roman"/>
          <w:sz w:val="24"/>
          <w:szCs w:val="24"/>
          <w:lang w:eastAsia="zh-CN"/>
        </w:rPr>
        <w:t xml:space="preserve">, I.E., </w:t>
      </w:r>
      <w:proofErr w:type="spellStart"/>
      <w:r>
        <w:rPr>
          <w:rFonts w:ascii="Times New Roman" w:eastAsia="SimSun" w:hAnsi="Times New Roman"/>
          <w:sz w:val="24"/>
          <w:szCs w:val="24"/>
          <w:lang w:eastAsia="zh-CN"/>
        </w:rPr>
        <w:t>Ekweozor</w:t>
      </w:r>
      <w:proofErr w:type="spellEnd"/>
      <w:r>
        <w:rPr>
          <w:rFonts w:ascii="Times New Roman" w:eastAsia="SimSun" w:hAnsi="Times New Roman"/>
          <w:sz w:val="24"/>
          <w:szCs w:val="24"/>
          <w:lang w:eastAsia="zh-CN"/>
        </w:rPr>
        <w:t xml:space="preserve">, I.K.E. and </w:t>
      </w:r>
      <w:proofErr w:type="spellStart"/>
      <w:r>
        <w:rPr>
          <w:rFonts w:ascii="Times New Roman" w:eastAsia="SimSun" w:hAnsi="Times New Roman"/>
          <w:sz w:val="24"/>
          <w:szCs w:val="24"/>
          <w:lang w:eastAsia="zh-CN"/>
        </w:rPr>
        <w:t>Opuene</w:t>
      </w:r>
      <w:proofErr w:type="spellEnd"/>
      <w:r>
        <w:rPr>
          <w:rFonts w:ascii="Times New Roman" w:eastAsia="SimSun" w:hAnsi="Times New Roman"/>
          <w:sz w:val="24"/>
          <w:szCs w:val="24"/>
          <w:lang w:eastAsia="zh-CN"/>
        </w:rPr>
        <w:t xml:space="preserve">, K. (2007). Survey of heavy metals in the catfish </w:t>
      </w:r>
      <w:proofErr w:type="spellStart"/>
      <w:r>
        <w:rPr>
          <w:rFonts w:ascii="Times New Roman" w:eastAsia="SimSun" w:hAnsi="Times New Roman"/>
          <w:sz w:val="24"/>
          <w:szCs w:val="24"/>
          <w:lang w:eastAsia="zh-CN"/>
        </w:rPr>
        <w:t>Synodontis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clarias</w:t>
      </w:r>
      <w:proofErr w:type="spellEnd"/>
      <w:r>
        <w:rPr>
          <w:rFonts w:ascii="Times New Roman" w:eastAsia="SimSun" w:hAnsi="Times New Roman"/>
          <w:sz w:val="24"/>
          <w:szCs w:val="24"/>
          <w:lang w:eastAsia="zh-CN"/>
        </w:rPr>
        <w:t>. Int. J. Environ. Sci. Tech., 4 (1): 93-97.</w:t>
      </w:r>
    </w:p>
    <w:p w14:paraId="35AA33C3"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Akar, T. and </w:t>
      </w:r>
      <w:proofErr w:type="spellStart"/>
      <w:r>
        <w:rPr>
          <w:rFonts w:ascii="Times New Roman" w:eastAsia="SimSun" w:hAnsi="Times New Roman"/>
          <w:sz w:val="24"/>
          <w:szCs w:val="24"/>
          <w:lang w:eastAsia="zh-CN"/>
        </w:rPr>
        <w:t>Tunali</w:t>
      </w:r>
      <w:proofErr w:type="spellEnd"/>
      <w:r>
        <w:rPr>
          <w:rFonts w:ascii="Times New Roman" w:eastAsia="SimSun" w:hAnsi="Times New Roman"/>
          <w:sz w:val="24"/>
          <w:szCs w:val="24"/>
          <w:lang w:eastAsia="zh-CN"/>
        </w:rPr>
        <w:t xml:space="preserve">, S. (2005). Biosorption properties of Botrytis cinerea biomass. J. Hazard. Mater., 131 (1-3): 137-145. </w:t>
      </w:r>
    </w:p>
    <w:p w14:paraId="5D909063"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Allison, TA. &amp; Pau</w:t>
      </w:r>
      <w:r>
        <w:rPr>
          <w:rFonts w:ascii="Times New Roman" w:eastAsia="Times New Roman" w:hAnsi="Times New Roman"/>
          <w:sz w:val="24"/>
          <w:szCs w:val="24"/>
        </w:rPr>
        <w:t xml:space="preserve">l, CW, (2018). Histological based Biomonitoring: A Baseline Ecotoxicological Evaluation of </w:t>
      </w:r>
      <w:proofErr w:type="spellStart"/>
      <w:r>
        <w:rPr>
          <w:rFonts w:ascii="Times New Roman" w:eastAsia="Times New Roman" w:hAnsi="Times New Roman"/>
          <w:sz w:val="24"/>
          <w:szCs w:val="24"/>
        </w:rPr>
        <w:t>Ekerekana</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Okochiri</w:t>
      </w:r>
      <w:proofErr w:type="spellEnd"/>
      <w:r>
        <w:rPr>
          <w:rFonts w:ascii="Times New Roman" w:eastAsia="Times New Roman" w:hAnsi="Times New Roman"/>
          <w:sz w:val="24"/>
          <w:szCs w:val="24"/>
        </w:rPr>
        <w:t xml:space="preserve"> Creeks using Mudskipper.  Scholars Bulletin (Anatomy). An Official Publication of ―Scholars Middle East Publishers‖ ISSN 2412-9771 (Print) Dub</w:t>
      </w:r>
      <w:r>
        <w:rPr>
          <w:rFonts w:ascii="Times New Roman" w:eastAsia="Times New Roman" w:hAnsi="Times New Roman"/>
          <w:sz w:val="24"/>
          <w:szCs w:val="24"/>
        </w:rPr>
        <w:t xml:space="preserve">ai, United Arab Emirates ISSN 2412-897X (Online) Website: </w:t>
      </w:r>
      <w:hyperlink r:id="rId11" w:history="1">
        <w:r w:rsidR="0069775F">
          <w:rPr>
            <w:rStyle w:val="Hyperlink"/>
            <w:rFonts w:ascii="Times New Roman" w:eastAsia="Times New Roman" w:hAnsi="Times New Roman"/>
            <w:sz w:val="24"/>
            <w:szCs w:val="24"/>
          </w:rPr>
          <w:t>http://scholarsbulletin.com/</w:t>
        </w:r>
      </w:hyperlink>
    </w:p>
    <w:p w14:paraId="0E0009EC"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Bernet, D., Schmidt, H., Meier, W., </w:t>
      </w:r>
      <w:proofErr w:type="spellStart"/>
      <w:r>
        <w:rPr>
          <w:rFonts w:ascii="Times New Roman" w:eastAsia="SimSun" w:hAnsi="Times New Roman"/>
          <w:sz w:val="24"/>
          <w:szCs w:val="24"/>
          <w:lang w:eastAsia="zh-CN"/>
        </w:rPr>
        <w:t>Burkhaldt</w:t>
      </w:r>
      <w:proofErr w:type="spellEnd"/>
      <w:r>
        <w:rPr>
          <w:rFonts w:ascii="Times New Roman" w:eastAsia="SimSun" w:hAnsi="Times New Roman"/>
          <w:sz w:val="24"/>
          <w:szCs w:val="24"/>
          <w:lang w:eastAsia="zh-CN"/>
        </w:rPr>
        <w:t xml:space="preserve">, H. and </w:t>
      </w:r>
      <w:proofErr w:type="spellStart"/>
      <w:r>
        <w:rPr>
          <w:rFonts w:ascii="Times New Roman" w:eastAsia="SimSun" w:hAnsi="Times New Roman"/>
          <w:sz w:val="24"/>
          <w:szCs w:val="24"/>
          <w:lang w:eastAsia="zh-CN"/>
        </w:rPr>
        <w:t>Wahli</w:t>
      </w:r>
      <w:proofErr w:type="spellEnd"/>
      <w:r>
        <w:rPr>
          <w:rFonts w:ascii="Times New Roman" w:eastAsia="SimSun" w:hAnsi="Times New Roman"/>
          <w:sz w:val="24"/>
          <w:szCs w:val="24"/>
          <w:lang w:eastAsia="zh-CN"/>
        </w:rPr>
        <w:t>, T. (1999). Histopathology in Fish, proposal for a protocol to a</w:t>
      </w:r>
      <w:r>
        <w:rPr>
          <w:rFonts w:ascii="Times New Roman" w:eastAsia="SimSun" w:hAnsi="Times New Roman"/>
          <w:sz w:val="24"/>
          <w:szCs w:val="24"/>
          <w:lang w:eastAsia="zh-CN"/>
        </w:rPr>
        <w:t xml:space="preserve">ssess aquatic pollution. </w:t>
      </w:r>
      <w:r>
        <w:rPr>
          <w:rFonts w:ascii="Times New Roman" w:eastAsia="SimSun" w:hAnsi="Times New Roman"/>
          <w:i/>
          <w:sz w:val="24"/>
          <w:szCs w:val="24"/>
          <w:lang w:eastAsia="zh-CN"/>
        </w:rPr>
        <w:t>Journal of Fish Disease</w:t>
      </w:r>
      <w:r>
        <w:rPr>
          <w:rFonts w:ascii="Times New Roman" w:eastAsia="SimSun" w:hAnsi="Times New Roman"/>
          <w:sz w:val="24"/>
          <w:szCs w:val="24"/>
          <w:lang w:eastAsia="zh-CN"/>
        </w:rPr>
        <w:t xml:space="preserve">. 22: 25 – 34. </w:t>
      </w:r>
    </w:p>
    <w:p w14:paraId="3289620D"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Bopp, S.K., Abicht, H.K. and Knauer, K. (2008). Copper-induced oxidative stress in rainbow trout gill cells. Aquatic </w:t>
      </w:r>
      <w:proofErr w:type="spellStart"/>
      <w:r>
        <w:rPr>
          <w:rFonts w:ascii="Times New Roman" w:eastAsia="SimSun" w:hAnsi="Times New Roman"/>
          <w:sz w:val="24"/>
          <w:szCs w:val="24"/>
          <w:lang w:eastAsia="zh-CN"/>
        </w:rPr>
        <w:t>Toxicol</w:t>
      </w:r>
      <w:proofErr w:type="spellEnd"/>
      <w:r>
        <w:rPr>
          <w:rFonts w:ascii="Times New Roman" w:eastAsia="SimSun" w:hAnsi="Times New Roman"/>
          <w:sz w:val="24"/>
          <w:szCs w:val="24"/>
          <w:lang w:eastAsia="zh-CN"/>
        </w:rPr>
        <w:t xml:space="preserve">., 86: 197-204. </w:t>
      </w:r>
    </w:p>
    <w:p w14:paraId="5B8352DB"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Budzinski et al., 2004</w:t>
      </w:r>
    </w:p>
    <w:p w14:paraId="580E75FF"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Chapman et al., 1996</w:t>
      </w:r>
    </w:p>
    <w:p w14:paraId="3DD19AB1"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Cengiz,</w:t>
      </w:r>
      <w:r>
        <w:rPr>
          <w:rFonts w:ascii="Times New Roman" w:eastAsia="SimSun" w:hAnsi="Times New Roman"/>
          <w:sz w:val="24"/>
          <w:szCs w:val="24"/>
          <w:lang w:eastAsia="zh-CN"/>
        </w:rPr>
        <w:t xml:space="preserve"> E.I. (2006). Gill and kidney histopathology in freshwater fish Cyprinus carpio after acute exposure to deltamethrin. Environ. </w:t>
      </w:r>
      <w:proofErr w:type="spellStart"/>
      <w:r>
        <w:rPr>
          <w:rFonts w:ascii="Times New Roman" w:eastAsia="SimSun" w:hAnsi="Times New Roman"/>
          <w:sz w:val="24"/>
          <w:szCs w:val="24"/>
          <w:lang w:eastAsia="zh-CN"/>
        </w:rPr>
        <w:t>Toxicol</w:t>
      </w:r>
      <w:proofErr w:type="spellEnd"/>
      <w:r>
        <w:rPr>
          <w:rFonts w:ascii="Times New Roman" w:eastAsia="SimSun" w:hAnsi="Times New Roman"/>
          <w:sz w:val="24"/>
          <w:szCs w:val="24"/>
          <w:lang w:eastAsia="zh-CN"/>
        </w:rPr>
        <w:t>. Pharm., 22: 200-204.</w:t>
      </w:r>
    </w:p>
    <w:p w14:paraId="2D285716"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CEPA (California Environmental Protection Agency), (1996). Procedures Manual for Conducting Toxicit</w:t>
      </w:r>
      <w:r>
        <w:rPr>
          <w:rFonts w:ascii="Times New Roman" w:eastAsia="Times New Roman" w:hAnsi="Times New Roman"/>
          <w:sz w:val="24"/>
          <w:szCs w:val="24"/>
        </w:rPr>
        <w:t>y Tests Developed by the Marine Bioassay Project. State Water Resources Control Board PO. 3</w:t>
      </w:r>
      <w:proofErr w:type="gramStart"/>
      <w:r>
        <w:rPr>
          <w:rFonts w:ascii="Times New Roman" w:eastAsia="Times New Roman" w:hAnsi="Times New Roman"/>
          <w:sz w:val="24"/>
          <w:szCs w:val="24"/>
        </w:rPr>
        <w:t>cx :co</w:t>
      </w:r>
      <w:proofErr w:type="gramEnd"/>
      <w:r>
        <w:rPr>
          <w:rFonts w:ascii="Times New Roman" w:eastAsia="Times New Roman" w:hAnsi="Times New Roman"/>
          <w:sz w:val="24"/>
          <w:szCs w:val="24"/>
        </w:rPr>
        <w:t xml:space="preserve"> S.E!CMCE-!O, CA 95812-G:2i (9fSi 55;. i247.</w:t>
      </w:r>
    </w:p>
    <w:p w14:paraId="7FA1B836"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CEPA (California Environmental Protection Agency), (2004). Overview of Freshwater and Marine Toxicity Tests: A Tec</w:t>
      </w:r>
      <w:r>
        <w:rPr>
          <w:rFonts w:ascii="Times New Roman" w:eastAsia="Times New Roman" w:hAnsi="Times New Roman"/>
          <w:sz w:val="24"/>
          <w:szCs w:val="24"/>
        </w:rPr>
        <w:t>hnical Tool for Ecological Risk Assessment. Ecotoxicology Unit Reproductive and Cancer Hazard Assessment Section Office of Environmental Health Hazard Assessment California Environmental Protection Agency.</w:t>
      </w:r>
    </w:p>
    <w:p w14:paraId="7A24EBEC"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Drury, R.A. and Wallington, E.A., (1980). Carleton</w:t>
      </w:r>
      <w:r>
        <w:rPr>
          <w:rFonts w:ascii="Times New Roman" w:eastAsia="Times New Roman" w:hAnsi="Times New Roman"/>
          <w:sz w:val="24"/>
          <w:szCs w:val="24"/>
        </w:rPr>
        <w:t>’s Histology Technique. 5th Edition, Oxford University Press, New York.</w:t>
      </w:r>
    </w:p>
    <w:p w14:paraId="757BA3C2"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EC (European Commission), (2006). Health Surveillance of Workers Exposed to Lead and its Ionic Compounds, Practicing Guidelines of a Non-binding Nature on the Protection of Health and </w:t>
      </w:r>
      <w:r>
        <w:rPr>
          <w:rFonts w:ascii="Times New Roman" w:eastAsia="Times New Roman" w:hAnsi="Times New Roman"/>
          <w:sz w:val="24"/>
          <w:szCs w:val="24"/>
        </w:rPr>
        <w:t xml:space="preserve">Safety Workers </w:t>
      </w:r>
      <w:proofErr w:type="gramStart"/>
      <w:r>
        <w:rPr>
          <w:rFonts w:ascii="Times New Roman" w:eastAsia="Times New Roman" w:hAnsi="Times New Roman"/>
          <w:sz w:val="24"/>
          <w:szCs w:val="24"/>
        </w:rPr>
        <w:t>From</w:t>
      </w:r>
      <w:proofErr w:type="gramEnd"/>
      <w:r>
        <w:rPr>
          <w:rFonts w:ascii="Times New Roman" w:eastAsia="Times New Roman" w:hAnsi="Times New Roman"/>
          <w:sz w:val="24"/>
          <w:szCs w:val="24"/>
        </w:rPr>
        <w:t xml:space="preserve"> Risk Related to Chemical Agents at work. Pp65-73</w:t>
      </w:r>
    </w:p>
    <w:p w14:paraId="23464064"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ECETOC, 2002</w:t>
      </w:r>
    </w:p>
    <w:p w14:paraId="5920F9FE"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ECETOC (European Chemical Industry and Toxicology Centre), (1986). Prolonged Fish Toxicity Test: EEC Sixth Amendment. Technical Report No,24. ISSN-0773-8072-24 Brussels.</w:t>
      </w:r>
    </w:p>
    <w:p w14:paraId="612371EB"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lastRenderedPageBreak/>
        <w:t>ECET</w:t>
      </w:r>
      <w:r>
        <w:rPr>
          <w:rFonts w:ascii="Times New Roman" w:eastAsia="Times New Roman" w:hAnsi="Times New Roman"/>
          <w:sz w:val="24"/>
          <w:szCs w:val="24"/>
        </w:rPr>
        <w:t xml:space="preserve">OC (European Chemical Industry and Toxicology Centre), (2005). Alternative Testing Approaches in Environmental Safety Assessment. ECETOC Technical Report. ISSN-0773-8072-97 Brussels. © Copyright - ECETOC AISBL </w:t>
      </w:r>
    </w:p>
    <w:p w14:paraId="27D62CBF"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EROCIPS (Emergency Response to coastal Oil, C</w:t>
      </w:r>
      <w:r>
        <w:rPr>
          <w:rFonts w:ascii="Times New Roman" w:eastAsia="SimSun" w:hAnsi="Times New Roman"/>
          <w:sz w:val="24"/>
          <w:szCs w:val="24"/>
          <w:lang w:eastAsia="zh-CN"/>
        </w:rPr>
        <w:t>hemical and Inert Pollution from Shipping), (2006). Environmental Monitoring: Protocol for Selection of Sentinel Species and Collection of Specimens. Supported by the European Union Project co-financed by the ERDF.</w:t>
      </w:r>
    </w:p>
    <w:p w14:paraId="5E7F7633"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Farombi, E.O., Adelowo, O.A. and </w:t>
      </w:r>
      <w:proofErr w:type="spellStart"/>
      <w:r>
        <w:rPr>
          <w:rFonts w:ascii="Times New Roman" w:eastAsia="SimSun" w:hAnsi="Times New Roman"/>
          <w:sz w:val="24"/>
          <w:szCs w:val="24"/>
          <w:lang w:eastAsia="zh-CN"/>
        </w:rPr>
        <w:t>Ajimoko</w:t>
      </w:r>
      <w:proofErr w:type="spellEnd"/>
      <w:r>
        <w:rPr>
          <w:rFonts w:ascii="Times New Roman" w:eastAsia="SimSun" w:hAnsi="Times New Roman"/>
          <w:sz w:val="24"/>
          <w:szCs w:val="24"/>
          <w:lang w:eastAsia="zh-CN"/>
        </w:rPr>
        <w:t>,</w:t>
      </w:r>
      <w:r>
        <w:rPr>
          <w:rFonts w:ascii="Times New Roman" w:eastAsia="SimSun" w:hAnsi="Times New Roman"/>
          <w:sz w:val="24"/>
          <w:szCs w:val="24"/>
          <w:lang w:eastAsia="zh-CN"/>
        </w:rPr>
        <w:t xml:space="preserve"> Y.R. (2007). Biomarkers of oxidative stress and heavy metal levels as indicators of environmental pollution in African catfish (</w:t>
      </w:r>
      <w:proofErr w:type="spellStart"/>
      <w:r>
        <w:rPr>
          <w:rFonts w:ascii="Times New Roman" w:eastAsia="SimSun" w:hAnsi="Times New Roman"/>
          <w:sz w:val="24"/>
          <w:szCs w:val="24"/>
          <w:lang w:eastAsia="zh-CN"/>
        </w:rPr>
        <w:t>Clarias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gariepinus</w:t>
      </w:r>
      <w:proofErr w:type="spellEnd"/>
      <w:r>
        <w:rPr>
          <w:rFonts w:ascii="Times New Roman" w:eastAsia="SimSun" w:hAnsi="Times New Roman"/>
          <w:sz w:val="24"/>
          <w:szCs w:val="24"/>
          <w:lang w:eastAsia="zh-CN"/>
        </w:rPr>
        <w:t xml:space="preserve">) from Nigeria Ogun River. Int. J. Res. Public Health, 4(2): 158-165. </w:t>
      </w:r>
    </w:p>
    <w:p w14:paraId="5AE6620F"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FishBase</w:t>
      </w:r>
      <w:proofErr w:type="spellEnd"/>
      <w:r>
        <w:rPr>
          <w:rFonts w:ascii="Times New Roman" w:eastAsia="SimSun" w:hAnsi="Times New Roman"/>
          <w:sz w:val="24"/>
          <w:szCs w:val="24"/>
          <w:lang w:eastAsia="zh-CN"/>
        </w:rPr>
        <w:t xml:space="preserve">., 2008. Tilapia </w:t>
      </w:r>
      <w:proofErr w:type="spellStart"/>
      <w:r>
        <w:rPr>
          <w:rFonts w:ascii="Times New Roman" w:eastAsia="SimSun" w:hAnsi="Times New Roman"/>
          <w:sz w:val="24"/>
          <w:szCs w:val="24"/>
          <w:lang w:eastAsia="zh-CN"/>
        </w:rPr>
        <w:t>mariae</w:t>
      </w:r>
      <w:proofErr w:type="spellEnd"/>
      <w:r>
        <w:rPr>
          <w:rFonts w:ascii="Times New Roman" w:eastAsia="SimSun" w:hAnsi="Times New Roman"/>
          <w:sz w:val="24"/>
          <w:szCs w:val="24"/>
          <w:lang w:eastAsia="zh-CN"/>
        </w:rPr>
        <w:t xml:space="preserve"> Spotte</w:t>
      </w:r>
      <w:r>
        <w:rPr>
          <w:rFonts w:ascii="Times New Roman" w:eastAsia="SimSun" w:hAnsi="Times New Roman"/>
          <w:sz w:val="24"/>
          <w:szCs w:val="24"/>
          <w:lang w:eastAsia="zh-CN"/>
        </w:rPr>
        <w:t>d tilapia: Summary</w:t>
      </w:r>
    </w:p>
    <w:p w14:paraId="534CC9FE"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Gerhardt A., (2004). Bioindicator species and their use in biomonitoring. Environmental Monitoring I. EOLSS.</w:t>
      </w:r>
    </w:p>
    <w:p w14:paraId="43EDE85E"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Gheorghe S., Stoica C., Vasile G. G., Nita-Lazar M., Stanescu E. and Lucaciu I. E., (2017). Metals Toxic</w:t>
      </w:r>
      <w:r>
        <w:rPr>
          <w:rFonts w:ascii="Times New Roman" w:eastAsia="SimSun" w:hAnsi="Times New Roman"/>
          <w:sz w:val="24"/>
          <w:szCs w:val="24"/>
          <w:lang w:eastAsia="zh-CN"/>
        </w:rPr>
        <w:t xml:space="preserve"> </w:t>
      </w:r>
      <w:r>
        <w:rPr>
          <w:rFonts w:ascii="Times New Roman" w:eastAsia="Times New Roman" w:hAnsi="Times New Roman"/>
          <w:sz w:val="24"/>
          <w:szCs w:val="24"/>
        </w:rPr>
        <w:t>Effects in Aquatic Ecos</w:t>
      </w:r>
      <w:r>
        <w:rPr>
          <w:rFonts w:ascii="Times New Roman" w:eastAsia="Times New Roman" w:hAnsi="Times New Roman"/>
          <w:sz w:val="24"/>
          <w:szCs w:val="24"/>
        </w:rPr>
        <w:t xml:space="preserve">ystems: Modulators of Water Quality. </w:t>
      </w:r>
      <w:proofErr w:type="spellStart"/>
      <w:r>
        <w:rPr>
          <w:rFonts w:ascii="Times New Roman" w:eastAsia="Times New Roman" w:hAnsi="Times New Roman"/>
          <w:sz w:val="24"/>
          <w:szCs w:val="24"/>
        </w:rPr>
        <w:t>Hlanganani</w:t>
      </w:r>
      <w:proofErr w:type="spellEnd"/>
      <w:r>
        <w:rPr>
          <w:rFonts w:ascii="Times New Roman" w:eastAsia="Times New Roman" w:hAnsi="Times New Roman"/>
          <w:sz w:val="24"/>
          <w:szCs w:val="24"/>
        </w:rPr>
        <w:t xml:space="preserve"> Tutu, </w:t>
      </w:r>
      <w:proofErr w:type="spellStart"/>
      <w:r>
        <w:rPr>
          <w:rFonts w:ascii="Times New Roman" w:eastAsia="Times New Roman" w:hAnsi="Times New Roman"/>
          <w:sz w:val="24"/>
          <w:szCs w:val="24"/>
        </w:rPr>
        <w:t>IntechOpen</w:t>
      </w:r>
      <w:proofErr w:type="spellEnd"/>
      <w:r>
        <w:rPr>
          <w:rFonts w:ascii="Times New Roman" w:eastAsia="Times New Roman" w:hAnsi="Times New Roman"/>
          <w:sz w:val="24"/>
          <w:szCs w:val="24"/>
        </w:rPr>
        <w:t xml:space="preserve">, DOI: 10.5772/65744. </w:t>
      </w:r>
      <w:hyperlink r:id="rId12" w:history="1">
        <w:r w:rsidR="0069775F">
          <w:rPr>
            <w:rStyle w:val="Hyperlink"/>
            <w:rFonts w:ascii="Times New Roman" w:eastAsia="Times New Roman" w:hAnsi="Times New Roman"/>
            <w:sz w:val="24"/>
            <w:szCs w:val="24"/>
          </w:rPr>
          <w:t>https://www.intechopen.com</w:t>
        </w:r>
      </w:hyperlink>
    </w:p>
    <w:p w14:paraId="18F848D9"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Giari</w:t>
      </w:r>
      <w:proofErr w:type="spellEnd"/>
      <w:r>
        <w:rPr>
          <w:rFonts w:ascii="Times New Roman" w:eastAsia="SimSun" w:hAnsi="Times New Roman"/>
          <w:sz w:val="24"/>
          <w:szCs w:val="24"/>
          <w:lang w:eastAsia="zh-CN"/>
        </w:rPr>
        <w:t xml:space="preserve">, L., Maneri, M., Simoni, E. and </w:t>
      </w:r>
      <w:proofErr w:type="spellStart"/>
      <w:r>
        <w:rPr>
          <w:rFonts w:ascii="Times New Roman" w:eastAsia="SimSun" w:hAnsi="Times New Roman"/>
          <w:sz w:val="24"/>
          <w:szCs w:val="24"/>
          <w:lang w:eastAsia="zh-CN"/>
        </w:rPr>
        <w:t>Dezfuli</w:t>
      </w:r>
      <w:proofErr w:type="spellEnd"/>
      <w:r>
        <w:rPr>
          <w:rFonts w:ascii="Times New Roman" w:eastAsia="SimSun" w:hAnsi="Times New Roman"/>
          <w:sz w:val="24"/>
          <w:szCs w:val="24"/>
          <w:lang w:eastAsia="zh-CN"/>
        </w:rPr>
        <w:t>, B.S. (2007). Cellular alterations in different organs</w:t>
      </w:r>
      <w:r>
        <w:rPr>
          <w:rFonts w:ascii="Times New Roman" w:eastAsia="SimSun" w:hAnsi="Times New Roman"/>
          <w:sz w:val="24"/>
          <w:szCs w:val="24"/>
          <w:lang w:eastAsia="zh-CN"/>
        </w:rPr>
        <w:t xml:space="preserve"> of European sea bass </w:t>
      </w:r>
      <w:proofErr w:type="spellStart"/>
      <w:r>
        <w:rPr>
          <w:rFonts w:ascii="Times New Roman" w:eastAsia="SimSun" w:hAnsi="Times New Roman"/>
          <w:sz w:val="24"/>
          <w:szCs w:val="24"/>
          <w:lang w:eastAsia="zh-CN"/>
        </w:rPr>
        <w:t>Dicentrarchus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labrax</w:t>
      </w:r>
      <w:proofErr w:type="spellEnd"/>
      <w:r>
        <w:rPr>
          <w:rFonts w:ascii="Times New Roman" w:eastAsia="SimSun" w:hAnsi="Times New Roman"/>
          <w:sz w:val="24"/>
          <w:szCs w:val="24"/>
          <w:lang w:eastAsia="zh-CN"/>
        </w:rPr>
        <w:t xml:space="preserve"> (L.) exposed to cadmium. Chemosphere 67: 1171-1181</w:t>
      </w:r>
    </w:p>
    <w:p w14:paraId="080F797D"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GISD (Global Invasive Species Database), (2019). Species profile: Tilapia </w:t>
      </w:r>
      <w:proofErr w:type="spellStart"/>
      <w:r>
        <w:rPr>
          <w:rFonts w:ascii="Times New Roman" w:eastAsia="SimSun" w:hAnsi="Times New Roman"/>
          <w:sz w:val="24"/>
          <w:szCs w:val="24"/>
          <w:lang w:eastAsia="zh-CN"/>
        </w:rPr>
        <w:t>zillii</w:t>
      </w:r>
      <w:proofErr w:type="spellEnd"/>
      <w:r>
        <w:rPr>
          <w:rFonts w:ascii="Times New Roman" w:eastAsia="SimSun" w:hAnsi="Times New Roman"/>
          <w:sz w:val="24"/>
          <w:szCs w:val="24"/>
          <w:lang w:eastAsia="zh-CN"/>
        </w:rPr>
        <w:t>. Downloaded from http://www.iucngisd.org/gisd/species.php?sc=1364 on 09-12-2019.</w:t>
      </w:r>
    </w:p>
    <w:p w14:paraId="54B45CEB"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Harvey et al., 1999;</w:t>
      </w:r>
    </w:p>
    <w:p w14:paraId="265D792A"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Hinton, D.E. and </w:t>
      </w:r>
      <w:proofErr w:type="spellStart"/>
      <w:r>
        <w:rPr>
          <w:rFonts w:ascii="Times New Roman" w:eastAsia="SimSun" w:hAnsi="Times New Roman"/>
          <w:sz w:val="24"/>
          <w:szCs w:val="24"/>
          <w:lang w:eastAsia="zh-CN"/>
        </w:rPr>
        <w:t>Laurén</w:t>
      </w:r>
      <w:proofErr w:type="spellEnd"/>
      <w:r>
        <w:rPr>
          <w:rFonts w:ascii="Times New Roman" w:eastAsia="SimSun" w:hAnsi="Times New Roman"/>
          <w:sz w:val="24"/>
          <w:szCs w:val="24"/>
          <w:lang w:eastAsia="zh-CN"/>
        </w:rPr>
        <w:t xml:space="preserve">, D.J. (1990). Liver structural alterations accompanying chronic toxicity in fishes: </w:t>
      </w:r>
      <w:proofErr w:type="spellStart"/>
      <w:r>
        <w:rPr>
          <w:rFonts w:ascii="Times New Roman" w:eastAsia="SimSun" w:hAnsi="Times New Roman"/>
          <w:sz w:val="24"/>
          <w:szCs w:val="24"/>
          <w:lang w:eastAsia="zh-CN"/>
        </w:rPr>
        <w:t>potentioal</w:t>
      </w:r>
      <w:proofErr w:type="spellEnd"/>
      <w:r>
        <w:rPr>
          <w:rFonts w:ascii="Times New Roman" w:eastAsia="SimSun" w:hAnsi="Times New Roman"/>
          <w:sz w:val="24"/>
          <w:szCs w:val="24"/>
          <w:lang w:eastAsia="zh-CN"/>
        </w:rPr>
        <w:t xml:space="preserve"> biomarkers of exposure. In: McCarthy, J.F. &amp; L.R. Shugart (Eds.). </w:t>
      </w:r>
      <w:r>
        <w:rPr>
          <w:rFonts w:ascii="Times New Roman" w:eastAsia="SimSun" w:hAnsi="Times New Roman"/>
          <w:i/>
          <w:sz w:val="24"/>
          <w:szCs w:val="24"/>
          <w:lang w:eastAsia="zh-CN"/>
        </w:rPr>
        <w:t>Biomarkers of Environmental Contamination.</w:t>
      </w:r>
      <w:r>
        <w:rPr>
          <w:rFonts w:ascii="Times New Roman" w:eastAsia="SimSun" w:hAnsi="Times New Roman"/>
          <w:sz w:val="24"/>
          <w:szCs w:val="24"/>
          <w:lang w:eastAsia="zh-CN"/>
        </w:rPr>
        <w:t xml:space="preserve"> 12: 51 </w:t>
      </w:r>
      <w:r>
        <w:rPr>
          <w:rFonts w:ascii="Times New Roman" w:eastAsia="SimSun" w:hAnsi="Times New Roman"/>
          <w:sz w:val="24"/>
          <w:szCs w:val="24"/>
          <w:lang w:eastAsia="zh-CN"/>
        </w:rPr>
        <w:t xml:space="preserve">– 65. </w:t>
      </w:r>
    </w:p>
    <w:p w14:paraId="6AFE1945"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ISO, 1994;</w:t>
      </w:r>
    </w:p>
    <w:p w14:paraId="311C642D" w14:textId="77777777" w:rsidR="0069775F" w:rsidRDefault="004D7A71">
      <w:pPr>
        <w:spacing w:line="240" w:lineRule="auto"/>
        <w:ind w:left="720" w:hanging="720"/>
        <w:jc w:val="both"/>
        <w:rPr>
          <w:rFonts w:eastAsia="SimSun"/>
          <w:lang w:eastAsia="zh-CN"/>
        </w:rPr>
      </w:pPr>
      <w:proofErr w:type="spellStart"/>
      <w:r>
        <w:rPr>
          <w:rFonts w:ascii="Times New Roman" w:eastAsia="SimSun" w:hAnsi="Times New Roman"/>
          <w:sz w:val="24"/>
          <w:szCs w:val="24"/>
          <w:lang w:eastAsia="zh-CN"/>
        </w:rPr>
        <w:t>Jarup</w:t>
      </w:r>
      <w:proofErr w:type="spellEnd"/>
      <w:r>
        <w:rPr>
          <w:rFonts w:ascii="Times New Roman" w:eastAsia="SimSun" w:hAnsi="Times New Roman"/>
          <w:sz w:val="24"/>
          <w:szCs w:val="24"/>
          <w:lang w:eastAsia="zh-CN"/>
        </w:rPr>
        <w:t>, L. (2003). Hazards of heavy metal contamination. British Medical Bulletin, 68:167-183.</w:t>
      </w:r>
      <w:r>
        <w:rPr>
          <w:rFonts w:eastAsia="SimSun"/>
          <w:lang w:eastAsia="zh-CN"/>
        </w:rPr>
        <w:t xml:space="preserve"> </w:t>
      </w:r>
    </w:p>
    <w:p w14:paraId="293BF2C8" w14:textId="77777777" w:rsidR="0069775F" w:rsidRDefault="004D7A71">
      <w:pPr>
        <w:spacing w:line="240" w:lineRule="auto"/>
        <w:ind w:left="720" w:hanging="720"/>
        <w:jc w:val="both"/>
        <w:rPr>
          <w:rFonts w:eastAsia="SimSun"/>
          <w:lang w:eastAsia="zh-CN"/>
        </w:rPr>
      </w:pPr>
      <w:r>
        <w:rPr>
          <w:rFonts w:eastAsia="SimSun"/>
          <w:lang w:eastAsia="zh-CN"/>
        </w:rPr>
        <w:t>Joly-</w:t>
      </w:r>
      <w:proofErr w:type="spellStart"/>
      <w:r>
        <w:rPr>
          <w:rFonts w:eastAsia="SimSun"/>
          <w:lang w:eastAsia="zh-CN"/>
        </w:rPr>
        <w:t>Turquin</w:t>
      </w:r>
      <w:proofErr w:type="spellEnd"/>
      <w:r>
        <w:rPr>
          <w:rFonts w:eastAsia="SimSun"/>
          <w:lang w:eastAsia="zh-CN"/>
        </w:rPr>
        <w:t xml:space="preserve"> et al., 2009</w:t>
      </w:r>
    </w:p>
    <w:p w14:paraId="7BDDB3BA"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Lauren, D.J. and McDonald, D.G. (1985). The effect of copper on branchial ion regulation in the </w:t>
      </w:r>
      <w:proofErr w:type="spellStart"/>
      <w:r>
        <w:rPr>
          <w:rFonts w:ascii="Times New Roman" w:eastAsia="SimSun" w:hAnsi="Times New Roman"/>
          <w:sz w:val="24"/>
          <w:szCs w:val="24"/>
          <w:lang w:eastAsia="zh-CN"/>
        </w:rPr>
        <w:t>raibow</w:t>
      </w:r>
      <w:proofErr w:type="spellEnd"/>
      <w:r>
        <w:rPr>
          <w:rFonts w:ascii="Times New Roman" w:eastAsia="SimSun" w:hAnsi="Times New Roman"/>
          <w:sz w:val="24"/>
          <w:szCs w:val="24"/>
          <w:lang w:eastAsia="zh-CN"/>
        </w:rPr>
        <w:t xml:space="preserve"> trout, Salmo </w:t>
      </w:r>
      <w:proofErr w:type="spellStart"/>
      <w:r>
        <w:rPr>
          <w:rFonts w:ascii="Times New Roman" w:eastAsia="SimSun" w:hAnsi="Times New Roman"/>
          <w:sz w:val="24"/>
          <w:szCs w:val="24"/>
          <w:lang w:eastAsia="zh-CN"/>
        </w:rPr>
        <w:t>gairdneri</w:t>
      </w:r>
      <w:proofErr w:type="spellEnd"/>
      <w:r>
        <w:rPr>
          <w:rFonts w:ascii="Times New Roman" w:eastAsia="SimSun" w:hAnsi="Times New Roman"/>
          <w:sz w:val="24"/>
          <w:szCs w:val="24"/>
          <w:lang w:eastAsia="zh-CN"/>
        </w:rPr>
        <w:t xml:space="preserve"> Richardson-modulation by water hardness and </w:t>
      </w:r>
      <w:proofErr w:type="spellStart"/>
      <w:r>
        <w:rPr>
          <w:rFonts w:ascii="Times New Roman" w:eastAsia="SimSun" w:hAnsi="Times New Roman"/>
          <w:sz w:val="24"/>
          <w:szCs w:val="24"/>
          <w:lang w:eastAsia="zh-CN"/>
        </w:rPr>
        <w:t>pH.</w:t>
      </w:r>
      <w:proofErr w:type="spellEnd"/>
      <w:r>
        <w:rPr>
          <w:rFonts w:ascii="Times New Roman" w:eastAsia="SimSun" w:hAnsi="Times New Roman"/>
          <w:sz w:val="24"/>
          <w:szCs w:val="24"/>
          <w:lang w:eastAsia="zh-CN"/>
        </w:rPr>
        <w:t xml:space="preserve"> J. Comp. Physiol., 155:635-644.</w:t>
      </w:r>
    </w:p>
    <w:p w14:paraId="0344D4F2" w14:textId="77777777" w:rsidR="0069775F" w:rsidRDefault="004D7A71">
      <w:pPr>
        <w:spacing w:line="240" w:lineRule="auto"/>
        <w:ind w:left="720" w:hanging="720"/>
        <w:jc w:val="both"/>
        <w:rPr>
          <w:rFonts w:eastAsia="SimSun"/>
          <w:lang w:eastAsia="zh-CN"/>
        </w:rPr>
      </w:pPr>
      <w:r>
        <w:rPr>
          <w:rFonts w:ascii="Times New Roman" w:eastAsia="SimSun" w:hAnsi="Times New Roman"/>
          <w:sz w:val="24"/>
          <w:szCs w:val="24"/>
          <w:lang w:eastAsia="zh-CN"/>
        </w:rPr>
        <w:t>Nero, V., Farwell, A., Lister, A., Van Der Kraak, G., Lee, I.E.J., Van Meer, T., MacKinnon, M.D. and Dixon, D.G. (2006). Gill and liver histopathological changes in y</w:t>
      </w:r>
      <w:r>
        <w:rPr>
          <w:rFonts w:ascii="Times New Roman" w:eastAsia="SimSun" w:hAnsi="Times New Roman"/>
          <w:sz w:val="24"/>
          <w:szCs w:val="24"/>
          <w:lang w:eastAsia="zh-CN"/>
        </w:rPr>
        <w:t xml:space="preserve">ellow perch (Perca flavescens) and goldfish (Carassius auratus) exposed to oil sands process-affected water. </w:t>
      </w:r>
      <w:proofErr w:type="spellStart"/>
      <w:r>
        <w:rPr>
          <w:rFonts w:ascii="Times New Roman" w:eastAsia="SimSun" w:hAnsi="Times New Roman"/>
          <w:sz w:val="24"/>
          <w:szCs w:val="24"/>
          <w:lang w:eastAsia="zh-CN"/>
        </w:rPr>
        <w:t>Ecotoxicol</w:t>
      </w:r>
      <w:proofErr w:type="spellEnd"/>
      <w:r>
        <w:rPr>
          <w:rFonts w:ascii="Times New Roman" w:eastAsia="SimSun" w:hAnsi="Times New Roman"/>
          <w:sz w:val="24"/>
          <w:szCs w:val="24"/>
          <w:lang w:eastAsia="zh-CN"/>
        </w:rPr>
        <w:t>. Environ. Safe., 63: 365-377.</w:t>
      </w:r>
      <w:r>
        <w:rPr>
          <w:rFonts w:eastAsia="SimSun"/>
          <w:lang w:eastAsia="zh-CN"/>
        </w:rPr>
        <w:t xml:space="preserve"> </w:t>
      </w:r>
    </w:p>
    <w:p w14:paraId="02A9EA76"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Mallat, 1985;</w:t>
      </w:r>
    </w:p>
    <w:p w14:paraId="4B945A3B"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lastRenderedPageBreak/>
        <w:t>Marigo´mez</w:t>
      </w:r>
      <w:proofErr w:type="spellEnd"/>
      <w:r>
        <w:rPr>
          <w:rFonts w:ascii="Times New Roman" w:eastAsia="SimSun" w:hAnsi="Times New Roman"/>
          <w:sz w:val="24"/>
          <w:szCs w:val="24"/>
          <w:lang w:eastAsia="zh-CN"/>
        </w:rPr>
        <w:t xml:space="preserve"> et al., 2006; </w:t>
      </w:r>
    </w:p>
    <w:p w14:paraId="15565E1A"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Martı´nez-Go´mez</w:t>
      </w:r>
      <w:proofErr w:type="spellEnd"/>
      <w:r>
        <w:rPr>
          <w:rFonts w:ascii="Times New Roman" w:eastAsia="SimSun" w:hAnsi="Times New Roman"/>
          <w:sz w:val="24"/>
          <w:szCs w:val="24"/>
          <w:lang w:eastAsia="zh-CN"/>
        </w:rPr>
        <w:t xml:space="preserve"> et al., 2006;</w:t>
      </w:r>
    </w:p>
    <w:p w14:paraId="2D64C105" w14:textId="77777777" w:rsidR="0069775F" w:rsidRDefault="004D7A71">
      <w:pPr>
        <w:spacing w:line="240" w:lineRule="auto"/>
        <w:ind w:left="720" w:hanging="720"/>
        <w:jc w:val="both"/>
        <w:rPr>
          <w:rFonts w:eastAsia="SimSun"/>
          <w:lang w:eastAsia="zh-CN"/>
        </w:rPr>
      </w:pPr>
      <w:r>
        <w:rPr>
          <w:rFonts w:ascii="Times New Roman" w:eastAsia="SimSun" w:hAnsi="Times New Roman"/>
          <w:sz w:val="24"/>
          <w:szCs w:val="24"/>
          <w:lang w:eastAsia="zh-CN"/>
        </w:rPr>
        <w:t xml:space="preserve">McDonald, D.G. (1983). The effect </w:t>
      </w:r>
      <w:r>
        <w:rPr>
          <w:rFonts w:ascii="Times New Roman" w:eastAsia="SimSun" w:hAnsi="Times New Roman"/>
          <w:sz w:val="24"/>
          <w:szCs w:val="24"/>
          <w:lang w:eastAsia="zh-CN"/>
        </w:rPr>
        <w:t>of H+ upon the gill of freshwater fish. Can. J. Zool., 61: 691-703.</w:t>
      </w:r>
      <w:r>
        <w:rPr>
          <w:rFonts w:eastAsia="SimSun"/>
          <w:lang w:eastAsia="zh-CN"/>
        </w:rPr>
        <w:t xml:space="preserve"> </w:t>
      </w:r>
    </w:p>
    <w:p w14:paraId="0D4DB1CA"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Meyers, R. and Hendricks, J.D. (1985). Histopathology. In: Fundamentals of aquatic toxicology. Edited by Rand, G.M. and Petrocelli, S.R. Washington, DC: Hemisphere Publishing Corp.</w:t>
      </w:r>
    </w:p>
    <w:p w14:paraId="78AA451B"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(2019). Environment Directorate Joint Meeting of the Chemicals Committee </w:t>
      </w:r>
      <w:proofErr w:type="gramStart"/>
      <w:r>
        <w:rPr>
          <w:rFonts w:ascii="Times New Roman" w:eastAsia="Times New Roman" w:hAnsi="Times New Roman"/>
          <w:sz w:val="24"/>
          <w:szCs w:val="24"/>
        </w:rPr>
        <w:t>And</w:t>
      </w:r>
      <w:proofErr w:type="gramEnd"/>
      <w:r>
        <w:rPr>
          <w:rFonts w:ascii="Times New Roman" w:eastAsia="Times New Roman" w:hAnsi="Times New Roman"/>
          <w:sz w:val="24"/>
          <w:szCs w:val="24"/>
        </w:rPr>
        <w:t xml:space="preserve"> The Working Party On Chemicals, Pesticides And Biotechnology. Environmental Journal of Medicine. 6: 1.</w:t>
      </w:r>
    </w:p>
    <w:p w14:paraId="372A1BE3"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 xml:space="preserve">for Economic Co-operation and Development 210), (2013). OECD Guidelines for the Testing of Chemicals:  Test (No. 210), Fish, Early-life Stage Toxicity.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Paris, France.</w:t>
      </w:r>
    </w:p>
    <w:p w14:paraId="657CAFB3"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Olojo</w:t>
      </w:r>
      <w:proofErr w:type="spellEnd"/>
      <w:r>
        <w:rPr>
          <w:rFonts w:ascii="Times New Roman" w:eastAsia="SimSun" w:hAnsi="Times New Roman"/>
          <w:sz w:val="24"/>
          <w:szCs w:val="24"/>
          <w:lang w:eastAsia="zh-CN"/>
        </w:rPr>
        <w:t xml:space="preserve"> EAA, </w:t>
      </w:r>
      <w:proofErr w:type="spellStart"/>
      <w:r>
        <w:rPr>
          <w:rFonts w:ascii="Times New Roman" w:eastAsia="SimSun" w:hAnsi="Times New Roman"/>
          <w:sz w:val="24"/>
          <w:szCs w:val="24"/>
          <w:lang w:eastAsia="zh-CN"/>
        </w:rPr>
        <w:t>Olurin</w:t>
      </w:r>
      <w:proofErr w:type="spellEnd"/>
      <w:r>
        <w:rPr>
          <w:rFonts w:ascii="Times New Roman" w:eastAsia="SimSun" w:hAnsi="Times New Roman"/>
          <w:sz w:val="24"/>
          <w:szCs w:val="24"/>
          <w:lang w:eastAsia="zh-CN"/>
        </w:rPr>
        <w:t xml:space="preserve"> KB, </w:t>
      </w:r>
      <w:proofErr w:type="spellStart"/>
      <w:r>
        <w:rPr>
          <w:rFonts w:ascii="Times New Roman" w:eastAsia="SimSun" w:hAnsi="Times New Roman"/>
          <w:sz w:val="24"/>
          <w:szCs w:val="24"/>
          <w:lang w:eastAsia="zh-CN"/>
        </w:rPr>
        <w:t>Mbaka</w:t>
      </w:r>
      <w:proofErr w:type="spellEnd"/>
      <w:r>
        <w:rPr>
          <w:rFonts w:ascii="Times New Roman" w:eastAsia="SimSun" w:hAnsi="Times New Roman"/>
          <w:sz w:val="24"/>
          <w:szCs w:val="24"/>
          <w:lang w:eastAsia="zh-CN"/>
        </w:rPr>
        <w:t xml:space="preserve"> G and</w:t>
      </w:r>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Oluwemimo</w:t>
      </w:r>
      <w:proofErr w:type="spellEnd"/>
      <w:r>
        <w:rPr>
          <w:rFonts w:ascii="Times New Roman" w:eastAsia="SimSun" w:hAnsi="Times New Roman"/>
          <w:sz w:val="24"/>
          <w:szCs w:val="24"/>
          <w:lang w:eastAsia="zh-CN"/>
        </w:rPr>
        <w:t xml:space="preserve"> AD (2005). Histopathology of the gill and liver tissues of the African catfish </w:t>
      </w:r>
      <w:proofErr w:type="spellStart"/>
      <w:r>
        <w:rPr>
          <w:rFonts w:ascii="Times New Roman" w:eastAsia="SimSun" w:hAnsi="Times New Roman"/>
          <w:sz w:val="24"/>
          <w:szCs w:val="24"/>
          <w:lang w:eastAsia="zh-CN"/>
        </w:rPr>
        <w:t>Clarias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gariepinus</w:t>
      </w:r>
      <w:proofErr w:type="spellEnd"/>
      <w:r>
        <w:rPr>
          <w:rFonts w:ascii="Times New Roman" w:eastAsia="SimSun" w:hAnsi="Times New Roman"/>
          <w:sz w:val="24"/>
          <w:szCs w:val="24"/>
          <w:lang w:eastAsia="zh-CN"/>
        </w:rPr>
        <w:t xml:space="preserve"> exposed to lead. Afr. J. Biotech., 4(1):117-122.</w:t>
      </w:r>
    </w:p>
    <w:p w14:paraId="7B6D56DE"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Skidmore, J.F. and </w:t>
      </w:r>
      <w:proofErr w:type="spellStart"/>
      <w:r>
        <w:rPr>
          <w:rFonts w:ascii="Times New Roman" w:eastAsia="SimSun" w:hAnsi="Times New Roman"/>
          <w:sz w:val="24"/>
          <w:szCs w:val="24"/>
          <w:lang w:eastAsia="zh-CN"/>
        </w:rPr>
        <w:t>Tovell</w:t>
      </w:r>
      <w:proofErr w:type="spellEnd"/>
      <w:r>
        <w:rPr>
          <w:rFonts w:ascii="Times New Roman" w:eastAsia="SimSun" w:hAnsi="Times New Roman"/>
          <w:sz w:val="24"/>
          <w:szCs w:val="24"/>
          <w:lang w:eastAsia="zh-CN"/>
        </w:rPr>
        <w:t>, P.W.A. (1972). Toxic effects of zinc sulphate on the gills of rainbow t</w:t>
      </w:r>
      <w:r>
        <w:rPr>
          <w:rFonts w:ascii="Times New Roman" w:eastAsia="SimSun" w:hAnsi="Times New Roman"/>
          <w:sz w:val="24"/>
          <w:szCs w:val="24"/>
          <w:lang w:eastAsia="zh-CN"/>
        </w:rPr>
        <w:t xml:space="preserve">rout. Water Res., 6: 217-230. </w:t>
      </w:r>
    </w:p>
    <w:p w14:paraId="2CAA719E"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Swee et at., 1996).</w:t>
      </w:r>
    </w:p>
    <w:p w14:paraId="21D594B0"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210), (2013). OECD Guidelines for the Testing of Chemicals:  Test (No. 210), Fish, Early-life Stage Toxicity.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w:t>
      </w:r>
      <w:r>
        <w:rPr>
          <w:rFonts w:ascii="Times New Roman" w:eastAsia="Times New Roman" w:hAnsi="Times New Roman"/>
          <w:sz w:val="24"/>
          <w:szCs w:val="24"/>
        </w:rPr>
        <w:t>tion and Development, Paris, France.</w:t>
      </w:r>
    </w:p>
    <w:p w14:paraId="19B5F90F" w14:textId="77777777" w:rsidR="0069775F" w:rsidRDefault="004D7A71">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2000), (2019). Environment Directorate Joint Meeting of the Chemicals Committee </w:t>
      </w:r>
      <w:proofErr w:type="gramStart"/>
      <w:r>
        <w:rPr>
          <w:rFonts w:ascii="Times New Roman" w:eastAsia="Times New Roman" w:hAnsi="Times New Roman"/>
          <w:sz w:val="24"/>
          <w:szCs w:val="24"/>
        </w:rPr>
        <w:t>And</w:t>
      </w:r>
      <w:proofErr w:type="gramEnd"/>
      <w:r>
        <w:rPr>
          <w:rFonts w:ascii="Times New Roman" w:eastAsia="Times New Roman" w:hAnsi="Times New Roman"/>
          <w:sz w:val="24"/>
          <w:szCs w:val="24"/>
        </w:rPr>
        <w:t xml:space="preserve"> The Working Party On Chemicals, Pesticides And Biotechnology. ENV/JM/</w:t>
      </w:r>
      <w:proofErr w:type="gramStart"/>
      <w:r>
        <w:rPr>
          <w:rFonts w:ascii="Times New Roman" w:eastAsia="Times New Roman" w:hAnsi="Times New Roman"/>
          <w:sz w:val="24"/>
          <w:szCs w:val="24"/>
        </w:rPr>
        <w:t>MONO(</w:t>
      </w:r>
      <w:proofErr w:type="gramEnd"/>
      <w:r>
        <w:rPr>
          <w:rFonts w:ascii="Times New Roman" w:eastAsia="Times New Roman" w:hAnsi="Times New Roman"/>
          <w:sz w:val="24"/>
          <w:szCs w:val="24"/>
        </w:rPr>
        <w:t>2000)6/REV1</w:t>
      </w:r>
    </w:p>
    <w:p w14:paraId="7520751C"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Pawert</w:t>
      </w:r>
      <w:proofErr w:type="spellEnd"/>
      <w:r>
        <w:rPr>
          <w:rFonts w:ascii="Times New Roman" w:eastAsia="SimSun" w:hAnsi="Times New Roman"/>
          <w:sz w:val="24"/>
          <w:szCs w:val="24"/>
          <w:lang w:eastAsia="zh-CN"/>
        </w:rPr>
        <w:t xml:space="preserve">, M., Muller, R. and </w:t>
      </w:r>
      <w:proofErr w:type="spellStart"/>
      <w:r>
        <w:rPr>
          <w:rFonts w:ascii="Times New Roman" w:eastAsia="SimSun" w:hAnsi="Times New Roman"/>
          <w:sz w:val="24"/>
          <w:szCs w:val="24"/>
          <w:lang w:eastAsia="zh-CN"/>
        </w:rPr>
        <w:t>Triebskorn</w:t>
      </w:r>
      <w:proofErr w:type="spellEnd"/>
      <w:r>
        <w:rPr>
          <w:rFonts w:ascii="Times New Roman" w:eastAsia="SimSun" w:hAnsi="Times New Roman"/>
          <w:sz w:val="24"/>
          <w:szCs w:val="24"/>
          <w:lang w:eastAsia="zh-CN"/>
        </w:rPr>
        <w:t xml:space="preserve">, R. (1998). Ultrastructural changes in fish gills as biomarker to assess small stream pollution. Tissue and Cell, 20:617-626. </w:t>
      </w:r>
    </w:p>
    <w:p w14:paraId="7939AA01"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Pietrapiana</w:t>
      </w:r>
      <w:proofErr w:type="spellEnd"/>
      <w:r>
        <w:rPr>
          <w:rFonts w:ascii="Times New Roman" w:eastAsia="SimSun" w:hAnsi="Times New Roman"/>
          <w:sz w:val="24"/>
          <w:szCs w:val="24"/>
          <w:lang w:eastAsia="zh-CN"/>
        </w:rPr>
        <w:t xml:space="preserve"> et al., 2002;</w:t>
      </w:r>
    </w:p>
    <w:p w14:paraId="343BEBDD"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Rand GM, Petrocelli SR (Eds), (1985). Fundamentals of</w:t>
      </w:r>
      <w:r>
        <w:rPr>
          <w:rFonts w:ascii="Times New Roman" w:eastAsia="SimSun" w:hAnsi="Times New Roman"/>
          <w:sz w:val="24"/>
          <w:szCs w:val="24"/>
          <w:lang w:eastAsia="zh-CN"/>
        </w:rPr>
        <w:t xml:space="preserve"> Aquatic Toxicology. Methods and Applications. Hemisphere, New York. pp. 374-415.</w:t>
      </w:r>
    </w:p>
    <w:p w14:paraId="79D44EBB"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Roberts, R.J. (2001). Fish pathology. W.B. Saunders: Harcourt Publishers Ltd.</w:t>
      </w:r>
    </w:p>
    <w:p w14:paraId="60DD46C8"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Roberts, R.J. (1989). Fish pathology. 2nd </w:t>
      </w:r>
      <w:proofErr w:type="spellStart"/>
      <w:r>
        <w:rPr>
          <w:rFonts w:ascii="Times New Roman" w:eastAsia="SimSun" w:hAnsi="Times New Roman"/>
          <w:sz w:val="24"/>
          <w:szCs w:val="24"/>
          <w:lang w:eastAsia="zh-CN"/>
        </w:rPr>
        <w:t>edn</w:t>
      </w:r>
      <w:proofErr w:type="spellEnd"/>
      <w:r>
        <w:rPr>
          <w:rFonts w:ascii="Times New Roman" w:eastAsia="SimSun" w:hAnsi="Times New Roman"/>
          <w:sz w:val="24"/>
          <w:szCs w:val="24"/>
          <w:lang w:eastAsia="zh-CN"/>
        </w:rPr>
        <w:t>. London: Bailliere Tindal.</w:t>
      </w:r>
    </w:p>
    <w:p w14:paraId="23F14165"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Rombough</w:t>
      </w:r>
      <w:proofErr w:type="spellEnd"/>
      <w:r>
        <w:rPr>
          <w:rFonts w:ascii="Times New Roman" w:eastAsia="SimSun" w:hAnsi="Times New Roman"/>
          <w:sz w:val="24"/>
          <w:szCs w:val="24"/>
          <w:lang w:eastAsia="zh-CN"/>
        </w:rPr>
        <w:t>, P.T. and Gars</w:t>
      </w:r>
      <w:r>
        <w:rPr>
          <w:rFonts w:ascii="Times New Roman" w:eastAsia="SimSun" w:hAnsi="Times New Roman"/>
          <w:sz w:val="24"/>
          <w:szCs w:val="24"/>
          <w:lang w:eastAsia="zh-CN"/>
        </w:rPr>
        <w:t>ide, E.T. (1977</w:t>
      </w:r>
      <w:proofErr w:type="gramStart"/>
      <w:r>
        <w:rPr>
          <w:rFonts w:ascii="Times New Roman" w:eastAsia="SimSun" w:hAnsi="Times New Roman"/>
          <w:sz w:val="24"/>
          <w:szCs w:val="24"/>
          <w:lang w:eastAsia="zh-CN"/>
        </w:rPr>
        <w:t>).</w:t>
      </w:r>
      <w:proofErr w:type="spellStart"/>
      <w:r>
        <w:rPr>
          <w:rFonts w:ascii="Times New Roman" w:eastAsia="SimSun" w:hAnsi="Times New Roman"/>
          <w:sz w:val="24"/>
          <w:szCs w:val="24"/>
          <w:lang w:eastAsia="zh-CN"/>
        </w:rPr>
        <w:t>hypoxial</w:t>
      </w:r>
      <w:proofErr w:type="spellEnd"/>
      <w:proofErr w:type="gramEnd"/>
      <w:r>
        <w:rPr>
          <w:rFonts w:ascii="Times New Roman" w:eastAsia="SimSun" w:hAnsi="Times New Roman"/>
          <w:sz w:val="24"/>
          <w:szCs w:val="24"/>
          <w:lang w:eastAsia="zh-CN"/>
        </w:rPr>
        <w:t xml:space="preserve"> death inferred from thermally induced injuries at upper lethal temperatures, in banded killifish, </w:t>
      </w:r>
      <w:proofErr w:type="spellStart"/>
      <w:r>
        <w:rPr>
          <w:rFonts w:ascii="Times New Roman" w:eastAsia="SimSun" w:hAnsi="Times New Roman"/>
          <w:sz w:val="24"/>
          <w:szCs w:val="24"/>
          <w:lang w:eastAsia="zh-CN"/>
        </w:rPr>
        <w:t>Fundulus</w:t>
      </w:r>
      <w:proofErr w:type="spellEnd"/>
      <w:r>
        <w:rPr>
          <w:rFonts w:ascii="Times New Roman" w:eastAsia="SimSun" w:hAnsi="Times New Roman"/>
          <w:sz w:val="24"/>
          <w:szCs w:val="24"/>
          <w:lang w:eastAsia="zh-CN"/>
        </w:rPr>
        <w:t xml:space="preserve"> diaphanous (Le Sueur). Can. J. Zool., 55:1705-1719. </w:t>
      </w:r>
    </w:p>
    <w:p w14:paraId="79669841"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lastRenderedPageBreak/>
        <w:t>Thophon</w:t>
      </w:r>
      <w:proofErr w:type="spellEnd"/>
      <w:r>
        <w:rPr>
          <w:rFonts w:ascii="Times New Roman" w:eastAsia="SimSun" w:hAnsi="Times New Roman"/>
          <w:sz w:val="24"/>
          <w:szCs w:val="24"/>
          <w:lang w:eastAsia="zh-CN"/>
        </w:rPr>
        <w:t xml:space="preserve"> S, </w:t>
      </w:r>
      <w:proofErr w:type="spellStart"/>
      <w:r>
        <w:rPr>
          <w:rFonts w:ascii="Times New Roman" w:eastAsia="SimSun" w:hAnsi="Times New Roman"/>
          <w:sz w:val="24"/>
          <w:szCs w:val="24"/>
          <w:lang w:eastAsia="zh-CN"/>
        </w:rPr>
        <w:t>Pokethitiyook</w:t>
      </w:r>
      <w:proofErr w:type="spellEnd"/>
      <w:r>
        <w:rPr>
          <w:rFonts w:ascii="Times New Roman" w:eastAsia="SimSun" w:hAnsi="Times New Roman"/>
          <w:sz w:val="24"/>
          <w:szCs w:val="24"/>
          <w:lang w:eastAsia="zh-CN"/>
        </w:rPr>
        <w:t xml:space="preserve"> P, </w:t>
      </w:r>
      <w:proofErr w:type="spellStart"/>
      <w:r>
        <w:rPr>
          <w:rFonts w:ascii="Times New Roman" w:eastAsia="SimSun" w:hAnsi="Times New Roman"/>
          <w:sz w:val="24"/>
          <w:szCs w:val="24"/>
          <w:lang w:eastAsia="zh-CN"/>
        </w:rPr>
        <w:t>Chalermwat</w:t>
      </w:r>
      <w:proofErr w:type="spellEnd"/>
      <w:r>
        <w:rPr>
          <w:rFonts w:ascii="Times New Roman" w:eastAsia="SimSun" w:hAnsi="Times New Roman"/>
          <w:sz w:val="24"/>
          <w:szCs w:val="24"/>
          <w:lang w:eastAsia="zh-CN"/>
        </w:rPr>
        <w:t xml:space="preserve"> K, </w:t>
      </w:r>
      <w:proofErr w:type="spellStart"/>
      <w:r>
        <w:rPr>
          <w:rFonts w:ascii="Times New Roman" w:eastAsia="SimSun" w:hAnsi="Times New Roman"/>
          <w:sz w:val="24"/>
          <w:szCs w:val="24"/>
          <w:lang w:eastAsia="zh-CN"/>
        </w:rPr>
        <w:t>Upatham</w:t>
      </w:r>
      <w:proofErr w:type="spellEnd"/>
      <w:r>
        <w:rPr>
          <w:rFonts w:ascii="Times New Roman" w:eastAsia="SimSun" w:hAnsi="Times New Roman"/>
          <w:sz w:val="24"/>
          <w:szCs w:val="24"/>
          <w:lang w:eastAsia="zh-CN"/>
        </w:rPr>
        <w:t xml:space="preserve"> ES, </w:t>
      </w:r>
      <w:proofErr w:type="spellStart"/>
      <w:r>
        <w:rPr>
          <w:rFonts w:ascii="Times New Roman" w:eastAsia="SimSun" w:hAnsi="Times New Roman"/>
          <w:sz w:val="24"/>
          <w:szCs w:val="24"/>
          <w:lang w:eastAsia="zh-CN"/>
        </w:rPr>
        <w:t>Sahaphong</w:t>
      </w:r>
      <w:proofErr w:type="spellEnd"/>
      <w:r>
        <w:rPr>
          <w:rFonts w:ascii="Times New Roman" w:eastAsia="SimSun" w:hAnsi="Times New Roman"/>
          <w:sz w:val="24"/>
          <w:szCs w:val="24"/>
          <w:lang w:eastAsia="zh-CN"/>
        </w:rPr>
        <w:t xml:space="preserve"> S (200</w:t>
      </w:r>
      <w:r>
        <w:rPr>
          <w:rFonts w:ascii="Times New Roman" w:eastAsia="SimSun" w:hAnsi="Times New Roman"/>
          <w:sz w:val="24"/>
          <w:szCs w:val="24"/>
          <w:lang w:eastAsia="zh-CN"/>
        </w:rPr>
        <w:t xml:space="preserve">4) Ultrastructural alterations in the liver and kidney of white sea bass, Lates calcarifer, in acute and </w:t>
      </w:r>
      <w:proofErr w:type="spellStart"/>
      <w:r>
        <w:rPr>
          <w:rFonts w:ascii="Times New Roman" w:eastAsia="SimSun" w:hAnsi="Times New Roman"/>
          <w:sz w:val="24"/>
          <w:szCs w:val="24"/>
          <w:lang w:eastAsia="zh-CN"/>
        </w:rPr>
        <w:t>subchronic</w:t>
      </w:r>
      <w:proofErr w:type="spellEnd"/>
      <w:r>
        <w:rPr>
          <w:rFonts w:ascii="Times New Roman" w:eastAsia="SimSun" w:hAnsi="Times New Roman"/>
          <w:sz w:val="24"/>
          <w:szCs w:val="24"/>
          <w:lang w:eastAsia="zh-CN"/>
        </w:rPr>
        <w:t xml:space="preserve"> cadmium exposure. Environ </w:t>
      </w:r>
      <w:proofErr w:type="spellStart"/>
      <w:r>
        <w:rPr>
          <w:rFonts w:ascii="Times New Roman" w:eastAsia="SimSun" w:hAnsi="Times New Roman"/>
          <w:sz w:val="24"/>
          <w:szCs w:val="24"/>
          <w:lang w:eastAsia="zh-CN"/>
        </w:rPr>
        <w:t>Toxicol</w:t>
      </w:r>
      <w:proofErr w:type="spellEnd"/>
      <w:r>
        <w:rPr>
          <w:rFonts w:ascii="Times New Roman" w:eastAsia="SimSun" w:hAnsi="Times New Roman"/>
          <w:sz w:val="24"/>
          <w:szCs w:val="24"/>
          <w:lang w:eastAsia="zh-CN"/>
        </w:rPr>
        <w:t xml:space="preserve"> 19: 11-19. </w:t>
      </w:r>
    </w:p>
    <w:p w14:paraId="6FEBEA46"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USEPA (United State Environmental Protection Agency), (2005) Methods/Indicators for </w:t>
      </w:r>
      <w:r>
        <w:rPr>
          <w:rFonts w:ascii="Times New Roman" w:eastAsia="SimSun" w:hAnsi="Times New Roman"/>
          <w:sz w:val="24"/>
          <w:szCs w:val="24"/>
          <w:lang w:eastAsia="zh-CN"/>
        </w:rPr>
        <w:t>Determining when Metals are the Cause of Biological Impairments of Rivers and Streams: Species Sensitivity Distributions and Chronic Exposure-Response Relationships from Laboratory Data. U.S. Environmental Protection Agency, Office of Research and Developm</w:t>
      </w:r>
      <w:r>
        <w:rPr>
          <w:rFonts w:ascii="Times New Roman" w:eastAsia="SimSun" w:hAnsi="Times New Roman"/>
          <w:sz w:val="24"/>
          <w:szCs w:val="24"/>
          <w:lang w:eastAsia="zh-CN"/>
        </w:rPr>
        <w:t>ent, Washington DC. EPA/600/X-05/027.</w:t>
      </w:r>
    </w:p>
    <w:p w14:paraId="48877897"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USEPA (United State Environmental Protection Agency), (2002). Short-term Methods for Estimating the Chronic Toxicity of Effluents and Receiving Waters to Marine and Estuarine Organisms. Third Edition. EPA-821-R-02-014 </w:t>
      </w:r>
    </w:p>
    <w:p w14:paraId="102A07C2"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USEPA (US Environmental Protection Agency), (1994). Using Toxicity Tests in Ecological Risk Assessment. ECO Update: Intermittent Bulletin Volume 2 Number 1. Office of Emergency Remedial </w:t>
      </w:r>
      <w:proofErr w:type="spellStart"/>
      <w:r>
        <w:rPr>
          <w:rFonts w:ascii="Times New Roman" w:eastAsia="SimSun" w:hAnsi="Times New Roman"/>
          <w:sz w:val="24"/>
          <w:szCs w:val="24"/>
          <w:lang w:eastAsia="zh-CN"/>
        </w:rPr>
        <w:t>ResponseHazardous</w:t>
      </w:r>
      <w:proofErr w:type="spellEnd"/>
      <w:r>
        <w:rPr>
          <w:rFonts w:ascii="Times New Roman" w:eastAsia="SimSun" w:hAnsi="Times New Roman"/>
          <w:sz w:val="24"/>
          <w:szCs w:val="24"/>
          <w:lang w:eastAsia="zh-CN"/>
        </w:rPr>
        <w:t xml:space="preserve"> Site Evaluation Division (5204G). </w:t>
      </w:r>
    </w:p>
    <w:p w14:paraId="37785B38"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USEPA, 1992</w:t>
      </w:r>
    </w:p>
    <w:p w14:paraId="1F504099"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 xml:space="preserve">Van </w:t>
      </w:r>
      <w:proofErr w:type="spellStart"/>
      <w:proofErr w:type="gramStart"/>
      <w:r>
        <w:rPr>
          <w:rFonts w:ascii="Times New Roman" w:eastAsia="Times New Roman" w:hAnsi="Times New Roman"/>
          <w:sz w:val="24"/>
          <w:szCs w:val="24"/>
        </w:rPr>
        <w:t>Dyk,J.C</w:t>
      </w:r>
      <w:proofErr w:type="spellEnd"/>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Marchand,M.J</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Pieterse,G.M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Barnhoorn,IE.J</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Bornman,M.S</w:t>
      </w:r>
      <w:proofErr w:type="spellEnd"/>
      <w:r>
        <w:rPr>
          <w:rFonts w:ascii="Times New Roman" w:eastAsia="Times New Roman" w:hAnsi="Times New Roman"/>
          <w:sz w:val="24"/>
          <w:szCs w:val="24"/>
        </w:rPr>
        <w:t xml:space="preserve">. (2009a). Histological changes in the gills of </w:t>
      </w:r>
      <w:proofErr w:type="spellStart"/>
      <w:r>
        <w:rPr>
          <w:rFonts w:ascii="Times New Roman" w:eastAsia="Times New Roman" w:hAnsi="Times New Roman"/>
          <w:sz w:val="24"/>
          <w:szCs w:val="24"/>
        </w:rPr>
        <w:t>Clarias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gariepinus</w:t>
      </w:r>
      <w:proofErr w:type="spellEnd"/>
      <w:r>
        <w:rPr>
          <w:rFonts w:ascii="Times New Roman" w:eastAsia="Times New Roman" w:hAnsi="Times New Roman"/>
          <w:sz w:val="24"/>
          <w:szCs w:val="24"/>
        </w:rPr>
        <w:t xml:space="preserve"> (Teleostei: </w:t>
      </w:r>
      <w:proofErr w:type="spellStart"/>
      <w:r>
        <w:rPr>
          <w:rFonts w:ascii="Times New Roman" w:eastAsia="Times New Roman" w:hAnsi="Times New Roman"/>
          <w:sz w:val="24"/>
          <w:szCs w:val="24"/>
        </w:rPr>
        <w:t>Clariidae</w:t>
      </w:r>
      <w:proofErr w:type="spellEnd"/>
      <w:r>
        <w:rPr>
          <w:rFonts w:ascii="Times New Roman" w:eastAsia="Times New Roman" w:hAnsi="Times New Roman"/>
          <w:sz w:val="24"/>
          <w:szCs w:val="24"/>
        </w:rPr>
        <w:t xml:space="preserve">) from a polluted South African urban aquatic system. Afr. J. </w:t>
      </w:r>
      <w:proofErr w:type="spellStart"/>
      <w:r>
        <w:rPr>
          <w:rFonts w:ascii="Times New Roman" w:eastAsia="Times New Roman" w:hAnsi="Times New Roman"/>
          <w:sz w:val="24"/>
          <w:szCs w:val="24"/>
        </w:rPr>
        <w:t>Aquat</w:t>
      </w:r>
      <w:proofErr w:type="spellEnd"/>
      <w:r>
        <w:rPr>
          <w:rFonts w:ascii="Times New Roman" w:eastAsia="Times New Roman" w:hAnsi="Times New Roman"/>
          <w:sz w:val="24"/>
          <w:szCs w:val="24"/>
        </w:rPr>
        <w:t xml:space="preserve">. Sci. 34,283–291. </w:t>
      </w:r>
    </w:p>
    <w:p w14:paraId="64CAEB79"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Verbost</w:t>
      </w:r>
      <w:proofErr w:type="spellEnd"/>
      <w:r>
        <w:rPr>
          <w:rFonts w:ascii="Times New Roman" w:eastAsia="SimSun" w:hAnsi="Times New Roman"/>
          <w:sz w:val="24"/>
          <w:szCs w:val="24"/>
          <w:lang w:eastAsia="zh-CN"/>
        </w:rPr>
        <w:t>, P.M.</w:t>
      </w:r>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Flik</w:t>
      </w:r>
      <w:proofErr w:type="spellEnd"/>
      <w:r>
        <w:rPr>
          <w:rFonts w:ascii="Times New Roman" w:eastAsia="SimSun" w:hAnsi="Times New Roman"/>
          <w:sz w:val="24"/>
          <w:szCs w:val="24"/>
          <w:lang w:eastAsia="zh-CN"/>
        </w:rPr>
        <w:t xml:space="preserve">, G., Lock, R.A.C. and </w:t>
      </w:r>
      <w:proofErr w:type="spellStart"/>
      <w:r>
        <w:rPr>
          <w:rFonts w:ascii="Times New Roman" w:eastAsia="SimSun" w:hAnsi="Times New Roman"/>
          <w:sz w:val="24"/>
          <w:szCs w:val="24"/>
          <w:lang w:eastAsia="zh-CN"/>
        </w:rPr>
        <w:t>Wendelar</w:t>
      </w:r>
      <w:proofErr w:type="spellEnd"/>
      <w:r>
        <w:rPr>
          <w:rFonts w:ascii="Times New Roman" w:eastAsia="SimSun" w:hAnsi="Times New Roman"/>
          <w:sz w:val="24"/>
          <w:szCs w:val="24"/>
          <w:lang w:eastAsia="zh-CN"/>
        </w:rPr>
        <w:t xml:space="preserve"> Bonga, S.E. (1987). Cadmium inhibition of Ca2+ uptake in rainbow trout gills. Am. J. Physiol., 253: 216-221. </w:t>
      </w:r>
    </w:p>
    <w:p w14:paraId="57B85C25"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Wester PW, van der Ven LTM, </w:t>
      </w:r>
      <w:proofErr w:type="spellStart"/>
      <w:r>
        <w:rPr>
          <w:rFonts w:ascii="Times New Roman" w:eastAsia="SimSun" w:hAnsi="Times New Roman"/>
          <w:sz w:val="24"/>
          <w:szCs w:val="24"/>
          <w:lang w:eastAsia="zh-CN"/>
        </w:rPr>
        <w:t>Vethaak</w:t>
      </w:r>
      <w:proofErr w:type="spellEnd"/>
      <w:r>
        <w:rPr>
          <w:rFonts w:ascii="Times New Roman" w:eastAsia="SimSun" w:hAnsi="Times New Roman"/>
          <w:sz w:val="24"/>
          <w:szCs w:val="24"/>
          <w:lang w:eastAsia="zh-CN"/>
        </w:rPr>
        <w:t xml:space="preserve"> AD, </w:t>
      </w:r>
      <w:proofErr w:type="spellStart"/>
      <w:r>
        <w:rPr>
          <w:rFonts w:ascii="Times New Roman" w:eastAsia="SimSun" w:hAnsi="Times New Roman"/>
          <w:sz w:val="24"/>
          <w:szCs w:val="24"/>
          <w:lang w:eastAsia="zh-CN"/>
        </w:rPr>
        <w:t>Grinwis</w:t>
      </w:r>
      <w:proofErr w:type="spellEnd"/>
      <w:r>
        <w:rPr>
          <w:rFonts w:ascii="Times New Roman" w:eastAsia="SimSun" w:hAnsi="Times New Roman"/>
          <w:sz w:val="24"/>
          <w:szCs w:val="24"/>
          <w:lang w:eastAsia="zh-CN"/>
        </w:rPr>
        <w:t xml:space="preserve"> GCM, Vos JG., (2002). Aquatic toxicology: opportunities for </w:t>
      </w:r>
      <w:r>
        <w:rPr>
          <w:rFonts w:ascii="Times New Roman" w:eastAsia="SimSun" w:hAnsi="Times New Roman"/>
          <w:sz w:val="24"/>
          <w:szCs w:val="24"/>
          <w:lang w:eastAsia="zh-CN"/>
        </w:rPr>
        <w:t xml:space="preserve">enhancement through histopathology. Environmental Toxicology and Pharmacology 11: 289-295. </w:t>
      </w:r>
    </w:p>
    <w:p w14:paraId="56B3D374" w14:textId="77777777" w:rsidR="0069775F" w:rsidRDefault="004D7A71">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Yanong</w:t>
      </w:r>
      <w:proofErr w:type="spellEnd"/>
      <w:r>
        <w:rPr>
          <w:rFonts w:ascii="Times New Roman" w:eastAsia="SimSun" w:hAnsi="Times New Roman"/>
          <w:sz w:val="24"/>
          <w:szCs w:val="24"/>
          <w:lang w:eastAsia="zh-CN"/>
        </w:rPr>
        <w:t xml:space="preserve">, R.P.E. 2009. Cryptocaryon </w:t>
      </w:r>
      <w:proofErr w:type="spellStart"/>
      <w:r>
        <w:rPr>
          <w:rFonts w:ascii="Times New Roman" w:eastAsia="SimSun" w:hAnsi="Times New Roman"/>
          <w:sz w:val="24"/>
          <w:szCs w:val="24"/>
          <w:lang w:eastAsia="zh-CN"/>
        </w:rPr>
        <w:t>irritans</w:t>
      </w:r>
      <w:proofErr w:type="spellEnd"/>
      <w:r>
        <w:rPr>
          <w:rFonts w:ascii="Times New Roman" w:eastAsia="SimSun" w:hAnsi="Times New Roman"/>
          <w:sz w:val="24"/>
          <w:szCs w:val="24"/>
          <w:lang w:eastAsia="zh-CN"/>
        </w:rPr>
        <w:t xml:space="preserve"> Infections (Marine White Spot Disease) in Fish. FA164. Gainesville: University of Florida Institute of Food and Agricultu</w:t>
      </w:r>
      <w:r>
        <w:rPr>
          <w:rFonts w:ascii="Times New Roman" w:eastAsia="SimSun" w:hAnsi="Times New Roman"/>
          <w:sz w:val="24"/>
          <w:szCs w:val="24"/>
          <w:lang w:eastAsia="zh-CN"/>
        </w:rPr>
        <w:t>ral Sciences. http://edis.ifas.ufl.edu/FA164</w:t>
      </w:r>
    </w:p>
    <w:p w14:paraId="4BC3E514" w14:textId="77777777" w:rsidR="0069775F" w:rsidRDefault="004D7A71">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Yasutake, W.T. and Wales, J.H. (1983). Microscopic analyses of salmonids.: an atlas. Washington D.C.: United States of Department of Fish and Wild life services. </w:t>
      </w:r>
    </w:p>
    <w:p w14:paraId="3538053C" w14:textId="77777777" w:rsidR="0069775F" w:rsidRDefault="0069775F">
      <w:pPr>
        <w:spacing w:after="120" w:line="240" w:lineRule="auto"/>
        <w:rPr>
          <w:rFonts w:ascii="Times New Roman" w:eastAsia="Times New Roman" w:hAnsi="Times New Roman"/>
          <w:sz w:val="24"/>
          <w:szCs w:val="24"/>
        </w:rPr>
      </w:pPr>
    </w:p>
    <w:p w14:paraId="412DA7E3"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0F8E882F"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6A0B28F2"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492EBCC1"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p w14:paraId="210C2716" w14:textId="77777777" w:rsidR="0069775F" w:rsidRDefault="004D7A71">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w:t>
      </w:r>
    </w:p>
    <w:sectPr w:rsidR="0069775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C1CFB" w14:textId="77777777" w:rsidR="004D7A71" w:rsidRDefault="004D7A71" w:rsidP="00B662F1">
      <w:pPr>
        <w:spacing w:after="0" w:line="240" w:lineRule="auto"/>
      </w:pPr>
      <w:r>
        <w:separator/>
      </w:r>
    </w:p>
  </w:endnote>
  <w:endnote w:type="continuationSeparator" w:id="0">
    <w:p w14:paraId="0F9F6B1F" w14:textId="77777777" w:rsidR="004D7A71" w:rsidRDefault="004D7A71" w:rsidP="00B66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7A369" w14:textId="77777777" w:rsidR="00B662F1" w:rsidRDefault="00B66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451CF" w14:textId="77777777" w:rsidR="00B662F1" w:rsidRDefault="00B662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D8E49" w14:textId="77777777" w:rsidR="00B662F1" w:rsidRDefault="00B66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5D6CD" w14:textId="77777777" w:rsidR="004D7A71" w:rsidRDefault="004D7A71" w:rsidP="00B662F1">
      <w:pPr>
        <w:spacing w:after="0" w:line="240" w:lineRule="auto"/>
      </w:pPr>
      <w:r>
        <w:separator/>
      </w:r>
    </w:p>
  </w:footnote>
  <w:footnote w:type="continuationSeparator" w:id="0">
    <w:p w14:paraId="6689261F" w14:textId="77777777" w:rsidR="004D7A71" w:rsidRDefault="004D7A71" w:rsidP="00B66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0DDB5" w14:textId="38C3F65E" w:rsidR="00B662F1" w:rsidRDefault="00B662F1">
    <w:pPr>
      <w:pStyle w:val="Header"/>
    </w:pPr>
    <w:r>
      <w:rPr>
        <w:noProof/>
      </w:rPr>
      <w:pict w14:anchorId="1D82A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3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D58F5" w14:textId="474E6E29" w:rsidR="00B662F1" w:rsidRDefault="00B662F1">
    <w:pPr>
      <w:pStyle w:val="Header"/>
    </w:pPr>
    <w:r>
      <w:rPr>
        <w:noProof/>
      </w:rPr>
      <w:pict w14:anchorId="5FEDF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3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4E92A" w14:textId="28AF18F3" w:rsidR="00B662F1" w:rsidRDefault="00B662F1">
    <w:pPr>
      <w:pStyle w:val="Header"/>
    </w:pPr>
    <w:r>
      <w:rPr>
        <w:noProof/>
      </w:rPr>
      <w:pict w14:anchorId="17761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3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00000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00000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91A71C1"/>
    <w:multiLevelType w:val="multilevel"/>
    <w:tmpl w:val="00000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775F"/>
    <w:rsid w:val="000A327A"/>
    <w:rsid w:val="004D7A71"/>
    <w:rsid w:val="00625089"/>
    <w:rsid w:val="0069775F"/>
    <w:rsid w:val="00B11332"/>
    <w:rsid w:val="00B662F1"/>
    <w:rsid w:val="00BD0DA5"/>
    <w:rsid w:val="00D00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4736E3"/>
  <w15:docId w15:val="{E2E5B6E7-96A2-4BA9-A272-72B60B7C9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paragraph" w:styleId="Index9">
    <w:name w:val="index 9"/>
    <w:basedOn w:val="Normal"/>
    <w:next w:val="Normal"/>
    <w:pPr>
      <w:ind w:left="720"/>
      <w:contextualSpacing/>
    </w:pPr>
    <w:rPr>
      <w:lang w:val="en-GB"/>
    </w:rPr>
  </w:style>
  <w:style w:type="character" w:styleId="Hyperlink">
    <w:name w:val="Hyperlink"/>
    <w:basedOn w:val="DefaultParagraphFont"/>
    <w:uiPriority w:val="99"/>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6">
    <w:name w:val="Light Grid Accent 6"/>
    <w:basedOn w:val="TableNormal"/>
    <w:uiPriority w:val="62"/>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Accent2">
    <w:name w:val="Medium Shading 1 Accent 2"/>
    <w:basedOn w:val="TableNormal"/>
    <w:uiPriority w:val="63"/>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ListParagraphdaeebebf-f101-4889-831f-2692a0b491de">
    <w:name w:val="List Paragraph_daeebebf-f101-4889-831f-2692a0b491de"/>
    <w:basedOn w:val="Normal"/>
    <w:pPr>
      <w:ind w:left="720"/>
      <w:contextualSpacing/>
    </w:p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character" w:styleId="UnresolvedMention">
    <w:name w:val="Unresolved Mention"/>
    <w:basedOn w:val="DefaultParagraphFont"/>
    <w:uiPriority w:val="99"/>
    <w:semiHidden/>
    <w:unhideWhenUsed/>
    <w:rsid w:val="00625089"/>
    <w:rPr>
      <w:color w:val="605E5C"/>
      <w:shd w:val="clear" w:color="auto" w:fill="E1DFDD"/>
    </w:rPr>
  </w:style>
  <w:style w:type="paragraph" w:styleId="ListParagraph">
    <w:name w:val="List Paragraph"/>
    <w:basedOn w:val="Normal"/>
    <w:uiPriority w:val="34"/>
    <w:qFormat/>
    <w:rsid w:val="000A327A"/>
    <w:pPr>
      <w:ind w:left="720"/>
      <w:contextualSpacing/>
    </w:pPr>
  </w:style>
  <w:style w:type="paragraph" w:styleId="Header">
    <w:name w:val="header"/>
    <w:basedOn w:val="Normal"/>
    <w:link w:val="HeaderChar"/>
    <w:uiPriority w:val="99"/>
    <w:unhideWhenUsed/>
    <w:rsid w:val="00B66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2F1"/>
    <w:rPr>
      <w:rFonts w:cs="Times New Roman"/>
      <w:sz w:val="22"/>
      <w:szCs w:val="22"/>
    </w:rPr>
  </w:style>
  <w:style w:type="paragraph" w:styleId="Footer">
    <w:name w:val="footer"/>
    <w:basedOn w:val="Normal"/>
    <w:link w:val="FooterChar"/>
    <w:uiPriority w:val="99"/>
    <w:unhideWhenUsed/>
    <w:rsid w:val="00B66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2F1"/>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525002">
      <w:bodyDiv w:val="1"/>
      <w:marLeft w:val="0"/>
      <w:marRight w:val="0"/>
      <w:marTop w:val="0"/>
      <w:marBottom w:val="0"/>
      <w:divBdr>
        <w:top w:val="none" w:sz="0" w:space="0" w:color="auto"/>
        <w:left w:val="none" w:sz="0" w:space="0" w:color="auto"/>
        <w:bottom w:val="none" w:sz="0" w:space="0" w:color="auto"/>
        <w:right w:val="none" w:sz="0" w:space="0" w:color="auto"/>
      </w:divBdr>
    </w:div>
    <w:div w:id="1668946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techopen.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larsbulletin.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5680</Words>
  <Characters>32380</Characters>
  <Application>Microsoft Office Word</Application>
  <DocSecurity>0</DocSecurity>
  <Lines>269</Lines>
  <Paragraphs>75</Paragraphs>
  <ScaleCrop>false</ScaleCrop>
  <Company>Hewlett-Packard</Company>
  <LinksUpToDate>false</LinksUpToDate>
  <CharactersWithSpaces>37985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Theodore Allison</dc:creator>
  <cp:lastModifiedBy>SDI 1084</cp:lastModifiedBy>
  <cp:revision>364</cp:revision>
  <dcterms:created xsi:type="dcterms:W3CDTF">2021-10-03T12:00:00Z</dcterms:created>
  <dcterms:modified xsi:type="dcterms:W3CDTF">2025-05-05T09:45:00Z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ede531ada71b42c78073f4620bc372f1</vt:lpwstr>
  </property>
  <property fmtid="{D5CDD505-2E9C-101B-9397-08002B2CF9AE}" pid="3" name="KSOProductBuildVer">
    <vt:lpwstr>3081-11.34.01</vt:lpwstr>
  </property>
</Properties>
</file>