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9684" w14:textId="669DDEAF" w:rsidR="008F228F" w:rsidRDefault="005440DD">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Hlk195801375"/>
      <w:r>
        <w:rPr>
          <w:rFonts w:ascii="Times New Roman" w:eastAsia="Times New Roman" w:hAnsi="Times New Roman" w:cs="Times New Roman"/>
          <w:b/>
          <w:bCs/>
          <w:sz w:val="24"/>
          <w:szCs w:val="24"/>
        </w:rPr>
        <w:t xml:space="preserve">THE AMELIORATIVE EFFECT OF BITTER LEAF AND UTAZI LEAF ETHANOLIC EXTRACT ON THE ANTIOXIDANT PROPERTIES OF </w:t>
      </w:r>
      <w:r>
        <w:rPr>
          <w:rFonts w:ascii="Times New Roman" w:eastAsia="Times New Roman" w:hAnsi="Times New Roman" w:cs="Times New Roman"/>
          <w:b/>
          <w:bCs/>
          <w:i/>
          <w:sz w:val="24"/>
          <w:szCs w:val="24"/>
        </w:rPr>
        <w:t xml:space="preserve">Claris </w:t>
      </w:r>
      <w:proofErr w:type="spellStart"/>
      <w:r>
        <w:rPr>
          <w:rFonts w:ascii="Times New Roman" w:eastAsia="Times New Roman" w:hAnsi="Times New Roman" w:cs="Times New Roman"/>
          <w:b/>
          <w:bCs/>
          <w:i/>
          <w:sz w:val="24"/>
          <w:szCs w:val="24"/>
        </w:rPr>
        <w:t>gariepinus</w:t>
      </w:r>
      <w:proofErr w:type="spellEnd"/>
      <w:r>
        <w:rPr>
          <w:rFonts w:ascii="Times New Roman" w:eastAsia="Times New Roman" w:hAnsi="Times New Roman" w:cs="Times New Roman"/>
          <w:b/>
          <w:bCs/>
          <w:sz w:val="24"/>
          <w:szCs w:val="24"/>
        </w:rPr>
        <w:t xml:space="preserve"> FINGERLINGS TREATED WITH DICLOFENAC</w:t>
      </w:r>
    </w:p>
    <w:bookmarkEnd w:id="0"/>
    <w:p w14:paraId="2AE6BED2" w14:textId="77777777" w:rsidR="00F216FF" w:rsidRDefault="00F216FF">
      <w:pPr>
        <w:spacing w:before="100" w:beforeAutospacing="1" w:after="100" w:afterAutospacing="1" w:line="240" w:lineRule="auto"/>
        <w:jc w:val="center"/>
        <w:rPr>
          <w:rFonts w:ascii="Times New Roman" w:eastAsia="Times New Roman" w:hAnsi="Times New Roman" w:cs="Times New Roman"/>
          <w:b/>
          <w:bCs/>
          <w:sz w:val="24"/>
          <w:szCs w:val="24"/>
        </w:rPr>
      </w:pPr>
    </w:p>
    <w:p w14:paraId="0114AF6E" w14:textId="77777777" w:rsidR="008F228F"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19ACB5B"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designed to investigate the ameliorative effect of the ethanolic extract of bitter leaf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on the antioxidant properties of African catfish (</w:t>
      </w:r>
      <w:r>
        <w:rPr>
          <w:rFonts w:ascii="Times New Roman" w:hAnsi="Times New Roman" w:cs="Times New Roman"/>
          <w:i/>
          <w:sz w:val="24"/>
          <w:szCs w:val="24"/>
        </w:rPr>
        <w:t xml:space="preserve">Clarias </w:t>
      </w:r>
      <w:proofErr w:type="spellStart"/>
      <w:r>
        <w:rPr>
          <w:rFonts w:ascii="Times New Roman" w:hAnsi="Times New Roman" w:cs="Times New Roman"/>
          <w:i/>
          <w:sz w:val="24"/>
          <w:szCs w:val="24"/>
        </w:rPr>
        <w:t>gariepinus</w:t>
      </w:r>
      <w:proofErr w:type="spellEnd"/>
      <w:r>
        <w:rPr>
          <w:rFonts w:ascii="Times New Roman" w:hAnsi="Times New Roman" w:cs="Times New Roman"/>
          <w:i/>
          <w:sz w:val="24"/>
          <w:szCs w:val="24"/>
        </w:rPr>
        <w:t>)</w:t>
      </w:r>
      <w:r>
        <w:rPr>
          <w:rFonts w:ascii="Times New Roman" w:hAnsi="Times New Roman" w:cs="Times New Roman"/>
          <w:sz w:val="24"/>
          <w:szCs w:val="24"/>
        </w:rPr>
        <w:t xml:space="preserve"> fingerlings exposed to diclofenac. The fingerlings were exposed to 0.4 DCF and 6% body weight BLE and ULE. Liver tissues of the experimental fishes were collected on day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for the assessment of antioxidant properties. MDA, </w:t>
      </w:r>
      <w:r>
        <w:rPr>
          <w:rFonts w:ascii="Times New Roman" w:hAnsi="Times New Roman" w:cs="Times New Roman"/>
          <w:color w:val="000000"/>
          <w:sz w:val="24"/>
          <w:szCs w:val="24"/>
        </w:rPr>
        <w:t xml:space="preserve">hydroxyl radical, </w:t>
      </w:r>
      <w:r>
        <w:rPr>
          <w:rFonts w:ascii="Times New Roman" w:hAnsi="Times New Roman" w:cs="Times New Roman"/>
          <w:sz w:val="24"/>
          <w:szCs w:val="24"/>
        </w:rPr>
        <w:t>catalase, nitric oxide and pH increased significantly in fishes treated with BLE (</w:t>
      </w:r>
      <w:r>
        <w:rPr>
          <w:rFonts w:ascii="Times New Roman" w:hAnsi="Times New Roman" w:cs="Times New Roman"/>
          <w:color w:val="000000"/>
          <w:sz w:val="24"/>
          <w:szCs w:val="24"/>
        </w:rPr>
        <w:t>6.30±0.14</w:t>
      </w:r>
      <w:r>
        <w:rPr>
          <w:rFonts w:ascii="Times New Roman" w:hAnsi="Times New Roman" w:cs="Times New Roman"/>
          <w:color w:val="000000"/>
          <w:sz w:val="24"/>
          <w:szCs w:val="24"/>
          <w:vertAlign w:val="superscript"/>
        </w:rPr>
        <w:t xml:space="preserve"> </w:t>
      </w:r>
      <w:r>
        <w:rPr>
          <w:rFonts w:ascii="Times New Roman" w:hAnsi="Times New Roman" w:cs="Times New Roman"/>
          <w:sz w:val="24"/>
          <w:szCs w:val="24"/>
        </w:rPr>
        <w:t xml:space="preserve">to </w:t>
      </w:r>
      <w:r>
        <w:rPr>
          <w:rFonts w:ascii="Times New Roman" w:hAnsi="Times New Roman" w:cs="Times New Roman"/>
          <w:color w:val="000000"/>
          <w:sz w:val="24"/>
          <w:szCs w:val="24"/>
        </w:rPr>
        <w:t>91.50±2.12</w:t>
      </w:r>
      <w:r>
        <w:rPr>
          <w:rFonts w:ascii="Times New Roman" w:hAnsi="Times New Roman" w:cs="Times New Roman"/>
          <w:sz w:val="24"/>
          <w:szCs w:val="24"/>
        </w:rPr>
        <w:t>), as compared to their control. MDA (</w:t>
      </w:r>
      <w:r>
        <w:rPr>
          <w:rFonts w:ascii="Times New Roman" w:hAnsi="Times New Roman" w:cs="Times New Roman"/>
          <w:color w:val="000000"/>
          <w:sz w:val="24"/>
          <w:szCs w:val="24"/>
        </w:rPr>
        <w:t>30.53±0.44 to 43.35±3.47</w:t>
      </w:r>
      <w:r>
        <w:rPr>
          <w:rFonts w:ascii="Times New Roman" w:hAnsi="Times New Roman" w:cs="Times New Roman"/>
          <w:sz w:val="24"/>
          <w:szCs w:val="24"/>
        </w:rPr>
        <w:t>) and catalase (</w:t>
      </w:r>
      <w:r>
        <w:rPr>
          <w:rFonts w:ascii="Times New Roman" w:hAnsi="Times New Roman" w:cs="Times New Roman"/>
          <w:color w:val="000000"/>
          <w:sz w:val="24"/>
          <w:szCs w:val="24"/>
        </w:rPr>
        <w:t>29.17±0.55 to 40.60±0.14</w:t>
      </w:r>
      <w:r>
        <w:rPr>
          <w:rFonts w:ascii="Times New Roman" w:hAnsi="Times New Roman" w:cs="Times New Roman"/>
          <w:sz w:val="24"/>
          <w:szCs w:val="24"/>
        </w:rPr>
        <w:t xml:space="preserve">) decreased in the fishes exposed to diclofenac.  It can be deduced that the given concentration of BLE and ULE can cause significant alteration in the antioxidant parameter of </w:t>
      </w:r>
      <w:r>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This may suggest that they have antioxidant activity and / or free radical scavenging activity.</w:t>
      </w:r>
    </w:p>
    <w:p w14:paraId="7A7824F8"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Bitter Leaf Extract (BLE),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Extract (ULE), Diclofenac (DCF), Reactive Oxygen Species (ROS), Aquatic Environment</w:t>
      </w:r>
    </w:p>
    <w:p w14:paraId="6E2F2B4D" w14:textId="77777777" w:rsidR="008F228F" w:rsidRDefault="008F228F">
      <w:pPr>
        <w:tabs>
          <w:tab w:val="left" w:pos="0"/>
        </w:tabs>
        <w:spacing w:line="240" w:lineRule="auto"/>
        <w:jc w:val="center"/>
        <w:rPr>
          <w:rFonts w:ascii="Times New Roman" w:hAnsi="Times New Roman" w:cs="Times New Roman"/>
          <w:b/>
          <w:bCs/>
          <w:sz w:val="24"/>
          <w:szCs w:val="24"/>
        </w:rPr>
        <w:sectPr w:rsidR="008F22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9"/>
          <w:docGrid w:linePitch="360"/>
        </w:sectPr>
      </w:pPr>
    </w:p>
    <w:p w14:paraId="229D0C1B" w14:textId="77777777" w:rsidR="008F228F" w:rsidRDefault="008F228F">
      <w:pPr>
        <w:tabs>
          <w:tab w:val="left" w:pos="0"/>
        </w:tabs>
        <w:spacing w:line="240" w:lineRule="auto"/>
        <w:jc w:val="center"/>
        <w:rPr>
          <w:rFonts w:ascii="Times New Roman" w:hAnsi="Times New Roman" w:cs="Times New Roman"/>
          <w:b/>
          <w:bCs/>
          <w:sz w:val="24"/>
          <w:szCs w:val="24"/>
        </w:rPr>
        <w:sectPr w:rsidR="008F228F">
          <w:type w:val="continuous"/>
          <w:pgSz w:w="11906" w:h="16838"/>
          <w:pgMar w:top="1440" w:right="1440" w:bottom="1440" w:left="1440" w:header="709" w:footer="709" w:gutter="0"/>
          <w:cols w:num="2" w:space="720"/>
          <w:docGrid w:linePitch="360"/>
        </w:sectPr>
      </w:pPr>
    </w:p>
    <w:p w14:paraId="7DE62745" w14:textId="77777777" w:rsidR="008F228F" w:rsidRDefault="00000000">
      <w:pPr>
        <w:tabs>
          <w:tab w:val="left" w:pos="0"/>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17D7C81" w14:textId="77777777" w:rsidR="008F228F"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has become a significant component of global food production, contributing substantially to the world's protein supply. Among the various species cultivated, </w:t>
      </w:r>
      <w:r>
        <w:rPr>
          <w:rFonts w:ascii="Times New Roman" w:eastAsia="Times New Roman" w:hAnsi="Times New Roman" w:cs="Times New Roman"/>
          <w:i/>
          <w:iCs/>
          <w:sz w:val="24"/>
          <w:szCs w:val="24"/>
        </w:rPr>
        <w:t xml:space="preserve">Clarias </w:t>
      </w:r>
      <w:proofErr w:type="spellStart"/>
      <w:r>
        <w:rPr>
          <w:rFonts w:ascii="Times New Roman" w:eastAsia="Times New Roman" w:hAnsi="Times New Roman" w:cs="Times New Roman"/>
          <w:i/>
          <w:iCs/>
          <w:sz w:val="24"/>
          <w:szCs w:val="24"/>
        </w:rPr>
        <w:t>gariepinus</w:t>
      </w:r>
      <w:proofErr w:type="spellEnd"/>
      <w:r>
        <w:rPr>
          <w:rFonts w:ascii="Times New Roman" w:eastAsia="Times New Roman" w:hAnsi="Times New Roman" w:cs="Times New Roman"/>
          <w:sz w:val="24"/>
          <w:szCs w:val="24"/>
        </w:rPr>
        <w:t xml:space="preserve">, commonly known as African catfish, stands out due to its resilience, fast growth rate, and high market value. However, the intensification of aquaculture practices frequently leads to increased exposure of fish to various environmental stressors, including pharmaceuticals like Diclofenac, which can significantly affect fish health. </w:t>
      </w:r>
      <w:r>
        <w:rPr>
          <w:rFonts w:ascii="Times New Roman" w:hAnsi="Times New Roman" w:cs="Times New Roman"/>
          <w:sz w:val="24"/>
          <w:szCs w:val="24"/>
        </w:rPr>
        <w:t xml:space="preserve">Diclofenac is </w:t>
      </w:r>
      <w:r>
        <w:rPr>
          <w:rFonts w:ascii="Times New Roman" w:eastAsia="Times New Roman" w:hAnsi="Times New Roman" w:cs="Times New Roman"/>
          <w:sz w:val="24"/>
          <w:szCs w:val="24"/>
          <w:lang w:eastAsia="en-GB"/>
        </w:rPr>
        <w:t xml:space="preserve">a phenylacetic acid </w:t>
      </w:r>
      <w:proofErr w:type="gramStart"/>
      <w:r>
        <w:rPr>
          <w:rFonts w:ascii="Times New Roman" w:eastAsia="Times New Roman" w:hAnsi="Times New Roman" w:cs="Times New Roman"/>
          <w:sz w:val="24"/>
          <w:szCs w:val="24"/>
          <w:lang w:eastAsia="en-GB"/>
        </w:rPr>
        <w:t>derivative</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a non-steroidal anti-inflammatory drug (NSAID) that is used for the treatment of rheumatic diseases, minor and medium pain, and </w:t>
      </w:r>
      <w:proofErr w:type="spellStart"/>
      <w:r>
        <w:rPr>
          <w:rFonts w:ascii="Times New Roman" w:hAnsi="Times New Roman" w:cs="Times New Roman"/>
          <w:sz w:val="24"/>
          <w:szCs w:val="24"/>
        </w:rPr>
        <w:t>post surgery</w:t>
      </w:r>
      <w:proofErr w:type="spellEnd"/>
      <w:r>
        <w:rPr>
          <w:rFonts w:ascii="Times New Roman" w:hAnsi="Times New Roman" w:cs="Times New Roman"/>
          <w:sz w:val="24"/>
          <w:szCs w:val="24"/>
        </w:rPr>
        <w:t xml:space="preserve"> analgesia in medicine and to reduce inflammation or as a pain reliever in </w:t>
      </w:r>
      <w:proofErr w:type="gramStart"/>
      <w:r>
        <w:rPr>
          <w:rFonts w:ascii="Times New Roman" w:hAnsi="Times New Roman" w:cs="Times New Roman"/>
          <w:sz w:val="24"/>
          <w:szCs w:val="24"/>
        </w:rPr>
        <w:t>diseased  conditions</w:t>
      </w:r>
      <w:proofErr w:type="gramEnd"/>
      <w:r>
        <w:rPr>
          <w:rFonts w:ascii="Times New Roman" w:hAnsi="Times New Roman" w:cs="Times New Roman"/>
          <w:sz w:val="24"/>
          <w:szCs w:val="24"/>
        </w:rPr>
        <w:t>, such as arthritis or acute injury (1). It is used commonly to treat mild to moderate post-operative or post-traumatic pain, particularly when inflammation is also present (2).</w:t>
      </w:r>
    </w:p>
    <w:p w14:paraId="461E0CD9" w14:textId="77777777" w:rsidR="008F228F" w:rsidRDefault="0000000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The imbalance between the production of reactive oxygen species (ROS) and the fish's antioxidant defenses leads to oxidative stress in fish. ROS are highly reactive molecules that can cause damage to proteins, lipids, and DNA, leading to impaired cellular function and overall health deterioration (3, 4). Factors such as high-density stocking, suboptimal water quality, and fluctuating environmental conditions, increases stress in aquatic environment (5).</w:t>
      </w:r>
    </w:p>
    <w:p w14:paraId="09DFAC37" w14:textId="77777777" w:rsidR="008F228F" w:rsidRDefault="0000000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Antioxidants are essential in controlling oxidative stress. They neutralize ROS and protect cells from oxidative damage. Fish health and growth performance can be improved with manufactured antioxidants, which have potential adverse effects on human health and the environment (6). However, there is growing interest in natural antioxidants derived from plants as safer and more sustainable alternatives (7).</w:t>
      </w:r>
    </w:p>
    <w:p w14:paraId="64DE6E94"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Bitter leaf (</w:t>
      </w:r>
      <w:r>
        <w:rPr>
          <w:rFonts w:ascii="Times New Roman" w:hAnsi="Times New Roman" w:cs="Times New Roman"/>
          <w:i/>
          <w:sz w:val="24"/>
          <w:szCs w:val="24"/>
        </w:rPr>
        <w:t>Vernonia amygdalina</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w:t>
      </w:r>
      <w:proofErr w:type="spellStart"/>
      <w:r>
        <w:rPr>
          <w:rFonts w:ascii="Times New Roman" w:hAnsi="Times New Roman" w:cs="Times New Roman"/>
          <w:i/>
          <w:sz w:val="24"/>
          <w:szCs w:val="24"/>
        </w:rPr>
        <w:t>Gongronema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latifolium</w:t>
      </w:r>
      <w:proofErr w:type="spellEnd"/>
      <w:r>
        <w:rPr>
          <w:rFonts w:ascii="Times New Roman" w:hAnsi="Times New Roman" w:cs="Times New Roman"/>
          <w:sz w:val="24"/>
          <w:szCs w:val="24"/>
        </w:rPr>
        <w:t xml:space="preserve">) are commonly used in </w:t>
      </w:r>
      <w:proofErr w:type="spellStart"/>
      <w:r>
        <w:rPr>
          <w:rFonts w:ascii="Times New Roman" w:hAnsi="Times New Roman" w:cs="Times New Roman"/>
          <w:sz w:val="24"/>
          <w:szCs w:val="24"/>
        </w:rPr>
        <w:t>ethno</w:t>
      </w:r>
      <w:proofErr w:type="spellEnd"/>
      <w:r>
        <w:rPr>
          <w:rFonts w:ascii="Times New Roman" w:hAnsi="Times New Roman" w:cs="Times New Roman"/>
          <w:sz w:val="24"/>
          <w:szCs w:val="24"/>
        </w:rPr>
        <w:t xml:space="preserve"> medicine for their various health benefits, including their antioxidant properties.</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lastRenderedPageBreak/>
        <w:t xml:space="preserve">Bitter leaf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are medicinal plant known for their </w:t>
      </w:r>
      <w:r>
        <w:rPr>
          <w:rFonts w:ascii="Times New Roman" w:eastAsia="Times New Roman" w:hAnsi="Times New Roman" w:cs="Times New Roman"/>
          <w:sz w:val="24"/>
          <w:szCs w:val="24"/>
          <w:lang w:eastAsia="en-GB"/>
        </w:rPr>
        <w:t>antimicrobial, antioxidant, anti-diabetic, anti-inflammatory (8, 9).</w:t>
      </w:r>
      <w:r>
        <w:rPr>
          <w:rFonts w:ascii="Times New Roman" w:hAnsi="Times New Roman" w:cs="Times New Roman"/>
          <w:sz w:val="24"/>
          <w:szCs w:val="24"/>
        </w:rPr>
        <w:t xml:space="preserve"> Studies have shown that extracts from bitter leaf exhibit significant antioxidant activity, which could be beneficial in reducing oxidative stress in fish (10).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is rich in phytochemicals such as saponins, tannins, and flavonoids, which contribute to its antioxidant effects. </w:t>
      </w:r>
    </w:p>
    <w:p w14:paraId="4445113C" w14:textId="77777777" w:rsidR="008F228F" w:rsidRDefault="0000000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Free radical-scavenging abilities of medicinal plants have been employed in order to moderate the actions of electron-deficient molecules like free radicals in the body. Free radicals otherwise known as reactive oxygen species like the hydroxyl (OH) radical, superoxide (O2), nitric oxide (NO), nitrogen dioxide (NO2), and hydrogen peroxide (H2O2) are molecules with an electron shortage and in their search for electrons, can easily assault bodily cells leading to the development of illnesses (11). The occurrence of several pathological conditions like cell damage due to lipid peroxidation, DNA damage, and cellular degeneration have all been liked to these compounds (12). Free radicals can be combated by molecules known as antioxidants and these antioxidants are compounds with sufficient electrons which are ready to donate to the free radicals.</w:t>
      </w:r>
    </w:p>
    <w:p w14:paraId="28B31319" w14:textId="77777777" w:rsidR="008F228F" w:rsidRDefault="0000000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This study aims at evaluating the protective effect of bitter leaf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ethanolic extracts on the antioxidant properties of </w:t>
      </w:r>
      <w:r>
        <w:rPr>
          <w:rFonts w:ascii="Times New Roman" w:hAnsi="Times New Roman" w:cs="Times New Roman"/>
          <w:i/>
          <w:sz w:val="24"/>
          <w:szCs w:val="24"/>
        </w:rPr>
        <w:t xml:space="preserve">Clarias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fingerlings.</w:t>
      </w:r>
    </w:p>
    <w:p w14:paraId="78F079EC" w14:textId="77777777" w:rsidR="008F228F" w:rsidRDefault="00000000">
      <w:pPr>
        <w:tabs>
          <w:tab w:val="left" w:pos="0"/>
        </w:tabs>
        <w:spacing w:before="240" w:after="240" w:line="240" w:lineRule="auto"/>
        <w:rPr>
          <w:rStyle w:val="markedcontent"/>
          <w:rFonts w:ascii="Times New Roman" w:hAnsi="Times New Roman" w:cs="Times New Roman"/>
          <w:b/>
          <w:sz w:val="24"/>
          <w:szCs w:val="24"/>
        </w:rPr>
      </w:pPr>
      <w:r>
        <w:rPr>
          <w:rStyle w:val="markedcontent"/>
          <w:rFonts w:ascii="Times New Roman" w:hAnsi="Times New Roman" w:cs="Times New Roman"/>
          <w:b/>
          <w:sz w:val="24"/>
          <w:szCs w:val="24"/>
        </w:rPr>
        <w:t>MATERIALS AND METHODS</w:t>
      </w:r>
    </w:p>
    <w:p w14:paraId="3C825CC1" w14:textId="77777777" w:rsidR="008F228F" w:rsidRDefault="00000000">
      <w:pPr>
        <w:tabs>
          <w:tab w:val="left" w:pos="0"/>
          <w:tab w:val="left" w:pos="284"/>
          <w:tab w:val="left" w:pos="426"/>
        </w:tabs>
        <w:spacing w:before="240" w:after="12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b/>
          <w:sz w:val="24"/>
          <w:szCs w:val="24"/>
        </w:rPr>
        <w:t xml:space="preserve">Experimental Chemical: </w:t>
      </w:r>
      <w:r>
        <w:rPr>
          <w:rStyle w:val="markedcontent"/>
          <w:rFonts w:ascii="Times New Roman" w:hAnsi="Times New Roman" w:cs="Times New Roman"/>
          <w:sz w:val="24"/>
          <w:szCs w:val="24"/>
        </w:rPr>
        <w:t xml:space="preserve">For the present study, </w:t>
      </w:r>
      <w:proofErr w:type="spellStart"/>
      <w:r>
        <w:rPr>
          <w:rStyle w:val="markedcontent"/>
          <w:rFonts w:ascii="Times New Roman" w:hAnsi="Times New Roman" w:cs="Times New Roman"/>
          <w:sz w:val="24"/>
          <w:szCs w:val="24"/>
        </w:rPr>
        <w:t>Dichlofenac</w:t>
      </w:r>
      <w:proofErr w:type="spellEnd"/>
      <w:r>
        <w:rPr>
          <w:rStyle w:val="markedcontent"/>
          <w:rFonts w:ascii="Times New Roman" w:hAnsi="Times New Roman" w:cs="Times New Roman"/>
          <w:sz w:val="24"/>
          <w:szCs w:val="24"/>
        </w:rPr>
        <w:t xml:space="preserve"> Potassium Tablets USP 100 mg with the brand name </w:t>
      </w:r>
      <w:proofErr w:type="spellStart"/>
      <w:r>
        <w:rPr>
          <w:rStyle w:val="markedcontent"/>
          <w:rFonts w:ascii="Times New Roman" w:hAnsi="Times New Roman" w:cs="Times New Roman"/>
          <w:sz w:val="24"/>
          <w:szCs w:val="24"/>
        </w:rPr>
        <w:t>Chloflam</w:t>
      </w:r>
      <w:proofErr w:type="spellEnd"/>
      <w:r>
        <w:rPr>
          <w:rStyle w:val="markedcontent"/>
          <w:rFonts w:ascii="Times New Roman" w:hAnsi="Times New Roman" w:cs="Times New Roman"/>
          <w:sz w:val="24"/>
          <w:szCs w:val="24"/>
        </w:rPr>
        <w:t xml:space="preserve"> 50, manufactured by McCoy Pharma Pvt. Ltd -12, MIDC, </w:t>
      </w:r>
      <w:proofErr w:type="spellStart"/>
      <w:r>
        <w:rPr>
          <w:rStyle w:val="markedcontent"/>
          <w:rFonts w:ascii="Times New Roman" w:hAnsi="Times New Roman" w:cs="Times New Roman"/>
          <w:sz w:val="24"/>
          <w:szCs w:val="24"/>
        </w:rPr>
        <w:t>Tarapur</w:t>
      </w:r>
      <w:proofErr w:type="spellEnd"/>
      <w:r>
        <w:rPr>
          <w:rStyle w:val="markedcontent"/>
          <w:rFonts w:ascii="Times New Roman" w:hAnsi="Times New Roman" w:cs="Times New Roman"/>
          <w:sz w:val="24"/>
          <w:szCs w:val="24"/>
        </w:rPr>
        <w:t>, Dist. Palghar, Maharashtra-401506 India, with the Batch No: MP9574, Serial No: OMCPL5AA6040 and NAFDAC Reg No: 04-5388, was purchased from a pharmacy at Enugu and was used for the study.</w:t>
      </w:r>
    </w:p>
    <w:p w14:paraId="702D2211" w14:textId="77777777" w:rsidR="008F228F" w:rsidRDefault="00000000">
      <w:pPr>
        <w:autoSpaceDE w:val="0"/>
        <w:autoSpaceDN w:val="0"/>
        <w:adjustRightInd w:val="0"/>
        <w:spacing w:before="240" w:after="24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b/>
          <w:sz w:val="24"/>
          <w:szCs w:val="24"/>
        </w:rPr>
        <w:t xml:space="preserve">Range finding test: </w:t>
      </w:r>
      <w:r>
        <w:rPr>
          <w:rStyle w:val="markedcontent"/>
          <w:rFonts w:ascii="Times New Roman" w:hAnsi="Times New Roman" w:cs="Times New Roman"/>
          <w:sz w:val="24"/>
          <w:szCs w:val="24"/>
        </w:rPr>
        <w:t xml:space="preserve">A range finding test was carried out prior to determine the concentration of the test solution for the definitive test. It was determined by subjecting fingerling of </w:t>
      </w:r>
      <w:r>
        <w:rPr>
          <w:rStyle w:val="markedcontent"/>
          <w:rFonts w:ascii="Times New Roman" w:hAnsi="Times New Roman" w:cs="Times New Roman"/>
          <w:i/>
          <w:sz w:val="24"/>
          <w:szCs w:val="24"/>
        </w:rPr>
        <w:t>C.</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i/>
          <w:sz w:val="24"/>
          <w:szCs w:val="24"/>
        </w:rPr>
        <w:t>gariepinus</w:t>
      </w:r>
      <w:proofErr w:type="spellEnd"/>
      <w:r>
        <w:rPr>
          <w:rStyle w:val="markedcontent"/>
          <w:rFonts w:ascii="Times New Roman" w:hAnsi="Times New Roman" w:cs="Times New Roman"/>
          <w:sz w:val="24"/>
          <w:szCs w:val="24"/>
        </w:rPr>
        <w:t xml:space="preserve"> to different concentrations of </w:t>
      </w:r>
      <w:proofErr w:type="spellStart"/>
      <w:r>
        <w:rPr>
          <w:rStyle w:val="markedcontent"/>
          <w:rFonts w:ascii="Times New Roman" w:hAnsi="Times New Roman" w:cs="Times New Roman"/>
          <w:sz w:val="24"/>
          <w:szCs w:val="24"/>
        </w:rPr>
        <w:t>dichlofenac</w:t>
      </w:r>
      <w:proofErr w:type="spellEnd"/>
      <w:r>
        <w:rPr>
          <w:rStyle w:val="markedcontent"/>
          <w:rFonts w:ascii="Times New Roman" w:hAnsi="Times New Roman" w:cs="Times New Roman"/>
          <w:sz w:val="24"/>
          <w:szCs w:val="24"/>
        </w:rPr>
        <w:t xml:space="preserve">. The experiment was conducted in plastic aquaria containing 10 </w:t>
      </w:r>
      <w:proofErr w:type="spellStart"/>
      <w:r>
        <w:rPr>
          <w:rStyle w:val="markedcontent"/>
          <w:rFonts w:ascii="Times New Roman" w:hAnsi="Times New Roman" w:cs="Times New Roman"/>
          <w:sz w:val="24"/>
          <w:szCs w:val="24"/>
        </w:rPr>
        <w:t>litres</w:t>
      </w:r>
      <w:proofErr w:type="spellEnd"/>
      <w:r>
        <w:rPr>
          <w:rStyle w:val="markedcontent"/>
          <w:rFonts w:ascii="Times New Roman" w:hAnsi="Times New Roman" w:cs="Times New Roman"/>
          <w:sz w:val="24"/>
          <w:szCs w:val="24"/>
        </w:rPr>
        <w:t xml:space="preserve"> of water. The percentage mortality of 0% and 100% lie between 0.1 to 1.0 mg/l. However, one concentration within this range was selected for the definitive test. </w:t>
      </w:r>
    </w:p>
    <w:p w14:paraId="0E80CABC" w14:textId="77777777" w:rsidR="008F228F" w:rsidRDefault="00000000">
      <w:pPr>
        <w:spacing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The leaf extract was administered to the fishes using the method reported by Dandi </w:t>
      </w:r>
      <w:r>
        <w:rPr>
          <w:rStyle w:val="markedcontent"/>
          <w:rFonts w:ascii="Times New Roman" w:hAnsi="Times New Roman" w:cs="Times New Roman"/>
          <w:i/>
          <w:sz w:val="24"/>
          <w:szCs w:val="24"/>
        </w:rPr>
        <w:t>et al</w:t>
      </w:r>
      <w:r>
        <w:rPr>
          <w:rStyle w:val="markedcontent"/>
          <w:rFonts w:ascii="Times New Roman" w:hAnsi="Times New Roman" w:cs="Times New Roman"/>
          <w:sz w:val="24"/>
          <w:szCs w:val="24"/>
        </w:rPr>
        <w:t xml:space="preserve">. (13) with little modification. </w:t>
      </w:r>
    </w:p>
    <w:p w14:paraId="7DEE38C7" w14:textId="77777777" w:rsidR="008F228F" w:rsidRDefault="00000000">
      <w:pPr>
        <w:tabs>
          <w:tab w:val="left" w:pos="0"/>
          <w:tab w:val="left" w:pos="284"/>
          <w:tab w:val="left" w:pos="426"/>
        </w:tabs>
        <w:spacing w:before="240" w:after="12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b/>
          <w:sz w:val="24"/>
          <w:szCs w:val="24"/>
        </w:rPr>
        <w:t>Experimental Plant Material and Preparation of Leaf Extract:</w:t>
      </w:r>
      <w:r>
        <w:rPr>
          <w:rStyle w:val="markedcontent"/>
          <w:rFonts w:ascii="Times New Roman" w:hAnsi="Times New Roman" w:cs="Times New Roman"/>
          <w:sz w:val="24"/>
          <w:szCs w:val="24"/>
        </w:rPr>
        <w:t xml:space="preserve"> The experiment was carried out at the Applied Biology Special Laboratory, Enugu State University of Science and Technology (ESUT), </w:t>
      </w:r>
      <w:proofErr w:type="spellStart"/>
      <w:r>
        <w:rPr>
          <w:rStyle w:val="markedcontent"/>
          <w:rFonts w:ascii="Times New Roman" w:hAnsi="Times New Roman" w:cs="Times New Roman"/>
          <w:sz w:val="24"/>
          <w:szCs w:val="24"/>
        </w:rPr>
        <w:t>Agbani</w:t>
      </w:r>
      <w:proofErr w:type="spellEnd"/>
      <w:r>
        <w:rPr>
          <w:rStyle w:val="markedcontent"/>
          <w:rFonts w:ascii="Times New Roman" w:hAnsi="Times New Roman" w:cs="Times New Roman"/>
          <w:sz w:val="24"/>
          <w:szCs w:val="24"/>
        </w:rPr>
        <w:t xml:space="preserve">, Enugu, Enugu State. Fresh bitter leaves and </w:t>
      </w:r>
      <w:proofErr w:type="spellStart"/>
      <w:r>
        <w:rPr>
          <w:rStyle w:val="markedcontent"/>
          <w:rFonts w:ascii="Times New Roman" w:hAnsi="Times New Roman" w:cs="Times New Roman"/>
          <w:sz w:val="24"/>
          <w:szCs w:val="24"/>
        </w:rPr>
        <w:t>utazi</w:t>
      </w:r>
      <w:proofErr w:type="spellEnd"/>
      <w:r>
        <w:rPr>
          <w:rStyle w:val="markedcontent"/>
          <w:rFonts w:ascii="Times New Roman" w:hAnsi="Times New Roman" w:cs="Times New Roman"/>
          <w:sz w:val="24"/>
          <w:szCs w:val="24"/>
        </w:rPr>
        <w:t xml:space="preserve"> leaves were obtained from a local farm and were identified (14) and authenticated by a taxonomist in the Applied Biology and Biotechnology Department, Enugu State University of Science and </w:t>
      </w:r>
      <w:proofErr w:type="gramStart"/>
      <w:r>
        <w:rPr>
          <w:rStyle w:val="markedcontent"/>
          <w:rFonts w:ascii="Times New Roman" w:hAnsi="Times New Roman" w:cs="Times New Roman"/>
          <w:sz w:val="24"/>
          <w:szCs w:val="24"/>
        </w:rPr>
        <w:t>Technology,  Enugu</w:t>
      </w:r>
      <w:proofErr w:type="gramEnd"/>
      <w:r>
        <w:rPr>
          <w:rStyle w:val="markedcontent"/>
          <w:rFonts w:ascii="Times New Roman" w:hAnsi="Times New Roman" w:cs="Times New Roman"/>
          <w:sz w:val="24"/>
          <w:szCs w:val="24"/>
        </w:rPr>
        <w:t xml:space="preserve">. The voucher specimen of bitter leaves and </w:t>
      </w:r>
      <w:proofErr w:type="spellStart"/>
      <w:r>
        <w:rPr>
          <w:rStyle w:val="markedcontent"/>
          <w:rFonts w:ascii="Times New Roman" w:hAnsi="Times New Roman" w:cs="Times New Roman"/>
          <w:sz w:val="24"/>
          <w:szCs w:val="24"/>
        </w:rPr>
        <w:t>utazi</w:t>
      </w:r>
      <w:proofErr w:type="spellEnd"/>
      <w:r>
        <w:rPr>
          <w:rStyle w:val="markedcontent"/>
          <w:rFonts w:ascii="Times New Roman" w:hAnsi="Times New Roman" w:cs="Times New Roman"/>
          <w:sz w:val="24"/>
          <w:szCs w:val="24"/>
        </w:rPr>
        <w:t xml:space="preserve"> leaves (ESUT Herbarium CAB 2/Number 53 and ESUT Herbarium CAB 2/Number 52 respectively) were kept in the Departmental herbarium for referral purposes. The leaves were washed with distilled water and air dried for two weeks under shade, then ground into fine powder using a sterile pestle and mortar, and stored in an air-tight container for further use. The ethanolic bitter leaf extract (BLE) and </w:t>
      </w:r>
      <w:proofErr w:type="spellStart"/>
      <w:r>
        <w:rPr>
          <w:rStyle w:val="markedcontent"/>
          <w:rFonts w:ascii="Times New Roman" w:hAnsi="Times New Roman" w:cs="Times New Roman"/>
          <w:sz w:val="24"/>
          <w:szCs w:val="24"/>
        </w:rPr>
        <w:t>utazi</w:t>
      </w:r>
      <w:proofErr w:type="spellEnd"/>
      <w:r>
        <w:rPr>
          <w:rStyle w:val="markedcontent"/>
          <w:rFonts w:ascii="Times New Roman" w:hAnsi="Times New Roman" w:cs="Times New Roman"/>
          <w:sz w:val="24"/>
          <w:szCs w:val="24"/>
        </w:rPr>
        <w:t xml:space="preserve"> leaf extract (ULE) were prepared according to Abdel-Shafi </w:t>
      </w:r>
      <w:r>
        <w:rPr>
          <w:rStyle w:val="markedcontent"/>
          <w:rFonts w:ascii="Times New Roman" w:hAnsi="Times New Roman" w:cs="Times New Roman"/>
          <w:i/>
          <w:sz w:val="24"/>
          <w:szCs w:val="24"/>
        </w:rPr>
        <w:t>et al.</w:t>
      </w:r>
      <w:r>
        <w:rPr>
          <w:rStyle w:val="markedcontent"/>
          <w:rFonts w:ascii="Times New Roman" w:hAnsi="Times New Roman" w:cs="Times New Roman"/>
          <w:sz w:val="24"/>
          <w:szCs w:val="24"/>
        </w:rPr>
        <w:t xml:space="preserve"> (15) and Omar </w:t>
      </w:r>
      <w:r>
        <w:rPr>
          <w:rStyle w:val="markedcontent"/>
          <w:rFonts w:ascii="Times New Roman" w:hAnsi="Times New Roman" w:cs="Times New Roman"/>
          <w:i/>
          <w:sz w:val="24"/>
          <w:szCs w:val="24"/>
        </w:rPr>
        <w:t>et al</w:t>
      </w:r>
      <w:r>
        <w:rPr>
          <w:rStyle w:val="markedcontent"/>
          <w:rFonts w:ascii="Times New Roman" w:hAnsi="Times New Roman" w:cs="Times New Roman"/>
          <w:sz w:val="24"/>
          <w:szCs w:val="24"/>
        </w:rPr>
        <w:t xml:space="preserve">. (16). Bitter leaf and </w:t>
      </w:r>
      <w:proofErr w:type="spellStart"/>
      <w:r>
        <w:rPr>
          <w:rStyle w:val="markedcontent"/>
          <w:rFonts w:ascii="Times New Roman" w:hAnsi="Times New Roman" w:cs="Times New Roman"/>
          <w:sz w:val="24"/>
          <w:szCs w:val="24"/>
        </w:rPr>
        <w:t>utazi</w:t>
      </w:r>
      <w:proofErr w:type="spellEnd"/>
      <w:r>
        <w:rPr>
          <w:rStyle w:val="markedcontent"/>
          <w:rFonts w:ascii="Times New Roman" w:hAnsi="Times New Roman" w:cs="Times New Roman"/>
          <w:sz w:val="24"/>
          <w:szCs w:val="24"/>
        </w:rPr>
        <w:t xml:space="preserve"> leaf powder (100 g) were extracted with 70% v/v aqueous ethanol for two hours. One hundred grams of bitter leaf and </w:t>
      </w:r>
      <w:proofErr w:type="spellStart"/>
      <w:r>
        <w:rPr>
          <w:rStyle w:val="markedcontent"/>
          <w:rFonts w:ascii="Times New Roman" w:hAnsi="Times New Roman" w:cs="Times New Roman"/>
          <w:sz w:val="24"/>
          <w:szCs w:val="24"/>
        </w:rPr>
        <w:t>utazi</w:t>
      </w:r>
      <w:proofErr w:type="spellEnd"/>
      <w:r>
        <w:rPr>
          <w:rStyle w:val="markedcontent"/>
          <w:rFonts w:ascii="Times New Roman" w:hAnsi="Times New Roman" w:cs="Times New Roman"/>
          <w:sz w:val="24"/>
          <w:szCs w:val="24"/>
        </w:rPr>
        <w:t xml:space="preserve"> leaf powder yielded 20 g ethanolic extract.</w:t>
      </w:r>
    </w:p>
    <w:p w14:paraId="37052A1F" w14:textId="77777777" w:rsidR="008F228F" w:rsidRDefault="00000000">
      <w:pPr>
        <w:tabs>
          <w:tab w:val="left" w:pos="0"/>
          <w:tab w:val="left" w:pos="284"/>
          <w:tab w:val="left" w:pos="426"/>
        </w:tabs>
        <w:spacing w:before="240" w:after="12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b/>
          <w:sz w:val="24"/>
          <w:szCs w:val="24"/>
        </w:rPr>
        <w:lastRenderedPageBreak/>
        <w:t>Experimental Fish:</w:t>
      </w:r>
      <w:r>
        <w:rPr>
          <w:rStyle w:val="markedcontent"/>
          <w:rFonts w:ascii="Times New Roman" w:hAnsi="Times New Roman" w:cs="Times New Roman"/>
          <w:sz w:val="24"/>
          <w:szCs w:val="24"/>
        </w:rPr>
        <w:t xml:space="preserve"> One hundred and fifty (150) 8- week-old healthy </w:t>
      </w:r>
      <w:r>
        <w:rPr>
          <w:rStyle w:val="markedcontent"/>
          <w:rFonts w:ascii="Times New Roman" w:hAnsi="Times New Roman" w:cs="Times New Roman"/>
          <w:i/>
          <w:sz w:val="24"/>
          <w:szCs w:val="24"/>
        </w:rPr>
        <w:t xml:space="preserve">C. </w:t>
      </w:r>
      <w:proofErr w:type="spellStart"/>
      <w:r>
        <w:rPr>
          <w:rStyle w:val="markedcontent"/>
          <w:rFonts w:ascii="Times New Roman" w:hAnsi="Times New Roman" w:cs="Times New Roman"/>
          <w:i/>
          <w:sz w:val="24"/>
          <w:szCs w:val="24"/>
        </w:rPr>
        <w:t>gariepinus</w:t>
      </w:r>
      <w:proofErr w:type="spellEnd"/>
      <w:r>
        <w:rPr>
          <w:rStyle w:val="markedcontent"/>
          <w:rFonts w:ascii="Times New Roman" w:hAnsi="Times New Roman" w:cs="Times New Roman"/>
          <w:sz w:val="24"/>
          <w:szCs w:val="24"/>
        </w:rPr>
        <w:t xml:space="preserve"> fingerlings with a mean weight of 1.31 ± 0.14 g were purchased from Sacen Fish Farm, Enugu, Nigeria and transported in a well-aerated 50-litre capacity aquarium tank to the Applied Biology Special Laboratory, Enugu State University of Science and Technology, </w:t>
      </w:r>
      <w:proofErr w:type="spellStart"/>
      <w:r>
        <w:rPr>
          <w:rStyle w:val="markedcontent"/>
          <w:rFonts w:ascii="Times New Roman" w:hAnsi="Times New Roman" w:cs="Times New Roman"/>
          <w:sz w:val="24"/>
          <w:szCs w:val="24"/>
        </w:rPr>
        <w:t>Agbani</w:t>
      </w:r>
      <w:proofErr w:type="spellEnd"/>
      <w:r>
        <w:rPr>
          <w:rStyle w:val="markedcontent"/>
          <w:rFonts w:ascii="Times New Roman" w:hAnsi="Times New Roman" w:cs="Times New Roman"/>
          <w:sz w:val="24"/>
          <w:szCs w:val="24"/>
        </w:rPr>
        <w:t xml:space="preserve">, Enugu State, Nigeria. The fish were acclimatized to laboratory conditions for two weeks using well water and were fed 3% of their body weight in divided rations, twice daily (8:30 am and 5:00 pm) with Skretting Catfish Starter Feed (45% crude protein and 2000 kcal/kg </w:t>
      </w:r>
      <w:proofErr w:type="spellStart"/>
      <w:r>
        <w:rPr>
          <w:rStyle w:val="markedcontent"/>
          <w:rFonts w:ascii="Times New Roman" w:hAnsi="Times New Roman" w:cs="Times New Roman"/>
          <w:sz w:val="24"/>
          <w:szCs w:val="24"/>
        </w:rPr>
        <w:t>metabolisable</w:t>
      </w:r>
      <w:proofErr w:type="spellEnd"/>
      <w:r>
        <w:rPr>
          <w:rStyle w:val="markedcontent"/>
          <w:rFonts w:ascii="Times New Roman" w:hAnsi="Times New Roman" w:cs="Times New Roman"/>
          <w:sz w:val="24"/>
          <w:szCs w:val="24"/>
        </w:rPr>
        <w:t xml:space="preserve"> energy), Skretting Nigeria, Ibadan, Nigeria.</w:t>
      </w:r>
    </w:p>
    <w:p w14:paraId="5C2DBC9B" w14:textId="77777777" w:rsidR="008F228F" w:rsidRDefault="00000000">
      <w:pPr>
        <w:tabs>
          <w:tab w:val="left" w:pos="0"/>
          <w:tab w:val="left" w:pos="284"/>
          <w:tab w:val="left" w:pos="426"/>
        </w:tabs>
        <w:spacing w:before="240" w:after="120" w:line="240" w:lineRule="auto"/>
        <w:jc w:val="both"/>
        <w:rPr>
          <w:rStyle w:val="markedcontent"/>
          <w:rFonts w:ascii="Times New Roman" w:eastAsia="Times New Roman" w:hAnsi="Times New Roman" w:cs="Times New Roman"/>
          <w:sz w:val="24"/>
          <w:szCs w:val="24"/>
          <w:lang w:eastAsia="en-GB"/>
        </w:rPr>
      </w:pPr>
      <w:r>
        <w:rPr>
          <w:rStyle w:val="markedcontent"/>
          <w:rFonts w:ascii="Times New Roman" w:hAnsi="Times New Roman" w:cs="Times New Roman"/>
          <w:b/>
          <w:sz w:val="24"/>
          <w:szCs w:val="24"/>
        </w:rPr>
        <w:t>Experimental Diets and Design:</w:t>
      </w:r>
      <w:r>
        <w:rPr>
          <w:rStyle w:val="markedcontent"/>
          <w:rFonts w:ascii="Times New Roman" w:hAnsi="Times New Roman" w:cs="Times New Roman"/>
          <w:sz w:val="24"/>
          <w:szCs w:val="24"/>
        </w:rPr>
        <w:t xml:space="preserve"> The feed was mixed with </w:t>
      </w:r>
      <w:r>
        <w:rPr>
          <w:rFonts w:ascii="Times New Roman" w:eastAsia="Times New Roman" w:hAnsi="Times New Roman" w:cs="Times New Roman"/>
          <w:sz w:val="24"/>
          <w:szCs w:val="24"/>
          <w:lang w:eastAsia="en-GB"/>
        </w:rPr>
        <w:t xml:space="preserve">distilled water, bitter leaf extract (BLE) or </w:t>
      </w:r>
      <w:proofErr w:type="spellStart"/>
      <w:r>
        <w:rPr>
          <w:rFonts w:ascii="Times New Roman" w:eastAsia="Times New Roman" w:hAnsi="Times New Roman" w:cs="Times New Roman"/>
          <w:sz w:val="24"/>
          <w:szCs w:val="24"/>
          <w:lang w:eastAsia="en-GB"/>
        </w:rPr>
        <w:t>utazi</w:t>
      </w:r>
      <w:proofErr w:type="spellEnd"/>
      <w:r>
        <w:rPr>
          <w:rFonts w:ascii="Times New Roman" w:eastAsia="Times New Roman" w:hAnsi="Times New Roman" w:cs="Times New Roman"/>
          <w:sz w:val="24"/>
          <w:szCs w:val="24"/>
          <w:lang w:eastAsia="en-GB"/>
        </w:rPr>
        <w:t xml:space="preserve"> leaf extract (ULE) according</w:t>
      </w:r>
      <w:r>
        <w:rPr>
          <w:rStyle w:val="markedcontent"/>
          <w:rFonts w:ascii="Times New Roman" w:hAnsi="Times New Roman" w:cs="Times New Roman"/>
          <w:sz w:val="24"/>
          <w:szCs w:val="24"/>
        </w:rPr>
        <w:t xml:space="preserve"> to Dandi </w:t>
      </w:r>
      <w:r>
        <w:rPr>
          <w:rStyle w:val="markedcontent"/>
          <w:rFonts w:ascii="Times New Roman" w:hAnsi="Times New Roman" w:cs="Times New Roman"/>
          <w:i/>
          <w:sz w:val="24"/>
          <w:szCs w:val="24"/>
        </w:rPr>
        <w:t>et al</w:t>
      </w:r>
      <w:r>
        <w:rPr>
          <w:rStyle w:val="markedcontent"/>
          <w:rFonts w:ascii="Times New Roman" w:hAnsi="Times New Roman" w:cs="Times New Roman"/>
          <w:sz w:val="24"/>
          <w:szCs w:val="24"/>
        </w:rPr>
        <w:t xml:space="preserve">. (13) with little modification. One kilogram of the commercial feed </w:t>
      </w:r>
      <w:r>
        <w:rPr>
          <w:rFonts w:ascii="Times New Roman" w:eastAsia="Times New Roman" w:hAnsi="Times New Roman" w:cs="Times New Roman"/>
          <w:sz w:val="24"/>
          <w:szCs w:val="24"/>
          <w:lang w:eastAsia="en-GB"/>
        </w:rPr>
        <w:t xml:space="preserve">was measured each into three different bowls. </w:t>
      </w:r>
      <w:r>
        <w:rPr>
          <w:rStyle w:val="markedcontent"/>
          <w:rFonts w:ascii="Times New Roman" w:hAnsi="Times New Roman" w:cs="Times New Roman"/>
          <w:sz w:val="24"/>
          <w:szCs w:val="24"/>
        </w:rPr>
        <w:t>One of the basins held the control (CT) feed, to which 100 mL of distilled water was added and mixed thoroughly; the feeds were pelletized and dried under shade, and later stored. The experimental diets were made indoors by adding to the commercial feed 6% (60 ml; high dose) BLE/ULE. The experimental diets were similarly pelletized and dried under shade, and stored in plastic bags in a refrigerator for later use.</w:t>
      </w:r>
    </w:p>
    <w:p w14:paraId="61A95BE0" w14:textId="77777777" w:rsidR="008F228F" w:rsidRDefault="00000000">
      <w:pPr>
        <w:tabs>
          <w:tab w:val="left" w:pos="0"/>
          <w:tab w:val="left" w:pos="284"/>
          <w:tab w:val="left" w:pos="426"/>
        </w:tabs>
        <w:spacing w:before="240" w:after="120" w:line="240" w:lineRule="auto"/>
        <w:jc w:val="both"/>
        <w:rPr>
          <w:rFonts w:ascii="Times New Roman" w:hAnsi="Times New Roman" w:cs="Times New Roman"/>
          <w:sz w:val="24"/>
          <w:szCs w:val="24"/>
        </w:rPr>
      </w:pPr>
      <w:r>
        <w:rPr>
          <w:rStyle w:val="markedcontent"/>
          <w:rFonts w:ascii="Times New Roman" w:hAnsi="Times New Roman" w:cs="Times New Roman"/>
          <w:sz w:val="24"/>
          <w:szCs w:val="24"/>
        </w:rPr>
        <w:t>After acclimatization, fish were randomly divided into six groups; A, B, C, D, E and F, and replicated thrice (10 fishes/replicate). The treatments were; A (control) (0 ml), B (0.4 DCF), C (6% BLE), D (6% ULE), E (6% BLE + 0.4 DCF) and F (6% ULE + 0.4 DCF). Group A and B were fed with the control diet (CT) without and with exposure to 0.4 mg/L of DCF, respectively. Groups C and E were fed with 6% BLE-supplemented diets without and with exposure to 0.4 mg/L of DCF, respectively. Groups D and F were fed with 6% ULE-supplemented diets without and with exposure to 0.4 mg/L of DCF, respectively. Test fish were monitored at regular time intervals during the experimental period (28 days) and liver samples were taken on the 14</w:t>
      </w:r>
      <w:r>
        <w:rPr>
          <w:rStyle w:val="markedcontent"/>
          <w:rFonts w:ascii="Times New Roman" w:hAnsi="Times New Roman" w:cs="Times New Roman"/>
          <w:sz w:val="24"/>
          <w:szCs w:val="24"/>
          <w:vertAlign w:val="superscript"/>
        </w:rPr>
        <w:t>th</w:t>
      </w:r>
      <w:r>
        <w:rPr>
          <w:rStyle w:val="markedcontent"/>
          <w:rFonts w:ascii="Times New Roman" w:hAnsi="Times New Roman" w:cs="Times New Roman"/>
          <w:sz w:val="24"/>
          <w:szCs w:val="24"/>
        </w:rPr>
        <w:t xml:space="preserve"> and 28th days for antioxidant analysis</w:t>
      </w:r>
    </w:p>
    <w:p w14:paraId="39368AD9" w14:textId="77777777" w:rsidR="008F228F" w:rsidRDefault="00000000">
      <w:pPr>
        <w:tabs>
          <w:tab w:val="center" w:pos="4229"/>
        </w:tabs>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Assay of Antioxidant Enzymes</w:t>
      </w:r>
      <w:r>
        <w:rPr>
          <w:rFonts w:ascii="Times New Roman" w:hAnsi="Times New Roman" w:cs="Times New Roman"/>
          <w:b/>
          <w:sz w:val="24"/>
          <w:szCs w:val="24"/>
        </w:rPr>
        <w:tab/>
      </w:r>
    </w:p>
    <w:p w14:paraId="7C7984F0" w14:textId="77777777" w:rsidR="008F228F" w:rsidRDefault="00000000">
      <w:pPr>
        <w:tabs>
          <w:tab w:val="center" w:pos="4229"/>
        </w:tabs>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Determination of catalase activity</w:t>
      </w:r>
    </w:p>
    <w:p w14:paraId="5CEDF0C9"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activity of catalase was assayed following the method described by Pari and Latha (17). The percentage inhibition was evaluated following decrease in absorbance at 620nm. The liver was homogenized in 0.01M phosphate buffer PH 7.0 and centrifuge at 5000rpm. The reaction mixture consisted of 0.4ml of hydrogen peroxide 0.2M and 1ml of 0.01M phosphate buffer PH 7.0 and 0.1ml of liver homogenate 10%w/v.  The reaction of the mixture was stopped by adding 2ml of dichromate acetic acid reagent 5% K</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 xml:space="preserve"> prepared in glacial acid. The changes in the absorbance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measured at 620nm and recorded. Percentage inhibition was calculated using the equation: </w:t>
      </w:r>
    </w:p>
    <w:p w14:paraId="2F3B23C4" w14:textId="77777777" w:rsidR="008F228F"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Catalase inhibition</w:t>
      </w:r>
      <w:r>
        <w:rPr>
          <w:rFonts w:ascii="Times New Roman" w:hAnsi="Times New Roman" w:cs="Times New Roman"/>
          <w:sz w:val="24"/>
          <w:szCs w:val="24"/>
        </w:rPr>
        <w:t xml:space="preserve"> = </w:t>
      </w:r>
      <w:r>
        <w:rPr>
          <w:rFonts w:ascii="Times New Roman" w:hAnsi="Times New Roman" w:cs="Times New Roman"/>
          <w:sz w:val="24"/>
          <w:szCs w:val="24"/>
          <w:u w:val="single"/>
        </w:rPr>
        <w:t>(normal activity – inhibited activity)</w:t>
      </w:r>
      <w:r>
        <w:rPr>
          <w:rFonts w:ascii="Times New Roman" w:hAnsi="Times New Roman" w:cs="Times New Roman"/>
          <w:sz w:val="24"/>
          <w:szCs w:val="24"/>
        </w:rPr>
        <w:t xml:space="preserve"> </w:t>
      </w:r>
    </w:p>
    <w:p w14:paraId="0AD7DA64" w14:textId="77777777" w:rsidR="008F228F" w:rsidRDefault="00000000">
      <w:pPr>
        <w:spacing w:line="240" w:lineRule="auto"/>
        <w:ind w:firstLine="3255"/>
        <w:jc w:val="both"/>
        <w:rPr>
          <w:rFonts w:ascii="Times New Roman" w:hAnsi="Times New Roman" w:cs="Times New Roman"/>
          <w:sz w:val="24"/>
          <w:szCs w:val="24"/>
        </w:rPr>
      </w:pPr>
      <w:r>
        <w:rPr>
          <w:rFonts w:ascii="Times New Roman" w:hAnsi="Times New Roman" w:cs="Times New Roman"/>
          <w:sz w:val="24"/>
          <w:szCs w:val="24"/>
        </w:rPr>
        <w:t xml:space="preserve">(normal activity) × 100% </w:t>
      </w:r>
    </w:p>
    <w:p w14:paraId="15E1ED0C" w14:textId="77777777" w:rsidR="008F228F" w:rsidRDefault="008F228F">
      <w:pPr>
        <w:spacing w:line="240" w:lineRule="auto"/>
        <w:ind w:firstLine="3255"/>
        <w:jc w:val="both"/>
        <w:rPr>
          <w:rFonts w:ascii="Times New Roman" w:hAnsi="Times New Roman" w:cs="Times New Roman"/>
          <w:sz w:val="24"/>
          <w:szCs w:val="24"/>
        </w:rPr>
      </w:pPr>
    </w:p>
    <w:p w14:paraId="174F9A1D" w14:textId="77777777" w:rsidR="008F228F" w:rsidRDefault="00000000">
      <w:pPr>
        <w:tabs>
          <w:tab w:val="left" w:pos="3018"/>
        </w:tabs>
        <w:spacing w:line="240" w:lineRule="auto"/>
        <w:jc w:val="both"/>
        <w:rPr>
          <w:rFonts w:ascii="Times New Roman" w:hAnsi="Times New Roman" w:cs="Times New Roman"/>
          <w:b/>
          <w:sz w:val="24"/>
          <w:szCs w:val="24"/>
        </w:rPr>
      </w:pPr>
      <w:r>
        <w:rPr>
          <w:rFonts w:ascii="Times New Roman" w:hAnsi="Times New Roman" w:cs="Times New Roman"/>
          <w:b/>
          <w:sz w:val="24"/>
          <w:szCs w:val="24"/>
        </w:rPr>
        <w:t>Where:</w:t>
      </w:r>
      <w:r>
        <w:rPr>
          <w:rFonts w:ascii="Times New Roman" w:hAnsi="Times New Roman" w:cs="Times New Roman"/>
          <w:b/>
          <w:sz w:val="24"/>
          <w:szCs w:val="24"/>
        </w:rPr>
        <w:tab/>
      </w:r>
    </w:p>
    <w:p w14:paraId="63D7F937"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Normal activity =hydrogen peroxide + phosphate buffer;</w:t>
      </w:r>
    </w:p>
    <w:p w14:paraId="6F809309"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Inhibited activity =hydrogen peroxide + phosphate buffer + liver homogenate</w:t>
      </w:r>
    </w:p>
    <w:p w14:paraId="3295BB3A" w14:textId="77777777" w:rsidR="008F228F" w:rsidRDefault="00000000">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Estimation of lipid peroxidation</w:t>
      </w:r>
    </w:p>
    <w:p w14:paraId="353C7CC2"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Lipid peroxidation in the liver was estimated </w:t>
      </w:r>
      <w:proofErr w:type="spellStart"/>
      <w:r>
        <w:rPr>
          <w:rFonts w:ascii="Times New Roman" w:hAnsi="Times New Roman" w:cs="Times New Roman"/>
          <w:sz w:val="24"/>
          <w:szCs w:val="24"/>
        </w:rPr>
        <w:t>colorimeterically</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(TBARS) using the modification method of </w:t>
      </w:r>
      <w:proofErr w:type="spellStart"/>
      <w:r>
        <w:rPr>
          <w:rFonts w:ascii="Times New Roman" w:hAnsi="Times New Roman" w:cs="Times New Roman"/>
          <w:sz w:val="24"/>
          <w:szCs w:val="24"/>
        </w:rPr>
        <w:t>Niehius</w:t>
      </w:r>
      <w:proofErr w:type="spellEnd"/>
      <w:r>
        <w:rPr>
          <w:rFonts w:ascii="Times New Roman" w:hAnsi="Times New Roman" w:cs="Times New Roman"/>
          <w:sz w:val="24"/>
          <w:szCs w:val="24"/>
        </w:rPr>
        <w:t xml:space="preserve"> and Samuelsson (18). In brief, 0.1ml of liver homogenate (10%w/v) was treated with 2ml of (1:1:1ratio) TBA-TCA-HCL reagents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0.37%, 15%, trichloroacetic acid and 0.25 N HCL). All the tubes were placed in a boiling water bath for 30min and cooled. The amount of malondialdehyde (MDA) formed in each of samples was assessed by measuring the absorbance of clear supernatant at 535nm against reference blank. Concentration of MDA was calculated using the equation: C =A/ E × L</w:t>
      </w:r>
    </w:p>
    <w:p w14:paraId="6C8AEC66"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Where A is the absorbance of the sample, E is the extinction coefficient (1.56 ×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M </w:t>
      </w:r>
      <w:r>
        <w:rPr>
          <w:rFonts w:ascii="Times New Roman" w:hAnsi="Times New Roman" w:cs="Times New Roman"/>
          <w:sz w:val="24"/>
          <w:szCs w:val="24"/>
          <w:vertAlign w:val="superscript"/>
        </w:rPr>
        <w:t>-1</w:t>
      </w:r>
      <w:r>
        <w:rPr>
          <w:rFonts w:ascii="Times New Roman" w:hAnsi="Times New Roman" w:cs="Times New Roman"/>
          <w:sz w:val="24"/>
          <w:szCs w:val="24"/>
        </w:rPr>
        <w:t xml:space="preserve"> CM</w:t>
      </w:r>
      <w:r>
        <w:rPr>
          <w:rFonts w:ascii="Times New Roman" w:hAnsi="Times New Roman" w:cs="Times New Roman"/>
          <w:sz w:val="24"/>
          <w:szCs w:val="24"/>
          <w:vertAlign w:val="superscript"/>
        </w:rPr>
        <w:t>-</w:t>
      </w:r>
      <w:r>
        <w:rPr>
          <w:rFonts w:ascii="Times New Roman" w:hAnsi="Times New Roman" w:cs="Times New Roman"/>
          <w:sz w:val="24"/>
          <w:szCs w:val="24"/>
        </w:rPr>
        <w:t>) and L is the length of the light path (1cm)</w:t>
      </w:r>
    </w:p>
    <w:p w14:paraId="289C01AA" w14:textId="77777777" w:rsidR="008F228F" w:rsidRDefault="00000000">
      <w:pPr>
        <w:autoSpaceDE w:val="0"/>
        <w:autoSpaceDN w:val="0"/>
        <w:adjustRightInd w:val="0"/>
        <w:spacing w:before="240"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Nitric oxide radical (no.) scavenging assay</w:t>
      </w:r>
    </w:p>
    <w:p w14:paraId="03F88CEF" w14:textId="77777777" w:rsidR="008F228F"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0.2g </w:t>
      </w:r>
      <w:proofErr w:type="gramStart"/>
      <w:r>
        <w:rPr>
          <w:rFonts w:ascii="Times New Roman" w:hAnsi="Times New Roman" w:cs="Times New Roman"/>
          <w:sz w:val="24"/>
          <w:szCs w:val="24"/>
        </w:rPr>
        <w:t>of  sodium</w:t>
      </w:r>
      <w:proofErr w:type="gramEnd"/>
      <w:r>
        <w:rPr>
          <w:rFonts w:ascii="Times New Roman" w:hAnsi="Times New Roman" w:cs="Times New Roman"/>
          <w:sz w:val="24"/>
          <w:szCs w:val="24"/>
        </w:rPr>
        <w:t xml:space="preserve"> nitroprusside (SNP) was measured according to the method of </w:t>
      </w:r>
      <w:proofErr w:type="spellStart"/>
      <w:r>
        <w:rPr>
          <w:rFonts w:ascii="Times New Roman" w:hAnsi="Times New Roman" w:cs="Times New Roman"/>
          <w:sz w:val="24"/>
          <w:szCs w:val="24"/>
        </w:rPr>
        <w:t>Marcocci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(19). Briefly, the reaction mixture (5.0 ml) containing SNP (5 mM) in phosphate buffered saline (pH 7.3), with or without the plant extract at different concentrations, was incubated at 25°C for 180 min in front of a visible polychromatic light source (25W tungsten lamp). The NO. radical thus generated interacted with oxygen to produce the nitrite ion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 xml:space="preserve"> which was assayed at 30 min intervals by mixing 1.0 ml of incubation mixture with an equal amount of Griess reagent (1% sulfanilamide in 5% phosphoric acid and 0.1% </w:t>
      </w:r>
      <w:proofErr w:type="spellStart"/>
      <w:r>
        <w:rPr>
          <w:rFonts w:ascii="Times New Roman" w:hAnsi="Times New Roman" w:cs="Times New Roman"/>
          <w:sz w:val="24"/>
          <w:szCs w:val="24"/>
        </w:rPr>
        <w:t>naphthylethylenediaminedihydrochloride</w:t>
      </w:r>
      <w:proofErr w:type="spellEnd"/>
      <w:r>
        <w:rPr>
          <w:rFonts w:ascii="Times New Roman" w:hAnsi="Times New Roman" w:cs="Times New Roman"/>
          <w:sz w:val="24"/>
          <w:szCs w:val="24"/>
        </w:rPr>
        <w:t xml:space="preserve">). The absorbance of the chromophore (purple azo dye) formed during the </w:t>
      </w:r>
      <w:proofErr w:type="spellStart"/>
      <w:r>
        <w:rPr>
          <w:rFonts w:ascii="Times New Roman" w:hAnsi="Times New Roman" w:cs="Times New Roman"/>
          <w:sz w:val="24"/>
          <w:szCs w:val="24"/>
        </w:rPr>
        <w:t>diazotisation</w:t>
      </w:r>
      <w:proofErr w:type="spellEnd"/>
      <w:r>
        <w:rPr>
          <w:rFonts w:ascii="Times New Roman" w:hAnsi="Times New Roman" w:cs="Times New Roman"/>
          <w:sz w:val="24"/>
          <w:szCs w:val="24"/>
        </w:rPr>
        <w:t xml:space="preserve"> of nitrite ions with </w:t>
      </w:r>
      <w:proofErr w:type="spellStart"/>
      <w:r>
        <w:rPr>
          <w:rFonts w:ascii="Times New Roman" w:hAnsi="Times New Roman" w:cs="Times New Roman"/>
          <w:sz w:val="24"/>
          <w:szCs w:val="24"/>
        </w:rPr>
        <w:t>sulphanilamide</w:t>
      </w:r>
      <w:proofErr w:type="spellEnd"/>
      <w:r>
        <w:rPr>
          <w:rFonts w:ascii="Times New Roman" w:hAnsi="Times New Roman" w:cs="Times New Roman"/>
          <w:sz w:val="24"/>
          <w:szCs w:val="24"/>
        </w:rPr>
        <w:t xml:space="preserve"> and subsequent coupling with </w:t>
      </w:r>
      <w:proofErr w:type="spellStart"/>
      <w:r>
        <w:rPr>
          <w:rFonts w:ascii="Times New Roman" w:hAnsi="Times New Roman" w:cs="Times New Roman"/>
          <w:sz w:val="24"/>
          <w:szCs w:val="24"/>
        </w:rPr>
        <w:t>naphthylethylenediaminedihydrochloride</w:t>
      </w:r>
      <w:proofErr w:type="spellEnd"/>
      <w:r>
        <w:rPr>
          <w:rFonts w:ascii="Times New Roman" w:hAnsi="Times New Roman" w:cs="Times New Roman"/>
          <w:sz w:val="24"/>
          <w:szCs w:val="24"/>
        </w:rPr>
        <w:t xml:space="preserve"> was measured at 546 nm. The nitrite generated in the presence or absence of the plant extract was estimated using a standard curve based on sodium nitrite solutions of known concentrations. Each experiment was carried out at least three times and the data presented as an average of three independent determinations.</w:t>
      </w:r>
    </w:p>
    <w:p w14:paraId="71436CCF" w14:textId="77777777" w:rsidR="008F228F" w:rsidRDefault="00000000">
      <w:pPr>
        <w:autoSpaceDE w:val="0"/>
        <w:autoSpaceDN w:val="0"/>
        <w:adjustRightInd w:val="0"/>
        <w:spacing w:before="240" w:after="0" w:line="240" w:lineRule="auto"/>
        <w:jc w:val="both"/>
        <w:rPr>
          <w:rFonts w:ascii="Times New Roman" w:hAnsi="Times New Roman" w:cs="Times New Roman"/>
          <w:b/>
          <w:bCs/>
          <w:iCs/>
          <w:sz w:val="24"/>
          <w:szCs w:val="24"/>
        </w:rPr>
      </w:pPr>
      <w:proofErr w:type="spellStart"/>
      <w:r>
        <w:rPr>
          <w:rFonts w:ascii="Times New Roman" w:hAnsi="Times New Roman" w:cs="Times New Roman"/>
          <w:b/>
          <w:bCs/>
          <w:iCs/>
          <w:sz w:val="24"/>
          <w:szCs w:val="24"/>
        </w:rPr>
        <w:t>Hydroxylradical</w:t>
      </w:r>
      <w:proofErr w:type="spellEnd"/>
      <w:r>
        <w:rPr>
          <w:rFonts w:ascii="Times New Roman" w:hAnsi="Times New Roman" w:cs="Times New Roman"/>
          <w:b/>
          <w:bCs/>
          <w:iCs/>
          <w:sz w:val="24"/>
          <w:szCs w:val="24"/>
        </w:rPr>
        <w:t xml:space="preserve"> </w:t>
      </w:r>
      <w:proofErr w:type="gramStart"/>
      <w:r>
        <w:rPr>
          <w:rFonts w:ascii="Times New Roman" w:hAnsi="Times New Roman" w:cs="Times New Roman"/>
          <w:b/>
          <w:bCs/>
          <w:iCs/>
          <w:sz w:val="24"/>
          <w:szCs w:val="24"/>
        </w:rPr>
        <w:t>(.OH</w:t>
      </w:r>
      <w:proofErr w:type="gramEnd"/>
      <w:r>
        <w:rPr>
          <w:rFonts w:ascii="Times New Roman" w:hAnsi="Times New Roman" w:cs="Times New Roman"/>
          <w:b/>
          <w:bCs/>
          <w:iCs/>
          <w:sz w:val="24"/>
          <w:szCs w:val="24"/>
        </w:rPr>
        <w:t xml:space="preserve">)-scavenging assay </w:t>
      </w:r>
    </w:p>
    <w:p w14:paraId="42B2460C" w14:textId="77777777" w:rsidR="008F228F"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2-deoxyribose assay was used to determine the scavenging effect of the extract on </w:t>
      </w:r>
      <w:proofErr w:type="gramStart"/>
      <w:r>
        <w:rPr>
          <w:rFonts w:ascii="Times New Roman" w:hAnsi="Times New Roman" w:cs="Times New Roman"/>
          <w:sz w:val="24"/>
          <w:szCs w:val="24"/>
        </w:rPr>
        <w:t xml:space="preserve">the </w:t>
      </w:r>
      <w:r>
        <w:rPr>
          <w:rFonts w:ascii="Times New Roman" w:hAnsi="Times New Roman" w:cs="Times New Roman"/>
          <w:b/>
          <w:bCs/>
          <w:sz w:val="24"/>
          <w:szCs w:val="24"/>
        </w:rPr>
        <w:t>.</w:t>
      </w:r>
      <w:r>
        <w:rPr>
          <w:rFonts w:ascii="Times New Roman" w:hAnsi="Times New Roman" w:cs="Times New Roman"/>
          <w:sz w:val="24"/>
          <w:szCs w:val="24"/>
        </w:rPr>
        <w:t>OH</w:t>
      </w:r>
      <w:proofErr w:type="gramEnd"/>
      <w:r>
        <w:rPr>
          <w:rFonts w:ascii="Times New Roman" w:hAnsi="Times New Roman" w:cs="Times New Roman"/>
          <w:sz w:val="24"/>
          <w:szCs w:val="24"/>
        </w:rPr>
        <w:t xml:space="preserve"> radical, as reported by Halliwell </w:t>
      </w:r>
      <w:r>
        <w:rPr>
          <w:rFonts w:ascii="Times New Roman" w:hAnsi="Times New Roman" w:cs="Times New Roman"/>
          <w:i/>
          <w:sz w:val="24"/>
          <w:szCs w:val="24"/>
        </w:rPr>
        <w:t>et al</w:t>
      </w:r>
      <w:r>
        <w:rPr>
          <w:rFonts w:ascii="Times New Roman" w:hAnsi="Times New Roman" w:cs="Times New Roman"/>
          <w:sz w:val="24"/>
          <w:szCs w:val="24"/>
        </w:rPr>
        <w:t xml:space="preserve">. (20) with minor modifications (21). Each reaction mixture contained, the following final concentrations of reagents in a final volume of 1.0 ml: 2-deoxyribose (2.5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potassium phosphate buffer (pH 7.4, 20 mM), FeCl3 (100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EDTA (104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H2O2 (1 mM), and L-ascorbic acid (100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The mixtures were incubated for 1 h at 37°C, followed by addition of 1.0 ml of 1% (w/v) TBA in 0.05 M NaOH and 1.0 ml of 2.8% (w/v) TCA. The resulting mixture was heated for 15 min at 100°C. After </w:t>
      </w:r>
      <w:proofErr w:type="gramStart"/>
      <w:r>
        <w:rPr>
          <w:rFonts w:ascii="Times New Roman" w:hAnsi="Times New Roman" w:cs="Times New Roman"/>
          <w:sz w:val="24"/>
          <w:szCs w:val="24"/>
        </w:rPr>
        <w:t>cooling  on</w:t>
      </w:r>
      <w:proofErr w:type="gramEnd"/>
      <w:r>
        <w:rPr>
          <w:rFonts w:ascii="Times New Roman" w:hAnsi="Times New Roman" w:cs="Times New Roman"/>
          <w:sz w:val="24"/>
          <w:szCs w:val="24"/>
        </w:rPr>
        <w:t xml:space="preserve"> ice, absorbance was measured at 532 nm. Inhibition of 2-deoxyribose degradation expressed in percentage was calculated as per the equation:</w:t>
      </w:r>
    </w:p>
    <w:p w14:paraId="4C361625" w14:textId="77777777" w:rsidR="008F228F" w:rsidRDefault="00000000">
      <w:pPr>
        <w:autoSpaceDE w:val="0"/>
        <w:autoSpaceDN w:val="0"/>
        <w:adjustRightInd w:val="0"/>
        <w:spacing w:after="0" w:line="24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rPr>
        <w:t>%  hydroxyl</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radical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(A0 – A1) × 100</w:t>
      </w:r>
    </w:p>
    <w:p w14:paraId="51FC76D6" w14:textId="77777777" w:rsidR="008F228F"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A0</w:t>
      </w:r>
    </w:p>
    <w:p w14:paraId="5D67D113" w14:textId="77777777" w:rsidR="008F228F"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A0 - Absorbance of control</w:t>
      </w:r>
    </w:p>
    <w:p w14:paraId="72CC9DDE" w14:textId="77777777" w:rsidR="008F228F" w:rsidRDefault="0000000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A1 - Absorbance in the presence of sample</w:t>
      </w:r>
    </w:p>
    <w:p w14:paraId="2ED130EE" w14:textId="77777777" w:rsidR="008F228F" w:rsidRDefault="00000000">
      <w:pPr>
        <w:tabs>
          <w:tab w:val="left" w:pos="0"/>
          <w:tab w:val="left" w:pos="3119"/>
        </w:tabs>
        <w:spacing w:before="240" w:after="240" w:line="240"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Data Analysis</w:t>
      </w:r>
    </w:p>
    <w:p w14:paraId="2A4EE7DD" w14:textId="77777777" w:rsidR="008F228F" w:rsidRDefault="00000000">
      <w:pPr>
        <w:tabs>
          <w:tab w:val="left" w:pos="0"/>
          <w:tab w:val="left" w:pos="2022"/>
        </w:tabs>
        <w:spacing w:before="240" w:after="240" w:line="240" w:lineRule="auto"/>
        <w:jc w:val="both"/>
        <w:rPr>
          <w:rFonts w:ascii="Times New Roman" w:hAnsi="Times New Roman" w:cs="Times New Roman"/>
          <w:sz w:val="24"/>
          <w:szCs w:val="24"/>
        </w:rPr>
      </w:pPr>
      <w:r>
        <w:rPr>
          <w:rStyle w:val="markedcontent"/>
          <w:rFonts w:ascii="Times New Roman" w:hAnsi="Times New Roman" w:cs="Times New Roman"/>
          <w:sz w:val="24"/>
          <w:szCs w:val="24"/>
        </w:rPr>
        <w:t xml:space="preserve">Biological data from the feeding trial was subjected to one-way analysis of variance (ANOVA) using statistical package for social sciences (SPSS) version 21. Where significant difference </w:t>
      </w:r>
      <w:proofErr w:type="gramStart"/>
      <w:r>
        <w:rPr>
          <w:rStyle w:val="markedcontent"/>
          <w:rFonts w:ascii="Times New Roman" w:hAnsi="Times New Roman" w:cs="Times New Roman"/>
          <w:sz w:val="24"/>
          <w:szCs w:val="24"/>
        </w:rPr>
        <w:t>were</w:t>
      </w:r>
      <w:proofErr w:type="gramEnd"/>
      <w:r>
        <w:rPr>
          <w:rStyle w:val="markedcontent"/>
          <w:rFonts w:ascii="Times New Roman" w:hAnsi="Times New Roman" w:cs="Times New Roman"/>
          <w:sz w:val="24"/>
          <w:szCs w:val="24"/>
        </w:rPr>
        <w:t xml:space="preserve"> observed, the means were compared further using Duncan New Multiple test range at 5% level of significance.</w:t>
      </w:r>
    </w:p>
    <w:p w14:paraId="3021D51D" w14:textId="77777777" w:rsidR="008F228F" w:rsidRDefault="00000000">
      <w:pPr>
        <w:tabs>
          <w:tab w:val="left" w:pos="0"/>
        </w:tabs>
        <w:spacing w:before="240" w:after="240" w:line="240" w:lineRule="auto"/>
        <w:jc w:val="center"/>
        <w:rPr>
          <w:rFonts w:ascii="Times New Roman" w:hAnsi="Times New Roman" w:cs="Times New Roman"/>
          <w:b/>
          <w:sz w:val="24"/>
          <w:szCs w:val="24"/>
        </w:rPr>
      </w:pPr>
      <w:r>
        <w:rPr>
          <w:rStyle w:val="markedcontent"/>
          <w:rFonts w:ascii="Times New Roman" w:hAnsi="Times New Roman" w:cs="Times New Roman"/>
          <w:b/>
          <w:sz w:val="24"/>
          <w:szCs w:val="24"/>
        </w:rPr>
        <w:t>RESULTS</w:t>
      </w:r>
    </w:p>
    <w:p w14:paraId="1CF98C7C" w14:textId="77777777" w:rsidR="008F228F" w:rsidRDefault="00000000">
      <w:pPr>
        <w:tabs>
          <w:tab w:val="left" w:pos="142"/>
          <w:tab w:val="left" w:pos="202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Antioxidant Properties</w:t>
      </w:r>
    </w:p>
    <w:p w14:paraId="2C8F2772" w14:textId="77777777" w:rsidR="008F228F" w:rsidRDefault="00000000">
      <w:pPr>
        <w:spacing w:after="120" w:line="240" w:lineRule="auto"/>
        <w:ind w:right="-108" w:hanging="5"/>
        <w:jc w:val="both"/>
        <w:rPr>
          <w:rFonts w:ascii="Times New Roman" w:hAnsi="Times New Roman" w:cs="Times New Roman"/>
          <w:sz w:val="24"/>
          <w:szCs w:val="24"/>
        </w:rPr>
      </w:pPr>
      <w:r>
        <w:rPr>
          <w:rFonts w:ascii="Times New Roman" w:hAnsi="Times New Roman" w:cs="Times New Roman"/>
          <w:sz w:val="24"/>
          <w:szCs w:val="24"/>
        </w:rPr>
        <w:t xml:space="preserve">The effect of BLE and ULE on the antioxidant properties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gariepinus</w:t>
      </w:r>
      <w:proofErr w:type="spellEnd"/>
      <w:r>
        <w:rPr>
          <w:rFonts w:ascii="Times New Roman" w:hAnsi="Times New Roman" w:cs="Times New Roman"/>
          <w:i/>
          <w:sz w:val="24"/>
          <w:szCs w:val="24"/>
        </w:rPr>
        <w:t xml:space="preserve"> </w:t>
      </w:r>
      <w:r>
        <w:rPr>
          <w:rFonts w:ascii="Times New Roman" w:hAnsi="Times New Roman" w:cs="Times New Roman"/>
          <w:sz w:val="24"/>
          <w:szCs w:val="24"/>
        </w:rPr>
        <w:t>exposed to diclofenac are presented in Table 1. Malondialdehyde (MDA), on day 14 had the lowest value in 6% ULE (20.65±0.21) and the highest value in DCF (</w:t>
      </w:r>
      <w:r>
        <w:rPr>
          <w:rFonts w:ascii="Times New Roman" w:hAnsi="Times New Roman" w:cs="Times New Roman"/>
          <w:color w:val="000000"/>
          <w:sz w:val="24"/>
          <w:szCs w:val="24"/>
        </w:rPr>
        <w:t>43.35±3.47</w:t>
      </w:r>
      <w:r>
        <w:rPr>
          <w:rFonts w:ascii="Times New Roman" w:hAnsi="Times New Roman" w:cs="Times New Roman"/>
          <w:sz w:val="24"/>
          <w:szCs w:val="24"/>
        </w:rPr>
        <w:t>). On day 28, its lowest value was in 6% ULE+ 0.4 DCF (</w:t>
      </w:r>
      <w:r>
        <w:rPr>
          <w:rFonts w:ascii="Times New Roman" w:hAnsi="Times New Roman" w:cs="Times New Roman"/>
          <w:color w:val="000000"/>
          <w:sz w:val="24"/>
          <w:szCs w:val="24"/>
        </w:rPr>
        <w:t xml:space="preserve">29.00±0.93)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highest value in 6% BLE + 0.4 DCF (</w:t>
      </w:r>
      <w:r>
        <w:rPr>
          <w:rFonts w:ascii="Times New Roman" w:hAnsi="Times New Roman" w:cs="Times New Roman"/>
          <w:color w:val="000000"/>
          <w:sz w:val="24"/>
          <w:szCs w:val="24"/>
        </w:rPr>
        <w:t>66.50±3.54</w:t>
      </w:r>
      <w:r>
        <w:rPr>
          <w:rFonts w:ascii="Times New Roman" w:hAnsi="Times New Roman" w:cs="Times New Roman"/>
          <w:sz w:val="24"/>
          <w:szCs w:val="24"/>
        </w:rPr>
        <w:t>). Hydroxyl radical on day 14 had the lowest value in 6% BLE (</w:t>
      </w:r>
      <w:r>
        <w:rPr>
          <w:rFonts w:ascii="Times New Roman" w:hAnsi="Times New Roman" w:cs="Times New Roman"/>
          <w:color w:val="000000"/>
          <w:sz w:val="24"/>
          <w:szCs w:val="24"/>
        </w:rPr>
        <w:t xml:space="preserve">17.64±0.11) </w:t>
      </w:r>
      <w:r>
        <w:rPr>
          <w:rFonts w:ascii="Times New Roman" w:hAnsi="Times New Roman" w:cs="Times New Roman"/>
          <w:sz w:val="24"/>
          <w:szCs w:val="24"/>
        </w:rPr>
        <w:t>and the highest value in 0.4 DCF (</w:t>
      </w:r>
      <w:r>
        <w:rPr>
          <w:rFonts w:ascii="Times New Roman" w:hAnsi="Times New Roman" w:cs="Times New Roman"/>
          <w:color w:val="000000"/>
          <w:sz w:val="24"/>
          <w:szCs w:val="24"/>
        </w:rPr>
        <w:t>34.46±0.79</w:t>
      </w:r>
      <w:r>
        <w:rPr>
          <w:rFonts w:ascii="Times New Roman" w:hAnsi="Times New Roman" w:cs="Times New Roman"/>
          <w:sz w:val="24"/>
          <w:szCs w:val="24"/>
        </w:rPr>
        <w:t xml:space="preserve">). On day 28, its lowest value was in 6% ULE (39.51±0.54) 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highest value in 6% BLE (91.50±2.12). Catalase on day 14 had the lowest value in 6% ULE (19.40±0.71)</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the highest value in 6% BLE + 0.4 DCF (</w:t>
      </w:r>
      <w:r>
        <w:rPr>
          <w:rFonts w:ascii="Times New Roman" w:hAnsi="Times New Roman" w:cs="Times New Roman"/>
          <w:color w:val="000000"/>
          <w:sz w:val="24"/>
          <w:szCs w:val="24"/>
        </w:rPr>
        <w:t>45.67±0.07</w:t>
      </w:r>
      <w:r>
        <w:rPr>
          <w:rFonts w:ascii="Times New Roman" w:hAnsi="Times New Roman" w:cs="Times New Roman"/>
          <w:sz w:val="24"/>
          <w:szCs w:val="24"/>
        </w:rPr>
        <w:t xml:space="preserve">). On day 28, its lowest value was in 0.4 </w:t>
      </w:r>
      <w:proofErr w:type="gramStart"/>
      <w:r>
        <w:rPr>
          <w:rFonts w:ascii="Times New Roman" w:hAnsi="Times New Roman" w:cs="Times New Roman"/>
          <w:sz w:val="24"/>
          <w:szCs w:val="24"/>
        </w:rPr>
        <w:t>DCF(</w:t>
      </w:r>
      <w:proofErr w:type="gramEnd"/>
      <w:r>
        <w:rPr>
          <w:rFonts w:ascii="Times New Roman" w:hAnsi="Times New Roman" w:cs="Times New Roman"/>
          <w:color w:val="000000"/>
          <w:sz w:val="24"/>
          <w:szCs w:val="24"/>
        </w:rPr>
        <w:t>29.17±0.</w:t>
      </w:r>
      <w:proofErr w:type="gramStart"/>
      <w:r>
        <w:rPr>
          <w:rFonts w:ascii="Times New Roman" w:hAnsi="Times New Roman" w:cs="Times New Roman"/>
          <w:color w:val="000000"/>
          <w:sz w:val="24"/>
          <w:szCs w:val="24"/>
        </w:rPr>
        <w:t>55</w:t>
      </w:r>
      <w:r>
        <w:rPr>
          <w:rFonts w:ascii="Times New Roman" w:hAnsi="Times New Roman" w:cs="Times New Roman"/>
          <w:color w:val="000000"/>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highest value in 6% BLE+ 0.4 </w:t>
      </w:r>
      <w:proofErr w:type="gramStart"/>
      <w:r>
        <w:rPr>
          <w:rFonts w:ascii="Times New Roman" w:hAnsi="Times New Roman" w:cs="Times New Roman"/>
          <w:sz w:val="24"/>
          <w:szCs w:val="24"/>
        </w:rPr>
        <w:t>DCF  (</w:t>
      </w:r>
      <w:proofErr w:type="gramEnd"/>
      <w:r>
        <w:rPr>
          <w:rFonts w:ascii="Times New Roman" w:hAnsi="Times New Roman" w:cs="Times New Roman"/>
          <w:color w:val="000000"/>
          <w:sz w:val="24"/>
          <w:szCs w:val="24"/>
        </w:rPr>
        <w:t>66.50±0.70</w:t>
      </w:r>
      <w:r>
        <w:rPr>
          <w:rFonts w:ascii="Times New Roman" w:hAnsi="Times New Roman" w:cs="Times New Roman"/>
          <w:sz w:val="24"/>
          <w:szCs w:val="24"/>
        </w:rPr>
        <w:t>). Nitric   Oxide on day 14 had the lowest value 6% BLE + 0.4 DCF (</w:t>
      </w:r>
      <w:r>
        <w:rPr>
          <w:rFonts w:ascii="Times New Roman" w:hAnsi="Times New Roman" w:cs="Times New Roman"/>
          <w:color w:val="000000"/>
          <w:sz w:val="24"/>
          <w:szCs w:val="24"/>
        </w:rPr>
        <w:t>12.44±0.02)</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the highest value in 0.4 DCF (</w:t>
      </w:r>
      <w:r>
        <w:rPr>
          <w:rFonts w:ascii="Times New Roman" w:hAnsi="Times New Roman" w:cs="Times New Roman"/>
          <w:color w:val="000000"/>
          <w:sz w:val="24"/>
          <w:szCs w:val="24"/>
        </w:rPr>
        <w:t>50.59±0.12</w:t>
      </w:r>
      <w:r>
        <w:rPr>
          <w:rFonts w:ascii="Times New Roman" w:hAnsi="Times New Roman" w:cs="Times New Roman"/>
          <w:sz w:val="24"/>
          <w:szCs w:val="24"/>
        </w:rPr>
        <w:t>). On day 28, its lowest value was in 6% ULE + 0.4 DCF (</w:t>
      </w:r>
      <w:r>
        <w:rPr>
          <w:rFonts w:ascii="Times New Roman" w:hAnsi="Times New Roman" w:cs="Times New Roman"/>
          <w:color w:val="000000"/>
          <w:sz w:val="24"/>
          <w:szCs w:val="24"/>
        </w:rPr>
        <w:t xml:space="preserve">40.62±0.23)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highest value in 6% BLE+ 0.4 DCF (</w:t>
      </w:r>
      <w:r>
        <w:rPr>
          <w:rFonts w:ascii="Times New Roman" w:hAnsi="Times New Roman" w:cs="Times New Roman"/>
          <w:color w:val="000000"/>
          <w:sz w:val="24"/>
          <w:szCs w:val="24"/>
        </w:rPr>
        <w:t>95.50±3.54</w:t>
      </w:r>
      <w:r>
        <w:rPr>
          <w:rFonts w:ascii="Times New Roman" w:hAnsi="Times New Roman" w:cs="Times New Roman"/>
          <w:sz w:val="24"/>
          <w:szCs w:val="24"/>
        </w:rPr>
        <w:t xml:space="preserve">).  pH on day 14 had the lowest value 6% BLE+ 0.4 </w:t>
      </w:r>
      <w:proofErr w:type="gramStart"/>
      <w:r>
        <w:rPr>
          <w:rFonts w:ascii="Times New Roman" w:hAnsi="Times New Roman" w:cs="Times New Roman"/>
          <w:sz w:val="24"/>
          <w:szCs w:val="24"/>
        </w:rPr>
        <w:t>DCF  (</w:t>
      </w:r>
      <w:proofErr w:type="gramEnd"/>
      <w:r>
        <w:rPr>
          <w:rFonts w:ascii="Times New Roman" w:hAnsi="Times New Roman" w:cs="Times New Roman"/>
          <w:color w:val="000000"/>
          <w:sz w:val="24"/>
          <w:szCs w:val="24"/>
        </w:rPr>
        <w:t>6.85±0.06)</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the highest value in 0.4 DCF (</w:t>
      </w:r>
      <w:r>
        <w:rPr>
          <w:rFonts w:ascii="Times New Roman" w:hAnsi="Times New Roman" w:cs="Times New Roman"/>
          <w:color w:val="000000"/>
          <w:sz w:val="24"/>
          <w:szCs w:val="24"/>
        </w:rPr>
        <w:t>8.93±0.04</w:t>
      </w:r>
      <w:r>
        <w:rPr>
          <w:rFonts w:ascii="Times New Roman" w:hAnsi="Times New Roman" w:cs="Times New Roman"/>
          <w:sz w:val="24"/>
          <w:szCs w:val="24"/>
        </w:rPr>
        <w:t xml:space="preserve">). On day 28, its lowest value was in control (5.32±0.03) and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highest value in 6% BLE+ 0.4 DCF (</w:t>
      </w:r>
      <w:r>
        <w:rPr>
          <w:rFonts w:ascii="Times New Roman" w:hAnsi="Times New Roman" w:cs="Times New Roman"/>
          <w:color w:val="000000"/>
          <w:sz w:val="24"/>
          <w:szCs w:val="24"/>
        </w:rPr>
        <w:t>6.60±0.14</w:t>
      </w:r>
      <w:r>
        <w:rPr>
          <w:rFonts w:ascii="Times New Roman" w:hAnsi="Times New Roman" w:cs="Times New Roman"/>
          <w:sz w:val="24"/>
          <w:szCs w:val="24"/>
        </w:rPr>
        <w:t>).</w:t>
      </w:r>
    </w:p>
    <w:p w14:paraId="0AE91550" w14:textId="10B86DDB" w:rsidR="008F228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23A66">
        <w:rPr>
          <w:rFonts w:ascii="Times New Roman" w:hAnsi="Times New Roman" w:cs="Times New Roman"/>
          <w:b/>
          <w:sz w:val="24"/>
          <w:szCs w:val="24"/>
        </w:rPr>
        <w:t>2</w:t>
      </w:r>
      <w:r>
        <w:rPr>
          <w:rFonts w:ascii="Times New Roman" w:hAnsi="Times New Roman" w:cs="Times New Roman"/>
          <w:b/>
          <w:sz w:val="24"/>
          <w:szCs w:val="24"/>
        </w:rPr>
        <w:t xml:space="preserve">: The Effect of </w:t>
      </w:r>
      <w:r>
        <w:rPr>
          <w:rStyle w:val="markedcontent"/>
          <w:rFonts w:ascii="Times New Roman" w:hAnsi="Times New Roman" w:cs="Times New Roman"/>
          <w:b/>
          <w:sz w:val="24"/>
          <w:szCs w:val="24"/>
        </w:rPr>
        <w:t xml:space="preserve">the </w:t>
      </w:r>
      <w:r>
        <w:rPr>
          <w:rFonts w:ascii="Times New Roman" w:hAnsi="Times New Roman" w:cs="Times New Roman"/>
          <w:b/>
          <w:sz w:val="24"/>
          <w:szCs w:val="24"/>
        </w:rPr>
        <w:t xml:space="preserve">Ethanolic Extract of </w:t>
      </w:r>
      <w:r>
        <w:rPr>
          <w:rStyle w:val="markedcontent"/>
          <w:rFonts w:ascii="Times New Roman" w:hAnsi="Times New Roman" w:cs="Times New Roman"/>
          <w:b/>
          <w:sz w:val="24"/>
          <w:szCs w:val="24"/>
        </w:rPr>
        <w:t>Bitter Leaf</w:t>
      </w:r>
      <w:r>
        <w:rPr>
          <w:rFonts w:ascii="Times New Roman" w:hAnsi="Times New Roman" w:cs="Times New Roman"/>
          <w:b/>
          <w:sz w:val="24"/>
          <w:szCs w:val="24"/>
        </w:rPr>
        <w:t xml:space="preserve"> (</w:t>
      </w:r>
      <w:r>
        <w:rPr>
          <w:rStyle w:val="markedcontent"/>
          <w:rFonts w:ascii="Times New Roman" w:hAnsi="Times New Roman" w:cs="Times New Roman"/>
          <w:b/>
          <w:i/>
          <w:sz w:val="24"/>
          <w:szCs w:val="24"/>
        </w:rPr>
        <w:t xml:space="preserve">Vernonia </w:t>
      </w:r>
      <w:proofErr w:type="spellStart"/>
      <w:r>
        <w:rPr>
          <w:rStyle w:val="markedcontent"/>
          <w:rFonts w:ascii="Times New Roman" w:hAnsi="Times New Roman" w:cs="Times New Roman"/>
          <w:b/>
          <w:i/>
          <w:sz w:val="24"/>
          <w:szCs w:val="24"/>
        </w:rPr>
        <w:t>amygalina</w:t>
      </w:r>
      <w:proofErr w:type="spellEnd"/>
      <w:r>
        <w:rPr>
          <w:rStyle w:val="markedcontent"/>
          <w:rFonts w:ascii="Times New Roman" w:hAnsi="Times New Roman" w:cs="Times New Roman"/>
          <w:b/>
          <w:sz w:val="24"/>
          <w:szCs w:val="24"/>
        </w:rPr>
        <w:t>) and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Utazi</w:t>
      </w:r>
      <w:proofErr w:type="spellEnd"/>
      <w:r>
        <w:rPr>
          <w:rFonts w:ascii="Times New Roman" w:hAnsi="Times New Roman" w:cs="Times New Roman"/>
          <w:b/>
          <w:sz w:val="24"/>
          <w:szCs w:val="24"/>
        </w:rPr>
        <w:t xml:space="preserve"> Leaf (</w:t>
      </w:r>
      <w:proofErr w:type="spellStart"/>
      <w:proofErr w:type="gramStart"/>
      <w:r>
        <w:rPr>
          <w:rFonts w:ascii="Times New Roman" w:hAnsi="Times New Roman" w:cs="Times New Roman"/>
          <w:b/>
          <w:i/>
          <w:iCs/>
          <w:sz w:val="24"/>
          <w:szCs w:val="24"/>
        </w:rPr>
        <w:t>Gongronema</w:t>
      </w:r>
      <w:proofErr w:type="spellEnd"/>
      <w:r>
        <w:rPr>
          <w:rFonts w:ascii="Times New Roman" w:hAnsi="Times New Roman" w:cs="Times New Roman"/>
          <w:b/>
          <w:i/>
          <w:iCs/>
          <w:sz w:val="24"/>
          <w:szCs w:val="24"/>
        </w:rPr>
        <w:t xml:space="preserve"> </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latifolium</w:t>
      </w:r>
      <w:proofErr w:type="spellEnd"/>
      <w:proofErr w:type="gramEnd"/>
      <w:r>
        <w:rPr>
          <w:rFonts w:ascii="Times New Roman" w:hAnsi="Times New Roman" w:cs="Times New Roman"/>
          <w:b/>
          <w:sz w:val="24"/>
          <w:szCs w:val="24"/>
        </w:rPr>
        <w:t xml:space="preserve">) on the Antioxidant Property of </w:t>
      </w:r>
      <w:r>
        <w:rPr>
          <w:rFonts w:ascii="Times New Roman" w:hAnsi="Times New Roman" w:cs="Times New Roman"/>
          <w:b/>
          <w:i/>
          <w:sz w:val="24"/>
          <w:szCs w:val="24"/>
        </w:rPr>
        <w:t xml:space="preserve">Clarias </w:t>
      </w:r>
      <w:proofErr w:type="spellStart"/>
      <w:r>
        <w:rPr>
          <w:rFonts w:ascii="Times New Roman" w:hAnsi="Times New Roman" w:cs="Times New Roman"/>
          <w:b/>
          <w:i/>
          <w:sz w:val="24"/>
          <w:szCs w:val="24"/>
        </w:rPr>
        <w:t>gariepinus</w:t>
      </w:r>
      <w:proofErr w:type="spellEnd"/>
      <w:r>
        <w:rPr>
          <w:rFonts w:ascii="Times New Roman" w:hAnsi="Times New Roman" w:cs="Times New Roman"/>
          <w:b/>
          <w:i/>
          <w:sz w:val="24"/>
          <w:szCs w:val="24"/>
        </w:rPr>
        <w:t xml:space="preserve"> </w:t>
      </w:r>
      <w:r>
        <w:rPr>
          <w:rFonts w:ascii="Times New Roman" w:hAnsi="Times New Roman" w:cs="Times New Roman"/>
          <w:b/>
          <w:sz w:val="24"/>
          <w:szCs w:val="24"/>
        </w:rPr>
        <w:t xml:space="preserve">(African Catfish) treated </w:t>
      </w:r>
      <w:proofErr w:type="spellStart"/>
      <w:r>
        <w:rPr>
          <w:rFonts w:ascii="Times New Roman" w:hAnsi="Times New Roman" w:cs="Times New Roman"/>
          <w:b/>
          <w:sz w:val="24"/>
          <w:szCs w:val="24"/>
        </w:rPr>
        <w:t>dichlofenac</w:t>
      </w:r>
      <w:proofErr w:type="spellEnd"/>
    </w:p>
    <w:tbl>
      <w:tblPr>
        <w:tblStyle w:val="TableGrid"/>
        <w:tblW w:w="10350" w:type="dxa"/>
        <w:tblInd w:w="-7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1418"/>
        <w:gridCol w:w="1417"/>
        <w:gridCol w:w="1276"/>
        <w:gridCol w:w="1417"/>
        <w:gridCol w:w="1398"/>
        <w:gridCol w:w="1297"/>
      </w:tblGrid>
      <w:tr w:rsidR="008F228F" w14:paraId="0CD46439" w14:textId="77777777">
        <w:trPr>
          <w:trHeight w:val="649"/>
        </w:trPr>
        <w:tc>
          <w:tcPr>
            <w:tcW w:w="1135" w:type="dxa"/>
            <w:tcBorders>
              <w:top w:val="single" w:sz="4" w:space="0" w:color="auto"/>
              <w:bottom w:val="single" w:sz="4" w:space="0" w:color="auto"/>
            </w:tcBorders>
          </w:tcPr>
          <w:p w14:paraId="2AE349D2" w14:textId="77777777" w:rsidR="008F228F" w:rsidRDefault="00000000">
            <w:pPr>
              <w:spacing w:after="120" w:line="240" w:lineRule="auto"/>
              <w:ind w:right="-87" w:hanging="108"/>
              <w:rPr>
                <w:rFonts w:ascii="Times New Roman" w:hAnsi="Times New Roman" w:cs="Times New Roman"/>
                <w:b/>
                <w:sz w:val="24"/>
                <w:szCs w:val="24"/>
              </w:rPr>
            </w:pPr>
            <w:r>
              <w:rPr>
                <w:rFonts w:ascii="Times New Roman" w:hAnsi="Times New Roman" w:cs="Times New Roman"/>
                <w:b/>
                <w:sz w:val="24"/>
                <w:szCs w:val="24"/>
              </w:rPr>
              <w:t>parameter</w:t>
            </w:r>
          </w:p>
        </w:tc>
        <w:tc>
          <w:tcPr>
            <w:tcW w:w="992" w:type="dxa"/>
            <w:tcBorders>
              <w:top w:val="single" w:sz="4" w:space="0" w:color="auto"/>
              <w:bottom w:val="single" w:sz="4" w:space="0" w:color="auto"/>
            </w:tcBorders>
          </w:tcPr>
          <w:p w14:paraId="6C93DA1F" w14:textId="77777777" w:rsidR="008F228F" w:rsidRDefault="00000000">
            <w:pPr>
              <w:spacing w:after="120" w:line="240" w:lineRule="auto"/>
              <w:ind w:right="-108"/>
              <w:rPr>
                <w:rFonts w:ascii="Times New Roman" w:hAnsi="Times New Roman" w:cs="Times New Roman"/>
                <w:b/>
                <w:sz w:val="24"/>
                <w:szCs w:val="24"/>
              </w:rPr>
            </w:pPr>
            <w:r>
              <w:rPr>
                <w:rFonts w:ascii="Times New Roman" w:hAnsi="Times New Roman" w:cs="Times New Roman"/>
                <w:b/>
                <w:sz w:val="24"/>
                <w:szCs w:val="24"/>
              </w:rPr>
              <w:t>Exposure time</w:t>
            </w:r>
          </w:p>
        </w:tc>
        <w:tc>
          <w:tcPr>
            <w:tcW w:w="1418" w:type="dxa"/>
            <w:tcBorders>
              <w:top w:val="single" w:sz="4" w:space="0" w:color="auto"/>
              <w:bottom w:val="single" w:sz="4" w:space="0" w:color="auto"/>
            </w:tcBorders>
          </w:tcPr>
          <w:p w14:paraId="7F23D97C" w14:textId="77777777" w:rsidR="008F228F" w:rsidRDefault="00000000">
            <w:pPr>
              <w:spacing w:after="120" w:line="240" w:lineRule="auto"/>
              <w:ind w:right="-108" w:firstLine="142"/>
              <w:rPr>
                <w:rFonts w:ascii="Times New Roman" w:hAnsi="Times New Roman" w:cs="Times New Roman"/>
                <w:b/>
                <w:sz w:val="24"/>
                <w:szCs w:val="24"/>
              </w:rPr>
            </w:pPr>
            <w:r>
              <w:rPr>
                <w:rFonts w:ascii="Times New Roman" w:hAnsi="Times New Roman" w:cs="Times New Roman"/>
                <w:b/>
                <w:sz w:val="24"/>
                <w:szCs w:val="24"/>
              </w:rPr>
              <w:t>control</w:t>
            </w:r>
          </w:p>
        </w:tc>
        <w:tc>
          <w:tcPr>
            <w:tcW w:w="1417" w:type="dxa"/>
            <w:tcBorders>
              <w:top w:val="single" w:sz="4" w:space="0" w:color="auto"/>
              <w:bottom w:val="single" w:sz="4" w:space="0" w:color="auto"/>
            </w:tcBorders>
          </w:tcPr>
          <w:p w14:paraId="1D5B5E90" w14:textId="77777777" w:rsidR="008F228F" w:rsidRDefault="00000000">
            <w:pPr>
              <w:spacing w:after="120" w:line="240" w:lineRule="auto"/>
              <w:ind w:right="-143"/>
              <w:rPr>
                <w:rFonts w:ascii="Times New Roman" w:hAnsi="Times New Roman" w:cs="Times New Roman"/>
                <w:b/>
                <w:sz w:val="24"/>
                <w:szCs w:val="24"/>
              </w:rPr>
            </w:pPr>
            <w:r>
              <w:rPr>
                <w:rFonts w:ascii="Times New Roman" w:hAnsi="Times New Roman" w:cs="Times New Roman"/>
                <w:b/>
                <w:sz w:val="24"/>
                <w:szCs w:val="24"/>
              </w:rPr>
              <w:t>0.4 DCF</w:t>
            </w:r>
          </w:p>
        </w:tc>
        <w:tc>
          <w:tcPr>
            <w:tcW w:w="1276" w:type="dxa"/>
            <w:tcBorders>
              <w:top w:val="single" w:sz="4" w:space="0" w:color="auto"/>
              <w:bottom w:val="single" w:sz="4" w:space="0" w:color="auto"/>
            </w:tcBorders>
          </w:tcPr>
          <w:p w14:paraId="55477F2C" w14:textId="77777777" w:rsidR="008F228F" w:rsidRDefault="00000000">
            <w:pPr>
              <w:spacing w:after="120" w:line="240" w:lineRule="auto"/>
              <w:ind w:right="-250"/>
              <w:rPr>
                <w:rFonts w:ascii="Times New Roman" w:hAnsi="Times New Roman" w:cs="Times New Roman"/>
                <w:b/>
                <w:sz w:val="24"/>
                <w:szCs w:val="24"/>
              </w:rPr>
            </w:pPr>
            <w:r>
              <w:rPr>
                <w:rFonts w:ascii="Times New Roman" w:hAnsi="Times New Roman" w:cs="Times New Roman"/>
                <w:b/>
                <w:sz w:val="24"/>
                <w:szCs w:val="24"/>
              </w:rPr>
              <w:t>6% BLE</w:t>
            </w:r>
          </w:p>
        </w:tc>
        <w:tc>
          <w:tcPr>
            <w:tcW w:w="1417" w:type="dxa"/>
            <w:tcBorders>
              <w:top w:val="single" w:sz="4" w:space="0" w:color="auto"/>
              <w:bottom w:val="single" w:sz="4" w:space="0" w:color="auto"/>
            </w:tcBorders>
          </w:tcPr>
          <w:p w14:paraId="32E6920D" w14:textId="77777777" w:rsidR="008F228F" w:rsidRDefault="00000000">
            <w:pPr>
              <w:spacing w:after="120" w:line="240" w:lineRule="auto"/>
              <w:ind w:right="-117"/>
              <w:rPr>
                <w:rFonts w:ascii="Times New Roman" w:hAnsi="Times New Roman" w:cs="Times New Roman"/>
                <w:b/>
                <w:sz w:val="24"/>
                <w:szCs w:val="24"/>
              </w:rPr>
            </w:pPr>
            <w:r>
              <w:rPr>
                <w:rFonts w:ascii="Times New Roman" w:hAnsi="Times New Roman" w:cs="Times New Roman"/>
                <w:b/>
                <w:sz w:val="24"/>
                <w:szCs w:val="24"/>
              </w:rPr>
              <w:t>6% ULE</w:t>
            </w:r>
          </w:p>
        </w:tc>
        <w:tc>
          <w:tcPr>
            <w:tcW w:w="1398" w:type="dxa"/>
            <w:tcBorders>
              <w:top w:val="single" w:sz="4" w:space="0" w:color="auto"/>
              <w:bottom w:val="single" w:sz="4" w:space="0" w:color="auto"/>
            </w:tcBorders>
          </w:tcPr>
          <w:p w14:paraId="527DD91C" w14:textId="77777777" w:rsidR="008F228F" w:rsidRDefault="00000000">
            <w:pPr>
              <w:spacing w:line="240" w:lineRule="auto"/>
              <w:ind w:right="-87"/>
              <w:rPr>
                <w:rFonts w:ascii="Times New Roman" w:hAnsi="Times New Roman" w:cs="Times New Roman"/>
                <w:b/>
                <w:sz w:val="24"/>
                <w:szCs w:val="24"/>
              </w:rPr>
            </w:pPr>
            <w:r>
              <w:rPr>
                <w:rFonts w:ascii="Times New Roman" w:hAnsi="Times New Roman" w:cs="Times New Roman"/>
                <w:b/>
                <w:sz w:val="24"/>
                <w:szCs w:val="24"/>
              </w:rPr>
              <w:t xml:space="preserve">6% </w:t>
            </w:r>
            <w:proofErr w:type="gramStart"/>
            <w:r>
              <w:rPr>
                <w:rFonts w:ascii="Times New Roman" w:hAnsi="Times New Roman" w:cs="Times New Roman"/>
                <w:sz w:val="24"/>
                <w:szCs w:val="24"/>
              </w:rPr>
              <w:t>B</w:t>
            </w:r>
            <w:r>
              <w:rPr>
                <w:rFonts w:ascii="Times New Roman" w:hAnsi="Times New Roman" w:cs="Times New Roman"/>
                <w:b/>
                <w:sz w:val="24"/>
                <w:szCs w:val="24"/>
              </w:rPr>
              <w:t>LE  +</w:t>
            </w:r>
            <w:proofErr w:type="gramEnd"/>
            <w:r>
              <w:rPr>
                <w:rFonts w:ascii="Times New Roman" w:hAnsi="Times New Roman" w:cs="Times New Roman"/>
                <w:b/>
                <w:sz w:val="24"/>
                <w:szCs w:val="24"/>
              </w:rPr>
              <w:t xml:space="preserve">  0.4 DCF</w:t>
            </w:r>
          </w:p>
        </w:tc>
        <w:tc>
          <w:tcPr>
            <w:tcW w:w="1297" w:type="dxa"/>
            <w:tcBorders>
              <w:top w:val="single" w:sz="4" w:space="0" w:color="auto"/>
              <w:bottom w:val="single" w:sz="4" w:space="0" w:color="auto"/>
            </w:tcBorders>
          </w:tcPr>
          <w:p w14:paraId="40FEDF96" w14:textId="77777777" w:rsidR="008F228F" w:rsidRDefault="00000000">
            <w:pPr>
              <w:spacing w:after="120" w:line="240" w:lineRule="auto"/>
              <w:ind w:right="-108"/>
              <w:rPr>
                <w:rFonts w:ascii="Times New Roman" w:hAnsi="Times New Roman" w:cs="Times New Roman"/>
                <w:b/>
                <w:sz w:val="24"/>
                <w:szCs w:val="24"/>
              </w:rPr>
            </w:pPr>
            <w:r>
              <w:rPr>
                <w:rFonts w:ascii="Times New Roman" w:hAnsi="Times New Roman" w:cs="Times New Roman"/>
                <w:b/>
                <w:sz w:val="24"/>
                <w:szCs w:val="24"/>
              </w:rPr>
              <w:t xml:space="preserve">6% </w:t>
            </w:r>
            <w:proofErr w:type="gramStart"/>
            <w:r>
              <w:rPr>
                <w:rFonts w:ascii="Times New Roman" w:hAnsi="Times New Roman" w:cs="Times New Roman"/>
                <w:b/>
                <w:sz w:val="24"/>
                <w:szCs w:val="24"/>
              </w:rPr>
              <w:t>ULE  +</w:t>
            </w:r>
            <w:proofErr w:type="gramEnd"/>
            <w:r>
              <w:rPr>
                <w:rFonts w:ascii="Times New Roman" w:hAnsi="Times New Roman" w:cs="Times New Roman"/>
                <w:b/>
                <w:sz w:val="24"/>
                <w:szCs w:val="24"/>
              </w:rPr>
              <w:t xml:space="preserve">  0.4 DCF</w:t>
            </w:r>
          </w:p>
        </w:tc>
      </w:tr>
      <w:tr w:rsidR="008F228F" w14:paraId="0349DF1D" w14:textId="77777777">
        <w:trPr>
          <w:trHeight w:val="833"/>
        </w:trPr>
        <w:tc>
          <w:tcPr>
            <w:tcW w:w="1135" w:type="dxa"/>
            <w:tcBorders>
              <w:top w:val="single" w:sz="4" w:space="0" w:color="auto"/>
            </w:tcBorders>
          </w:tcPr>
          <w:p w14:paraId="4B15934E" w14:textId="77777777" w:rsidR="008F228F" w:rsidRDefault="00000000">
            <w:pPr>
              <w:spacing w:after="120" w:line="240" w:lineRule="auto"/>
              <w:ind w:right="-87" w:hanging="108"/>
              <w:rPr>
                <w:rFonts w:ascii="Times New Roman" w:hAnsi="Times New Roman" w:cs="Times New Roman"/>
                <w:sz w:val="24"/>
                <w:szCs w:val="24"/>
              </w:rPr>
            </w:pPr>
            <w:r>
              <w:rPr>
                <w:rFonts w:ascii="Times New Roman" w:hAnsi="Times New Roman" w:cs="Times New Roman"/>
                <w:sz w:val="24"/>
                <w:szCs w:val="24"/>
              </w:rPr>
              <w:t>MDA</w:t>
            </w:r>
          </w:p>
        </w:tc>
        <w:tc>
          <w:tcPr>
            <w:tcW w:w="992" w:type="dxa"/>
            <w:tcBorders>
              <w:top w:val="single" w:sz="4" w:space="0" w:color="auto"/>
            </w:tcBorders>
          </w:tcPr>
          <w:p w14:paraId="15C104CF"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days</w:t>
            </w:r>
          </w:p>
          <w:p w14:paraId="28E23B23" w14:textId="77777777" w:rsidR="008F228F" w:rsidRDefault="00000000">
            <w:pPr>
              <w:spacing w:after="120" w:line="240" w:lineRule="auto"/>
              <w:ind w:right="-108"/>
              <w:rPr>
                <w:rFonts w:ascii="Times New Roman" w:hAnsi="Times New Roman" w:cs="Times New Roman"/>
                <w:sz w:val="24"/>
                <w:szCs w:val="24"/>
              </w:rPr>
            </w:pPr>
            <w:r>
              <w:rPr>
                <w:rFonts w:ascii="Times New Roman" w:eastAsia="Times New Roman" w:hAnsi="Times New Roman" w:cs="Times New Roman"/>
                <w:sz w:val="24"/>
                <w:szCs w:val="24"/>
              </w:rPr>
              <w:t>28 days</w:t>
            </w:r>
          </w:p>
        </w:tc>
        <w:tc>
          <w:tcPr>
            <w:tcW w:w="1418" w:type="dxa"/>
            <w:tcBorders>
              <w:top w:val="single" w:sz="4" w:space="0" w:color="auto"/>
            </w:tcBorders>
          </w:tcPr>
          <w:p w14:paraId="0A038190"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32.46±3.31</w:t>
            </w:r>
            <w:r>
              <w:rPr>
                <w:rFonts w:ascii="Times New Roman" w:hAnsi="Times New Roman" w:cs="Times New Roman"/>
                <w:color w:val="000000"/>
                <w:sz w:val="24"/>
                <w:szCs w:val="24"/>
                <w:vertAlign w:val="superscript"/>
              </w:rPr>
              <w:t>e</w:t>
            </w:r>
          </w:p>
          <w:p w14:paraId="438E2E9B"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32.54±0.33</w:t>
            </w:r>
            <w:r>
              <w:rPr>
                <w:rFonts w:ascii="Times New Roman" w:hAnsi="Times New Roman" w:cs="Times New Roman"/>
                <w:color w:val="000000"/>
                <w:sz w:val="24"/>
                <w:szCs w:val="24"/>
                <w:vertAlign w:val="superscript"/>
              </w:rPr>
              <w:t>c*</w:t>
            </w:r>
          </w:p>
        </w:tc>
        <w:tc>
          <w:tcPr>
            <w:tcW w:w="1417" w:type="dxa"/>
            <w:tcBorders>
              <w:top w:val="single" w:sz="4" w:space="0" w:color="auto"/>
            </w:tcBorders>
          </w:tcPr>
          <w:p w14:paraId="409EBA1D"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43.35±3.47</w:t>
            </w:r>
            <w:r>
              <w:rPr>
                <w:rFonts w:ascii="Times New Roman" w:hAnsi="Times New Roman" w:cs="Times New Roman"/>
                <w:color w:val="000000"/>
                <w:sz w:val="24"/>
                <w:szCs w:val="24"/>
                <w:vertAlign w:val="superscript"/>
              </w:rPr>
              <w:t>f*</w:t>
            </w:r>
          </w:p>
          <w:p w14:paraId="2456C127"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30.53±0.44</w:t>
            </w:r>
            <w:r>
              <w:rPr>
                <w:rFonts w:ascii="Times New Roman" w:hAnsi="Times New Roman" w:cs="Times New Roman"/>
                <w:color w:val="000000"/>
                <w:sz w:val="24"/>
                <w:szCs w:val="24"/>
                <w:vertAlign w:val="superscript"/>
              </w:rPr>
              <w:t>b</w:t>
            </w:r>
          </w:p>
        </w:tc>
        <w:tc>
          <w:tcPr>
            <w:tcW w:w="1276" w:type="dxa"/>
            <w:tcBorders>
              <w:top w:val="single" w:sz="4" w:space="0" w:color="auto"/>
            </w:tcBorders>
          </w:tcPr>
          <w:p w14:paraId="2F3CCE1C" w14:textId="77777777" w:rsidR="008F228F" w:rsidRDefault="00000000">
            <w:pPr>
              <w:spacing w:after="120" w:line="240" w:lineRule="auto"/>
              <w:ind w:right="-25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23.39±0.24</w:t>
            </w:r>
            <w:r>
              <w:rPr>
                <w:rFonts w:ascii="Times New Roman" w:hAnsi="Times New Roman" w:cs="Times New Roman"/>
                <w:color w:val="000000"/>
                <w:sz w:val="24"/>
                <w:szCs w:val="24"/>
                <w:vertAlign w:val="superscript"/>
              </w:rPr>
              <w:t>b</w:t>
            </w:r>
          </w:p>
          <w:p w14:paraId="4ABBD2F3" w14:textId="77777777" w:rsidR="008F228F" w:rsidRDefault="00000000">
            <w:pPr>
              <w:spacing w:after="120" w:line="240" w:lineRule="auto"/>
              <w:ind w:right="-250"/>
              <w:rPr>
                <w:rFonts w:ascii="Times New Roman" w:hAnsi="Times New Roman" w:cs="Times New Roman"/>
                <w:b/>
                <w:sz w:val="24"/>
                <w:szCs w:val="24"/>
              </w:rPr>
            </w:pPr>
            <w:r>
              <w:rPr>
                <w:rFonts w:ascii="Times New Roman" w:hAnsi="Times New Roman" w:cs="Times New Roman"/>
                <w:color w:val="000000"/>
                <w:sz w:val="24"/>
                <w:szCs w:val="24"/>
              </w:rPr>
              <w:t>53.50±2.12</w:t>
            </w:r>
            <w:r>
              <w:rPr>
                <w:rFonts w:ascii="Times New Roman" w:hAnsi="Times New Roman" w:cs="Times New Roman"/>
                <w:color w:val="000000"/>
                <w:sz w:val="24"/>
                <w:szCs w:val="24"/>
                <w:vertAlign w:val="superscript"/>
              </w:rPr>
              <w:t>d*</w:t>
            </w:r>
          </w:p>
        </w:tc>
        <w:tc>
          <w:tcPr>
            <w:tcW w:w="1417" w:type="dxa"/>
            <w:tcBorders>
              <w:top w:val="single" w:sz="4" w:space="0" w:color="auto"/>
            </w:tcBorders>
          </w:tcPr>
          <w:p w14:paraId="229898C2"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20.65±0.21</w:t>
            </w:r>
            <w:r>
              <w:rPr>
                <w:rFonts w:ascii="Times New Roman" w:hAnsi="Times New Roman" w:cs="Times New Roman"/>
                <w:color w:val="000000"/>
                <w:sz w:val="24"/>
                <w:szCs w:val="24"/>
                <w:vertAlign w:val="superscript"/>
              </w:rPr>
              <w:t>a</w:t>
            </w:r>
          </w:p>
          <w:p w14:paraId="53291435"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30.27±0.10</w:t>
            </w:r>
            <w:r>
              <w:rPr>
                <w:rFonts w:ascii="Times New Roman" w:hAnsi="Times New Roman" w:cs="Times New Roman"/>
                <w:color w:val="000000"/>
                <w:sz w:val="24"/>
                <w:szCs w:val="24"/>
                <w:vertAlign w:val="superscript"/>
              </w:rPr>
              <w:t>b*</w:t>
            </w:r>
          </w:p>
        </w:tc>
        <w:tc>
          <w:tcPr>
            <w:tcW w:w="1398" w:type="dxa"/>
            <w:tcBorders>
              <w:top w:val="single" w:sz="4" w:space="0" w:color="auto"/>
            </w:tcBorders>
          </w:tcPr>
          <w:p w14:paraId="69F904E7" w14:textId="77777777" w:rsidR="008F228F" w:rsidRDefault="00000000">
            <w:pPr>
              <w:spacing w:line="240" w:lineRule="auto"/>
              <w:ind w:right="-87"/>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26.50±0.38</w:t>
            </w:r>
            <w:r>
              <w:rPr>
                <w:rFonts w:ascii="Times New Roman" w:hAnsi="Times New Roman" w:cs="Times New Roman"/>
                <w:color w:val="000000"/>
                <w:sz w:val="24"/>
                <w:szCs w:val="24"/>
                <w:vertAlign w:val="superscript"/>
              </w:rPr>
              <w:t>c</w:t>
            </w:r>
          </w:p>
          <w:p w14:paraId="113DEEFB" w14:textId="77777777" w:rsidR="008F228F" w:rsidRDefault="00000000">
            <w:pPr>
              <w:spacing w:line="240" w:lineRule="auto"/>
              <w:ind w:right="-87"/>
              <w:rPr>
                <w:rFonts w:ascii="Times New Roman" w:hAnsi="Times New Roman" w:cs="Times New Roman"/>
                <w:sz w:val="24"/>
                <w:szCs w:val="24"/>
                <w:vertAlign w:val="superscript"/>
              </w:rPr>
            </w:pPr>
            <w:r>
              <w:rPr>
                <w:rFonts w:ascii="Times New Roman" w:hAnsi="Times New Roman" w:cs="Times New Roman"/>
                <w:color w:val="000000"/>
                <w:sz w:val="24"/>
                <w:szCs w:val="24"/>
              </w:rPr>
              <w:t>66.50±3.54</w:t>
            </w:r>
            <w:r>
              <w:rPr>
                <w:rFonts w:ascii="Times New Roman" w:hAnsi="Times New Roman" w:cs="Times New Roman"/>
                <w:color w:val="000000"/>
                <w:sz w:val="24"/>
                <w:szCs w:val="24"/>
                <w:vertAlign w:val="superscript"/>
              </w:rPr>
              <w:t>e</w:t>
            </w:r>
          </w:p>
        </w:tc>
        <w:tc>
          <w:tcPr>
            <w:tcW w:w="1297" w:type="dxa"/>
            <w:tcBorders>
              <w:top w:val="single" w:sz="4" w:space="0" w:color="auto"/>
            </w:tcBorders>
          </w:tcPr>
          <w:p w14:paraId="1005DD97"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29.65±0.35</w:t>
            </w:r>
            <w:r>
              <w:rPr>
                <w:rFonts w:ascii="Times New Roman" w:hAnsi="Times New Roman" w:cs="Times New Roman"/>
                <w:color w:val="000000"/>
                <w:sz w:val="24"/>
                <w:szCs w:val="24"/>
                <w:vertAlign w:val="superscript"/>
              </w:rPr>
              <w:t>d*</w:t>
            </w:r>
          </w:p>
          <w:p w14:paraId="4C12AB7E"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29.00±0.93</w:t>
            </w:r>
            <w:r>
              <w:rPr>
                <w:rFonts w:ascii="Times New Roman" w:hAnsi="Times New Roman" w:cs="Times New Roman"/>
                <w:color w:val="000000"/>
                <w:sz w:val="24"/>
                <w:szCs w:val="24"/>
                <w:vertAlign w:val="superscript"/>
              </w:rPr>
              <w:t>a</w:t>
            </w:r>
          </w:p>
        </w:tc>
      </w:tr>
      <w:tr w:rsidR="008F228F" w14:paraId="19D15AAD" w14:textId="77777777">
        <w:tc>
          <w:tcPr>
            <w:tcW w:w="1135" w:type="dxa"/>
          </w:tcPr>
          <w:p w14:paraId="440102F3" w14:textId="77777777" w:rsidR="008F228F" w:rsidRDefault="00000000">
            <w:pPr>
              <w:spacing w:after="120" w:line="240" w:lineRule="auto"/>
              <w:ind w:right="-87"/>
              <w:rPr>
                <w:rFonts w:ascii="Times New Roman" w:hAnsi="Times New Roman" w:cs="Times New Roman"/>
                <w:sz w:val="24"/>
                <w:szCs w:val="24"/>
              </w:rPr>
            </w:pPr>
            <w:r>
              <w:rPr>
                <w:rFonts w:ascii="Times New Roman" w:hAnsi="Times New Roman" w:cs="Times New Roman"/>
                <w:color w:val="000000"/>
                <w:sz w:val="24"/>
                <w:szCs w:val="24"/>
              </w:rPr>
              <w:t>hydroxyl radical</w:t>
            </w:r>
          </w:p>
        </w:tc>
        <w:tc>
          <w:tcPr>
            <w:tcW w:w="992" w:type="dxa"/>
          </w:tcPr>
          <w:p w14:paraId="75DAEC95"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days</w:t>
            </w:r>
          </w:p>
          <w:p w14:paraId="6AB30BD5"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days</w:t>
            </w:r>
          </w:p>
        </w:tc>
        <w:tc>
          <w:tcPr>
            <w:tcW w:w="1418" w:type="dxa"/>
          </w:tcPr>
          <w:p w14:paraId="71D9E662"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32.30±0.71</w:t>
            </w:r>
            <w:r>
              <w:rPr>
                <w:rFonts w:ascii="Times New Roman" w:hAnsi="Times New Roman" w:cs="Times New Roman"/>
                <w:color w:val="000000"/>
                <w:sz w:val="24"/>
                <w:szCs w:val="24"/>
                <w:vertAlign w:val="superscript"/>
              </w:rPr>
              <w:t>d</w:t>
            </w:r>
          </w:p>
          <w:p w14:paraId="4F682F0B"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47.44±2.05</w:t>
            </w:r>
            <w:r>
              <w:rPr>
                <w:rFonts w:ascii="Times New Roman" w:hAnsi="Times New Roman" w:cs="Times New Roman"/>
                <w:color w:val="000000"/>
                <w:sz w:val="24"/>
                <w:szCs w:val="24"/>
                <w:vertAlign w:val="superscript"/>
              </w:rPr>
              <w:t>c*</w:t>
            </w:r>
          </w:p>
        </w:tc>
        <w:tc>
          <w:tcPr>
            <w:tcW w:w="1417" w:type="dxa"/>
          </w:tcPr>
          <w:p w14:paraId="6AE19322"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34.46±0.79</w:t>
            </w:r>
            <w:r>
              <w:rPr>
                <w:rFonts w:ascii="Times New Roman" w:hAnsi="Times New Roman" w:cs="Times New Roman"/>
                <w:color w:val="000000"/>
                <w:sz w:val="24"/>
                <w:szCs w:val="24"/>
                <w:vertAlign w:val="superscript"/>
              </w:rPr>
              <w:t>e</w:t>
            </w:r>
          </w:p>
          <w:p w14:paraId="6AD66CE5"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52.50±0.23</w:t>
            </w:r>
            <w:r>
              <w:rPr>
                <w:rFonts w:ascii="Times New Roman" w:hAnsi="Times New Roman" w:cs="Times New Roman"/>
                <w:color w:val="000000"/>
                <w:sz w:val="24"/>
                <w:szCs w:val="24"/>
                <w:vertAlign w:val="superscript"/>
              </w:rPr>
              <w:t>d*</w:t>
            </w:r>
          </w:p>
        </w:tc>
        <w:tc>
          <w:tcPr>
            <w:tcW w:w="1276" w:type="dxa"/>
          </w:tcPr>
          <w:p w14:paraId="3F1C7C9C" w14:textId="77777777" w:rsidR="008F228F" w:rsidRDefault="00000000">
            <w:pPr>
              <w:spacing w:after="120" w:line="240" w:lineRule="auto"/>
              <w:ind w:right="-25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17.64±0.11</w:t>
            </w:r>
            <w:r>
              <w:rPr>
                <w:rFonts w:ascii="Times New Roman" w:hAnsi="Times New Roman" w:cs="Times New Roman"/>
                <w:color w:val="000000"/>
                <w:sz w:val="24"/>
                <w:szCs w:val="24"/>
                <w:vertAlign w:val="superscript"/>
              </w:rPr>
              <w:t>a</w:t>
            </w:r>
          </w:p>
          <w:p w14:paraId="42E54A68" w14:textId="77777777" w:rsidR="008F228F" w:rsidRDefault="00000000">
            <w:pPr>
              <w:spacing w:after="120" w:line="240" w:lineRule="auto"/>
              <w:ind w:right="-250"/>
              <w:rPr>
                <w:rFonts w:ascii="Times New Roman" w:hAnsi="Times New Roman" w:cs="Times New Roman"/>
                <w:sz w:val="24"/>
                <w:szCs w:val="24"/>
                <w:vertAlign w:val="superscript"/>
              </w:rPr>
            </w:pPr>
            <w:r>
              <w:rPr>
                <w:rFonts w:ascii="Times New Roman" w:hAnsi="Times New Roman" w:cs="Times New Roman"/>
                <w:color w:val="000000"/>
                <w:sz w:val="24"/>
                <w:szCs w:val="24"/>
              </w:rPr>
              <w:t>91.50±2.12</w:t>
            </w:r>
            <w:r>
              <w:rPr>
                <w:rFonts w:ascii="Times New Roman" w:hAnsi="Times New Roman" w:cs="Times New Roman"/>
                <w:color w:val="000000"/>
                <w:sz w:val="24"/>
                <w:szCs w:val="24"/>
                <w:vertAlign w:val="superscript"/>
              </w:rPr>
              <w:t>f*</w:t>
            </w:r>
          </w:p>
        </w:tc>
        <w:tc>
          <w:tcPr>
            <w:tcW w:w="1417" w:type="dxa"/>
          </w:tcPr>
          <w:p w14:paraId="71645A89"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18.48±0.04</w:t>
            </w:r>
            <w:r>
              <w:rPr>
                <w:rFonts w:ascii="Times New Roman" w:hAnsi="Times New Roman" w:cs="Times New Roman"/>
                <w:color w:val="000000"/>
                <w:sz w:val="24"/>
                <w:szCs w:val="24"/>
                <w:vertAlign w:val="superscript"/>
              </w:rPr>
              <w:t>b</w:t>
            </w:r>
          </w:p>
          <w:p w14:paraId="31F2230C" w14:textId="77777777" w:rsidR="008F228F" w:rsidRDefault="00000000">
            <w:pPr>
              <w:spacing w:after="120" w:line="240" w:lineRule="auto"/>
              <w:ind w:right="-117"/>
              <w:rPr>
                <w:rFonts w:ascii="Times New Roman" w:hAnsi="Times New Roman" w:cs="Times New Roman"/>
                <w:sz w:val="24"/>
                <w:szCs w:val="24"/>
              </w:rPr>
            </w:pPr>
            <w:r>
              <w:rPr>
                <w:rFonts w:ascii="Times New Roman" w:hAnsi="Times New Roman" w:cs="Times New Roman"/>
                <w:color w:val="000000"/>
                <w:sz w:val="24"/>
                <w:szCs w:val="24"/>
              </w:rPr>
              <w:t>39.51±0.54</w:t>
            </w:r>
            <w:r>
              <w:rPr>
                <w:rFonts w:ascii="Times New Roman" w:hAnsi="Times New Roman" w:cs="Times New Roman"/>
                <w:color w:val="000000"/>
                <w:sz w:val="24"/>
                <w:szCs w:val="24"/>
                <w:vertAlign w:val="superscript"/>
              </w:rPr>
              <w:t>a*</w:t>
            </w:r>
          </w:p>
        </w:tc>
        <w:tc>
          <w:tcPr>
            <w:tcW w:w="1398" w:type="dxa"/>
          </w:tcPr>
          <w:p w14:paraId="31373EC7" w14:textId="77777777" w:rsidR="008F228F" w:rsidRDefault="00000000">
            <w:pPr>
              <w:spacing w:line="240" w:lineRule="auto"/>
              <w:ind w:right="-87"/>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30.56±0.16</w:t>
            </w:r>
            <w:r>
              <w:rPr>
                <w:rFonts w:ascii="Times New Roman" w:hAnsi="Times New Roman" w:cs="Times New Roman"/>
                <w:color w:val="000000"/>
                <w:sz w:val="24"/>
                <w:szCs w:val="24"/>
                <w:vertAlign w:val="superscript"/>
              </w:rPr>
              <w:t>c</w:t>
            </w:r>
          </w:p>
          <w:p w14:paraId="2F7033B5" w14:textId="77777777" w:rsidR="008F228F" w:rsidRDefault="00000000">
            <w:pPr>
              <w:spacing w:line="240" w:lineRule="auto"/>
              <w:ind w:right="-87"/>
              <w:rPr>
                <w:rFonts w:ascii="Times New Roman" w:hAnsi="Times New Roman" w:cs="Times New Roman"/>
                <w:sz w:val="24"/>
                <w:szCs w:val="24"/>
              </w:rPr>
            </w:pPr>
            <w:r>
              <w:rPr>
                <w:rFonts w:ascii="Times New Roman" w:hAnsi="Times New Roman" w:cs="Times New Roman"/>
                <w:color w:val="000000"/>
                <w:sz w:val="24"/>
                <w:szCs w:val="24"/>
              </w:rPr>
              <w:t>75.50±0.71</w:t>
            </w:r>
            <w:r>
              <w:rPr>
                <w:rFonts w:ascii="Times New Roman" w:hAnsi="Times New Roman" w:cs="Times New Roman"/>
                <w:color w:val="000000"/>
                <w:sz w:val="24"/>
                <w:szCs w:val="24"/>
                <w:vertAlign w:val="superscript"/>
              </w:rPr>
              <w:t>e</w:t>
            </w:r>
          </w:p>
        </w:tc>
        <w:tc>
          <w:tcPr>
            <w:tcW w:w="1297" w:type="dxa"/>
          </w:tcPr>
          <w:p w14:paraId="7E7C714E" w14:textId="77777777" w:rsidR="008F228F" w:rsidRDefault="00000000">
            <w:pPr>
              <w:spacing w:after="120" w:line="240" w:lineRule="auto"/>
              <w:ind w:right="-150"/>
              <w:rPr>
                <w:rFonts w:ascii="Times New Roman" w:hAnsi="Times New Roman" w:cs="Times New Roman"/>
                <w:sz w:val="24"/>
                <w:szCs w:val="24"/>
                <w:vertAlign w:val="superscript"/>
              </w:rPr>
            </w:pPr>
            <w:r>
              <w:rPr>
                <w:rFonts w:ascii="Times New Roman" w:hAnsi="Times New Roman" w:cs="Times New Roman"/>
                <w:color w:val="000000"/>
                <w:sz w:val="24"/>
                <w:szCs w:val="24"/>
              </w:rPr>
              <w:t>30.60±0.42</w:t>
            </w:r>
            <w:r>
              <w:rPr>
                <w:rFonts w:ascii="Times New Roman" w:hAnsi="Times New Roman" w:cs="Times New Roman"/>
                <w:color w:val="000000"/>
                <w:sz w:val="24"/>
                <w:szCs w:val="24"/>
                <w:vertAlign w:val="superscript"/>
              </w:rPr>
              <w:t>c</w:t>
            </w:r>
          </w:p>
          <w:p w14:paraId="0713B347" w14:textId="77777777" w:rsidR="008F228F" w:rsidRDefault="00000000">
            <w:pPr>
              <w:spacing w:after="120" w:line="240" w:lineRule="auto"/>
              <w:ind w:right="-108"/>
              <w:rPr>
                <w:rFonts w:ascii="Times New Roman" w:hAnsi="Times New Roman" w:cs="Times New Roman"/>
                <w:sz w:val="24"/>
                <w:szCs w:val="24"/>
              </w:rPr>
            </w:pPr>
            <w:r>
              <w:rPr>
                <w:rFonts w:ascii="Times New Roman" w:hAnsi="Times New Roman" w:cs="Times New Roman"/>
                <w:color w:val="000000"/>
                <w:sz w:val="24"/>
                <w:szCs w:val="24"/>
              </w:rPr>
              <w:t>44.56±0.31</w:t>
            </w:r>
            <w:r>
              <w:rPr>
                <w:rFonts w:ascii="Times New Roman" w:hAnsi="Times New Roman" w:cs="Times New Roman"/>
                <w:color w:val="000000"/>
                <w:sz w:val="24"/>
                <w:szCs w:val="24"/>
                <w:vertAlign w:val="superscript"/>
              </w:rPr>
              <w:t>b*</w:t>
            </w:r>
          </w:p>
        </w:tc>
      </w:tr>
      <w:tr w:rsidR="008F228F" w14:paraId="05A53831" w14:textId="77777777">
        <w:tc>
          <w:tcPr>
            <w:tcW w:w="1135" w:type="dxa"/>
          </w:tcPr>
          <w:p w14:paraId="0F9054F3" w14:textId="77777777" w:rsidR="008F228F" w:rsidRDefault="00000000">
            <w:pPr>
              <w:spacing w:after="120" w:line="240" w:lineRule="auto"/>
              <w:ind w:right="-87" w:hanging="108"/>
              <w:rPr>
                <w:rFonts w:ascii="Times New Roman" w:hAnsi="Times New Roman" w:cs="Times New Roman"/>
                <w:sz w:val="24"/>
                <w:szCs w:val="24"/>
              </w:rPr>
            </w:pPr>
            <w:r>
              <w:rPr>
                <w:rFonts w:ascii="Times New Roman" w:hAnsi="Times New Roman" w:cs="Times New Roman"/>
                <w:sz w:val="24"/>
                <w:szCs w:val="24"/>
              </w:rPr>
              <w:t>Catalase</w:t>
            </w:r>
          </w:p>
        </w:tc>
        <w:tc>
          <w:tcPr>
            <w:tcW w:w="992" w:type="dxa"/>
          </w:tcPr>
          <w:p w14:paraId="2F17A74D"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days</w:t>
            </w:r>
          </w:p>
          <w:p w14:paraId="3979F137"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days</w:t>
            </w:r>
          </w:p>
        </w:tc>
        <w:tc>
          <w:tcPr>
            <w:tcW w:w="1418" w:type="dxa"/>
          </w:tcPr>
          <w:p w14:paraId="1627A652"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27.80±1.56</w:t>
            </w:r>
            <w:r>
              <w:rPr>
                <w:rFonts w:ascii="Times New Roman" w:hAnsi="Times New Roman" w:cs="Times New Roman"/>
                <w:color w:val="000000"/>
                <w:sz w:val="24"/>
                <w:szCs w:val="24"/>
                <w:vertAlign w:val="superscript"/>
              </w:rPr>
              <w:t>b</w:t>
            </w:r>
          </w:p>
          <w:p w14:paraId="0A245B61"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30.29±0.23</w:t>
            </w:r>
            <w:r>
              <w:rPr>
                <w:rFonts w:ascii="Times New Roman" w:hAnsi="Times New Roman" w:cs="Times New Roman"/>
                <w:color w:val="000000"/>
                <w:sz w:val="24"/>
                <w:szCs w:val="24"/>
                <w:vertAlign w:val="superscript"/>
              </w:rPr>
              <w:t>b*</w:t>
            </w:r>
          </w:p>
        </w:tc>
        <w:tc>
          <w:tcPr>
            <w:tcW w:w="1417" w:type="dxa"/>
          </w:tcPr>
          <w:p w14:paraId="2FD24592"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40.60±0.14</w:t>
            </w:r>
            <w:r>
              <w:rPr>
                <w:rFonts w:ascii="Times New Roman" w:hAnsi="Times New Roman" w:cs="Times New Roman"/>
                <w:color w:val="000000"/>
                <w:sz w:val="24"/>
                <w:szCs w:val="24"/>
                <w:vertAlign w:val="superscript"/>
              </w:rPr>
              <w:t>d*</w:t>
            </w:r>
          </w:p>
          <w:p w14:paraId="30C3C7C2"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29.17±0.55</w:t>
            </w:r>
            <w:r>
              <w:rPr>
                <w:rFonts w:ascii="Times New Roman" w:hAnsi="Times New Roman" w:cs="Times New Roman"/>
                <w:color w:val="000000"/>
                <w:sz w:val="24"/>
                <w:szCs w:val="24"/>
                <w:vertAlign w:val="superscript"/>
              </w:rPr>
              <w:t>a</w:t>
            </w:r>
          </w:p>
        </w:tc>
        <w:tc>
          <w:tcPr>
            <w:tcW w:w="1276" w:type="dxa"/>
          </w:tcPr>
          <w:p w14:paraId="61D32F85" w14:textId="77777777" w:rsidR="008F228F" w:rsidRDefault="00000000">
            <w:pPr>
              <w:spacing w:after="120" w:line="240" w:lineRule="auto"/>
              <w:ind w:right="-25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37.42±0.03</w:t>
            </w:r>
            <w:r>
              <w:rPr>
                <w:rFonts w:ascii="Times New Roman" w:hAnsi="Times New Roman" w:cs="Times New Roman"/>
                <w:color w:val="000000"/>
                <w:sz w:val="24"/>
                <w:szCs w:val="24"/>
                <w:vertAlign w:val="superscript"/>
              </w:rPr>
              <w:t>c</w:t>
            </w:r>
          </w:p>
          <w:p w14:paraId="7DD2FD8B" w14:textId="77777777" w:rsidR="008F228F" w:rsidRDefault="00000000">
            <w:pPr>
              <w:spacing w:after="120" w:line="240" w:lineRule="auto"/>
              <w:ind w:right="-250"/>
              <w:rPr>
                <w:rFonts w:ascii="Times New Roman" w:hAnsi="Times New Roman" w:cs="Times New Roman"/>
                <w:sz w:val="24"/>
                <w:szCs w:val="24"/>
              </w:rPr>
            </w:pPr>
            <w:r>
              <w:rPr>
                <w:rFonts w:ascii="Times New Roman" w:hAnsi="Times New Roman" w:cs="Times New Roman"/>
                <w:color w:val="000000"/>
                <w:sz w:val="24"/>
                <w:szCs w:val="24"/>
              </w:rPr>
              <w:t>64.00±1.4</w:t>
            </w:r>
            <w:r>
              <w:rPr>
                <w:rFonts w:ascii="Times New Roman" w:hAnsi="Times New Roman" w:cs="Times New Roman"/>
                <w:color w:val="000000"/>
                <w:sz w:val="24"/>
                <w:szCs w:val="24"/>
                <w:vertAlign w:val="superscript"/>
              </w:rPr>
              <w:t>e*</w:t>
            </w:r>
          </w:p>
        </w:tc>
        <w:tc>
          <w:tcPr>
            <w:tcW w:w="1417" w:type="dxa"/>
          </w:tcPr>
          <w:p w14:paraId="2255C3D8"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19.40±0.71</w:t>
            </w:r>
            <w:r>
              <w:rPr>
                <w:rFonts w:ascii="Times New Roman" w:hAnsi="Times New Roman" w:cs="Times New Roman"/>
                <w:color w:val="000000"/>
                <w:sz w:val="24"/>
                <w:szCs w:val="24"/>
                <w:vertAlign w:val="superscript"/>
              </w:rPr>
              <w:t>a</w:t>
            </w:r>
          </w:p>
          <w:p w14:paraId="4F47032B" w14:textId="77777777" w:rsidR="008F228F" w:rsidRDefault="00000000">
            <w:pPr>
              <w:spacing w:after="120" w:line="240" w:lineRule="auto"/>
              <w:ind w:right="-117"/>
              <w:rPr>
                <w:rFonts w:ascii="Times New Roman" w:hAnsi="Times New Roman" w:cs="Times New Roman"/>
                <w:sz w:val="24"/>
                <w:szCs w:val="24"/>
              </w:rPr>
            </w:pPr>
            <w:r>
              <w:rPr>
                <w:rFonts w:ascii="Times New Roman" w:hAnsi="Times New Roman" w:cs="Times New Roman"/>
                <w:color w:val="000000"/>
                <w:sz w:val="24"/>
                <w:szCs w:val="24"/>
              </w:rPr>
              <w:t>34.85±0.06</w:t>
            </w:r>
            <w:r>
              <w:rPr>
                <w:rFonts w:ascii="Times New Roman" w:hAnsi="Times New Roman" w:cs="Times New Roman"/>
                <w:color w:val="000000"/>
                <w:sz w:val="24"/>
                <w:szCs w:val="24"/>
                <w:vertAlign w:val="superscript"/>
              </w:rPr>
              <w:t>c*</w:t>
            </w:r>
          </w:p>
        </w:tc>
        <w:tc>
          <w:tcPr>
            <w:tcW w:w="1398" w:type="dxa"/>
          </w:tcPr>
          <w:p w14:paraId="72517052" w14:textId="77777777" w:rsidR="008F228F" w:rsidRDefault="00000000">
            <w:pPr>
              <w:spacing w:line="240" w:lineRule="auto"/>
              <w:ind w:right="-87"/>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45.67±0.07</w:t>
            </w:r>
            <w:r>
              <w:rPr>
                <w:rFonts w:ascii="Times New Roman" w:hAnsi="Times New Roman" w:cs="Times New Roman"/>
                <w:color w:val="000000"/>
                <w:sz w:val="24"/>
                <w:szCs w:val="24"/>
                <w:vertAlign w:val="superscript"/>
              </w:rPr>
              <w:t>e</w:t>
            </w:r>
          </w:p>
          <w:p w14:paraId="394EE29D" w14:textId="77777777" w:rsidR="008F228F" w:rsidRDefault="00000000">
            <w:pPr>
              <w:spacing w:line="240" w:lineRule="auto"/>
              <w:ind w:right="-87"/>
              <w:rPr>
                <w:rFonts w:ascii="Times New Roman" w:hAnsi="Times New Roman" w:cs="Times New Roman"/>
                <w:sz w:val="24"/>
                <w:szCs w:val="24"/>
              </w:rPr>
            </w:pPr>
            <w:r>
              <w:rPr>
                <w:rFonts w:ascii="Times New Roman" w:hAnsi="Times New Roman" w:cs="Times New Roman"/>
                <w:color w:val="000000"/>
                <w:sz w:val="24"/>
                <w:szCs w:val="24"/>
              </w:rPr>
              <w:t>66.50±0.70</w:t>
            </w:r>
            <w:r>
              <w:rPr>
                <w:rFonts w:ascii="Times New Roman" w:hAnsi="Times New Roman" w:cs="Times New Roman"/>
                <w:color w:val="000000"/>
                <w:sz w:val="24"/>
                <w:szCs w:val="24"/>
                <w:vertAlign w:val="superscript"/>
              </w:rPr>
              <w:t>f</w:t>
            </w:r>
          </w:p>
        </w:tc>
        <w:tc>
          <w:tcPr>
            <w:tcW w:w="1297" w:type="dxa"/>
          </w:tcPr>
          <w:p w14:paraId="22587F5F" w14:textId="77777777" w:rsidR="008F228F" w:rsidRDefault="00000000">
            <w:pPr>
              <w:spacing w:after="120" w:line="240" w:lineRule="auto"/>
              <w:ind w:right="-19"/>
              <w:rPr>
                <w:rFonts w:ascii="Times New Roman" w:hAnsi="Times New Roman" w:cs="Times New Roman"/>
                <w:sz w:val="24"/>
                <w:szCs w:val="24"/>
                <w:vertAlign w:val="superscript"/>
              </w:rPr>
            </w:pPr>
            <w:r>
              <w:rPr>
                <w:rFonts w:ascii="Times New Roman" w:hAnsi="Times New Roman" w:cs="Times New Roman"/>
                <w:color w:val="000000"/>
                <w:sz w:val="24"/>
                <w:szCs w:val="24"/>
              </w:rPr>
              <w:t>25.35±2.05</w:t>
            </w:r>
            <w:r>
              <w:rPr>
                <w:rFonts w:ascii="Times New Roman" w:hAnsi="Times New Roman" w:cs="Times New Roman"/>
                <w:color w:val="000000"/>
                <w:sz w:val="24"/>
                <w:szCs w:val="24"/>
                <w:vertAlign w:val="superscript"/>
              </w:rPr>
              <w:t>b</w:t>
            </w:r>
          </w:p>
          <w:p w14:paraId="381B2D4A"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40.62±0.08</w:t>
            </w:r>
            <w:r>
              <w:rPr>
                <w:rFonts w:ascii="Times New Roman" w:hAnsi="Times New Roman" w:cs="Times New Roman"/>
                <w:color w:val="000000"/>
                <w:sz w:val="24"/>
                <w:szCs w:val="24"/>
                <w:vertAlign w:val="superscript"/>
              </w:rPr>
              <w:t>d*</w:t>
            </w:r>
          </w:p>
        </w:tc>
      </w:tr>
      <w:tr w:rsidR="008F228F" w14:paraId="2D2661CB" w14:textId="77777777">
        <w:tc>
          <w:tcPr>
            <w:tcW w:w="1135" w:type="dxa"/>
          </w:tcPr>
          <w:p w14:paraId="2E696E24" w14:textId="77777777" w:rsidR="008F228F" w:rsidRDefault="00000000">
            <w:pPr>
              <w:spacing w:after="120" w:line="240" w:lineRule="auto"/>
              <w:ind w:right="-87"/>
              <w:rPr>
                <w:rFonts w:ascii="Times New Roman" w:hAnsi="Times New Roman" w:cs="Times New Roman"/>
                <w:sz w:val="24"/>
                <w:szCs w:val="24"/>
              </w:rPr>
            </w:pPr>
            <w:r>
              <w:rPr>
                <w:rFonts w:ascii="Times New Roman" w:hAnsi="Times New Roman" w:cs="Times New Roman"/>
                <w:sz w:val="24"/>
                <w:szCs w:val="24"/>
              </w:rPr>
              <w:t>Nitric   oxide</w:t>
            </w:r>
          </w:p>
        </w:tc>
        <w:tc>
          <w:tcPr>
            <w:tcW w:w="992" w:type="dxa"/>
          </w:tcPr>
          <w:p w14:paraId="1DB339B7"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days</w:t>
            </w:r>
          </w:p>
          <w:p w14:paraId="7FB9E4C3"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days</w:t>
            </w:r>
          </w:p>
        </w:tc>
        <w:tc>
          <w:tcPr>
            <w:tcW w:w="1418" w:type="dxa"/>
          </w:tcPr>
          <w:p w14:paraId="198A1164"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48.51±0.55</w:t>
            </w:r>
            <w:r>
              <w:rPr>
                <w:rFonts w:ascii="Times New Roman" w:hAnsi="Times New Roman" w:cs="Times New Roman"/>
                <w:color w:val="000000"/>
                <w:sz w:val="24"/>
                <w:szCs w:val="24"/>
                <w:vertAlign w:val="superscript"/>
              </w:rPr>
              <w:t>d</w:t>
            </w:r>
          </w:p>
          <w:p w14:paraId="60C9E93E"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55.17±2.43</w:t>
            </w:r>
            <w:r>
              <w:rPr>
                <w:rFonts w:ascii="Times New Roman" w:hAnsi="Times New Roman" w:cs="Times New Roman"/>
                <w:color w:val="000000"/>
                <w:sz w:val="24"/>
                <w:szCs w:val="24"/>
                <w:vertAlign w:val="superscript"/>
              </w:rPr>
              <w:t>c*</w:t>
            </w:r>
          </w:p>
        </w:tc>
        <w:tc>
          <w:tcPr>
            <w:tcW w:w="1417" w:type="dxa"/>
          </w:tcPr>
          <w:p w14:paraId="3D05C70A"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50.59±0.12</w:t>
            </w:r>
            <w:r>
              <w:rPr>
                <w:rFonts w:ascii="Times New Roman" w:hAnsi="Times New Roman" w:cs="Times New Roman"/>
                <w:color w:val="000000"/>
                <w:sz w:val="24"/>
                <w:szCs w:val="24"/>
                <w:vertAlign w:val="superscript"/>
              </w:rPr>
              <w:t>e</w:t>
            </w:r>
          </w:p>
          <w:p w14:paraId="21B1AA78"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60.54±0.03</w:t>
            </w:r>
            <w:r>
              <w:rPr>
                <w:rFonts w:ascii="Times New Roman" w:hAnsi="Times New Roman" w:cs="Times New Roman"/>
                <w:color w:val="000000"/>
                <w:sz w:val="24"/>
                <w:szCs w:val="24"/>
                <w:vertAlign w:val="superscript"/>
              </w:rPr>
              <w:t>d*</w:t>
            </w:r>
          </w:p>
        </w:tc>
        <w:tc>
          <w:tcPr>
            <w:tcW w:w="1276" w:type="dxa"/>
          </w:tcPr>
          <w:p w14:paraId="37E57D49" w14:textId="77777777" w:rsidR="008F228F" w:rsidRDefault="00000000">
            <w:pPr>
              <w:spacing w:after="120" w:line="240" w:lineRule="auto"/>
              <w:ind w:right="-25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14.17±0.09</w:t>
            </w:r>
            <w:r>
              <w:rPr>
                <w:rFonts w:ascii="Times New Roman" w:hAnsi="Times New Roman" w:cs="Times New Roman"/>
                <w:color w:val="000000"/>
                <w:sz w:val="24"/>
                <w:szCs w:val="24"/>
                <w:vertAlign w:val="superscript"/>
              </w:rPr>
              <w:t>b</w:t>
            </w:r>
          </w:p>
          <w:p w14:paraId="7A041C21" w14:textId="77777777" w:rsidR="008F228F" w:rsidRDefault="00000000">
            <w:pPr>
              <w:spacing w:after="120" w:line="240" w:lineRule="auto"/>
              <w:ind w:right="-250"/>
              <w:rPr>
                <w:rFonts w:ascii="Times New Roman" w:hAnsi="Times New Roman" w:cs="Times New Roman"/>
                <w:sz w:val="24"/>
                <w:szCs w:val="24"/>
              </w:rPr>
            </w:pPr>
            <w:r>
              <w:rPr>
                <w:rFonts w:ascii="Times New Roman" w:hAnsi="Times New Roman" w:cs="Times New Roman"/>
                <w:color w:val="000000"/>
                <w:sz w:val="24"/>
                <w:szCs w:val="24"/>
              </w:rPr>
              <w:t>76.50±2.12</w:t>
            </w:r>
            <w:r>
              <w:rPr>
                <w:rFonts w:ascii="Times New Roman" w:hAnsi="Times New Roman" w:cs="Times New Roman"/>
                <w:color w:val="000000"/>
                <w:sz w:val="24"/>
                <w:szCs w:val="24"/>
                <w:vertAlign w:val="superscript"/>
              </w:rPr>
              <w:t>e*</w:t>
            </w:r>
          </w:p>
        </w:tc>
        <w:tc>
          <w:tcPr>
            <w:tcW w:w="1417" w:type="dxa"/>
          </w:tcPr>
          <w:p w14:paraId="0AB80A30"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34.90±0.01</w:t>
            </w:r>
            <w:r>
              <w:rPr>
                <w:rFonts w:ascii="Times New Roman" w:hAnsi="Times New Roman" w:cs="Times New Roman"/>
                <w:color w:val="000000"/>
                <w:sz w:val="24"/>
                <w:szCs w:val="24"/>
                <w:vertAlign w:val="superscript"/>
              </w:rPr>
              <w:t>c</w:t>
            </w:r>
          </w:p>
          <w:p w14:paraId="516B9200"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43.29±3.68</w:t>
            </w:r>
            <w:r>
              <w:rPr>
                <w:rFonts w:ascii="Times New Roman" w:hAnsi="Times New Roman" w:cs="Times New Roman"/>
                <w:color w:val="000000"/>
                <w:sz w:val="24"/>
                <w:szCs w:val="24"/>
                <w:vertAlign w:val="superscript"/>
              </w:rPr>
              <w:t>b*</w:t>
            </w:r>
          </w:p>
        </w:tc>
        <w:tc>
          <w:tcPr>
            <w:tcW w:w="1398" w:type="dxa"/>
          </w:tcPr>
          <w:p w14:paraId="26CCFD8B" w14:textId="77777777" w:rsidR="008F228F" w:rsidRDefault="00000000">
            <w:pPr>
              <w:spacing w:line="240" w:lineRule="auto"/>
              <w:ind w:right="-87"/>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12.44±0.02</w:t>
            </w:r>
            <w:r>
              <w:rPr>
                <w:rFonts w:ascii="Times New Roman" w:hAnsi="Times New Roman" w:cs="Times New Roman"/>
                <w:color w:val="000000"/>
                <w:sz w:val="24"/>
                <w:szCs w:val="24"/>
                <w:vertAlign w:val="superscript"/>
              </w:rPr>
              <w:t>a</w:t>
            </w:r>
          </w:p>
          <w:p w14:paraId="2127746C" w14:textId="77777777" w:rsidR="008F228F" w:rsidRDefault="00000000">
            <w:pPr>
              <w:spacing w:line="240" w:lineRule="auto"/>
              <w:ind w:right="-87"/>
              <w:rPr>
                <w:rFonts w:ascii="Times New Roman" w:hAnsi="Times New Roman" w:cs="Times New Roman"/>
                <w:sz w:val="24"/>
                <w:szCs w:val="24"/>
              </w:rPr>
            </w:pPr>
            <w:r>
              <w:rPr>
                <w:rFonts w:ascii="Times New Roman" w:hAnsi="Times New Roman" w:cs="Times New Roman"/>
                <w:color w:val="000000"/>
                <w:sz w:val="24"/>
                <w:szCs w:val="24"/>
              </w:rPr>
              <w:t>95.50±3.54</w:t>
            </w:r>
            <w:r>
              <w:rPr>
                <w:rFonts w:ascii="Times New Roman" w:hAnsi="Times New Roman" w:cs="Times New Roman"/>
                <w:color w:val="000000"/>
                <w:sz w:val="24"/>
                <w:szCs w:val="24"/>
                <w:vertAlign w:val="superscript"/>
              </w:rPr>
              <w:t>f</w:t>
            </w:r>
          </w:p>
        </w:tc>
        <w:tc>
          <w:tcPr>
            <w:tcW w:w="1297" w:type="dxa"/>
          </w:tcPr>
          <w:p w14:paraId="01AA0C2F" w14:textId="77777777" w:rsidR="008F228F" w:rsidRDefault="00000000">
            <w:pPr>
              <w:tabs>
                <w:tab w:val="left" w:pos="850"/>
              </w:tabs>
              <w:spacing w:after="120" w:line="240" w:lineRule="auto"/>
              <w:ind w:right="-73"/>
              <w:rPr>
                <w:rFonts w:ascii="Times New Roman" w:hAnsi="Times New Roman" w:cs="Times New Roman"/>
                <w:sz w:val="24"/>
                <w:szCs w:val="24"/>
              </w:rPr>
            </w:pPr>
            <w:r>
              <w:rPr>
                <w:rFonts w:ascii="Times New Roman" w:hAnsi="Times New Roman" w:cs="Times New Roman"/>
                <w:color w:val="000000"/>
                <w:sz w:val="24"/>
                <w:szCs w:val="24"/>
              </w:rPr>
              <w:t>43.01±4.09</w:t>
            </w:r>
            <w:r>
              <w:rPr>
                <w:rFonts w:ascii="Times New Roman" w:hAnsi="Times New Roman" w:cs="Times New Roman"/>
                <w:color w:val="000000"/>
                <w:sz w:val="24"/>
                <w:szCs w:val="24"/>
                <w:vertAlign w:val="superscript"/>
              </w:rPr>
              <w:t>d</w:t>
            </w:r>
          </w:p>
          <w:p w14:paraId="73A21C58" w14:textId="77777777" w:rsidR="008F228F" w:rsidRDefault="00000000">
            <w:pPr>
              <w:spacing w:after="120" w:line="240" w:lineRule="auto"/>
              <w:rPr>
                <w:rFonts w:ascii="Times New Roman" w:hAnsi="Times New Roman" w:cs="Times New Roman"/>
                <w:sz w:val="24"/>
                <w:szCs w:val="24"/>
              </w:rPr>
            </w:pPr>
            <w:r>
              <w:rPr>
                <w:rFonts w:ascii="Times New Roman" w:hAnsi="Times New Roman" w:cs="Times New Roman"/>
                <w:color w:val="000000"/>
                <w:sz w:val="24"/>
                <w:szCs w:val="24"/>
              </w:rPr>
              <w:t>40.62±0.23</w:t>
            </w:r>
            <w:r>
              <w:rPr>
                <w:rFonts w:ascii="Times New Roman" w:hAnsi="Times New Roman" w:cs="Times New Roman"/>
                <w:color w:val="000000"/>
                <w:sz w:val="24"/>
                <w:szCs w:val="24"/>
                <w:vertAlign w:val="superscript"/>
              </w:rPr>
              <w:t>a</w:t>
            </w:r>
          </w:p>
        </w:tc>
      </w:tr>
      <w:tr w:rsidR="008F228F" w14:paraId="03703090" w14:textId="77777777">
        <w:tc>
          <w:tcPr>
            <w:tcW w:w="1135" w:type="dxa"/>
          </w:tcPr>
          <w:p w14:paraId="3482777F" w14:textId="77777777" w:rsidR="008F228F" w:rsidRDefault="00000000">
            <w:pPr>
              <w:spacing w:after="120" w:line="240" w:lineRule="auto"/>
              <w:ind w:right="-87" w:hanging="108"/>
              <w:rPr>
                <w:rFonts w:ascii="Times New Roman" w:hAnsi="Times New Roman" w:cs="Times New Roman"/>
                <w:sz w:val="24"/>
                <w:szCs w:val="24"/>
              </w:rPr>
            </w:pPr>
            <w:r>
              <w:rPr>
                <w:rFonts w:ascii="Times New Roman" w:hAnsi="Times New Roman" w:cs="Times New Roman"/>
                <w:sz w:val="24"/>
                <w:szCs w:val="24"/>
              </w:rPr>
              <w:t>pH</w:t>
            </w:r>
          </w:p>
        </w:tc>
        <w:tc>
          <w:tcPr>
            <w:tcW w:w="992" w:type="dxa"/>
          </w:tcPr>
          <w:p w14:paraId="0C2F194F"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days</w:t>
            </w:r>
          </w:p>
          <w:p w14:paraId="05EA9AD5" w14:textId="77777777" w:rsidR="008F228F" w:rsidRDefault="00000000">
            <w:pPr>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days</w:t>
            </w:r>
          </w:p>
        </w:tc>
        <w:tc>
          <w:tcPr>
            <w:tcW w:w="1418" w:type="dxa"/>
          </w:tcPr>
          <w:p w14:paraId="14429A86"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8.92±0.04</w:t>
            </w:r>
            <w:r>
              <w:rPr>
                <w:rFonts w:ascii="Times New Roman" w:hAnsi="Times New Roman" w:cs="Times New Roman"/>
                <w:color w:val="000000"/>
                <w:sz w:val="24"/>
                <w:szCs w:val="24"/>
                <w:vertAlign w:val="superscript"/>
              </w:rPr>
              <w:t>f*</w:t>
            </w:r>
          </w:p>
          <w:p w14:paraId="5A2EC28C" w14:textId="77777777" w:rsidR="008F228F" w:rsidRDefault="00000000">
            <w:pPr>
              <w:spacing w:after="120" w:line="240" w:lineRule="auto"/>
              <w:ind w:right="-108"/>
              <w:rPr>
                <w:rFonts w:ascii="Times New Roman" w:hAnsi="Times New Roman" w:cs="Times New Roman"/>
                <w:sz w:val="24"/>
                <w:szCs w:val="24"/>
                <w:vertAlign w:val="superscript"/>
              </w:rPr>
            </w:pPr>
            <w:r>
              <w:rPr>
                <w:rFonts w:ascii="Times New Roman" w:hAnsi="Times New Roman" w:cs="Times New Roman"/>
                <w:color w:val="000000"/>
                <w:sz w:val="24"/>
                <w:szCs w:val="24"/>
              </w:rPr>
              <w:t>5.32±0.03</w:t>
            </w:r>
            <w:r>
              <w:rPr>
                <w:rFonts w:ascii="Times New Roman" w:hAnsi="Times New Roman" w:cs="Times New Roman"/>
                <w:color w:val="000000"/>
                <w:sz w:val="24"/>
                <w:szCs w:val="24"/>
                <w:vertAlign w:val="superscript"/>
              </w:rPr>
              <w:t>a</w:t>
            </w:r>
          </w:p>
        </w:tc>
        <w:tc>
          <w:tcPr>
            <w:tcW w:w="1417" w:type="dxa"/>
          </w:tcPr>
          <w:p w14:paraId="4EEA53B8"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8.93±0.04</w:t>
            </w:r>
            <w:r>
              <w:rPr>
                <w:rFonts w:ascii="Times New Roman" w:hAnsi="Times New Roman" w:cs="Times New Roman"/>
                <w:color w:val="000000"/>
                <w:sz w:val="24"/>
                <w:szCs w:val="24"/>
                <w:vertAlign w:val="superscript"/>
              </w:rPr>
              <w:t>g*</w:t>
            </w:r>
          </w:p>
          <w:p w14:paraId="0E9A920A" w14:textId="77777777" w:rsidR="008F228F" w:rsidRDefault="00000000">
            <w:pPr>
              <w:spacing w:after="120" w:line="240" w:lineRule="auto"/>
              <w:ind w:right="-143"/>
              <w:rPr>
                <w:rFonts w:ascii="Times New Roman" w:hAnsi="Times New Roman" w:cs="Times New Roman"/>
                <w:sz w:val="24"/>
                <w:szCs w:val="24"/>
                <w:vertAlign w:val="superscript"/>
              </w:rPr>
            </w:pPr>
            <w:r>
              <w:rPr>
                <w:rFonts w:ascii="Times New Roman" w:hAnsi="Times New Roman" w:cs="Times New Roman"/>
                <w:color w:val="000000"/>
                <w:sz w:val="24"/>
                <w:szCs w:val="24"/>
              </w:rPr>
              <w:t>6.09±0.44</w:t>
            </w:r>
            <w:r>
              <w:rPr>
                <w:rFonts w:ascii="Times New Roman" w:hAnsi="Times New Roman" w:cs="Times New Roman"/>
                <w:color w:val="000000"/>
                <w:sz w:val="24"/>
                <w:szCs w:val="24"/>
                <w:vertAlign w:val="superscript"/>
              </w:rPr>
              <w:t>c</w:t>
            </w:r>
          </w:p>
        </w:tc>
        <w:tc>
          <w:tcPr>
            <w:tcW w:w="1276" w:type="dxa"/>
          </w:tcPr>
          <w:p w14:paraId="5AE13517" w14:textId="77777777" w:rsidR="008F228F" w:rsidRDefault="00000000">
            <w:pPr>
              <w:spacing w:after="120" w:line="240" w:lineRule="auto"/>
              <w:ind w:right="-25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7.28±0.24</w:t>
            </w:r>
            <w:r>
              <w:rPr>
                <w:rFonts w:ascii="Times New Roman" w:hAnsi="Times New Roman" w:cs="Times New Roman"/>
                <w:color w:val="000000"/>
                <w:sz w:val="24"/>
                <w:szCs w:val="24"/>
                <w:vertAlign w:val="superscript"/>
              </w:rPr>
              <w:t>b*</w:t>
            </w:r>
          </w:p>
          <w:p w14:paraId="0CBE9AAF" w14:textId="77777777" w:rsidR="008F228F" w:rsidRDefault="00000000">
            <w:pPr>
              <w:spacing w:after="120" w:line="240" w:lineRule="auto"/>
              <w:ind w:right="-250"/>
              <w:rPr>
                <w:rFonts w:ascii="Times New Roman" w:hAnsi="Times New Roman" w:cs="Times New Roman"/>
                <w:sz w:val="24"/>
                <w:szCs w:val="24"/>
                <w:vertAlign w:val="superscript"/>
              </w:rPr>
            </w:pPr>
            <w:r>
              <w:rPr>
                <w:rFonts w:ascii="Times New Roman" w:hAnsi="Times New Roman" w:cs="Times New Roman"/>
                <w:color w:val="000000"/>
                <w:sz w:val="24"/>
                <w:szCs w:val="24"/>
              </w:rPr>
              <w:t>6.30±0.14</w:t>
            </w:r>
            <w:r>
              <w:rPr>
                <w:rFonts w:ascii="Times New Roman" w:hAnsi="Times New Roman" w:cs="Times New Roman"/>
                <w:color w:val="000000"/>
                <w:sz w:val="24"/>
                <w:szCs w:val="24"/>
                <w:vertAlign w:val="superscript"/>
              </w:rPr>
              <w:t>d</w:t>
            </w:r>
          </w:p>
        </w:tc>
        <w:tc>
          <w:tcPr>
            <w:tcW w:w="1417" w:type="dxa"/>
          </w:tcPr>
          <w:p w14:paraId="0740F190"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7.76±0.04</w:t>
            </w:r>
            <w:r>
              <w:rPr>
                <w:rFonts w:ascii="Times New Roman" w:hAnsi="Times New Roman" w:cs="Times New Roman"/>
                <w:color w:val="000000"/>
                <w:sz w:val="24"/>
                <w:szCs w:val="24"/>
                <w:vertAlign w:val="superscript"/>
              </w:rPr>
              <w:t>c*</w:t>
            </w:r>
          </w:p>
          <w:p w14:paraId="617FC773" w14:textId="77777777" w:rsidR="008F228F" w:rsidRDefault="00000000">
            <w:pPr>
              <w:spacing w:after="120" w:line="240" w:lineRule="auto"/>
              <w:ind w:right="-117"/>
              <w:rPr>
                <w:rFonts w:ascii="Times New Roman" w:hAnsi="Times New Roman" w:cs="Times New Roman"/>
                <w:sz w:val="24"/>
                <w:szCs w:val="24"/>
                <w:vertAlign w:val="superscript"/>
              </w:rPr>
            </w:pPr>
            <w:r>
              <w:rPr>
                <w:rFonts w:ascii="Times New Roman" w:hAnsi="Times New Roman" w:cs="Times New Roman"/>
                <w:color w:val="000000"/>
                <w:sz w:val="24"/>
                <w:szCs w:val="24"/>
              </w:rPr>
              <w:t>5.61±0.53</w:t>
            </w:r>
            <w:r>
              <w:rPr>
                <w:rFonts w:ascii="Times New Roman" w:hAnsi="Times New Roman" w:cs="Times New Roman"/>
                <w:color w:val="000000"/>
                <w:sz w:val="24"/>
                <w:szCs w:val="24"/>
                <w:vertAlign w:val="superscript"/>
              </w:rPr>
              <w:t>b</w:t>
            </w:r>
          </w:p>
        </w:tc>
        <w:tc>
          <w:tcPr>
            <w:tcW w:w="1398" w:type="dxa"/>
          </w:tcPr>
          <w:p w14:paraId="7E137212" w14:textId="77777777" w:rsidR="008F228F" w:rsidRDefault="00000000">
            <w:pPr>
              <w:spacing w:line="240" w:lineRule="auto"/>
              <w:ind w:right="-87"/>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6.85±0.06</w:t>
            </w:r>
            <w:r>
              <w:rPr>
                <w:rFonts w:ascii="Times New Roman" w:hAnsi="Times New Roman" w:cs="Times New Roman"/>
                <w:color w:val="000000"/>
                <w:sz w:val="24"/>
                <w:szCs w:val="24"/>
                <w:vertAlign w:val="superscript"/>
              </w:rPr>
              <w:t>a</w:t>
            </w:r>
          </w:p>
          <w:p w14:paraId="4B0C20F0" w14:textId="77777777" w:rsidR="008F228F" w:rsidRDefault="00000000">
            <w:pPr>
              <w:spacing w:line="240" w:lineRule="auto"/>
              <w:ind w:right="-87"/>
              <w:rPr>
                <w:rFonts w:ascii="Times New Roman" w:hAnsi="Times New Roman" w:cs="Times New Roman"/>
                <w:sz w:val="24"/>
                <w:szCs w:val="24"/>
              </w:rPr>
            </w:pPr>
            <w:r>
              <w:rPr>
                <w:rFonts w:ascii="Times New Roman" w:hAnsi="Times New Roman" w:cs="Times New Roman"/>
                <w:color w:val="000000"/>
                <w:sz w:val="24"/>
                <w:szCs w:val="24"/>
              </w:rPr>
              <w:t>6.60±0.14</w:t>
            </w:r>
            <w:r>
              <w:rPr>
                <w:rFonts w:ascii="Times New Roman" w:hAnsi="Times New Roman" w:cs="Times New Roman"/>
                <w:color w:val="000000"/>
                <w:sz w:val="24"/>
                <w:szCs w:val="24"/>
                <w:vertAlign w:val="superscript"/>
              </w:rPr>
              <w:t>e</w:t>
            </w:r>
          </w:p>
        </w:tc>
        <w:tc>
          <w:tcPr>
            <w:tcW w:w="1297" w:type="dxa"/>
          </w:tcPr>
          <w:p w14:paraId="2B586F88" w14:textId="77777777" w:rsidR="008F228F" w:rsidRDefault="00000000">
            <w:pPr>
              <w:spacing w:after="120" w:line="240" w:lineRule="auto"/>
              <w:ind w:right="-51"/>
              <w:rPr>
                <w:rFonts w:ascii="Times New Roman" w:hAnsi="Times New Roman" w:cs="Times New Roman"/>
                <w:sz w:val="24"/>
                <w:szCs w:val="24"/>
                <w:vertAlign w:val="superscript"/>
              </w:rPr>
            </w:pPr>
            <w:r>
              <w:rPr>
                <w:rFonts w:ascii="Times New Roman" w:hAnsi="Times New Roman" w:cs="Times New Roman"/>
                <w:color w:val="000000"/>
                <w:sz w:val="24"/>
                <w:szCs w:val="24"/>
              </w:rPr>
              <w:t>8.42±0.02</w:t>
            </w:r>
            <w:r>
              <w:rPr>
                <w:rFonts w:ascii="Times New Roman" w:hAnsi="Times New Roman" w:cs="Times New Roman"/>
                <w:color w:val="000000"/>
                <w:sz w:val="24"/>
                <w:szCs w:val="24"/>
                <w:vertAlign w:val="superscript"/>
              </w:rPr>
              <w:t>d*</w:t>
            </w:r>
          </w:p>
          <w:p w14:paraId="7ABB6DCC" w14:textId="77777777" w:rsidR="008F228F" w:rsidRDefault="00000000">
            <w:pPr>
              <w:spacing w:after="120" w:line="240" w:lineRule="auto"/>
              <w:rPr>
                <w:rFonts w:ascii="Times New Roman" w:hAnsi="Times New Roman" w:cs="Times New Roman"/>
                <w:sz w:val="24"/>
                <w:szCs w:val="24"/>
                <w:vertAlign w:val="superscript"/>
              </w:rPr>
            </w:pPr>
            <w:r>
              <w:rPr>
                <w:rFonts w:ascii="Times New Roman" w:hAnsi="Times New Roman" w:cs="Times New Roman"/>
                <w:color w:val="000000"/>
                <w:sz w:val="24"/>
                <w:szCs w:val="24"/>
              </w:rPr>
              <w:t>5.79±0.16</w:t>
            </w:r>
            <w:r>
              <w:rPr>
                <w:rFonts w:ascii="Times New Roman" w:hAnsi="Times New Roman" w:cs="Times New Roman"/>
                <w:color w:val="000000"/>
                <w:sz w:val="24"/>
                <w:szCs w:val="24"/>
                <w:vertAlign w:val="superscript"/>
              </w:rPr>
              <w:t>b</w:t>
            </w:r>
          </w:p>
        </w:tc>
      </w:tr>
    </w:tbl>
    <w:p w14:paraId="0203A4C3" w14:textId="77777777" w:rsidR="008F228F" w:rsidRDefault="000000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Means with different letters superscript within each row respectively are significantly different (p ≤ 0.05). Data are presented as mean ± SE</w:t>
      </w:r>
    </w:p>
    <w:p w14:paraId="60D472E7" w14:textId="77777777" w:rsidR="008F228F" w:rsidRDefault="000000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 higher value between day 14 and 28</w:t>
      </w:r>
    </w:p>
    <w:p w14:paraId="5148EC40" w14:textId="77777777" w:rsidR="008F228F" w:rsidRDefault="008F228F">
      <w:pPr>
        <w:spacing w:line="240" w:lineRule="auto"/>
        <w:jc w:val="both"/>
        <w:rPr>
          <w:rFonts w:ascii="Times New Roman" w:hAnsi="Times New Roman" w:cs="Times New Roman"/>
          <w:i/>
          <w:sz w:val="24"/>
          <w:szCs w:val="24"/>
        </w:rPr>
      </w:pPr>
    </w:p>
    <w:p w14:paraId="759C260B" w14:textId="77777777" w:rsidR="008F228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26C6930"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From the result, </w:t>
      </w:r>
      <w:r>
        <w:rPr>
          <w:rFonts w:ascii="Times New Roman" w:hAnsi="Times New Roman" w:cs="Times New Roman"/>
          <w:sz w:val="24"/>
          <w:szCs w:val="24"/>
        </w:rPr>
        <w:t xml:space="preserve">MDA, </w:t>
      </w:r>
      <w:r>
        <w:rPr>
          <w:rFonts w:ascii="Times New Roman" w:hAnsi="Times New Roman" w:cs="Times New Roman"/>
          <w:color w:val="000000"/>
          <w:sz w:val="24"/>
          <w:szCs w:val="24"/>
        </w:rPr>
        <w:t xml:space="preserve">hydroxyl radical, </w:t>
      </w:r>
      <w:r>
        <w:rPr>
          <w:rFonts w:ascii="Times New Roman" w:hAnsi="Times New Roman" w:cs="Times New Roman"/>
          <w:sz w:val="24"/>
          <w:szCs w:val="24"/>
        </w:rPr>
        <w:t xml:space="preserve">catalase, nitric oxide and pH increased significantly across the fishes treated with BLE as compared to their control. Catalase and pH increased significantly across the fishes treated with ULE as compared to their control. The significant increase in catalase is similar to the report of </w:t>
      </w:r>
      <w:proofErr w:type="spellStart"/>
      <w:r>
        <w:rPr>
          <w:rFonts w:ascii="Times New Roman" w:hAnsi="Times New Roman" w:cs="Times New Roman"/>
          <w:sz w:val="24"/>
          <w:szCs w:val="24"/>
        </w:rPr>
        <w:t>Imaga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Bamigbetan</w:t>
      </w:r>
      <w:proofErr w:type="spellEnd"/>
      <w:r>
        <w:rPr>
          <w:rFonts w:ascii="Times New Roman" w:hAnsi="Times New Roman" w:cs="Times New Roman"/>
          <w:sz w:val="24"/>
          <w:szCs w:val="24"/>
        </w:rPr>
        <w:t xml:space="preserve"> (22). This may imply that there is no lipid peroxidation, which is a direct indicator that cell membrane damage had not occurred in the tissue (23). The increase in catalase activity may be in response to the damaging effects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which results from the degradation of anion superoxide by the enzyme superoxide dismutase. This is similar to the report of Kehinde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(23). MDA and catalase decreased while </w:t>
      </w:r>
      <w:r>
        <w:rPr>
          <w:rFonts w:ascii="Times New Roman" w:hAnsi="Times New Roman" w:cs="Times New Roman"/>
          <w:color w:val="000000"/>
          <w:sz w:val="24"/>
          <w:szCs w:val="24"/>
        </w:rPr>
        <w:t xml:space="preserve">hydroxyl radical, </w:t>
      </w:r>
      <w:r>
        <w:rPr>
          <w:rFonts w:ascii="Times New Roman" w:hAnsi="Times New Roman" w:cs="Times New Roman"/>
          <w:sz w:val="24"/>
          <w:szCs w:val="24"/>
        </w:rPr>
        <w:t>nitric oxide and pH increased significantly in the fishes exposed to diclofenac</w:t>
      </w:r>
      <w:r>
        <w:rPr>
          <w:rFonts w:ascii="Times New Roman" w:hAnsi="Times New Roman" w:cs="Times New Roman"/>
          <w:color w:val="000000"/>
          <w:sz w:val="24"/>
          <w:szCs w:val="24"/>
        </w:rPr>
        <w:t xml:space="preserve"> when compared to their control</w:t>
      </w:r>
      <w:r>
        <w:rPr>
          <w:rFonts w:ascii="Times New Roman" w:hAnsi="Times New Roman" w:cs="Times New Roman"/>
          <w:sz w:val="24"/>
          <w:szCs w:val="24"/>
        </w:rPr>
        <w:t xml:space="preserve">. This is similar to the report of Nwani </w:t>
      </w:r>
      <w:r>
        <w:rPr>
          <w:rFonts w:ascii="Times New Roman" w:hAnsi="Times New Roman" w:cs="Times New Roman"/>
          <w:i/>
          <w:sz w:val="24"/>
          <w:szCs w:val="24"/>
        </w:rPr>
        <w:t>et al</w:t>
      </w:r>
      <w:r>
        <w:rPr>
          <w:rFonts w:ascii="Times New Roman" w:hAnsi="Times New Roman" w:cs="Times New Roman"/>
          <w:sz w:val="24"/>
          <w:szCs w:val="24"/>
        </w:rPr>
        <w:t xml:space="preserve">. (24). Kehinde </w:t>
      </w:r>
      <w:r>
        <w:rPr>
          <w:rFonts w:ascii="Times New Roman" w:hAnsi="Times New Roman" w:cs="Times New Roman"/>
          <w:i/>
          <w:sz w:val="24"/>
          <w:szCs w:val="24"/>
        </w:rPr>
        <w:t>et al</w:t>
      </w:r>
      <w:r>
        <w:rPr>
          <w:rFonts w:ascii="Times New Roman" w:hAnsi="Times New Roman" w:cs="Times New Roman"/>
          <w:sz w:val="24"/>
          <w:szCs w:val="24"/>
        </w:rPr>
        <w:t xml:space="preserve">. (23) observed decrease in MDA levels in a dose dependent manner while CAT increased. The inability of the antioxidants to neutralize the effects of ROS in the liver can affect the functioning of the liver (25). </w:t>
      </w:r>
    </w:p>
    <w:p w14:paraId="140C0D37" w14:textId="77777777" w:rsidR="008F228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MDA, </w:t>
      </w:r>
      <w:r>
        <w:rPr>
          <w:rFonts w:ascii="Times New Roman" w:hAnsi="Times New Roman" w:cs="Times New Roman"/>
          <w:color w:val="000000"/>
          <w:sz w:val="24"/>
          <w:szCs w:val="24"/>
        </w:rPr>
        <w:t xml:space="preserve">hydroxyl radical, </w:t>
      </w:r>
      <w:r>
        <w:rPr>
          <w:rFonts w:ascii="Times New Roman" w:hAnsi="Times New Roman" w:cs="Times New Roman"/>
          <w:sz w:val="24"/>
          <w:szCs w:val="24"/>
        </w:rPr>
        <w:t>catalase, nitric oxide and pH increased significantly across the fishes treated with BLE + DCF when compared to the fishes treated with DCF. While catalase, increased significantly across the fishes treated with ULE + DCF when compared to the fishes treated with DCF. The significant increase in MDA may imply that there is no lipid peroxidation which is a direct indicator that cell membrane damage had not occurred in the tissue (23). This may be as a result of the damaging effects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I the liver by the enzyme superoxide dismutase (26)</w:t>
      </w:r>
    </w:p>
    <w:p w14:paraId="2D63A1FE" w14:textId="77777777" w:rsidR="008F228F" w:rsidRDefault="00000000">
      <w:pPr>
        <w:spacing w:before="24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In conclusion, BLE and ULE, within a short time of exposure may affect the antioxidant activities of </w:t>
      </w:r>
      <w:r>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Thus, it can be deduced that bitter leaf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 are</w:t>
      </w:r>
      <w:r>
        <w:rPr>
          <w:rFonts w:ascii="Times New Roman" w:eastAsia="Times New Roman" w:hAnsi="Times New Roman" w:cs="Times New Roman"/>
          <w:sz w:val="24"/>
          <w:szCs w:val="24"/>
          <w:lang w:eastAsia="en-GB"/>
        </w:rPr>
        <w:t xml:space="preserve"> commonly used medicinal plants, which have</w:t>
      </w:r>
      <w:r>
        <w:rPr>
          <w:rFonts w:ascii="Times New Roman" w:hAnsi="Times New Roman" w:cs="Times New Roman"/>
          <w:sz w:val="24"/>
          <w:szCs w:val="24"/>
        </w:rPr>
        <w:t xml:space="preserve"> antioxidant activity and / or free radical scavenging activity. However, the great antioxidant potential will be of great benefit from its consumption. This supports the view that medicinal plants are promising sources of potential antioxidant and may be efficient as preventive agent in some diseases. Hence, this study has shown the protective potential of bitter leaf and </w:t>
      </w:r>
      <w:proofErr w:type="spellStart"/>
      <w:r>
        <w:rPr>
          <w:rFonts w:ascii="Times New Roman" w:hAnsi="Times New Roman" w:cs="Times New Roman"/>
          <w:sz w:val="24"/>
          <w:szCs w:val="24"/>
        </w:rPr>
        <w:t>utazi</w:t>
      </w:r>
      <w:proofErr w:type="spellEnd"/>
      <w:r>
        <w:rPr>
          <w:rFonts w:ascii="Times New Roman" w:hAnsi="Times New Roman" w:cs="Times New Roman"/>
          <w:sz w:val="24"/>
          <w:szCs w:val="24"/>
        </w:rPr>
        <w:t xml:space="preserve"> leaf</w:t>
      </w:r>
      <w:r>
        <w:t xml:space="preserve"> </w:t>
      </w:r>
      <w:r>
        <w:rPr>
          <w:rFonts w:ascii="Times New Roman" w:hAnsi="Times New Roman" w:cs="Times New Roman"/>
          <w:sz w:val="24"/>
          <w:szCs w:val="24"/>
        </w:rPr>
        <w:t xml:space="preserve">against the adverse effect of diclofenac in </w:t>
      </w:r>
      <w:r>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However, more research is required </w:t>
      </w:r>
      <w:r>
        <w:rPr>
          <w:rFonts w:ascii="Times New Roman" w:eastAsia="Times New Roman" w:hAnsi="Times New Roman" w:cs="Times New Roman"/>
          <w:sz w:val="24"/>
          <w:szCs w:val="24"/>
          <w:lang w:eastAsia="en-GB"/>
        </w:rPr>
        <w:t>to determine the possible effect of BLE and ULE on other parameters such as biochemical parameters and metabolism.</w:t>
      </w:r>
    </w:p>
    <w:p w14:paraId="038293AA" w14:textId="77777777" w:rsidR="005440DD" w:rsidRDefault="005440DD">
      <w:pPr>
        <w:spacing w:before="240" w:line="240" w:lineRule="auto"/>
        <w:jc w:val="both"/>
        <w:rPr>
          <w:rFonts w:ascii="Times New Roman" w:eastAsia="Times New Roman" w:hAnsi="Times New Roman" w:cs="Times New Roman"/>
          <w:sz w:val="24"/>
          <w:szCs w:val="24"/>
          <w:lang w:eastAsia="en-GB"/>
        </w:rPr>
      </w:pPr>
    </w:p>
    <w:p w14:paraId="26A8C638" w14:textId="77777777" w:rsidR="005440DD" w:rsidRPr="005440DD" w:rsidRDefault="005440DD" w:rsidP="005440DD">
      <w:pPr>
        <w:spacing w:before="240" w:line="240" w:lineRule="auto"/>
        <w:jc w:val="both"/>
        <w:rPr>
          <w:rFonts w:ascii="Times New Roman" w:eastAsia="Times New Roman" w:hAnsi="Times New Roman" w:cs="Times New Roman"/>
          <w:sz w:val="24"/>
          <w:szCs w:val="24"/>
          <w:lang w:eastAsia="en-GB"/>
        </w:rPr>
      </w:pPr>
      <w:r w:rsidRPr="005440DD">
        <w:rPr>
          <w:rFonts w:ascii="Times New Roman" w:eastAsia="Times New Roman" w:hAnsi="Times New Roman" w:cs="Times New Roman"/>
          <w:sz w:val="24"/>
          <w:szCs w:val="24"/>
          <w:lang w:eastAsia="en-GB"/>
        </w:rPr>
        <w:t>COMPETING INTERESTS DISCLAIMER:</w:t>
      </w:r>
    </w:p>
    <w:p w14:paraId="33C92092" w14:textId="77777777" w:rsidR="005440DD" w:rsidRPr="005440DD" w:rsidRDefault="005440DD" w:rsidP="005440DD">
      <w:pPr>
        <w:spacing w:before="240" w:line="240" w:lineRule="auto"/>
        <w:jc w:val="both"/>
        <w:rPr>
          <w:rFonts w:ascii="Times New Roman" w:eastAsia="Times New Roman" w:hAnsi="Times New Roman" w:cs="Times New Roman"/>
          <w:sz w:val="24"/>
          <w:szCs w:val="24"/>
          <w:lang w:eastAsia="en-GB"/>
        </w:rPr>
      </w:pPr>
      <w:r w:rsidRPr="005440DD">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45F34CCB" w14:textId="77777777" w:rsidR="005440DD" w:rsidRPr="005440DD" w:rsidRDefault="005440DD" w:rsidP="005440DD">
      <w:pPr>
        <w:spacing w:before="240" w:line="240" w:lineRule="auto"/>
        <w:jc w:val="both"/>
        <w:rPr>
          <w:rFonts w:ascii="Times New Roman" w:eastAsia="Times New Roman" w:hAnsi="Times New Roman" w:cs="Times New Roman"/>
          <w:sz w:val="24"/>
          <w:szCs w:val="24"/>
          <w:lang w:eastAsia="en-GB"/>
        </w:rPr>
      </w:pPr>
    </w:p>
    <w:p w14:paraId="77191A31" w14:textId="77777777" w:rsidR="005440DD" w:rsidRDefault="005440DD">
      <w:pPr>
        <w:spacing w:before="240" w:line="240" w:lineRule="auto"/>
        <w:jc w:val="both"/>
        <w:rPr>
          <w:rFonts w:ascii="Times New Roman" w:eastAsia="Times New Roman" w:hAnsi="Times New Roman" w:cs="Times New Roman"/>
          <w:sz w:val="24"/>
          <w:szCs w:val="24"/>
          <w:lang w:eastAsia="en-GB"/>
        </w:rPr>
      </w:pPr>
    </w:p>
    <w:p w14:paraId="22136D2D" w14:textId="77777777" w:rsidR="008F228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E50287E" w14:textId="77777777" w:rsidR="008F228F" w:rsidRDefault="00000000">
      <w:pPr>
        <w:pStyle w:val="ListParagraph"/>
        <w:numPr>
          <w:ilvl w:val="0"/>
          <w:numId w:val="22"/>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Kasperek, R., Zimmer, U., </w:t>
      </w:r>
      <w:proofErr w:type="spellStart"/>
      <w:r>
        <w:rPr>
          <w:rFonts w:ascii="Times New Roman" w:hAnsi="Times New Roman" w:cs="Times New Roman"/>
          <w:sz w:val="24"/>
          <w:szCs w:val="24"/>
        </w:rPr>
        <w:t>Jawie</w:t>
      </w:r>
      <w:proofErr w:type="spellEnd"/>
      <w:r>
        <w:rPr>
          <w:rFonts w:ascii="Times New Roman" w:hAnsi="Times New Roman" w:cs="Times New Roman"/>
          <w:sz w:val="24"/>
          <w:szCs w:val="24"/>
        </w:rPr>
        <w:t xml:space="preserve">, W. and </w:t>
      </w:r>
      <w:proofErr w:type="spellStart"/>
      <w:r>
        <w:rPr>
          <w:rFonts w:ascii="Times New Roman" w:hAnsi="Times New Roman" w:cs="Times New Roman"/>
          <w:sz w:val="24"/>
          <w:szCs w:val="24"/>
        </w:rPr>
        <w:t>Poleszak</w:t>
      </w:r>
      <w:proofErr w:type="spellEnd"/>
      <w:r>
        <w:rPr>
          <w:rFonts w:ascii="Times New Roman" w:hAnsi="Times New Roman" w:cs="Times New Roman"/>
          <w:sz w:val="24"/>
          <w:szCs w:val="24"/>
        </w:rPr>
        <w:t xml:space="preserve">, E. (2015). Pharmacokinetics of Diclofenac Sodium and Papaverine Hydrochloride After Oral Administration of Tablets to Rabbits. </w:t>
      </w:r>
      <w:r>
        <w:rPr>
          <w:rFonts w:ascii="Times New Roman" w:hAnsi="Times New Roman" w:cs="Times New Roman"/>
          <w:i/>
          <w:sz w:val="24"/>
          <w:szCs w:val="24"/>
        </w:rPr>
        <w:t>Polish Pharmaceutical</w:t>
      </w:r>
      <w:r>
        <w:rPr>
          <w:rFonts w:ascii="Times New Roman" w:hAnsi="Times New Roman" w:cs="Times New Roman"/>
          <w:sz w:val="24"/>
          <w:szCs w:val="24"/>
        </w:rPr>
        <w:t xml:space="preserve"> </w:t>
      </w:r>
      <w:r>
        <w:rPr>
          <w:rFonts w:ascii="Times New Roman" w:hAnsi="Times New Roman" w:cs="Times New Roman"/>
          <w:i/>
          <w:sz w:val="24"/>
          <w:szCs w:val="24"/>
        </w:rPr>
        <w:t>Society</w:t>
      </w:r>
      <w:r>
        <w:rPr>
          <w:rFonts w:ascii="Times New Roman" w:hAnsi="Times New Roman" w:cs="Times New Roman"/>
          <w:sz w:val="24"/>
          <w:szCs w:val="24"/>
        </w:rPr>
        <w:t xml:space="preserve">, </w:t>
      </w:r>
      <w:r>
        <w:rPr>
          <w:rFonts w:ascii="Times New Roman" w:hAnsi="Times New Roman" w:cs="Times New Roman"/>
          <w:b/>
          <w:sz w:val="24"/>
          <w:szCs w:val="24"/>
        </w:rPr>
        <w:t>72</w:t>
      </w:r>
      <w:r>
        <w:rPr>
          <w:rFonts w:ascii="Times New Roman" w:hAnsi="Times New Roman" w:cs="Times New Roman"/>
          <w:sz w:val="24"/>
          <w:szCs w:val="24"/>
        </w:rPr>
        <w:t>(3)527.</w:t>
      </w:r>
    </w:p>
    <w:p w14:paraId="442E5F1C" w14:textId="77777777" w:rsidR="008F228F" w:rsidRDefault="00000000">
      <w:pPr>
        <w:pStyle w:val="ListParagraph"/>
        <w:numPr>
          <w:ilvl w:val="0"/>
          <w:numId w:val="22"/>
        </w:numPr>
        <w:spacing w:after="12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Ofokansi</w:t>
      </w:r>
      <w:proofErr w:type="spellEnd"/>
      <w:r>
        <w:rPr>
          <w:rFonts w:ascii="Times New Roman" w:hAnsi="Times New Roman" w:cs="Times New Roman"/>
          <w:sz w:val="24"/>
          <w:szCs w:val="24"/>
        </w:rPr>
        <w:t xml:space="preserve">, K. C and Kenechukwu, F. C. (2011). Diclofenac Sodium-Loaded Chitosan Microparticles: Formulation, Characterization and Targeted Drug Delivery Properties. </w:t>
      </w:r>
      <w:r>
        <w:rPr>
          <w:rFonts w:ascii="Times New Roman" w:hAnsi="Times New Roman" w:cs="Times New Roman"/>
          <w:i/>
          <w:sz w:val="24"/>
          <w:szCs w:val="24"/>
        </w:rPr>
        <w:t>African Journal of Pharmaceutical Research &amp; Development,</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(1) 61-70.</w:t>
      </w:r>
    </w:p>
    <w:p w14:paraId="4203A03F" w14:textId="77777777" w:rsidR="008F228F" w:rsidRDefault="00000000">
      <w:pPr>
        <w:pStyle w:val="ListParagraph"/>
        <w:numPr>
          <w:ilvl w:val="0"/>
          <w:numId w:val="22"/>
        </w:numPr>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Chowdhury, S and Saikia, S. K. (2020) Oxidative Stress in Fish: A Review. </w:t>
      </w:r>
      <w:r>
        <w:rPr>
          <w:rFonts w:ascii="Times New Roman" w:hAnsi="Times New Roman" w:cs="Times New Roman"/>
          <w:i/>
          <w:sz w:val="24"/>
          <w:szCs w:val="24"/>
        </w:rPr>
        <w:t>Journal of Scientific Research</w:t>
      </w: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 (1), 145-160.</w:t>
      </w:r>
    </w:p>
    <w:p w14:paraId="20275A05" w14:textId="77777777" w:rsidR="008F228F" w:rsidRDefault="00000000">
      <w:pPr>
        <w:pStyle w:val="ListParagraph"/>
        <w:numPr>
          <w:ilvl w:val="0"/>
          <w:numId w:val="22"/>
        </w:num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Eze, C. C., </w:t>
      </w:r>
      <w:proofErr w:type="spellStart"/>
      <w:r>
        <w:rPr>
          <w:rFonts w:ascii="Times New Roman" w:hAnsi="Times New Roman" w:cs="Times New Roman"/>
          <w:sz w:val="24"/>
          <w:szCs w:val="24"/>
        </w:rPr>
        <w:t>Nwamba</w:t>
      </w:r>
      <w:proofErr w:type="spellEnd"/>
      <w:r>
        <w:rPr>
          <w:rFonts w:ascii="Times New Roman" w:hAnsi="Times New Roman" w:cs="Times New Roman"/>
          <w:sz w:val="24"/>
          <w:szCs w:val="24"/>
        </w:rPr>
        <w:t xml:space="preserve">, H. O., </w:t>
      </w:r>
      <w:proofErr w:type="spellStart"/>
      <w:r>
        <w:rPr>
          <w:rFonts w:ascii="Times New Roman" w:hAnsi="Times New Roman" w:cs="Times New Roman"/>
          <w:sz w:val="24"/>
          <w:szCs w:val="24"/>
        </w:rPr>
        <w:t>Omeje</w:t>
      </w:r>
      <w:proofErr w:type="spellEnd"/>
      <w:r>
        <w:rPr>
          <w:rFonts w:ascii="Times New Roman" w:hAnsi="Times New Roman" w:cs="Times New Roman"/>
          <w:sz w:val="24"/>
          <w:szCs w:val="24"/>
        </w:rPr>
        <w:t xml:space="preserve"> F. U., Anukwu, J. U., Okpe, M. N and Nwani, C. D. (2021) Effects of Diclofenac on the Oxidative stress Parameters of Freshwater Fish </w:t>
      </w:r>
      <w:r>
        <w:rPr>
          <w:rFonts w:ascii="Times New Roman" w:hAnsi="Times New Roman" w:cs="Times New Roman"/>
          <w:i/>
          <w:sz w:val="24"/>
          <w:szCs w:val="24"/>
        </w:rPr>
        <w:t>Oreochromis</w:t>
      </w:r>
      <w:r>
        <w:rPr>
          <w:rFonts w:ascii="Times New Roman" w:hAnsi="Times New Roman" w:cs="Times New Roman"/>
          <w:sz w:val="24"/>
          <w:szCs w:val="24"/>
        </w:rPr>
        <w:t xml:space="preserve"> </w:t>
      </w:r>
      <w:r>
        <w:rPr>
          <w:rFonts w:ascii="Times New Roman" w:hAnsi="Times New Roman" w:cs="Times New Roman"/>
          <w:i/>
          <w:sz w:val="24"/>
          <w:szCs w:val="24"/>
        </w:rPr>
        <w:t xml:space="preserve">niloticus Journal of Applied Life Sciences International </w:t>
      </w:r>
      <w:r>
        <w:rPr>
          <w:rFonts w:ascii="Times New Roman" w:hAnsi="Times New Roman" w:cs="Times New Roman"/>
          <w:b/>
          <w:sz w:val="24"/>
          <w:szCs w:val="24"/>
        </w:rPr>
        <w:t>24</w:t>
      </w:r>
      <w:r>
        <w:rPr>
          <w:rFonts w:ascii="Times New Roman" w:hAnsi="Times New Roman" w:cs="Times New Roman"/>
          <w:sz w:val="24"/>
          <w:szCs w:val="24"/>
        </w:rPr>
        <w:t>(10): 44-51.</w:t>
      </w:r>
    </w:p>
    <w:p w14:paraId="20B53016"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Lushchak</w:t>
      </w:r>
      <w:proofErr w:type="spellEnd"/>
      <w:r>
        <w:rPr>
          <w:rFonts w:ascii="Times New Roman" w:hAnsi="Times New Roman" w:cs="Times New Roman"/>
          <w:sz w:val="24"/>
          <w:szCs w:val="24"/>
        </w:rPr>
        <w:t xml:space="preserve">, V. I. (2019). Oxidative Stress in Aquaculture: Implications for Fish Health. </w:t>
      </w:r>
      <w:r>
        <w:rPr>
          <w:rFonts w:ascii="Times New Roman" w:hAnsi="Times New Roman" w:cs="Times New Roman"/>
          <w:i/>
          <w:sz w:val="24"/>
          <w:szCs w:val="24"/>
        </w:rPr>
        <w:t>Reviews in Aquaculture</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(2): 382-400.</w:t>
      </w:r>
    </w:p>
    <w:p w14:paraId="62026D4B"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Abele, D. and </w:t>
      </w:r>
      <w:proofErr w:type="spellStart"/>
      <w:r>
        <w:rPr>
          <w:rFonts w:ascii="Times New Roman" w:hAnsi="Times New Roman" w:cs="Times New Roman"/>
          <w:sz w:val="24"/>
          <w:szCs w:val="24"/>
        </w:rPr>
        <w:t>Puntarulo</w:t>
      </w:r>
      <w:proofErr w:type="spellEnd"/>
      <w:r>
        <w:rPr>
          <w:rFonts w:ascii="Times New Roman" w:hAnsi="Times New Roman" w:cs="Times New Roman"/>
          <w:sz w:val="24"/>
          <w:szCs w:val="24"/>
        </w:rPr>
        <w:t xml:space="preserve">, S. (2017). Reactive Oxygen Species and Antioxidant Defense Mechanisms in Fish. </w:t>
      </w:r>
      <w:r>
        <w:rPr>
          <w:rFonts w:ascii="Times New Roman" w:hAnsi="Times New Roman" w:cs="Times New Roman"/>
          <w:i/>
          <w:sz w:val="24"/>
          <w:szCs w:val="24"/>
        </w:rPr>
        <w:t>Fish Physiology and Biochemistry</w:t>
      </w:r>
      <w:r>
        <w:rPr>
          <w:rFonts w:ascii="Times New Roman" w:hAnsi="Times New Roman" w:cs="Times New Roman"/>
          <w:sz w:val="24"/>
          <w:szCs w:val="24"/>
        </w:rPr>
        <w:t xml:space="preserve">, </w:t>
      </w:r>
      <w:r>
        <w:rPr>
          <w:rFonts w:ascii="Times New Roman" w:hAnsi="Times New Roman" w:cs="Times New Roman"/>
          <w:b/>
          <w:sz w:val="24"/>
          <w:szCs w:val="24"/>
        </w:rPr>
        <w:t>43</w:t>
      </w:r>
      <w:r>
        <w:rPr>
          <w:rFonts w:ascii="Times New Roman" w:hAnsi="Times New Roman" w:cs="Times New Roman"/>
          <w:sz w:val="24"/>
          <w:szCs w:val="24"/>
        </w:rPr>
        <w:t>(4): 1195-1207.</w:t>
      </w:r>
    </w:p>
    <w:p w14:paraId="1227C405"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López-Alarcón, C. and </w:t>
      </w:r>
      <w:proofErr w:type="spellStart"/>
      <w:r>
        <w:rPr>
          <w:rFonts w:ascii="Times New Roman" w:hAnsi="Times New Roman" w:cs="Times New Roman"/>
          <w:sz w:val="24"/>
          <w:szCs w:val="24"/>
        </w:rPr>
        <w:t>Denicola</w:t>
      </w:r>
      <w:proofErr w:type="spellEnd"/>
      <w:r>
        <w:rPr>
          <w:rFonts w:ascii="Times New Roman" w:hAnsi="Times New Roman" w:cs="Times New Roman"/>
          <w:sz w:val="24"/>
          <w:szCs w:val="24"/>
        </w:rPr>
        <w:t xml:space="preserve">, A. (2018). Antioxidants: Mechanisms of Action and Benefits in Fish Nutrition. </w:t>
      </w:r>
      <w:r>
        <w:rPr>
          <w:rFonts w:ascii="Times New Roman" w:hAnsi="Times New Roman" w:cs="Times New Roman"/>
          <w:i/>
          <w:sz w:val="24"/>
          <w:szCs w:val="24"/>
        </w:rPr>
        <w:t>Aquaculture Research</w:t>
      </w:r>
      <w:r>
        <w:rPr>
          <w:rFonts w:ascii="Times New Roman" w:hAnsi="Times New Roman" w:cs="Times New Roman"/>
          <w:sz w:val="24"/>
          <w:szCs w:val="24"/>
        </w:rPr>
        <w:t xml:space="preserve">, </w:t>
      </w:r>
      <w:r>
        <w:rPr>
          <w:rFonts w:ascii="Times New Roman" w:hAnsi="Times New Roman" w:cs="Times New Roman"/>
          <w:b/>
          <w:sz w:val="24"/>
          <w:szCs w:val="24"/>
        </w:rPr>
        <w:t>49</w:t>
      </w:r>
      <w:r>
        <w:rPr>
          <w:rFonts w:ascii="Times New Roman" w:hAnsi="Times New Roman" w:cs="Times New Roman"/>
          <w:sz w:val="24"/>
          <w:szCs w:val="24"/>
        </w:rPr>
        <w:t>(1): 18-33.</w:t>
      </w:r>
    </w:p>
    <w:p w14:paraId="1A97AB44" w14:textId="77777777" w:rsidR="008F228F" w:rsidRDefault="00000000">
      <w:pPr>
        <w:pStyle w:val="ListParagraph"/>
        <w:numPr>
          <w:ilvl w:val="0"/>
          <w:numId w:val="22"/>
        </w:numPr>
        <w:spacing w:after="120" w:line="240" w:lineRule="auto"/>
        <w:ind w:left="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Atangwho</w:t>
      </w:r>
      <w:proofErr w:type="spellEnd"/>
      <w:r>
        <w:rPr>
          <w:rFonts w:ascii="Times New Roman" w:eastAsia="Times New Roman" w:hAnsi="Times New Roman" w:cs="Times New Roman"/>
          <w:sz w:val="24"/>
          <w:szCs w:val="24"/>
          <w:lang w:eastAsia="en-GB"/>
        </w:rPr>
        <w:t xml:space="preserve">, I. J., Ebong, P. E., Eyong, E. U., </w:t>
      </w:r>
      <w:proofErr w:type="gramStart"/>
      <w:r>
        <w:rPr>
          <w:rFonts w:ascii="Times New Roman" w:eastAsia="Times New Roman" w:hAnsi="Times New Roman" w:cs="Times New Roman"/>
          <w:sz w:val="24"/>
          <w:szCs w:val="24"/>
          <w:lang w:eastAsia="en-GB"/>
        </w:rPr>
        <w:t>William ,</w:t>
      </w:r>
      <w:proofErr w:type="gramEnd"/>
      <w:r>
        <w:rPr>
          <w:rFonts w:ascii="Times New Roman" w:eastAsia="Times New Roman" w:hAnsi="Times New Roman" w:cs="Times New Roman"/>
          <w:sz w:val="24"/>
          <w:szCs w:val="24"/>
          <w:lang w:eastAsia="en-GB"/>
        </w:rPr>
        <w:t xml:space="preserve">I. O., </w:t>
      </w:r>
      <w:proofErr w:type="spellStart"/>
      <w:r>
        <w:rPr>
          <w:rFonts w:ascii="Times New Roman" w:eastAsia="Times New Roman" w:hAnsi="Times New Roman" w:cs="Times New Roman"/>
          <w:sz w:val="24"/>
          <w:szCs w:val="24"/>
          <w:lang w:eastAsia="en-GB"/>
        </w:rPr>
        <w:t>Eteng</w:t>
      </w:r>
      <w:proofErr w:type="spellEnd"/>
      <w:r>
        <w:rPr>
          <w:rFonts w:ascii="Times New Roman" w:eastAsia="Times New Roman" w:hAnsi="Times New Roman" w:cs="Times New Roman"/>
          <w:sz w:val="24"/>
          <w:szCs w:val="24"/>
          <w:lang w:eastAsia="en-GB"/>
        </w:rPr>
        <w:t xml:space="preserve">, M. U., and </w:t>
      </w:r>
      <w:proofErr w:type="spellStart"/>
      <w:r>
        <w:rPr>
          <w:rFonts w:ascii="Times New Roman" w:eastAsia="Times New Roman" w:hAnsi="Times New Roman" w:cs="Times New Roman"/>
          <w:sz w:val="24"/>
          <w:szCs w:val="24"/>
          <w:lang w:eastAsia="en-GB"/>
        </w:rPr>
        <w:t>Egbung</w:t>
      </w:r>
      <w:proofErr w:type="spellEnd"/>
      <w:r>
        <w:rPr>
          <w:rFonts w:ascii="Times New Roman" w:eastAsia="Times New Roman" w:hAnsi="Times New Roman" w:cs="Times New Roman"/>
          <w:sz w:val="24"/>
          <w:szCs w:val="24"/>
          <w:lang w:eastAsia="en-GB"/>
        </w:rPr>
        <w:t>, G. E. (2009) Comparative Chemical Composition of Leaves Some Anti-</w:t>
      </w:r>
      <w:proofErr w:type="gramStart"/>
      <w:r>
        <w:rPr>
          <w:rFonts w:ascii="Times New Roman" w:eastAsia="Times New Roman" w:hAnsi="Times New Roman" w:cs="Times New Roman"/>
          <w:sz w:val="24"/>
          <w:szCs w:val="24"/>
          <w:lang w:eastAsia="en-GB"/>
        </w:rPr>
        <w:t>diabetic</w:t>
      </w:r>
      <w:proofErr w:type="gramEnd"/>
      <w:r>
        <w:rPr>
          <w:rFonts w:ascii="Times New Roman" w:eastAsia="Times New Roman" w:hAnsi="Times New Roman" w:cs="Times New Roman"/>
          <w:sz w:val="24"/>
          <w:szCs w:val="24"/>
          <w:lang w:eastAsia="en-GB"/>
        </w:rPr>
        <w:t xml:space="preserve"> Medicinal Plants: </w:t>
      </w:r>
      <w:proofErr w:type="spellStart"/>
      <w:r>
        <w:rPr>
          <w:rFonts w:ascii="Times New Roman" w:eastAsia="Times New Roman" w:hAnsi="Times New Roman" w:cs="Times New Roman"/>
          <w:i/>
          <w:sz w:val="24"/>
          <w:szCs w:val="24"/>
          <w:lang w:eastAsia="en-GB"/>
        </w:rPr>
        <w:t>Azadirachta</w:t>
      </w:r>
      <w:proofErr w:type="spellEnd"/>
      <w:r>
        <w:rPr>
          <w:rFonts w:ascii="Times New Roman" w:eastAsia="Times New Roman" w:hAnsi="Times New Roman" w:cs="Times New Roman"/>
          <w:i/>
          <w:sz w:val="24"/>
          <w:szCs w:val="24"/>
          <w:lang w:eastAsia="en-GB"/>
        </w:rPr>
        <w:t xml:space="preserve"> indica</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Vernonia amygdalina</w:t>
      </w:r>
      <w:r>
        <w:rPr>
          <w:rFonts w:ascii="Times New Roman" w:eastAsia="Times New Roman" w:hAnsi="Times New Roman" w:cs="Times New Roman"/>
          <w:sz w:val="24"/>
          <w:szCs w:val="24"/>
          <w:lang w:eastAsia="en-GB"/>
        </w:rPr>
        <w:t xml:space="preserve"> and </w:t>
      </w:r>
      <w:proofErr w:type="spellStart"/>
      <w:r>
        <w:rPr>
          <w:rFonts w:ascii="Times New Roman" w:eastAsia="Times New Roman" w:hAnsi="Times New Roman" w:cs="Times New Roman"/>
          <w:i/>
          <w:sz w:val="24"/>
          <w:szCs w:val="24"/>
          <w:lang w:eastAsia="en-GB"/>
        </w:rPr>
        <w:t>Gongronema</w:t>
      </w:r>
      <w:proofErr w:type="spellEnd"/>
      <w:r>
        <w:rPr>
          <w:rFonts w:ascii="Times New Roman" w:eastAsia="Times New Roman" w:hAnsi="Times New Roman" w:cs="Times New Roman"/>
          <w:i/>
          <w:sz w:val="24"/>
          <w:szCs w:val="24"/>
          <w:lang w:eastAsia="en-GB"/>
        </w:rPr>
        <w:t xml:space="preserve"> </w:t>
      </w:r>
      <w:proofErr w:type="spellStart"/>
      <w:r>
        <w:rPr>
          <w:rFonts w:ascii="Times New Roman" w:eastAsia="Times New Roman" w:hAnsi="Times New Roman" w:cs="Times New Roman"/>
          <w:i/>
          <w:sz w:val="24"/>
          <w:szCs w:val="24"/>
          <w:lang w:eastAsia="en-GB"/>
        </w:rPr>
        <w:t>latifolium</w:t>
      </w:r>
      <w:proofErr w:type="spellEnd"/>
      <w:r>
        <w:rPr>
          <w:rFonts w:ascii="Times New Roman" w:eastAsia="Times New Roman" w:hAnsi="Times New Roman" w:cs="Times New Roman"/>
          <w:sz w:val="24"/>
          <w:szCs w:val="24"/>
          <w:lang w:eastAsia="en-GB"/>
        </w:rPr>
        <w:t xml:space="preserve">. African Journal of Biotechnology, </w:t>
      </w:r>
      <w:r>
        <w:rPr>
          <w:rFonts w:ascii="Times New Roman" w:eastAsia="Times New Roman" w:hAnsi="Times New Roman" w:cs="Times New Roman"/>
          <w:b/>
          <w:sz w:val="24"/>
          <w:szCs w:val="24"/>
          <w:lang w:eastAsia="en-GB"/>
        </w:rPr>
        <w:t>8</w:t>
      </w:r>
      <w:r>
        <w:rPr>
          <w:rFonts w:ascii="Times New Roman" w:eastAsia="Times New Roman" w:hAnsi="Times New Roman" w:cs="Times New Roman"/>
          <w:sz w:val="24"/>
          <w:szCs w:val="24"/>
          <w:lang w:eastAsia="en-GB"/>
        </w:rPr>
        <w:t>(18): 4685-4689.</w:t>
      </w:r>
    </w:p>
    <w:p w14:paraId="47921310" w14:textId="77777777" w:rsidR="008F228F" w:rsidRDefault="00000000">
      <w:pPr>
        <w:pStyle w:val="ListParagraph"/>
        <w:numPr>
          <w:ilvl w:val="0"/>
          <w:numId w:val="22"/>
        </w:numPr>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Nneoyi-egbe</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Onyenweaku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Akpanuko</w:t>
      </w:r>
      <w:proofErr w:type="spellEnd"/>
      <w:r>
        <w:rPr>
          <w:rFonts w:ascii="Times New Roman" w:hAnsi="Times New Roman" w:cs="Times New Roman"/>
          <w:sz w:val="24"/>
          <w:szCs w:val="24"/>
        </w:rPr>
        <w:t xml:space="preserve">, A. and Sale, D. D. (2024) Phytochemical and Nutritional Compositions of Fresh and Dry </w:t>
      </w:r>
      <w:proofErr w:type="spellStart"/>
      <w:r>
        <w:rPr>
          <w:rFonts w:ascii="Times New Roman" w:hAnsi="Times New Roman" w:cs="Times New Roman"/>
          <w:i/>
          <w:sz w:val="24"/>
          <w:szCs w:val="24"/>
        </w:rPr>
        <w:t>Gongronema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latifolium</w:t>
      </w:r>
      <w:proofErr w:type="spellEnd"/>
      <w:r>
        <w:rPr>
          <w:rFonts w:ascii="Times New Roman" w:hAnsi="Times New Roman" w:cs="Times New Roman"/>
          <w:sz w:val="24"/>
          <w:szCs w:val="24"/>
        </w:rPr>
        <w:t xml:space="preserve"> Leaves. Nigerian </w:t>
      </w:r>
      <w:r>
        <w:rPr>
          <w:rFonts w:ascii="Times New Roman" w:hAnsi="Times New Roman" w:cs="Times New Roman"/>
          <w:i/>
          <w:sz w:val="24"/>
          <w:szCs w:val="24"/>
        </w:rPr>
        <w:t>Agricultural Journal</w:t>
      </w:r>
      <w:r>
        <w:rPr>
          <w:rFonts w:ascii="Times New Roman" w:hAnsi="Times New Roman" w:cs="Times New Roman"/>
          <w:sz w:val="24"/>
          <w:szCs w:val="24"/>
        </w:rPr>
        <w:t xml:space="preserve"> </w:t>
      </w:r>
      <w:r>
        <w:rPr>
          <w:rFonts w:ascii="Times New Roman" w:hAnsi="Times New Roman" w:cs="Times New Roman"/>
          <w:b/>
          <w:sz w:val="24"/>
          <w:szCs w:val="24"/>
        </w:rPr>
        <w:t>55</w:t>
      </w:r>
      <w:r>
        <w:rPr>
          <w:rFonts w:ascii="Times New Roman" w:hAnsi="Times New Roman" w:cs="Times New Roman"/>
          <w:sz w:val="24"/>
          <w:szCs w:val="24"/>
        </w:rPr>
        <w:t>(1) 90-95.</w:t>
      </w:r>
    </w:p>
    <w:p w14:paraId="49F231F7" w14:textId="77777777" w:rsidR="008F228F" w:rsidRDefault="00000000">
      <w:pPr>
        <w:pStyle w:val="ListParagraph"/>
        <w:numPr>
          <w:ilvl w:val="0"/>
          <w:numId w:val="22"/>
        </w:numPr>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Abosi, A. O. and </w:t>
      </w:r>
      <w:proofErr w:type="spellStart"/>
      <w:r>
        <w:rPr>
          <w:rFonts w:ascii="Times New Roman" w:hAnsi="Times New Roman" w:cs="Times New Roman"/>
          <w:sz w:val="24"/>
          <w:szCs w:val="24"/>
        </w:rPr>
        <w:t>Raseroka</w:t>
      </w:r>
      <w:proofErr w:type="spellEnd"/>
      <w:r>
        <w:rPr>
          <w:rFonts w:ascii="Times New Roman" w:hAnsi="Times New Roman" w:cs="Times New Roman"/>
          <w:sz w:val="24"/>
          <w:szCs w:val="24"/>
        </w:rPr>
        <w:t xml:space="preserve">, B. H. (2019). Ethnopharmacological Uses and Biological Activities of </w:t>
      </w:r>
      <w:r>
        <w:rPr>
          <w:rFonts w:ascii="Times New Roman" w:hAnsi="Times New Roman" w:cs="Times New Roman"/>
          <w:i/>
          <w:sz w:val="24"/>
          <w:szCs w:val="24"/>
        </w:rPr>
        <w:t>Vernonia amygdalina</w:t>
      </w:r>
      <w:r>
        <w:rPr>
          <w:rFonts w:ascii="Times New Roman" w:hAnsi="Times New Roman" w:cs="Times New Roman"/>
          <w:sz w:val="24"/>
          <w:szCs w:val="24"/>
        </w:rPr>
        <w:t xml:space="preserve">. </w:t>
      </w:r>
      <w:r>
        <w:rPr>
          <w:rFonts w:ascii="Times New Roman" w:hAnsi="Times New Roman" w:cs="Times New Roman"/>
          <w:i/>
          <w:iCs/>
          <w:sz w:val="24"/>
          <w:szCs w:val="24"/>
        </w:rPr>
        <w:t>Journal of Ethnopharmacology.</w:t>
      </w:r>
      <w:r>
        <w:rPr>
          <w:rFonts w:ascii="Times New Roman" w:hAnsi="Times New Roman" w:cs="Times New Roman"/>
          <w:sz w:val="24"/>
          <w:szCs w:val="24"/>
        </w:rPr>
        <w:t xml:space="preserve"> </w:t>
      </w:r>
      <w:r>
        <w:rPr>
          <w:rFonts w:ascii="Times New Roman" w:hAnsi="Times New Roman" w:cs="Times New Roman"/>
          <w:b/>
          <w:sz w:val="24"/>
          <w:szCs w:val="24"/>
        </w:rPr>
        <w:t>244</w:t>
      </w:r>
      <w:r>
        <w:rPr>
          <w:rFonts w:ascii="Times New Roman" w:hAnsi="Times New Roman" w:cs="Times New Roman"/>
          <w:sz w:val="24"/>
          <w:szCs w:val="24"/>
        </w:rPr>
        <w:t>: 112-123.</w:t>
      </w:r>
    </w:p>
    <w:p w14:paraId="6B73B2CF" w14:textId="77777777" w:rsidR="008F228F" w:rsidRDefault="00000000">
      <w:pPr>
        <w:pStyle w:val="ListParagraph"/>
        <w:numPr>
          <w:ilvl w:val="0"/>
          <w:numId w:val="22"/>
        </w:numPr>
        <w:tabs>
          <w:tab w:val="left" w:pos="426"/>
        </w:tabs>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Phaniendra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Jestadi</w:t>
      </w:r>
      <w:proofErr w:type="spellEnd"/>
      <w:r>
        <w:rPr>
          <w:rFonts w:ascii="Times New Roman" w:hAnsi="Times New Roman" w:cs="Times New Roman"/>
          <w:sz w:val="24"/>
          <w:szCs w:val="24"/>
        </w:rPr>
        <w:t xml:space="preserve">, D. B. and Periyasamy, L. (2015). Free Radicals: Properties, Sources, Targets, and Their Implication in Various Diseases. </w:t>
      </w:r>
      <w:r>
        <w:rPr>
          <w:rFonts w:ascii="Times New Roman" w:hAnsi="Times New Roman" w:cs="Times New Roman"/>
          <w:i/>
          <w:iCs/>
          <w:sz w:val="24"/>
          <w:szCs w:val="24"/>
        </w:rPr>
        <w:t>Indian Journal of Clinical Biochemistry</w:t>
      </w:r>
      <w:r>
        <w:rPr>
          <w:rFonts w:ascii="Times New Roman" w:hAnsi="Times New Roman" w:cs="Times New Roman"/>
          <w:sz w:val="24"/>
          <w:szCs w:val="24"/>
        </w:rPr>
        <w:t xml:space="preserve">, </w:t>
      </w:r>
      <w:r>
        <w:rPr>
          <w:rFonts w:ascii="Times New Roman" w:hAnsi="Times New Roman" w:cs="Times New Roman"/>
          <w:b/>
          <w:sz w:val="24"/>
          <w:szCs w:val="24"/>
        </w:rPr>
        <w:t>30</w:t>
      </w:r>
      <w:r>
        <w:rPr>
          <w:rFonts w:ascii="Times New Roman" w:hAnsi="Times New Roman" w:cs="Times New Roman"/>
          <w:sz w:val="24"/>
          <w:szCs w:val="24"/>
        </w:rPr>
        <w:t>(1), 11–26</w:t>
      </w:r>
    </w:p>
    <w:p w14:paraId="509FA67C" w14:textId="77777777" w:rsidR="008F228F" w:rsidRDefault="00000000">
      <w:pPr>
        <w:pStyle w:val="ListParagraph"/>
        <w:numPr>
          <w:ilvl w:val="0"/>
          <w:numId w:val="22"/>
        </w:numPr>
        <w:tabs>
          <w:tab w:val="left" w:pos="426"/>
        </w:tabs>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Sharifi-Rad, J., Cruz-Martins, N., Lopez-Jornet, ´ P., Lopez, E. P.-F., Harun, N., </w:t>
      </w:r>
      <w:proofErr w:type="spellStart"/>
      <w:r>
        <w:rPr>
          <w:rFonts w:ascii="Times New Roman" w:hAnsi="Times New Roman" w:cs="Times New Roman"/>
          <w:sz w:val="24"/>
          <w:szCs w:val="24"/>
        </w:rPr>
        <w:t>Yeskaliyeva</w:t>
      </w:r>
      <w:proofErr w:type="spellEnd"/>
      <w:r>
        <w:rPr>
          <w:rFonts w:ascii="Times New Roman" w:hAnsi="Times New Roman" w:cs="Times New Roman"/>
          <w:sz w:val="24"/>
          <w:szCs w:val="24"/>
        </w:rPr>
        <w:t xml:space="preserve">, B., et al. (2021). Natural Coumarins: Exploring the Pharmacological Complexity and Underlying Molecular Mechanisms. </w:t>
      </w:r>
      <w:r>
        <w:rPr>
          <w:rFonts w:ascii="Times New Roman" w:hAnsi="Times New Roman" w:cs="Times New Roman"/>
          <w:i/>
          <w:sz w:val="24"/>
          <w:szCs w:val="24"/>
        </w:rPr>
        <w:t>Oxidative Medicine and Cellular Longevity</w:t>
      </w:r>
      <w:r>
        <w:rPr>
          <w:rFonts w:ascii="Times New Roman" w:hAnsi="Times New Roman" w:cs="Times New Roman"/>
          <w:sz w:val="24"/>
          <w:szCs w:val="24"/>
        </w:rPr>
        <w:t>, 1–19</w:t>
      </w:r>
    </w:p>
    <w:p w14:paraId="17C2C37B" w14:textId="77777777" w:rsidR="008F228F" w:rsidRDefault="00000000">
      <w:pPr>
        <w:pStyle w:val="ListParagraph"/>
        <w:numPr>
          <w:ilvl w:val="0"/>
          <w:numId w:val="22"/>
        </w:numPr>
        <w:tabs>
          <w:tab w:val="left" w:pos="426"/>
        </w:tabs>
        <w:spacing w:after="240" w:line="240" w:lineRule="auto"/>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Dandi, S. O., </w:t>
      </w:r>
      <w:proofErr w:type="spellStart"/>
      <w:r>
        <w:rPr>
          <w:rStyle w:val="markedcontent"/>
          <w:rFonts w:ascii="Times New Roman" w:hAnsi="Times New Roman" w:cs="Times New Roman"/>
          <w:sz w:val="24"/>
          <w:szCs w:val="24"/>
        </w:rPr>
        <w:t>Abarike</w:t>
      </w:r>
      <w:proofErr w:type="spellEnd"/>
      <w:r>
        <w:rPr>
          <w:rStyle w:val="markedcontent"/>
          <w:rFonts w:ascii="Times New Roman" w:hAnsi="Times New Roman" w:cs="Times New Roman"/>
          <w:sz w:val="24"/>
          <w:szCs w:val="24"/>
        </w:rPr>
        <w:t xml:space="preserve">, E. D. and Ampofo-Yeboah, A. (2022). Bitter Leaf </w:t>
      </w:r>
      <w:r>
        <w:rPr>
          <w:rStyle w:val="markedcontent"/>
          <w:rFonts w:ascii="Times New Roman" w:hAnsi="Times New Roman" w:cs="Times New Roman"/>
          <w:i/>
          <w:sz w:val="24"/>
          <w:szCs w:val="24"/>
        </w:rPr>
        <w:t>Vernonia amygdalina</w:t>
      </w:r>
      <w:r>
        <w:rPr>
          <w:rStyle w:val="markedcontent"/>
          <w:rFonts w:ascii="Times New Roman" w:hAnsi="Times New Roman" w:cs="Times New Roman"/>
          <w:sz w:val="24"/>
          <w:szCs w:val="24"/>
        </w:rPr>
        <w:t xml:space="preserve"> Extract Enhances Growth, Hematology, Heat Stress Response, and Resistance to Aeromonas </w:t>
      </w:r>
      <w:proofErr w:type="spellStart"/>
      <w:r>
        <w:rPr>
          <w:rStyle w:val="markedcontent"/>
          <w:rFonts w:ascii="Times New Roman" w:hAnsi="Times New Roman" w:cs="Times New Roman"/>
          <w:sz w:val="24"/>
          <w:szCs w:val="24"/>
        </w:rPr>
        <w:t>hydrophila</w:t>
      </w:r>
      <w:proofErr w:type="spellEnd"/>
      <w:r>
        <w:rPr>
          <w:rStyle w:val="markedcontent"/>
          <w:rFonts w:ascii="Times New Roman" w:hAnsi="Times New Roman" w:cs="Times New Roman"/>
          <w:sz w:val="24"/>
          <w:szCs w:val="24"/>
        </w:rPr>
        <w:t xml:space="preserve"> in Nile Tilapia.</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North </w:t>
      </w:r>
      <w:r>
        <w:rPr>
          <w:rStyle w:val="markedcontent"/>
          <w:rFonts w:ascii="Times New Roman" w:hAnsi="Times New Roman" w:cs="Times New Roman"/>
          <w:i/>
          <w:sz w:val="24"/>
          <w:szCs w:val="24"/>
        </w:rPr>
        <w:t>American Journal of Aquaculture</w:t>
      </w:r>
      <w:r>
        <w:rPr>
          <w:rStyle w:val="markedcontent"/>
          <w:rFonts w:ascii="Times New Roman" w:hAnsi="Times New Roman" w:cs="Times New Roman"/>
          <w:sz w:val="24"/>
          <w:szCs w:val="24"/>
        </w:rPr>
        <w:t>. ISSN: 1522-2055 print / 1548-8454 online. DOI: 10.1002/naaq.10256</w:t>
      </w:r>
    </w:p>
    <w:p w14:paraId="25D216C2" w14:textId="77777777" w:rsidR="008F228F" w:rsidRDefault="00000000">
      <w:pPr>
        <w:pStyle w:val="ListParagraph"/>
        <w:numPr>
          <w:ilvl w:val="0"/>
          <w:numId w:val="22"/>
        </w:numPr>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Dalziel, J. M. (1937). The Useful Plants of West Tropical Africa. Crown Agents for the Colonies, London.</w:t>
      </w:r>
    </w:p>
    <w:p w14:paraId="07BFD87D" w14:textId="77777777" w:rsidR="008F228F" w:rsidRDefault="00000000">
      <w:pPr>
        <w:pStyle w:val="ListParagraph"/>
        <w:numPr>
          <w:ilvl w:val="0"/>
          <w:numId w:val="22"/>
        </w:numPr>
        <w:tabs>
          <w:tab w:val="left" w:pos="0"/>
          <w:tab w:val="left" w:pos="426"/>
        </w:tabs>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Abdel-Shafi, S., Al-Mohammadi, A-R., </w:t>
      </w:r>
      <w:proofErr w:type="spellStart"/>
      <w:r>
        <w:rPr>
          <w:rFonts w:ascii="Times New Roman" w:hAnsi="Times New Roman" w:cs="Times New Roman"/>
          <w:sz w:val="24"/>
          <w:szCs w:val="24"/>
        </w:rPr>
        <w:t>Sitohy</w:t>
      </w:r>
      <w:proofErr w:type="spellEnd"/>
      <w:r>
        <w:rPr>
          <w:rFonts w:ascii="Times New Roman" w:hAnsi="Times New Roman" w:cs="Times New Roman"/>
          <w:sz w:val="24"/>
          <w:szCs w:val="24"/>
        </w:rPr>
        <w:t xml:space="preserve">, M., Mosa, B., Ismaiel, A., Enan, G. and Osman, A. (2019). Antimicrobial activity and chemical constitution of the crude, phenolic-rich extracts of </w:t>
      </w:r>
      <w:r>
        <w:rPr>
          <w:rFonts w:ascii="Times New Roman" w:hAnsi="Times New Roman" w:cs="Times New Roman"/>
          <w:i/>
          <w:iCs/>
          <w:sz w:val="24"/>
          <w:szCs w:val="24"/>
        </w:rPr>
        <w:t>Hibiscus sabdariffa</w:t>
      </w:r>
      <w:r>
        <w:rPr>
          <w:rFonts w:ascii="Times New Roman" w:hAnsi="Times New Roman" w:cs="Times New Roman"/>
          <w:sz w:val="24"/>
          <w:szCs w:val="24"/>
        </w:rPr>
        <w:t xml:space="preserve">. </w:t>
      </w:r>
      <w:r>
        <w:rPr>
          <w:rFonts w:ascii="Times New Roman" w:hAnsi="Times New Roman" w:cs="Times New Roman"/>
          <w:i/>
          <w:sz w:val="24"/>
          <w:szCs w:val="24"/>
        </w:rPr>
        <w:t>Brassica Oleracea Beta Vulgaris Molecules,</w:t>
      </w:r>
      <w:r>
        <w:rPr>
          <w:rFonts w:ascii="Times New Roman" w:hAnsi="Times New Roman" w:cs="Times New Roman"/>
          <w:sz w:val="24"/>
          <w:szCs w:val="24"/>
        </w:rPr>
        <w:t xml:space="preserve"> </w:t>
      </w:r>
      <w:r>
        <w:rPr>
          <w:rFonts w:ascii="Times New Roman" w:hAnsi="Times New Roman" w:cs="Times New Roman"/>
          <w:b/>
          <w:sz w:val="24"/>
          <w:szCs w:val="24"/>
        </w:rPr>
        <w:t>24</w:t>
      </w:r>
      <w:r>
        <w:rPr>
          <w:rFonts w:ascii="Times New Roman" w:hAnsi="Times New Roman" w:cs="Times New Roman"/>
          <w:sz w:val="24"/>
          <w:szCs w:val="24"/>
        </w:rPr>
        <w:t xml:space="preserve">:4280. </w:t>
      </w:r>
    </w:p>
    <w:p w14:paraId="65E0D5E0" w14:textId="77777777" w:rsidR="008F228F" w:rsidRDefault="00000000">
      <w:pPr>
        <w:pStyle w:val="ListParagraph"/>
        <w:numPr>
          <w:ilvl w:val="0"/>
          <w:numId w:val="22"/>
        </w:numPr>
        <w:tabs>
          <w:tab w:val="left" w:pos="0"/>
          <w:tab w:val="left" w:pos="426"/>
        </w:tabs>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Omar, A. E., Al-</w:t>
      </w:r>
      <w:proofErr w:type="spellStart"/>
      <w:r>
        <w:rPr>
          <w:rFonts w:ascii="Times New Roman" w:hAnsi="Times New Roman" w:cs="Times New Roman"/>
          <w:sz w:val="24"/>
          <w:szCs w:val="24"/>
        </w:rPr>
        <w:t>Khalaifah</w:t>
      </w:r>
      <w:proofErr w:type="spellEnd"/>
      <w:r>
        <w:rPr>
          <w:rFonts w:ascii="Times New Roman" w:hAnsi="Times New Roman" w:cs="Times New Roman"/>
          <w:sz w:val="24"/>
          <w:szCs w:val="24"/>
        </w:rPr>
        <w:t>, H. S., Mohamed, W. A. M, Gharib, H. S. A., Osman, A., Al-Gabri, N. A. and Amer, S. A (2020). Effects of Phenolic-Rich Onion (</w:t>
      </w:r>
      <w:r>
        <w:rPr>
          <w:rFonts w:ascii="Times New Roman" w:hAnsi="Times New Roman" w:cs="Times New Roman"/>
          <w:i/>
          <w:iCs/>
          <w:sz w:val="24"/>
          <w:szCs w:val="24"/>
        </w:rPr>
        <w:t>Allium cepa</w:t>
      </w:r>
      <w:r>
        <w:rPr>
          <w:rFonts w:ascii="Times New Roman" w:hAnsi="Times New Roman" w:cs="Times New Roman"/>
          <w:sz w:val="24"/>
          <w:szCs w:val="24"/>
        </w:rPr>
        <w:t xml:space="preserve"> L.) Extract on the Growth Performance, Behavior, Intestinal Histology, Amino Acid Digestibility, Antioxidant Activity, and the Immune Status of Broiler Chickens. </w:t>
      </w:r>
      <w:r>
        <w:rPr>
          <w:rFonts w:ascii="Times New Roman" w:hAnsi="Times New Roman" w:cs="Times New Roman"/>
          <w:i/>
          <w:sz w:val="24"/>
          <w:szCs w:val="24"/>
        </w:rPr>
        <w:t>Frontiers in Veterinary Science</w:t>
      </w:r>
      <w:r>
        <w:rPr>
          <w:rFonts w:ascii="Times New Roman" w:hAnsi="Times New Roman" w:cs="Times New Roman"/>
          <w:sz w:val="24"/>
          <w:szCs w:val="24"/>
        </w:rPr>
        <w:t xml:space="preserve">, 7. </w:t>
      </w:r>
      <w:hyperlink r:id="rId13" w:history="1">
        <w:r w:rsidR="008F228F">
          <w:rPr>
            <w:rStyle w:val="Hyperlink"/>
            <w:rFonts w:ascii="Times New Roman" w:hAnsi="Times New Roman" w:cs="Times New Roman"/>
            <w:sz w:val="24"/>
            <w:szCs w:val="24"/>
          </w:rPr>
          <w:t>https://doi.org/10.3389/fvets.2020.582612</w:t>
        </w:r>
      </w:hyperlink>
    </w:p>
    <w:p w14:paraId="7D79E17D" w14:textId="77777777" w:rsidR="008F228F" w:rsidRDefault="00000000">
      <w:pPr>
        <w:pStyle w:val="ListParagraph"/>
        <w:numPr>
          <w:ilvl w:val="0"/>
          <w:numId w:val="22"/>
        </w:numPr>
        <w:tabs>
          <w:tab w:val="left" w:pos="0"/>
          <w:tab w:val="left" w:pos="426"/>
        </w:tabs>
        <w:spacing w:after="240" w:line="240" w:lineRule="auto"/>
        <w:ind w:left="0"/>
        <w:jc w:val="both"/>
        <w:rPr>
          <w:rStyle w:val="element-citation"/>
          <w:rFonts w:ascii="Times New Roman" w:hAnsi="Times New Roman" w:cs="Times New Roman"/>
          <w:sz w:val="24"/>
          <w:szCs w:val="24"/>
        </w:rPr>
      </w:pPr>
      <w:r>
        <w:rPr>
          <w:rStyle w:val="element-citation"/>
          <w:rFonts w:ascii="Times New Roman" w:hAnsi="Times New Roman" w:cs="Times New Roman"/>
          <w:sz w:val="24"/>
          <w:szCs w:val="24"/>
        </w:rPr>
        <w:t xml:space="preserve">Pari L. and Latha M. (2004). Protective Role of Scoparia dulcis Plant Extract on Brain Antioxidant Status and Lipid Peroxidation in STZ Diabetic Male Wistar Rats. </w:t>
      </w:r>
      <w:r>
        <w:rPr>
          <w:rStyle w:val="Emphasis"/>
          <w:rFonts w:ascii="Times New Roman" w:hAnsi="Times New Roman" w:cs="Times New Roman"/>
          <w:sz w:val="24"/>
          <w:szCs w:val="24"/>
        </w:rPr>
        <w:t>BMC Complementary</w:t>
      </w:r>
      <w:r>
        <w:rPr>
          <w:rFonts w:ascii="Times New Roman" w:hAnsi="Times New Roman" w:cs="Times New Roman"/>
          <w:sz w:val="24"/>
          <w:szCs w:val="24"/>
        </w:rPr>
        <w:t xml:space="preserve"> and </w:t>
      </w:r>
      <w:r>
        <w:rPr>
          <w:rStyle w:val="Emphasis"/>
          <w:rFonts w:ascii="Times New Roman" w:hAnsi="Times New Roman" w:cs="Times New Roman"/>
          <w:sz w:val="24"/>
          <w:szCs w:val="24"/>
        </w:rPr>
        <w:t>Alternative Medicine</w:t>
      </w:r>
      <w:r>
        <w:rPr>
          <w:rStyle w:val="ref-journal"/>
          <w:rFonts w:ascii="Times New Roman" w:hAnsi="Times New Roman" w:cs="Times New Roman"/>
          <w:sz w:val="24"/>
          <w:szCs w:val="24"/>
        </w:rPr>
        <w:t xml:space="preserve">, </w:t>
      </w:r>
      <w:r>
        <w:rPr>
          <w:rStyle w:val="ref-vol"/>
          <w:rFonts w:ascii="Times New Roman" w:hAnsi="Times New Roman" w:cs="Times New Roman"/>
          <w:b/>
          <w:sz w:val="24"/>
          <w:szCs w:val="24"/>
        </w:rPr>
        <w:t>4</w:t>
      </w:r>
      <w:r>
        <w:rPr>
          <w:rStyle w:val="element-citation"/>
          <w:rFonts w:ascii="Times New Roman" w:hAnsi="Times New Roman" w:cs="Times New Roman"/>
          <w:sz w:val="24"/>
          <w:szCs w:val="24"/>
        </w:rPr>
        <w:t>:16.</w:t>
      </w:r>
    </w:p>
    <w:p w14:paraId="47CC86EC" w14:textId="77777777" w:rsidR="008F228F" w:rsidRDefault="00000000">
      <w:pPr>
        <w:pStyle w:val="ListParagraph"/>
        <w:numPr>
          <w:ilvl w:val="0"/>
          <w:numId w:val="22"/>
        </w:numPr>
        <w:spacing w:after="240" w:line="240" w:lineRule="auto"/>
        <w:ind w:left="0"/>
        <w:jc w:val="both"/>
        <w:rPr>
          <w:rStyle w:val="element-citation"/>
          <w:rFonts w:ascii="Times New Roman" w:hAnsi="Times New Roman" w:cs="Times New Roman"/>
          <w:sz w:val="24"/>
          <w:szCs w:val="24"/>
        </w:rPr>
      </w:pPr>
      <w:r>
        <w:rPr>
          <w:rStyle w:val="element-citation"/>
          <w:rFonts w:ascii="Times New Roman" w:hAnsi="Times New Roman" w:cs="Times New Roman"/>
          <w:sz w:val="24"/>
          <w:szCs w:val="24"/>
        </w:rPr>
        <w:t xml:space="preserve">Niehaus, W. G. and Samuelsson, B. (1968). Formation of Malondialdehyde from Phospholipid, Arachidonate during Microsomal Lipid Peroxidation. </w:t>
      </w:r>
      <w:r>
        <w:rPr>
          <w:rStyle w:val="Emphasis"/>
          <w:rFonts w:ascii="Times New Roman" w:hAnsi="Times New Roman" w:cs="Times New Roman"/>
          <w:sz w:val="24"/>
          <w:szCs w:val="24"/>
        </w:rPr>
        <w:t>European journal of biochemistry</w:t>
      </w:r>
      <w:r>
        <w:rPr>
          <w:rFonts w:ascii="Times New Roman" w:hAnsi="Times New Roman" w:cs="Times New Roman"/>
          <w:sz w:val="24"/>
          <w:szCs w:val="24"/>
        </w:rPr>
        <w:t xml:space="preserve">, </w:t>
      </w:r>
      <w:r>
        <w:rPr>
          <w:rStyle w:val="ref-vol"/>
          <w:rFonts w:ascii="Times New Roman" w:hAnsi="Times New Roman" w:cs="Times New Roman"/>
          <w:b/>
          <w:sz w:val="24"/>
          <w:szCs w:val="24"/>
        </w:rPr>
        <w:t>6</w:t>
      </w:r>
      <w:r>
        <w:rPr>
          <w:rStyle w:val="element-citation"/>
          <w:rFonts w:ascii="Times New Roman" w:hAnsi="Times New Roman" w:cs="Times New Roman"/>
          <w:sz w:val="24"/>
          <w:szCs w:val="24"/>
        </w:rPr>
        <w:t xml:space="preserve">:130. </w:t>
      </w:r>
    </w:p>
    <w:p w14:paraId="0C60F829" w14:textId="77777777" w:rsidR="008F228F" w:rsidRDefault="00000000">
      <w:pPr>
        <w:pStyle w:val="ListParagraph"/>
        <w:numPr>
          <w:ilvl w:val="0"/>
          <w:numId w:val="22"/>
        </w:numPr>
        <w:spacing w:after="120" w:line="240" w:lineRule="auto"/>
        <w:ind w:left="0"/>
        <w:jc w:val="both"/>
        <w:rPr>
          <w:rFonts w:ascii="Times New Roman" w:hAnsi="Times New Roman" w:cs="Times New Roman"/>
          <w:sz w:val="24"/>
          <w:szCs w:val="24"/>
        </w:rPr>
      </w:pPr>
      <w:proofErr w:type="spellStart"/>
      <w:r>
        <w:rPr>
          <w:rStyle w:val="mixed-citation"/>
          <w:rFonts w:ascii="Times New Roman" w:hAnsi="Times New Roman" w:cs="Times New Roman"/>
          <w:sz w:val="24"/>
          <w:szCs w:val="24"/>
        </w:rPr>
        <w:t>Marcocci</w:t>
      </w:r>
      <w:proofErr w:type="spellEnd"/>
      <w:r>
        <w:rPr>
          <w:rStyle w:val="mixed-citation"/>
          <w:rFonts w:ascii="Times New Roman" w:hAnsi="Times New Roman" w:cs="Times New Roman"/>
          <w:sz w:val="24"/>
          <w:szCs w:val="24"/>
        </w:rPr>
        <w:t xml:space="preserve">, L., Maguire, J. J., </w:t>
      </w:r>
      <w:proofErr w:type="spellStart"/>
      <w:r>
        <w:rPr>
          <w:rStyle w:val="mixed-citation"/>
          <w:rFonts w:ascii="Times New Roman" w:hAnsi="Times New Roman" w:cs="Times New Roman"/>
          <w:sz w:val="24"/>
          <w:szCs w:val="24"/>
        </w:rPr>
        <w:t>Droylefaix</w:t>
      </w:r>
      <w:proofErr w:type="spellEnd"/>
      <w:r>
        <w:rPr>
          <w:rStyle w:val="mixed-citation"/>
          <w:rFonts w:ascii="Times New Roman" w:hAnsi="Times New Roman" w:cs="Times New Roman"/>
          <w:sz w:val="24"/>
          <w:szCs w:val="24"/>
        </w:rPr>
        <w:t xml:space="preserve">, M. T. and Packer L. (1994). </w:t>
      </w:r>
      <w:r>
        <w:rPr>
          <w:rStyle w:val="ref-title"/>
          <w:rFonts w:ascii="Times New Roman" w:hAnsi="Times New Roman" w:cs="Times New Roman"/>
          <w:sz w:val="24"/>
          <w:szCs w:val="24"/>
        </w:rPr>
        <w:t xml:space="preserve">The Nitric Oxide-Scavenging Properties of </w:t>
      </w:r>
      <w:r>
        <w:rPr>
          <w:rStyle w:val="Emphasis"/>
          <w:rFonts w:ascii="Times New Roman" w:hAnsi="Times New Roman" w:cs="Times New Roman"/>
          <w:sz w:val="24"/>
          <w:szCs w:val="24"/>
        </w:rPr>
        <w:t>Ginkgo biloba</w:t>
      </w:r>
      <w:r>
        <w:rPr>
          <w:rStyle w:val="ref-title"/>
          <w:rFonts w:ascii="Times New Roman" w:hAnsi="Times New Roman" w:cs="Times New Roman"/>
          <w:sz w:val="24"/>
          <w:szCs w:val="24"/>
        </w:rPr>
        <w:t xml:space="preserve"> extract </w:t>
      </w:r>
      <w:proofErr w:type="spellStart"/>
      <w:r>
        <w:rPr>
          <w:rStyle w:val="ref-title"/>
          <w:rFonts w:ascii="Times New Roman" w:hAnsi="Times New Roman" w:cs="Times New Roman"/>
          <w:sz w:val="24"/>
          <w:szCs w:val="24"/>
        </w:rPr>
        <w:t>EGb</w:t>
      </w:r>
      <w:proofErr w:type="spellEnd"/>
      <w:r>
        <w:rPr>
          <w:rStyle w:val="ref-title"/>
          <w:rFonts w:ascii="Times New Roman" w:hAnsi="Times New Roman" w:cs="Times New Roman"/>
          <w:sz w:val="24"/>
          <w:szCs w:val="24"/>
        </w:rPr>
        <w:t xml:space="preserve"> 761.</w:t>
      </w:r>
      <w:r>
        <w:rPr>
          <w:rStyle w:val="mixed-citation"/>
          <w:rFonts w:ascii="Times New Roman" w:hAnsi="Times New Roman" w:cs="Times New Roman"/>
          <w:sz w:val="24"/>
          <w:szCs w:val="24"/>
        </w:rPr>
        <w:t xml:space="preserve"> </w:t>
      </w:r>
      <w:r>
        <w:rPr>
          <w:rFonts w:ascii="Times New Roman" w:hAnsi="Times New Roman" w:cs="Times New Roman"/>
          <w:i/>
          <w:sz w:val="24"/>
          <w:szCs w:val="24"/>
        </w:rPr>
        <w:t>Biochemical and Biophysical Research Communications</w:t>
      </w:r>
      <w:r>
        <w:rPr>
          <w:rStyle w:val="Emphasis"/>
          <w:rFonts w:ascii="Times New Roman" w:hAnsi="Times New Roman" w:cs="Times New Roman"/>
          <w:sz w:val="24"/>
          <w:szCs w:val="24"/>
        </w:rPr>
        <w:t>,</w:t>
      </w:r>
      <w:r>
        <w:rPr>
          <w:rStyle w:val="mixed-citation"/>
          <w:rFonts w:ascii="Times New Roman" w:hAnsi="Times New Roman" w:cs="Times New Roman"/>
          <w:sz w:val="24"/>
          <w:szCs w:val="24"/>
        </w:rPr>
        <w:t xml:space="preserve"> </w:t>
      </w:r>
      <w:r>
        <w:rPr>
          <w:rStyle w:val="ref-vol"/>
          <w:rFonts w:ascii="Times New Roman" w:hAnsi="Times New Roman" w:cs="Times New Roman"/>
          <w:b/>
          <w:sz w:val="24"/>
          <w:szCs w:val="24"/>
        </w:rPr>
        <w:t>201</w:t>
      </w:r>
      <w:r>
        <w:rPr>
          <w:rStyle w:val="mixed-citation"/>
          <w:rFonts w:ascii="Times New Roman" w:hAnsi="Times New Roman" w:cs="Times New Roman"/>
          <w:b/>
          <w:sz w:val="24"/>
          <w:szCs w:val="24"/>
        </w:rPr>
        <w:t xml:space="preserve"> </w:t>
      </w:r>
      <w:r>
        <w:rPr>
          <w:rStyle w:val="mixed-citation"/>
          <w:rFonts w:ascii="Times New Roman" w:hAnsi="Times New Roman" w:cs="Times New Roman"/>
          <w:sz w:val="24"/>
          <w:szCs w:val="24"/>
        </w:rPr>
        <w:t>748–755. 10.1006/bbrc.1994.1764</w:t>
      </w:r>
    </w:p>
    <w:p w14:paraId="7F1CE9FF"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r>
        <w:rPr>
          <w:rStyle w:val="Strong"/>
          <w:rFonts w:ascii="Times New Roman" w:hAnsi="Times New Roman" w:cs="Times New Roman"/>
          <w:b w:val="0"/>
          <w:sz w:val="24"/>
          <w:szCs w:val="24"/>
        </w:rPr>
        <w:lastRenderedPageBreak/>
        <w:t>Halliwell, B., Gutteridge, J. M. C. and Cross, C. E. (1987).</w:t>
      </w:r>
      <w:r>
        <w:rPr>
          <w:rFonts w:ascii="Times New Roman" w:hAnsi="Times New Roman" w:cs="Times New Roman"/>
          <w:sz w:val="24"/>
          <w:szCs w:val="24"/>
        </w:rPr>
        <w:t xml:space="preserve"> Free radicals, antioxidants, and human disease: Where are we now? </w:t>
      </w:r>
      <w:r>
        <w:rPr>
          <w:rStyle w:val="Emphasis"/>
          <w:rFonts w:ascii="Times New Roman" w:hAnsi="Times New Roman" w:cs="Times New Roman"/>
          <w:sz w:val="24"/>
          <w:szCs w:val="24"/>
        </w:rPr>
        <w:t>Journal of Laboratory and Clinical Medicine</w:t>
      </w:r>
      <w:r>
        <w:rPr>
          <w:rFonts w:ascii="Times New Roman" w:hAnsi="Times New Roman" w:cs="Times New Roman"/>
          <w:sz w:val="24"/>
          <w:szCs w:val="24"/>
        </w:rPr>
        <w:t xml:space="preserve">, </w:t>
      </w:r>
      <w:r>
        <w:rPr>
          <w:rStyle w:val="Strong"/>
          <w:rFonts w:ascii="Times New Roman" w:hAnsi="Times New Roman" w:cs="Times New Roman"/>
          <w:sz w:val="24"/>
          <w:szCs w:val="24"/>
        </w:rPr>
        <w:t>119</w:t>
      </w:r>
      <w:r>
        <w:rPr>
          <w:rFonts w:ascii="Times New Roman" w:hAnsi="Times New Roman" w:cs="Times New Roman"/>
          <w:sz w:val="24"/>
          <w:szCs w:val="24"/>
        </w:rPr>
        <w:t>(6), 598-620.</w:t>
      </w:r>
    </w:p>
    <w:p w14:paraId="1349E92E" w14:textId="77777777" w:rsidR="008F228F" w:rsidRDefault="00000000">
      <w:pPr>
        <w:pStyle w:val="ListParagraph"/>
        <w:numPr>
          <w:ilvl w:val="0"/>
          <w:numId w:val="22"/>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Awah, F. M., </w:t>
      </w:r>
      <w:proofErr w:type="spellStart"/>
      <w:r>
        <w:rPr>
          <w:rFonts w:ascii="Times New Roman" w:hAnsi="Times New Roman" w:cs="Times New Roman"/>
          <w:sz w:val="24"/>
          <w:szCs w:val="24"/>
        </w:rPr>
        <w:t>Uzoegwu</w:t>
      </w:r>
      <w:proofErr w:type="spellEnd"/>
      <w:r>
        <w:rPr>
          <w:rFonts w:ascii="Times New Roman" w:hAnsi="Times New Roman" w:cs="Times New Roman"/>
          <w:sz w:val="24"/>
          <w:szCs w:val="24"/>
        </w:rPr>
        <w:t xml:space="preserve">, P. N., Oyugi, J. O., Rutherford, J., </w:t>
      </w:r>
      <w:proofErr w:type="spellStart"/>
      <w:r>
        <w:rPr>
          <w:rFonts w:ascii="Times New Roman" w:hAnsi="Times New Roman" w:cs="Times New Roman"/>
          <w:sz w:val="24"/>
          <w:szCs w:val="24"/>
        </w:rPr>
        <w:t>Ifeonu</w:t>
      </w:r>
      <w:proofErr w:type="spellEnd"/>
      <w:r>
        <w:rPr>
          <w:rFonts w:ascii="Times New Roman" w:hAnsi="Times New Roman" w:cs="Times New Roman"/>
          <w:sz w:val="24"/>
          <w:szCs w:val="24"/>
        </w:rPr>
        <w:t xml:space="preserve">, P., Yao, X., Fowke, K. R., Eze, M. O. (2010). Free Radical Scavenging Activity and Immunomodulatory Effect of </w:t>
      </w:r>
      <w:proofErr w:type="spellStart"/>
      <w:r>
        <w:rPr>
          <w:rFonts w:ascii="Times New Roman" w:hAnsi="Times New Roman" w:cs="Times New Roman"/>
          <w:i/>
          <w:sz w:val="24"/>
          <w:szCs w:val="24"/>
        </w:rPr>
        <w:t>Stachytarpheta</w:t>
      </w:r>
      <w:proofErr w:type="spellEnd"/>
      <w:r>
        <w:rPr>
          <w:rFonts w:ascii="Times New Roman" w:hAnsi="Times New Roman" w:cs="Times New Roman"/>
          <w:i/>
          <w:sz w:val="24"/>
          <w:szCs w:val="24"/>
        </w:rPr>
        <w:t xml:space="preserve"> angustifolia</w:t>
      </w:r>
      <w:r>
        <w:rPr>
          <w:rFonts w:ascii="Times New Roman" w:hAnsi="Times New Roman" w:cs="Times New Roman"/>
          <w:sz w:val="24"/>
          <w:szCs w:val="24"/>
        </w:rPr>
        <w:t xml:space="preserve"> Leaf Extract. </w:t>
      </w:r>
      <w:r>
        <w:rPr>
          <w:rFonts w:ascii="Times New Roman" w:hAnsi="Times New Roman" w:cs="Times New Roman"/>
          <w:i/>
          <w:sz w:val="24"/>
          <w:szCs w:val="24"/>
        </w:rPr>
        <w:t>Food Chemistry</w:t>
      </w:r>
      <w:r>
        <w:rPr>
          <w:rFonts w:ascii="Times New Roman" w:hAnsi="Times New Roman" w:cs="Times New Roman"/>
          <w:sz w:val="24"/>
          <w:szCs w:val="24"/>
        </w:rPr>
        <w:t xml:space="preserve">., </w:t>
      </w:r>
      <w:r>
        <w:rPr>
          <w:rFonts w:ascii="Times New Roman" w:hAnsi="Times New Roman" w:cs="Times New Roman"/>
          <w:b/>
          <w:sz w:val="24"/>
          <w:szCs w:val="24"/>
        </w:rPr>
        <w:t>119</w:t>
      </w:r>
      <w:r>
        <w:rPr>
          <w:rFonts w:ascii="Times New Roman" w:hAnsi="Times New Roman" w:cs="Times New Roman"/>
          <w:sz w:val="24"/>
          <w:szCs w:val="24"/>
        </w:rPr>
        <w:t>: 1409–1416.</w:t>
      </w:r>
    </w:p>
    <w:p w14:paraId="158341D6" w14:textId="77777777" w:rsidR="008F228F" w:rsidRDefault="00000000">
      <w:pPr>
        <w:pStyle w:val="ListParagraph"/>
        <w:numPr>
          <w:ilvl w:val="0"/>
          <w:numId w:val="22"/>
        </w:numPr>
        <w:tabs>
          <w:tab w:val="left" w:pos="0"/>
          <w:tab w:val="left" w:pos="4536"/>
        </w:tabs>
        <w:spacing w:after="240" w:line="240" w:lineRule="auto"/>
        <w:ind w:left="0"/>
        <w:jc w:val="both"/>
        <w:rPr>
          <w:rFonts w:ascii="Times New Roman" w:hAnsi="Times New Roman" w:cs="Times New Roman"/>
          <w:sz w:val="24"/>
          <w:szCs w:val="24"/>
        </w:rPr>
      </w:pPr>
      <w:proofErr w:type="spellStart"/>
      <w:r>
        <w:rPr>
          <w:rStyle w:val="markedcontent"/>
          <w:rFonts w:ascii="Times New Roman" w:hAnsi="Times New Roman" w:cs="Times New Roman"/>
          <w:sz w:val="24"/>
          <w:szCs w:val="24"/>
        </w:rPr>
        <w:t>Imaga</w:t>
      </w:r>
      <w:proofErr w:type="spellEnd"/>
      <w:r>
        <w:rPr>
          <w:rStyle w:val="markedcontent"/>
          <w:rFonts w:ascii="Times New Roman" w:hAnsi="Times New Roman" w:cs="Times New Roman"/>
          <w:sz w:val="24"/>
          <w:szCs w:val="24"/>
        </w:rPr>
        <w:t xml:space="preserve">, N. O. A. and </w:t>
      </w:r>
      <w:proofErr w:type="spellStart"/>
      <w:r>
        <w:rPr>
          <w:rStyle w:val="markedcontent"/>
          <w:rFonts w:ascii="Times New Roman" w:hAnsi="Times New Roman" w:cs="Times New Roman"/>
          <w:sz w:val="24"/>
          <w:szCs w:val="24"/>
        </w:rPr>
        <w:t>Bamigbetan</w:t>
      </w:r>
      <w:proofErr w:type="spellEnd"/>
      <w:r>
        <w:rPr>
          <w:rStyle w:val="markedcontent"/>
          <w:rFonts w:ascii="Times New Roman" w:hAnsi="Times New Roman" w:cs="Times New Roman"/>
          <w:sz w:val="24"/>
          <w:szCs w:val="24"/>
        </w:rPr>
        <w:t xml:space="preserve">, D. O. (2013). In vivo Biochemical Assessment of Aqueous Extracts of </w:t>
      </w:r>
      <w:r>
        <w:rPr>
          <w:rStyle w:val="markedcontent"/>
          <w:rFonts w:ascii="Times New Roman" w:hAnsi="Times New Roman" w:cs="Times New Roman"/>
          <w:i/>
          <w:sz w:val="24"/>
          <w:szCs w:val="24"/>
        </w:rPr>
        <w:t>Vernonia amygdalin</w:t>
      </w:r>
      <w:r>
        <w:rPr>
          <w:rStyle w:val="markedcontent"/>
          <w:rFonts w:ascii="Times New Roman" w:hAnsi="Times New Roman" w:cs="Times New Roman"/>
          <w:sz w:val="24"/>
          <w:szCs w:val="24"/>
        </w:rPr>
        <w:t xml:space="preserve">a (Bitter leaf). </w:t>
      </w:r>
      <w:r>
        <w:rPr>
          <w:rStyle w:val="markedcontent"/>
          <w:rFonts w:ascii="Times New Roman" w:hAnsi="Times New Roman" w:cs="Times New Roman"/>
          <w:i/>
          <w:sz w:val="24"/>
          <w:szCs w:val="24"/>
        </w:rPr>
        <w:t>International Journal of Nutrition and Metabolism</w:t>
      </w:r>
      <w:r>
        <w:rPr>
          <w:rStyle w:val="markedcontent"/>
          <w:rFonts w:ascii="Times New Roman" w:hAnsi="Times New Roman" w:cs="Times New Roman"/>
          <w:sz w:val="24"/>
          <w:szCs w:val="24"/>
        </w:rPr>
        <w:t xml:space="preserve">, </w:t>
      </w:r>
      <w:r>
        <w:rPr>
          <w:rStyle w:val="markedcontent"/>
          <w:rFonts w:ascii="Times New Roman" w:hAnsi="Times New Roman" w:cs="Times New Roman"/>
          <w:b/>
          <w:sz w:val="24"/>
          <w:szCs w:val="24"/>
        </w:rPr>
        <w:t>5</w:t>
      </w:r>
      <w:r>
        <w:rPr>
          <w:rStyle w:val="markedcontent"/>
          <w:rFonts w:ascii="Times New Roman" w:hAnsi="Times New Roman" w:cs="Times New Roman"/>
          <w:sz w:val="24"/>
          <w:szCs w:val="24"/>
        </w:rPr>
        <w:t>(2):22-27</w:t>
      </w:r>
      <w:r>
        <w:rPr>
          <w:rFonts w:ascii="Times New Roman" w:hAnsi="Times New Roman" w:cs="Times New Roman"/>
          <w:sz w:val="24"/>
          <w:szCs w:val="24"/>
        </w:rPr>
        <w:t>.</w:t>
      </w:r>
    </w:p>
    <w:p w14:paraId="67816417"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Kehinde, S., Adebayo, S. M., Adesiyan, A. L., Kade, E. A. and Gurpreet, K. (2020). Evaluation of Biochemical, Hematological and Antioxidant Properties in Mice Exposed to a </w:t>
      </w:r>
      <w:proofErr w:type="spellStart"/>
      <w:r>
        <w:rPr>
          <w:rFonts w:ascii="Times New Roman" w:hAnsi="Times New Roman" w:cs="Times New Roman"/>
          <w:sz w:val="24"/>
          <w:szCs w:val="24"/>
        </w:rPr>
        <w:t>Triherbal</w:t>
      </w:r>
      <w:proofErr w:type="spellEnd"/>
      <w:r>
        <w:rPr>
          <w:rFonts w:ascii="Times New Roman" w:hAnsi="Times New Roman" w:cs="Times New Roman"/>
          <w:sz w:val="24"/>
          <w:szCs w:val="24"/>
        </w:rPr>
        <w:t xml:space="preserve"> (</w:t>
      </w:r>
      <w:r>
        <w:rPr>
          <w:rFonts w:ascii="Times New Roman" w:hAnsi="Times New Roman" w:cs="Times New Roman"/>
          <w:i/>
          <w:sz w:val="24"/>
          <w:szCs w:val="24"/>
        </w:rPr>
        <w:t>Nigella sativa, Carica papaya and Boswellia sacra</w:t>
      </w:r>
      <w:r>
        <w:rPr>
          <w:rFonts w:ascii="Times New Roman" w:hAnsi="Times New Roman" w:cs="Times New Roman"/>
          <w:sz w:val="24"/>
          <w:szCs w:val="24"/>
        </w:rPr>
        <w:t xml:space="preserve">) Formular. </w:t>
      </w:r>
      <w:proofErr w:type="spellStart"/>
      <w:r>
        <w:rPr>
          <w:rFonts w:ascii="Times New Roman" w:hAnsi="Times New Roman" w:cs="Times New Roman"/>
          <w:sz w:val="24"/>
          <w:szCs w:val="24"/>
        </w:rPr>
        <w:t>Biorxiv</w:t>
      </w:r>
      <w:proofErr w:type="spellEnd"/>
      <w:r>
        <w:rPr>
          <w:rFonts w:ascii="Times New Roman" w:hAnsi="Times New Roman" w:cs="Times New Roman"/>
          <w:sz w:val="24"/>
          <w:szCs w:val="24"/>
        </w:rPr>
        <w:t>. https://doi.org/10.1101/2020.08.02.233635doi:bioRxiv pre.</w:t>
      </w:r>
    </w:p>
    <w:p w14:paraId="69E9ACC8" w14:textId="77777777" w:rsidR="008F228F" w:rsidRDefault="00000000">
      <w:pPr>
        <w:pStyle w:val="ListParagraph"/>
        <w:numPr>
          <w:ilvl w:val="0"/>
          <w:numId w:val="22"/>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Nwani, C. D, Ifo, C. T., </w:t>
      </w:r>
      <w:proofErr w:type="spellStart"/>
      <w:r>
        <w:rPr>
          <w:rFonts w:ascii="Times New Roman" w:hAnsi="Times New Roman" w:cs="Times New Roman"/>
          <w:sz w:val="24"/>
          <w:szCs w:val="24"/>
        </w:rPr>
        <w:t>Nwamba</w:t>
      </w:r>
      <w:proofErr w:type="spellEnd"/>
      <w:r>
        <w:rPr>
          <w:rFonts w:ascii="Times New Roman" w:hAnsi="Times New Roman" w:cs="Times New Roman"/>
          <w:sz w:val="24"/>
          <w:szCs w:val="24"/>
        </w:rPr>
        <w:t xml:space="preserve">, H. O., </w:t>
      </w:r>
      <w:proofErr w:type="spellStart"/>
      <w:r>
        <w:rPr>
          <w:rFonts w:ascii="Times New Roman" w:hAnsi="Times New Roman" w:cs="Times New Roman"/>
          <w:sz w:val="24"/>
          <w:szCs w:val="24"/>
        </w:rPr>
        <w:t>Onyishi</w:t>
      </w:r>
      <w:proofErr w:type="spellEnd"/>
      <w:r>
        <w:rPr>
          <w:rFonts w:ascii="Times New Roman" w:hAnsi="Times New Roman" w:cs="Times New Roman"/>
          <w:sz w:val="24"/>
          <w:szCs w:val="24"/>
        </w:rPr>
        <w:t xml:space="preserve">, G. C., </w:t>
      </w:r>
      <w:proofErr w:type="spellStart"/>
      <w:r>
        <w:rPr>
          <w:rFonts w:ascii="Times New Roman" w:hAnsi="Times New Roman" w:cs="Times New Roman"/>
          <w:sz w:val="24"/>
          <w:szCs w:val="24"/>
        </w:rPr>
        <w:t>Oluah</w:t>
      </w:r>
      <w:proofErr w:type="spellEnd"/>
      <w:r>
        <w:rPr>
          <w:rFonts w:ascii="Times New Roman" w:hAnsi="Times New Roman" w:cs="Times New Roman"/>
          <w:sz w:val="24"/>
          <w:szCs w:val="24"/>
        </w:rPr>
        <w:t xml:space="preserve">, S. N., </w:t>
      </w:r>
      <w:proofErr w:type="spellStart"/>
      <w:r>
        <w:rPr>
          <w:rFonts w:ascii="Times New Roman" w:hAnsi="Times New Roman" w:cs="Times New Roman"/>
          <w:sz w:val="24"/>
          <w:szCs w:val="24"/>
        </w:rPr>
        <w:t>Ikwuagwu</w:t>
      </w:r>
      <w:proofErr w:type="spellEnd"/>
      <w:r>
        <w:rPr>
          <w:rFonts w:ascii="Times New Roman" w:hAnsi="Times New Roman" w:cs="Times New Roman"/>
          <w:sz w:val="24"/>
          <w:szCs w:val="24"/>
        </w:rPr>
        <w:t xml:space="preserve">, O. E. and Odoh, G. E. (2014) Oxidative Stress and Biochemical Responses in the Tissues of African Catfish, </w:t>
      </w:r>
      <w:r>
        <w:rPr>
          <w:rFonts w:ascii="Times New Roman" w:hAnsi="Times New Roman" w:cs="Times New Roman"/>
          <w:i/>
          <w:sz w:val="24"/>
          <w:szCs w:val="24"/>
        </w:rPr>
        <w:t>Clarias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Juvenile Following Exposure to </w:t>
      </w:r>
      <w:proofErr w:type="spellStart"/>
      <w:r>
        <w:rPr>
          <w:rFonts w:ascii="Times New Roman" w:hAnsi="Times New Roman" w:cs="Times New Roman"/>
          <w:sz w:val="24"/>
          <w:szCs w:val="24"/>
        </w:rPr>
        <w:t>Primextra</w:t>
      </w:r>
      <w:proofErr w:type="spellEnd"/>
      <w:r>
        <w:rPr>
          <w:rFonts w:ascii="Times New Roman" w:hAnsi="Times New Roman" w:cs="Times New Roman"/>
          <w:sz w:val="24"/>
          <w:szCs w:val="24"/>
        </w:rPr>
        <w:t xml:space="preserve"> Herbicide. </w:t>
      </w:r>
      <w:r>
        <w:rPr>
          <w:rFonts w:ascii="Times New Roman" w:hAnsi="Times New Roman" w:cs="Times New Roman"/>
          <w:i/>
          <w:sz w:val="24"/>
          <w:szCs w:val="24"/>
        </w:rPr>
        <w:t>Journal of Drug and Chemical Toxicology</w:t>
      </w: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(3):1-8.</w:t>
      </w:r>
    </w:p>
    <w:p w14:paraId="44965A1C" w14:textId="77777777" w:rsidR="008F228F" w:rsidRDefault="00000000">
      <w:pPr>
        <w:pStyle w:val="ListParagraph"/>
        <w:numPr>
          <w:ilvl w:val="0"/>
          <w:numId w:val="22"/>
        </w:numPr>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Dabas, A., Nagpure, N. S., Kumar, R., Kushwaha, B., Kumar, P. and Lakra, W. S. (2012). Assessment of Tissue-Specific Effect of Cadmium on Antioxidant Defense System and Lipid Peroxidation in Freshwater Murrel, </w:t>
      </w:r>
      <w:r>
        <w:rPr>
          <w:rFonts w:ascii="Times New Roman" w:hAnsi="Times New Roman" w:cs="Times New Roman"/>
          <w:i/>
          <w:sz w:val="24"/>
          <w:szCs w:val="24"/>
        </w:rPr>
        <w:t>Channa</w:t>
      </w:r>
      <w:r>
        <w:rPr>
          <w:rFonts w:ascii="Times New Roman" w:hAnsi="Times New Roman" w:cs="Times New Roman"/>
          <w:sz w:val="24"/>
          <w:szCs w:val="24"/>
        </w:rPr>
        <w:t xml:space="preserve"> </w:t>
      </w:r>
      <w:r>
        <w:rPr>
          <w:rFonts w:ascii="Times New Roman" w:hAnsi="Times New Roman" w:cs="Times New Roman"/>
          <w:i/>
          <w:sz w:val="24"/>
          <w:szCs w:val="24"/>
        </w:rPr>
        <w:t>Punctatus</w:t>
      </w:r>
      <w:r>
        <w:rPr>
          <w:rFonts w:ascii="Times New Roman" w:hAnsi="Times New Roman" w:cs="Times New Roman"/>
          <w:sz w:val="24"/>
          <w:szCs w:val="24"/>
        </w:rPr>
        <w:t xml:space="preserve">. </w:t>
      </w:r>
      <w:r>
        <w:rPr>
          <w:rStyle w:val="Emphasis"/>
          <w:rFonts w:ascii="Times New Roman" w:hAnsi="Times New Roman" w:cs="Times New Roman"/>
          <w:sz w:val="24"/>
          <w:szCs w:val="24"/>
        </w:rPr>
        <w:t>Fish Physiology</w:t>
      </w:r>
      <w:r>
        <w:rPr>
          <w:rFonts w:ascii="Times New Roman" w:hAnsi="Times New Roman" w:cs="Times New Roman"/>
          <w:sz w:val="24"/>
          <w:szCs w:val="24"/>
        </w:rPr>
        <w:t xml:space="preserve"> and </w:t>
      </w:r>
      <w:r>
        <w:rPr>
          <w:rStyle w:val="Emphasis"/>
          <w:rFonts w:ascii="Times New Roman" w:hAnsi="Times New Roman" w:cs="Times New Roman"/>
          <w:sz w:val="24"/>
          <w:szCs w:val="24"/>
        </w:rPr>
        <w:t>Biochemistry,</w:t>
      </w:r>
      <w:r>
        <w:rPr>
          <w:rFonts w:ascii="Times New Roman" w:hAnsi="Times New Roman" w:cs="Times New Roman"/>
          <w:sz w:val="24"/>
          <w:szCs w:val="24"/>
        </w:rPr>
        <w:t xml:space="preserve"> </w:t>
      </w:r>
      <w:r>
        <w:rPr>
          <w:rFonts w:ascii="Times New Roman" w:hAnsi="Times New Roman" w:cs="Times New Roman"/>
          <w:b/>
          <w:sz w:val="24"/>
          <w:szCs w:val="24"/>
        </w:rPr>
        <w:t>38</w:t>
      </w:r>
      <w:r>
        <w:rPr>
          <w:rFonts w:ascii="Times New Roman" w:hAnsi="Times New Roman" w:cs="Times New Roman"/>
          <w:sz w:val="24"/>
          <w:szCs w:val="24"/>
        </w:rPr>
        <w:t xml:space="preserve">(2):469-482. </w:t>
      </w:r>
    </w:p>
    <w:p w14:paraId="570BBBC3" w14:textId="77777777" w:rsidR="008F228F" w:rsidRDefault="00000000">
      <w:pPr>
        <w:pStyle w:val="ListParagraph"/>
        <w:numPr>
          <w:ilvl w:val="0"/>
          <w:numId w:val="22"/>
        </w:numPr>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Ezeomeke</w:t>
      </w:r>
      <w:proofErr w:type="spellEnd"/>
      <w:r>
        <w:rPr>
          <w:rFonts w:ascii="Times New Roman" w:hAnsi="Times New Roman" w:cs="Times New Roman"/>
          <w:sz w:val="24"/>
          <w:szCs w:val="24"/>
        </w:rPr>
        <w:t xml:space="preserve">, S. I., </w:t>
      </w:r>
      <w:proofErr w:type="spellStart"/>
      <w:r>
        <w:rPr>
          <w:rFonts w:ascii="Times New Roman" w:hAnsi="Times New Roman" w:cs="Times New Roman"/>
          <w:sz w:val="24"/>
          <w:szCs w:val="24"/>
        </w:rPr>
        <w:t>Nwamba</w:t>
      </w:r>
      <w:proofErr w:type="spellEnd"/>
      <w:r>
        <w:rPr>
          <w:rFonts w:ascii="Times New Roman" w:hAnsi="Times New Roman" w:cs="Times New Roman"/>
          <w:sz w:val="24"/>
          <w:szCs w:val="24"/>
        </w:rPr>
        <w:t xml:space="preserve">, H. O., </w:t>
      </w:r>
      <w:proofErr w:type="spellStart"/>
      <w:r>
        <w:rPr>
          <w:rFonts w:ascii="Times New Roman" w:hAnsi="Times New Roman" w:cs="Times New Roman"/>
          <w:sz w:val="24"/>
          <w:szCs w:val="24"/>
        </w:rPr>
        <w:t>Chiaha</w:t>
      </w:r>
      <w:proofErr w:type="spellEnd"/>
      <w:r>
        <w:rPr>
          <w:rFonts w:ascii="Times New Roman" w:hAnsi="Times New Roman" w:cs="Times New Roman"/>
          <w:sz w:val="24"/>
          <w:szCs w:val="24"/>
        </w:rPr>
        <w:t xml:space="preserve">, E. I. and Anukwu, J. U. (2024) The Effects of </w:t>
      </w:r>
      <w:r>
        <w:rPr>
          <w:rFonts w:ascii="Times New Roman" w:hAnsi="Times New Roman" w:cs="Times New Roman"/>
          <w:i/>
          <w:sz w:val="24"/>
          <w:szCs w:val="24"/>
        </w:rPr>
        <w:t xml:space="preserve">Vernonia </w:t>
      </w:r>
      <w:proofErr w:type="spellStart"/>
      <w:r>
        <w:rPr>
          <w:rFonts w:ascii="Times New Roman" w:hAnsi="Times New Roman" w:cs="Times New Roman"/>
          <w:i/>
          <w:sz w:val="24"/>
          <w:szCs w:val="24"/>
        </w:rPr>
        <w:t>amagdalina</w:t>
      </w:r>
      <w:proofErr w:type="spellEnd"/>
      <w:r>
        <w:rPr>
          <w:rFonts w:ascii="Times New Roman" w:hAnsi="Times New Roman" w:cs="Times New Roman"/>
          <w:sz w:val="24"/>
          <w:szCs w:val="24"/>
        </w:rPr>
        <w:t xml:space="preserve"> on Growth and Oxidative Stress Parameters of </w:t>
      </w:r>
      <w:r>
        <w:rPr>
          <w:rFonts w:ascii="Times New Roman" w:hAnsi="Times New Roman" w:cs="Times New Roman"/>
          <w:i/>
          <w:sz w:val="24"/>
          <w:szCs w:val="24"/>
        </w:rPr>
        <w:t>Clarias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gariepinus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burchell</w:t>
      </w:r>
      <w:proofErr w:type="spellEnd"/>
      <w:r>
        <w:rPr>
          <w:rFonts w:ascii="Times New Roman" w:hAnsi="Times New Roman" w:cs="Times New Roman"/>
          <w:sz w:val="24"/>
          <w:szCs w:val="24"/>
        </w:rPr>
        <w:t xml:space="preserve"> 1822) Exposed to Diclofenac. </w:t>
      </w:r>
      <w:r>
        <w:rPr>
          <w:rFonts w:ascii="Times New Roman" w:hAnsi="Times New Roman" w:cs="Times New Roman"/>
          <w:i/>
          <w:sz w:val="24"/>
          <w:szCs w:val="24"/>
        </w:rPr>
        <w:t>Animal Research International</w:t>
      </w:r>
      <w:r>
        <w:rPr>
          <w:rFonts w:ascii="Times New Roman" w:hAnsi="Times New Roman" w:cs="Times New Roman"/>
          <w:sz w:val="24"/>
          <w:szCs w:val="24"/>
        </w:rPr>
        <w:t xml:space="preserve"> </w:t>
      </w:r>
      <w:r>
        <w:rPr>
          <w:rFonts w:ascii="Times New Roman" w:hAnsi="Times New Roman" w:cs="Times New Roman"/>
          <w:b/>
          <w:sz w:val="24"/>
          <w:szCs w:val="24"/>
        </w:rPr>
        <w:t>21</w:t>
      </w:r>
      <w:r>
        <w:rPr>
          <w:rFonts w:ascii="Times New Roman" w:hAnsi="Times New Roman" w:cs="Times New Roman"/>
          <w:sz w:val="24"/>
          <w:szCs w:val="24"/>
        </w:rPr>
        <w:t>(3): 5728 – 5738</w:t>
      </w:r>
    </w:p>
    <w:p w14:paraId="782F0EA3" w14:textId="77777777" w:rsidR="008F228F" w:rsidRDefault="008F228F">
      <w:pPr>
        <w:pStyle w:val="ListParagraph"/>
        <w:tabs>
          <w:tab w:val="left" w:pos="426"/>
        </w:tabs>
        <w:spacing w:line="240" w:lineRule="auto"/>
        <w:ind w:left="0"/>
        <w:jc w:val="both"/>
        <w:rPr>
          <w:rFonts w:ascii="Times New Roman" w:hAnsi="Times New Roman" w:cs="Times New Roman"/>
          <w:sz w:val="24"/>
          <w:szCs w:val="24"/>
        </w:rPr>
      </w:pPr>
    </w:p>
    <w:p w14:paraId="40518B82" w14:textId="77777777" w:rsidR="008F228F" w:rsidRDefault="008F228F">
      <w:pPr>
        <w:spacing w:after="120" w:line="240" w:lineRule="auto"/>
        <w:contextualSpacing/>
        <w:jc w:val="both"/>
        <w:rPr>
          <w:rFonts w:ascii="Times New Roman" w:hAnsi="Times New Roman" w:cs="Times New Roman"/>
          <w:sz w:val="24"/>
          <w:szCs w:val="24"/>
        </w:rPr>
      </w:pPr>
    </w:p>
    <w:p w14:paraId="1361E3A7" w14:textId="77777777" w:rsidR="008F228F" w:rsidRDefault="008F228F">
      <w:pPr>
        <w:spacing w:after="120" w:line="240" w:lineRule="auto"/>
        <w:contextualSpacing/>
        <w:jc w:val="both"/>
        <w:rPr>
          <w:rFonts w:ascii="Times New Roman" w:hAnsi="Times New Roman" w:cs="Times New Roman"/>
          <w:sz w:val="24"/>
          <w:szCs w:val="24"/>
        </w:rPr>
      </w:pPr>
    </w:p>
    <w:p w14:paraId="2D6746F3" w14:textId="77777777" w:rsidR="008F228F" w:rsidRDefault="008F228F">
      <w:pPr>
        <w:spacing w:before="240" w:line="240" w:lineRule="auto"/>
        <w:jc w:val="both"/>
        <w:rPr>
          <w:rFonts w:ascii="Times New Roman" w:hAnsi="Times New Roman" w:cs="Times New Roman"/>
          <w:sz w:val="24"/>
          <w:szCs w:val="24"/>
        </w:rPr>
        <w:sectPr w:rsidR="008F228F">
          <w:type w:val="continuous"/>
          <w:pgSz w:w="11906" w:h="16838"/>
          <w:pgMar w:top="1440" w:right="1440" w:bottom="1440" w:left="1440" w:header="709" w:footer="709" w:gutter="0"/>
          <w:cols w:space="720"/>
          <w:docGrid w:linePitch="360"/>
        </w:sectPr>
      </w:pPr>
    </w:p>
    <w:p w14:paraId="6E19A47A" w14:textId="77777777" w:rsidR="008F228F" w:rsidRDefault="008F228F">
      <w:pPr>
        <w:spacing w:before="240" w:line="240" w:lineRule="auto"/>
        <w:jc w:val="both"/>
        <w:rPr>
          <w:rFonts w:ascii="Times New Roman" w:hAnsi="Times New Roman" w:cs="Times New Roman"/>
          <w:sz w:val="24"/>
          <w:szCs w:val="24"/>
        </w:rPr>
      </w:pPr>
    </w:p>
    <w:sectPr w:rsidR="008F228F">
      <w:type w:val="continuous"/>
      <w:pgSz w:w="11906" w:h="16838"/>
      <w:pgMar w:top="1440" w:right="1440" w:bottom="1440" w:left="144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5A4E" w14:textId="77777777" w:rsidR="0038481E" w:rsidRDefault="0038481E">
      <w:pPr>
        <w:spacing w:after="0" w:line="240" w:lineRule="auto"/>
      </w:pPr>
      <w:r>
        <w:separator/>
      </w:r>
    </w:p>
  </w:endnote>
  <w:endnote w:type="continuationSeparator" w:id="0">
    <w:p w14:paraId="620D4550" w14:textId="77777777" w:rsidR="0038481E" w:rsidRDefault="0038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1090" w14:textId="77777777" w:rsidR="00C632D5" w:rsidRDefault="00C6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CEEF" w14:textId="77777777" w:rsidR="008F228F" w:rsidRDefault="00000000">
    <w:pPr>
      <w:pStyle w:val="Footer"/>
      <w:jc w:val="center"/>
    </w:pPr>
    <w:r>
      <w:fldChar w:fldCharType="begin"/>
    </w:r>
    <w:r>
      <w:instrText xml:space="preserve"> PAGE   \* MERGEFORMAT </w:instrText>
    </w:r>
    <w:r>
      <w:fldChar w:fldCharType="separate"/>
    </w:r>
    <w:r>
      <w:rPr>
        <w:noProof/>
      </w:rPr>
      <w:t>1</w:t>
    </w:r>
    <w:r>
      <w:fldChar w:fldCharType="end"/>
    </w:r>
  </w:p>
  <w:p w14:paraId="78B35C18" w14:textId="77777777" w:rsidR="008F228F" w:rsidRDefault="008F2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4715" w14:textId="77777777" w:rsidR="00C632D5" w:rsidRDefault="00C6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1332" w14:textId="77777777" w:rsidR="0038481E" w:rsidRDefault="0038481E">
      <w:pPr>
        <w:spacing w:after="0" w:line="240" w:lineRule="auto"/>
      </w:pPr>
      <w:r>
        <w:separator/>
      </w:r>
    </w:p>
  </w:footnote>
  <w:footnote w:type="continuationSeparator" w:id="0">
    <w:p w14:paraId="7A07F503" w14:textId="77777777" w:rsidR="0038481E" w:rsidRDefault="00384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0725" w14:textId="2418974A" w:rsidR="00C632D5" w:rsidRDefault="00C632D5">
    <w:pPr>
      <w:pStyle w:val="Header"/>
    </w:pPr>
    <w:r>
      <w:rPr>
        <w:noProof/>
      </w:rPr>
      <w:pict w14:anchorId="3BD2E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11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C95" w14:textId="7DFCE961" w:rsidR="00C632D5" w:rsidRDefault="00C632D5">
    <w:pPr>
      <w:pStyle w:val="Header"/>
    </w:pPr>
    <w:r>
      <w:rPr>
        <w:noProof/>
      </w:rPr>
      <w:pict w14:anchorId="749E7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11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C016" w14:textId="488590B6" w:rsidR="00C632D5" w:rsidRDefault="00C632D5">
    <w:pPr>
      <w:pStyle w:val="Header"/>
    </w:pPr>
    <w:r>
      <w:rPr>
        <w:noProof/>
      </w:rPr>
      <w:pict w14:anchorId="4CB14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11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586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1D9E8F04"/>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821259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0C183656"/>
    <w:lvl w:ilvl="0" w:tplc="7B40DE7E">
      <w:start w:val="1"/>
      <w:numFmt w:val="lowerRoman"/>
      <w:lvlText w:val="%1."/>
      <w:lvlJc w:val="left"/>
      <w:pPr>
        <w:ind w:left="1080" w:hanging="720"/>
      </w:pPr>
      <w:rPr>
        <w:b/>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F95A93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0000006"/>
    <w:multiLevelType w:val="hybridMultilevel"/>
    <w:tmpl w:val="C24EADC2"/>
    <w:lvl w:ilvl="0" w:tplc="9432C60E">
      <w:start w:val="1"/>
      <w:numFmt w:val="lowerRoman"/>
      <w:lvlText w:val="%1."/>
      <w:lvlJc w:val="left"/>
      <w:pPr>
        <w:ind w:left="108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5F085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7564DCDA"/>
    <w:lvl w:ilvl="0" w:tplc="53C28B42">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8DE29C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B6FEE4D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264A6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264A6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hybridMultilevel"/>
    <w:tmpl w:val="4DD8E7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3AA66FCC"/>
    <w:lvl w:ilvl="0" w:tplc="BC0A6F82">
      <w:start w:val="2"/>
      <w:numFmt w:val="lowerRoman"/>
      <w:lvlText w:val="%1."/>
      <w:lvlJc w:val="left"/>
      <w:pPr>
        <w:ind w:left="108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15:restartNumberingAfterBreak="0">
    <w:nsid w:val="0000000F"/>
    <w:multiLevelType w:val="hybridMultilevel"/>
    <w:tmpl w:val="1CD804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00010"/>
    <w:multiLevelType w:val="hybridMultilevel"/>
    <w:tmpl w:val="619ADE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00011"/>
    <w:multiLevelType w:val="hybridMultilevel"/>
    <w:tmpl w:val="A5764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00012"/>
    <w:multiLevelType w:val="hybridMultilevel"/>
    <w:tmpl w:val="A79233D2"/>
    <w:lvl w:ilvl="0" w:tplc="D57CAE70">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15:restartNumberingAfterBreak="0">
    <w:nsid w:val="00000013"/>
    <w:multiLevelType w:val="hybridMultilevel"/>
    <w:tmpl w:val="6C1CEDDE"/>
    <w:lvl w:ilvl="0" w:tplc="1FCA11B4">
      <w:start w:val="1"/>
      <w:numFmt w:val="lowerRoman"/>
      <w:lvlText w:val="%1."/>
      <w:lvlJc w:val="left"/>
      <w:pPr>
        <w:ind w:left="1080" w:hanging="720"/>
      </w:pPr>
      <w:rPr>
        <w:b/>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30C213C6"/>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FBB29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3C0D6C"/>
    <w:multiLevelType w:val="hybridMultilevel"/>
    <w:tmpl w:val="011E13C4"/>
    <w:lvl w:ilvl="0" w:tplc="1E3C5FDC">
      <w:start w:val="1"/>
      <w:numFmt w:val="lowerRoman"/>
      <w:lvlText w:val="%1."/>
      <w:lvlJc w:val="left"/>
      <w:pPr>
        <w:ind w:left="1080" w:hanging="720"/>
      </w:pPr>
      <w:rPr>
        <w:b/>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1745299435">
    <w:abstractNumId w:val="6"/>
  </w:num>
  <w:num w:numId="2" w16cid:durableId="568227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483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26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16156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77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0765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342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235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876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467719">
    <w:abstractNumId w:val="14"/>
  </w:num>
  <w:num w:numId="12" w16cid:durableId="765343385">
    <w:abstractNumId w:val="16"/>
  </w:num>
  <w:num w:numId="13" w16cid:durableId="1339190784">
    <w:abstractNumId w:val="8"/>
  </w:num>
  <w:num w:numId="14" w16cid:durableId="1226332496">
    <w:abstractNumId w:val="15"/>
  </w:num>
  <w:num w:numId="15" w16cid:durableId="1725639426">
    <w:abstractNumId w:val="7"/>
  </w:num>
  <w:num w:numId="16" w16cid:durableId="231427960">
    <w:abstractNumId w:val="10"/>
  </w:num>
  <w:num w:numId="17" w16cid:durableId="1677922679">
    <w:abstractNumId w:val="11"/>
  </w:num>
  <w:num w:numId="18" w16cid:durableId="1511487886">
    <w:abstractNumId w:val="4"/>
  </w:num>
  <w:num w:numId="19" w16cid:durableId="1177186046">
    <w:abstractNumId w:val="2"/>
  </w:num>
  <w:num w:numId="20" w16cid:durableId="1094790133">
    <w:abstractNumId w:val="12"/>
  </w:num>
  <w:num w:numId="21" w16cid:durableId="2005668120">
    <w:abstractNumId w:val="20"/>
  </w:num>
  <w:num w:numId="22" w16cid:durableId="202613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228F"/>
    <w:rsid w:val="0038481E"/>
    <w:rsid w:val="005440DD"/>
    <w:rsid w:val="00685B8B"/>
    <w:rsid w:val="007A6F4A"/>
    <w:rsid w:val="008F228F"/>
    <w:rsid w:val="00B52199"/>
    <w:rsid w:val="00C21EE7"/>
    <w:rsid w:val="00C632D5"/>
    <w:rsid w:val="00D938A5"/>
    <w:rsid w:val="00E4145E"/>
    <w:rsid w:val="00F216FF"/>
    <w:rsid w:val="00F2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0732"/>
  <w15:docId w15:val="{961644D7-2B8C-41C3-8CE4-3E1D9412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next w:val="Normal"/>
    <w:link w:val="Heading2Char"/>
    <w:uiPriority w:val="9"/>
    <w:semiHidden/>
    <w:unhideWhenUsed/>
    <w:qFormat/>
    <w:pPr>
      <w:keepNext/>
      <w:keepLines/>
      <w:spacing w:after="4" w:line="247" w:lineRule="auto"/>
      <w:ind w:left="1090" w:hanging="10"/>
      <w:outlineLvl w:val="1"/>
    </w:pPr>
    <w:rPr>
      <w:rFonts w:ascii="Arial" w:eastAsia="Arial" w:hAnsi="Arial" w:cs="Arial"/>
      <w:b/>
      <w:color w:val="000000"/>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GB" w:eastAsia="en-GB"/>
    </w:rPr>
  </w:style>
  <w:style w:type="character" w:customStyle="1" w:styleId="markedcontent">
    <w:name w:val="markedconten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2"/>
    </w:rPr>
  </w:style>
  <w:style w:type="character" w:customStyle="1" w:styleId="Heading2Char">
    <w:name w:val="Heading 2 Char"/>
    <w:basedOn w:val="DefaultParagraphFont"/>
    <w:link w:val="Heading2"/>
    <w:uiPriority w:val="9"/>
    <w:rPr>
      <w:rFonts w:ascii="Arial" w:eastAsia="Arial" w:hAnsi="Arial" w:cs="Arial"/>
      <w:b/>
      <w:color w:val="000000"/>
      <w:kern w:val="2"/>
      <w:sz w:val="2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rPr>
  </w:style>
  <w:style w:type="character" w:styleId="Emphasis">
    <w:name w:val="Emphasis"/>
    <w:basedOn w:val="DefaultParagraphFont"/>
    <w:uiPriority w:val="20"/>
    <w:qFormat/>
    <w:rPr>
      <w:i/>
      <w:iCs/>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kern w:val="2"/>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rPr>
      <w:kern w:val="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DefaultParagraphFont"/>
  </w:style>
  <w:style w:type="character" w:customStyle="1" w:styleId="ref-title">
    <w:name w:val="ref-title"/>
    <w:basedOn w:val="DefaultParagraphFont"/>
  </w:style>
  <w:style w:type="character" w:styleId="UnresolvedMention">
    <w:name w:val="Unresolved Mention"/>
    <w:basedOn w:val="DefaultParagraphFont"/>
    <w:uiPriority w:val="99"/>
    <w:semiHidden/>
    <w:unhideWhenUsed/>
    <w:rsid w:val="00D9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vets.2020.5826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5097</TotalTime>
  <Pages>8</Pages>
  <Words>3687</Words>
  <Characters>21022</Characters>
  <Application>Microsoft Office Word</Application>
  <DocSecurity>0</DocSecurity>
  <Lines>175</Lines>
  <Paragraphs>49</Paragraphs>
  <ScaleCrop>false</ScaleCrop>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Editor-11</cp:lastModifiedBy>
  <cp:revision>10</cp:revision>
  <dcterms:created xsi:type="dcterms:W3CDTF">2025-02-26T12:24:00Z</dcterms:created>
  <dcterms:modified xsi:type="dcterms:W3CDTF">2025-04-17T12:00:00Z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bf30e600ae034f2c9399b3a952778543</vt:lpwstr>
  </property>
</Properties>
</file>