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42994F" w14:textId="7DB88A0F" w:rsidR="005246CE" w:rsidRDefault="005246CE" w:rsidP="00794906">
      <w:pPr>
        <w:spacing w:line="360" w:lineRule="auto"/>
        <w:jc w:val="both"/>
        <w:rPr>
          <w:b/>
          <w:bCs/>
        </w:rPr>
      </w:pPr>
      <w:r w:rsidRPr="005246CE">
        <w:rPr>
          <w:b/>
          <w:bCs/>
          <w:i/>
          <w:iCs/>
          <w:u w:val="single"/>
        </w:rPr>
        <w:t>Original Research Article</w:t>
      </w:r>
    </w:p>
    <w:p w14:paraId="061EC9F6" w14:textId="51747894" w:rsidR="0056666F" w:rsidRDefault="008D10D7" w:rsidP="00794906">
      <w:pPr>
        <w:spacing w:line="360" w:lineRule="auto"/>
        <w:jc w:val="both"/>
        <w:rPr>
          <w:b/>
          <w:bCs/>
        </w:rPr>
      </w:pPr>
      <w:r w:rsidRPr="008D10D7">
        <w:rPr>
          <w:b/>
          <w:bCs/>
        </w:rPr>
        <w:t>Theaflavin Attenuates Hyperactivity and Cognitive Deficits in a Rodent Model of Prenatal Alcohol-Induced ADHD</w:t>
      </w:r>
    </w:p>
    <w:p w14:paraId="3700D0A5" w14:textId="60DFCEAA" w:rsidR="00F75E2E" w:rsidRPr="00F75E2E" w:rsidRDefault="00F75E2E" w:rsidP="00A90603">
      <w:pPr>
        <w:spacing w:after="0" w:line="360" w:lineRule="auto"/>
        <w:jc w:val="both"/>
        <w:rPr>
          <w:b/>
          <w:bCs/>
        </w:rPr>
      </w:pPr>
      <w:r w:rsidRPr="00F75E2E">
        <w:rPr>
          <w:b/>
          <w:bCs/>
        </w:rPr>
        <w:t>Abstract</w:t>
      </w:r>
    </w:p>
    <w:p w14:paraId="57462B42" w14:textId="3C19E1BD" w:rsidR="008D10D7" w:rsidRPr="00483BDA" w:rsidRDefault="00A90603" w:rsidP="00A90603">
      <w:pPr>
        <w:spacing w:after="0" w:line="360" w:lineRule="auto"/>
        <w:jc w:val="both"/>
        <w:rPr>
          <w:rFonts w:cs="Times New Roman"/>
          <w:szCs w:val="24"/>
        </w:rPr>
      </w:pPr>
      <w:r w:rsidRPr="00A90603">
        <w:rPr>
          <w:rFonts w:eastAsia="Times New Roman" w:cs="Times New Roman"/>
          <w:szCs w:val="24"/>
        </w:rPr>
        <w:t xml:space="preserve">Attention-deficit/hyperactivity disorder (ADHD) is a prevalent neurodevelopmental disorder characterized by persistent patterns of hyperactivity, inattention, and cognitive impairment. Prenatal alcohol exposure (PAE) has been identified as a significant environmental risk factor for ADHD, leading to structural and functional alterations in brain regions such as the striatum, and amygdala. Current pharmacological interventions for ADHD, while effective, are often associated with adverse effects and limited efficacy in addressing cognitive deficits. </w:t>
      </w:r>
      <w:r w:rsidR="00FB0164" w:rsidRPr="00483BDA">
        <w:rPr>
          <w:rFonts w:cs="Times New Roman"/>
          <w:szCs w:val="24"/>
        </w:rPr>
        <w:t xml:space="preserve">Theaflavin, a bioactive polyphenol in black tea, has shown neuroprotective potential. This study investigates the therapeutic effects of theaflavin on ADHD-like behavioral </w:t>
      </w:r>
      <w:r w:rsidR="008D10D7">
        <w:rPr>
          <w:rFonts w:cs="Times New Roman"/>
          <w:szCs w:val="24"/>
        </w:rPr>
        <w:t>phenotype</w:t>
      </w:r>
      <w:r w:rsidR="00FB0164" w:rsidRPr="00483BDA">
        <w:rPr>
          <w:rFonts w:cs="Times New Roman"/>
          <w:szCs w:val="24"/>
        </w:rPr>
        <w:t xml:space="preserve"> in a prenatal </w:t>
      </w:r>
      <w:r>
        <w:rPr>
          <w:rFonts w:cs="Times New Roman"/>
          <w:szCs w:val="24"/>
        </w:rPr>
        <w:t>alcohol</w:t>
      </w:r>
      <w:r w:rsidR="00FB0164" w:rsidRPr="00483BDA">
        <w:rPr>
          <w:rFonts w:cs="Times New Roman"/>
          <w:szCs w:val="24"/>
        </w:rPr>
        <w:t xml:space="preserve"> model of ADHD. Pregnant mice were administered </w:t>
      </w:r>
      <w:r w:rsidR="00FB0164" w:rsidRPr="00483BDA">
        <w:rPr>
          <w:rFonts w:cs="Times New Roman"/>
          <w:bCs/>
          <w:iCs/>
          <w:szCs w:val="24"/>
        </w:rPr>
        <w:t>alcohol</w:t>
      </w:r>
      <w:r w:rsidR="00FB0164" w:rsidRPr="00483BDA">
        <w:rPr>
          <w:rFonts w:cs="Times New Roman"/>
          <w:bCs/>
          <w:szCs w:val="24"/>
        </w:rPr>
        <w:t xml:space="preserve"> 20m</w:t>
      </w:r>
      <w:r w:rsidR="008D10D7">
        <w:rPr>
          <w:rFonts w:cs="Times New Roman"/>
          <w:bCs/>
          <w:szCs w:val="24"/>
        </w:rPr>
        <w:t>L</w:t>
      </w:r>
      <w:r w:rsidR="00FB0164" w:rsidRPr="00483BDA">
        <w:rPr>
          <w:rFonts w:cs="Times New Roman"/>
          <w:bCs/>
          <w:szCs w:val="24"/>
        </w:rPr>
        <w:t>/kg (10 m</w:t>
      </w:r>
      <w:r w:rsidR="008D10D7">
        <w:rPr>
          <w:rFonts w:cs="Times New Roman"/>
          <w:bCs/>
          <w:szCs w:val="24"/>
        </w:rPr>
        <w:t>L</w:t>
      </w:r>
      <w:r w:rsidR="00FB0164" w:rsidRPr="00483BDA">
        <w:rPr>
          <w:rFonts w:cs="Times New Roman"/>
          <w:bCs/>
          <w:szCs w:val="24"/>
        </w:rPr>
        <w:t xml:space="preserve">/kg twice daily) from gestational day GD 7-16 </w:t>
      </w:r>
      <w:r w:rsidR="00FB0164" w:rsidRPr="00483BDA">
        <w:rPr>
          <w:rFonts w:cs="Times New Roman"/>
          <w:szCs w:val="24"/>
        </w:rPr>
        <w:t>to induce ADHD-like deficits in offspring. Following birth, male pups underwent an initial behavioral assessment on GD 22 to confirm ADHD-like symptoms using Y-maze, the open field test (OFT), and the marble burying test (MBT), after which they were allotted into five groups: control, ethanol-exposed (pathologic group), two theaflavin treatment groups (10 mg/kg and 20 mg/kg), and a positive control group receiving atomoxetine (1 mg/kg). After 30 days of treatment, a second behavioral assessment was conducted</w:t>
      </w:r>
      <w:r w:rsidR="008D10D7">
        <w:rPr>
          <w:rFonts w:cs="Times New Roman"/>
          <w:szCs w:val="24"/>
        </w:rPr>
        <w:t xml:space="preserve"> to ascertain the effect of the theaflavin. </w:t>
      </w:r>
      <w:r w:rsidR="008D10D7" w:rsidRPr="00483BDA">
        <w:rPr>
          <w:rFonts w:cs="Times New Roman"/>
          <w:szCs w:val="24"/>
        </w:rPr>
        <w:t xml:space="preserve">Histological evaluation of the striatum </w:t>
      </w:r>
      <w:r w:rsidR="008D10D7">
        <w:rPr>
          <w:rFonts w:cs="Times New Roman"/>
          <w:szCs w:val="24"/>
        </w:rPr>
        <w:t xml:space="preserve">and amygdala </w:t>
      </w:r>
      <w:r w:rsidR="008D10D7" w:rsidRPr="00483BDA">
        <w:rPr>
          <w:rFonts w:cs="Times New Roman"/>
          <w:szCs w:val="24"/>
        </w:rPr>
        <w:t>was conducted to determine structural changes.</w:t>
      </w:r>
      <w:r w:rsidR="008D10D7">
        <w:rPr>
          <w:rFonts w:cs="Times New Roman"/>
          <w:szCs w:val="24"/>
        </w:rPr>
        <w:t xml:space="preserve"> </w:t>
      </w:r>
      <w:r w:rsidRPr="00A90603">
        <w:rPr>
          <w:rFonts w:eastAsia="Times New Roman" w:cs="Times New Roman"/>
          <w:szCs w:val="24"/>
        </w:rPr>
        <w:t>Results indicated that theaflavin significantly improved percentage alternation reduced arm entries</w:t>
      </w:r>
      <w:r>
        <w:rPr>
          <w:rFonts w:eastAsia="Times New Roman" w:cs="Times New Roman"/>
          <w:szCs w:val="24"/>
        </w:rPr>
        <w:t xml:space="preserve"> </w:t>
      </w:r>
      <w:r w:rsidRPr="00A90603">
        <w:rPr>
          <w:rFonts w:eastAsia="Times New Roman" w:cs="Times New Roman"/>
          <w:szCs w:val="24"/>
        </w:rPr>
        <w:t>in the Y-maze, and duration of ambulation</w:t>
      </w:r>
      <w:r>
        <w:rPr>
          <w:rFonts w:eastAsia="Times New Roman" w:cs="Times New Roman"/>
          <w:szCs w:val="24"/>
        </w:rPr>
        <w:t xml:space="preserve"> in the open field test</w:t>
      </w:r>
      <w:r w:rsidRPr="00A90603">
        <w:rPr>
          <w:rFonts w:eastAsia="Times New Roman" w:cs="Times New Roman"/>
          <w:szCs w:val="24"/>
        </w:rPr>
        <w:t>, and decreased marble displacement</w:t>
      </w:r>
      <w:r>
        <w:rPr>
          <w:rFonts w:eastAsia="Times New Roman" w:cs="Times New Roman"/>
          <w:szCs w:val="24"/>
        </w:rPr>
        <w:t xml:space="preserve"> in the marble burying test</w:t>
      </w:r>
      <w:r w:rsidRPr="00A90603">
        <w:rPr>
          <w:rFonts w:eastAsia="Times New Roman" w:cs="Times New Roman"/>
          <w:szCs w:val="24"/>
        </w:rPr>
        <w:t xml:space="preserve"> in a dose-dependent manner compared to the PAE group. Histological analysis revealed improved neuronal density in the striatum and amygdala of theaflavin-treated groups.</w:t>
      </w:r>
      <w:r>
        <w:rPr>
          <w:rFonts w:cs="Times New Roman"/>
          <w:szCs w:val="24"/>
        </w:rPr>
        <w:t xml:space="preserve"> </w:t>
      </w:r>
      <w:r w:rsidR="008D10D7" w:rsidRPr="00483BDA">
        <w:rPr>
          <w:rFonts w:cs="Times New Roman"/>
          <w:szCs w:val="24"/>
        </w:rPr>
        <w:t xml:space="preserve">Theaflavin mitigated neuronal damage exerting </w:t>
      </w:r>
      <w:proofErr w:type="gramStart"/>
      <w:r w:rsidR="008D10D7" w:rsidRPr="00483BDA">
        <w:rPr>
          <w:rFonts w:cs="Times New Roman"/>
          <w:szCs w:val="24"/>
        </w:rPr>
        <w:t>it’s</w:t>
      </w:r>
      <w:proofErr w:type="gramEnd"/>
      <w:r w:rsidR="008D10D7" w:rsidRPr="00483BDA">
        <w:rPr>
          <w:rFonts w:cs="Times New Roman"/>
          <w:szCs w:val="24"/>
        </w:rPr>
        <w:t xml:space="preserve"> neuroprotective effects highlighting its potential as a therapeutic candidate for ADHD management.</w:t>
      </w:r>
    </w:p>
    <w:p w14:paraId="34DD2134" w14:textId="77777777" w:rsidR="008D10D7" w:rsidRDefault="008D10D7" w:rsidP="00FB0164">
      <w:pPr>
        <w:spacing w:after="0" w:line="360" w:lineRule="auto"/>
        <w:jc w:val="both"/>
        <w:rPr>
          <w:rFonts w:cs="Times New Roman"/>
          <w:szCs w:val="24"/>
        </w:rPr>
      </w:pPr>
    </w:p>
    <w:p w14:paraId="00B1D10E" w14:textId="2E0534C0" w:rsidR="00F75E2E" w:rsidRPr="00A90603" w:rsidRDefault="008D10D7" w:rsidP="00A90603">
      <w:pPr>
        <w:spacing w:after="0" w:line="360" w:lineRule="auto"/>
        <w:jc w:val="both"/>
        <w:rPr>
          <w:rFonts w:cs="Times New Roman"/>
          <w:szCs w:val="24"/>
        </w:rPr>
      </w:pPr>
      <w:r w:rsidRPr="00483BDA">
        <w:rPr>
          <w:rFonts w:cs="Times New Roman"/>
          <w:b/>
          <w:bCs/>
          <w:szCs w:val="24"/>
        </w:rPr>
        <w:t>Keywords:</w:t>
      </w:r>
      <w:r w:rsidRPr="00483BDA">
        <w:rPr>
          <w:rFonts w:cs="Times New Roman"/>
          <w:szCs w:val="24"/>
        </w:rPr>
        <w:t xml:space="preserve"> </w:t>
      </w:r>
      <w:r w:rsidRPr="00483BDA">
        <w:rPr>
          <w:rFonts w:cs="Times New Roman"/>
          <w:i/>
          <w:iCs/>
          <w:szCs w:val="24"/>
        </w:rPr>
        <w:t xml:space="preserve">Attention, </w:t>
      </w:r>
      <w:r>
        <w:rPr>
          <w:rFonts w:cs="Times New Roman"/>
          <w:i/>
          <w:iCs/>
          <w:szCs w:val="24"/>
        </w:rPr>
        <w:t>theaflavin</w:t>
      </w:r>
      <w:r w:rsidRPr="00483BDA">
        <w:rPr>
          <w:rFonts w:cs="Times New Roman"/>
          <w:i/>
          <w:iCs/>
          <w:szCs w:val="24"/>
        </w:rPr>
        <w:t>, hyperactivity, deficit, neurodevelopment.</w:t>
      </w:r>
    </w:p>
    <w:p w14:paraId="58A63F8D" w14:textId="0241A8B5" w:rsidR="0056666F" w:rsidRPr="00426534" w:rsidRDefault="00530049" w:rsidP="00A90603">
      <w:pPr>
        <w:pStyle w:val="ListParagraph"/>
        <w:numPr>
          <w:ilvl w:val="0"/>
          <w:numId w:val="5"/>
        </w:numPr>
        <w:spacing w:line="360" w:lineRule="auto"/>
        <w:ind w:left="270" w:hanging="270"/>
        <w:jc w:val="both"/>
        <w:rPr>
          <w:rFonts w:cs="Times New Roman"/>
          <w:b/>
          <w:bCs/>
          <w:szCs w:val="24"/>
        </w:rPr>
      </w:pPr>
      <w:r w:rsidRPr="00426534">
        <w:rPr>
          <w:rFonts w:cs="Times New Roman"/>
          <w:b/>
          <w:bCs/>
          <w:szCs w:val="24"/>
        </w:rPr>
        <w:t>INTRODUCTION</w:t>
      </w:r>
    </w:p>
    <w:p w14:paraId="7AF27448" w14:textId="0633CB45" w:rsidR="00A90603" w:rsidRPr="00426534" w:rsidRDefault="00A90603" w:rsidP="00794906">
      <w:pPr>
        <w:spacing w:line="360" w:lineRule="auto"/>
        <w:jc w:val="both"/>
        <w:rPr>
          <w:rFonts w:cs="Times New Roman"/>
          <w:szCs w:val="24"/>
        </w:rPr>
      </w:pPr>
      <w:r w:rsidRPr="00426534">
        <w:rPr>
          <w:rFonts w:cs="Times New Roman"/>
          <w:szCs w:val="24"/>
        </w:rPr>
        <w:lastRenderedPageBreak/>
        <w:t>Neurodevelopmental disorders are a group of conditions that begin in early childhood and involve impairments in the development and functioning of the brain and central nervous system</w:t>
      </w:r>
      <w:r w:rsidR="00CC77DF" w:rsidRPr="00426534">
        <w:rPr>
          <w:rFonts w:cs="Times New Roman"/>
          <w:szCs w:val="24"/>
        </w:rPr>
        <w:t xml:space="preserve"> (</w:t>
      </w:r>
      <w:proofErr w:type="spellStart"/>
      <w:r w:rsidR="00CC77DF" w:rsidRPr="00426534">
        <w:rPr>
          <w:rFonts w:cs="Times New Roman"/>
          <w:color w:val="222222"/>
          <w:szCs w:val="24"/>
          <w:shd w:val="clear" w:color="auto" w:fill="FFFFFF"/>
        </w:rPr>
        <w:t>Scattolin</w:t>
      </w:r>
      <w:proofErr w:type="spellEnd"/>
      <w:r w:rsidR="00CC77DF" w:rsidRPr="00426534">
        <w:rPr>
          <w:rFonts w:cs="Times New Roman"/>
          <w:color w:val="222222"/>
          <w:szCs w:val="24"/>
          <w:shd w:val="clear" w:color="auto" w:fill="FFFFFF"/>
        </w:rPr>
        <w:t xml:space="preserve"> et al., 2022; Gogineni et al., 2023)</w:t>
      </w:r>
      <w:r w:rsidRPr="00426534">
        <w:rPr>
          <w:rFonts w:cs="Times New Roman"/>
          <w:szCs w:val="24"/>
        </w:rPr>
        <w:t>. These disorders typically affect a person’s ability to learn, speak, move, behave, or socialize appropriately. They often become noticeable in infancy or early childhood and may persist throughout life. They include autism, attention deficit hyperactivity disorder, epilepsy, and intellectual disorders</w:t>
      </w:r>
      <w:r w:rsidR="00CC77DF" w:rsidRPr="00426534">
        <w:rPr>
          <w:rFonts w:cs="Times New Roman"/>
          <w:szCs w:val="24"/>
        </w:rPr>
        <w:t xml:space="preserve"> (</w:t>
      </w:r>
      <w:r w:rsidR="00CC77DF" w:rsidRPr="00426534">
        <w:rPr>
          <w:rFonts w:cs="Times New Roman"/>
          <w:color w:val="222222"/>
          <w:szCs w:val="24"/>
          <w:shd w:val="clear" w:color="auto" w:fill="FFFFFF"/>
        </w:rPr>
        <w:t xml:space="preserve">Visser et al., 2016; </w:t>
      </w:r>
      <w:proofErr w:type="spellStart"/>
      <w:r w:rsidR="00CC77DF" w:rsidRPr="00426534">
        <w:rPr>
          <w:rFonts w:cs="Times New Roman"/>
          <w:color w:val="222222"/>
          <w:szCs w:val="24"/>
          <w:shd w:val="clear" w:color="auto" w:fill="FFFFFF"/>
        </w:rPr>
        <w:t>Akpovwre</w:t>
      </w:r>
      <w:proofErr w:type="spellEnd"/>
      <w:r w:rsidR="00CC77DF" w:rsidRPr="00426534">
        <w:rPr>
          <w:rFonts w:cs="Times New Roman"/>
          <w:color w:val="222222"/>
          <w:szCs w:val="24"/>
          <w:shd w:val="clear" w:color="auto" w:fill="FFFFFF"/>
        </w:rPr>
        <w:t xml:space="preserve"> et al</w:t>
      </w:r>
      <w:r w:rsidR="00CC77DF" w:rsidRPr="00426534">
        <w:rPr>
          <w:rFonts w:cs="Times New Roman"/>
          <w:szCs w:val="24"/>
        </w:rPr>
        <w:t>., 2024)</w:t>
      </w:r>
      <w:r w:rsidRPr="00426534">
        <w:rPr>
          <w:rFonts w:cs="Times New Roman"/>
          <w:szCs w:val="24"/>
        </w:rPr>
        <w:t xml:space="preserve"> </w:t>
      </w:r>
    </w:p>
    <w:p w14:paraId="3F8B3CCF" w14:textId="6BC8A9AB" w:rsidR="0056666F" w:rsidRPr="00426534" w:rsidRDefault="0056666F" w:rsidP="00794906">
      <w:pPr>
        <w:spacing w:line="360" w:lineRule="auto"/>
        <w:jc w:val="both"/>
        <w:rPr>
          <w:rFonts w:cs="Times New Roman"/>
          <w:szCs w:val="24"/>
        </w:rPr>
      </w:pPr>
      <w:r w:rsidRPr="00426534">
        <w:rPr>
          <w:rFonts w:cs="Times New Roman"/>
          <w:szCs w:val="24"/>
        </w:rPr>
        <w:t xml:space="preserve">Attention-deficit/hyperactivity disorder (ADHD) is </w:t>
      </w:r>
      <w:r w:rsidR="00CC77DF" w:rsidRPr="00426534">
        <w:rPr>
          <w:rFonts w:cs="Times New Roman"/>
          <w:szCs w:val="24"/>
        </w:rPr>
        <w:t>one of the</w:t>
      </w:r>
      <w:r w:rsidRPr="00426534">
        <w:rPr>
          <w:rFonts w:cs="Times New Roman"/>
          <w:szCs w:val="24"/>
        </w:rPr>
        <w:t xml:space="preserve"> prevalent neurodevelopmental </w:t>
      </w:r>
      <w:r w:rsidR="00CC77DF" w:rsidRPr="00426534">
        <w:rPr>
          <w:rFonts w:cs="Times New Roman"/>
          <w:szCs w:val="24"/>
        </w:rPr>
        <w:t>disorders</w:t>
      </w:r>
      <w:r w:rsidRPr="00426534">
        <w:rPr>
          <w:rFonts w:cs="Times New Roman"/>
          <w:szCs w:val="24"/>
        </w:rPr>
        <w:t xml:space="preserve"> affecting children and adults</w:t>
      </w:r>
      <w:r w:rsidR="00CC77DF" w:rsidRPr="00426534">
        <w:rPr>
          <w:rFonts w:cs="Times New Roman"/>
          <w:szCs w:val="24"/>
        </w:rPr>
        <w:t xml:space="preserve"> (</w:t>
      </w:r>
      <w:r w:rsidR="00CC77DF" w:rsidRPr="00426534">
        <w:rPr>
          <w:rFonts w:cs="Times New Roman"/>
          <w:color w:val="222222"/>
          <w:szCs w:val="24"/>
          <w:shd w:val="clear" w:color="auto" w:fill="FFFFFF"/>
        </w:rPr>
        <w:t>Song et al., 2021)</w:t>
      </w:r>
      <w:r w:rsidRPr="00426534">
        <w:rPr>
          <w:rFonts w:cs="Times New Roman"/>
          <w:szCs w:val="24"/>
        </w:rPr>
        <w:t>. It is characterized by a persistent pattern of inattention, hyperactivity, and impulsivity that interferes with functioning and development</w:t>
      </w:r>
      <w:r w:rsidR="00CC77DF" w:rsidRPr="00426534">
        <w:rPr>
          <w:rFonts w:cs="Times New Roman"/>
          <w:szCs w:val="24"/>
        </w:rPr>
        <w:t xml:space="preserve"> (</w:t>
      </w:r>
      <w:r w:rsidR="00CC77DF" w:rsidRPr="00426534">
        <w:rPr>
          <w:rFonts w:cs="Times New Roman"/>
          <w:color w:val="222222"/>
          <w:szCs w:val="24"/>
          <w:shd w:val="clear" w:color="auto" w:fill="FFFFFF"/>
        </w:rPr>
        <w:t>Frank-Briggs, 2011)</w:t>
      </w:r>
      <w:r w:rsidRPr="00426534">
        <w:rPr>
          <w:rFonts w:cs="Times New Roman"/>
          <w:szCs w:val="24"/>
        </w:rPr>
        <w:t>. These core symptoms can manifest in various ways, including difficulty focusing on tasks, excessive fidgeting, interrupting others, and acting without thinking</w:t>
      </w:r>
      <w:r w:rsidR="00CC77DF" w:rsidRPr="00426534">
        <w:rPr>
          <w:rFonts w:cs="Times New Roman"/>
          <w:szCs w:val="24"/>
        </w:rPr>
        <w:t xml:space="preserve"> (</w:t>
      </w:r>
      <w:proofErr w:type="spellStart"/>
      <w:r w:rsidR="00CC77DF" w:rsidRPr="00426534">
        <w:rPr>
          <w:rFonts w:cs="Times New Roman"/>
          <w:color w:val="222222"/>
          <w:szCs w:val="24"/>
          <w:shd w:val="clear" w:color="auto" w:fill="FFFFFF"/>
        </w:rPr>
        <w:t>Alsaied</w:t>
      </w:r>
      <w:proofErr w:type="spellEnd"/>
      <w:r w:rsidR="00CC77DF" w:rsidRPr="00426534">
        <w:rPr>
          <w:rFonts w:cs="Times New Roman"/>
          <w:color w:val="222222"/>
          <w:szCs w:val="24"/>
          <w:shd w:val="clear" w:color="auto" w:fill="FFFFFF"/>
        </w:rPr>
        <w:t>, (2024)</w:t>
      </w:r>
      <w:r w:rsidRPr="00426534">
        <w:rPr>
          <w:rFonts w:cs="Times New Roman"/>
          <w:szCs w:val="24"/>
        </w:rPr>
        <w:t xml:space="preserve">. While the </w:t>
      </w:r>
      <w:r w:rsidR="0051605E" w:rsidRPr="00426534">
        <w:rPr>
          <w:rFonts w:cs="Times New Roman"/>
          <w:szCs w:val="24"/>
        </w:rPr>
        <w:t>etiology</w:t>
      </w:r>
      <w:r w:rsidRPr="00426534">
        <w:rPr>
          <w:rFonts w:cs="Times New Roman"/>
          <w:szCs w:val="24"/>
        </w:rPr>
        <w:t xml:space="preserve"> of ADHD </w:t>
      </w:r>
      <w:r w:rsidR="0051605E" w:rsidRPr="00426534">
        <w:rPr>
          <w:rFonts w:cs="Times New Roman"/>
          <w:szCs w:val="24"/>
        </w:rPr>
        <w:t>is</w:t>
      </w:r>
      <w:r w:rsidRPr="00426534">
        <w:rPr>
          <w:rFonts w:cs="Times New Roman"/>
          <w:szCs w:val="24"/>
        </w:rPr>
        <w:t xml:space="preserve"> complex and multifactorial, genetic and environmental factors are believed to play significant roles</w:t>
      </w:r>
      <w:r w:rsidR="00CC77DF" w:rsidRPr="00426534">
        <w:rPr>
          <w:rFonts w:cs="Times New Roman"/>
          <w:szCs w:val="24"/>
        </w:rPr>
        <w:t xml:space="preserve"> (</w:t>
      </w:r>
      <w:r w:rsidR="00CC77DF" w:rsidRPr="00426534">
        <w:rPr>
          <w:rFonts w:cs="Times New Roman"/>
          <w:color w:val="222222"/>
          <w:szCs w:val="24"/>
          <w:shd w:val="clear" w:color="auto" w:fill="FFFFFF"/>
        </w:rPr>
        <w:t xml:space="preserve">Al‐Gailani et al., 2024; </w:t>
      </w:r>
      <w:proofErr w:type="spellStart"/>
      <w:r w:rsidR="00CC77DF" w:rsidRPr="00426534">
        <w:rPr>
          <w:rFonts w:cs="Times New Roman"/>
          <w:color w:val="222222"/>
          <w:szCs w:val="24"/>
          <w:shd w:val="clear" w:color="auto" w:fill="FFFFFF"/>
        </w:rPr>
        <w:t>Tistarelli</w:t>
      </w:r>
      <w:proofErr w:type="spellEnd"/>
      <w:r w:rsidR="00CC77DF" w:rsidRPr="00426534">
        <w:rPr>
          <w:rFonts w:cs="Times New Roman"/>
          <w:color w:val="222222"/>
          <w:szCs w:val="24"/>
          <w:shd w:val="clear" w:color="auto" w:fill="FFFFFF"/>
        </w:rPr>
        <w:t xml:space="preserve"> et al., 2020)</w:t>
      </w:r>
      <w:r w:rsidRPr="00426534">
        <w:rPr>
          <w:rFonts w:cs="Times New Roman"/>
          <w:szCs w:val="24"/>
        </w:rPr>
        <w:t>.</w:t>
      </w:r>
      <w:r w:rsidR="00CC77DF" w:rsidRPr="00426534">
        <w:rPr>
          <w:rFonts w:cs="Times New Roman"/>
          <w:szCs w:val="24"/>
        </w:rPr>
        <w:t xml:space="preserve"> </w:t>
      </w:r>
      <w:r w:rsidRPr="00426534">
        <w:rPr>
          <w:rFonts w:cs="Times New Roman"/>
          <w:szCs w:val="24"/>
        </w:rPr>
        <w:t>Prenatal alcohol exposure (PAE) has been implicated as a potential environmental risk factor contributing to the development of ADHD-like symptoms</w:t>
      </w:r>
      <w:r w:rsidR="00CC77DF" w:rsidRPr="00426534">
        <w:rPr>
          <w:rFonts w:cs="Times New Roman"/>
          <w:szCs w:val="24"/>
        </w:rPr>
        <w:t xml:space="preserve"> (</w:t>
      </w:r>
      <w:r w:rsidR="00CC77DF" w:rsidRPr="00426534">
        <w:rPr>
          <w:rFonts w:cs="Times New Roman"/>
          <w:color w:val="222222"/>
          <w:szCs w:val="24"/>
          <w:shd w:val="clear" w:color="auto" w:fill="FFFFFF"/>
        </w:rPr>
        <w:t>Popa et al., 2024)</w:t>
      </w:r>
      <w:r w:rsidRPr="00426534">
        <w:rPr>
          <w:rFonts w:cs="Times New Roman"/>
          <w:szCs w:val="24"/>
        </w:rPr>
        <w:t>. Alcohol readily crosses the placental barrier and disrupts critical neurodevelopmental processes, impacting brain structure and function</w:t>
      </w:r>
      <w:r w:rsidR="00CC77DF" w:rsidRPr="00426534">
        <w:rPr>
          <w:rFonts w:cs="Times New Roman"/>
          <w:szCs w:val="24"/>
        </w:rPr>
        <w:t xml:space="preserve"> (</w:t>
      </w:r>
      <w:r w:rsidR="00CC77DF" w:rsidRPr="00426534">
        <w:rPr>
          <w:rFonts w:cs="Times New Roman"/>
          <w:color w:val="222222"/>
          <w:szCs w:val="24"/>
          <w:shd w:val="clear" w:color="auto" w:fill="FFFFFF"/>
        </w:rPr>
        <w:t>González-Flores et al., 2024</w:t>
      </w:r>
      <w:r w:rsidR="0082396A" w:rsidRPr="00426534">
        <w:rPr>
          <w:rFonts w:cs="Times New Roman"/>
          <w:color w:val="222222"/>
          <w:szCs w:val="24"/>
          <w:shd w:val="clear" w:color="auto" w:fill="FFFFFF"/>
        </w:rPr>
        <w:t>)</w:t>
      </w:r>
      <w:r w:rsidRPr="00426534">
        <w:rPr>
          <w:rFonts w:cs="Times New Roman"/>
          <w:szCs w:val="24"/>
        </w:rPr>
        <w:t>. This disruption can lead to a range of cognitive and behavioral deficits in offspring, including difficulties with attention, impulse control, and motor activity, which closely resemble ADHD symptoms</w:t>
      </w:r>
      <w:r w:rsidR="0082396A" w:rsidRPr="00426534">
        <w:rPr>
          <w:rFonts w:cs="Times New Roman"/>
          <w:szCs w:val="24"/>
        </w:rPr>
        <w:t xml:space="preserve"> (</w:t>
      </w:r>
      <w:r w:rsidR="0082396A" w:rsidRPr="00426534">
        <w:rPr>
          <w:rFonts w:cs="Times New Roman"/>
          <w:color w:val="222222"/>
          <w:szCs w:val="24"/>
          <w:shd w:val="clear" w:color="auto" w:fill="FFFFFF"/>
        </w:rPr>
        <w:t>Aliabad et al., 2024; Montalva-Valenzuela et al., 2022)</w:t>
      </w:r>
      <w:r w:rsidRPr="00426534">
        <w:rPr>
          <w:rFonts w:cs="Times New Roman"/>
          <w:szCs w:val="24"/>
        </w:rPr>
        <w:t>.</w:t>
      </w:r>
    </w:p>
    <w:p w14:paraId="759F595C" w14:textId="0A540D70" w:rsidR="0056666F" w:rsidRPr="00426534" w:rsidRDefault="0056666F" w:rsidP="00794906">
      <w:pPr>
        <w:spacing w:line="360" w:lineRule="auto"/>
        <w:jc w:val="both"/>
        <w:rPr>
          <w:rFonts w:cs="Times New Roman"/>
          <w:szCs w:val="24"/>
        </w:rPr>
      </w:pPr>
      <w:r w:rsidRPr="00426534">
        <w:rPr>
          <w:rFonts w:cs="Times New Roman"/>
          <w:szCs w:val="24"/>
        </w:rPr>
        <w:t xml:space="preserve">Animal studies provide valuable insights into the neurobiological mechanisms underlying the association between PAE and ADHD-like </w:t>
      </w:r>
      <w:proofErr w:type="spellStart"/>
      <w:r w:rsidRPr="00426534">
        <w:rPr>
          <w:rFonts w:cs="Times New Roman"/>
          <w:szCs w:val="24"/>
        </w:rPr>
        <w:t>behavio</w:t>
      </w:r>
      <w:r w:rsidR="0082396A" w:rsidRPr="00426534">
        <w:rPr>
          <w:rFonts w:cs="Times New Roman"/>
          <w:szCs w:val="24"/>
        </w:rPr>
        <w:t>u</w:t>
      </w:r>
      <w:r w:rsidRPr="00426534">
        <w:rPr>
          <w:rFonts w:cs="Times New Roman"/>
          <w:szCs w:val="24"/>
        </w:rPr>
        <w:t>rs</w:t>
      </w:r>
      <w:proofErr w:type="spellEnd"/>
      <w:r w:rsidR="0082396A" w:rsidRPr="00426534">
        <w:rPr>
          <w:rFonts w:cs="Times New Roman"/>
          <w:szCs w:val="24"/>
        </w:rPr>
        <w:t xml:space="preserve"> (</w:t>
      </w:r>
      <w:proofErr w:type="spellStart"/>
      <w:r w:rsidR="0082396A" w:rsidRPr="00426534">
        <w:rPr>
          <w:rFonts w:cs="Times New Roman"/>
          <w:color w:val="222222"/>
          <w:szCs w:val="24"/>
          <w:shd w:val="clear" w:color="auto" w:fill="FFFFFF"/>
        </w:rPr>
        <w:t>Bogdańska-Chomczyk</w:t>
      </w:r>
      <w:proofErr w:type="spellEnd"/>
      <w:r w:rsidR="0082396A" w:rsidRPr="00426534">
        <w:rPr>
          <w:rFonts w:cs="Times New Roman"/>
          <w:color w:val="222222"/>
          <w:szCs w:val="24"/>
          <w:shd w:val="clear" w:color="auto" w:fill="FFFFFF"/>
        </w:rPr>
        <w:t xml:space="preserve"> et al., 2024)</w:t>
      </w:r>
      <w:r w:rsidRPr="00426534">
        <w:rPr>
          <w:rFonts w:cs="Times New Roman"/>
          <w:szCs w:val="24"/>
        </w:rPr>
        <w:t xml:space="preserve">. Researchers use animal models to investigate the specific effects of PAE on brain development and </w:t>
      </w:r>
      <w:proofErr w:type="spellStart"/>
      <w:r w:rsidRPr="00426534">
        <w:rPr>
          <w:rFonts w:cs="Times New Roman"/>
          <w:szCs w:val="24"/>
        </w:rPr>
        <w:t>behavio</w:t>
      </w:r>
      <w:r w:rsidR="00B426B9" w:rsidRPr="00426534">
        <w:rPr>
          <w:rFonts w:cs="Times New Roman"/>
          <w:szCs w:val="24"/>
        </w:rPr>
        <w:t>u</w:t>
      </w:r>
      <w:r w:rsidRPr="00426534">
        <w:rPr>
          <w:rFonts w:cs="Times New Roman"/>
          <w:szCs w:val="24"/>
        </w:rPr>
        <w:t>r</w:t>
      </w:r>
      <w:proofErr w:type="spellEnd"/>
      <w:r w:rsidRPr="00426534">
        <w:rPr>
          <w:rFonts w:cs="Times New Roman"/>
          <w:szCs w:val="24"/>
        </w:rPr>
        <w:t xml:space="preserve"> in a controlled environment</w:t>
      </w:r>
      <w:r w:rsidR="0082396A" w:rsidRPr="00426534">
        <w:rPr>
          <w:rFonts w:cs="Times New Roman"/>
          <w:szCs w:val="24"/>
        </w:rPr>
        <w:t xml:space="preserve"> (</w:t>
      </w:r>
      <w:r w:rsidR="0082396A" w:rsidRPr="00426534">
        <w:rPr>
          <w:rFonts w:cs="Times New Roman"/>
          <w:color w:val="222222"/>
          <w:szCs w:val="24"/>
          <w:shd w:val="clear" w:color="auto" w:fill="FFFFFF"/>
        </w:rPr>
        <w:t>Kim et al., 2024)</w:t>
      </w:r>
      <w:r w:rsidRPr="00426534">
        <w:rPr>
          <w:rFonts w:cs="Times New Roman"/>
          <w:szCs w:val="24"/>
        </w:rPr>
        <w:t>. These studies have consistently demonstrated that PAE results in hyperactivity, attentional deficits, and impulsivity, mirroring the core symptoms of ADHD observed in humans.</w:t>
      </w:r>
      <w:r w:rsidR="00B426B9" w:rsidRPr="00426534">
        <w:rPr>
          <w:rFonts w:cs="Times New Roman"/>
          <w:szCs w:val="24"/>
        </w:rPr>
        <w:t xml:space="preserve"> </w:t>
      </w:r>
      <w:r w:rsidR="0082396A" w:rsidRPr="00426534">
        <w:rPr>
          <w:rFonts w:cs="Times New Roman"/>
          <w:color w:val="222222"/>
          <w:szCs w:val="24"/>
          <w:shd w:val="clear" w:color="auto" w:fill="FFFFFF"/>
        </w:rPr>
        <w:t>Andreu-Fernández</w:t>
      </w:r>
      <w:r w:rsidRPr="00426534">
        <w:rPr>
          <w:rFonts w:cs="Times New Roman"/>
          <w:szCs w:val="24"/>
        </w:rPr>
        <w:t xml:space="preserve"> et al.</w:t>
      </w:r>
      <w:r w:rsidR="00B426B9" w:rsidRPr="00426534">
        <w:rPr>
          <w:rFonts w:cs="Times New Roman"/>
          <w:szCs w:val="24"/>
        </w:rPr>
        <w:t xml:space="preserve">, </w:t>
      </w:r>
      <w:r w:rsidRPr="00426534">
        <w:rPr>
          <w:rFonts w:cs="Times New Roman"/>
          <w:szCs w:val="24"/>
        </w:rPr>
        <w:t>(20</w:t>
      </w:r>
      <w:r w:rsidR="0082396A" w:rsidRPr="00426534">
        <w:rPr>
          <w:rFonts w:cs="Times New Roman"/>
          <w:szCs w:val="24"/>
        </w:rPr>
        <w:t>2</w:t>
      </w:r>
      <w:r w:rsidRPr="00426534">
        <w:rPr>
          <w:rFonts w:cs="Times New Roman"/>
          <w:szCs w:val="24"/>
        </w:rPr>
        <w:t xml:space="preserve">4) observed increased locomotor activity and attentional challenges </w:t>
      </w:r>
      <w:r w:rsidR="00B426B9" w:rsidRPr="00426534">
        <w:rPr>
          <w:rFonts w:cs="Times New Roman"/>
          <w:szCs w:val="24"/>
        </w:rPr>
        <w:t>in</w:t>
      </w:r>
      <w:r w:rsidRPr="00426534">
        <w:rPr>
          <w:rFonts w:cs="Times New Roman"/>
          <w:szCs w:val="24"/>
        </w:rPr>
        <w:t xml:space="preserve"> </w:t>
      </w:r>
      <w:r w:rsidR="00B426B9" w:rsidRPr="00426534">
        <w:rPr>
          <w:rFonts w:cs="Times New Roman"/>
          <w:szCs w:val="24"/>
        </w:rPr>
        <w:t xml:space="preserve">rats </w:t>
      </w:r>
      <w:r w:rsidRPr="00426534">
        <w:rPr>
          <w:rFonts w:cs="Times New Roman"/>
          <w:szCs w:val="24"/>
        </w:rPr>
        <w:t xml:space="preserve">prenatally exposed to ethanol, providing further evidence for the detrimental impact of alcohol on brain development and supporting the use of this model for studying ADHD-related </w:t>
      </w:r>
      <w:proofErr w:type="spellStart"/>
      <w:r w:rsidRPr="00426534">
        <w:rPr>
          <w:rFonts w:cs="Times New Roman"/>
          <w:szCs w:val="24"/>
        </w:rPr>
        <w:t>behavio</w:t>
      </w:r>
      <w:r w:rsidR="0082396A" w:rsidRPr="00426534">
        <w:rPr>
          <w:rFonts w:cs="Times New Roman"/>
          <w:szCs w:val="24"/>
        </w:rPr>
        <w:t>u</w:t>
      </w:r>
      <w:r w:rsidRPr="00426534">
        <w:rPr>
          <w:rFonts w:cs="Times New Roman"/>
          <w:szCs w:val="24"/>
        </w:rPr>
        <w:t>rs</w:t>
      </w:r>
      <w:proofErr w:type="spellEnd"/>
      <w:r w:rsidRPr="00426534">
        <w:rPr>
          <w:rFonts w:cs="Times New Roman"/>
          <w:szCs w:val="24"/>
        </w:rPr>
        <w:t xml:space="preserve">. </w:t>
      </w:r>
    </w:p>
    <w:p w14:paraId="7655D6E4" w14:textId="3D2CB97F" w:rsidR="0056666F" w:rsidRPr="0056666F" w:rsidRDefault="0056666F" w:rsidP="00794906">
      <w:pPr>
        <w:spacing w:line="360" w:lineRule="auto"/>
        <w:jc w:val="both"/>
        <w:rPr>
          <w:rFonts w:cs="Times New Roman"/>
          <w:szCs w:val="24"/>
        </w:rPr>
      </w:pPr>
      <w:r w:rsidRPr="00426534">
        <w:rPr>
          <w:rFonts w:cs="Times New Roman"/>
          <w:szCs w:val="24"/>
        </w:rPr>
        <w:lastRenderedPageBreak/>
        <w:t>This research underscores the potential for PAE to serve as a valid model for investigating the neurobiological underpinnings and potential treatment strategies for ADHD and related neurodevelopmental disorders. Understanding the link between PAE and ADHD-like symptoms is crucial for developing prevention strategies and interventions aimed at minimizing the adverse effects of prenatal alcohol exposure on child development.</w:t>
      </w:r>
    </w:p>
    <w:p w14:paraId="70FB1886" w14:textId="65D12A0E" w:rsidR="0056666F" w:rsidRPr="0056666F" w:rsidRDefault="0051605E" w:rsidP="00794906">
      <w:pPr>
        <w:spacing w:line="360" w:lineRule="auto"/>
        <w:jc w:val="both"/>
        <w:rPr>
          <w:rFonts w:cs="Times New Roman"/>
          <w:szCs w:val="24"/>
        </w:rPr>
      </w:pPr>
      <w:r w:rsidRPr="00426534">
        <w:rPr>
          <w:rFonts w:cs="Times New Roman"/>
          <w:szCs w:val="24"/>
        </w:rPr>
        <w:t>T</w:t>
      </w:r>
      <w:r w:rsidR="0056666F" w:rsidRPr="00426534">
        <w:rPr>
          <w:rFonts w:cs="Times New Roman"/>
          <w:szCs w:val="24"/>
        </w:rPr>
        <w:t>heaflavins, complex polyphenolic compounds formed during the fermentation process of black tea, are increasingly recognized for their potential neuroprotective benefits</w:t>
      </w:r>
      <w:r w:rsidR="0082396A" w:rsidRPr="00426534">
        <w:rPr>
          <w:rFonts w:cs="Times New Roman"/>
          <w:szCs w:val="24"/>
        </w:rPr>
        <w:t xml:space="preserve"> (</w:t>
      </w:r>
      <w:proofErr w:type="spellStart"/>
      <w:r w:rsidR="0082396A" w:rsidRPr="00426534">
        <w:rPr>
          <w:rFonts w:cs="Times New Roman"/>
          <w:color w:val="222222"/>
          <w:szCs w:val="24"/>
          <w:shd w:val="clear" w:color="auto" w:fill="FFFFFF"/>
        </w:rPr>
        <w:t>Akpovwre</w:t>
      </w:r>
      <w:proofErr w:type="spellEnd"/>
      <w:r w:rsidR="0082396A" w:rsidRPr="00426534">
        <w:rPr>
          <w:rFonts w:cs="Times New Roman"/>
          <w:color w:val="222222"/>
          <w:szCs w:val="24"/>
          <w:shd w:val="clear" w:color="auto" w:fill="FFFFFF"/>
        </w:rPr>
        <w:t xml:space="preserve"> et al., 2024; Alavi et al., 2025)</w:t>
      </w:r>
      <w:r w:rsidR="0056666F" w:rsidRPr="00426534">
        <w:rPr>
          <w:rFonts w:cs="Times New Roman"/>
          <w:szCs w:val="24"/>
        </w:rPr>
        <w:t>. These compounds are potent antioxidants and possess significant anti-inflammatory capabilities, both of which are critically important in counteracting neuroinflammation</w:t>
      </w:r>
      <w:r w:rsidR="0082396A" w:rsidRPr="00426534">
        <w:rPr>
          <w:rFonts w:cs="Times New Roman"/>
          <w:szCs w:val="24"/>
        </w:rPr>
        <w:t xml:space="preserve"> (</w:t>
      </w:r>
      <w:r w:rsidR="0082396A" w:rsidRPr="00426534">
        <w:rPr>
          <w:rFonts w:cs="Times New Roman"/>
          <w:color w:val="222222"/>
          <w:szCs w:val="24"/>
          <w:shd w:val="clear" w:color="auto" w:fill="FFFFFF"/>
        </w:rPr>
        <w:t>Liu et al., 2024)</w:t>
      </w:r>
      <w:r w:rsidR="0056666F" w:rsidRPr="00426534">
        <w:rPr>
          <w:rFonts w:cs="Times New Roman"/>
          <w:szCs w:val="24"/>
        </w:rPr>
        <w:t>. Neuroinflammation, a hallmark of many neurological disorders, including those related to prenatal alcohol exposure (PAE), involves the activation of immune cells in the brain and the release of inflammatory molecules</w:t>
      </w:r>
      <w:r w:rsidR="0082396A" w:rsidRPr="00426534">
        <w:rPr>
          <w:rFonts w:cs="Times New Roman"/>
          <w:szCs w:val="24"/>
        </w:rPr>
        <w:t xml:space="preserve"> (</w:t>
      </w:r>
      <w:r w:rsidR="0082396A" w:rsidRPr="00426534">
        <w:rPr>
          <w:rFonts w:cs="Times New Roman"/>
          <w:color w:val="222222"/>
          <w:szCs w:val="24"/>
          <w:shd w:val="clear" w:color="auto" w:fill="FFFFFF"/>
        </w:rPr>
        <w:t>Padilla-</w:t>
      </w:r>
      <w:proofErr w:type="gramStart"/>
      <w:r w:rsidR="0082396A" w:rsidRPr="00426534">
        <w:rPr>
          <w:rFonts w:cs="Times New Roman"/>
          <w:color w:val="222222"/>
          <w:szCs w:val="24"/>
          <w:shd w:val="clear" w:color="auto" w:fill="FFFFFF"/>
        </w:rPr>
        <w:t>Valdez  et al.</w:t>
      </w:r>
      <w:proofErr w:type="gramEnd"/>
      <w:r w:rsidR="0082396A" w:rsidRPr="00426534">
        <w:rPr>
          <w:rFonts w:cs="Times New Roman"/>
          <w:color w:val="222222"/>
          <w:szCs w:val="24"/>
          <w:shd w:val="clear" w:color="auto" w:fill="FFFFFF"/>
        </w:rPr>
        <w:t>, 2024; Zeng et al., 2024)</w:t>
      </w:r>
      <w:r w:rsidR="0056666F" w:rsidRPr="00426534">
        <w:rPr>
          <w:rFonts w:cs="Times New Roman"/>
          <w:szCs w:val="24"/>
        </w:rPr>
        <w:t>. Emerging research suggests that theaflavins can play a therapeutic role in mitigating the detrimental effects of neuroinflammation. Specifically, studies in animal models have shown that theaflavins are capable of ameliorating cognitive impairments, such as memory deficits and learning difficulties</w:t>
      </w:r>
      <w:r w:rsidR="0082396A" w:rsidRPr="00426534">
        <w:rPr>
          <w:rFonts w:cs="Times New Roman"/>
          <w:szCs w:val="24"/>
        </w:rPr>
        <w:t xml:space="preserve"> (</w:t>
      </w:r>
      <w:proofErr w:type="spellStart"/>
      <w:r w:rsidR="0082396A" w:rsidRPr="00426534">
        <w:rPr>
          <w:rFonts w:cs="Times New Roman"/>
          <w:color w:val="222222"/>
          <w:szCs w:val="24"/>
          <w:shd w:val="clear" w:color="auto" w:fill="FFFFFF"/>
        </w:rPr>
        <w:t>Akpovwre</w:t>
      </w:r>
      <w:proofErr w:type="spellEnd"/>
      <w:r w:rsidR="0082396A" w:rsidRPr="00426534">
        <w:rPr>
          <w:rFonts w:cs="Times New Roman"/>
          <w:color w:val="222222"/>
          <w:szCs w:val="24"/>
          <w:shd w:val="clear" w:color="auto" w:fill="FFFFFF"/>
        </w:rPr>
        <w:t xml:space="preserve"> et al., 2024)</w:t>
      </w:r>
      <w:r w:rsidR="0056666F" w:rsidRPr="00426534">
        <w:rPr>
          <w:rFonts w:cs="Times New Roman"/>
          <w:szCs w:val="24"/>
        </w:rPr>
        <w:t xml:space="preserve">, and reducing depressive-like </w:t>
      </w:r>
      <w:proofErr w:type="spellStart"/>
      <w:r w:rsidR="0056666F" w:rsidRPr="00426534">
        <w:rPr>
          <w:rFonts w:cs="Times New Roman"/>
          <w:szCs w:val="24"/>
        </w:rPr>
        <w:t>behavio</w:t>
      </w:r>
      <w:r w:rsidR="0082396A" w:rsidRPr="00426534">
        <w:rPr>
          <w:rFonts w:cs="Times New Roman"/>
          <w:szCs w:val="24"/>
        </w:rPr>
        <w:t>u</w:t>
      </w:r>
      <w:r w:rsidR="0056666F" w:rsidRPr="00426534">
        <w:rPr>
          <w:rFonts w:cs="Times New Roman"/>
          <w:szCs w:val="24"/>
        </w:rPr>
        <w:t>rs</w:t>
      </w:r>
      <w:proofErr w:type="spellEnd"/>
      <w:r w:rsidR="0056666F" w:rsidRPr="00426534">
        <w:rPr>
          <w:rFonts w:cs="Times New Roman"/>
          <w:szCs w:val="24"/>
        </w:rPr>
        <w:t xml:space="preserve"> often associated with conditions like PAE</w:t>
      </w:r>
      <w:r w:rsidR="0082396A" w:rsidRPr="00426534">
        <w:rPr>
          <w:rFonts w:cs="Times New Roman"/>
          <w:szCs w:val="24"/>
        </w:rPr>
        <w:t xml:space="preserve"> (</w:t>
      </w:r>
      <w:r w:rsidR="0082396A" w:rsidRPr="00426534">
        <w:rPr>
          <w:rFonts w:cs="Times New Roman"/>
          <w:color w:val="222222"/>
          <w:szCs w:val="24"/>
          <w:shd w:val="clear" w:color="auto" w:fill="FFFFFF"/>
        </w:rPr>
        <w:t>Wang et al., 2024)</w:t>
      </w:r>
      <w:r w:rsidR="0056666F" w:rsidRPr="00426534">
        <w:rPr>
          <w:rFonts w:cs="Times New Roman"/>
          <w:szCs w:val="24"/>
        </w:rPr>
        <w:t>. This protective effect appears to be mediated, at least in part, by theaflavins' ability to modulate microglial activation</w:t>
      </w:r>
      <w:r w:rsidR="0082396A" w:rsidRPr="00426534">
        <w:rPr>
          <w:rFonts w:cs="Times New Roman"/>
          <w:szCs w:val="24"/>
        </w:rPr>
        <w:t xml:space="preserve"> (</w:t>
      </w:r>
      <w:r w:rsidR="0082396A" w:rsidRPr="00426534">
        <w:rPr>
          <w:rFonts w:cs="Times New Roman"/>
          <w:color w:val="222222"/>
          <w:szCs w:val="24"/>
          <w:shd w:val="clear" w:color="auto" w:fill="FFFFFF"/>
        </w:rPr>
        <w:t>Farkhondeh et al., 2022)</w:t>
      </w:r>
      <w:r w:rsidR="0056666F" w:rsidRPr="00426534">
        <w:rPr>
          <w:rFonts w:cs="Times New Roman"/>
          <w:szCs w:val="24"/>
        </w:rPr>
        <w:t>. Microglia, the resident immune cells of the brain, can become over-activated in inflammatory conditions, exacerbating neuronal damage</w:t>
      </w:r>
      <w:r w:rsidR="0082396A" w:rsidRPr="00426534">
        <w:rPr>
          <w:rFonts w:cs="Times New Roman"/>
          <w:szCs w:val="24"/>
        </w:rPr>
        <w:t xml:space="preserve"> (</w:t>
      </w:r>
      <w:r w:rsidR="0082396A" w:rsidRPr="00426534">
        <w:rPr>
          <w:rFonts w:cs="Times New Roman"/>
          <w:color w:val="222222"/>
          <w:szCs w:val="24"/>
          <w:shd w:val="clear" w:color="auto" w:fill="FFFFFF"/>
        </w:rPr>
        <w:t>Bi et al., 2021)</w:t>
      </w:r>
      <w:r w:rsidR="0056666F" w:rsidRPr="00426534">
        <w:rPr>
          <w:rFonts w:cs="Times New Roman"/>
          <w:szCs w:val="24"/>
        </w:rPr>
        <w:t>. Theaflavins appear to dampen this over-activation, thereby reducing the levels of pro-inflammatory cytokines – signaling molecules that contribute to the inflammatory cascade</w:t>
      </w:r>
      <w:r w:rsidR="0082396A" w:rsidRPr="00426534">
        <w:rPr>
          <w:rFonts w:cs="Times New Roman"/>
          <w:szCs w:val="24"/>
        </w:rPr>
        <w:t xml:space="preserve"> (</w:t>
      </w:r>
      <w:r w:rsidR="0082396A" w:rsidRPr="00426534">
        <w:rPr>
          <w:rFonts w:cs="Times New Roman"/>
          <w:color w:val="222222"/>
          <w:szCs w:val="24"/>
          <w:shd w:val="clear" w:color="auto" w:fill="FFFFFF"/>
        </w:rPr>
        <w:t>Maiti et al., 2022)</w:t>
      </w:r>
      <w:r w:rsidR="0056666F" w:rsidRPr="00426534">
        <w:rPr>
          <w:rFonts w:cs="Times New Roman"/>
          <w:szCs w:val="24"/>
        </w:rPr>
        <w:t xml:space="preserve">. </w:t>
      </w:r>
      <w:r w:rsidR="0053371C" w:rsidRPr="00426534">
        <w:rPr>
          <w:rFonts w:cs="Times New Roman"/>
          <w:szCs w:val="24"/>
        </w:rPr>
        <w:t>According to the</w:t>
      </w:r>
      <w:r w:rsidR="0056666F" w:rsidRPr="00426534">
        <w:rPr>
          <w:rFonts w:cs="Times New Roman"/>
          <w:szCs w:val="24"/>
        </w:rPr>
        <w:t xml:space="preserve"> study conducted by Unno et al. (2019) administration of theaflavins effectively improved memory deficits and significantly reduced inflammation-induced behavioral changes in a mouse model, highlighting the promising potential of these compounds in combating neurological dysfunction linked to inflammation.</w:t>
      </w:r>
    </w:p>
    <w:p w14:paraId="3482BC22" w14:textId="2522D6BB" w:rsidR="00247447" w:rsidRPr="00426534" w:rsidRDefault="0056666F" w:rsidP="00794906">
      <w:pPr>
        <w:spacing w:line="360" w:lineRule="auto"/>
        <w:jc w:val="both"/>
        <w:rPr>
          <w:rFonts w:cs="Times New Roman"/>
          <w:szCs w:val="24"/>
        </w:rPr>
      </w:pPr>
      <w:r w:rsidRPr="0056666F">
        <w:rPr>
          <w:rFonts w:cs="Times New Roman"/>
          <w:szCs w:val="24"/>
        </w:rPr>
        <w:t xml:space="preserve">Given the </w:t>
      </w:r>
      <w:proofErr w:type="spellStart"/>
      <w:r w:rsidRPr="0056666F">
        <w:rPr>
          <w:rFonts w:cs="Times New Roman"/>
          <w:szCs w:val="24"/>
        </w:rPr>
        <w:t>behavio</w:t>
      </w:r>
      <w:r w:rsidR="0053371C" w:rsidRPr="00426534">
        <w:rPr>
          <w:rFonts w:cs="Times New Roman"/>
          <w:szCs w:val="24"/>
        </w:rPr>
        <w:t>u</w:t>
      </w:r>
      <w:r w:rsidRPr="0056666F">
        <w:rPr>
          <w:rFonts w:cs="Times New Roman"/>
          <w:szCs w:val="24"/>
        </w:rPr>
        <w:t>ral</w:t>
      </w:r>
      <w:proofErr w:type="spellEnd"/>
      <w:r w:rsidRPr="0056666F">
        <w:rPr>
          <w:rFonts w:cs="Times New Roman"/>
          <w:szCs w:val="24"/>
        </w:rPr>
        <w:t xml:space="preserve"> parallels between PAE-induced deficits and ADHD symptoms, investigating the potential of theaflavins to attenuate hyperactivity and cognitive impairments in a rodent model of PAE-induced ADHD is warranted. </w:t>
      </w:r>
      <w:r w:rsidR="002D571D" w:rsidRPr="00426534">
        <w:rPr>
          <w:rFonts w:cs="Times New Roman"/>
          <w:szCs w:val="24"/>
        </w:rPr>
        <w:t xml:space="preserve">Thus, this </w:t>
      </w:r>
      <w:r w:rsidRPr="0056666F">
        <w:rPr>
          <w:rFonts w:cs="Times New Roman"/>
          <w:szCs w:val="24"/>
        </w:rPr>
        <w:t xml:space="preserve">study aims to explore the efficacy </w:t>
      </w:r>
      <w:r w:rsidRPr="0056666F">
        <w:rPr>
          <w:rFonts w:cs="Times New Roman"/>
          <w:szCs w:val="24"/>
        </w:rPr>
        <w:lastRenderedPageBreak/>
        <w:t xml:space="preserve">of theaflavins in mitigating </w:t>
      </w:r>
      <w:proofErr w:type="spellStart"/>
      <w:r w:rsidRPr="0056666F">
        <w:rPr>
          <w:rFonts w:cs="Times New Roman"/>
          <w:szCs w:val="24"/>
        </w:rPr>
        <w:t>behavio</w:t>
      </w:r>
      <w:r w:rsidR="002D571D" w:rsidRPr="00426534">
        <w:rPr>
          <w:rFonts w:cs="Times New Roman"/>
          <w:szCs w:val="24"/>
        </w:rPr>
        <w:t>u</w:t>
      </w:r>
      <w:r w:rsidRPr="0056666F">
        <w:rPr>
          <w:rFonts w:cs="Times New Roman"/>
          <w:szCs w:val="24"/>
        </w:rPr>
        <w:t>ral</w:t>
      </w:r>
      <w:proofErr w:type="spellEnd"/>
      <w:r w:rsidRPr="0056666F">
        <w:rPr>
          <w:rFonts w:cs="Times New Roman"/>
          <w:szCs w:val="24"/>
        </w:rPr>
        <w:t xml:space="preserve"> abnormalities associated with PAE, thereby contributing to the development of novel therapeutic strategies for ADHD.</w:t>
      </w:r>
    </w:p>
    <w:p w14:paraId="2BFA127A" w14:textId="5DC0F70B" w:rsidR="0053371C" w:rsidRPr="00426534" w:rsidRDefault="00530049" w:rsidP="00A90603">
      <w:pPr>
        <w:pStyle w:val="ListParagraph"/>
        <w:numPr>
          <w:ilvl w:val="0"/>
          <w:numId w:val="5"/>
        </w:numPr>
        <w:spacing w:after="0" w:line="360" w:lineRule="auto"/>
        <w:ind w:left="360"/>
        <w:jc w:val="both"/>
        <w:rPr>
          <w:rFonts w:cs="Times New Roman"/>
          <w:b/>
          <w:bCs/>
          <w:szCs w:val="24"/>
        </w:rPr>
      </w:pPr>
      <w:r w:rsidRPr="00426534">
        <w:rPr>
          <w:rFonts w:cs="Times New Roman"/>
          <w:b/>
          <w:bCs/>
          <w:szCs w:val="24"/>
        </w:rPr>
        <w:t>MATERIALS AND METHODS</w:t>
      </w:r>
    </w:p>
    <w:p w14:paraId="33A3A03F" w14:textId="1AFF066D" w:rsidR="0053371C" w:rsidRPr="00426534" w:rsidRDefault="00530049" w:rsidP="00794906">
      <w:pPr>
        <w:autoSpaceDE w:val="0"/>
        <w:autoSpaceDN w:val="0"/>
        <w:adjustRightInd w:val="0"/>
        <w:spacing w:after="0" w:line="360" w:lineRule="auto"/>
        <w:jc w:val="both"/>
        <w:rPr>
          <w:rFonts w:cs="Times New Roman"/>
          <w:b/>
          <w:szCs w:val="24"/>
        </w:rPr>
      </w:pPr>
      <w:r w:rsidRPr="00426534">
        <w:rPr>
          <w:rFonts w:cs="Times New Roman"/>
          <w:b/>
          <w:szCs w:val="24"/>
        </w:rPr>
        <w:t xml:space="preserve">2.1 </w:t>
      </w:r>
      <w:r w:rsidR="0053371C" w:rsidRPr="00426534">
        <w:rPr>
          <w:rFonts w:cs="Times New Roman"/>
          <w:b/>
          <w:szCs w:val="24"/>
        </w:rPr>
        <w:t>Equipment and apparatus</w:t>
      </w:r>
      <w:r w:rsidR="0053371C" w:rsidRPr="00426534">
        <w:rPr>
          <w:rFonts w:cs="Times New Roman"/>
          <w:szCs w:val="24"/>
        </w:rPr>
        <w:t xml:space="preserve">. </w:t>
      </w:r>
    </w:p>
    <w:p w14:paraId="27476722" w14:textId="68B2E576" w:rsidR="0053371C" w:rsidRPr="00426534" w:rsidRDefault="0053371C" w:rsidP="00794906">
      <w:pPr>
        <w:spacing w:after="100" w:afterAutospacing="1" w:line="360" w:lineRule="auto"/>
        <w:jc w:val="both"/>
        <w:outlineLvl w:val="2"/>
        <w:rPr>
          <w:rFonts w:cs="Times New Roman"/>
          <w:szCs w:val="24"/>
        </w:rPr>
      </w:pPr>
      <w:r w:rsidRPr="00426534">
        <w:rPr>
          <w:rFonts w:cs="Times New Roman"/>
          <w:szCs w:val="24"/>
        </w:rPr>
        <w:t xml:space="preserve">ATKE Centrifuge model C-250 (2023), </w:t>
      </w:r>
      <w:proofErr w:type="spellStart"/>
      <w:r w:rsidRPr="00426534">
        <w:rPr>
          <w:rFonts w:cs="Times New Roman"/>
          <w:szCs w:val="24"/>
        </w:rPr>
        <w:t>Equitron</w:t>
      </w:r>
      <w:proofErr w:type="spellEnd"/>
      <w:r w:rsidRPr="00426534">
        <w:rPr>
          <w:rFonts w:cs="Times New Roman"/>
          <w:szCs w:val="24"/>
        </w:rPr>
        <w:t xml:space="preserve"> Water Bath EWB-30 (2023), Spectrophotometer Inesa 752N Pro (2023), pH meter EDT 3000 (2023), </w:t>
      </w:r>
      <w:proofErr w:type="spellStart"/>
      <w:r w:rsidRPr="00426534">
        <w:rPr>
          <w:rFonts w:cs="Times New Roman"/>
          <w:szCs w:val="24"/>
        </w:rPr>
        <w:t>BioTrack</w:t>
      </w:r>
      <w:proofErr w:type="spellEnd"/>
      <w:r w:rsidRPr="00426534">
        <w:rPr>
          <w:rFonts w:cs="Times New Roman"/>
          <w:szCs w:val="24"/>
        </w:rPr>
        <w:t xml:space="preserve"> Activity Cage (2023), Behavioral Y-Maze Kit (2023</w:t>
      </w:r>
      <w:r w:rsidR="002D571D" w:rsidRPr="00426534">
        <w:rPr>
          <w:rFonts w:cs="Times New Roman"/>
          <w:szCs w:val="24"/>
        </w:rPr>
        <w:t>)</w:t>
      </w:r>
      <w:r w:rsidRPr="00426534">
        <w:rPr>
          <w:rFonts w:cs="Times New Roman"/>
          <w:szCs w:val="24"/>
        </w:rPr>
        <w:t>,</w:t>
      </w:r>
      <w:r w:rsidR="002D571D" w:rsidRPr="00426534">
        <w:rPr>
          <w:rFonts w:cs="Times New Roman"/>
          <w:szCs w:val="24"/>
        </w:rPr>
        <w:t xml:space="preserve"> Behavioral open field chamber (2023), </w:t>
      </w:r>
      <w:r w:rsidRPr="00426534">
        <w:rPr>
          <w:rFonts w:cs="Times New Roman"/>
          <w:szCs w:val="24"/>
        </w:rPr>
        <w:t xml:space="preserve">weighing balance Ohaus Scout SPX (2023), test tubes Pyrex Test Tubes (2023), Eppendorf tubes Eppendorf Safe-Lock Tubes (2023), tube racks </w:t>
      </w:r>
      <w:proofErr w:type="spellStart"/>
      <w:r w:rsidRPr="00426534">
        <w:rPr>
          <w:rFonts w:cs="Times New Roman"/>
          <w:szCs w:val="24"/>
        </w:rPr>
        <w:t>Labcon</w:t>
      </w:r>
      <w:proofErr w:type="spellEnd"/>
      <w:r w:rsidRPr="00426534">
        <w:rPr>
          <w:rFonts w:cs="Times New Roman"/>
          <w:szCs w:val="24"/>
        </w:rPr>
        <w:t xml:space="preserve"> Tube Rack (2023), plastic cylinders Corning 50-mL Conical Centrifuge Tubes (2023), </w:t>
      </w:r>
      <w:r w:rsidRPr="00426534">
        <w:rPr>
          <w:rFonts w:eastAsia="Times New Roman" w:cs="Times New Roman"/>
          <w:szCs w:val="24"/>
        </w:rPr>
        <w:t>R. Michael Dissection Kit (2023)</w:t>
      </w:r>
      <w:r w:rsidRPr="00426534">
        <w:rPr>
          <w:rFonts w:eastAsia="Times New Roman" w:cs="Times New Roman"/>
          <w:b/>
          <w:bCs/>
          <w:color w:val="175057"/>
          <w:szCs w:val="24"/>
        </w:rPr>
        <w:t xml:space="preserve"> </w:t>
      </w:r>
      <w:r w:rsidRPr="00426534">
        <w:rPr>
          <w:rFonts w:cs="Times New Roman"/>
          <w:szCs w:val="24"/>
        </w:rPr>
        <w:t xml:space="preserve">and boards. </w:t>
      </w:r>
    </w:p>
    <w:p w14:paraId="794C3972" w14:textId="5CE1BF4D" w:rsidR="0053371C" w:rsidRPr="00426534" w:rsidRDefault="00530049" w:rsidP="00794906">
      <w:pPr>
        <w:spacing w:after="0" w:line="360" w:lineRule="auto"/>
        <w:jc w:val="both"/>
        <w:rPr>
          <w:rFonts w:cs="Times New Roman"/>
          <w:b/>
          <w:bCs/>
          <w:szCs w:val="24"/>
        </w:rPr>
      </w:pPr>
      <w:r w:rsidRPr="00426534">
        <w:rPr>
          <w:rFonts w:cs="Times New Roman"/>
          <w:b/>
          <w:bCs/>
          <w:szCs w:val="24"/>
        </w:rPr>
        <w:t xml:space="preserve">2.2 </w:t>
      </w:r>
      <w:r w:rsidR="0053371C" w:rsidRPr="00426534">
        <w:rPr>
          <w:rFonts w:cs="Times New Roman"/>
          <w:b/>
          <w:bCs/>
          <w:szCs w:val="24"/>
        </w:rPr>
        <w:t>Drugs and Chemicals</w:t>
      </w:r>
    </w:p>
    <w:p w14:paraId="24EAF6EB" w14:textId="00FC0F4C" w:rsidR="0096348E" w:rsidRPr="00426534" w:rsidRDefault="008D0BF6" w:rsidP="00794906">
      <w:pPr>
        <w:spacing w:after="0" w:line="360" w:lineRule="auto"/>
        <w:jc w:val="both"/>
        <w:rPr>
          <w:rFonts w:cs="Times New Roman"/>
          <w:szCs w:val="24"/>
        </w:rPr>
      </w:pPr>
      <w:r w:rsidRPr="00426534">
        <w:rPr>
          <w:rFonts w:cs="Times New Roman"/>
          <w:szCs w:val="24"/>
        </w:rPr>
        <w:t xml:space="preserve">5,5′-dithiol-bis(2-nitro benzoic acid)-DTNB (Aldrich, Germany), trichloroacetic acid-TCA (Burgoyne </w:t>
      </w:r>
      <w:proofErr w:type="spellStart"/>
      <w:r w:rsidRPr="00426534">
        <w:rPr>
          <w:rFonts w:cs="Times New Roman"/>
          <w:szCs w:val="24"/>
        </w:rPr>
        <w:t>Burbidges</w:t>
      </w:r>
      <w:proofErr w:type="spellEnd"/>
      <w:r w:rsidRPr="00426534">
        <w:rPr>
          <w:rFonts w:cs="Times New Roman"/>
          <w:szCs w:val="24"/>
        </w:rPr>
        <w:t xml:space="preserve"> and Co., Mumbai, India), </w:t>
      </w:r>
      <w:proofErr w:type="spellStart"/>
      <w:r w:rsidRPr="00426534">
        <w:rPr>
          <w:rFonts w:cs="Times New Roman"/>
          <w:szCs w:val="24"/>
        </w:rPr>
        <w:t>thiobarbituric</w:t>
      </w:r>
      <w:proofErr w:type="spellEnd"/>
      <w:r w:rsidRPr="00426534">
        <w:rPr>
          <w:rFonts w:cs="Times New Roman"/>
          <w:szCs w:val="24"/>
        </w:rPr>
        <w:t xml:space="preserve"> acid-TBA (Guanghua Chemical Factory Co. Ltd., China), Tris (hydroxymethyl)-amino-methane (Tris-buffer) (Hopkin and Williams Company, USA), Acetic acid (Sigma-Aldrich, Inc., St Louis, USA), NaHCO</w:t>
      </w:r>
      <w:r w:rsidRPr="00426534">
        <w:rPr>
          <w:rFonts w:cs="Times New Roman"/>
          <w:szCs w:val="24"/>
          <w:vertAlign w:val="subscript"/>
        </w:rPr>
        <w:t>3</w:t>
      </w:r>
      <w:r w:rsidRPr="00426534">
        <w:rPr>
          <w:rFonts w:cs="Times New Roman"/>
          <w:szCs w:val="24"/>
        </w:rPr>
        <w:t xml:space="preserve"> (BDH Chemicals Ltd, Poole, England), Sodium Carbonate (</w:t>
      </w:r>
      <w:proofErr w:type="spellStart"/>
      <w:r w:rsidRPr="00426534">
        <w:rPr>
          <w:rFonts w:cs="Times New Roman"/>
          <w:szCs w:val="24"/>
        </w:rPr>
        <w:t>Fisons</w:t>
      </w:r>
      <w:proofErr w:type="spellEnd"/>
      <w:r w:rsidRPr="00426534">
        <w:rPr>
          <w:rFonts w:cs="Times New Roman"/>
          <w:szCs w:val="24"/>
        </w:rPr>
        <w:t xml:space="preserve">, Loughborough </w:t>
      </w:r>
      <w:proofErr w:type="spellStart"/>
      <w:r w:rsidRPr="00426534">
        <w:rPr>
          <w:rFonts w:cs="Times New Roman"/>
          <w:szCs w:val="24"/>
        </w:rPr>
        <w:t>Leics</w:t>
      </w:r>
      <w:proofErr w:type="spellEnd"/>
      <w:r w:rsidRPr="00426534">
        <w:rPr>
          <w:rFonts w:cs="Times New Roman"/>
          <w:szCs w:val="24"/>
        </w:rPr>
        <w:t>, England), Na</w:t>
      </w:r>
      <w:r w:rsidRPr="00426534">
        <w:rPr>
          <w:rFonts w:cs="Times New Roman"/>
          <w:szCs w:val="24"/>
          <w:vertAlign w:val="subscript"/>
        </w:rPr>
        <w:t>2</w:t>
      </w:r>
      <w:r w:rsidRPr="00426534">
        <w:rPr>
          <w:rFonts w:cs="Times New Roman"/>
          <w:szCs w:val="24"/>
        </w:rPr>
        <w:t>HPO</w:t>
      </w:r>
      <w:r w:rsidRPr="00426534">
        <w:rPr>
          <w:rFonts w:cs="Times New Roman"/>
          <w:szCs w:val="24"/>
          <w:vertAlign w:val="subscript"/>
        </w:rPr>
        <w:t>4</w:t>
      </w:r>
      <w:r w:rsidRPr="00426534">
        <w:rPr>
          <w:rFonts w:cs="Times New Roman"/>
          <w:szCs w:val="24"/>
        </w:rPr>
        <w:t>.H</w:t>
      </w:r>
      <w:r w:rsidRPr="00426534">
        <w:rPr>
          <w:rFonts w:cs="Times New Roman"/>
          <w:szCs w:val="24"/>
          <w:vertAlign w:val="subscript"/>
        </w:rPr>
        <w:t>2</w:t>
      </w:r>
      <w:r w:rsidRPr="00426534">
        <w:rPr>
          <w:rFonts w:cs="Times New Roman"/>
          <w:szCs w:val="24"/>
        </w:rPr>
        <w:t>O (BDH Chemical Ltd, Poole, England),  NaH</w:t>
      </w:r>
      <w:r w:rsidRPr="00426534">
        <w:rPr>
          <w:rFonts w:cs="Times New Roman"/>
          <w:szCs w:val="24"/>
          <w:vertAlign w:val="subscript"/>
        </w:rPr>
        <w:t>2</w:t>
      </w:r>
      <w:r w:rsidRPr="00426534">
        <w:rPr>
          <w:rFonts w:cs="Times New Roman"/>
          <w:szCs w:val="24"/>
        </w:rPr>
        <w:t>PO</w:t>
      </w:r>
      <w:r w:rsidRPr="00426534">
        <w:rPr>
          <w:rFonts w:cs="Times New Roman"/>
          <w:szCs w:val="24"/>
          <w:vertAlign w:val="subscript"/>
        </w:rPr>
        <w:t>4</w:t>
      </w:r>
      <w:r w:rsidRPr="00426534">
        <w:rPr>
          <w:rFonts w:cs="Times New Roman"/>
          <w:szCs w:val="24"/>
        </w:rPr>
        <w:t>.H</w:t>
      </w:r>
      <w:r w:rsidRPr="00426534">
        <w:rPr>
          <w:rFonts w:cs="Times New Roman"/>
          <w:szCs w:val="24"/>
          <w:vertAlign w:val="subscript"/>
        </w:rPr>
        <w:t>2</w:t>
      </w:r>
      <w:r w:rsidRPr="00426534">
        <w:rPr>
          <w:rFonts w:cs="Times New Roman"/>
          <w:szCs w:val="24"/>
        </w:rPr>
        <w:t>O (BDH Chemical Ltd, Poole, England), K</w:t>
      </w:r>
      <w:r w:rsidRPr="00426534">
        <w:rPr>
          <w:rFonts w:cs="Times New Roman"/>
          <w:szCs w:val="24"/>
          <w:vertAlign w:val="subscript"/>
        </w:rPr>
        <w:t>2</w:t>
      </w:r>
      <w:r w:rsidRPr="00426534">
        <w:rPr>
          <w:rFonts w:cs="Times New Roman"/>
          <w:szCs w:val="24"/>
        </w:rPr>
        <w:t>HPO</w:t>
      </w:r>
      <w:r w:rsidRPr="00426534">
        <w:rPr>
          <w:rFonts w:cs="Times New Roman"/>
          <w:szCs w:val="24"/>
          <w:vertAlign w:val="subscript"/>
        </w:rPr>
        <w:t>4</w:t>
      </w:r>
      <w:r w:rsidRPr="00426534">
        <w:rPr>
          <w:rFonts w:cs="Times New Roman"/>
          <w:szCs w:val="24"/>
        </w:rPr>
        <w:t xml:space="preserve"> (BDH Chemical Ltd, Poole, England), K</w:t>
      </w:r>
      <w:r w:rsidRPr="00426534">
        <w:rPr>
          <w:rFonts w:cs="Times New Roman"/>
          <w:szCs w:val="24"/>
          <w:vertAlign w:val="subscript"/>
        </w:rPr>
        <w:t>2</w:t>
      </w:r>
      <w:r w:rsidRPr="00426534">
        <w:rPr>
          <w:rFonts w:cs="Times New Roman"/>
          <w:szCs w:val="24"/>
        </w:rPr>
        <w:t>Cr</w:t>
      </w:r>
      <w:r w:rsidRPr="00426534">
        <w:rPr>
          <w:rFonts w:cs="Times New Roman"/>
          <w:szCs w:val="24"/>
          <w:vertAlign w:val="subscript"/>
        </w:rPr>
        <w:t>2</w:t>
      </w:r>
      <w:r w:rsidRPr="00426534">
        <w:rPr>
          <w:rFonts w:cs="Times New Roman"/>
          <w:szCs w:val="24"/>
        </w:rPr>
        <w:t>O</w:t>
      </w:r>
      <w:r w:rsidRPr="00426534">
        <w:rPr>
          <w:rFonts w:cs="Times New Roman"/>
          <w:szCs w:val="24"/>
          <w:vertAlign w:val="subscript"/>
        </w:rPr>
        <w:t>7</w:t>
      </w:r>
      <w:r w:rsidRPr="00426534">
        <w:rPr>
          <w:rFonts w:cs="Times New Roman"/>
          <w:szCs w:val="24"/>
        </w:rPr>
        <w:t xml:space="preserve"> (BDH Chemical Ltd, Poole, England), </w:t>
      </w:r>
      <w:proofErr w:type="spellStart"/>
      <w:r w:rsidRPr="00426534">
        <w:rPr>
          <w:rFonts w:cs="Times New Roman"/>
          <w:szCs w:val="24"/>
        </w:rPr>
        <w:t>KCl</w:t>
      </w:r>
      <w:proofErr w:type="spellEnd"/>
      <w:r w:rsidRPr="00426534">
        <w:rPr>
          <w:rFonts w:cs="Times New Roman"/>
          <w:szCs w:val="24"/>
        </w:rPr>
        <w:t xml:space="preserve"> (BDH Chemical Ltd, Poole, England), NaOH (J.T Baker Chemicals Co., Phillipsburg, N.J., USA), </w:t>
      </w:r>
      <w:r w:rsidR="0053371C" w:rsidRPr="00426534">
        <w:rPr>
          <w:rFonts w:cs="Times New Roman"/>
          <w:szCs w:val="24"/>
        </w:rPr>
        <w:t>DMSO</w:t>
      </w:r>
      <w:r w:rsidR="002D571D" w:rsidRPr="00426534">
        <w:rPr>
          <w:rFonts w:cs="Times New Roman"/>
          <w:szCs w:val="24"/>
        </w:rPr>
        <w:t xml:space="preserve"> (J.T Baker Chemicals Co., Phillipsburg, N.J., USA)</w:t>
      </w:r>
      <w:r w:rsidR="0053371C" w:rsidRPr="00426534">
        <w:rPr>
          <w:rFonts w:cs="Times New Roman"/>
          <w:szCs w:val="24"/>
        </w:rPr>
        <w:t xml:space="preserve">, theaflavin </w:t>
      </w:r>
      <w:r w:rsidR="002D571D" w:rsidRPr="00426534">
        <w:rPr>
          <w:rFonts w:cs="Times New Roman"/>
          <w:szCs w:val="24"/>
        </w:rPr>
        <w:t>(BDH Chemical Ltd, Poole, England)</w:t>
      </w:r>
      <w:r w:rsidR="0053371C" w:rsidRPr="00426534">
        <w:rPr>
          <w:rFonts w:cs="Times New Roman"/>
          <w:szCs w:val="24"/>
        </w:rPr>
        <w:t xml:space="preserve">, and </w:t>
      </w:r>
      <w:r w:rsidR="0053371C" w:rsidRPr="00426534">
        <w:rPr>
          <w:rFonts w:cs="Times New Roman"/>
          <w:iCs/>
          <w:szCs w:val="24"/>
        </w:rPr>
        <w:t>alcohol</w:t>
      </w:r>
      <w:r w:rsidR="002D571D" w:rsidRPr="00426534">
        <w:rPr>
          <w:rFonts w:cs="Times New Roman"/>
          <w:iCs/>
          <w:szCs w:val="24"/>
        </w:rPr>
        <w:t xml:space="preserve"> (</w:t>
      </w:r>
      <w:r w:rsidR="002D571D" w:rsidRPr="00426534">
        <w:rPr>
          <w:rFonts w:cs="Times New Roman"/>
          <w:szCs w:val="24"/>
        </w:rPr>
        <w:t>Sigma-Aldrich, Inc., St Louis, USA)</w:t>
      </w:r>
      <w:r w:rsidR="0053371C" w:rsidRPr="00426534">
        <w:rPr>
          <w:rFonts w:cs="Times New Roman"/>
          <w:szCs w:val="24"/>
        </w:rPr>
        <w:t>, were used in the study.</w:t>
      </w:r>
    </w:p>
    <w:p w14:paraId="289C425C" w14:textId="77777777" w:rsidR="0096348E" w:rsidRPr="00426534" w:rsidRDefault="0096348E" w:rsidP="00794906">
      <w:pPr>
        <w:spacing w:after="0" w:line="360" w:lineRule="auto"/>
        <w:jc w:val="both"/>
        <w:rPr>
          <w:rFonts w:cs="Times New Roman"/>
          <w:b/>
          <w:bCs/>
          <w:szCs w:val="24"/>
        </w:rPr>
      </w:pPr>
    </w:p>
    <w:p w14:paraId="53ADC4C8" w14:textId="0A6A9DBE" w:rsidR="0053371C" w:rsidRPr="00426534" w:rsidRDefault="00530049" w:rsidP="00794906">
      <w:pPr>
        <w:spacing w:after="0" w:line="360" w:lineRule="auto"/>
        <w:jc w:val="both"/>
        <w:rPr>
          <w:rFonts w:cs="Times New Roman"/>
          <w:b/>
          <w:bCs/>
          <w:szCs w:val="24"/>
        </w:rPr>
      </w:pPr>
      <w:r w:rsidRPr="00426534">
        <w:rPr>
          <w:rFonts w:cs="Times New Roman"/>
          <w:b/>
          <w:bCs/>
          <w:szCs w:val="24"/>
        </w:rPr>
        <w:t xml:space="preserve">2.3 </w:t>
      </w:r>
      <w:r w:rsidR="0053371C" w:rsidRPr="00426534">
        <w:rPr>
          <w:rFonts w:cs="Times New Roman"/>
          <w:b/>
          <w:bCs/>
          <w:szCs w:val="24"/>
        </w:rPr>
        <w:t>Experimental Animal</w:t>
      </w:r>
    </w:p>
    <w:p w14:paraId="4C631987" w14:textId="4B7F78FE" w:rsidR="0053371C" w:rsidRPr="00426534" w:rsidRDefault="0053371C" w:rsidP="00794906">
      <w:pPr>
        <w:autoSpaceDE w:val="0"/>
        <w:autoSpaceDN w:val="0"/>
        <w:adjustRightInd w:val="0"/>
        <w:spacing w:after="0" w:line="360" w:lineRule="auto"/>
        <w:jc w:val="both"/>
        <w:rPr>
          <w:rFonts w:cs="Times New Roman"/>
          <w:szCs w:val="24"/>
        </w:rPr>
      </w:pPr>
      <w:r w:rsidRPr="00426534">
        <w:rPr>
          <w:rFonts w:cs="Times New Roman"/>
          <w:szCs w:val="24"/>
        </w:rPr>
        <w:t xml:space="preserve">Adult albino Swiss mice was used in this study, and they were obtained from the Animal House of the Faculty of Basic Medical Science and were housed in plastic cages at room temperature. They were fed with balanced rodent pellet diet and water </w:t>
      </w:r>
      <w:r w:rsidRPr="00426534">
        <w:rPr>
          <w:rFonts w:cs="Times New Roman"/>
          <w:i/>
          <w:iCs/>
          <w:szCs w:val="24"/>
        </w:rPr>
        <w:t>ad libitum</w:t>
      </w:r>
      <w:r w:rsidRPr="00426534">
        <w:rPr>
          <w:rFonts w:cs="Times New Roman"/>
          <w:szCs w:val="24"/>
        </w:rPr>
        <w:t xml:space="preserve">. Mice were acclimatized before the commencement of experiments. The experimental </w:t>
      </w:r>
      <w:r w:rsidR="002D571D" w:rsidRPr="00426534">
        <w:rPr>
          <w:rFonts w:cs="Times New Roman"/>
          <w:szCs w:val="24"/>
        </w:rPr>
        <w:t>protocols</w:t>
      </w:r>
      <w:r w:rsidRPr="00426534">
        <w:rPr>
          <w:rFonts w:cs="Times New Roman"/>
          <w:szCs w:val="24"/>
        </w:rPr>
        <w:t xml:space="preserve"> were submitted for approval to the Research and Ethics Committee of the faculty of Basic Medical Science </w:t>
      </w:r>
      <w:r w:rsidRPr="00426534">
        <w:rPr>
          <w:rFonts w:cs="Times New Roman"/>
          <w:szCs w:val="24"/>
        </w:rPr>
        <w:lastRenderedPageBreak/>
        <w:t xml:space="preserve">(RBC/FBMC/DELSU/24/629) and the experiment was performed in accordance with the NIH Guideline for the Care and Use of Laboratory Animals. </w:t>
      </w:r>
    </w:p>
    <w:p w14:paraId="10D726F7" w14:textId="77777777" w:rsidR="0053371C" w:rsidRPr="00426534" w:rsidRDefault="0053371C" w:rsidP="00794906">
      <w:pPr>
        <w:spacing w:after="0" w:line="360" w:lineRule="auto"/>
        <w:jc w:val="both"/>
        <w:rPr>
          <w:rFonts w:cs="Times New Roman"/>
          <w:szCs w:val="24"/>
        </w:rPr>
      </w:pPr>
    </w:p>
    <w:p w14:paraId="28FE79D2" w14:textId="4338202B" w:rsidR="0053371C" w:rsidRPr="00426534" w:rsidRDefault="00530049" w:rsidP="00794906">
      <w:pPr>
        <w:spacing w:after="0" w:line="360" w:lineRule="auto"/>
        <w:jc w:val="both"/>
        <w:rPr>
          <w:rFonts w:cs="Times New Roman"/>
          <w:b/>
          <w:bCs/>
          <w:szCs w:val="24"/>
        </w:rPr>
      </w:pPr>
      <w:r w:rsidRPr="00426534">
        <w:rPr>
          <w:rFonts w:cs="Times New Roman"/>
          <w:b/>
          <w:bCs/>
          <w:szCs w:val="24"/>
        </w:rPr>
        <w:t xml:space="preserve">2.4 </w:t>
      </w:r>
      <w:r w:rsidR="0053371C" w:rsidRPr="00426534">
        <w:rPr>
          <w:rFonts w:cs="Times New Roman"/>
          <w:b/>
          <w:bCs/>
          <w:szCs w:val="24"/>
        </w:rPr>
        <w:t>Drug Preparation and Treatment</w:t>
      </w:r>
    </w:p>
    <w:p w14:paraId="5FBF651B" w14:textId="4D63BFD6" w:rsidR="0053371C" w:rsidRPr="00426534" w:rsidRDefault="0053371C" w:rsidP="00794906">
      <w:pPr>
        <w:spacing w:line="360" w:lineRule="auto"/>
        <w:jc w:val="both"/>
        <w:rPr>
          <w:rFonts w:cs="Times New Roman"/>
          <w:bCs/>
          <w:szCs w:val="24"/>
        </w:rPr>
      </w:pPr>
      <w:r w:rsidRPr="00426534">
        <w:rPr>
          <w:rFonts w:cs="Times New Roman"/>
          <w:bCs/>
          <w:szCs w:val="24"/>
        </w:rPr>
        <w:t xml:space="preserve">Theaflavin (TF) was prepared by dissolving 350 mg in 35 mL of </w:t>
      </w:r>
      <w:r w:rsidRPr="00426534">
        <w:rPr>
          <w:rFonts w:cs="Times New Roman"/>
          <w:szCs w:val="24"/>
        </w:rPr>
        <w:t xml:space="preserve">1 % dimethyl </w:t>
      </w:r>
      <w:proofErr w:type="spellStart"/>
      <w:r w:rsidRPr="00426534">
        <w:rPr>
          <w:rFonts w:cs="Times New Roman"/>
          <w:szCs w:val="24"/>
        </w:rPr>
        <w:t>sulphoxide</w:t>
      </w:r>
      <w:proofErr w:type="spellEnd"/>
      <w:r w:rsidRPr="00426534">
        <w:rPr>
          <w:rFonts w:cs="Times New Roman"/>
          <w:szCs w:val="24"/>
        </w:rPr>
        <w:t xml:space="preserve"> (DMSO) to obtain the stock solution</w:t>
      </w:r>
      <w:r w:rsidR="006A6C51" w:rsidRPr="00426534">
        <w:rPr>
          <w:rFonts w:cs="Times New Roman"/>
          <w:szCs w:val="24"/>
        </w:rPr>
        <w:t xml:space="preserve"> as previously described </w:t>
      </w:r>
      <w:r w:rsidR="00A90603" w:rsidRPr="00426534">
        <w:rPr>
          <w:rFonts w:cs="Times New Roman"/>
          <w:szCs w:val="24"/>
        </w:rPr>
        <w:t xml:space="preserve">by </w:t>
      </w:r>
      <w:proofErr w:type="spellStart"/>
      <w:r w:rsidR="00A90603" w:rsidRPr="00426534">
        <w:rPr>
          <w:rFonts w:cs="Times New Roman"/>
          <w:szCs w:val="24"/>
        </w:rPr>
        <w:t>Akpovwre</w:t>
      </w:r>
      <w:proofErr w:type="spellEnd"/>
      <w:r w:rsidR="00A90603" w:rsidRPr="00426534">
        <w:rPr>
          <w:rFonts w:cs="Times New Roman"/>
          <w:szCs w:val="24"/>
        </w:rPr>
        <w:t xml:space="preserve"> et al., </w:t>
      </w:r>
      <w:r w:rsidR="006A6C51" w:rsidRPr="00426534">
        <w:rPr>
          <w:rFonts w:cs="Times New Roman"/>
          <w:szCs w:val="24"/>
        </w:rPr>
        <w:t>(</w:t>
      </w:r>
      <w:r w:rsidR="00A90603" w:rsidRPr="00426534">
        <w:rPr>
          <w:rFonts w:cs="Times New Roman"/>
          <w:szCs w:val="24"/>
        </w:rPr>
        <w:t>2024</w:t>
      </w:r>
      <w:r w:rsidR="006A6C51" w:rsidRPr="00426534">
        <w:rPr>
          <w:rFonts w:cs="Times New Roman"/>
          <w:szCs w:val="24"/>
        </w:rPr>
        <w:t>).</w:t>
      </w:r>
      <w:r w:rsidRPr="00426534">
        <w:rPr>
          <w:rFonts w:cs="Times New Roman"/>
          <w:szCs w:val="24"/>
        </w:rPr>
        <w:t xml:space="preserve"> The stock solution was further diluted with distilled water to obtain the </w:t>
      </w:r>
      <w:r w:rsidR="002D571D" w:rsidRPr="00426534">
        <w:rPr>
          <w:rFonts w:cs="Times New Roman"/>
          <w:szCs w:val="24"/>
        </w:rPr>
        <w:t xml:space="preserve">working </w:t>
      </w:r>
      <w:r w:rsidRPr="00426534">
        <w:rPr>
          <w:rFonts w:cs="Times New Roman"/>
          <w:szCs w:val="24"/>
        </w:rPr>
        <w:t>concentration</w:t>
      </w:r>
      <w:r w:rsidR="002D571D" w:rsidRPr="00426534">
        <w:rPr>
          <w:rFonts w:cs="Times New Roman"/>
          <w:szCs w:val="24"/>
        </w:rPr>
        <w:t>s</w:t>
      </w:r>
      <w:r w:rsidRPr="00426534">
        <w:rPr>
          <w:rFonts w:cs="Times New Roman"/>
          <w:szCs w:val="24"/>
        </w:rPr>
        <w:t xml:space="preserve"> used in the study. Absolute alcohol </w:t>
      </w:r>
      <w:r w:rsidR="00BF7DA3" w:rsidRPr="00426534">
        <w:rPr>
          <w:rFonts w:cs="Times New Roman"/>
          <w:szCs w:val="24"/>
        </w:rPr>
        <w:t xml:space="preserve">of 25%v/v </w:t>
      </w:r>
      <w:r w:rsidRPr="00426534">
        <w:rPr>
          <w:rFonts w:cs="Times New Roman"/>
          <w:szCs w:val="24"/>
        </w:rPr>
        <w:t>was then diluted to obtain</w:t>
      </w:r>
      <w:r w:rsidR="00BF7DA3" w:rsidRPr="00426534">
        <w:rPr>
          <w:rFonts w:cs="Times New Roman"/>
          <w:szCs w:val="24"/>
        </w:rPr>
        <w:t xml:space="preserve"> a volume of </w:t>
      </w:r>
      <w:r w:rsidRPr="00426534">
        <w:rPr>
          <w:rFonts w:cs="Times New Roman"/>
          <w:szCs w:val="24"/>
        </w:rPr>
        <w:t>20m</w:t>
      </w:r>
      <w:r w:rsidR="00BF7DA3" w:rsidRPr="00426534">
        <w:rPr>
          <w:rFonts w:cs="Times New Roman"/>
          <w:szCs w:val="24"/>
        </w:rPr>
        <w:t>L</w:t>
      </w:r>
      <w:r w:rsidRPr="00426534">
        <w:rPr>
          <w:rFonts w:cs="Times New Roman"/>
          <w:szCs w:val="24"/>
        </w:rPr>
        <w:t>/kg f</w:t>
      </w:r>
      <w:r w:rsidRPr="00426534">
        <w:rPr>
          <w:rFonts w:cs="Times New Roman"/>
          <w:bCs/>
          <w:szCs w:val="24"/>
        </w:rPr>
        <w:t>ollowing the protocol</w:t>
      </w:r>
      <w:r w:rsidR="00BF7DA3" w:rsidRPr="00426534">
        <w:rPr>
          <w:rFonts w:cs="Times New Roman"/>
          <w:bCs/>
          <w:szCs w:val="24"/>
        </w:rPr>
        <w:t xml:space="preserve"> adopted by </w:t>
      </w:r>
      <w:r w:rsidR="00722297" w:rsidRPr="00426534">
        <w:rPr>
          <w:rFonts w:cs="Times New Roman"/>
          <w:color w:val="222222"/>
          <w:szCs w:val="24"/>
          <w:shd w:val="clear" w:color="auto" w:fill="FFFFFF"/>
        </w:rPr>
        <w:t>Choi</w:t>
      </w:r>
      <w:r w:rsidR="00BF7DA3" w:rsidRPr="00426534">
        <w:rPr>
          <w:rFonts w:cs="Times New Roman"/>
          <w:szCs w:val="24"/>
        </w:rPr>
        <w:t xml:space="preserve"> et al., (20</w:t>
      </w:r>
      <w:r w:rsidR="00722297" w:rsidRPr="00426534">
        <w:rPr>
          <w:rFonts w:cs="Times New Roman"/>
          <w:szCs w:val="24"/>
        </w:rPr>
        <w:t>12</w:t>
      </w:r>
      <w:r w:rsidR="00BF7DA3" w:rsidRPr="00426534">
        <w:rPr>
          <w:rFonts w:cs="Times New Roman"/>
          <w:szCs w:val="24"/>
        </w:rPr>
        <w:t>)</w:t>
      </w:r>
      <w:r w:rsidR="00BF7DA3" w:rsidRPr="00426534">
        <w:rPr>
          <w:rFonts w:cs="Times New Roman"/>
          <w:bCs/>
          <w:szCs w:val="24"/>
        </w:rPr>
        <w:t>.</w:t>
      </w:r>
      <w:r w:rsidRPr="00426534">
        <w:rPr>
          <w:rFonts w:cs="Times New Roman"/>
          <w:bCs/>
          <w:szCs w:val="24"/>
        </w:rPr>
        <w:t xml:space="preserve"> </w:t>
      </w:r>
      <w:r w:rsidR="00BF7DA3" w:rsidRPr="00426534">
        <w:rPr>
          <w:rFonts w:cs="Times New Roman"/>
          <w:bCs/>
          <w:szCs w:val="24"/>
        </w:rPr>
        <w:t>A</w:t>
      </w:r>
      <w:r w:rsidRPr="00426534">
        <w:rPr>
          <w:rFonts w:cs="Times New Roman"/>
          <w:bCs/>
          <w:szCs w:val="24"/>
        </w:rPr>
        <w:t xml:space="preserve">nimals were divided into 5 groups (GR 1 – GR 5). GR 1 served as control, while GR 2 -GR 5 received </w:t>
      </w:r>
      <w:r w:rsidRPr="00426534">
        <w:rPr>
          <w:rFonts w:cs="Times New Roman"/>
          <w:bCs/>
          <w:iCs/>
          <w:szCs w:val="24"/>
        </w:rPr>
        <w:t>alcohol</w:t>
      </w:r>
      <w:r w:rsidRPr="00426534">
        <w:rPr>
          <w:rFonts w:cs="Times New Roman"/>
          <w:bCs/>
          <w:szCs w:val="24"/>
        </w:rPr>
        <w:t xml:space="preserve"> 20m</w:t>
      </w:r>
      <w:r w:rsidR="006A6C51" w:rsidRPr="00426534">
        <w:rPr>
          <w:rFonts w:cs="Times New Roman"/>
          <w:bCs/>
          <w:szCs w:val="24"/>
        </w:rPr>
        <w:t>L</w:t>
      </w:r>
      <w:r w:rsidRPr="00426534">
        <w:rPr>
          <w:rFonts w:cs="Times New Roman"/>
          <w:bCs/>
          <w:szCs w:val="24"/>
        </w:rPr>
        <w:t>/kg (10 m</w:t>
      </w:r>
      <w:r w:rsidR="006A6C51" w:rsidRPr="00426534">
        <w:rPr>
          <w:rFonts w:cs="Times New Roman"/>
          <w:bCs/>
          <w:szCs w:val="24"/>
        </w:rPr>
        <w:t>L</w:t>
      </w:r>
      <w:r w:rsidRPr="00426534">
        <w:rPr>
          <w:rFonts w:cs="Times New Roman"/>
          <w:bCs/>
          <w:szCs w:val="24"/>
        </w:rPr>
        <w:t>/kg twice daily) from gestational day (GD) 7-16. GR 3 and 4 received theaflavin at 10 mg/kg and 20 mg/kg respectively. GR 5 served as the positive control and received atomoxetine. Neurobehavioral assessments were carried out on postnatal day 22 to confirm the mice that were symptomatic for ADHD (displaying inattention, hyperactivity</w:t>
      </w:r>
      <w:r w:rsidR="00722297" w:rsidRPr="00426534">
        <w:rPr>
          <w:rFonts w:cs="Times New Roman"/>
          <w:bCs/>
          <w:szCs w:val="24"/>
        </w:rPr>
        <w:t xml:space="preserve"> and impulsivity</w:t>
      </w:r>
      <w:r w:rsidRPr="00426534">
        <w:rPr>
          <w:rFonts w:cs="Times New Roman"/>
          <w:bCs/>
          <w:szCs w:val="24"/>
        </w:rPr>
        <w:t xml:space="preserve">) before commencement of treatment after which a second </w:t>
      </w:r>
      <w:proofErr w:type="spellStart"/>
      <w:r w:rsidRPr="00426534">
        <w:rPr>
          <w:rFonts w:cs="Times New Roman"/>
          <w:bCs/>
          <w:szCs w:val="24"/>
        </w:rPr>
        <w:t>behaviuoral</w:t>
      </w:r>
      <w:proofErr w:type="spellEnd"/>
      <w:r w:rsidRPr="00426534">
        <w:rPr>
          <w:rFonts w:cs="Times New Roman"/>
          <w:bCs/>
          <w:szCs w:val="24"/>
        </w:rPr>
        <w:t xml:space="preserve"> assessment was done on postnatal day 57. Mice were sacrificed on postnatal day 58.</w:t>
      </w:r>
    </w:p>
    <w:p w14:paraId="4C969ED0" w14:textId="201FEA7A" w:rsidR="0053371C" w:rsidRPr="00426534" w:rsidRDefault="00530049" w:rsidP="00794906">
      <w:pPr>
        <w:autoSpaceDE w:val="0"/>
        <w:autoSpaceDN w:val="0"/>
        <w:adjustRightInd w:val="0"/>
        <w:spacing w:after="0" w:line="360" w:lineRule="auto"/>
        <w:jc w:val="both"/>
        <w:rPr>
          <w:rFonts w:cs="Times New Roman"/>
          <w:b/>
          <w:szCs w:val="24"/>
        </w:rPr>
      </w:pPr>
      <w:r w:rsidRPr="00426534">
        <w:rPr>
          <w:rFonts w:cs="Times New Roman"/>
          <w:b/>
          <w:szCs w:val="24"/>
        </w:rPr>
        <w:t>2.5 BEHAVIO</w:t>
      </w:r>
      <w:r w:rsidR="00844034">
        <w:rPr>
          <w:rFonts w:cs="Times New Roman"/>
          <w:b/>
          <w:szCs w:val="24"/>
        </w:rPr>
        <w:t>U</w:t>
      </w:r>
      <w:r w:rsidRPr="00426534">
        <w:rPr>
          <w:rFonts w:cs="Times New Roman"/>
          <w:b/>
          <w:szCs w:val="24"/>
        </w:rPr>
        <w:t>RAL TEST</w:t>
      </w:r>
    </w:p>
    <w:p w14:paraId="495781E1" w14:textId="2AB3E1AA" w:rsidR="0053371C" w:rsidRPr="00426534" w:rsidRDefault="00530049" w:rsidP="00794906">
      <w:pPr>
        <w:autoSpaceDE w:val="0"/>
        <w:autoSpaceDN w:val="0"/>
        <w:adjustRightInd w:val="0"/>
        <w:spacing w:after="0" w:line="360" w:lineRule="auto"/>
        <w:jc w:val="both"/>
        <w:rPr>
          <w:rFonts w:cs="Times New Roman"/>
          <w:b/>
          <w:szCs w:val="24"/>
        </w:rPr>
      </w:pPr>
      <w:r w:rsidRPr="00426534">
        <w:rPr>
          <w:rFonts w:cs="Times New Roman"/>
          <w:b/>
          <w:szCs w:val="24"/>
        </w:rPr>
        <w:t xml:space="preserve">2.5.1 </w:t>
      </w:r>
      <w:r w:rsidR="0053371C" w:rsidRPr="00426534">
        <w:rPr>
          <w:rFonts w:cs="Times New Roman"/>
          <w:b/>
          <w:szCs w:val="24"/>
        </w:rPr>
        <w:t>Effect of TF on cognition</w:t>
      </w:r>
      <w:r w:rsidR="006A6C51" w:rsidRPr="00426534">
        <w:rPr>
          <w:rFonts w:cs="Times New Roman"/>
          <w:b/>
          <w:szCs w:val="24"/>
        </w:rPr>
        <w:t xml:space="preserve"> and</w:t>
      </w:r>
      <w:r w:rsidR="00BF7DA3" w:rsidRPr="00426534">
        <w:rPr>
          <w:rFonts w:cs="Times New Roman"/>
          <w:b/>
          <w:szCs w:val="24"/>
        </w:rPr>
        <w:t xml:space="preserve"> hyperactivity </w:t>
      </w:r>
      <w:r w:rsidR="0053371C" w:rsidRPr="00426534">
        <w:rPr>
          <w:rFonts w:cs="Times New Roman"/>
          <w:b/>
          <w:szCs w:val="24"/>
        </w:rPr>
        <w:t>using the Y-maze</w:t>
      </w:r>
    </w:p>
    <w:p w14:paraId="3D1E794B" w14:textId="77777777" w:rsidR="0053371C" w:rsidRPr="00426534" w:rsidRDefault="0053371C" w:rsidP="00794906">
      <w:pPr>
        <w:autoSpaceDE w:val="0"/>
        <w:autoSpaceDN w:val="0"/>
        <w:adjustRightInd w:val="0"/>
        <w:spacing w:after="0" w:line="360" w:lineRule="auto"/>
        <w:jc w:val="both"/>
        <w:rPr>
          <w:rFonts w:cs="Times New Roman"/>
          <w:szCs w:val="24"/>
        </w:rPr>
      </w:pPr>
      <w:r w:rsidRPr="00426534">
        <w:rPr>
          <w:rFonts w:cs="Times New Roman"/>
          <w:szCs w:val="24"/>
        </w:rPr>
        <w:t>Memory function altercation was evaluated using the Y-maze spatial working memory task as</w:t>
      </w:r>
    </w:p>
    <w:p w14:paraId="552002F1" w14:textId="77777777" w:rsidR="0053371C" w:rsidRPr="00426534" w:rsidRDefault="0053371C" w:rsidP="00794906">
      <w:pPr>
        <w:autoSpaceDE w:val="0"/>
        <w:autoSpaceDN w:val="0"/>
        <w:adjustRightInd w:val="0"/>
        <w:spacing w:after="0" w:line="360" w:lineRule="auto"/>
        <w:jc w:val="both"/>
        <w:rPr>
          <w:rFonts w:cs="Times New Roman"/>
          <w:szCs w:val="24"/>
        </w:rPr>
      </w:pPr>
      <w:r w:rsidRPr="00426534">
        <w:rPr>
          <w:rFonts w:cs="Times New Roman"/>
          <w:szCs w:val="24"/>
        </w:rPr>
        <w:t xml:space="preserve">previously described by </w:t>
      </w:r>
      <w:proofErr w:type="spellStart"/>
      <w:r w:rsidRPr="00426534">
        <w:rPr>
          <w:rFonts w:cs="Times New Roman"/>
          <w:szCs w:val="24"/>
        </w:rPr>
        <w:t>Omogbiya</w:t>
      </w:r>
      <w:proofErr w:type="spellEnd"/>
      <w:r w:rsidRPr="00426534">
        <w:rPr>
          <w:rFonts w:cs="Times New Roman"/>
          <w:szCs w:val="24"/>
        </w:rPr>
        <w:t xml:space="preserve"> </w:t>
      </w:r>
      <w:r w:rsidRPr="00426534">
        <w:rPr>
          <w:rFonts w:cs="Times New Roman"/>
          <w:iCs/>
          <w:szCs w:val="24"/>
        </w:rPr>
        <w:t>et al</w:t>
      </w:r>
      <w:r w:rsidRPr="00426534">
        <w:rPr>
          <w:rFonts w:cs="Times New Roman"/>
          <w:szCs w:val="24"/>
        </w:rPr>
        <w:t>. (2021) with little modifications. Briefly, The Y-maze</w:t>
      </w:r>
    </w:p>
    <w:p w14:paraId="481DC971" w14:textId="77777777" w:rsidR="0053371C" w:rsidRPr="00426534" w:rsidRDefault="0053371C" w:rsidP="00794906">
      <w:pPr>
        <w:autoSpaceDE w:val="0"/>
        <w:autoSpaceDN w:val="0"/>
        <w:adjustRightInd w:val="0"/>
        <w:spacing w:after="0" w:line="360" w:lineRule="auto"/>
        <w:jc w:val="both"/>
        <w:rPr>
          <w:rFonts w:cs="Times New Roman"/>
          <w:szCs w:val="24"/>
        </w:rPr>
      </w:pPr>
      <w:r w:rsidRPr="00426534">
        <w:rPr>
          <w:rFonts w:cs="Times New Roman"/>
          <w:szCs w:val="24"/>
        </w:rPr>
        <w:t>apparatus is composed of three equally spaced arm chambers (120°, 41 cm long, 15 cm high and</w:t>
      </w:r>
    </w:p>
    <w:p w14:paraId="39C5D17D" w14:textId="77777777" w:rsidR="0053371C" w:rsidRPr="00426534" w:rsidRDefault="0053371C" w:rsidP="00794906">
      <w:pPr>
        <w:autoSpaceDE w:val="0"/>
        <w:autoSpaceDN w:val="0"/>
        <w:adjustRightInd w:val="0"/>
        <w:spacing w:after="0" w:line="360" w:lineRule="auto"/>
        <w:jc w:val="both"/>
        <w:rPr>
          <w:rFonts w:cs="Times New Roman"/>
          <w:szCs w:val="24"/>
        </w:rPr>
      </w:pPr>
      <w:r w:rsidRPr="00426534">
        <w:rPr>
          <w:rFonts w:cs="Times New Roman"/>
          <w:szCs w:val="24"/>
        </w:rPr>
        <w:t>5cm wide) labeled alphabetically, A, B, and C. Each mouse was made to undergo an exploration test. In which, it was placed into arm A of the apparatus and allowed to move freely. That is, explore the three chambers for 5 min without reinforcement. An arm entry was scored when the four paws of the animals were completely in the arm of the Y-maze, while alternation was measured when an animal entered into all three arms in consecutive order. The following parameters were determined or measured:</w:t>
      </w:r>
    </w:p>
    <w:p w14:paraId="75026F4A" w14:textId="37DBAACF" w:rsidR="0053371C" w:rsidRPr="00426534" w:rsidRDefault="0053371C" w:rsidP="00794906">
      <w:pPr>
        <w:autoSpaceDE w:val="0"/>
        <w:autoSpaceDN w:val="0"/>
        <w:adjustRightInd w:val="0"/>
        <w:spacing w:after="0" w:line="360" w:lineRule="auto"/>
        <w:jc w:val="both"/>
        <w:rPr>
          <w:rFonts w:cs="Times New Roman"/>
          <w:szCs w:val="24"/>
        </w:rPr>
      </w:pPr>
      <w:r w:rsidRPr="00426534">
        <w:rPr>
          <w:rFonts w:cs="Times New Roman"/>
          <w:szCs w:val="24"/>
        </w:rPr>
        <w:t xml:space="preserve">• Frequency of arm entries by </w:t>
      </w:r>
      <w:r w:rsidR="00BF7DA3" w:rsidRPr="00426534">
        <w:rPr>
          <w:rFonts w:cs="Times New Roman"/>
          <w:szCs w:val="24"/>
        </w:rPr>
        <w:t>animals as an indices of hyperactivity</w:t>
      </w:r>
    </w:p>
    <w:p w14:paraId="797463A3" w14:textId="77777777" w:rsidR="0053371C" w:rsidRPr="00426534" w:rsidRDefault="0053371C" w:rsidP="00794906">
      <w:pPr>
        <w:autoSpaceDE w:val="0"/>
        <w:autoSpaceDN w:val="0"/>
        <w:adjustRightInd w:val="0"/>
        <w:spacing w:after="0" w:line="360" w:lineRule="auto"/>
        <w:jc w:val="both"/>
        <w:rPr>
          <w:rFonts w:cs="Times New Roman"/>
          <w:szCs w:val="24"/>
        </w:rPr>
      </w:pPr>
      <w:r w:rsidRPr="00426534">
        <w:rPr>
          <w:rFonts w:cs="Times New Roman"/>
          <w:szCs w:val="24"/>
        </w:rPr>
        <w:t>• Alternations (consecutive navigations across all three arms i.e., ABC, CAB, or BCA but not</w:t>
      </w:r>
    </w:p>
    <w:p w14:paraId="011F6ADD" w14:textId="014DCC61" w:rsidR="0053371C" w:rsidRPr="00426534" w:rsidRDefault="0053371C" w:rsidP="00794906">
      <w:pPr>
        <w:autoSpaceDE w:val="0"/>
        <w:autoSpaceDN w:val="0"/>
        <w:adjustRightInd w:val="0"/>
        <w:spacing w:after="0" w:line="360" w:lineRule="auto"/>
        <w:jc w:val="both"/>
        <w:rPr>
          <w:rFonts w:cs="Times New Roman"/>
          <w:szCs w:val="24"/>
        </w:rPr>
      </w:pPr>
      <w:r w:rsidRPr="00426534">
        <w:rPr>
          <w:rFonts w:cs="Times New Roman"/>
          <w:szCs w:val="24"/>
        </w:rPr>
        <w:t>BAB or ABA). At the end of the experiment, the percentage</w:t>
      </w:r>
      <w:r w:rsidR="00BF7DA3" w:rsidRPr="00426534">
        <w:rPr>
          <w:rFonts w:cs="Times New Roman"/>
          <w:szCs w:val="24"/>
        </w:rPr>
        <w:t xml:space="preserve"> correct</w:t>
      </w:r>
      <w:r w:rsidRPr="00426534">
        <w:rPr>
          <w:rFonts w:cs="Times New Roman"/>
          <w:szCs w:val="24"/>
        </w:rPr>
        <w:t xml:space="preserve"> alternation (an index of spatial working memory) was calculated using the formula:</w:t>
      </w:r>
    </w:p>
    <w:p w14:paraId="2D53637F" w14:textId="77777777" w:rsidR="0053371C" w:rsidRPr="00426534" w:rsidRDefault="00F8123B" w:rsidP="00794906">
      <w:pPr>
        <w:autoSpaceDE w:val="0"/>
        <w:autoSpaceDN w:val="0"/>
        <w:adjustRightInd w:val="0"/>
        <w:spacing w:after="0" w:line="360" w:lineRule="auto"/>
        <w:jc w:val="both"/>
        <w:rPr>
          <w:rFonts w:cs="Times New Roman"/>
          <w:b/>
          <w:bCs/>
          <w:szCs w:val="24"/>
        </w:rPr>
      </w:pPr>
      <m:oMath>
        <m:f>
          <m:fPr>
            <m:ctrlPr>
              <w:rPr>
                <w:rFonts w:ascii="Cambria Math" w:hAnsi="Cambria Math" w:cs="Times New Roman"/>
                <w:b/>
                <w:bCs/>
                <w:i/>
                <w:szCs w:val="24"/>
              </w:rPr>
            </m:ctrlPr>
          </m:fPr>
          <m:num>
            <m:r>
              <m:rPr>
                <m:sty m:val="p"/>
              </m:rPr>
              <w:rPr>
                <w:rFonts w:ascii="Cambria Math" w:hAnsi="Cambria Math" w:cs="Times New Roman"/>
                <w:szCs w:val="24"/>
              </w:rPr>
              <m:t>Total alternation number</m:t>
            </m:r>
          </m:num>
          <m:den>
            <m:r>
              <m:rPr>
                <m:sty m:val="p"/>
              </m:rPr>
              <w:rPr>
                <w:rFonts w:ascii="Cambria Math" w:hAnsi="Cambria Math" w:cs="Times New Roman"/>
                <w:szCs w:val="24"/>
              </w:rPr>
              <m:t>Total number of entries - 2</m:t>
            </m:r>
          </m:den>
        </m:f>
        <m:r>
          <m:rPr>
            <m:sty m:val="b"/>
          </m:rPr>
          <w:rPr>
            <w:rFonts w:ascii="Cambria Math" w:hAnsi="Cambria Math" w:cs="Times New Roman"/>
            <w:szCs w:val="24"/>
          </w:rPr>
          <m:t xml:space="preserve"> </m:t>
        </m:r>
        <m:r>
          <m:rPr>
            <m:sty m:val="b"/>
          </m:rPr>
          <w:rPr>
            <w:rFonts w:ascii="Cambria Math" w:hAnsi="Cambria Math" w:cs="Times New Roman"/>
            <w:szCs w:val="24"/>
          </w:rPr>
          <m:t>X</m:t>
        </m:r>
        <m:r>
          <m:rPr>
            <m:sty m:val="b"/>
          </m:rPr>
          <w:rPr>
            <w:rFonts w:ascii="Cambria Math" w:hAnsi="Cambria Math" w:cs="Times New Roman"/>
            <w:szCs w:val="24"/>
          </w:rPr>
          <m:t xml:space="preserve"> </m:t>
        </m:r>
        <m:r>
          <m:rPr>
            <m:sty m:val="b"/>
          </m:rPr>
          <w:rPr>
            <w:rFonts w:ascii="Cambria Math" w:hAnsi="Cambria Math" w:cs="Times New Roman"/>
            <w:szCs w:val="24"/>
          </w:rPr>
          <m:t>100</m:t>
        </m:r>
      </m:oMath>
      <w:r w:rsidR="0053371C" w:rsidRPr="00426534">
        <w:rPr>
          <w:rFonts w:cs="Times New Roman"/>
          <w:b/>
          <w:bCs/>
          <w:szCs w:val="24"/>
        </w:rPr>
        <w:t xml:space="preserve"> </w:t>
      </w:r>
    </w:p>
    <w:p w14:paraId="731CD65A" w14:textId="77777777" w:rsidR="0053371C" w:rsidRPr="00426534" w:rsidRDefault="0053371C" w:rsidP="00794906">
      <w:pPr>
        <w:spacing w:after="0" w:line="360" w:lineRule="auto"/>
        <w:jc w:val="both"/>
        <w:rPr>
          <w:rFonts w:cs="Times New Roman"/>
          <w:bCs/>
          <w:szCs w:val="24"/>
        </w:rPr>
      </w:pPr>
    </w:p>
    <w:p w14:paraId="34583085" w14:textId="47C402D2" w:rsidR="0053371C" w:rsidRPr="00426534" w:rsidRDefault="00530049" w:rsidP="00794906">
      <w:pPr>
        <w:spacing w:after="0" w:line="360" w:lineRule="auto"/>
        <w:jc w:val="both"/>
        <w:rPr>
          <w:rFonts w:eastAsia="Times New Roman" w:cs="Times New Roman"/>
          <w:szCs w:val="24"/>
        </w:rPr>
      </w:pPr>
      <w:r w:rsidRPr="00426534">
        <w:rPr>
          <w:rFonts w:cs="Times New Roman"/>
          <w:b/>
          <w:szCs w:val="24"/>
        </w:rPr>
        <w:t xml:space="preserve">2.5.2 </w:t>
      </w:r>
      <w:r w:rsidR="0053371C" w:rsidRPr="00426534">
        <w:rPr>
          <w:rFonts w:cs="Times New Roman"/>
          <w:b/>
          <w:szCs w:val="24"/>
        </w:rPr>
        <w:t>Effect of TF on hyperactivity using the open field test (OFT)</w:t>
      </w:r>
    </w:p>
    <w:p w14:paraId="06BDB54E" w14:textId="64B40972" w:rsidR="0056666F" w:rsidRPr="00426534" w:rsidRDefault="0053371C" w:rsidP="00794906">
      <w:pPr>
        <w:pStyle w:val="NormalWeb"/>
        <w:spacing w:before="0" w:beforeAutospacing="0" w:after="0" w:afterAutospacing="0" w:line="360" w:lineRule="auto"/>
        <w:jc w:val="both"/>
      </w:pPr>
      <w:r w:rsidRPr="00426534">
        <w:t>The effect of TF on hyperactivity was assessed using the open field test apparatus, which was constructed using gray plastic wood as the material, following the measurements described earlier (</w:t>
      </w:r>
      <w:proofErr w:type="spellStart"/>
      <w:r w:rsidRPr="00426534">
        <w:t>Näslund</w:t>
      </w:r>
      <w:proofErr w:type="spellEnd"/>
      <w:r w:rsidRPr="00426534">
        <w:t xml:space="preserve">, 2021). A light source of a 35 W bulb was suspended approximately 1 m above the apparatus for background lighting. Mice were carried to the testing room in their home cages, handled by the tails, and placed in the apparatus and allowed to explore the field for 20 minutes. After each trial, the apparatus was cleaned using 70% alcohol and </w:t>
      </w:r>
      <w:r w:rsidR="00BF7DA3" w:rsidRPr="00426534">
        <w:t>allowed</w:t>
      </w:r>
      <w:r w:rsidRPr="00426534">
        <w:t xml:space="preserve"> </w:t>
      </w:r>
      <w:r w:rsidR="00BF7DA3" w:rsidRPr="00426534">
        <w:t xml:space="preserve">to </w:t>
      </w:r>
      <w:r w:rsidRPr="00426534">
        <w:t xml:space="preserve">dry. The exploration was then recorded for later analysis </w:t>
      </w:r>
      <w:r w:rsidR="006A6C51" w:rsidRPr="00426534">
        <w:t>and</w:t>
      </w:r>
      <w:r w:rsidRPr="00426534">
        <w:t xml:space="preserve"> the center zone and periphery zone were defined, where the center zone is 34.5 cm × 34.5 cm</w:t>
      </w:r>
      <w:r w:rsidR="00584A5F" w:rsidRPr="00426534">
        <w:t xml:space="preserve"> </w:t>
      </w:r>
      <w:r w:rsidR="00BB5F89" w:rsidRPr="00426534">
        <w:t xml:space="preserve">and duration </w:t>
      </w:r>
      <w:r w:rsidRPr="00426534">
        <w:t>of ambulation w</w:t>
      </w:r>
      <w:r w:rsidR="00BB5F89" w:rsidRPr="00426534">
        <w:t>as</w:t>
      </w:r>
      <w:r w:rsidRPr="00426534">
        <w:t xml:space="preserve"> obtained</w:t>
      </w:r>
      <w:r w:rsidR="008D6564" w:rsidRPr="00426534">
        <w:t xml:space="preserve"> in seconds</w:t>
      </w:r>
      <w:r w:rsidRPr="00426534">
        <w:t>.</w:t>
      </w:r>
    </w:p>
    <w:p w14:paraId="2B4D2131" w14:textId="77777777" w:rsidR="00D45EDE" w:rsidRPr="00426534" w:rsidRDefault="00D45EDE" w:rsidP="00794906">
      <w:pPr>
        <w:pStyle w:val="NormalWeb"/>
        <w:spacing w:before="0" w:beforeAutospacing="0" w:after="0" w:afterAutospacing="0" w:line="360" w:lineRule="auto"/>
        <w:jc w:val="both"/>
      </w:pPr>
    </w:p>
    <w:p w14:paraId="4CAF69A7" w14:textId="669D464B" w:rsidR="00F75E2E" w:rsidRPr="00426534" w:rsidRDefault="00530049" w:rsidP="00794906">
      <w:pPr>
        <w:spacing w:after="0" w:line="360" w:lineRule="auto"/>
        <w:jc w:val="both"/>
        <w:rPr>
          <w:rFonts w:eastAsia="Times New Roman" w:cs="Times New Roman"/>
          <w:szCs w:val="24"/>
        </w:rPr>
      </w:pPr>
      <w:r w:rsidRPr="00426534">
        <w:rPr>
          <w:rFonts w:cs="Times New Roman"/>
          <w:b/>
          <w:szCs w:val="24"/>
        </w:rPr>
        <w:t xml:space="preserve">2.5.3 </w:t>
      </w:r>
      <w:r w:rsidR="00F75E2E" w:rsidRPr="00426534">
        <w:rPr>
          <w:rFonts w:cs="Times New Roman"/>
          <w:b/>
          <w:szCs w:val="24"/>
        </w:rPr>
        <w:t xml:space="preserve">Effect of TF on impulsivity using the Marble Burying Test </w:t>
      </w:r>
    </w:p>
    <w:p w14:paraId="15C1F3B7" w14:textId="0373007F" w:rsidR="00F75E2E" w:rsidRPr="00426534" w:rsidRDefault="00F75E2E" w:rsidP="00794906">
      <w:pPr>
        <w:spacing w:after="0" w:line="360" w:lineRule="auto"/>
        <w:jc w:val="both"/>
        <w:rPr>
          <w:rFonts w:cs="Times New Roman"/>
          <w:szCs w:val="24"/>
        </w:rPr>
      </w:pPr>
      <w:r w:rsidRPr="00426534">
        <w:rPr>
          <w:rFonts w:cs="Times New Roman"/>
          <w:szCs w:val="24"/>
        </w:rPr>
        <w:t xml:space="preserve">The Marble Burying Test (MBT) is a widely used </w:t>
      </w:r>
      <w:proofErr w:type="spellStart"/>
      <w:r w:rsidRPr="00426534">
        <w:rPr>
          <w:rFonts w:cs="Times New Roman"/>
          <w:szCs w:val="24"/>
        </w:rPr>
        <w:t>behavio</w:t>
      </w:r>
      <w:r w:rsidR="00844034">
        <w:rPr>
          <w:rFonts w:cs="Times New Roman"/>
          <w:szCs w:val="24"/>
        </w:rPr>
        <w:t>u</w:t>
      </w:r>
      <w:r w:rsidRPr="00426534">
        <w:rPr>
          <w:rFonts w:cs="Times New Roman"/>
          <w:szCs w:val="24"/>
        </w:rPr>
        <w:t>ral</w:t>
      </w:r>
      <w:proofErr w:type="spellEnd"/>
      <w:r w:rsidRPr="00426534">
        <w:rPr>
          <w:rFonts w:cs="Times New Roman"/>
          <w:szCs w:val="24"/>
        </w:rPr>
        <w:t xml:space="preserve"> assay primarily utilized to evaluate impulsive, repetitive, anxiety, and compulsive-like behaviors in rodents, particularly mice</w:t>
      </w:r>
      <w:r w:rsidR="00D45EDE" w:rsidRPr="00426534">
        <w:rPr>
          <w:rFonts w:cs="Times New Roman"/>
          <w:szCs w:val="24"/>
        </w:rPr>
        <w:t xml:space="preserve"> (Thomas </w:t>
      </w:r>
      <w:r w:rsidR="00D45EDE" w:rsidRPr="00426534">
        <w:rPr>
          <w:rFonts w:cs="Times New Roman"/>
          <w:iCs/>
          <w:szCs w:val="24"/>
        </w:rPr>
        <w:t>et al.,</w:t>
      </w:r>
      <w:r w:rsidR="00D45EDE" w:rsidRPr="00426534">
        <w:rPr>
          <w:rFonts w:cs="Times New Roman"/>
          <w:szCs w:val="24"/>
        </w:rPr>
        <w:t>2009; Schneider and Popik, 2007)</w:t>
      </w:r>
      <w:r w:rsidRPr="00426534">
        <w:rPr>
          <w:rFonts w:cs="Times New Roman"/>
          <w:szCs w:val="24"/>
        </w:rPr>
        <w:t xml:space="preserve">. The test is based on the natural tendency of rodents to dig and bury objects in their environment. A standard testing cage (typically a transparent plastic cage) is filled with 5 cm deep bedding material, such as wood shavings or corncob. A set number of glass marbles (usually 20) are evenly spaced on the surface of the bedding. The marbles are typically uniform in size (about 1.5 cm in diameter). Before the test, mice are usually acclimated to the testing room to reduce novelty-induced anxiety. Each mouse is placed individually into a cage containing the marbles and allowed to explore for a specified period, typically 30 minutes. After the testing period, the number of marbles </w:t>
      </w:r>
      <w:r w:rsidR="0096348E" w:rsidRPr="00426534">
        <w:rPr>
          <w:rFonts w:cs="Times New Roman"/>
          <w:szCs w:val="24"/>
        </w:rPr>
        <w:t>displaced</w:t>
      </w:r>
      <w:r w:rsidRPr="00426534">
        <w:rPr>
          <w:rFonts w:cs="Times New Roman"/>
          <w:szCs w:val="24"/>
        </w:rPr>
        <w:t xml:space="preserve"> is recorded.</w:t>
      </w:r>
      <w:r w:rsidR="00CE49AA" w:rsidRPr="00426534">
        <w:rPr>
          <w:rFonts w:cs="Times New Roman"/>
          <w:szCs w:val="24"/>
        </w:rPr>
        <w:t xml:space="preserve"> </w:t>
      </w:r>
      <w:r w:rsidRPr="00426534">
        <w:rPr>
          <w:rFonts w:cs="Times New Roman"/>
          <w:szCs w:val="24"/>
        </w:rPr>
        <w:t xml:space="preserve">Increased marble </w:t>
      </w:r>
      <w:r w:rsidR="0096348E" w:rsidRPr="00426534">
        <w:rPr>
          <w:rFonts w:cs="Times New Roman"/>
          <w:szCs w:val="24"/>
        </w:rPr>
        <w:t>displacement</w:t>
      </w:r>
      <w:r w:rsidRPr="00426534">
        <w:rPr>
          <w:rFonts w:cs="Times New Roman"/>
          <w:szCs w:val="24"/>
        </w:rPr>
        <w:t xml:space="preserve"> is often interpreted as a sign of increased anxiety or compulsive behavior, whereas decreased </w:t>
      </w:r>
      <w:r w:rsidR="0096348E" w:rsidRPr="00426534">
        <w:rPr>
          <w:rFonts w:cs="Times New Roman"/>
          <w:szCs w:val="24"/>
        </w:rPr>
        <w:t>displacement</w:t>
      </w:r>
      <w:r w:rsidRPr="00426534">
        <w:rPr>
          <w:rFonts w:cs="Times New Roman"/>
          <w:szCs w:val="24"/>
        </w:rPr>
        <w:t xml:space="preserve"> may indicate reduced anxiety or compulsiveness, often used in pharmacological studies to evaluate the effects of anxiolytic or anti-compulsive </w:t>
      </w:r>
      <w:r w:rsidR="00670D7C" w:rsidRPr="00426534">
        <w:rPr>
          <w:rFonts w:cs="Times New Roman"/>
          <w:szCs w:val="24"/>
        </w:rPr>
        <w:t xml:space="preserve">agents </w:t>
      </w:r>
      <w:r w:rsidR="00D45EDE" w:rsidRPr="00426534">
        <w:rPr>
          <w:rFonts w:cs="Times New Roman"/>
          <w:szCs w:val="24"/>
        </w:rPr>
        <w:t xml:space="preserve">(De Brouwer </w:t>
      </w:r>
      <w:r w:rsidR="00D45EDE" w:rsidRPr="00426534">
        <w:rPr>
          <w:rFonts w:cs="Times New Roman"/>
          <w:iCs/>
          <w:szCs w:val="24"/>
        </w:rPr>
        <w:t xml:space="preserve">et al., </w:t>
      </w:r>
      <w:r w:rsidR="00D45EDE" w:rsidRPr="00426534">
        <w:rPr>
          <w:rFonts w:cs="Times New Roman"/>
          <w:szCs w:val="24"/>
        </w:rPr>
        <w:t>2019)</w:t>
      </w:r>
      <w:r w:rsidRPr="00426534">
        <w:rPr>
          <w:rFonts w:cs="Times New Roman"/>
          <w:szCs w:val="24"/>
        </w:rPr>
        <w:t xml:space="preserve">. </w:t>
      </w:r>
    </w:p>
    <w:p w14:paraId="0E662917" w14:textId="77777777" w:rsidR="00D45EDE" w:rsidRPr="00426534" w:rsidRDefault="00D45EDE" w:rsidP="00794906">
      <w:pPr>
        <w:spacing w:after="0" w:line="360" w:lineRule="auto"/>
        <w:jc w:val="both"/>
        <w:rPr>
          <w:rFonts w:cs="Times New Roman"/>
          <w:szCs w:val="24"/>
        </w:rPr>
      </w:pPr>
    </w:p>
    <w:p w14:paraId="6F0F420B" w14:textId="5BD2507A" w:rsidR="0096348E" w:rsidRPr="00426534" w:rsidRDefault="00530049" w:rsidP="00794906">
      <w:pPr>
        <w:pStyle w:val="Heading2"/>
        <w:spacing w:line="360" w:lineRule="auto"/>
        <w:jc w:val="both"/>
        <w:rPr>
          <w:rFonts w:ascii="Times New Roman" w:hAnsi="Times New Roman" w:cs="Times New Roman"/>
          <w:b/>
          <w:bCs/>
          <w:color w:val="auto"/>
          <w:sz w:val="24"/>
          <w:szCs w:val="24"/>
        </w:rPr>
      </w:pPr>
      <w:r w:rsidRPr="00426534">
        <w:rPr>
          <w:rFonts w:ascii="Times New Roman" w:hAnsi="Times New Roman" w:cs="Times New Roman"/>
          <w:b/>
          <w:bCs/>
          <w:color w:val="auto"/>
          <w:sz w:val="24"/>
          <w:szCs w:val="24"/>
        </w:rPr>
        <w:lastRenderedPageBreak/>
        <w:t xml:space="preserve">2.6 </w:t>
      </w:r>
      <w:r w:rsidR="0096348E" w:rsidRPr="00426534">
        <w:rPr>
          <w:rFonts w:ascii="Times New Roman" w:hAnsi="Times New Roman" w:cs="Times New Roman"/>
          <w:b/>
          <w:bCs/>
          <w:color w:val="auto"/>
          <w:sz w:val="24"/>
          <w:szCs w:val="24"/>
        </w:rPr>
        <w:t xml:space="preserve">Histology and estimation of neuronal density </w:t>
      </w:r>
    </w:p>
    <w:p w14:paraId="158A208B" w14:textId="20CB777A" w:rsidR="0096348E" w:rsidRPr="00426534" w:rsidRDefault="0096348E" w:rsidP="00A90603">
      <w:pPr>
        <w:autoSpaceDE w:val="0"/>
        <w:autoSpaceDN w:val="0"/>
        <w:adjustRightInd w:val="0"/>
        <w:spacing w:after="0" w:line="360" w:lineRule="auto"/>
        <w:jc w:val="both"/>
        <w:rPr>
          <w:rFonts w:cs="Times New Roman"/>
          <w:szCs w:val="24"/>
        </w:rPr>
      </w:pPr>
      <w:r w:rsidRPr="00426534">
        <w:rPr>
          <w:rFonts w:cs="Times New Roman"/>
          <w:szCs w:val="24"/>
        </w:rPr>
        <w:t>Representative brain tissue sections of each treatment group were stained with Hematoxylin and Eosin to demonstrate general histology of the striatum</w:t>
      </w:r>
      <w:r w:rsidR="00794906" w:rsidRPr="00426534">
        <w:rPr>
          <w:rFonts w:cs="Times New Roman"/>
          <w:szCs w:val="24"/>
        </w:rPr>
        <w:t xml:space="preserve"> and amygdala</w:t>
      </w:r>
      <w:r w:rsidRPr="00426534">
        <w:rPr>
          <w:rFonts w:cs="Times New Roman"/>
          <w:szCs w:val="24"/>
        </w:rPr>
        <w:t xml:space="preserve"> according to the method of </w:t>
      </w:r>
      <w:proofErr w:type="spellStart"/>
      <w:r w:rsidRPr="00426534">
        <w:rPr>
          <w:rFonts w:cs="Times New Roman"/>
          <w:szCs w:val="24"/>
        </w:rPr>
        <w:t>Eltony</w:t>
      </w:r>
      <w:proofErr w:type="spellEnd"/>
      <w:r w:rsidRPr="00426534">
        <w:rPr>
          <w:rFonts w:cs="Times New Roman"/>
          <w:szCs w:val="24"/>
        </w:rPr>
        <w:t xml:space="preserve"> and </w:t>
      </w:r>
      <w:proofErr w:type="spellStart"/>
      <w:r w:rsidRPr="00426534">
        <w:rPr>
          <w:rFonts w:cs="Times New Roman"/>
          <w:szCs w:val="24"/>
        </w:rPr>
        <w:t>Elgayar</w:t>
      </w:r>
      <w:proofErr w:type="spellEnd"/>
      <w:r w:rsidRPr="00426534">
        <w:rPr>
          <w:rFonts w:cs="Times New Roman"/>
          <w:szCs w:val="24"/>
        </w:rPr>
        <w:t>, (2014). Thereafter, images were acquired using an Optronics Digital Camera connected to a computer interface (</w:t>
      </w:r>
      <w:proofErr w:type="spellStart"/>
      <w:r w:rsidRPr="00426534">
        <w:rPr>
          <w:rFonts w:cs="Times New Roman"/>
          <w:szCs w:val="24"/>
        </w:rPr>
        <w:t>MagnaFire</w:t>
      </w:r>
      <w:proofErr w:type="spellEnd"/>
      <w:r w:rsidRPr="00426534">
        <w:rPr>
          <w:rFonts w:cs="Times New Roman"/>
          <w:szCs w:val="24"/>
        </w:rPr>
        <w:t xml:space="preserve">) and an Olympus BX-51 Binocular research microscope. The general structure of the pyramidal cell, peri-glomerular and granule cells were characterized using inter-reader variability. Viable neuronal cells were counted using Image J at X400 or X250 at different microscopic fields for all groups using the method described by Going, (1994). </w:t>
      </w:r>
      <w:r w:rsidRPr="00426534">
        <w:rPr>
          <w:rFonts w:cs="Times New Roman"/>
          <w:szCs w:val="24"/>
          <w:shd w:val="clear" w:color="auto" w:fill="FFFFFF"/>
        </w:rPr>
        <w:t>Sanya</w:t>
      </w:r>
      <w:r w:rsidRPr="00426534">
        <w:rPr>
          <w:rFonts w:cs="Times New Roman"/>
          <w:szCs w:val="24"/>
        </w:rPr>
        <w:t xml:space="preserve"> Viable neuronal cells were defined as round-shaped, cytoplasmic membrane-intact cells, without any nuclear condensation or distorted aspect. Neuronal density was calculated as a ratio of viable neuronal cells to square area of the circular view in a section.</w:t>
      </w:r>
    </w:p>
    <w:p w14:paraId="5393E4DE" w14:textId="77777777" w:rsidR="00A90603" w:rsidRPr="00426534" w:rsidRDefault="00A90603" w:rsidP="00A90603">
      <w:pPr>
        <w:autoSpaceDE w:val="0"/>
        <w:autoSpaceDN w:val="0"/>
        <w:adjustRightInd w:val="0"/>
        <w:spacing w:after="0" w:line="360" w:lineRule="auto"/>
        <w:jc w:val="both"/>
        <w:rPr>
          <w:rFonts w:cs="Times New Roman"/>
          <w:szCs w:val="24"/>
        </w:rPr>
      </w:pPr>
    </w:p>
    <w:p w14:paraId="0A8BB14E" w14:textId="41DA9615" w:rsidR="00B036C4" w:rsidRPr="00426534" w:rsidRDefault="00530049" w:rsidP="00794906">
      <w:pPr>
        <w:pStyle w:val="Heading2"/>
        <w:spacing w:line="360" w:lineRule="auto"/>
        <w:jc w:val="both"/>
        <w:rPr>
          <w:rFonts w:ascii="Times New Roman" w:hAnsi="Times New Roman" w:cs="Times New Roman"/>
          <w:b/>
          <w:bCs/>
          <w:color w:val="auto"/>
          <w:sz w:val="24"/>
          <w:szCs w:val="24"/>
        </w:rPr>
      </w:pPr>
      <w:bookmarkStart w:id="0" w:name="_Toc184303640"/>
      <w:bookmarkStart w:id="1" w:name="OLE_LINK18"/>
      <w:r w:rsidRPr="00426534">
        <w:rPr>
          <w:rFonts w:ascii="Times New Roman" w:hAnsi="Times New Roman" w:cs="Times New Roman"/>
          <w:b/>
          <w:bCs/>
          <w:color w:val="auto"/>
          <w:sz w:val="24"/>
          <w:szCs w:val="24"/>
        </w:rPr>
        <w:t xml:space="preserve">2.7 </w:t>
      </w:r>
      <w:r w:rsidR="00A90603" w:rsidRPr="00426534">
        <w:rPr>
          <w:rFonts w:ascii="Times New Roman" w:hAnsi="Times New Roman" w:cs="Times New Roman"/>
          <w:b/>
          <w:bCs/>
          <w:color w:val="auto"/>
          <w:sz w:val="24"/>
          <w:szCs w:val="24"/>
        </w:rPr>
        <w:t>STATISTICAL ANALYSIS</w:t>
      </w:r>
      <w:bookmarkEnd w:id="0"/>
    </w:p>
    <w:p w14:paraId="532738C0" w14:textId="22B8ED53" w:rsidR="00722297" w:rsidRPr="00426534" w:rsidRDefault="00B036C4" w:rsidP="00B4334A">
      <w:pPr>
        <w:spacing w:line="360" w:lineRule="auto"/>
        <w:jc w:val="both"/>
        <w:rPr>
          <w:rFonts w:cs="Times New Roman"/>
          <w:szCs w:val="24"/>
        </w:rPr>
      </w:pPr>
      <w:r w:rsidRPr="00426534">
        <w:rPr>
          <w:rFonts w:cs="Times New Roman"/>
          <w:szCs w:val="24"/>
        </w:rPr>
        <w:t xml:space="preserve">All data were presented as Mean ±SEM. The results were analyzed by one-way analysis of variance (ANOVA), and post hoc tests (Student’s Newman–Keuls) was carried out to determine the source of significant main effect using Graph Pad </w:t>
      </w:r>
      <w:proofErr w:type="spellStart"/>
      <w:r w:rsidRPr="00426534">
        <w:rPr>
          <w:rFonts w:cs="Times New Roman"/>
          <w:szCs w:val="24"/>
        </w:rPr>
        <w:t>InStat</w:t>
      </w:r>
      <w:proofErr w:type="spellEnd"/>
      <w:r w:rsidRPr="00426534">
        <w:rPr>
          <w:rFonts w:cs="Times New Roman"/>
          <w:szCs w:val="24"/>
          <w:vertAlign w:val="superscript"/>
        </w:rPr>
        <w:t>®</w:t>
      </w:r>
      <w:r w:rsidRPr="00426534">
        <w:rPr>
          <w:rFonts w:cs="Times New Roman"/>
          <w:szCs w:val="24"/>
        </w:rPr>
        <w:t xml:space="preserve"> Biostatistics software. The level of significance for all tests was set at α</w:t>
      </w:r>
      <w:r w:rsidRPr="00426534">
        <w:rPr>
          <w:rFonts w:cs="Times New Roman"/>
          <w:szCs w:val="24"/>
          <w:vertAlign w:val="subscript"/>
        </w:rPr>
        <w:t>0.05</w:t>
      </w:r>
      <w:bookmarkEnd w:id="1"/>
      <w:r w:rsidRPr="00426534">
        <w:rPr>
          <w:rFonts w:cs="Times New Roman"/>
          <w:szCs w:val="24"/>
        </w:rPr>
        <w:t>.</w:t>
      </w:r>
    </w:p>
    <w:p w14:paraId="554023E2" w14:textId="6E6AA800" w:rsidR="00A90603" w:rsidRPr="00426534" w:rsidRDefault="00530049" w:rsidP="00A90603">
      <w:pPr>
        <w:pStyle w:val="ListParagraph"/>
        <w:numPr>
          <w:ilvl w:val="0"/>
          <w:numId w:val="5"/>
        </w:numPr>
        <w:spacing w:after="0" w:line="360" w:lineRule="auto"/>
        <w:ind w:left="360"/>
        <w:jc w:val="both"/>
        <w:rPr>
          <w:rFonts w:eastAsia="Times New Roman" w:cs="Times New Roman"/>
          <w:b/>
          <w:bCs/>
          <w:color w:val="1E293B"/>
          <w:szCs w:val="24"/>
        </w:rPr>
      </w:pPr>
      <w:r w:rsidRPr="00426534">
        <w:rPr>
          <w:rFonts w:eastAsia="Times New Roman" w:cs="Times New Roman"/>
          <w:b/>
          <w:bCs/>
          <w:color w:val="1E293B"/>
          <w:szCs w:val="24"/>
        </w:rPr>
        <w:t>RESULTS</w:t>
      </w:r>
    </w:p>
    <w:p w14:paraId="5FFE487C" w14:textId="0F01328D" w:rsidR="00942491" w:rsidRPr="00426534" w:rsidRDefault="00530049" w:rsidP="00942491">
      <w:pPr>
        <w:autoSpaceDE w:val="0"/>
        <w:autoSpaceDN w:val="0"/>
        <w:adjustRightInd w:val="0"/>
        <w:spacing w:after="0" w:line="360" w:lineRule="auto"/>
        <w:jc w:val="both"/>
        <w:rPr>
          <w:rFonts w:cs="Times New Roman"/>
          <w:b/>
          <w:szCs w:val="24"/>
        </w:rPr>
      </w:pPr>
      <w:r w:rsidRPr="00426534">
        <w:rPr>
          <w:rFonts w:cs="Times New Roman"/>
          <w:b/>
          <w:bCs/>
          <w:szCs w:val="24"/>
        </w:rPr>
        <w:t xml:space="preserve">3.1 </w:t>
      </w:r>
      <w:r w:rsidR="00942491" w:rsidRPr="00426534">
        <w:rPr>
          <w:rFonts w:cs="Times New Roman"/>
          <w:b/>
          <w:bCs/>
          <w:szCs w:val="24"/>
        </w:rPr>
        <w:t xml:space="preserve">The effect of theaflavin on </w:t>
      </w:r>
      <w:r w:rsidR="00942491" w:rsidRPr="00426534">
        <w:rPr>
          <w:rFonts w:cs="Times New Roman"/>
          <w:b/>
          <w:szCs w:val="24"/>
        </w:rPr>
        <w:t>cognition, inattentiveness and hyperactivity using the Y-maze</w:t>
      </w:r>
    </w:p>
    <w:p w14:paraId="3285298C" w14:textId="4F6E1308" w:rsidR="001D5134" w:rsidRPr="00426534" w:rsidRDefault="00942491" w:rsidP="00942491">
      <w:pPr>
        <w:spacing w:after="0" w:line="360" w:lineRule="auto"/>
        <w:jc w:val="both"/>
        <w:rPr>
          <w:rFonts w:cs="Times New Roman"/>
          <w:b/>
          <w:bCs/>
          <w:szCs w:val="24"/>
        </w:rPr>
      </w:pPr>
      <w:r w:rsidRPr="00426534">
        <w:rPr>
          <w:rFonts w:cs="Times New Roman"/>
          <w:b/>
          <w:bCs/>
          <w:szCs w:val="24"/>
        </w:rPr>
        <w:t>in mice model of ADHD induced prenatally by alcohol.</w:t>
      </w:r>
    </w:p>
    <w:p w14:paraId="3FA07454" w14:textId="507950C8" w:rsidR="00742C03" w:rsidRPr="00426534" w:rsidRDefault="00942491" w:rsidP="00942491">
      <w:pPr>
        <w:spacing w:after="0" w:line="360" w:lineRule="auto"/>
        <w:jc w:val="both"/>
        <w:rPr>
          <w:rFonts w:cs="Times New Roman"/>
          <w:szCs w:val="24"/>
        </w:rPr>
      </w:pPr>
      <w:r w:rsidRPr="00426534">
        <w:rPr>
          <w:rFonts w:cs="Times New Roman"/>
          <w:szCs w:val="24"/>
        </w:rPr>
        <w:t xml:space="preserve">The effect of Theaflavin (TF) administered daily for 30 days on cognitive </w:t>
      </w:r>
      <w:proofErr w:type="spellStart"/>
      <w:r w:rsidRPr="00426534">
        <w:rPr>
          <w:rFonts w:cs="Times New Roman"/>
          <w:szCs w:val="24"/>
        </w:rPr>
        <w:t>behaviour</w:t>
      </w:r>
      <w:proofErr w:type="spellEnd"/>
      <w:r w:rsidRPr="00426534">
        <w:rPr>
          <w:rFonts w:cs="Times New Roman"/>
          <w:szCs w:val="24"/>
        </w:rPr>
        <w:t xml:space="preserve">, attention span and hyperactivity, as measured by the number of percentage correct alternation in the Y-maze test, is shown in </w:t>
      </w:r>
      <w:r w:rsidRPr="00426534">
        <w:rPr>
          <w:rStyle w:val="Strong"/>
          <w:rFonts w:cs="Times New Roman"/>
          <w:szCs w:val="24"/>
        </w:rPr>
        <w:t>Figure 1 and Figure 2.</w:t>
      </w:r>
      <w:r w:rsidRPr="00426534">
        <w:rPr>
          <w:rFonts w:cs="Times New Roman"/>
          <w:szCs w:val="24"/>
        </w:rPr>
        <w:t xml:space="preserve"> </w:t>
      </w:r>
    </w:p>
    <w:p w14:paraId="15D769F8" w14:textId="46A2575B" w:rsidR="00942491" w:rsidRPr="00426534" w:rsidRDefault="00742C03" w:rsidP="00942491">
      <w:pPr>
        <w:spacing w:after="0" w:line="360" w:lineRule="auto"/>
        <w:jc w:val="both"/>
        <w:rPr>
          <w:rFonts w:cs="Times New Roman"/>
          <w:szCs w:val="24"/>
        </w:rPr>
      </w:pPr>
      <w:r w:rsidRPr="00426534">
        <w:rPr>
          <w:rFonts w:cs="Times New Roman"/>
          <w:szCs w:val="24"/>
        </w:rPr>
        <w:t>O</w:t>
      </w:r>
      <w:r w:rsidR="00942491" w:rsidRPr="00426534">
        <w:rPr>
          <w:rFonts w:cs="Times New Roman"/>
          <w:szCs w:val="24"/>
        </w:rPr>
        <w:t xml:space="preserve">ne-way ANOVA </w:t>
      </w:r>
      <w:r w:rsidRPr="00426534">
        <w:rPr>
          <w:rFonts w:cs="Times New Roman"/>
          <w:szCs w:val="24"/>
        </w:rPr>
        <w:t xml:space="preserve">from figure 1 </w:t>
      </w:r>
      <w:r w:rsidR="00942491" w:rsidRPr="00426534">
        <w:rPr>
          <w:rFonts w:cs="Times New Roman"/>
          <w:szCs w:val="24"/>
        </w:rPr>
        <w:t xml:space="preserve">showed that there were significant differences between treatment groups. Post hoc analysis using Tukey’s test revealed that TF (10, 20 mg/kg) given daily for 30 days produced a significant (p&lt;0.05) </w:t>
      </w:r>
      <w:bookmarkStart w:id="2" w:name="_Hlk189317073"/>
      <w:r w:rsidR="00942491" w:rsidRPr="00426534">
        <w:rPr>
          <w:rFonts w:cs="Times New Roman"/>
          <w:szCs w:val="24"/>
        </w:rPr>
        <w:t>improvement in attention span</w:t>
      </w:r>
      <w:bookmarkEnd w:id="2"/>
      <w:r w:rsidR="00942491" w:rsidRPr="00426534">
        <w:rPr>
          <w:rFonts w:cs="Times New Roman"/>
          <w:szCs w:val="24"/>
        </w:rPr>
        <w:t xml:space="preserve">, as evidenced </w:t>
      </w:r>
      <w:bookmarkStart w:id="3" w:name="_Hlk189317190"/>
      <w:r w:rsidR="00942491" w:rsidRPr="00426534">
        <w:rPr>
          <w:rFonts w:cs="Times New Roman"/>
          <w:szCs w:val="24"/>
        </w:rPr>
        <w:t xml:space="preserve">by an increased percentage of correct alternation </w:t>
      </w:r>
      <w:bookmarkEnd w:id="3"/>
      <w:r w:rsidR="00942491" w:rsidRPr="00426534">
        <w:rPr>
          <w:rFonts w:cs="Times New Roman"/>
          <w:szCs w:val="24"/>
        </w:rPr>
        <w:t xml:space="preserve">when compared with the alcohol group only. TF at 20 mg/kg showed the most significant (p&lt;0.05) improvement compared to the alcohol group only, </w:t>
      </w:r>
      <w:bookmarkStart w:id="4" w:name="OLE_LINK3"/>
      <w:r w:rsidR="00942491" w:rsidRPr="00426534">
        <w:rPr>
          <w:rFonts w:cs="Times New Roman"/>
          <w:szCs w:val="24"/>
        </w:rPr>
        <w:t xml:space="preserve">while the alcohol group showed a significant (p&lt;0.05) reduction in attention span as depicted by a reduced percentage correct alternation when compared to the control group. </w:t>
      </w:r>
      <w:bookmarkEnd w:id="4"/>
    </w:p>
    <w:p w14:paraId="68E82A62" w14:textId="1CF2CCB1" w:rsidR="00942491" w:rsidRPr="00426534" w:rsidRDefault="00742C03" w:rsidP="00942491">
      <w:pPr>
        <w:spacing w:after="0" w:line="360" w:lineRule="auto"/>
        <w:jc w:val="both"/>
        <w:rPr>
          <w:rFonts w:cs="Times New Roman"/>
          <w:szCs w:val="24"/>
        </w:rPr>
      </w:pPr>
      <w:r w:rsidRPr="00426534">
        <w:rPr>
          <w:rFonts w:cs="Times New Roman"/>
          <w:szCs w:val="24"/>
        </w:rPr>
        <w:lastRenderedPageBreak/>
        <w:t xml:space="preserve">One-way ANOVA from figure 2 shows that there were significant differences between treatment groups. Post hoc analysis using Tukey’s test revealed that TF (10, 20 mg/kg) given daily for 30 days produced a significant (p&lt;0.05) decrease in hyperactivity, as evidenced by the reduced the number of arm entries in the Y-maze when compared to the alcohol group only, while the alcohol group showed a significant (p&lt;0.05) increased hyperactivity as seen in the increased number of arm entries </w:t>
      </w:r>
      <w:r w:rsidR="00BB5F89" w:rsidRPr="00426534">
        <w:rPr>
          <w:rFonts w:cs="Times New Roman"/>
          <w:szCs w:val="24"/>
        </w:rPr>
        <w:t>when compared with the control.</w:t>
      </w:r>
    </w:p>
    <w:p w14:paraId="7CB60238" w14:textId="77777777" w:rsidR="00BB5F89" w:rsidRPr="00426534" w:rsidRDefault="00BB5F89" w:rsidP="00942491">
      <w:pPr>
        <w:spacing w:after="0" w:line="360" w:lineRule="auto"/>
        <w:jc w:val="both"/>
        <w:rPr>
          <w:rFonts w:cs="Times New Roman"/>
          <w:szCs w:val="24"/>
        </w:rPr>
      </w:pPr>
    </w:p>
    <w:p w14:paraId="5722812F" w14:textId="77777777" w:rsidR="00BB5F89" w:rsidRPr="00426534" w:rsidRDefault="00BB5F89" w:rsidP="00942491">
      <w:pPr>
        <w:spacing w:after="0" w:line="360" w:lineRule="auto"/>
        <w:jc w:val="both"/>
        <w:rPr>
          <w:rFonts w:cs="Times New Roman"/>
          <w:szCs w:val="24"/>
        </w:rPr>
      </w:pPr>
    </w:p>
    <w:p w14:paraId="09D205F3" w14:textId="77777777" w:rsidR="00BB5F89" w:rsidRPr="00426534" w:rsidRDefault="00BB5F89" w:rsidP="00942491">
      <w:pPr>
        <w:spacing w:after="0" w:line="360" w:lineRule="auto"/>
        <w:jc w:val="both"/>
        <w:rPr>
          <w:rFonts w:cs="Times New Roman"/>
          <w:szCs w:val="24"/>
        </w:rPr>
      </w:pPr>
    </w:p>
    <w:p w14:paraId="2DAECD8A" w14:textId="77777777" w:rsidR="00942491" w:rsidRPr="00426534" w:rsidRDefault="00942491" w:rsidP="00942491">
      <w:pPr>
        <w:spacing w:line="360" w:lineRule="auto"/>
        <w:jc w:val="both"/>
        <w:rPr>
          <w:rFonts w:cs="Times New Roman"/>
          <w:szCs w:val="24"/>
        </w:rPr>
      </w:pPr>
      <w:r w:rsidRPr="00426534">
        <w:rPr>
          <w:rFonts w:cs="Times New Roman"/>
          <w:szCs w:val="24"/>
        </w:rPr>
        <w:object w:dxaOrig="7186" w:dyaOrig="3919" w14:anchorId="4E01CA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8pt;height:194.8pt" o:ole="">
            <v:imagedata r:id="rId7" o:title=""/>
          </v:shape>
          <o:OLEObject Type="Embed" ProgID="Prism10.Document" ShapeID="_x0000_i1025" DrawAspect="Content" ObjectID="_1808555364" r:id="rId8"/>
        </w:object>
      </w:r>
      <w:bookmarkStart w:id="5" w:name="OLE_LINK1"/>
      <w:bookmarkStart w:id="6" w:name="OLE_LINK2"/>
    </w:p>
    <w:p w14:paraId="260FFC1A" w14:textId="7CA267FE" w:rsidR="00942491" w:rsidRPr="00426534" w:rsidRDefault="00942491" w:rsidP="00942491">
      <w:pPr>
        <w:spacing w:line="240" w:lineRule="auto"/>
        <w:jc w:val="both"/>
        <w:rPr>
          <w:rFonts w:cs="Times New Roman"/>
          <w:szCs w:val="24"/>
        </w:rPr>
      </w:pPr>
      <w:r w:rsidRPr="00426534">
        <w:rPr>
          <w:rFonts w:cs="Times New Roman"/>
          <w:b/>
          <w:bCs/>
          <w:szCs w:val="24"/>
        </w:rPr>
        <w:t xml:space="preserve">Figure 1: The effect of theaflavin on cognitive </w:t>
      </w:r>
      <w:proofErr w:type="spellStart"/>
      <w:r w:rsidRPr="00426534">
        <w:rPr>
          <w:rFonts w:cs="Times New Roman"/>
          <w:b/>
          <w:bCs/>
          <w:szCs w:val="24"/>
        </w:rPr>
        <w:t>behaviour</w:t>
      </w:r>
      <w:proofErr w:type="spellEnd"/>
      <w:r w:rsidRPr="00426534">
        <w:rPr>
          <w:rFonts w:cs="Times New Roman"/>
          <w:b/>
          <w:bCs/>
          <w:szCs w:val="24"/>
        </w:rPr>
        <w:t xml:space="preserve"> and attention span in mice model of ADHD induced prenatally by alcohol using the Y-maze.</w:t>
      </w:r>
    </w:p>
    <w:p w14:paraId="4E474A89" w14:textId="77777777" w:rsidR="00942491" w:rsidRPr="00426534" w:rsidRDefault="00942491" w:rsidP="00942491">
      <w:pPr>
        <w:spacing w:line="240" w:lineRule="auto"/>
        <w:jc w:val="both"/>
        <w:rPr>
          <w:rFonts w:cs="Times New Roman"/>
          <w:szCs w:val="24"/>
        </w:rPr>
      </w:pPr>
      <w:r w:rsidRPr="00426534">
        <w:rPr>
          <w:rFonts w:cs="Times New Roman"/>
          <w:szCs w:val="24"/>
        </w:rPr>
        <w:t>Values represent the mean ± S.E.M for 5 animals per group</w:t>
      </w:r>
    </w:p>
    <w:p w14:paraId="2003427D" w14:textId="77777777" w:rsidR="00942491" w:rsidRPr="00426534" w:rsidRDefault="00942491" w:rsidP="00942491">
      <w:pPr>
        <w:spacing w:line="240" w:lineRule="auto"/>
        <w:jc w:val="both"/>
        <w:rPr>
          <w:rFonts w:cs="Times New Roman"/>
          <w:szCs w:val="24"/>
        </w:rPr>
      </w:pPr>
      <w:r w:rsidRPr="00426534">
        <w:rPr>
          <w:rFonts w:cs="Times New Roman"/>
          <w:szCs w:val="24"/>
        </w:rPr>
        <w:t xml:space="preserve"># p&lt;0.05 compared to the control group (ANOVA followed by Tukey’s post hoc test).  </w:t>
      </w:r>
    </w:p>
    <w:p w14:paraId="381A6B49" w14:textId="77777777" w:rsidR="00942491" w:rsidRPr="00426534" w:rsidRDefault="00942491" w:rsidP="00942491">
      <w:pPr>
        <w:spacing w:line="240" w:lineRule="auto"/>
        <w:jc w:val="both"/>
        <w:rPr>
          <w:rFonts w:cs="Times New Roman"/>
          <w:szCs w:val="24"/>
        </w:rPr>
      </w:pPr>
      <w:r w:rsidRPr="00426534">
        <w:rPr>
          <w:rFonts w:cs="Times New Roman"/>
          <w:szCs w:val="24"/>
        </w:rPr>
        <w:t>* p&lt;0.05 compared to the pathologic group (ANOVA followed by Tukey’s post hoc test).</w:t>
      </w:r>
      <w:bookmarkEnd w:id="5"/>
      <w:bookmarkEnd w:id="6"/>
    </w:p>
    <w:p w14:paraId="7511DF75" w14:textId="77777777" w:rsidR="0056666F" w:rsidRPr="00426534" w:rsidRDefault="0056666F" w:rsidP="00794906">
      <w:pPr>
        <w:spacing w:line="360" w:lineRule="auto"/>
        <w:jc w:val="both"/>
        <w:rPr>
          <w:rFonts w:cs="Times New Roman"/>
          <w:szCs w:val="24"/>
        </w:rPr>
      </w:pPr>
    </w:p>
    <w:p w14:paraId="196B8CB5" w14:textId="7E911E7B" w:rsidR="00942491" w:rsidRPr="00426534" w:rsidRDefault="00BB5F89" w:rsidP="00794906">
      <w:pPr>
        <w:spacing w:line="360" w:lineRule="auto"/>
        <w:jc w:val="both"/>
        <w:rPr>
          <w:rFonts w:cs="Times New Roman"/>
          <w:szCs w:val="24"/>
        </w:rPr>
      </w:pPr>
      <w:r w:rsidRPr="00426534">
        <w:rPr>
          <w:rFonts w:cs="Times New Roman"/>
          <w:szCs w:val="24"/>
        </w:rPr>
        <w:object w:dxaOrig="7133" w:dyaOrig="3898" w14:anchorId="4EDFE641">
          <v:shape id="_x0000_i1026" type="#_x0000_t75" style="width:356.95pt;height:195.45pt" o:ole="">
            <v:imagedata r:id="rId9" o:title=""/>
          </v:shape>
          <o:OLEObject Type="Embed" ProgID="Prism10.Document" ShapeID="_x0000_i1026" DrawAspect="Content" ObjectID="_1808555365" r:id="rId10"/>
        </w:object>
      </w:r>
    </w:p>
    <w:p w14:paraId="31F54E0C" w14:textId="2B2C8DFC" w:rsidR="00BB5F89" w:rsidRPr="00426534" w:rsidRDefault="00BB5F89" w:rsidP="00BB5F89">
      <w:pPr>
        <w:spacing w:line="240" w:lineRule="auto"/>
        <w:jc w:val="both"/>
        <w:rPr>
          <w:rFonts w:cs="Times New Roman"/>
          <w:szCs w:val="24"/>
        </w:rPr>
      </w:pPr>
      <w:r w:rsidRPr="00426534">
        <w:rPr>
          <w:rFonts w:cs="Times New Roman"/>
          <w:b/>
          <w:bCs/>
          <w:szCs w:val="24"/>
        </w:rPr>
        <w:t>Figure 2: The effect of theaflavin on hyperactivity in mice model of ADHD induced prenatally by alcohol using the Y-maze.</w:t>
      </w:r>
    </w:p>
    <w:p w14:paraId="2ABFEBF1" w14:textId="77777777" w:rsidR="00BB5F89" w:rsidRPr="00426534" w:rsidRDefault="00BB5F89" w:rsidP="00BB5F89">
      <w:pPr>
        <w:spacing w:line="240" w:lineRule="auto"/>
        <w:jc w:val="both"/>
        <w:rPr>
          <w:rFonts w:cs="Times New Roman"/>
          <w:szCs w:val="24"/>
        </w:rPr>
      </w:pPr>
      <w:r w:rsidRPr="00426534">
        <w:rPr>
          <w:rFonts w:cs="Times New Roman"/>
          <w:szCs w:val="24"/>
        </w:rPr>
        <w:t>Values represent the mean ± S.E.M for 5 animals per group</w:t>
      </w:r>
    </w:p>
    <w:p w14:paraId="1FCB3E44" w14:textId="77777777" w:rsidR="00BB5F89" w:rsidRPr="00426534" w:rsidRDefault="00BB5F89" w:rsidP="00BB5F89">
      <w:pPr>
        <w:spacing w:line="240" w:lineRule="auto"/>
        <w:jc w:val="both"/>
        <w:rPr>
          <w:rFonts w:cs="Times New Roman"/>
          <w:szCs w:val="24"/>
        </w:rPr>
      </w:pPr>
      <w:r w:rsidRPr="00426534">
        <w:rPr>
          <w:rFonts w:cs="Times New Roman"/>
          <w:szCs w:val="24"/>
        </w:rPr>
        <w:t xml:space="preserve"># p&lt;0.05 compared to the control group (ANOVA followed by Tukey’s post hoc test).  </w:t>
      </w:r>
    </w:p>
    <w:p w14:paraId="2D5D11DE" w14:textId="3F68E178" w:rsidR="00BB5F89" w:rsidRPr="00426534" w:rsidRDefault="00BB5F89" w:rsidP="00BB5F89">
      <w:pPr>
        <w:spacing w:line="240" w:lineRule="auto"/>
        <w:jc w:val="both"/>
        <w:rPr>
          <w:rFonts w:cs="Times New Roman"/>
          <w:szCs w:val="24"/>
        </w:rPr>
      </w:pPr>
      <w:r w:rsidRPr="00426534">
        <w:rPr>
          <w:rFonts w:cs="Times New Roman"/>
          <w:szCs w:val="24"/>
        </w:rPr>
        <w:t>* p&lt;0.05 compared to the pathologic group (ANOVA followed by Tukey’s post hoc test).</w:t>
      </w:r>
    </w:p>
    <w:p w14:paraId="1DF1AEAE" w14:textId="77777777" w:rsidR="00A90603" w:rsidRPr="00426534" w:rsidRDefault="00A90603" w:rsidP="00BB5F89">
      <w:pPr>
        <w:spacing w:line="240" w:lineRule="auto"/>
        <w:jc w:val="both"/>
        <w:rPr>
          <w:rFonts w:cs="Times New Roman"/>
          <w:szCs w:val="24"/>
        </w:rPr>
      </w:pPr>
    </w:p>
    <w:p w14:paraId="15C2EAB5" w14:textId="36EECC41" w:rsidR="00BB5F89" w:rsidRPr="00426534" w:rsidRDefault="00530049" w:rsidP="00BB5F89">
      <w:pPr>
        <w:autoSpaceDE w:val="0"/>
        <w:autoSpaceDN w:val="0"/>
        <w:adjustRightInd w:val="0"/>
        <w:spacing w:after="0" w:line="360" w:lineRule="auto"/>
        <w:jc w:val="both"/>
        <w:rPr>
          <w:rFonts w:cs="Times New Roman"/>
          <w:b/>
          <w:szCs w:val="24"/>
        </w:rPr>
      </w:pPr>
      <w:r w:rsidRPr="00426534">
        <w:rPr>
          <w:rFonts w:cs="Times New Roman"/>
          <w:b/>
          <w:bCs/>
          <w:szCs w:val="24"/>
        </w:rPr>
        <w:t xml:space="preserve">3.2 </w:t>
      </w:r>
      <w:r w:rsidR="00BB5F89" w:rsidRPr="00426534">
        <w:rPr>
          <w:rFonts w:cs="Times New Roman"/>
          <w:b/>
          <w:bCs/>
          <w:szCs w:val="24"/>
        </w:rPr>
        <w:t xml:space="preserve">The effect of theaflavin on </w:t>
      </w:r>
      <w:r w:rsidR="00BB5F89" w:rsidRPr="00426534">
        <w:rPr>
          <w:rFonts w:cs="Times New Roman"/>
          <w:b/>
          <w:szCs w:val="24"/>
        </w:rPr>
        <w:t xml:space="preserve">hyperactivity using the Open field test </w:t>
      </w:r>
      <w:r w:rsidR="00BB5F89" w:rsidRPr="00426534">
        <w:rPr>
          <w:rFonts w:cs="Times New Roman"/>
          <w:b/>
          <w:bCs/>
          <w:szCs w:val="24"/>
        </w:rPr>
        <w:t>in mice model of ADHD induced prenatally by alcohol.</w:t>
      </w:r>
    </w:p>
    <w:p w14:paraId="71B2EFFA" w14:textId="78965709" w:rsidR="00BB5F89" w:rsidRPr="00426534" w:rsidRDefault="00BB5F89" w:rsidP="00BB5F89">
      <w:pPr>
        <w:spacing w:after="0" w:line="360" w:lineRule="auto"/>
        <w:jc w:val="both"/>
        <w:rPr>
          <w:rFonts w:cs="Times New Roman"/>
          <w:szCs w:val="24"/>
        </w:rPr>
      </w:pPr>
      <w:r w:rsidRPr="00426534">
        <w:rPr>
          <w:rFonts w:cs="Times New Roman"/>
          <w:szCs w:val="24"/>
        </w:rPr>
        <w:t xml:space="preserve">The effect of Theaflavin (TF) administered daily for 30 days on hyperactivity, as measured by the duration of ambulation as shown in </w:t>
      </w:r>
      <w:r w:rsidRPr="00426534">
        <w:rPr>
          <w:rStyle w:val="Strong"/>
          <w:rFonts w:cs="Times New Roman"/>
          <w:szCs w:val="24"/>
        </w:rPr>
        <w:t>Figure 3.</w:t>
      </w:r>
      <w:r w:rsidRPr="00426534">
        <w:rPr>
          <w:rFonts w:cs="Times New Roman"/>
          <w:szCs w:val="24"/>
        </w:rPr>
        <w:t xml:space="preserve"> </w:t>
      </w:r>
    </w:p>
    <w:p w14:paraId="78AD3BEF" w14:textId="08F10C21" w:rsidR="00BB5F89" w:rsidRPr="00426534" w:rsidRDefault="00BB5F89" w:rsidP="00BB5F89">
      <w:pPr>
        <w:spacing w:after="0" w:line="360" w:lineRule="auto"/>
        <w:jc w:val="both"/>
        <w:rPr>
          <w:rFonts w:cs="Times New Roman"/>
          <w:szCs w:val="24"/>
        </w:rPr>
      </w:pPr>
      <w:r w:rsidRPr="00426534">
        <w:rPr>
          <w:rFonts w:cs="Times New Roman"/>
          <w:szCs w:val="24"/>
        </w:rPr>
        <w:t xml:space="preserve">One-way ANOVA showed that there were significant differences between treatment groups. Post hoc analysis using Tukey’s test revealed that TF (10, 20 mg/kg) given daily for 30 days produced a significant (p&lt;0.05) reduction in hyperactivity, as evidenced by a decreased duration of ambulation when compared with the alcohol group only. While the alcohol group showed a significant (p&lt;0.05) increase in hyperactivity as evidenced by </w:t>
      </w:r>
      <w:proofErr w:type="spellStart"/>
      <w:proofErr w:type="gramStart"/>
      <w:r w:rsidRPr="00426534">
        <w:rPr>
          <w:rFonts w:cs="Times New Roman"/>
          <w:szCs w:val="24"/>
        </w:rPr>
        <w:t>a</w:t>
      </w:r>
      <w:proofErr w:type="spellEnd"/>
      <w:proofErr w:type="gramEnd"/>
      <w:r w:rsidRPr="00426534">
        <w:rPr>
          <w:rFonts w:cs="Times New Roman"/>
          <w:szCs w:val="24"/>
        </w:rPr>
        <w:t xml:space="preserve"> </w:t>
      </w:r>
      <w:r w:rsidR="008D6564" w:rsidRPr="00426534">
        <w:rPr>
          <w:rFonts w:cs="Times New Roman"/>
          <w:szCs w:val="24"/>
        </w:rPr>
        <w:t xml:space="preserve">increase in the duration of ambulation </w:t>
      </w:r>
      <w:r w:rsidRPr="00426534">
        <w:rPr>
          <w:rFonts w:cs="Times New Roman"/>
          <w:szCs w:val="24"/>
        </w:rPr>
        <w:t xml:space="preserve">when compared to the control group. </w:t>
      </w:r>
    </w:p>
    <w:p w14:paraId="55F6ABF4" w14:textId="77777777" w:rsidR="00BB5F89" w:rsidRPr="00426534" w:rsidRDefault="00BB5F89" w:rsidP="00BB5F89">
      <w:pPr>
        <w:spacing w:line="240" w:lineRule="auto"/>
        <w:jc w:val="both"/>
        <w:rPr>
          <w:rFonts w:cs="Times New Roman"/>
          <w:szCs w:val="24"/>
        </w:rPr>
      </w:pPr>
    </w:p>
    <w:p w14:paraId="010AAD40" w14:textId="77777777" w:rsidR="00BB5F89" w:rsidRPr="00426534" w:rsidRDefault="00BB5F89" w:rsidP="00BB5F89">
      <w:pPr>
        <w:spacing w:line="240" w:lineRule="auto"/>
        <w:jc w:val="both"/>
        <w:rPr>
          <w:rFonts w:cs="Times New Roman"/>
          <w:szCs w:val="24"/>
        </w:rPr>
      </w:pPr>
    </w:p>
    <w:p w14:paraId="04B7C682" w14:textId="77777777" w:rsidR="00BB5F89" w:rsidRPr="00426534" w:rsidRDefault="00BB5F89" w:rsidP="00BB5F89">
      <w:pPr>
        <w:spacing w:line="240" w:lineRule="auto"/>
        <w:jc w:val="both"/>
        <w:rPr>
          <w:rFonts w:cs="Times New Roman"/>
          <w:szCs w:val="24"/>
        </w:rPr>
      </w:pPr>
    </w:p>
    <w:p w14:paraId="5A962AEF" w14:textId="77777777" w:rsidR="00BB5F89" w:rsidRPr="00426534" w:rsidRDefault="00BB5F89" w:rsidP="00BB5F89">
      <w:pPr>
        <w:spacing w:line="240" w:lineRule="auto"/>
        <w:jc w:val="both"/>
        <w:rPr>
          <w:rFonts w:cs="Times New Roman"/>
          <w:szCs w:val="24"/>
        </w:rPr>
      </w:pPr>
    </w:p>
    <w:p w14:paraId="79FAFD6E" w14:textId="77777777" w:rsidR="0056666F" w:rsidRPr="00426534" w:rsidRDefault="0056666F" w:rsidP="00794906">
      <w:pPr>
        <w:spacing w:line="360" w:lineRule="auto"/>
        <w:jc w:val="both"/>
        <w:rPr>
          <w:rFonts w:cs="Times New Roman"/>
          <w:szCs w:val="24"/>
        </w:rPr>
      </w:pPr>
    </w:p>
    <w:p w14:paraId="2A8973E7" w14:textId="53A02CEB" w:rsidR="0056666F" w:rsidRPr="00426534" w:rsidRDefault="00B4334A" w:rsidP="00794906">
      <w:pPr>
        <w:spacing w:line="360" w:lineRule="auto"/>
        <w:jc w:val="both"/>
        <w:rPr>
          <w:rFonts w:cs="Times New Roman"/>
          <w:szCs w:val="24"/>
        </w:rPr>
      </w:pPr>
      <w:r w:rsidRPr="00426534">
        <w:rPr>
          <w:rFonts w:cs="Times New Roman"/>
          <w:szCs w:val="24"/>
        </w:rPr>
        <w:object w:dxaOrig="7126" w:dyaOrig="3861" w14:anchorId="77851F60">
          <v:shape id="_x0000_i1027" type="#_x0000_t75" style="width:356.95pt;height:192.4pt" o:ole="">
            <v:imagedata r:id="rId11" o:title=""/>
          </v:shape>
          <o:OLEObject Type="Embed" ProgID="Prism10.Document" ShapeID="_x0000_i1027" DrawAspect="Content" ObjectID="_1808555366" r:id="rId12"/>
        </w:object>
      </w:r>
    </w:p>
    <w:p w14:paraId="0E27FF46" w14:textId="25F31627" w:rsidR="00BB5F89" w:rsidRPr="00426534" w:rsidRDefault="00BB5F89" w:rsidP="00BB5F89">
      <w:pPr>
        <w:spacing w:line="240" w:lineRule="auto"/>
        <w:jc w:val="both"/>
        <w:rPr>
          <w:rFonts w:cs="Times New Roman"/>
          <w:szCs w:val="24"/>
        </w:rPr>
      </w:pPr>
      <w:r w:rsidRPr="00426534">
        <w:rPr>
          <w:rFonts w:cs="Times New Roman"/>
          <w:b/>
          <w:bCs/>
          <w:szCs w:val="24"/>
        </w:rPr>
        <w:t>Figure 3: The effect of theaflavin on hyperactivity in mice model of ADHD induced prenatally by alcohol using the Open field test.</w:t>
      </w:r>
    </w:p>
    <w:p w14:paraId="2F78E7C3" w14:textId="77777777" w:rsidR="00BB5F89" w:rsidRPr="00426534" w:rsidRDefault="00BB5F89" w:rsidP="00BB5F89">
      <w:pPr>
        <w:spacing w:line="240" w:lineRule="auto"/>
        <w:jc w:val="both"/>
        <w:rPr>
          <w:rFonts w:cs="Times New Roman"/>
          <w:szCs w:val="24"/>
        </w:rPr>
      </w:pPr>
      <w:r w:rsidRPr="00426534">
        <w:rPr>
          <w:rFonts w:cs="Times New Roman"/>
          <w:szCs w:val="24"/>
        </w:rPr>
        <w:t>Values represent the mean ± S.E.M for 5 animals per group</w:t>
      </w:r>
    </w:p>
    <w:p w14:paraId="4C5FFAAE" w14:textId="77777777" w:rsidR="00BB5F89" w:rsidRPr="00426534" w:rsidRDefault="00BB5F89" w:rsidP="00BB5F89">
      <w:pPr>
        <w:spacing w:line="240" w:lineRule="auto"/>
        <w:jc w:val="both"/>
        <w:rPr>
          <w:rFonts w:cs="Times New Roman"/>
          <w:szCs w:val="24"/>
        </w:rPr>
      </w:pPr>
      <w:r w:rsidRPr="00426534">
        <w:rPr>
          <w:rFonts w:cs="Times New Roman"/>
          <w:szCs w:val="24"/>
        </w:rPr>
        <w:t xml:space="preserve"># p&lt;0.05 compared to the control group (ANOVA followed by Tukey’s post hoc test).  </w:t>
      </w:r>
    </w:p>
    <w:p w14:paraId="1920D30F" w14:textId="77777777" w:rsidR="00BB5F89" w:rsidRPr="00426534" w:rsidRDefault="00BB5F89" w:rsidP="00BB5F89">
      <w:pPr>
        <w:spacing w:line="240" w:lineRule="auto"/>
        <w:jc w:val="both"/>
        <w:rPr>
          <w:rFonts w:cs="Times New Roman"/>
          <w:szCs w:val="24"/>
        </w:rPr>
      </w:pPr>
      <w:r w:rsidRPr="00426534">
        <w:rPr>
          <w:rFonts w:cs="Times New Roman"/>
          <w:szCs w:val="24"/>
        </w:rPr>
        <w:t>* p&lt;0.05 compared to the pathologic group (ANOVA followed by Tukey’s post hoc test).</w:t>
      </w:r>
    </w:p>
    <w:p w14:paraId="1B4DA4DE" w14:textId="77777777" w:rsidR="00BB5F89" w:rsidRPr="00426534" w:rsidRDefault="00BB5F89" w:rsidP="00BB5F89">
      <w:pPr>
        <w:spacing w:line="360" w:lineRule="auto"/>
        <w:jc w:val="both"/>
        <w:rPr>
          <w:rFonts w:cs="Times New Roman"/>
          <w:szCs w:val="24"/>
        </w:rPr>
      </w:pPr>
    </w:p>
    <w:p w14:paraId="69DA6A70" w14:textId="44D29524" w:rsidR="008D6564" w:rsidRPr="00426534" w:rsidRDefault="00530049" w:rsidP="008D6564">
      <w:pPr>
        <w:spacing w:after="0" w:line="360" w:lineRule="auto"/>
        <w:jc w:val="both"/>
        <w:rPr>
          <w:rFonts w:cs="Times New Roman"/>
          <w:b/>
          <w:bCs/>
          <w:szCs w:val="24"/>
        </w:rPr>
      </w:pPr>
      <w:r w:rsidRPr="00426534">
        <w:rPr>
          <w:rFonts w:cs="Times New Roman"/>
          <w:b/>
          <w:bCs/>
          <w:szCs w:val="24"/>
        </w:rPr>
        <w:t xml:space="preserve">3.3 </w:t>
      </w:r>
      <w:r w:rsidR="008D6564" w:rsidRPr="00426534">
        <w:rPr>
          <w:rFonts w:cs="Times New Roman"/>
          <w:b/>
          <w:bCs/>
          <w:szCs w:val="24"/>
        </w:rPr>
        <w:t xml:space="preserve">The effect of theaflavin on Impulsivity in mice model of ADHD induced prenatally by alcohol. </w:t>
      </w:r>
    </w:p>
    <w:p w14:paraId="4F1490AE" w14:textId="63AEB649" w:rsidR="008D6564" w:rsidRPr="00426534" w:rsidRDefault="008D6564" w:rsidP="008D6564">
      <w:pPr>
        <w:spacing w:after="0" w:line="360" w:lineRule="auto"/>
        <w:jc w:val="both"/>
        <w:rPr>
          <w:rFonts w:cs="Times New Roman"/>
          <w:szCs w:val="24"/>
        </w:rPr>
      </w:pPr>
      <w:r w:rsidRPr="00426534">
        <w:rPr>
          <w:rFonts w:cs="Times New Roman"/>
          <w:szCs w:val="24"/>
        </w:rPr>
        <w:t xml:space="preserve">The effect of Theaflavin (TF) given daily for 30 days on impulsivity, as measured by the number of marbles displaced as shown in </w:t>
      </w:r>
      <w:r w:rsidRPr="00426534">
        <w:rPr>
          <w:rStyle w:val="Strong"/>
          <w:rFonts w:cs="Times New Roman"/>
          <w:szCs w:val="24"/>
        </w:rPr>
        <w:t xml:space="preserve">Figure 4. </w:t>
      </w:r>
      <w:r w:rsidRPr="00426534">
        <w:rPr>
          <w:rFonts w:cs="Times New Roman"/>
          <w:szCs w:val="24"/>
        </w:rPr>
        <w:t xml:space="preserve"> One-way ANOVA showed that there were significant differences between treatment groups. Post hoc analysis using Tukey’s post hoc test revealed that TF (10, 20 mg/kg) given daily for 30 days produced a significant (p&lt;0.05) decrease in impulsivity as evidenced by a decrease in the number of marbles displaced as compared to the alcohol group only, while the alcohol group produced a significant (p&lt;0.05) increased in impulsivity as evidenced by an increase in the number of marbles displaced as compared to the control group. </w:t>
      </w:r>
    </w:p>
    <w:p w14:paraId="62FF3076" w14:textId="77777777" w:rsidR="008D6564" w:rsidRPr="00426534" w:rsidRDefault="008D6564" w:rsidP="008D6564">
      <w:pPr>
        <w:spacing w:after="0" w:line="360" w:lineRule="auto"/>
        <w:jc w:val="both"/>
        <w:rPr>
          <w:rFonts w:cs="Times New Roman"/>
          <w:b/>
          <w:bCs/>
          <w:szCs w:val="24"/>
        </w:rPr>
      </w:pPr>
    </w:p>
    <w:p w14:paraId="420F371F" w14:textId="77777777" w:rsidR="009C2B1C" w:rsidRPr="00426534" w:rsidRDefault="00F8123B" w:rsidP="00794906">
      <w:pPr>
        <w:spacing w:line="360" w:lineRule="auto"/>
        <w:jc w:val="both"/>
        <w:rPr>
          <w:rFonts w:cs="Times New Roman"/>
          <w:szCs w:val="24"/>
        </w:rPr>
      </w:pPr>
      <w:r>
        <w:rPr>
          <w:rFonts w:cs="Times New Roman"/>
          <w:noProof/>
          <w:szCs w:val="24"/>
        </w:rPr>
        <w:lastRenderedPageBreak/>
        <w:object w:dxaOrig="1440" w:dyaOrig="1440" w14:anchorId="6E45162E">
          <v:shape id="_x0000_s1026" type="#_x0000_t75" style="position:absolute;left:0;text-align:left;margin-left:0;margin-top:0;width:337.5pt;height:195.75pt;z-index:251664384;mso-position-horizontal:left;mso-position-horizontal-relative:text;mso-position-vertical-relative:text">
            <v:imagedata r:id="rId13" o:title=""/>
            <w10:wrap type="square" side="right"/>
          </v:shape>
          <o:OLEObject Type="Embed" ProgID="Prism10.Document" ShapeID="_x0000_s1026" DrawAspect="Content" ObjectID="_1808555369" r:id="rId14"/>
        </w:object>
      </w:r>
    </w:p>
    <w:p w14:paraId="2CF27C30" w14:textId="77777777" w:rsidR="009C2B1C" w:rsidRPr="00426534" w:rsidRDefault="009C2B1C" w:rsidP="009C2B1C">
      <w:pPr>
        <w:rPr>
          <w:rFonts w:cs="Times New Roman"/>
          <w:szCs w:val="24"/>
        </w:rPr>
      </w:pPr>
    </w:p>
    <w:p w14:paraId="3A9B4263" w14:textId="77777777" w:rsidR="009C2B1C" w:rsidRPr="00426534" w:rsidRDefault="009C2B1C" w:rsidP="009C2B1C">
      <w:pPr>
        <w:rPr>
          <w:rFonts w:cs="Times New Roman"/>
          <w:szCs w:val="24"/>
        </w:rPr>
      </w:pPr>
    </w:p>
    <w:p w14:paraId="6EB039B7" w14:textId="77777777" w:rsidR="009C2B1C" w:rsidRPr="00426534" w:rsidRDefault="009C2B1C" w:rsidP="009C2B1C">
      <w:pPr>
        <w:rPr>
          <w:rFonts w:cs="Times New Roman"/>
          <w:szCs w:val="24"/>
        </w:rPr>
      </w:pPr>
    </w:p>
    <w:p w14:paraId="02B783AB" w14:textId="77777777" w:rsidR="009C2B1C" w:rsidRPr="00426534" w:rsidRDefault="009C2B1C" w:rsidP="00794906">
      <w:pPr>
        <w:spacing w:line="360" w:lineRule="auto"/>
        <w:jc w:val="both"/>
        <w:rPr>
          <w:rFonts w:cs="Times New Roman"/>
          <w:szCs w:val="24"/>
        </w:rPr>
      </w:pPr>
    </w:p>
    <w:p w14:paraId="34B1DAD3" w14:textId="79A32461" w:rsidR="0056666F" w:rsidRPr="00426534" w:rsidRDefault="009C2B1C" w:rsidP="00794906">
      <w:pPr>
        <w:spacing w:line="360" w:lineRule="auto"/>
        <w:jc w:val="both"/>
        <w:rPr>
          <w:rFonts w:cs="Times New Roman"/>
          <w:szCs w:val="24"/>
        </w:rPr>
      </w:pPr>
      <w:r w:rsidRPr="00426534">
        <w:rPr>
          <w:rFonts w:cs="Times New Roman"/>
          <w:szCs w:val="24"/>
        </w:rPr>
        <w:br w:type="textWrapping" w:clear="all"/>
      </w:r>
    </w:p>
    <w:p w14:paraId="5C290A1F" w14:textId="0864FF25" w:rsidR="008D6564" w:rsidRPr="00426534" w:rsidRDefault="008D6564" w:rsidP="008D6564">
      <w:pPr>
        <w:spacing w:line="360" w:lineRule="auto"/>
        <w:jc w:val="both"/>
        <w:rPr>
          <w:rFonts w:cs="Times New Roman"/>
          <w:b/>
          <w:bCs/>
          <w:szCs w:val="24"/>
        </w:rPr>
      </w:pPr>
      <w:bookmarkStart w:id="7" w:name="OLE_LINK8"/>
      <w:r w:rsidRPr="00426534">
        <w:rPr>
          <w:rFonts w:cs="Times New Roman"/>
          <w:b/>
          <w:bCs/>
          <w:szCs w:val="24"/>
        </w:rPr>
        <w:t>Figure 4: The effect of theaflavin on impulsivity in mice model of ADHD induced prenatally by alcohol using the marble burying test (MBT).</w:t>
      </w:r>
    </w:p>
    <w:p w14:paraId="2D762154" w14:textId="77777777" w:rsidR="008D6564" w:rsidRPr="00426534" w:rsidRDefault="008D6564" w:rsidP="008D6564">
      <w:pPr>
        <w:spacing w:line="360" w:lineRule="auto"/>
        <w:jc w:val="both"/>
        <w:rPr>
          <w:rFonts w:cs="Times New Roman"/>
          <w:szCs w:val="24"/>
        </w:rPr>
      </w:pPr>
      <w:r w:rsidRPr="00426534">
        <w:rPr>
          <w:rFonts w:cs="Times New Roman"/>
          <w:szCs w:val="24"/>
        </w:rPr>
        <w:t>Values represent the mean ± S.E.M for 5 animals per group</w:t>
      </w:r>
    </w:p>
    <w:p w14:paraId="27E953BB" w14:textId="77777777" w:rsidR="008D6564" w:rsidRPr="00426534" w:rsidRDefault="008D6564" w:rsidP="008D6564">
      <w:pPr>
        <w:spacing w:line="360" w:lineRule="auto"/>
        <w:jc w:val="both"/>
        <w:rPr>
          <w:rFonts w:cs="Times New Roman"/>
          <w:szCs w:val="24"/>
        </w:rPr>
      </w:pPr>
      <w:r w:rsidRPr="00426534">
        <w:rPr>
          <w:rFonts w:cs="Times New Roman"/>
          <w:szCs w:val="24"/>
        </w:rPr>
        <w:t xml:space="preserve"># p&lt;0.05 compared to the control group (ANOVA followed by Tukey’s post hoc test).  </w:t>
      </w:r>
    </w:p>
    <w:p w14:paraId="04CBF176" w14:textId="27F086A0" w:rsidR="00B4334A" w:rsidRPr="00426534" w:rsidRDefault="008D6564" w:rsidP="00794906">
      <w:pPr>
        <w:spacing w:line="360" w:lineRule="auto"/>
        <w:jc w:val="both"/>
        <w:rPr>
          <w:rFonts w:cs="Times New Roman"/>
          <w:szCs w:val="24"/>
        </w:rPr>
      </w:pPr>
      <w:r w:rsidRPr="00426534">
        <w:rPr>
          <w:rFonts w:cs="Times New Roman"/>
          <w:szCs w:val="24"/>
        </w:rPr>
        <w:t>* p&lt;0.05 compared to the pathologic group (ANOVA followed by Tukey’s post hoc test).</w:t>
      </w:r>
      <w:bookmarkEnd w:id="7"/>
    </w:p>
    <w:p w14:paraId="3F893BE0" w14:textId="5FE0802F" w:rsidR="00B4334A" w:rsidRPr="00426534" w:rsidRDefault="00530049" w:rsidP="00B4334A">
      <w:pPr>
        <w:spacing w:after="0" w:line="360" w:lineRule="auto"/>
        <w:jc w:val="both"/>
        <w:rPr>
          <w:rFonts w:cs="Times New Roman"/>
          <w:b/>
          <w:bCs/>
          <w:noProof/>
          <w:color w:val="000000" w:themeColor="text1"/>
          <w:szCs w:val="24"/>
        </w:rPr>
      </w:pPr>
      <w:bookmarkStart w:id="8" w:name="_Hlk193099710"/>
      <w:r w:rsidRPr="00426534">
        <w:rPr>
          <w:rFonts w:cs="Times New Roman"/>
          <w:b/>
          <w:bCs/>
          <w:color w:val="000000" w:themeColor="text1"/>
          <w:szCs w:val="24"/>
        </w:rPr>
        <w:t xml:space="preserve">3.4 </w:t>
      </w:r>
      <w:r w:rsidR="00B4334A" w:rsidRPr="00426534">
        <w:rPr>
          <w:rFonts w:cs="Times New Roman"/>
          <w:b/>
          <w:bCs/>
          <w:color w:val="000000" w:themeColor="text1"/>
          <w:szCs w:val="24"/>
        </w:rPr>
        <w:t>Photomicrograph</w:t>
      </w:r>
      <w:r w:rsidR="00B4334A" w:rsidRPr="00426534">
        <w:rPr>
          <w:rFonts w:cs="Times New Roman"/>
          <w:b/>
          <w:bCs/>
          <w:szCs w:val="24"/>
        </w:rPr>
        <w:t xml:space="preserve"> of the effect of theaflavin on </w:t>
      </w:r>
      <w:r w:rsidR="00B4334A" w:rsidRPr="00426534">
        <w:rPr>
          <w:rFonts w:cs="Times New Roman"/>
          <w:b/>
          <w:bCs/>
          <w:color w:val="000000" w:themeColor="text1"/>
          <w:szCs w:val="24"/>
        </w:rPr>
        <w:t>neuronal density count of the striatum in</w:t>
      </w:r>
      <w:r w:rsidR="00B4334A" w:rsidRPr="00426534">
        <w:rPr>
          <w:rFonts w:cs="Times New Roman"/>
          <w:b/>
          <w:bCs/>
          <w:szCs w:val="24"/>
        </w:rPr>
        <w:t xml:space="preserve"> mice model of ADHD induced prenatally by alcohol</w:t>
      </w:r>
      <w:r w:rsidR="00B4334A" w:rsidRPr="00426534">
        <w:rPr>
          <w:rFonts w:cs="Times New Roman"/>
          <w:b/>
          <w:bCs/>
          <w:color w:val="000000" w:themeColor="text1"/>
          <w:szCs w:val="24"/>
        </w:rPr>
        <w:t>.</w:t>
      </w:r>
      <w:r w:rsidR="00B4334A" w:rsidRPr="00426534">
        <w:rPr>
          <w:rFonts w:cs="Times New Roman"/>
          <w:b/>
          <w:bCs/>
          <w:noProof/>
          <w:color w:val="000000" w:themeColor="text1"/>
          <w:szCs w:val="24"/>
        </w:rPr>
        <mc:AlternateContent>
          <mc:Choice Requires="wps">
            <w:drawing>
              <wp:anchor distT="0" distB="0" distL="114300" distR="114300" simplePos="0" relativeHeight="251659264" behindDoc="0" locked="0" layoutInCell="1" allowOverlap="1" wp14:anchorId="71D1E959" wp14:editId="1CF1DD31">
                <wp:simplePos x="0" y="0"/>
                <wp:positionH relativeFrom="column">
                  <wp:posOffset>3267075</wp:posOffset>
                </wp:positionH>
                <wp:positionV relativeFrom="paragraph">
                  <wp:posOffset>3028950</wp:posOffset>
                </wp:positionV>
                <wp:extent cx="628650" cy="285750"/>
                <wp:effectExtent l="0" t="0" r="0" b="0"/>
                <wp:wrapNone/>
                <wp:docPr id="2004696318" name="Text Box 2"/>
                <wp:cNvGraphicFramePr/>
                <a:graphic xmlns:a="http://schemas.openxmlformats.org/drawingml/2006/main">
                  <a:graphicData uri="http://schemas.microsoft.com/office/word/2010/wordprocessingShape">
                    <wps:wsp>
                      <wps:cNvSpPr txBox="1"/>
                      <wps:spPr>
                        <a:xfrm>
                          <a:off x="0" y="0"/>
                          <a:ext cx="628650" cy="285750"/>
                        </a:xfrm>
                        <a:prstGeom prst="rect">
                          <a:avLst/>
                        </a:prstGeom>
                        <a:noFill/>
                        <a:ln w="6350">
                          <a:noFill/>
                        </a:ln>
                      </wps:spPr>
                      <wps:txbx>
                        <w:txbxContent>
                          <w:p w14:paraId="5C9E9929" w14:textId="77777777" w:rsidR="00B4334A" w:rsidRDefault="00B4334A" w:rsidP="00B4334A"/>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1D1E959" id="_x0000_t202" coordsize="21600,21600" o:spt="202" path="m,l,21600r21600,l21600,xe">
                <v:stroke joinstyle="miter"/>
                <v:path gradientshapeok="t" o:connecttype="rect"/>
              </v:shapetype>
              <v:shape id="Text Box 2" o:spid="_x0000_s1026" type="#_x0000_t202" style="position:absolute;left:0;text-align:left;margin-left:257.25pt;margin-top:238.5pt;width:49.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" filled="f" stroked="f" strokeweight=".5pt">
                <v:textbox>
                  <w:txbxContent>
                    <w:p w14:paraId="5C9E9929" w14:textId="77777777" w:rsidR="00B4334A" w:rsidRDefault="00B4334A" w:rsidP="00B4334A"/>
                  </w:txbxContent>
                </v:textbox>
              </v:shape>
            </w:pict>
          </mc:Fallback>
        </mc:AlternateContent>
      </w:r>
      <w:r w:rsidR="00B4334A" w:rsidRPr="00426534">
        <w:rPr>
          <w:rFonts w:cs="Times New Roman"/>
          <w:b/>
          <w:bCs/>
          <w:noProof/>
          <w:color w:val="000000" w:themeColor="text1"/>
          <w:szCs w:val="24"/>
        </w:rPr>
        <mc:AlternateContent>
          <mc:Choice Requires="wps">
            <w:drawing>
              <wp:anchor distT="0" distB="0" distL="114300" distR="114300" simplePos="0" relativeHeight="251660288" behindDoc="0" locked="0" layoutInCell="1" allowOverlap="1" wp14:anchorId="05BF5CF9" wp14:editId="195E6A77">
                <wp:simplePos x="0" y="0"/>
                <wp:positionH relativeFrom="column">
                  <wp:posOffset>238125</wp:posOffset>
                </wp:positionH>
                <wp:positionV relativeFrom="paragraph">
                  <wp:posOffset>3028950</wp:posOffset>
                </wp:positionV>
                <wp:extent cx="600075" cy="314325"/>
                <wp:effectExtent l="0" t="0" r="0" b="0"/>
                <wp:wrapNone/>
                <wp:docPr id="209412279" name="Text Box 1"/>
                <wp:cNvGraphicFramePr/>
                <a:graphic xmlns:a="http://schemas.openxmlformats.org/drawingml/2006/main">
                  <a:graphicData uri="http://schemas.microsoft.com/office/word/2010/wordprocessingShape">
                    <wps:wsp>
                      <wps:cNvSpPr txBox="1"/>
                      <wps:spPr>
                        <a:xfrm>
                          <a:off x="0" y="0"/>
                          <a:ext cx="600075" cy="314325"/>
                        </a:xfrm>
                        <a:prstGeom prst="rect">
                          <a:avLst/>
                        </a:prstGeom>
                        <a:noFill/>
                        <a:ln w="6350">
                          <a:noFill/>
                        </a:ln>
                      </wps:spPr>
                      <wps:txbx>
                        <w:txbxContent>
                          <w:p w14:paraId="389D6C36" w14:textId="77777777" w:rsidR="00B4334A" w:rsidRDefault="00B4334A" w:rsidP="00B4334A"/>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BF5CF9" id="Text Box 1" o:spid="_x0000_s1027" type="#_x0000_t202" style="position:absolute;left:0;text-align:left;margin-left:18.75pt;margin-top:238.5pt;width:47.2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" filled="f" stroked="f" strokeweight=".5pt">
                <v:textbox>
                  <w:txbxContent>
                    <w:p w14:paraId="389D6C36" w14:textId="77777777" w:rsidR="00B4334A" w:rsidRDefault="00B4334A" w:rsidP="00B4334A"/>
                  </w:txbxContent>
                </v:textbox>
              </v:shape>
            </w:pict>
          </mc:Fallback>
        </mc:AlternateContent>
      </w:r>
      <w:r w:rsidR="00B4334A" w:rsidRPr="00426534">
        <w:rPr>
          <w:rFonts w:cs="Times New Roman"/>
          <w:b/>
          <w:bCs/>
          <w:noProof/>
          <w:color w:val="000000" w:themeColor="text1"/>
          <w:szCs w:val="24"/>
        </w:rPr>
        <w:t xml:space="preserve">  </w:t>
      </w:r>
    </w:p>
    <w:p w14:paraId="0ECADCC4" w14:textId="77777777" w:rsidR="00B4334A" w:rsidRPr="00426534" w:rsidRDefault="00B4334A" w:rsidP="00B4334A">
      <w:pPr>
        <w:spacing w:after="0" w:line="360" w:lineRule="auto"/>
        <w:jc w:val="both"/>
        <w:rPr>
          <w:rFonts w:cs="Times New Roman"/>
          <w:b/>
          <w:bCs/>
          <w:noProof/>
          <w:color w:val="000000" w:themeColor="text1"/>
          <w:szCs w:val="24"/>
        </w:rPr>
      </w:pPr>
      <w:r w:rsidRPr="00426534">
        <w:rPr>
          <w:rFonts w:cs="Times New Roman"/>
          <w:noProof/>
          <w:szCs w:val="24"/>
          <w14:ligatures w14:val="standardContextual"/>
        </w:rPr>
        <w:drawing>
          <wp:inline distT="0" distB="0" distL="0" distR="0" wp14:anchorId="56271EF0" wp14:editId="6001EA5D">
            <wp:extent cx="5591175" cy="2733675"/>
            <wp:effectExtent l="0" t="0" r="9525" b="9525"/>
            <wp:docPr id="1983656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56693" name=""/>
                    <pic:cNvPicPr/>
                  </pic:nvPicPr>
                  <pic:blipFill>
                    <a:blip r:embed="rId15"/>
                    <a:stretch>
                      <a:fillRect/>
                    </a:stretch>
                  </pic:blipFill>
                  <pic:spPr>
                    <a:xfrm>
                      <a:off x="0" y="0"/>
                      <a:ext cx="5591175" cy="2733675"/>
                    </a:xfrm>
                    <a:prstGeom prst="rect">
                      <a:avLst/>
                    </a:prstGeom>
                  </pic:spPr>
                </pic:pic>
              </a:graphicData>
            </a:graphic>
          </wp:inline>
        </w:drawing>
      </w:r>
    </w:p>
    <w:p w14:paraId="1783FD42" w14:textId="0F4BBDC5" w:rsidR="00B4334A" w:rsidRPr="00426534" w:rsidRDefault="00B4334A" w:rsidP="00B4334A">
      <w:pPr>
        <w:pStyle w:val="Caption"/>
      </w:pPr>
      <w:r w:rsidRPr="00426534">
        <w:lastRenderedPageBreak/>
        <w:t xml:space="preserve">Figure 5a: Representative photomicrograph (HandE-stained section) of the effect of theaflavin on the striatum </w:t>
      </w:r>
      <w:r w:rsidRPr="00426534">
        <w:rPr>
          <w:color w:val="000000" w:themeColor="text1"/>
        </w:rPr>
        <w:t>in</w:t>
      </w:r>
      <w:r w:rsidRPr="00426534">
        <w:t xml:space="preserve"> mice model of ADHD induced prenatally by alcohol</w:t>
      </w:r>
      <w:r w:rsidRPr="00426534">
        <w:rPr>
          <w:color w:val="000000" w:themeColor="text1"/>
        </w:rPr>
        <w:t>.</w:t>
      </w:r>
      <w:r w:rsidRPr="00426534">
        <w:rPr>
          <w:noProof/>
          <w:color w:val="000000" w:themeColor="text1"/>
        </w:rPr>
        <w:t xml:space="preserve">  </w:t>
      </w:r>
      <w:r w:rsidRPr="00426534">
        <w:t xml:space="preserve"> </w:t>
      </w:r>
    </w:p>
    <w:p w14:paraId="3D978D57" w14:textId="77777777" w:rsidR="00B4334A" w:rsidRPr="00426534" w:rsidRDefault="00B4334A" w:rsidP="00B4334A">
      <w:pPr>
        <w:pStyle w:val="Caption"/>
      </w:pPr>
      <w:r w:rsidRPr="00426534">
        <w:t>Magnification = HE × 400. A= Control, B= ALC, C= ALC+ TF 10mg/kg, D= ALC+ TF 20mg/kg, and E= ALC+ ATX 1mg/kg.</w:t>
      </w:r>
    </w:p>
    <w:p w14:paraId="7A161D91" w14:textId="77777777" w:rsidR="00B4334A" w:rsidRPr="00426534" w:rsidRDefault="00B4334A" w:rsidP="00B4334A">
      <w:pPr>
        <w:spacing w:line="360" w:lineRule="auto"/>
        <w:jc w:val="both"/>
        <w:rPr>
          <w:rFonts w:cs="Times New Roman"/>
          <w:szCs w:val="24"/>
        </w:rPr>
      </w:pPr>
      <w:r w:rsidRPr="00426534">
        <w:rPr>
          <w:rFonts w:cs="Times New Roman"/>
          <w:szCs w:val="24"/>
        </w:rPr>
        <w:t>Slide A revealed that there is no observable lesion, slide B reveals that there is no observable lesion, slide C reveals no observable lesion, slide D reveals no observable lesion, and slide E reveals there is atrophy of neurons.</w:t>
      </w:r>
    </w:p>
    <w:p w14:paraId="3D793126" w14:textId="77777777" w:rsidR="00B4334A" w:rsidRPr="00426534" w:rsidRDefault="00B4334A" w:rsidP="00B4334A">
      <w:pPr>
        <w:spacing w:after="0" w:line="360" w:lineRule="auto"/>
        <w:jc w:val="both"/>
        <w:rPr>
          <w:rFonts w:cs="Times New Roman"/>
          <w:b/>
          <w:bCs/>
          <w:noProof/>
          <w:color w:val="000000" w:themeColor="text1"/>
          <w:szCs w:val="24"/>
        </w:rPr>
      </w:pPr>
    </w:p>
    <w:p w14:paraId="6D5F40D0" w14:textId="77777777" w:rsidR="00B4334A" w:rsidRPr="00426534" w:rsidRDefault="00B4334A" w:rsidP="00B4334A">
      <w:pPr>
        <w:spacing w:line="360" w:lineRule="auto"/>
        <w:jc w:val="both"/>
        <w:rPr>
          <w:rFonts w:cs="Times New Roman"/>
          <w:szCs w:val="24"/>
        </w:rPr>
      </w:pPr>
      <w:r w:rsidRPr="00426534">
        <w:rPr>
          <w:rFonts w:cs="Times New Roman"/>
          <w:szCs w:val="24"/>
        </w:rPr>
        <w:object w:dxaOrig="7675" w:dyaOrig="4764" w14:anchorId="4D5941C4">
          <v:shape id="_x0000_i1029" type="#_x0000_t75" style="width:384.2pt;height:238.4pt" o:ole="">
            <v:imagedata r:id="rId16" o:title=""/>
          </v:shape>
          <o:OLEObject Type="Embed" ProgID="Prism10.Document" ShapeID="_x0000_i1029" DrawAspect="Content" ObjectID="_1808555367" r:id="rId17"/>
        </w:object>
      </w:r>
    </w:p>
    <w:p w14:paraId="7A466CBC" w14:textId="2E824A2B" w:rsidR="00B4334A" w:rsidRPr="00426534" w:rsidRDefault="00B4334A" w:rsidP="00B4334A">
      <w:pPr>
        <w:spacing w:line="360" w:lineRule="auto"/>
        <w:jc w:val="both"/>
        <w:rPr>
          <w:rFonts w:cs="Times New Roman"/>
          <w:b/>
          <w:bCs/>
          <w:szCs w:val="24"/>
        </w:rPr>
      </w:pPr>
      <w:r w:rsidRPr="00426534">
        <w:rPr>
          <w:rFonts w:cs="Times New Roman"/>
          <w:b/>
          <w:bCs/>
          <w:szCs w:val="24"/>
        </w:rPr>
        <w:t xml:space="preserve">Figure 5b: The effect of theaflavin on the histology and neuronal density count of the striatum </w:t>
      </w:r>
      <w:r w:rsidRPr="00426534">
        <w:rPr>
          <w:rFonts w:cs="Times New Roman"/>
          <w:b/>
          <w:bCs/>
          <w:color w:val="000000" w:themeColor="text1"/>
          <w:szCs w:val="24"/>
        </w:rPr>
        <w:t>in</w:t>
      </w:r>
      <w:r w:rsidRPr="00426534">
        <w:rPr>
          <w:rFonts w:cs="Times New Roman"/>
          <w:b/>
          <w:bCs/>
          <w:szCs w:val="24"/>
        </w:rPr>
        <w:t xml:space="preserve"> mice model of ADHD induced prenatally by alcohol</w:t>
      </w:r>
      <w:r w:rsidRPr="00426534">
        <w:rPr>
          <w:rFonts w:cs="Times New Roman"/>
          <w:b/>
          <w:bCs/>
          <w:color w:val="000000" w:themeColor="text1"/>
          <w:szCs w:val="24"/>
        </w:rPr>
        <w:t>.</w:t>
      </w:r>
      <w:r w:rsidRPr="00426534">
        <w:rPr>
          <w:rFonts w:cs="Times New Roman"/>
          <w:b/>
          <w:bCs/>
          <w:noProof/>
          <w:color w:val="000000" w:themeColor="text1"/>
          <w:szCs w:val="24"/>
        </w:rPr>
        <w:t xml:space="preserve">  </w:t>
      </w:r>
      <w:r w:rsidRPr="00426534">
        <w:rPr>
          <w:rFonts w:cs="Times New Roman"/>
          <w:b/>
          <w:bCs/>
          <w:szCs w:val="24"/>
        </w:rPr>
        <w:t xml:space="preserve"> </w:t>
      </w:r>
    </w:p>
    <w:p w14:paraId="7AC66E31" w14:textId="77777777" w:rsidR="00B4334A" w:rsidRPr="00426534" w:rsidRDefault="00B4334A" w:rsidP="00B4334A">
      <w:pPr>
        <w:spacing w:line="360" w:lineRule="auto"/>
        <w:jc w:val="both"/>
        <w:rPr>
          <w:rFonts w:cs="Times New Roman"/>
          <w:szCs w:val="24"/>
        </w:rPr>
      </w:pPr>
      <w:r w:rsidRPr="00426534">
        <w:rPr>
          <w:rFonts w:cs="Times New Roman"/>
          <w:szCs w:val="24"/>
        </w:rPr>
        <w:t>Values represent the mean ± S.E.M for 5 animals per group</w:t>
      </w:r>
    </w:p>
    <w:bookmarkEnd w:id="8"/>
    <w:p w14:paraId="297E3E6B" w14:textId="77777777" w:rsidR="00B4334A" w:rsidRPr="00426534" w:rsidRDefault="00B4334A" w:rsidP="00B4334A">
      <w:pPr>
        <w:spacing w:line="360" w:lineRule="auto"/>
        <w:jc w:val="both"/>
        <w:rPr>
          <w:rFonts w:cs="Times New Roman"/>
          <w:b/>
          <w:bCs/>
          <w:szCs w:val="24"/>
        </w:rPr>
      </w:pPr>
      <w:r w:rsidRPr="00426534">
        <w:rPr>
          <w:rFonts w:cs="Times New Roman"/>
          <w:b/>
          <w:bCs/>
          <w:szCs w:val="24"/>
        </w:rPr>
        <w:br w:type="page"/>
      </w:r>
    </w:p>
    <w:p w14:paraId="6B2D6902" w14:textId="7D4328AF" w:rsidR="00B4334A" w:rsidRPr="00426534" w:rsidRDefault="00530049" w:rsidP="00B4334A">
      <w:pPr>
        <w:spacing w:line="360" w:lineRule="auto"/>
        <w:jc w:val="both"/>
        <w:rPr>
          <w:rFonts w:cs="Times New Roman"/>
          <w:szCs w:val="24"/>
        </w:rPr>
      </w:pPr>
      <w:r w:rsidRPr="00426534">
        <w:rPr>
          <w:rFonts w:cs="Times New Roman"/>
          <w:b/>
          <w:bCs/>
          <w:color w:val="000000" w:themeColor="text1"/>
          <w:szCs w:val="24"/>
        </w:rPr>
        <w:lastRenderedPageBreak/>
        <w:t xml:space="preserve">3.5 </w:t>
      </w:r>
      <w:r w:rsidR="00B4334A" w:rsidRPr="00426534">
        <w:rPr>
          <w:rFonts w:cs="Times New Roman"/>
          <w:b/>
          <w:bCs/>
          <w:color w:val="000000" w:themeColor="text1"/>
          <w:szCs w:val="24"/>
        </w:rPr>
        <w:t>Photomicrograph</w:t>
      </w:r>
      <w:r w:rsidR="00B4334A" w:rsidRPr="00426534">
        <w:rPr>
          <w:rFonts w:cs="Times New Roman"/>
          <w:b/>
          <w:bCs/>
          <w:szCs w:val="24"/>
        </w:rPr>
        <w:t xml:space="preserve"> of the effect of theaflavin on </w:t>
      </w:r>
      <w:r w:rsidR="00B4334A" w:rsidRPr="00426534">
        <w:rPr>
          <w:rFonts w:cs="Times New Roman"/>
          <w:b/>
          <w:bCs/>
          <w:color w:val="000000" w:themeColor="text1"/>
          <w:szCs w:val="24"/>
        </w:rPr>
        <w:t>neuronal density count of the amygdala in</w:t>
      </w:r>
      <w:r w:rsidR="00B4334A" w:rsidRPr="00426534">
        <w:rPr>
          <w:rFonts w:cs="Times New Roman"/>
          <w:b/>
          <w:bCs/>
          <w:szCs w:val="24"/>
        </w:rPr>
        <w:t xml:space="preserve"> mice model of ADHD induced prenatally by alcohol</w:t>
      </w:r>
    </w:p>
    <w:p w14:paraId="48225F46" w14:textId="77777777" w:rsidR="00B4334A" w:rsidRPr="00426534" w:rsidRDefault="00B4334A" w:rsidP="00B4334A">
      <w:pPr>
        <w:spacing w:line="360" w:lineRule="auto"/>
        <w:jc w:val="both"/>
        <w:rPr>
          <w:rFonts w:cs="Times New Roman"/>
          <w:szCs w:val="24"/>
        </w:rPr>
      </w:pPr>
      <w:r w:rsidRPr="00426534">
        <w:rPr>
          <w:rFonts w:cs="Times New Roman"/>
          <w:noProof/>
          <w:szCs w:val="24"/>
          <w14:ligatures w14:val="standardContextual"/>
        </w:rPr>
        <w:drawing>
          <wp:inline distT="0" distB="0" distL="0" distR="0" wp14:anchorId="21B24478" wp14:editId="72F8FEAA">
            <wp:extent cx="5572125" cy="2990850"/>
            <wp:effectExtent l="0" t="0" r="9525" b="0"/>
            <wp:docPr id="2118464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64319" name=""/>
                    <pic:cNvPicPr/>
                  </pic:nvPicPr>
                  <pic:blipFill>
                    <a:blip r:embed="rId18"/>
                    <a:stretch>
                      <a:fillRect/>
                    </a:stretch>
                  </pic:blipFill>
                  <pic:spPr>
                    <a:xfrm>
                      <a:off x="0" y="0"/>
                      <a:ext cx="5572125" cy="2990850"/>
                    </a:xfrm>
                    <a:prstGeom prst="rect">
                      <a:avLst/>
                    </a:prstGeom>
                  </pic:spPr>
                </pic:pic>
              </a:graphicData>
            </a:graphic>
          </wp:inline>
        </w:drawing>
      </w:r>
    </w:p>
    <w:p w14:paraId="69ADC97C" w14:textId="37CC6994" w:rsidR="00B4334A" w:rsidRPr="00426534" w:rsidRDefault="00B4334A" w:rsidP="00B4334A">
      <w:pPr>
        <w:pStyle w:val="Caption"/>
      </w:pPr>
      <w:r w:rsidRPr="00426534">
        <w:t xml:space="preserve">Figure 6a: Representative photomicrograph (HandE-stained section) of the effect of theaflavin on the amygdala </w:t>
      </w:r>
      <w:r w:rsidRPr="00426534">
        <w:rPr>
          <w:color w:val="000000" w:themeColor="text1"/>
        </w:rPr>
        <w:t>in</w:t>
      </w:r>
      <w:r w:rsidRPr="00426534">
        <w:t xml:space="preserve"> mice model of ADHD induced prenatally by alcohol</w:t>
      </w:r>
      <w:r w:rsidRPr="00426534">
        <w:rPr>
          <w:color w:val="000000" w:themeColor="text1"/>
        </w:rPr>
        <w:t>.</w:t>
      </w:r>
      <w:r w:rsidRPr="00426534">
        <w:rPr>
          <w:noProof/>
          <w:color w:val="000000" w:themeColor="text1"/>
        </w:rPr>
        <mc:AlternateContent>
          <mc:Choice Requires="wps">
            <w:drawing>
              <wp:anchor distT="0" distB="0" distL="114300" distR="114300" simplePos="0" relativeHeight="251661312" behindDoc="0" locked="0" layoutInCell="1" allowOverlap="1" wp14:anchorId="52460518" wp14:editId="633E5B4F">
                <wp:simplePos x="0" y="0"/>
                <wp:positionH relativeFrom="column">
                  <wp:posOffset>3267075</wp:posOffset>
                </wp:positionH>
                <wp:positionV relativeFrom="paragraph">
                  <wp:posOffset>3028950</wp:posOffset>
                </wp:positionV>
                <wp:extent cx="628650" cy="285750"/>
                <wp:effectExtent l="0" t="0" r="0" b="0"/>
                <wp:wrapNone/>
                <wp:docPr id="454730744" name="Text Box 2"/>
                <wp:cNvGraphicFramePr/>
                <a:graphic xmlns:a="http://schemas.openxmlformats.org/drawingml/2006/main">
                  <a:graphicData uri="http://schemas.microsoft.com/office/word/2010/wordprocessingShape">
                    <wps:wsp>
                      <wps:cNvSpPr txBox="1"/>
                      <wps:spPr>
                        <a:xfrm>
                          <a:off x="0" y="0"/>
                          <a:ext cx="628650" cy="285750"/>
                        </a:xfrm>
                        <a:prstGeom prst="rect">
                          <a:avLst/>
                        </a:prstGeom>
                        <a:noFill/>
                        <a:ln w="6350">
                          <a:noFill/>
                        </a:ln>
                      </wps:spPr>
                      <wps:txbx>
                        <w:txbxContent>
                          <w:p w14:paraId="4DDB72EB" w14:textId="77777777" w:rsidR="00B4334A" w:rsidRDefault="00B4334A" w:rsidP="00B4334A"/>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460518" id="_x0000_s1028" type="#_x0000_t202" style="position:absolute;left:0;text-align:left;margin-left:257.25pt;margin-top:238.5pt;width:49.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" filled="f" stroked="f" strokeweight=".5pt">
                <v:textbox>
                  <w:txbxContent>
                    <w:p w14:paraId="4DDB72EB" w14:textId="77777777" w:rsidR="00B4334A" w:rsidRDefault="00B4334A" w:rsidP="00B4334A"/>
                  </w:txbxContent>
                </v:textbox>
              </v:shape>
            </w:pict>
          </mc:Fallback>
        </mc:AlternateContent>
      </w:r>
      <w:r w:rsidRPr="00426534">
        <w:rPr>
          <w:noProof/>
          <w:color w:val="000000" w:themeColor="text1"/>
        </w:rPr>
        <mc:AlternateContent>
          <mc:Choice Requires="wps">
            <w:drawing>
              <wp:anchor distT="0" distB="0" distL="114300" distR="114300" simplePos="0" relativeHeight="251662336" behindDoc="0" locked="0" layoutInCell="1" allowOverlap="1" wp14:anchorId="6A41CD9F" wp14:editId="797A4A7D">
                <wp:simplePos x="0" y="0"/>
                <wp:positionH relativeFrom="column">
                  <wp:posOffset>238125</wp:posOffset>
                </wp:positionH>
                <wp:positionV relativeFrom="paragraph">
                  <wp:posOffset>3028950</wp:posOffset>
                </wp:positionV>
                <wp:extent cx="600075" cy="314325"/>
                <wp:effectExtent l="0" t="0" r="0" b="0"/>
                <wp:wrapNone/>
                <wp:docPr id="1908759778" name="Text Box 1"/>
                <wp:cNvGraphicFramePr/>
                <a:graphic xmlns:a="http://schemas.openxmlformats.org/drawingml/2006/main">
                  <a:graphicData uri="http://schemas.microsoft.com/office/word/2010/wordprocessingShape">
                    <wps:wsp>
                      <wps:cNvSpPr txBox="1"/>
                      <wps:spPr>
                        <a:xfrm>
                          <a:off x="0" y="0"/>
                          <a:ext cx="600075" cy="314325"/>
                        </a:xfrm>
                        <a:prstGeom prst="rect">
                          <a:avLst/>
                        </a:prstGeom>
                        <a:noFill/>
                        <a:ln w="6350">
                          <a:noFill/>
                        </a:ln>
                      </wps:spPr>
                      <wps:txbx>
                        <w:txbxContent>
                          <w:p w14:paraId="4F3A274A" w14:textId="77777777" w:rsidR="00B4334A" w:rsidRDefault="00B4334A" w:rsidP="00B4334A"/>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41CD9F" id="_x0000_s1029" type="#_x0000_t202" style="position:absolute;left:0;text-align:left;margin-left:18.75pt;margin-top:238.5pt;width:47.2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" filled="f" stroked="f" strokeweight=".5pt">
                <v:textbox>
                  <w:txbxContent>
                    <w:p w14:paraId="4F3A274A" w14:textId="77777777" w:rsidR="00B4334A" w:rsidRDefault="00B4334A" w:rsidP="00B4334A"/>
                  </w:txbxContent>
                </v:textbox>
              </v:shape>
            </w:pict>
          </mc:Fallback>
        </mc:AlternateContent>
      </w:r>
      <w:r w:rsidRPr="00426534">
        <w:rPr>
          <w:noProof/>
          <w:color w:val="000000" w:themeColor="text1"/>
        </w:rPr>
        <w:t xml:space="preserve">  </w:t>
      </w:r>
      <w:r w:rsidRPr="00426534">
        <w:t xml:space="preserve"> </w:t>
      </w:r>
    </w:p>
    <w:p w14:paraId="4B1777B5" w14:textId="77777777" w:rsidR="00B4334A" w:rsidRPr="00426534" w:rsidRDefault="00B4334A" w:rsidP="00B4334A">
      <w:pPr>
        <w:pStyle w:val="Caption"/>
      </w:pPr>
      <w:r w:rsidRPr="00426534">
        <w:t>Magnification = HE × 400. A= Control, B= ALC, C= ALC+ TF 10mg/kg, D= ALC+ TF 20mg/kg, and E= ALC+ ATX 1mg/kg.</w:t>
      </w:r>
    </w:p>
    <w:p w14:paraId="5E58368A" w14:textId="77777777" w:rsidR="00B4334A" w:rsidRPr="00426534" w:rsidRDefault="00B4334A" w:rsidP="00B4334A">
      <w:pPr>
        <w:spacing w:line="360" w:lineRule="auto"/>
        <w:jc w:val="both"/>
        <w:rPr>
          <w:rFonts w:cs="Times New Roman"/>
          <w:szCs w:val="24"/>
        </w:rPr>
      </w:pPr>
      <w:r w:rsidRPr="00426534">
        <w:rPr>
          <w:rFonts w:cs="Times New Roman"/>
          <w:szCs w:val="24"/>
        </w:rPr>
        <w:t>Slide A revealed that there is no observable lesion, slide B reveals that There is pyknosis of neurons, slide C reveals no observable lesion, slide D reveals no observable lesion, and slide E reveals there is pyknosis of neurons.</w:t>
      </w:r>
    </w:p>
    <w:p w14:paraId="79313986" w14:textId="77777777" w:rsidR="00B4334A" w:rsidRPr="00426534" w:rsidRDefault="00B4334A" w:rsidP="00B4334A">
      <w:pPr>
        <w:spacing w:line="360" w:lineRule="auto"/>
        <w:jc w:val="both"/>
        <w:rPr>
          <w:rFonts w:cs="Times New Roman"/>
          <w:szCs w:val="24"/>
        </w:rPr>
      </w:pPr>
      <w:r w:rsidRPr="00426534">
        <w:rPr>
          <w:rFonts w:cs="Times New Roman"/>
          <w:szCs w:val="24"/>
        </w:rPr>
        <w:object w:dxaOrig="7692" w:dyaOrig="5283" w14:anchorId="743CD404">
          <v:shape id="_x0000_i1030" type="#_x0000_t75" style="width:383.6pt;height:263.2pt" o:ole="">
            <v:imagedata r:id="rId19" o:title=""/>
          </v:shape>
          <o:OLEObject Type="Embed" ProgID="Prism10.Document" ShapeID="_x0000_i1030" DrawAspect="Content" ObjectID="_1808555368" r:id="rId20"/>
        </w:object>
      </w:r>
    </w:p>
    <w:p w14:paraId="7078D15F" w14:textId="35F175C3" w:rsidR="00B4334A" w:rsidRPr="00426534" w:rsidRDefault="00B4334A" w:rsidP="00B4334A">
      <w:pPr>
        <w:spacing w:line="360" w:lineRule="auto"/>
        <w:jc w:val="both"/>
        <w:rPr>
          <w:rFonts w:cs="Times New Roman"/>
          <w:b/>
          <w:bCs/>
          <w:szCs w:val="24"/>
        </w:rPr>
      </w:pPr>
      <w:r w:rsidRPr="00426534">
        <w:rPr>
          <w:rFonts w:cs="Times New Roman"/>
          <w:b/>
          <w:bCs/>
          <w:szCs w:val="24"/>
        </w:rPr>
        <w:t xml:space="preserve">Figure 6b: The effect of theaflavin on the histology and neuronal density count of the amygdala </w:t>
      </w:r>
      <w:r w:rsidRPr="00426534">
        <w:rPr>
          <w:rFonts w:cs="Times New Roman"/>
          <w:b/>
          <w:bCs/>
          <w:color w:val="000000" w:themeColor="text1"/>
          <w:szCs w:val="24"/>
        </w:rPr>
        <w:t>in</w:t>
      </w:r>
      <w:r w:rsidRPr="00426534">
        <w:rPr>
          <w:rFonts w:cs="Times New Roman"/>
          <w:b/>
          <w:bCs/>
          <w:szCs w:val="24"/>
        </w:rPr>
        <w:t xml:space="preserve"> mice model of ADHD induced prenatally by alcohol</w:t>
      </w:r>
      <w:r w:rsidRPr="00426534">
        <w:rPr>
          <w:rFonts w:cs="Times New Roman"/>
          <w:b/>
          <w:bCs/>
          <w:color w:val="000000" w:themeColor="text1"/>
          <w:szCs w:val="24"/>
        </w:rPr>
        <w:t>.</w:t>
      </w:r>
      <w:r w:rsidRPr="00426534">
        <w:rPr>
          <w:rFonts w:cs="Times New Roman"/>
          <w:b/>
          <w:bCs/>
          <w:noProof/>
          <w:color w:val="000000" w:themeColor="text1"/>
          <w:szCs w:val="24"/>
        </w:rPr>
        <w:t xml:space="preserve">  </w:t>
      </w:r>
      <w:r w:rsidRPr="00426534">
        <w:rPr>
          <w:rFonts w:cs="Times New Roman"/>
          <w:b/>
          <w:bCs/>
          <w:szCs w:val="24"/>
        </w:rPr>
        <w:t xml:space="preserve"> </w:t>
      </w:r>
    </w:p>
    <w:p w14:paraId="660527EA" w14:textId="77777777" w:rsidR="00B4334A" w:rsidRPr="00426534" w:rsidRDefault="00B4334A" w:rsidP="00B4334A">
      <w:pPr>
        <w:spacing w:line="360" w:lineRule="auto"/>
        <w:jc w:val="both"/>
        <w:rPr>
          <w:rFonts w:cs="Times New Roman"/>
          <w:szCs w:val="24"/>
        </w:rPr>
      </w:pPr>
      <w:r w:rsidRPr="00426534">
        <w:rPr>
          <w:rFonts w:cs="Times New Roman"/>
          <w:szCs w:val="24"/>
        </w:rPr>
        <w:t>Values represent the mean ± S.E.M for 5 animals per group</w:t>
      </w:r>
    </w:p>
    <w:p w14:paraId="6ED92654" w14:textId="77777777" w:rsidR="00B4334A" w:rsidRPr="00426534" w:rsidRDefault="00B4334A" w:rsidP="00B4334A">
      <w:pPr>
        <w:spacing w:line="360" w:lineRule="auto"/>
        <w:jc w:val="both"/>
        <w:rPr>
          <w:rFonts w:cs="Times New Roman"/>
          <w:szCs w:val="24"/>
        </w:rPr>
      </w:pPr>
      <w:r w:rsidRPr="00426534">
        <w:rPr>
          <w:rFonts w:cs="Times New Roman"/>
          <w:szCs w:val="24"/>
        </w:rPr>
        <w:t xml:space="preserve"># p&lt;0.05 compared to the control group (ANOVA followed by Tukey’s post hoc test).  </w:t>
      </w:r>
    </w:p>
    <w:p w14:paraId="20B068F9" w14:textId="373F065C" w:rsidR="00722297" w:rsidRPr="00426534" w:rsidRDefault="00B4334A" w:rsidP="00794906">
      <w:pPr>
        <w:spacing w:line="360" w:lineRule="auto"/>
        <w:jc w:val="both"/>
        <w:rPr>
          <w:rFonts w:cs="Times New Roman"/>
          <w:szCs w:val="24"/>
        </w:rPr>
      </w:pPr>
      <w:r w:rsidRPr="00426534">
        <w:rPr>
          <w:rFonts w:cs="Times New Roman"/>
          <w:szCs w:val="24"/>
        </w:rPr>
        <w:t>* p&lt;0.05 compared to the pathologic group (ANOVA followed by Tukey’s post hoc test).</w:t>
      </w:r>
    </w:p>
    <w:p w14:paraId="4778A4B0" w14:textId="77777777" w:rsidR="00722297" w:rsidRPr="00426534" w:rsidRDefault="00722297" w:rsidP="00794906">
      <w:pPr>
        <w:spacing w:line="360" w:lineRule="auto"/>
        <w:jc w:val="both"/>
        <w:rPr>
          <w:rFonts w:cs="Times New Roman"/>
          <w:szCs w:val="24"/>
        </w:rPr>
      </w:pPr>
    </w:p>
    <w:p w14:paraId="4DF30938" w14:textId="7BF45C37" w:rsidR="000D53EB" w:rsidRPr="00426534" w:rsidRDefault="00530049" w:rsidP="00A90603">
      <w:pPr>
        <w:pStyle w:val="ListParagraph"/>
        <w:numPr>
          <w:ilvl w:val="0"/>
          <w:numId w:val="6"/>
        </w:numPr>
        <w:spacing w:line="360" w:lineRule="auto"/>
        <w:ind w:left="360"/>
        <w:jc w:val="both"/>
        <w:rPr>
          <w:rFonts w:cs="Times New Roman"/>
          <w:b/>
          <w:bCs/>
          <w:szCs w:val="24"/>
        </w:rPr>
      </w:pPr>
      <w:r w:rsidRPr="00426534">
        <w:rPr>
          <w:rFonts w:cs="Times New Roman"/>
          <w:b/>
          <w:bCs/>
          <w:szCs w:val="24"/>
        </w:rPr>
        <w:t>DISCUSSIONS</w:t>
      </w:r>
    </w:p>
    <w:p w14:paraId="3EFC4A56" w14:textId="02B9568E" w:rsidR="000D53EB" w:rsidRPr="00426534" w:rsidRDefault="000C2B10" w:rsidP="000D53EB">
      <w:pPr>
        <w:spacing w:line="360" w:lineRule="auto"/>
        <w:jc w:val="both"/>
        <w:rPr>
          <w:rFonts w:cs="Times New Roman"/>
          <w:b/>
          <w:bCs/>
          <w:szCs w:val="24"/>
        </w:rPr>
      </w:pPr>
      <w:r w:rsidRPr="00426534">
        <w:rPr>
          <w:rFonts w:cs="Times New Roman"/>
          <w:szCs w:val="24"/>
        </w:rPr>
        <w:t>This study investigated the therapeutic potential of Theaflavin (TF), a polyphenolic compound derived from black tea</w:t>
      </w:r>
      <w:r w:rsidR="00722297" w:rsidRPr="00426534">
        <w:rPr>
          <w:rFonts w:cs="Times New Roman"/>
          <w:szCs w:val="24"/>
        </w:rPr>
        <w:t xml:space="preserve"> (</w:t>
      </w:r>
      <w:proofErr w:type="spellStart"/>
      <w:r w:rsidR="00722297" w:rsidRPr="00426534">
        <w:rPr>
          <w:rFonts w:cs="Times New Roman"/>
          <w:szCs w:val="24"/>
        </w:rPr>
        <w:t>Akpovwre</w:t>
      </w:r>
      <w:proofErr w:type="spellEnd"/>
      <w:r w:rsidR="00722297" w:rsidRPr="00426534">
        <w:rPr>
          <w:rFonts w:cs="Times New Roman"/>
          <w:szCs w:val="24"/>
        </w:rPr>
        <w:t xml:space="preserve"> et al., 2024)</w:t>
      </w:r>
      <w:r w:rsidRPr="00426534">
        <w:rPr>
          <w:rFonts w:cs="Times New Roman"/>
          <w:szCs w:val="24"/>
        </w:rPr>
        <w:t xml:space="preserve">, in ameliorating behavioral and neuroanatomical deficits associated with prenatal alcohol exposure (PAE) in a murine model of Attention-Deficit/Hyperactivity Disorder (ADHD). The findings indicate that TF administration mitigates cognitive impairments, hyperactivity, impulsivity, and neuronal damage induced by PAE. </w:t>
      </w:r>
    </w:p>
    <w:p w14:paraId="3042A817" w14:textId="05C92ECA" w:rsidR="000D53EB" w:rsidRPr="00426534" w:rsidRDefault="00CD5E5A" w:rsidP="000D53EB">
      <w:pPr>
        <w:spacing w:line="360" w:lineRule="auto"/>
        <w:jc w:val="both"/>
        <w:rPr>
          <w:rFonts w:cs="Times New Roman"/>
          <w:b/>
          <w:bCs/>
          <w:szCs w:val="24"/>
        </w:rPr>
      </w:pPr>
      <w:r w:rsidRPr="00426534">
        <w:rPr>
          <w:rFonts w:cs="Times New Roman"/>
          <w:szCs w:val="24"/>
        </w:rPr>
        <w:t xml:space="preserve">The Y-maze test </w:t>
      </w:r>
      <w:r w:rsidR="000D53EB" w:rsidRPr="00426534">
        <w:rPr>
          <w:rFonts w:cs="Times New Roman"/>
          <w:szCs w:val="24"/>
        </w:rPr>
        <w:t>primarily used to study memory or cognitive performance</w:t>
      </w:r>
      <w:r w:rsidR="00722297" w:rsidRPr="00426534">
        <w:rPr>
          <w:rFonts w:cs="Times New Roman"/>
          <w:szCs w:val="24"/>
        </w:rPr>
        <w:t xml:space="preserve"> </w:t>
      </w:r>
      <w:r w:rsidR="000D53EB" w:rsidRPr="00426534">
        <w:rPr>
          <w:rFonts w:cs="Times New Roman"/>
          <w:szCs w:val="24"/>
        </w:rPr>
        <w:t>in animals</w:t>
      </w:r>
      <w:r w:rsidR="00722297" w:rsidRPr="00426534">
        <w:rPr>
          <w:rFonts w:cs="Times New Roman"/>
          <w:szCs w:val="24"/>
        </w:rPr>
        <w:t xml:space="preserve"> (Eduviere et al., 2017; </w:t>
      </w:r>
      <w:r w:rsidR="00722297" w:rsidRPr="00426534">
        <w:rPr>
          <w:rFonts w:cs="Times New Roman"/>
          <w:color w:val="222222"/>
          <w:szCs w:val="24"/>
          <w:shd w:val="clear" w:color="auto" w:fill="FFFFFF"/>
        </w:rPr>
        <w:t>Umukoro and Eduviere, 2016</w:t>
      </w:r>
      <w:r w:rsidR="00722297" w:rsidRPr="00426534">
        <w:rPr>
          <w:rFonts w:cs="Times New Roman"/>
          <w:szCs w:val="24"/>
        </w:rPr>
        <w:t>)</w:t>
      </w:r>
      <w:r w:rsidR="000D53EB" w:rsidRPr="00426534">
        <w:rPr>
          <w:rFonts w:cs="Times New Roman"/>
          <w:szCs w:val="24"/>
        </w:rPr>
        <w:t xml:space="preserve"> </w:t>
      </w:r>
      <w:r w:rsidRPr="00426534">
        <w:rPr>
          <w:rFonts w:cs="Times New Roman"/>
          <w:szCs w:val="24"/>
        </w:rPr>
        <w:t xml:space="preserve">revealed that TF significantly improved spatial working </w:t>
      </w:r>
      <w:r w:rsidRPr="00426534">
        <w:rPr>
          <w:rFonts w:cs="Times New Roman"/>
          <w:szCs w:val="24"/>
        </w:rPr>
        <w:lastRenderedPageBreak/>
        <w:t>memory and attention in PAE-exposed mice, as evidenced by increased percentage of correct alternations. These results align with previous research demonstrating the neuroprotective effects of polyphenolic compounds in enhancing cognitive functions by modulating neurotransmitter systems and reducing oxidative stress (</w:t>
      </w:r>
      <w:r w:rsidR="00722297" w:rsidRPr="00426534">
        <w:rPr>
          <w:rFonts w:cs="Times New Roman"/>
          <w:color w:val="222222"/>
          <w:szCs w:val="24"/>
          <w:shd w:val="clear" w:color="auto" w:fill="FFFFFF"/>
        </w:rPr>
        <w:t>Eduviere et al., 2021; Olayinka</w:t>
      </w:r>
      <w:r w:rsidR="00722297" w:rsidRPr="00426534">
        <w:rPr>
          <w:rFonts w:cs="Times New Roman"/>
          <w:szCs w:val="24"/>
        </w:rPr>
        <w:t xml:space="preserve"> et al., 2022; </w:t>
      </w:r>
      <w:proofErr w:type="gramStart"/>
      <w:r w:rsidR="00722297" w:rsidRPr="00426534">
        <w:rPr>
          <w:rFonts w:cs="Times New Roman"/>
          <w:color w:val="222222"/>
          <w:szCs w:val="24"/>
          <w:shd w:val="clear" w:color="auto" w:fill="FFFFFF"/>
        </w:rPr>
        <w:t>Olayinka</w:t>
      </w:r>
      <w:r w:rsidR="00722297" w:rsidRPr="00426534">
        <w:rPr>
          <w:rFonts w:cs="Times New Roman"/>
          <w:szCs w:val="24"/>
        </w:rPr>
        <w:t xml:space="preserve">  et al.</w:t>
      </w:r>
      <w:proofErr w:type="gramEnd"/>
      <w:r w:rsidR="00722297" w:rsidRPr="00426534">
        <w:rPr>
          <w:rFonts w:cs="Times New Roman"/>
          <w:szCs w:val="24"/>
        </w:rPr>
        <w:t xml:space="preserve">, 2022; </w:t>
      </w:r>
      <w:r w:rsidR="000C2B10" w:rsidRPr="00426534">
        <w:rPr>
          <w:rStyle w:val="Strong"/>
          <w:rFonts w:cs="Times New Roman"/>
          <w:b w:val="0"/>
          <w:bCs w:val="0"/>
          <w:szCs w:val="24"/>
        </w:rPr>
        <w:t>Unno et al.</w:t>
      </w:r>
      <w:r w:rsidR="00722297" w:rsidRPr="00426534">
        <w:rPr>
          <w:rStyle w:val="Strong"/>
          <w:rFonts w:cs="Times New Roman"/>
          <w:b w:val="0"/>
          <w:bCs w:val="0"/>
          <w:szCs w:val="24"/>
        </w:rPr>
        <w:t>,</w:t>
      </w:r>
      <w:r w:rsidR="00515F29" w:rsidRPr="00426534">
        <w:rPr>
          <w:rStyle w:val="Strong"/>
          <w:rFonts w:cs="Times New Roman"/>
          <w:b w:val="0"/>
          <w:bCs w:val="0"/>
          <w:szCs w:val="24"/>
        </w:rPr>
        <w:t xml:space="preserve"> </w:t>
      </w:r>
      <w:r w:rsidR="000C2B10" w:rsidRPr="00426534">
        <w:rPr>
          <w:rStyle w:val="Strong"/>
          <w:rFonts w:cs="Times New Roman"/>
          <w:b w:val="0"/>
          <w:bCs w:val="0"/>
          <w:szCs w:val="24"/>
        </w:rPr>
        <w:t>2019</w:t>
      </w:r>
      <w:r w:rsidRPr="00426534">
        <w:rPr>
          <w:rFonts w:cs="Times New Roman"/>
          <w:b/>
          <w:bCs/>
          <w:szCs w:val="24"/>
        </w:rPr>
        <w:t>).</w:t>
      </w:r>
      <w:r w:rsidRPr="00426534">
        <w:rPr>
          <w:rFonts w:cs="Times New Roman"/>
          <w:szCs w:val="24"/>
        </w:rPr>
        <w:t xml:space="preserve"> The improvements observed suggest that TF may enhance synaptic plasticity and neurotransmission, thereby counteracting the attentional deficits induced by PAE.</w:t>
      </w:r>
      <w:r w:rsidR="000C2B10" w:rsidRPr="00426534">
        <w:rPr>
          <w:rFonts w:cs="Times New Roman"/>
          <w:szCs w:val="24"/>
        </w:rPr>
        <w:t xml:space="preserve"> </w:t>
      </w:r>
    </w:p>
    <w:p w14:paraId="5C605357" w14:textId="6E566C6A" w:rsidR="000D53EB" w:rsidRPr="00426534" w:rsidRDefault="00CD5E5A" w:rsidP="000D53EB">
      <w:pPr>
        <w:spacing w:line="360" w:lineRule="auto"/>
        <w:jc w:val="both"/>
        <w:rPr>
          <w:rFonts w:cs="Times New Roman"/>
          <w:b/>
          <w:bCs/>
          <w:szCs w:val="24"/>
        </w:rPr>
      </w:pPr>
      <w:r w:rsidRPr="00426534">
        <w:rPr>
          <w:rFonts w:cs="Times New Roman"/>
          <w:szCs w:val="24"/>
        </w:rPr>
        <w:t xml:space="preserve">In both the Y-maze and Open Field Test (OFT), TF administration resulted in a significant reduction in hyperactivity, as indicated by decreased arm entries and reduced </w:t>
      </w:r>
      <w:r w:rsidR="000C2B10" w:rsidRPr="00426534">
        <w:rPr>
          <w:rFonts w:cs="Times New Roman"/>
          <w:szCs w:val="24"/>
        </w:rPr>
        <w:t xml:space="preserve">duration of </w:t>
      </w:r>
      <w:r w:rsidRPr="00426534">
        <w:rPr>
          <w:rFonts w:cs="Times New Roman"/>
          <w:szCs w:val="24"/>
        </w:rPr>
        <w:t>ambulation, respectively. These behavioral changes may be attributed to TF's potential to modulate dopaminergic pathways, which are often dysregulated in ADHD (</w:t>
      </w:r>
      <w:r w:rsidR="00722297" w:rsidRPr="00426534">
        <w:rPr>
          <w:rFonts w:cs="Times New Roman"/>
          <w:szCs w:val="24"/>
        </w:rPr>
        <w:t xml:space="preserve">Cho et al., 2014; </w:t>
      </w:r>
      <w:r w:rsidR="00722297" w:rsidRPr="00426534">
        <w:rPr>
          <w:rFonts w:cs="Times New Roman"/>
          <w:color w:val="222222"/>
          <w:szCs w:val="24"/>
          <w:shd w:val="clear" w:color="auto" w:fill="FFFFFF"/>
        </w:rPr>
        <w:t xml:space="preserve">Fan and Hess, 2017; </w:t>
      </w:r>
      <w:proofErr w:type="spellStart"/>
      <w:r w:rsidR="00515F29" w:rsidRPr="00426534">
        <w:rPr>
          <w:rFonts w:cs="Times New Roman"/>
          <w:color w:val="222222"/>
          <w:szCs w:val="24"/>
          <w:shd w:val="clear" w:color="auto" w:fill="FFFFFF"/>
        </w:rPr>
        <w:t>Natsheh</w:t>
      </w:r>
      <w:proofErr w:type="spellEnd"/>
      <w:r w:rsidR="00515F29" w:rsidRPr="00426534">
        <w:rPr>
          <w:rFonts w:cs="Times New Roman"/>
          <w:color w:val="222222"/>
          <w:szCs w:val="24"/>
          <w:shd w:val="clear" w:color="auto" w:fill="FFFFFF"/>
        </w:rPr>
        <w:t xml:space="preserve"> and </w:t>
      </w:r>
      <w:proofErr w:type="spellStart"/>
      <w:r w:rsidR="00515F29" w:rsidRPr="00426534">
        <w:rPr>
          <w:rFonts w:cs="Times New Roman"/>
          <w:color w:val="222222"/>
          <w:szCs w:val="24"/>
          <w:shd w:val="clear" w:color="auto" w:fill="FFFFFF"/>
        </w:rPr>
        <w:t>Shiflett</w:t>
      </w:r>
      <w:proofErr w:type="spellEnd"/>
      <w:r w:rsidR="00515F29" w:rsidRPr="00426534">
        <w:rPr>
          <w:rFonts w:cs="Times New Roman"/>
          <w:color w:val="222222"/>
          <w:szCs w:val="24"/>
          <w:shd w:val="clear" w:color="auto" w:fill="FFFFFF"/>
        </w:rPr>
        <w:t xml:space="preserve">, 2018; </w:t>
      </w:r>
      <w:proofErr w:type="spellStart"/>
      <w:r w:rsidR="00722297" w:rsidRPr="00426534">
        <w:rPr>
          <w:rFonts w:cs="Times New Roman"/>
          <w:color w:val="222222"/>
          <w:szCs w:val="24"/>
          <w:shd w:val="clear" w:color="auto" w:fill="FFFFFF"/>
        </w:rPr>
        <w:t>Onuelu</w:t>
      </w:r>
      <w:proofErr w:type="spellEnd"/>
      <w:r w:rsidR="00722297" w:rsidRPr="00426534">
        <w:rPr>
          <w:rFonts w:cs="Times New Roman"/>
          <w:szCs w:val="24"/>
        </w:rPr>
        <w:t xml:space="preserve"> et al., 2025</w:t>
      </w:r>
      <w:r w:rsidRPr="00426534">
        <w:rPr>
          <w:rFonts w:cs="Times New Roman"/>
          <w:szCs w:val="24"/>
        </w:rPr>
        <w:t xml:space="preserve">). By restoring dopaminergic balance, TF could alleviate hyperactive </w:t>
      </w:r>
      <w:proofErr w:type="spellStart"/>
      <w:r w:rsidRPr="00426534">
        <w:rPr>
          <w:rFonts w:cs="Times New Roman"/>
          <w:szCs w:val="24"/>
        </w:rPr>
        <w:t>behavio</w:t>
      </w:r>
      <w:r w:rsidR="00515F29" w:rsidRPr="00426534">
        <w:rPr>
          <w:rFonts w:cs="Times New Roman"/>
          <w:szCs w:val="24"/>
        </w:rPr>
        <w:t>u</w:t>
      </w:r>
      <w:r w:rsidRPr="00426534">
        <w:rPr>
          <w:rFonts w:cs="Times New Roman"/>
          <w:szCs w:val="24"/>
        </w:rPr>
        <w:t>rs</w:t>
      </w:r>
      <w:proofErr w:type="spellEnd"/>
      <w:r w:rsidRPr="00426534">
        <w:rPr>
          <w:rFonts w:cs="Times New Roman"/>
          <w:szCs w:val="24"/>
        </w:rPr>
        <w:t xml:space="preserve"> associated with PAE.</w:t>
      </w:r>
    </w:p>
    <w:p w14:paraId="28E6EB85" w14:textId="6DE6C81F" w:rsidR="000D53EB" w:rsidRPr="00426534" w:rsidRDefault="00CD5E5A" w:rsidP="000D53EB">
      <w:pPr>
        <w:spacing w:line="360" w:lineRule="auto"/>
        <w:jc w:val="both"/>
        <w:rPr>
          <w:rFonts w:cs="Times New Roman"/>
          <w:b/>
          <w:bCs/>
          <w:szCs w:val="24"/>
        </w:rPr>
      </w:pPr>
      <w:r w:rsidRPr="00426534">
        <w:rPr>
          <w:rFonts w:cs="Times New Roman"/>
          <w:szCs w:val="24"/>
        </w:rPr>
        <w:t>The Marble Burying Test (MBT)</w:t>
      </w:r>
      <w:r w:rsidR="00515F29" w:rsidRPr="00426534">
        <w:rPr>
          <w:rFonts w:cs="Times New Roman"/>
          <w:szCs w:val="24"/>
        </w:rPr>
        <w:t xml:space="preserve"> is primarily used in obsessive compulsive </w:t>
      </w:r>
      <w:proofErr w:type="spellStart"/>
      <w:r w:rsidR="00515F29" w:rsidRPr="00426534">
        <w:rPr>
          <w:rFonts w:cs="Times New Roman"/>
          <w:szCs w:val="24"/>
        </w:rPr>
        <w:t>behaviour</w:t>
      </w:r>
      <w:proofErr w:type="spellEnd"/>
      <w:r w:rsidR="00515F29" w:rsidRPr="00426534">
        <w:rPr>
          <w:rFonts w:cs="Times New Roman"/>
          <w:szCs w:val="24"/>
        </w:rPr>
        <w:t xml:space="preserve"> and also used in measuring impulsivity (</w:t>
      </w:r>
      <w:r w:rsidR="00515F29" w:rsidRPr="00426534">
        <w:rPr>
          <w:rFonts w:cs="Times New Roman"/>
          <w:color w:val="222222"/>
          <w:szCs w:val="24"/>
          <w:shd w:val="clear" w:color="auto" w:fill="FFFFFF"/>
        </w:rPr>
        <w:t xml:space="preserve">De Brouwer et al., 2019; </w:t>
      </w:r>
      <w:r w:rsidR="00515F29" w:rsidRPr="00426534">
        <w:rPr>
          <w:rFonts w:cs="Times New Roman"/>
          <w:color w:val="1B1C1D"/>
          <w:szCs w:val="24"/>
        </w:rPr>
        <w:t>Thomas et al., 2009</w:t>
      </w:r>
      <w:r w:rsidR="00515F29" w:rsidRPr="00426534">
        <w:rPr>
          <w:rFonts w:cs="Times New Roman"/>
          <w:color w:val="222222"/>
          <w:szCs w:val="24"/>
          <w:shd w:val="clear" w:color="auto" w:fill="FFFFFF"/>
        </w:rPr>
        <w:t>)</w:t>
      </w:r>
      <w:r w:rsidR="00515F29" w:rsidRPr="00426534">
        <w:rPr>
          <w:rFonts w:cs="Times New Roman"/>
          <w:szCs w:val="24"/>
        </w:rPr>
        <w:t>. From the present study,</w:t>
      </w:r>
      <w:r w:rsidRPr="00426534">
        <w:rPr>
          <w:rFonts w:cs="Times New Roman"/>
          <w:szCs w:val="24"/>
        </w:rPr>
        <w:t xml:space="preserve"> TF significantly decreased impulsivity in PAE-exposed mice, as shown by a reduced number of marbles displaced. This finding suggests that TF may exert anxiolytic effects and improve behavioral inhibition, possibly through the modulation of GABAergic neurotransmission</w:t>
      </w:r>
      <w:r w:rsidR="00515F29" w:rsidRPr="00426534">
        <w:rPr>
          <w:rFonts w:cs="Times New Roman"/>
          <w:szCs w:val="24"/>
        </w:rPr>
        <w:t xml:space="preserve"> as reported by </w:t>
      </w:r>
      <w:proofErr w:type="spellStart"/>
      <w:r w:rsidR="00515F29" w:rsidRPr="00426534">
        <w:rPr>
          <w:rFonts w:cs="Times New Roman"/>
          <w:color w:val="222222"/>
          <w:szCs w:val="24"/>
          <w:shd w:val="clear" w:color="auto" w:fill="FFFFFF"/>
        </w:rPr>
        <w:t>Egashira</w:t>
      </w:r>
      <w:proofErr w:type="spellEnd"/>
      <w:r w:rsidR="00515F29" w:rsidRPr="00426534">
        <w:rPr>
          <w:rFonts w:cs="Times New Roman"/>
          <w:color w:val="222222"/>
          <w:szCs w:val="24"/>
          <w:shd w:val="clear" w:color="auto" w:fill="FFFFFF"/>
        </w:rPr>
        <w:t xml:space="preserve"> et al., (2013)</w:t>
      </w:r>
      <w:r w:rsidR="00515F29" w:rsidRPr="00426534">
        <w:rPr>
          <w:rFonts w:cs="Times New Roman"/>
          <w:szCs w:val="24"/>
        </w:rPr>
        <w:t xml:space="preserve"> and </w:t>
      </w:r>
      <w:r w:rsidR="00515F29" w:rsidRPr="00426534">
        <w:rPr>
          <w:rFonts w:cs="Times New Roman"/>
          <w:color w:val="222222"/>
          <w:szCs w:val="24"/>
          <w:shd w:val="clear" w:color="auto" w:fill="FFFFFF"/>
        </w:rPr>
        <w:t>Taylor, (2017)</w:t>
      </w:r>
      <w:r w:rsidR="00515F29" w:rsidRPr="00426534">
        <w:rPr>
          <w:rFonts w:cs="Times New Roman"/>
          <w:szCs w:val="24"/>
        </w:rPr>
        <w:t xml:space="preserve"> </w:t>
      </w:r>
      <w:r w:rsidRPr="00426534">
        <w:rPr>
          <w:rFonts w:cs="Times New Roman"/>
          <w:szCs w:val="24"/>
        </w:rPr>
        <w:t xml:space="preserve">Such modulation could enhance impulse control and reduce compulsive </w:t>
      </w:r>
      <w:proofErr w:type="spellStart"/>
      <w:r w:rsidRPr="00426534">
        <w:rPr>
          <w:rFonts w:cs="Times New Roman"/>
          <w:szCs w:val="24"/>
        </w:rPr>
        <w:t>behavio</w:t>
      </w:r>
      <w:r w:rsidR="00844034">
        <w:rPr>
          <w:rFonts w:cs="Times New Roman"/>
          <w:szCs w:val="24"/>
        </w:rPr>
        <w:t>u</w:t>
      </w:r>
      <w:r w:rsidRPr="00426534">
        <w:rPr>
          <w:rFonts w:cs="Times New Roman"/>
          <w:szCs w:val="24"/>
        </w:rPr>
        <w:t>rs</w:t>
      </w:r>
      <w:proofErr w:type="spellEnd"/>
      <w:r w:rsidRPr="00426534">
        <w:rPr>
          <w:rFonts w:cs="Times New Roman"/>
          <w:szCs w:val="24"/>
        </w:rPr>
        <w:t>.</w:t>
      </w:r>
    </w:p>
    <w:p w14:paraId="3ABCEAAF" w14:textId="6A9E5B0D" w:rsidR="00CD5E5A" w:rsidRPr="00426534" w:rsidRDefault="00CD5E5A" w:rsidP="000D53EB">
      <w:pPr>
        <w:spacing w:line="360" w:lineRule="auto"/>
        <w:jc w:val="both"/>
        <w:rPr>
          <w:rFonts w:cs="Times New Roman"/>
          <w:szCs w:val="24"/>
        </w:rPr>
      </w:pPr>
      <w:r w:rsidRPr="00426534">
        <w:rPr>
          <w:rFonts w:cs="Times New Roman"/>
          <w:szCs w:val="24"/>
        </w:rPr>
        <w:t>Histological analyses revealed that TF preserved neuronal density in the striatum and amygdala of PAE-exposed mice. The striatum is critical for motor control and cognitive functions</w:t>
      </w:r>
      <w:r w:rsidR="002B7FDE" w:rsidRPr="00426534">
        <w:rPr>
          <w:rFonts w:cs="Times New Roman"/>
          <w:szCs w:val="24"/>
        </w:rPr>
        <w:t xml:space="preserve"> (</w:t>
      </w:r>
      <w:r w:rsidR="002B7FDE" w:rsidRPr="00426534">
        <w:rPr>
          <w:rFonts w:cs="Times New Roman"/>
          <w:color w:val="222222"/>
          <w:szCs w:val="24"/>
          <w:shd w:val="clear" w:color="auto" w:fill="FFFFFF"/>
        </w:rPr>
        <w:t>Cataldi et al., 2022)</w:t>
      </w:r>
      <w:r w:rsidRPr="00426534">
        <w:rPr>
          <w:rFonts w:cs="Times New Roman"/>
          <w:szCs w:val="24"/>
        </w:rPr>
        <w:t>, while the amygdala is involved in emotional regulation</w:t>
      </w:r>
      <w:r w:rsidR="002B7FDE" w:rsidRPr="00426534">
        <w:rPr>
          <w:rFonts w:cs="Times New Roman"/>
          <w:szCs w:val="24"/>
        </w:rPr>
        <w:t xml:space="preserve"> (</w:t>
      </w:r>
      <w:proofErr w:type="spellStart"/>
      <w:r w:rsidR="002B7FDE" w:rsidRPr="00426534">
        <w:rPr>
          <w:rFonts w:cs="Times New Roman"/>
          <w:color w:val="222222"/>
          <w:szCs w:val="24"/>
          <w:shd w:val="clear" w:color="auto" w:fill="FFFFFF"/>
        </w:rPr>
        <w:t>Berboth</w:t>
      </w:r>
      <w:proofErr w:type="spellEnd"/>
      <w:r w:rsidR="002B7FDE" w:rsidRPr="00426534">
        <w:rPr>
          <w:rFonts w:cs="Times New Roman"/>
          <w:color w:val="222222"/>
          <w:szCs w:val="24"/>
          <w:shd w:val="clear" w:color="auto" w:fill="FFFFFF"/>
        </w:rPr>
        <w:t xml:space="preserve"> and </w:t>
      </w:r>
      <w:proofErr w:type="spellStart"/>
      <w:r w:rsidR="002B7FDE" w:rsidRPr="00426534">
        <w:rPr>
          <w:rFonts w:cs="Times New Roman"/>
          <w:color w:val="222222"/>
          <w:szCs w:val="24"/>
          <w:shd w:val="clear" w:color="auto" w:fill="FFFFFF"/>
        </w:rPr>
        <w:t>Morawetz</w:t>
      </w:r>
      <w:proofErr w:type="spellEnd"/>
      <w:r w:rsidR="002B7FDE" w:rsidRPr="00426534">
        <w:rPr>
          <w:rFonts w:cs="Times New Roman"/>
          <w:color w:val="222222"/>
          <w:szCs w:val="24"/>
          <w:shd w:val="clear" w:color="auto" w:fill="FFFFFF"/>
        </w:rPr>
        <w:t>, 2021)</w:t>
      </w:r>
      <w:r w:rsidRPr="00426534">
        <w:rPr>
          <w:rFonts w:cs="Times New Roman"/>
          <w:szCs w:val="24"/>
        </w:rPr>
        <w:t>. Preservation of neuronal integrity in these regions suggests that TF may exert neuroprotective effects by reducing oxidative stress and inflammation</w:t>
      </w:r>
      <w:r w:rsidR="00426534" w:rsidRPr="00426534">
        <w:rPr>
          <w:rFonts w:cs="Times New Roman"/>
          <w:szCs w:val="24"/>
        </w:rPr>
        <w:t xml:space="preserve"> (</w:t>
      </w:r>
      <w:r w:rsidR="00426534" w:rsidRPr="00426534">
        <w:rPr>
          <w:rFonts w:cs="Times New Roman"/>
          <w:color w:val="222222"/>
          <w:szCs w:val="24"/>
          <w:shd w:val="clear" w:color="auto" w:fill="FFFFFF"/>
        </w:rPr>
        <w:t>Anandhan et al., 2013; Anthony et al., 2025; Olayinka et al., 2022</w:t>
      </w:r>
      <w:proofErr w:type="gramStart"/>
      <w:r w:rsidR="00426534" w:rsidRPr="00426534">
        <w:rPr>
          <w:rFonts w:cs="Times New Roman"/>
          <w:color w:val="222222"/>
          <w:szCs w:val="24"/>
          <w:shd w:val="clear" w:color="auto" w:fill="FFFFFF"/>
        </w:rPr>
        <w:t xml:space="preserve">) </w:t>
      </w:r>
      <w:r w:rsidRPr="00426534">
        <w:rPr>
          <w:rFonts w:cs="Times New Roman"/>
          <w:szCs w:val="24"/>
        </w:rPr>
        <w:t>,</w:t>
      </w:r>
      <w:proofErr w:type="gramEnd"/>
      <w:r w:rsidRPr="00426534">
        <w:rPr>
          <w:rFonts w:cs="Times New Roman"/>
          <w:szCs w:val="24"/>
        </w:rPr>
        <w:t xml:space="preserve"> which are known consequences of PAE</w:t>
      </w:r>
      <w:r w:rsidR="00426534" w:rsidRPr="00426534">
        <w:rPr>
          <w:rFonts w:cs="Times New Roman"/>
          <w:szCs w:val="24"/>
        </w:rPr>
        <w:t xml:space="preserve">. </w:t>
      </w:r>
      <w:r w:rsidR="00426534" w:rsidRPr="00426534">
        <w:rPr>
          <w:rFonts w:cs="Times New Roman"/>
          <w:color w:val="222222"/>
          <w:szCs w:val="24"/>
          <w:shd w:val="clear" w:color="auto" w:fill="FFFFFF"/>
        </w:rPr>
        <w:t>Ahmad</w:t>
      </w:r>
      <w:r w:rsidR="00426534" w:rsidRPr="00426534">
        <w:rPr>
          <w:rFonts w:cs="Times New Roman"/>
          <w:szCs w:val="24"/>
        </w:rPr>
        <w:t xml:space="preserve"> et al., (2023) </w:t>
      </w:r>
      <w:r w:rsidR="000D53EB" w:rsidRPr="00426534">
        <w:rPr>
          <w:rFonts w:cs="Times New Roman"/>
          <w:szCs w:val="24"/>
        </w:rPr>
        <w:t>also reported that black tea extract, rich in theaflavins, improved cognitive deficits and reduced acetylcholinesterase activity in Alzheimer's disease models, further supporting TF's neuroprotective potential.</w:t>
      </w:r>
      <w:r w:rsidRPr="00426534">
        <w:rPr>
          <w:rFonts w:cs="Times New Roman"/>
          <w:szCs w:val="24"/>
        </w:rPr>
        <w:t xml:space="preserve"> These neuroprotective properties of TF could underline the observed behavioral improvements.</w:t>
      </w:r>
    </w:p>
    <w:p w14:paraId="6767352E" w14:textId="4D7D42D6" w:rsidR="000D53EB" w:rsidRPr="00426534" w:rsidRDefault="00530049" w:rsidP="00A90603">
      <w:pPr>
        <w:pStyle w:val="ListParagraph"/>
        <w:numPr>
          <w:ilvl w:val="0"/>
          <w:numId w:val="6"/>
        </w:numPr>
        <w:spacing w:before="100" w:beforeAutospacing="1" w:after="100" w:afterAutospacing="1"/>
        <w:ind w:left="360"/>
        <w:rPr>
          <w:rFonts w:cs="Times New Roman"/>
          <w:b/>
          <w:bCs/>
          <w:szCs w:val="24"/>
        </w:rPr>
      </w:pPr>
      <w:r w:rsidRPr="00426534">
        <w:rPr>
          <w:rFonts w:cs="Times New Roman"/>
          <w:b/>
          <w:bCs/>
          <w:szCs w:val="24"/>
        </w:rPr>
        <w:lastRenderedPageBreak/>
        <w:t>CONCLUSION</w:t>
      </w:r>
    </w:p>
    <w:p w14:paraId="1B1351CB" w14:textId="11C34E2A" w:rsidR="00CD5E5A" w:rsidRPr="00426534" w:rsidRDefault="00CD5E5A" w:rsidP="00844034">
      <w:pPr>
        <w:spacing w:before="100" w:beforeAutospacing="1" w:after="100" w:afterAutospacing="1" w:line="360" w:lineRule="auto"/>
        <w:rPr>
          <w:rFonts w:cs="Times New Roman"/>
          <w:b/>
          <w:bCs/>
          <w:szCs w:val="24"/>
        </w:rPr>
      </w:pPr>
      <w:r w:rsidRPr="00CD5E5A">
        <w:rPr>
          <w:rFonts w:eastAsia="Times New Roman" w:cs="Times New Roman"/>
          <w:szCs w:val="24"/>
        </w:rPr>
        <w:t>Theaflavin exhibits significant therapeutic potential in mitigating behavioral and neuroanatomical deficits associated with prenatal alcohol-induced ADHD in mice. By enhancing cognitive function, reducing hyperactivity and impulsivity, and preserving neuronal integrity in key brain regions, TF may serve as a promising candidate for the development of novel interventions targeting ADHD resulting from prenatal alcohol exposure.</w:t>
      </w:r>
    </w:p>
    <w:p w14:paraId="1A830183" w14:textId="77777777" w:rsidR="00A90603" w:rsidRPr="00426534" w:rsidRDefault="00A90603" w:rsidP="00CD5E5A">
      <w:pPr>
        <w:spacing w:before="100" w:beforeAutospacing="1" w:after="100" w:afterAutospacing="1"/>
        <w:rPr>
          <w:rFonts w:cs="Times New Roman"/>
          <w:b/>
          <w:bCs/>
          <w:szCs w:val="24"/>
        </w:rPr>
      </w:pPr>
    </w:p>
    <w:p w14:paraId="4A15BBFE" w14:textId="77777777" w:rsidR="00530049" w:rsidRPr="00426534" w:rsidRDefault="00530049" w:rsidP="00530049">
      <w:pPr>
        <w:rPr>
          <w:rFonts w:cs="Times New Roman"/>
          <w:b/>
          <w:bCs/>
          <w:szCs w:val="24"/>
        </w:rPr>
      </w:pPr>
      <w:r w:rsidRPr="00426534">
        <w:rPr>
          <w:rFonts w:cs="Times New Roman"/>
          <w:b/>
          <w:bCs/>
          <w:szCs w:val="24"/>
        </w:rPr>
        <w:t xml:space="preserve">DISCLAIMER (ARTIFICIAL INTELLIGENCE) </w:t>
      </w:r>
    </w:p>
    <w:p w14:paraId="421BD46E" w14:textId="41E3DE1D" w:rsidR="0056666F" w:rsidRPr="00426534" w:rsidRDefault="00530049" w:rsidP="00A90603">
      <w:pPr>
        <w:rPr>
          <w:rFonts w:cs="Times New Roman"/>
          <w:szCs w:val="24"/>
        </w:rPr>
      </w:pPr>
      <w:r w:rsidRPr="00426534">
        <w:rPr>
          <w:rFonts w:cs="Times New Roman"/>
          <w:szCs w:val="24"/>
        </w:rPr>
        <w:t>Author(</w:t>
      </w:r>
      <w:r w:rsidR="00CC77DF" w:rsidRPr="00426534">
        <w:rPr>
          <w:rFonts w:cs="Times New Roman"/>
          <w:szCs w:val="24"/>
        </w:rPr>
        <w:t xml:space="preserve">s) </w:t>
      </w:r>
      <w:proofErr w:type="gramStart"/>
      <w:r w:rsidR="00CC77DF" w:rsidRPr="00426534">
        <w:rPr>
          <w:rFonts w:cs="Times New Roman"/>
          <w:szCs w:val="24"/>
        </w:rPr>
        <w:t>hereby</w:t>
      </w:r>
      <w:r w:rsidRPr="00426534">
        <w:rPr>
          <w:rFonts w:cs="Times New Roman"/>
          <w:szCs w:val="24"/>
        </w:rPr>
        <w:t xml:space="preserve">  declare</w:t>
      </w:r>
      <w:proofErr w:type="gramEnd"/>
      <w:r w:rsidRPr="00426534">
        <w:rPr>
          <w:rFonts w:cs="Times New Roman"/>
          <w:szCs w:val="24"/>
        </w:rPr>
        <w:t xml:space="preserve">  that  </w:t>
      </w:r>
      <w:r w:rsidR="00DB6143" w:rsidRPr="00426534">
        <w:rPr>
          <w:rFonts w:cs="Times New Roman"/>
          <w:szCs w:val="24"/>
        </w:rPr>
        <w:t>no</w:t>
      </w:r>
      <w:r w:rsidRPr="00426534">
        <w:rPr>
          <w:rFonts w:cs="Times New Roman"/>
          <w:szCs w:val="24"/>
        </w:rPr>
        <w:t xml:space="preserve"> </w:t>
      </w:r>
      <w:r w:rsidR="00CC77DF" w:rsidRPr="00426534">
        <w:rPr>
          <w:rFonts w:cs="Times New Roman"/>
          <w:szCs w:val="24"/>
        </w:rPr>
        <w:t>generative AI</w:t>
      </w:r>
      <w:r w:rsidRPr="00426534">
        <w:rPr>
          <w:rFonts w:cs="Times New Roman"/>
          <w:szCs w:val="24"/>
        </w:rPr>
        <w:t xml:space="preserve"> </w:t>
      </w:r>
      <w:r w:rsidR="00CC77DF" w:rsidRPr="00426534">
        <w:rPr>
          <w:rFonts w:cs="Times New Roman"/>
          <w:szCs w:val="24"/>
        </w:rPr>
        <w:t>technologies such</w:t>
      </w:r>
      <w:r w:rsidRPr="00426534">
        <w:rPr>
          <w:rFonts w:cs="Times New Roman"/>
          <w:szCs w:val="24"/>
        </w:rPr>
        <w:t xml:space="preserve">  as  </w:t>
      </w:r>
      <w:r w:rsidR="00CC77DF" w:rsidRPr="00426534">
        <w:rPr>
          <w:rFonts w:cs="Times New Roman"/>
          <w:szCs w:val="24"/>
        </w:rPr>
        <w:t>Large Language</w:t>
      </w:r>
      <w:r w:rsidRPr="00426534">
        <w:rPr>
          <w:rFonts w:cs="Times New Roman"/>
          <w:szCs w:val="24"/>
        </w:rPr>
        <w:t xml:space="preserve">  Models (</w:t>
      </w:r>
      <w:r w:rsidR="00CC77DF" w:rsidRPr="00426534">
        <w:rPr>
          <w:rFonts w:cs="Times New Roman"/>
          <w:szCs w:val="24"/>
        </w:rPr>
        <w:t>ChatGPT, COPILOT</w:t>
      </w:r>
      <w:r w:rsidRPr="00426534">
        <w:rPr>
          <w:rFonts w:cs="Times New Roman"/>
          <w:szCs w:val="24"/>
        </w:rPr>
        <w:t xml:space="preserve">,   </w:t>
      </w:r>
      <w:r w:rsidR="00CC77DF" w:rsidRPr="00426534">
        <w:rPr>
          <w:rFonts w:cs="Times New Roman"/>
          <w:szCs w:val="24"/>
        </w:rPr>
        <w:t>etc.</w:t>
      </w:r>
      <w:r w:rsidRPr="00426534">
        <w:rPr>
          <w:rFonts w:cs="Times New Roman"/>
          <w:szCs w:val="24"/>
        </w:rPr>
        <w:t xml:space="preserve">)   and   text-to-image </w:t>
      </w:r>
      <w:r w:rsidR="00CC77DF" w:rsidRPr="00426534">
        <w:rPr>
          <w:rFonts w:cs="Times New Roman"/>
          <w:szCs w:val="24"/>
        </w:rPr>
        <w:t xml:space="preserve">generators </w:t>
      </w:r>
      <w:proofErr w:type="gramStart"/>
      <w:r w:rsidR="00CC77DF" w:rsidRPr="00426534">
        <w:rPr>
          <w:rFonts w:cs="Times New Roman"/>
          <w:szCs w:val="24"/>
        </w:rPr>
        <w:t>have</w:t>
      </w:r>
      <w:r w:rsidRPr="00426534">
        <w:rPr>
          <w:rFonts w:cs="Times New Roman"/>
          <w:szCs w:val="24"/>
        </w:rPr>
        <w:t xml:space="preserve">  been</w:t>
      </w:r>
      <w:proofErr w:type="gramEnd"/>
      <w:r w:rsidRPr="00426534">
        <w:rPr>
          <w:rFonts w:cs="Times New Roman"/>
          <w:szCs w:val="24"/>
        </w:rPr>
        <w:t xml:space="preserve">  </w:t>
      </w:r>
      <w:r w:rsidR="00CC77DF" w:rsidRPr="00426534">
        <w:rPr>
          <w:rFonts w:cs="Times New Roman"/>
          <w:szCs w:val="24"/>
        </w:rPr>
        <w:t>used during</w:t>
      </w:r>
      <w:r w:rsidRPr="00426534">
        <w:rPr>
          <w:rFonts w:cs="Times New Roman"/>
          <w:szCs w:val="24"/>
        </w:rPr>
        <w:t xml:space="preserve">  </w:t>
      </w:r>
      <w:r w:rsidR="00CC77DF" w:rsidRPr="00426534">
        <w:rPr>
          <w:rFonts w:cs="Times New Roman"/>
          <w:szCs w:val="24"/>
        </w:rPr>
        <w:t>writing or</w:t>
      </w:r>
      <w:r w:rsidRPr="00426534">
        <w:rPr>
          <w:rFonts w:cs="Times New Roman"/>
          <w:szCs w:val="24"/>
        </w:rPr>
        <w:t xml:space="preserve"> editing of this manuscript.</w:t>
      </w:r>
    </w:p>
    <w:p w14:paraId="3A3FDBF2" w14:textId="77777777" w:rsidR="00A90603" w:rsidRPr="00426534" w:rsidRDefault="00A90603" w:rsidP="00A90603">
      <w:pPr>
        <w:rPr>
          <w:rFonts w:cs="Times New Roman"/>
          <w:szCs w:val="24"/>
        </w:rPr>
      </w:pPr>
    </w:p>
    <w:p w14:paraId="1B69C74A" w14:textId="77777777" w:rsidR="00530049" w:rsidRPr="00426534" w:rsidRDefault="00530049" w:rsidP="00530049">
      <w:pPr>
        <w:rPr>
          <w:rFonts w:cs="Times New Roman"/>
          <w:b/>
          <w:bCs/>
          <w:szCs w:val="24"/>
        </w:rPr>
      </w:pPr>
      <w:r w:rsidRPr="00426534">
        <w:rPr>
          <w:rFonts w:cs="Times New Roman"/>
          <w:b/>
          <w:bCs/>
          <w:szCs w:val="24"/>
        </w:rPr>
        <w:t>CONSENT AND ETHICAL APPROVAL</w:t>
      </w:r>
    </w:p>
    <w:p w14:paraId="179E49CE" w14:textId="49614307" w:rsidR="00A90603" w:rsidRPr="00426534" w:rsidRDefault="00A90603" w:rsidP="00A90603">
      <w:pPr>
        <w:spacing w:after="0" w:line="360" w:lineRule="auto"/>
        <w:jc w:val="both"/>
        <w:rPr>
          <w:rFonts w:cs="Times New Roman"/>
          <w:szCs w:val="24"/>
        </w:rPr>
      </w:pPr>
      <w:r w:rsidRPr="00426534">
        <w:rPr>
          <w:rFonts w:cs="Times New Roman"/>
          <w:szCs w:val="24"/>
        </w:rPr>
        <w:t xml:space="preserve">The approval for the study was Faculty of Basic Medical Sciences ethical committee </w:t>
      </w:r>
      <w:r w:rsidR="0082396A" w:rsidRPr="00426534">
        <w:rPr>
          <w:rFonts w:cs="Times New Roman"/>
          <w:szCs w:val="24"/>
        </w:rPr>
        <w:t xml:space="preserve">(RBC/FBMC/DELSU/24/629) </w:t>
      </w:r>
      <w:r w:rsidRPr="00426534">
        <w:rPr>
          <w:rFonts w:cs="Times New Roman"/>
          <w:szCs w:val="24"/>
        </w:rPr>
        <w:t>and also in accordance with the NIH Guideline for the care and use of laboratory animals.</w:t>
      </w:r>
    </w:p>
    <w:p w14:paraId="69FA3609" w14:textId="77777777" w:rsidR="00594703" w:rsidRPr="00426534" w:rsidRDefault="00594703" w:rsidP="00530049">
      <w:pPr>
        <w:rPr>
          <w:rFonts w:cs="Times New Roman"/>
          <w:szCs w:val="24"/>
        </w:rPr>
      </w:pPr>
    </w:p>
    <w:p w14:paraId="6BEE6418" w14:textId="6EB3862E" w:rsidR="0056666F" w:rsidRDefault="00722297" w:rsidP="00794906">
      <w:pPr>
        <w:spacing w:line="360" w:lineRule="auto"/>
        <w:jc w:val="both"/>
        <w:rPr>
          <w:rFonts w:cs="Times New Roman"/>
          <w:b/>
          <w:bCs/>
          <w:szCs w:val="24"/>
        </w:rPr>
      </w:pPr>
      <w:r w:rsidRPr="00426534">
        <w:rPr>
          <w:rFonts w:cs="Times New Roman"/>
          <w:b/>
          <w:bCs/>
          <w:szCs w:val="24"/>
        </w:rPr>
        <w:t>References.</w:t>
      </w:r>
    </w:p>
    <w:p w14:paraId="15554B46"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Ahmad, A., Nosheen, F., Arshad, M. U., Saeed, F., Afzaal, M., Islam, F., Imran, A., Noreen, R., Amer Ali, Y., &amp; Shah, M. A. (2023). Isolation and antioxidant characterization of theaflavin for neuroprotective effect in mice m</w:t>
      </w:r>
      <w:bookmarkStart w:id="9" w:name="_GoBack"/>
      <w:bookmarkEnd w:id="9"/>
      <w:r w:rsidRPr="00A131A7">
        <w:rPr>
          <w:rFonts w:eastAsiaTheme="majorEastAsia" w:cs="Times New Roman"/>
          <w:szCs w:val="24"/>
        </w:rPr>
        <w:t xml:space="preserve">odel. </w:t>
      </w:r>
      <w:r w:rsidRPr="00A131A7">
        <w:rPr>
          <w:rFonts w:eastAsiaTheme="majorEastAsia" w:cs="Times New Roman"/>
          <w:i/>
          <w:iCs/>
          <w:szCs w:val="24"/>
        </w:rPr>
        <w:t>Food Science &amp; Nutrition, 11</w:t>
      </w:r>
      <w:r w:rsidRPr="00A131A7">
        <w:rPr>
          <w:rFonts w:eastAsiaTheme="majorEastAsia" w:cs="Times New Roman"/>
          <w:szCs w:val="24"/>
        </w:rPr>
        <w:t>(6), 3485–3496.</w:t>
      </w:r>
    </w:p>
    <w:p w14:paraId="04356771"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Akpovwre</w:t>
      </w:r>
      <w:proofErr w:type="spellEnd"/>
      <w:r w:rsidRPr="00A131A7">
        <w:rPr>
          <w:rFonts w:eastAsiaTheme="majorEastAsia" w:cs="Times New Roman"/>
          <w:szCs w:val="24"/>
        </w:rPr>
        <w:t xml:space="preserve">, C. O., Eduviere, A. T., Isibor, H., </w:t>
      </w:r>
      <w:proofErr w:type="spellStart"/>
      <w:r w:rsidRPr="00A131A7">
        <w:rPr>
          <w:rFonts w:eastAsiaTheme="majorEastAsia" w:cs="Times New Roman"/>
          <w:szCs w:val="24"/>
        </w:rPr>
        <w:t>Edje</w:t>
      </w:r>
      <w:proofErr w:type="spellEnd"/>
      <w:r w:rsidRPr="00A131A7">
        <w:rPr>
          <w:rFonts w:eastAsiaTheme="majorEastAsia" w:cs="Times New Roman"/>
          <w:szCs w:val="24"/>
        </w:rPr>
        <w:t xml:space="preserve">, K. E., </w:t>
      </w:r>
      <w:proofErr w:type="spellStart"/>
      <w:r w:rsidRPr="00A131A7">
        <w:rPr>
          <w:rFonts w:eastAsiaTheme="majorEastAsia" w:cs="Times New Roman"/>
          <w:szCs w:val="24"/>
        </w:rPr>
        <w:t>Ewhre</w:t>
      </w:r>
      <w:proofErr w:type="spellEnd"/>
      <w:r w:rsidRPr="00A131A7">
        <w:rPr>
          <w:rFonts w:eastAsiaTheme="majorEastAsia" w:cs="Times New Roman"/>
          <w:szCs w:val="24"/>
        </w:rPr>
        <w:t xml:space="preserve">, L. O., Akinsola, A. O., </w:t>
      </w:r>
      <w:proofErr w:type="spellStart"/>
      <w:r w:rsidRPr="00A131A7">
        <w:rPr>
          <w:rFonts w:eastAsiaTheme="majorEastAsia" w:cs="Times New Roman"/>
          <w:szCs w:val="24"/>
        </w:rPr>
        <w:t>Idada</w:t>
      </w:r>
      <w:proofErr w:type="spellEnd"/>
      <w:r w:rsidRPr="00A131A7">
        <w:rPr>
          <w:rFonts w:eastAsiaTheme="majorEastAsia" w:cs="Times New Roman"/>
          <w:szCs w:val="24"/>
        </w:rPr>
        <w:t xml:space="preserve">, J. E., &amp; </w:t>
      </w:r>
      <w:proofErr w:type="spellStart"/>
      <w:r w:rsidRPr="00A131A7">
        <w:rPr>
          <w:rFonts w:eastAsiaTheme="majorEastAsia" w:cs="Times New Roman"/>
          <w:szCs w:val="24"/>
        </w:rPr>
        <w:t>Avwotuhwaye</w:t>
      </w:r>
      <w:proofErr w:type="spellEnd"/>
      <w:r w:rsidRPr="00A131A7">
        <w:rPr>
          <w:rFonts w:eastAsiaTheme="majorEastAsia" w:cs="Times New Roman"/>
          <w:szCs w:val="24"/>
        </w:rPr>
        <w:t xml:space="preserve">, F. E. (2024). Theaflavin alleviates memory deficit and anxiety-like phenotypes in valproic acid murine model of autism: Impact on cholinergic and </w:t>
      </w:r>
      <w:proofErr w:type="spellStart"/>
      <w:r w:rsidRPr="00A131A7">
        <w:rPr>
          <w:rFonts w:eastAsiaTheme="majorEastAsia" w:cs="Times New Roman"/>
          <w:szCs w:val="24"/>
        </w:rPr>
        <w:t>oxido-nitrigic</w:t>
      </w:r>
      <w:proofErr w:type="spellEnd"/>
      <w:r w:rsidRPr="00A131A7">
        <w:rPr>
          <w:rFonts w:eastAsiaTheme="majorEastAsia" w:cs="Times New Roman"/>
          <w:szCs w:val="24"/>
        </w:rPr>
        <w:t xml:space="preserve"> stress mechanisms. </w:t>
      </w:r>
      <w:r w:rsidRPr="00A131A7">
        <w:rPr>
          <w:rFonts w:eastAsiaTheme="majorEastAsia" w:cs="Times New Roman"/>
          <w:i/>
          <w:iCs/>
          <w:szCs w:val="24"/>
        </w:rPr>
        <w:t>Tropical Journal of Natural Product Research, 8</w:t>
      </w:r>
      <w:r w:rsidRPr="00A131A7">
        <w:rPr>
          <w:rFonts w:eastAsiaTheme="majorEastAsia" w:cs="Times New Roman"/>
          <w:szCs w:val="24"/>
        </w:rPr>
        <w:t>(12).</w:t>
      </w:r>
    </w:p>
    <w:p w14:paraId="0FCE1792"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Alavi, M., Pedro, S. N., Freire, M. G., </w:t>
      </w:r>
      <w:proofErr w:type="spellStart"/>
      <w:r w:rsidRPr="00A131A7">
        <w:rPr>
          <w:rFonts w:eastAsiaTheme="majorEastAsia" w:cs="Times New Roman"/>
          <w:szCs w:val="24"/>
        </w:rPr>
        <w:t>Ashengroph</w:t>
      </w:r>
      <w:proofErr w:type="spellEnd"/>
      <w:r w:rsidRPr="00A131A7">
        <w:rPr>
          <w:rFonts w:eastAsiaTheme="majorEastAsia" w:cs="Times New Roman"/>
          <w:szCs w:val="24"/>
        </w:rPr>
        <w:t xml:space="preserve">, M., &amp; Khan, H. (2025). Theaflavins applications to ameliorate implant failure and eradicate microbial infections and foodborne pathogens: A comprehensive review. </w:t>
      </w:r>
      <w:r w:rsidRPr="00A131A7">
        <w:rPr>
          <w:rFonts w:eastAsiaTheme="majorEastAsia" w:cs="Times New Roman"/>
          <w:i/>
          <w:iCs/>
          <w:szCs w:val="24"/>
        </w:rPr>
        <w:t>Phytotherapy Research, 39</w:t>
      </w:r>
      <w:r w:rsidRPr="00A131A7">
        <w:rPr>
          <w:rFonts w:eastAsiaTheme="majorEastAsia" w:cs="Times New Roman"/>
          <w:szCs w:val="24"/>
        </w:rPr>
        <w:t>(1), 494–504.</w:t>
      </w:r>
    </w:p>
    <w:p w14:paraId="706AF462"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lastRenderedPageBreak/>
        <w:t xml:space="preserve">Aliabad, M. K., Razavi, M. N., Sadeghi, M., Farokhi, A., &amp; Rezaei, M. (2024). The effects of physical activity on key variables that influence the characteristics of children with attention deficit hyperactivity disorder. </w:t>
      </w:r>
      <w:r w:rsidRPr="00A131A7">
        <w:rPr>
          <w:rFonts w:eastAsiaTheme="majorEastAsia" w:cs="Times New Roman"/>
          <w:i/>
          <w:iCs/>
          <w:szCs w:val="24"/>
        </w:rPr>
        <w:t>International Journal of Sport Studies for Health, 7</w:t>
      </w:r>
      <w:r w:rsidRPr="00A131A7">
        <w:rPr>
          <w:rFonts w:eastAsiaTheme="majorEastAsia" w:cs="Times New Roman"/>
          <w:szCs w:val="24"/>
        </w:rPr>
        <w:t>(4).</w:t>
      </w:r>
    </w:p>
    <w:p w14:paraId="522E4438"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Al‐Gailani, L., &amp; Al‐Kaleel, A. (2024). The relationship between prenatal, perinatal, and postnatal factors and ADHD: The role of nutrition, diet, and stress. </w:t>
      </w:r>
      <w:r w:rsidRPr="00A131A7">
        <w:rPr>
          <w:rFonts w:eastAsiaTheme="majorEastAsia" w:cs="Times New Roman"/>
          <w:i/>
          <w:iCs/>
          <w:szCs w:val="24"/>
        </w:rPr>
        <w:t>Developmental Psychobiology, 66</w:t>
      </w:r>
      <w:r w:rsidRPr="00A131A7">
        <w:rPr>
          <w:rFonts w:eastAsiaTheme="majorEastAsia" w:cs="Times New Roman"/>
          <w:szCs w:val="24"/>
        </w:rPr>
        <w:t>(8), e70004.</w:t>
      </w:r>
    </w:p>
    <w:p w14:paraId="53FBF27B"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Alsaied</w:t>
      </w:r>
      <w:proofErr w:type="spellEnd"/>
      <w:r w:rsidRPr="00A131A7">
        <w:rPr>
          <w:rFonts w:eastAsiaTheme="majorEastAsia" w:cs="Times New Roman"/>
          <w:szCs w:val="24"/>
        </w:rPr>
        <w:t xml:space="preserve">, M. A. (2024). Attention deficit and hyperactivity and its relationship with learning difficulties among university students. </w:t>
      </w:r>
      <w:r w:rsidRPr="00A131A7">
        <w:rPr>
          <w:rFonts w:eastAsiaTheme="majorEastAsia" w:cs="Times New Roman"/>
          <w:i/>
          <w:iCs/>
          <w:szCs w:val="24"/>
        </w:rPr>
        <w:t>Edelweiss Applied Science and Technology, 8</w:t>
      </w:r>
      <w:r w:rsidRPr="00A131A7">
        <w:rPr>
          <w:rFonts w:eastAsiaTheme="majorEastAsia" w:cs="Times New Roman"/>
          <w:szCs w:val="24"/>
        </w:rPr>
        <w:t>(6), 7319–7326.</w:t>
      </w:r>
    </w:p>
    <w:p w14:paraId="0392463C"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Anandhan, A., Essa, M. M., &amp; Manivasagam, T. (2013). Therapeutic attenuation of neuroinflammation and apoptosis by black tea theaflavin in chronic MPTP/probenecid model of Parkinson’s disease. </w:t>
      </w:r>
      <w:r w:rsidRPr="00A131A7">
        <w:rPr>
          <w:rFonts w:eastAsiaTheme="majorEastAsia" w:cs="Times New Roman"/>
          <w:i/>
          <w:iCs/>
          <w:szCs w:val="24"/>
        </w:rPr>
        <w:t>Neurotoxicity Research, 23</w:t>
      </w:r>
      <w:r w:rsidRPr="00A131A7">
        <w:rPr>
          <w:rFonts w:eastAsiaTheme="majorEastAsia" w:cs="Times New Roman"/>
          <w:szCs w:val="24"/>
        </w:rPr>
        <w:t>, 166–173.</w:t>
      </w:r>
    </w:p>
    <w:p w14:paraId="1D9D0E57"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Andreu-Fernández, V., La Maida, N., Marquina, M., </w:t>
      </w:r>
      <w:proofErr w:type="spellStart"/>
      <w:r w:rsidRPr="00A131A7">
        <w:rPr>
          <w:rFonts w:eastAsiaTheme="majorEastAsia" w:cs="Times New Roman"/>
          <w:szCs w:val="24"/>
        </w:rPr>
        <w:t>Mirahi</w:t>
      </w:r>
      <w:proofErr w:type="spellEnd"/>
      <w:r w:rsidRPr="00A131A7">
        <w:rPr>
          <w:rFonts w:eastAsiaTheme="majorEastAsia" w:cs="Times New Roman"/>
          <w:szCs w:val="24"/>
        </w:rPr>
        <w:t xml:space="preserve">, A., García-Algar, O., </w:t>
      </w:r>
      <w:proofErr w:type="spellStart"/>
      <w:r w:rsidRPr="00A131A7">
        <w:rPr>
          <w:rFonts w:eastAsiaTheme="majorEastAsia" w:cs="Times New Roman"/>
          <w:szCs w:val="24"/>
        </w:rPr>
        <w:t>Pichini</w:t>
      </w:r>
      <w:proofErr w:type="spellEnd"/>
      <w:r w:rsidRPr="00A131A7">
        <w:rPr>
          <w:rFonts w:eastAsiaTheme="majorEastAsia" w:cs="Times New Roman"/>
          <w:szCs w:val="24"/>
        </w:rPr>
        <w:t xml:space="preserve">, S., &amp; Minutillo, A. (2024). Novel interventions on comorbidities in patients with fetal alcohol spectrum disorder (FASD): An integrative review. </w:t>
      </w:r>
      <w:r w:rsidRPr="00A131A7">
        <w:rPr>
          <w:rFonts w:eastAsiaTheme="majorEastAsia" w:cs="Times New Roman"/>
          <w:i/>
          <w:iCs/>
          <w:szCs w:val="24"/>
        </w:rPr>
        <w:t>Biomedicines, 12</w:t>
      </w:r>
      <w:r w:rsidRPr="00A131A7">
        <w:rPr>
          <w:rFonts w:eastAsiaTheme="majorEastAsia" w:cs="Times New Roman"/>
          <w:szCs w:val="24"/>
        </w:rPr>
        <w:t>(3), 496.</w:t>
      </w:r>
    </w:p>
    <w:p w14:paraId="2D3BEF55"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Anthony, O. N., Anozie, A. J., </w:t>
      </w:r>
      <w:proofErr w:type="spellStart"/>
      <w:r w:rsidRPr="00A131A7">
        <w:rPr>
          <w:rFonts w:eastAsiaTheme="majorEastAsia" w:cs="Times New Roman"/>
          <w:szCs w:val="24"/>
        </w:rPr>
        <w:t>Akpovwre</w:t>
      </w:r>
      <w:proofErr w:type="spellEnd"/>
      <w:r w:rsidRPr="00A131A7">
        <w:rPr>
          <w:rFonts w:eastAsiaTheme="majorEastAsia" w:cs="Times New Roman"/>
          <w:szCs w:val="24"/>
        </w:rPr>
        <w:t xml:space="preserve">, C. O., </w:t>
      </w:r>
      <w:proofErr w:type="spellStart"/>
      <w:r w:rsidRPr="00A131A7">
        <w:rPr>
          <w:rFonts w:eastAsiaTheme="majorEastAsia" w:cs="Times New Roman"/>
          <w:szCs w:val="24"/>
        </w:rPr>
        <w:t>Awhin</w:t>
      </w:r>
      <w:proofErr w:type="spellEnd"/>
      <w:r w:rsidRPr="00A131A7">
        <w:rPr>
          <w:rFonts w:eastAsiaTheme="majorEastAsia" w:cs="Times New Roman"/>
          <w:szCs w:val="24"/>
        </w:rPr>
        <w:t xml:space="preserve">, E. P., Oni, J. O., Eduviere, A. T., &amp; </w:t>
      </w:r>
      <w:proofErr w:type="spellStart"/>
      <w:r w:rsidRPr="00A131A7">
        <w:rPr>
          <w:rFonts w:eastAsiaTheme="majorEastAsia" w:cs="Times New Roman"/>
          <w:szCs w:val="24"/>
        </w:rPr>
        <w:t>Avwotuhwaye</w:t>
      </w:r>
      <w:proofErr w:type="spellEnd"/>
      <w:r w:rsidRPr="00A131A7">
        <w:rPr>
          <w:rFonts w:eastAsiaTheme="majorEastAsia" w:cs="Times New Roman"/>
          <w:szCs w:val="24"/>
        </w:rPr>
        <w:t xml:space="preserve">, F. E. (2025). Evaluation of memory enhancing potential of </w:t>
      </w:r>
      <w:r w:rsidRPr="00A131A7">
        <w:rPr>
          <w:rFonts w:eastAsiaTheme="majorEastAsia" w:cs="Times New Roman"/>
          <w:i/>
          <w:iCs/>
          <w:szCs w:val="24"/>
        </w:rPr>
        <w:t>Centella lujica</w:t>
      </w:r>
      <w:r w:rsidRPr="00A131A7">
        <w:rPr>
          <w:rFonts w:eastAsiaTheme="majorEastAsia" w:cs="Times New Roman"/>
          <w:szCs w:val="24"/>
        </w:rPr>
        <w:t xml:space="preserve"> supplement and its underlying mechanisms of action in mice model of stress. </w:t>
      </w:r>
      <w:r w:rsidRPr="00A131A7">
        <w:rPr>
          <w:rFonts w:eastAsiaTheme="majorEastAsia" w:cs="Times New Roman"/>
          <w:i/>
          <w:iCs/>
          <w:szCs w:val="24"/>
        </w:rPr>
        <w:t>Tropical Journal of Phytochemistry and Pharmaceutical Sciences, 4</w:t>
      </w:r>
      <w:r w:rsidRPr="00A131A7">
        <w:rPr>
          <w:rFonts w:eastAsiaTheme="majorEastAsia" w:cs="Times New Roman"/>
          <w:szCs w:val="24"/>
        </w:rPr>
        <w:t>(3), 102–110.</w:t>
      </w:r>
    </w:p>
    <w:p w14:paraId="6F594D8B"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Berboth</w:t>
      </w:r>
      <w:proofErr w:type="spellEnd"/>
      <w:r w:rsidRPr="00A131A7">
        <w:rPr>
          <w:rFonts w:eastAsiaTheme="majorEastAsia" w:cs="Times New Roman"/>
          <w:szCs w:val="24"/>
        </w:rPr>
        <w:t xml:space="preserve">, S., &amp; Morawetz, C. (2021). Amygdala-prefrontal connectivity during emotion regulation: A meta-analysis of psychophysiological interactions. </w:t>
      </w:r>
      <w:proofErr w:type="spellStart"/>
      <w:r w:rsidRPr="00A131A7">
        <w:rPr>
          <w:rFonts w:eastAsiaTheme="majorEastAsia" w:cs="Times New Roman"/>
          <w:i/>
          <w:iCs/>
          <w:szCs w:val="24"/>
        </w:rPr>
        <w:t>Neuropsychologia</w:t>
      </w:r>
      <w:proofErr w:type="spellEnd"/>
      <w:r w:rsidRPr="00A131A7">
        <w:rPr>
          <w:rFonts w:eastAsiaTheme="majorEastAsia" w:cs="Times New Roman"/>
          <w:i/>
          <w:iCs/>
          <w:szCs w:val="24"/>
        </w:rPr>
        <w:t>, 153</w:t>
      </w:r>
      <w:r w:rsidRPr="00A131A7">
        <w:rPr>
          <w:rFonts w:eastAsiaTheme="majorEastAsia" w:cs="Times New Roman"/>
          <w:szCs w:val="24"/>
        </w:rPr>
        <w:t>, 107767.</w:t>
      </w:r>
    </w:p>
    <w:p w14:paraId="5000BA24"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Bi, R., Fang, Z., You, M., He, Q., &amp; Hu, B. (2021). Microglia phenotype and intracerebral hemorrhage: A balance of Yin and Yang. </w:t>
      </w:r>
      <w:r w:rsidRPr="00A131A7">
        <w:rPr>
          <w:rFonts w:eastAsiaTheme="majorEastAsia" w:cs="Times New Roman"/>
          <w:i/>
          <w:iCs/>
          <w:szCs w:val="24"/>
        </w:rPr>
        <w:t>Frontiers in Cellular Neuroscience, 15</w:t>
      </w:r>
      <w:r w:rsidRPr="00A131A7">
        <w:rPr>
          <w:rFonts w:eastAsiaTheme="majorEastAsia" w:cs="Times New Roman"/>
          <w:szCs w:val="24"/>
        </w:rPr>
        <w:t>, 765205.</w:t>
      </w:r>
    </w:p>
    <w:p w14:paraId="46F1DF9A"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Bogdańska-Chomczyk</w:t>
      </w:r>
      <w:proofErr w:type="spellEnd"/>
      <w:r w:rsidRPr="00A131A7">
        <w:rPr>
          <w:rFonts w:eastAsiaTheme="majorEastAsia" w:cs="Times New Roman"/>
          <w:szCs w:val="24"/>
        </w:rPr>
        <w:t xml:space="preserve">, E., </w:t>
      </w:r>
      <w:proofErr w:type="spellStart"/>
      <w:r w:rsidRPr="00A131A7">
        <w:rPr>
          <w:rFonts w:eastAsiaTheme="majorEastAsia" w:cs="Times New Roman"/>
          <w:szCs w:val="24"/>
        </w:rPr>
        <w:t>Wojtacha</w:t>
      </w:r>
      <w:proofErr w:type="spellEnd"/>
      <w:r w:rsidRPr="00A131A7">
        <w:rPr>
          <w:rFonts w:eastAsiaTheme="majorEastAsia" w:cs="Times New Roman"/>
          <w:szCs w:val="24"/>
        </w:rPr>
        <w:t xml:space="preserve">, P., Tsai, M. L., Huang, A. C. W., &amp; Kozłowska, A. (2024). Alterations in striatal architecture and biochemical markers’ levels during postnatal development in the rat model of an attention deficit/hyperactivity disorder (ADHD). </w:t>
      </w:r>
      <w:r w:rsidRPr="00A131A7">
        <w:rPr>
          <w:rFonts w:eastAsiaTheme="majorEastAsia" w:cs="Times New Roman"/>
          <w:i/>
          <w:iCs/>
          <w:szCs w:val="24"/>
        </w:rPr>
        <w:t>International Journal of Molecular Sciences, 25</w:t>
      </w:r>
      <w:r w:rsidRPr="00A131A7">
        <w:rPr>
          <w:rFonts w:eastAsiaTheme="majorEastAsia" w:cs="Times New Roman"/>
          <w:szCs w:val="24"/>
        </w:rPr>
        <w:t>(24), 13652.</w:t>
      </w:r>
    </w:p>
    <w:p w14:paraId="481BFFB2"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Cataldi, S., Stanley, A. T., Miniaci, M. C., &amp; Sulzer, D. (2022). Interpreting the role of the striatum during multiple phases of motor learning. </w:t>
      </w:r>
      <w:r w:rsidRPr="00A131A7">
        <w:rPr>
          <w:rFonts w:eastAsiaTheme="majorEastAsia" w:cs="Times New Roman"/>
          <w:i/>
          <w:iCs/>
          <w:szCs w:val="24"/>
        </w:rPr>
        <w:t>The FEBS Journal, 289</w:t>
      </w:r>
      <w:r w:rsidRPr="00A131A7">
        <w:rPr>
          <w:rFonts w:eastAsiaTheme="majorEastAsia" w:cs="Times New Roman"/>
          <w:szCs w:val="24"/>
        </w:rPr>
        <w:t>(8), 2263–2281.</w:t>
      </w:r>
    </w:p>
    <w:p w14:paraId="752D26F4"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Cho, H. S., Baek, D. J., &amp; Baek, S. S. (2014). Effect of exercise on hyperactivity, impulsivity and dopamine D2 receptor expression in the substantia nigra and striatum of spontaneous hypertensive rats. </w:t>
      </w:r>
      <w:r w:rsidRPr="00A131A7">
        <w:rPr>
          <w:rFonts w:eastAsiaTheme="majorEastAsia" w:cs="Times New Roman"/>
          <w:i/>
          <w:iCs/>
          <w:szCs w:val="24"/>
        </w:rPr>
        <w:t>Journal of Exercise Nutrition &amp; Biochemistry, 18</w:t>
      </w:r>
      <w:r w:rsidRPr="00A131A7">
        <w:rPr>
          <w:rFonts w:eastAsiaTheme="majorEastAsia" w:cs="Times New Roman"/>
          <w:szCs w:val="24"/>
        </w:rPr>
        <w:t>(4), 379.</w:t>
      </w:r>
    </w:p>
    <w:p w14:paraId="603C4FEE"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Choi, I., Kim, P., Joo, S. H., Kim, M. K., Park, J. H., Kim, H. J., Ryu, J. H., Cheong, J. H., &amp; Shin, C. Y. (2012). Effects of </w:t>
      </w:r>
      <w:proofErr w:type="spellStart"/>
      <w:r w:rsidRPr="00A131A7">
        <w:rPr>
          <w:rFonts w:eastAsiaTheme="majorEastAsia" w:cs="Times New Roman"/>
          <w:szCs w:val="24"/>
        </w:rPr>
        <w:t>preconceptional</w:t>
      </w:r>
      <w:proofErr w:type="spellEnd"/>
      <w:r w:rsidRPr="00A131A7">
        <w:rPr>
          <w:rFonts w:eastAsiaTheme="majorEastAsia" w:cs="Times New Roman"/>
          <w:szCs w:val="24"/>
        </w:rPr>
        <w:t xml:space="preserve"> ethanol consumption on ADHD-like symptoms in Sprague-Dawley rat offsprings. </w:t>
      </w:r>
      <w:r w:rsidRPr="00A131A7">
        <w:rPr>
          <w:rFonts w:eastAsiaTheme="majorEastAsia" w:cs="Times New Roman"/>
          <w:i/>
          <w:iCs/>
          <w:szCs w:val="24"/>
        </w:rPr>
        <w:t>Biomolecules &amp; Therapeutics, 20</w:t>
      </w:r>
      <w:r w:rsidRPr="00A131A7">
        <w:rPr>
          <w:rFonts w:eastAsiaTheme="majorEastAsia" w:cs="Times New Roman"/>
          <w:szCs w:val="24"/>
        </w:rPr>
        <w:t>(2), 226.</w:t>
      </w:r>
    </w:p>
    <w:p w14:paraId="04D34FE1"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De Brouwer, G., Fick, A., Harvey, B. H., &amp; Wolmarans, D. W. (2019). A critical inquiry into marble-burying as a preclinical screening paradigm of relevance for anxiety and </w:t>
      </w:r>
      <w:r w:rsidRPr="00A131A7">
        <w:rPr>
          <w:rFonts w:eastAsiaTheme="majorEastAsia" w:cs="Times New Roman"/>
          <w:szCs w:val="24"/>
        </w:rPr>
        <w:lastRenderedPageBreak/>
        <w:t xml:space="preserve">obsessive–compulsive disorder: Mapping the way forward. </w:t>
      </w:r>
      <w:r w:rsidRPr="00A131A7">
        <w:rPr>
          <w:rFonts w:eastAsiaTheme="majorEastAsia" w:cs="Times New Roman"/>
          <w:i/>
          <w:iCs/>
          <w:szCs w:val="24"/>
        </w:rPr>
        <w:t>Cognitive, Affective, &amp; Behavioral Neuroscience, 19</w:t>
      </w:r>
      <w:r w:rsidRPr="00A131A7">
        <w:rPr>
          <w:rFonts w:eastAsiaTheme="majorEastAsia" w:cs="Times New Roman"/>
          <w:szCs w:val="24"/>
        </w:rPr>
        <w:t>, 1–39.</w:t>
      </w:r>
    </w:p>
    <w:p w14:paraId="39AC2C3A"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Egashira</w:t>
      </w:r>
      <w:proofErr w:type="spellEnd"/>
      <w:r w:rsidRPr="00A131A7">
        <w:rPr>
          <w:rFonts w:eastAsiaTheme="majorEastAsia" w:cs="Times New Roman"/>
          <w:szCs w:val="24"/>
        </w:rPr>
        <w:t xml:space="preserve">, N., Abe, M., Shirakawa, A., Niki, T., Mishima, K., Iwasaki, K., Oishi, R., &amp; Fujiwara, M. (2013). Effects of mood stabilizers on marble-burying behavior in mice: Involvement of GABAergic system. </w:t>
      </w:r>
      <w:r w:rsidRPr="00A131A7">
        <w:rPr>
          <w:rFonts w:eastAsiaTheme="majorEastAsia" w:cs="Times New Roman"/>
          <w:i/>
          <w:iCs/>
          <w:szCs w:val="24"/>
        </w:rPr>
        <w:t>Psychopharmacology, 226</w:t>
      </w:r>
      <w:r w:rsidRPr="00A131A7">
        <w:rPr>
          <w:rFonts w:eastAsiaTheme="majorEastAsia" w:cs="Times New Roman"/>
          <w:szCs w:val="24"/>
        </w:rPr>
        <w:t>, 295–305.</w:t>
      </w:r>
    </w:p>
    <w:p w14:paraId="1D297D79"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Eduviere, A. T., Moke, E. G., </w:t>
      </w:r>
      <w:proofErr w:type="spellStart"/>
      <w:r w:rsidRPr="00A131A7">
        <w:rPr>
          <w:rFonts w:eastAsiaTheme="majorEastAsia" w:cs="Times New Roman"/>
          <w:szCs w:val="24"/>
        </w:rPr>
        <w:t>Omogbiya</w:t>
      </w:r>
      <w:proofErr w:type="spellEnd"/>
      <w:r w:rsidRPr="00A131A7">
        <w:rPr>
          <w:rFonts w:eastAsiaTheme="majorEastAsia" w:cs="Times New Roman"/>
          <w:szCs w:val="24"/>
        </w:rPr>
        <w:t xml:space="preserve">, A. I., </w:t>
      </w:r>
      <w:proofErr w:type="spellStart"/>
      <w:r w:rsidRPr="00A131A7">
        <w:rPr>
          <w:rFonts w:eastAsiaTheme="majorEastAsia" w:cs="Times New Roman"/>
          <w:szCs w:val="24"/>
        </w:rPr>
        <w:t>Otomewo</w:t>
      </w:r>
      <w:proofErr w:type="spellEnd"/>
      <w:r w:rsidRPr="00A131A7">
        <w:rPr>
          <w:rFonts w:eastAsiaTheme="majorEastAsia" w:cs="Times New Roman"/>
          <w:szCs w:val="24"/>
        </w:rPr>
        <w:t xml:space="preserve">, L. O., Olayinka, J. N., &amp; </w:t>
      </w:r>
      <w:proofErr w:type="spellStart"/>
      <w:r w:rsidRPr="00A131A7">
        <w:rPr>
          <w:rFonts w:eastAsiaTheme="majorEastAsia" w:cs="Times New Roman"/>
          <w:szCs w:val="24"/>
        </w:rPr>
        <w:t>Aboyewa</w:t>
      </w:r>
      <w:proofErr w:type="spellEnd"/>
      <w:r w:rsidRPr="00A131A7">
        <w:rPr>
          <w:rFonts w:eastAsiaTheme="majorEastAsia" w:cs="Times New Roman"/>
          <w:szCs w:val="24"/>
        </w:rPr>
        <w:t xml:space="preserve">, F. E. (2021). Quercetin modulates </w:t>
      </w:r>
      <w:proofErr w:type="spellStart"/>
      <w:r w:rsidRPr="00A131A7">
        <w:rPr>
          <w:rFonts w:eastAsiaTheme="majorEastAsia" w:cs="Times New Roman"/>
          <w:szCs w:val="24"/>
        </w:rPr>
        <w:t>behavioural</w:t>
      </w:r>
      <w:proofErr w:type="spellEnd"/>
      <w:r w:rsidRPr="00A131A7">
        <w:rPr>
          <w:rFonts w:eastAsiaTheme="majorEastAsia" w:cs="Times New Roman"/>
          <w:szCs w:val="24"/>
        </w:rPr>
        <w:t xml:space="preserve"> and biochemical alterations in stressed mice. </w:t>
      </w:r>
      <w:r w:rsidRPr="00A131A7">
        <w:rPr>
          <w:rFonts w:eastAsiaTheme="majorEastAsia" w:cs="Times New Roman"/>
          <w:i/>
          <w:iCs/>
          <w:szCs w:val="24"/>
        </w:rPr>
        <w:t>Biosciences Biotechnology Research Asia, 18</w:t>
      </w:r>
      <w:r w:rsidRPr="00A131A7">
        <w:rPr>
          <w:rFonts w:eastAsiaTheme="majorEastAsia" w:cs="Times New Roman"/>
          <w:szCs w:val="24"/>
        </w:rPr>
        <w:t>(4), 681–689.</w:t>
      </w:r>
    </w:p>
    <w:p w14:paraId="5BBF3A9C"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Eduviere, A. T., </w:t>
      </w:r>
      <w:proofErr w:type="spellStart"/>
      <w:r w:rsidRPr="00A131A7">
        <w:rPr>
          <w:rFonts w:eastAsiaTheme="majorEastAsia" w:cs="Times New Roman"/>
          <w:szCs w:val="24"/>
        </w:rPr>
        <w:t>Omorogbe</w:t>
      </w:r>
      <w:proofErr w:type="spellEnd"/>
      <w:r w:rsidRPr="00A131A7">
        <w:rPr>
          <w:rFonts w:eastAsiaTheme="majorEastAsia" w:cs="Times New Roman"/>
          <w:szCs w:val="24"/>
        </w:rPr>
        <w:t xml:space="preserve">, O., &amp; Umukoro, S. (2017). Methyl </w:t>
      </w:r>
      <w:proofErr w:type="spellStart"/>
      <w:r w:rsidRPr="00A131A7">
        <w:rPr>
          <w:rFonts w:eastAsiaTheme="majorEastAsia" w:cs="Times New Roman"/>
          <w:szCs w:val="24"/>
        </w:rPr>
        <w:t>jasmonate</w:t>
      </w:r>
      <w:proofErr w:type="spellEnd"/>
      <w:r w:rsidRPr="00A131A7">
        <w:rPr>
          <w:rFonts w:eastAsiaTheme="majorEastAsia" w:cs="Times New Roman"/>
          <w:szCs w:val="24"/>
        </w:rPr>
        <w:t xml:space="preserve"> ameliorates memory deficits in mice exposed to passive avoidance paradigm. </w:t>
      </w:r>
      <w:r w:rsidRPr="00A131A7">
        <w:rPr>
          <w:rFonts w:eastAsiaTheme="majorEastAsia" w:cs="Times New Roman"/>
          <w:i/>
          <w:iCs/>
          <w:szCs w:val="24"/>
        </w:rPr>
        <w:t>Journal of Neuroscience Research, 1</w:t>
      </w:r>
      <w:r w:rsidRPr="00A131A7">
        <w:rPr>
          <w:rFonts w:eastAsiaTheme="majorEastAsia" w:cs="Times New Roman"/>
          <w:szCs w:val="24"/>
        </w:rPr>
        <w:t>(6).</w:t>
      </w:r>
    </w:p>
    <w:p w14:paraId="52386097"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Eltony</w:t>
      </w:r>
      <w:proofErr w:type="spellEnd"/>
      <w:r w:rsidRPr="00A131A7">
        <w:rPr>
          <w:rFonts w:eastAsiaTheme="majorEastAsia" w:cs="Times New Roman"/>
          <w:szCs w:val="24"/>
        </w:rPr>
        <w:t xml:space="preserve">, S. A., &amp; </w:t>
      </w:r>
      <w:proofErr w:type="spellStart"/>
      <w:r w:rsidRPr="00A131A7">
        <w:rPr>
          <w:rFonts w:eastAsiaTheme="majorEastAsia" w:cs="Times New Roman"/>
          <w:szCs w:val="24"/>
        </w:rPr>
        <w:t>Elgayar</w:t>
      </w:r>
      <w:proofErr w:type="spellEnd"/>
      <w:r w:rsidRPr="00A131A7">
        <w:rPr>
          <w:rFonts w:eastAsiaTheme="majorEastAsia" w:cs="Times New Roman"/>
          <w:szCs w:val="24"/>
        </w:rPr>
        <w:t xml:space="preserve">, S. A. (2014). Histological study on effect of </w:t>
      </w:r>
      <w:r w:rsidRPr="00A131A7">
        <w:rPr>
          <w:rFonts w:eastAsiaTheme="majorEastAsia" w:cs="Times New Roman"/>
          <w:i/>
          <w:iCs/>
          <w:szCs w:val="24"/>
        </w:rPr>
        <w:t>Nigella sativa</w:t>
      </w:r>
      <w:r w:rsidRPr="00A131A7">
        <w:rPr>
          <w:rFonts w:eastAsiaTheme="majorEastAsia" w:cs="Times New Roman"/>
          <w:szCs w:val="24"/>
        </w:rPr>
        <w:t xml:space="preserve"> on aged olfactory system of female albino rat. </w:t>
      </w:r>
      <w:r w:rsidRPr="00A131A7">
        <w:rPr>
          <w:rFonts w:eastAsiaTheme="majorEastAsia" w:cs="Times New Roman"/>
          <w:i/>
          <w:iCs/>
          <w:szCs w:val="24"/>
        </w:rPr>
        <w:t>Romanian Journal of Morphology and Embryology, 55</w:t>
      </w:r>
      <w:r w:rsidRPr="00A131A7">
        <w:rPr>
          <w:rFonts w:eastAsiaTheme="majorEastAsia" w:cs="Times New Roman"/>
          <w:szCs w:val="24"/>
        </w:rPr>
        <w:t>(2), 325–334.</w:t>
      </w:r>
    </w:p>
    <w:p w14:paraId="57DE6C9A"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Fan, X., &amp; Hess, E. J. (2007). D2-like dopamine receptors mediate the response to amphetamine in a mouse model of ADHD. </w:t>
      </w:r>
      <w:r w:rsidRPr="00A131A7">
        <w:rPr>
          <w:rFonts w:eastAsiaTheme="majorEastAsia" w:cs="Times New Roman"/>
          <w:i/>
          <w:iCs/>
          <w:szCs w:val="24"/>
        </w:rPr>
        <w:t>Neurobiology of disease</w:t>
      </w:r>
      <w:r w:rsidRPr="00A131A7">
        <w:rPr>
          <w:rFonts w:eastAsiaTheme="majorEastAsia" w:cs="Times New Roman"/>
          <w:szCs w:val="24"/>
        </w:rPr>
        <w:t>, 26(1), 201–211.</w:t>
      </w:r>
    </w:p>
    <w:p w14:paraId="0AF9316E"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Farkhondeh, T., </w:t>
      </w:r>
      <w:proofErr w:type="spellStart"/>
      <w:r w:rsidRPr="00A131A7">
        <w:rPr>
          <w:rFonts w:eastAsiaTheme="majorEastAsia" w:cs="Times New Roman"/>
          <w:szCs w:val="24"/>
        </w:rPr>
        <w:t>Pourbagher-Shahri</w:t>
      </w:r>
      <w:proofErr w:type="spellEnd"/>
      <w:r w:rsidRPr="00A131A7">
        <w:rPr>
          <w:rFonts w:eastAsiaTheme="majorEastAsia" w:cs="Times New Roman"/>
          <w:szCs w:val="24"/>
        </w:rPr>
        <w:t xml:space="preserve">, A. M., </w:t>
      </w:r>
      <w:proofErr w:type="spellStart"/>
      <w:r w:rsidRPr="00A131A7">
        <w:rPr>
          <w:rFonts w:eastAsiaTheme="majorEastAsia" w:cs="Times New Roman"/>
          <w:szCs w:val="24"/>
        </w:rPr>
        <w:t>Ashrafizadeh</w:t>
      </w:r>
      <w:proofErr w:type="spellEnd"/>
      <w:r w:rsidRPr="00A131A7">
        <w:rPr>
          <w:rFonts w:eastAsiaTheme="majorEastAsia" w:cs="Times New Roman"/>
          <w:szCs w:val="24"/>
        </w:rPr>
        <w:t xml:space="preserve">, M., </w:t>
      </w:r>
      <w:proofErr w:type="spellStart"/>
      <w:r w:rsidRPr="00A131A7">
        <w:rPr>
          <w:rFonts w:eastAsiaTheme="majorEastAsia" w:cs="Times New Roman"/>
          <w:szCs w:val="24"/>
        </w:rPr>
        <w:t>Folgado</w:t>
      </w:r>
      <w:proofErr w:type="spellEnd"/>
      <w:r w:rsidRPr="00A131A7">
        <w:rPr>
          <w:rFonts w:eastAsiaTheme="majorEastAsia" w:cs="Times New Roman"/>
          <w:szCs w:val="24"/>
        </w:rPr>
        <w:t xml:space="preserve">, S. L., </w:t>
      </w:r>
      <w:proofErr w:type="spellStart"/>
      <w:r w:rsidRPr="00A131A7">
        <w:rPr>
          <w:rFonts w:eastAsiaTheme="majorEastAsia" w:cs="Times New Roman"/>
          <w:szCs w:val="24"/>
        </w:rPr>
        <w:t>Rajabpour-Sanati</w:t>
      </w:r>
      <w:proofErr w:type="spellEnd"/>
      <w:r w:rsidRPr="00A131A7">
        <w:rPr>
          <w:rFonts w:eastAsiaTheme="majorEastAsia" w:cs="Times New Roman"/>
          <w:szCs w:val="24"/>
        </w:rPr>
        <w:t xml:space="preserve">, A., </w:t>
      </w:r>
      <w:proofErr w:type="spellStart"/>
      <w:r w:rsidRPr="00A131A7">
        <w:rPr>
          <w:rFonts w:eastAsiaTheme="majorEastAsia" w:cs="Times New Roman"/>
          <w:szCs w:val="24"/>
        </w:rPr>
        <w:t>Khazdair</w:t>
      </w:r>
      <w:proofErr w:type="spellEnd"/>
      <w:r w:rsidRPr="00A131A7">
        <w:rPr>
          <w:rFonts w:eastAsiaTheme="majorEastAsia" w:cs="Times New Roman"/>
          <w:szCs w:val="24"/>
        </w:rPr>
        <w:t xml:space="preserve">, M. R., &amp; </w:t>
      </w:r>
      <w:proofErr w:type="spellStart"/>
      <w:r w:rsidRPr="00A131A7">
        <w:rPr>
          <w:rFonts w:eastAsiaTheme="majorEastAsia" w:cs="Times New Roman"/>
          <w:szCs w:val="24"/>
        </w:rPr>
        <w:t>Samarghandian</w:t>
      </w:r>
      <w:proofErr w:type="spellEnd"/>
      <w:r w:rsidRPr="00A131A7">
        <w:rPr>
          <w:rFonts w:eastAsiaTheme="majorEastAsia" w:cs="Times New Roman"/>
          <w:szCs w:val="24"/>
        </w:rPr>
        <w:t xml:space="preserve">, S. (2020). Green tea catechins inhibit microglial activation which prevents the development of neurological disorders. </w:t>
      </w:r>
      <w:r w:rsidRPr="00A131A7">
        <w:rPr>
          <w:rFonts w:eastAsiaTheme="majorEastAsia" w:cs="Times New Roman"/>
          <w:i/>
          <w:iCs/>
          <w:szCs w:val="24"/>
        </w:rPr>
        <w:t>Neural regeneration research</w:t>
      </w:r>
      <w:r w:rsidRPr="00A131A7">
        <w:rPr>
          <w:rFonts w:eastAsiaTheme="majorEastAsia" w:cs="Times New Roman"/>
          <w:szCs w:val="24"/>
        </w:rPr>
        <w:t>, 15(10), 1792–1798.</w:t>
      </w:r>
    </w:p>
    <w:p w14:paraId="14EA0881"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Frank-Briggs, A. I. (2011). Attention deficit hyperactivity disorder (ADHD). </w:t>
      </w:r>
      <w:r w:rsidRPr="00A131A7">
        <w:rPr>
          <w:rFonts w:eastAsiaTheme="majorEastAsia" w:cs="Times New Roman"/>
          <w:i/>
          <w:iCs/>
          <w:szCs w:val="24"/>
        </w:rPr>
        <w:t>Journal of Pediatric Neurology</w:t>
      </w:r>
      <w:r w:rsidRPr="00A131A7">
        <w:rPr>
          <w:rFonts w:eastAsiaTheme="majorEastAsia" w:cs="Times New Roman"/>
          <w:szCs w:val="24"/>
        </w:rPr>
        <w:t>, 9(03), 291–298.</w:t>
      </w:r>
    </w:p>
    <w:p w14:paraId="7154F189"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Going, J. J. (1994). Efficiently estimated histologic cell counts. </w:t>
      </w:r>
      <w:r w:rsidRPr="00A131A7">
        <w:rPr>
          <w:rFonts w:eastAsiaTheme="majorEastAsia" w:cs="Times New Roman"/>
          <w:i/>
          <w:iCs/>
          <w:szCs w:val="24"/>
        </w:rPr>
        <w:t>Human pathology</w:t>
      </w:r>
      <w:r w:rsidRPr="00A131A7">
        <w:rPr>
          <w:rFonts w:eastAsiaTheme="majorEastAsia" w:cs="Times New Roman"/>
          <w:szCs w:val="24"/>
        </w:rPr>
        <w:t>, 25(4), 333–336.</w:t>
      </w:r>
    </w:p>
    <w:p w14:paraId="62C30935"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Gogineni, R. R., Joshi, P., &amp; </w:t>
      </w:r>
      <w:proofErr w:type="spellStart"/>
      <w:r w:rsidRPr="00A131A7">
        <w:rPr>
          <w:rFonts w:eastAsiaTheme="majorEastAsia" w:cs="Times New Roman"/>
          <w:szCs w:val="24"/>
        </w:rPr>
        <w:t>Rostain</w:t>
      </w:r>
      <w:proofErr w:type="spellEnd"/>
      <w:r w:rsidRPr="00A131A7">
        <w:rPr>
          <w:rFonts w:eastAsiaTheme="majorEastAsia" w:cs="Times New Roman"/>
          <w:szCs w:val="24"/>
        </w:rPr>
        <w:t xml:space="preserve">, A. (2023). Neurodevelopmental disorders. In </w:t>
      </w:r>
      <w:r w:rsidRPr="00A131A7">
        <w:rPr>
          <w:rFonts w:eastAsiaTheme="majorEastAsia" w:cs="Times New Roman"/>
          <w:i/>
          <w:iCs/>
          <w:szCs w:val="24"/>
        </w:rPr>
        <w:t>The WASP Textbook on Social Psychiatry: Historical, Developmental, Cultural, and Clinical Perspectives</w:t>
      </w:r>
      <w:r w:rsidRPr="00A131A7">
        <w:rPr>
          <w:rFonts w:eastAsiaTheme="majorEastAsia" w:cs="Times New Roman"/>
          <w:szCs w:val="24"/>
        </w:rPr>
        <w:t xml:space="preserve"> (p. 289).</w:t>
      </w:r>
    </w:p>
    <w:p w14:paraId="6F451A95"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González-Flores, D., Márquez, A., &amp; Casimiro, I. (2024). Oxidative Effects in Early Stages of Embryo Development Due to Alcohol Consumption. </w:t>
      </w:r>
      <w:r w:rsidRPr="00A131A7">
        <w:rPr>
          <w:rFonts w:eastAsiaTheme="majorEastAsia" w:cs="Times New Roman"/>
          <w:i/>
          <w:iCs/>
          <w:szCs w:val="24"/>
        </w:rPr>
        <w:t>International Journal of Molecular Sciences</w:t>
      </w:r>
      <w:r w:rsidRPr="00A131A7">
        <w:rPr>
          <w:rFonts w:eastAsiaTheme="majorEastAsia" w:cs="Times New Roman"/>
          <w:szCs w:val="24"/>
        </w:rPr>
        <w:t>, 25(7), 4100.</w:t>
      </w:r>
    </w:p>
    <w:p w14:paraId="4919A849"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Kim, D., Yadav, D., &amp; Song, M. (2024). An updated review on animal models to study attention-deficit hyperactivity disorder. </w:t>
      </w:r>
      <w:r w:rsidRPr="00A131A7">
        <w:rPr>
          <w:rFonts w:eastAsiaTheme="majorEastAsia" w:cs="Times New Roman"/>
          <w:i/>
          <w:iCs/>
          <w:szCs w:val="24"/>
        </w:rPr>
        <w:t>Translational Psychiatry</w:t>
      </w:r>
      <w:r w:rsidRPr="00A131A7">
        <w:rPr>
          <w:rFonts w:eastAsiaTheme="majorEastAsia" w:cs="Times New Roman"/>
          <w:szCs w:val="24"/>
        </w:rPr>
        <w:t>, 14(1), 187.</w:t>
      </w:r>
    </w:p>
    <w:p w14:paraId="7859D08F"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Liu, H., Guan, H., He, F., Song, Y., Li, F., Sun-Waterhouse, D., &amp; Li, D. (2024). Therapeutic actions of tea phenolic compounds against oxidative stress and inflammation as central mediators in the development and progression of health problems: A review focusing on microRNA regulation. </w:t>
      </w:r>
      <w:r w:rsidRPr="00A131A7">
        <w:rPr>
          <w:rFonts w:eastAsiaTheme="majorEastAsia" w:cs="Times New Roman"/>
          <w:i/>
          <w:iCs/>
          <w:szCs w:val="24"/>
        </w:rPr>
        <w:t>Critical Reviews in Food Science and Nutrition</w:t>
      </w:r>
      <w:r w:rsidRPr="00A131A7">
        <w:rPr>
          <w:rFonts w:eastAsiaTheme="majorEastAsia" w:cs="Times New Roman"/>
          <w:szCs w:val="24"/>
        </w:rPr>
        <w:t>, 64(23), 8414–8444.</w:t>
      </w:r>
    </w:p>
    <w:p w14:paraId="28A2E833"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Maiti, S., Banerjee, A., &amp; Kanwar, M. (2022). Effects of theaflavin-gallate in-silico binding with different proteins of SARS-CoV-2 and host inflammation and </w:t>
      </w:r>
      <w:proofErr w:type="spellStart"/>
      <w:r w:rsidRPr="00A131A7">
        <w:rPr>
          <w:rFonts w:eastAsiaTheme="majorEastAsia" w:cs="Times New Roman"/>
          <w:szCs w:val="24"/>
        </w:rPr>
        <w:t>vasoregulations</w:t>
      </w:r>
      <w:proofErr w:type="spellEnd"/>
      <w:r w:rsidRPr="00A131A7">
        <w:rPr>
          <w:rFonts w:eastAsiaTheme="majorEastAsia" w:cs="Times New Roman"/>
          <w:szCs w:val="24"/>
        </w:rPr>
        <w:t xml:space="preserve"> referring an experimental rat-lung injury. </w:t>
      </w:r>
      <w:r w:rsidRPr="00A131A7">
        <w:rPr>
          <w:rFonts w:eastAsiaTheme="majorEastAsia" w:cs="Times New Roman"/>
          <w:i/>
          <w:iCs/>
          <w:szCs w:val="24"/>
        </w:rPr>
        <w:t>Phytomedicine Plus</w:t>
      </w:r>
      <w:r w:rsidRPr="00A131A7">
        <w:rPr>
          <w:rFonts w:eastAsiaTheme="majorEastAsia" w:cs="Times New Roman"/>
          <w:szCs w:val="24"/>
        </w:rPr>
        <w:t>, 2(2), 100237.</w:t>
      </w:r>
    </w:p>
    <w:p w14:paraId="0CB2B5E3"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lastRenderedPageBreak/>
        <w:t xml:space="preserve">Montalva-Valenzuela, F., Andrades-Ramírez, O., &amp; Castillo-Paredes, A. (2022). Effects of physical activity, exercise and sport on executive function in young people with attention deficit hyperactivity disorder: a systematic review. </w:t>
      </w:r>
      <w:r w:rsidRPr="00A131A7">
        <w:rPr>
          <w:rFonts w:eastAsiaTheme="majorEastAsia" w:cs="Times New Roman"/>
          <w:i/>
          <w:iCs/>
          <w:szCs w:val="24"/>
        </w:rPr>
        <w:t>European Journal of Investigation in Health, Psychology and Education</w:t>
      </w:r>
      <w:r w:rsidRPr="00A131A7">
        <w:rPr>
          <w:rFonts w:eastAsiaTheme="majorEastAsia" w:cs="Times New Roman"/>
          <w:szCs w:val="24"/>
        </w:rPr>
        <w:t>, 12(1).</w:t>
      </w:r>
    </w:p>
    <w:p w14:paraId="3EF87246"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Näslund</w:t>
      </w:r>
      <w:proofErr w:type="spellEnd"/>
      <w:r w:rsidRPr="00A131A7">
        <w:rPr>
          <w:rFonts w:eastAsiaTheme="majorEastAsia" w:cs="Times New Roman"/>
          <w:szCs w:val="24"/>
        </w:rPr>
        <w:t xml:space="preserve">, J. (2021). </w:t>
      </w:r>
      <w:proofErr w:type="spellStart"/>
      <w:r w:rsidRPr="00A131A7">
        <w:rPr>
          <w:rFonts w:eastAsiaTheme="majorEastAsia" w:cs="Times New Roman"/>
          <w:szCs w:val="24"/>
        </w:rPr>
        <w:t>Behavioural</w:t>
      </w:r>
      <w:proofErr w:type="spellEnd"/>
      <w:r w:rsidRPr="00A131A7">
        <w:rPr>
          <w:rFonts w:eastAsiaTheme="majorEastAsia" w:cs="Times New Roman"/>
          <w:szCs w:val="24"/>
        </w:rPr>
        <w:t xml:space="preserve"> repeatability in larval </w:t>
      </w:r>
      <w:proofErr w:type="spellStart"/>
      <w:r w:rsidRPr="00A131A7">
        <w:rPr>
          <w:rFonts w:eastAsiaTheme="majorEastAsia" w:cs="Times New Roman"/>
          <w:i/>
          <w:iCs/>
          <w:szCs w:val="24"/>
        </w:rPr>
        <w:t>Limnephilus</w:t>
      </w:r>
      <w:proofErr w:type="spellEnd"/>
      <w:r w:rsidRPr="00A131A7">
        <w:rPr>
          <w:rFonts w:eastAsiaTheme="majorEastAsia" w:cs="Times New Roman"/>
          <w:i/>
          <w:iCs/>
          <w:szCs w:val="24"/>
        </w:rPr>
        <w:t xml:space="preserve"> </w:t>
      </w:r>
      <w:proofErr w:type="spellStart"/>
      <w:r w:rsidRPr="00A131A7">
        <w:rPr>
          <w:rFonts w:eastAsiaTheme="majorEastAsia" w:cs="Times New Roman"/>
          <w:i/>
          <w:iCs/>
          <w:szCs w:val="24"/>
        </w:rPr>
        <w:t>lunatus</w:t>
      </w:r>
      <w:proofErr w:type="spellEnd"/>
      <w:r w:rsidRPr="00A131A7">
        <w:rPr>
          <w:rFonts w:eastAsiaTheme="majorEastAsia" w:cs="Times New Roman"/>
          <w:szCs w:val="24"/>
        </w:rPr>
        <w:t xml:space="preserve"> Curtis, 1834 (Trichoptera) in an open-field test. </w:t>
      </w:r>
      <w:r w:rsidRPr="00A131A7">
        <w:rPr>
          <w:rFonts w:eastAsiaTheme="majorEastAsia" w:cs="Times New Roman"/>
          <w:i/>
          <w:iCs/>
          <w:szCs w:val="24"/>
        </w:rPr>
        <w:t>Aquatic Insects</w:t>
      </w:r>
      <w:r w:rsidRPr="00A131A7">
        <w:rPr>
          <w:rFonts w:eastAsiaTheme="majorEastAsia" w:cs="Times New Roman"/>
          <w:szCs w:val="24"/>
        </w:rPr>
        <w:t>, 42(1), 62–77.</w:t>
      </w:r>
    </w:p>
    <w:p w14:paraId="5C44B2BB"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Natsheh</w:t>
      </w:r>
      <w:proofErr w:type="spellEnd"/>
      <w:r w:rsidRPr="00A131A7">
        <w:rPr>
          <w:rFonts w:eastAsiaTheme="majorEastAsia" w:cs="Times New Roman"/>
          <w:szCs w:val="24"/>
        </w:rPr>
        <w:t xml:space="preserve">, J. Y., &amp; Shiflett, M. W. (2018). Dopaminergic modulation of goal-directed behavior in a rodent model of attention-deficit/hyperactivity disorder. </w:t>
      </w:r>
      <w:r w:rsidRPr="00A131A7">
        <w:rPr>
          <w:rFonts w:eastAsiaTheme="majorEastAsia" w:cs="Times New Roman"/>
          <w:i/>
          <w:iCs/>
          <w:szCs w:val="24"/>
        </w:rPr>
        <w:t>Frontiers in Integrative Neuroscience</w:t>
      </w:r>
      <w:r w:rsidRPr="00A131A7">
        <w:rPr>
          <w:rFonts w:eastAsiaTheme="majorEastAsia" w:cs="Times New Roman"/>
          <w:szCs w:val="24"/>
        </w:rPr>
        <w:t>, 12, 45.</w:t>
      </w:r>
    </w:p>
    <w:p w14:paraId="52899ED4"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Olayinka, J., Eduviere, A., Adeoluwa, O., </w:t>
      </w:r>
      <w:proofErr w:type="spellStart"/>
      <w:r w:rsidRPr="00A131A7">
        <w:rPr>
          <w:rFonts w:eastAsiaTheme="majorEastAsia" w:cs="Times New Roman"/>
          <w:szCs w:val="24"/>
        </w:rPr>
        <w:t>Fafure</w:t>
      </w:r>
      <w:proofErr w:type="spellEnd"/>
      <w:r w:rsidRPr="00A131A7">
        <w:rPr>
          <w:rFonts w:eastAsiaTheme="majorEastAsia" w:cs="Times New Roman"/>
          <w:szCs w:val="24"/>
        </w:rPr>
        <w:t xml:space="preserve">, A., Adebanjo, A., &amp; </w:t>
      </w:r>
      <w:proofErr w:type="spellStart"/>
      <w:r w:rsidRPr="00A131A7">
        <w:rPr>
          <w:rFonts w:eastAsiaTheme="majorEastAsia" w:cs="Times New Roman"/>
          <w:szCs w:val="24"/>
        </w:rPr>
        <w:t>Ozolua</w:t>
      </w:r>
      <w:proofErr w:type="spellEnd"/>
      <w:r w:rsidRPr="00A131A7">
        <w:rPr>
          <w:rFonts w:eastAsiaTheme="majorEastAsia" w:cs="Times New Roman"/>
          <w:szCs w:val="24"/>
        </w:rPr>
        <w:t xml:space="preserve">, R. (2022). Quercetin mitigates memory deficits in scopolamine mice model via protection against neuroinflammation and neurodegeneration. </w:t>
      </w:r>
      <w:r w:rsidRPr="00A131A7">
        <w:rPr>
          <w:rFonts w:eastAsiaTheme="majorEastAsia" w:cs="Times New Roman"/>
          <w:i/>
          <w:iCs/>
          <w:szCs w:val="24"/>
        </w:rPr>
        <w:t>Life Sciences</w:t>
      </w:r>
      <w:r w:rsidRPr="00A131A7">
        <w:rPr>
          <w:rFonts w:eastAsiaTheme="majorEastAsia" w:cs="Times New Roman"/>
          <w:szCs w:val="24"/>
        </w:rPr>
        <w:t>, 292, 120326.</w:t>
      </w:r>
    </w:p>
    <w:p w14:paraId="049EFE44"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Olayinka, J. N., Eduviere, A., Adeoluwa, O., </w:t>
      </w:r>
      <w:proofErr w:type="spellStart"/>
      <w:r w:rsidRPr="00A131A7">
        <w:rPr>
          <w:rFonts w:eastAsiaTheme="majorEastAsia" w:cs="Times New Roman"/>
          <w:szCs w:val="24"/>
        </w:rPr>
        <w:t>Akinluyi</w:t>
      </w:r>
      <w:proofErr w:type="spellEnd"/>
      <w:r w:rsidRPr="00A131A7">
        <w:rPr>
          <w:rFonts w:eastAsiaTheme="majorEastAsia" w:cs="Times New Roman"/>
          <w:szCs w:val="24"/>
        </w:rPr>
        <w:t xml:space="preserve">, E., </w:t>
      </w:r>
      <w:proofErr w:type="spellStart"/>
      <w:r w:rsidRPr="00A131A7">
        <w:rPr>
          <w:rFonts w:eastAsiaTheme="majorEastAsia" w:cs="Times New Roman"/>
          <w:szCs w:val="24"/>
        </w:rPr>
        <w:t>Obisesan</w:t>
      </w:r>
      <w:proofErr w:type="spellEnd"/>
      <w:r w:rsidRPr="00A131A7">
        <w:rPr>
          <w:rFonts w:eastAsiaTheme="majorEastAsia" w:cs="Times New Roman"/>
          <w:szCs w:val="24"/>
        </w:rPr>
        <w:t xml:space="preserve">, A., </w:t>
      </w:r>
      <w:proofErr w:type="spellStart"/>
      <w:r w:rsidRPr="00A131A7">
        <w:rPr>
          <w:rFonts w:eastAsiaTheme="majorEastAsia" w:cs="Times New Roman"/>
          <w:szCs w:val="24"/>
        </w:rPr>
        <w:t>Akawa</w:t>
      </w:r>
      <w:proofErr w:type="spellEnd"/>
      <w:r w:rsidRPr="00A131A7">
        <w:rPr>
          <w:rFonts w:eastAsiaTheme="majorEastAsia" w:cs="Times New Roman"/>
          <w:szCs w:val="24"/>
        </w:rPr>
        <w:t xml:space="preserve">, O., &amp; Adebanjo, A. (2022). Quercetin mitigates scopolamine-induced memory dysfunction: Impact on oxidative stress and cholinergic mechanisms. </w:t>
      </w:r>
      <w:r w:rsidRPr="00A131A7">
        <w:rPr>
          <w:rFonts w:eastAsiaTheme="majorEastAsia" w:cs="Times New Roman"/>
          <w:i/>
          <w:iCs/>
          <w:szCs w:val="24"/>
        </w:rPr>
        <w:t>Metabolic Brain Disease</w:t>
      </w:r>
      <w:r w:rsidRPr="00A131A7">
        <w:rPr>
          <w:rFonts w:eastAsiaTheme="majorEastAsia" w:cs="Times New Roman"/>
          <w:szCs w:val="24"/>
        </w:rPr>
        <w:t>, 1–13.</w:t>
      </w:r>
    </w:p>
    <w:p w14:paraId="628D229C"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Omogbiya</w:t>
      </w:r>
      <w:proofErr w:type="spellEnd"/>
      <w:r w:rsidRPr="00A131A7">
        <w:rPr>
          <w:rFonts w:eastAsiaTheme="majorEastAsia" w:cs="Times New Roman"/>
          <w:szCs w:val="24"/>
        </w:rPr>
        <w:t xml:space="preserve">, A., Ben-Azu, B., Eduviere, A., </w:t>
      </w:r>
      <w:proofErr w:type="spellStart"/>
      <w:r w:rsidRPr="00A131A7">
        <w:rPr>
          <w:rFonts w:eastAsiaTheme="majorEastAsia" w:cs="Times New Roman"/>
          <w:szCs w:val="24"/>
        </w:rPr>
        <w:t>Eneni</w:t>
      </w:r>
      <w:proofErr w:type="spellEnd"/>
      <w:r w:rsidRPr="00A131A7">
        <w:rPr>
          <w:rFonts w:eastAsiaTheme="majorEastAsia" w:cs="Times New Roman"/>
          <w:szCs w:val="24"/>
        </w:rPr>
        <w:t xml:space="preserve">, A., </w:t>
      </w:r>
      <w:proofErr w:type="spellStart"/>
      <w:r w:rsidRPr="00A131A7">
        <w:rPr>
          <w:rFonts w:eastAsiaTheme="majorEastAsia" w:cs="Times New Roman"/>
          <w:szCs w:val="24"/>
        </w:rPr>
        <w:t>Nwokoye</w:t>
      </w:r>
      <w:proofErr w:type="spellEnd"/>
      <w:r w:rsidRPr="00A131A7">
        <w:rPr>
          <w:rFonts w:eastAsiaTheme="majorEastAsia" w:cs="Times New Roman"/>
          <w:szCs w:val="24"/>
        </w:rPr>
        <w:t xml:space="preserve">, P., Ajayi, A., &amp; Umukoro, A. (2021). Monosodium glutamate induces memory and hepatic dysfunctions in mice: ameliorative role of </w:t>
      </w:r>
      <w:proofErr w:type="spellStart"/>
      <w:r w:rsidRPr="00A131A7">
        <w:rPr>
          <w:rFonts w:eastAsiaTheme="majorEastAsia" w:cs="Times New Roman"/>
          <w:szCs w:val="24"/>
        </w:rPr>
        <w:t>Jobelyn</w:t>
      </w:r>
      <w:proofErr w:type="spellEnd"/>
      <w:r w:rsidRPr="00A131A7">
        <w:rPr>
          <w:rFonts w:eastAsiaTheme="majorEastAsia" w:cs="Times New Roman"/>
          <w:szCs w:val="24"/>
        </w:rPr>
        <w:t xml:space="preserve"> through the augmentation of cellular antioxidant defense.</w:t>
      </w:r>
    </w:p>
    <w:p w14:paraId="5B75A571"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Onuelu</w:t>
      </w:r>
      <w:proofErr w:type="spellEnd"/>
      <w:r w:rsidRPr="00A131A7">
        <w:rPr>
          <w:rFonts w:eastAsiaTheme="majorEastAsia" w:cs="Times New Roman"/>
          <w:szCs w:val="24"/>
        </w:rPr>
        <w:t xml:space="preserve">, J. E., Ben-Azu, B., Adebayo, O. G., </w:t>
      </w:r>
      <w:proofErr w:type="spellStart"/>
      <w:r w:rsidRPr="00A131A7">
        <w:rPr>
          <w:rFonts w:eastAsiaTheme="majorEastAsia" w:cs="Times New Roman"/>
          <w:szCs w:val="24"/>
        </w:rPr>
        <w:t>Fokoua</w:t>
      </w:r>
      <w:proofErr w:type="spellEnd"/>
      <w:r w:rsidRPr="00A131A7">
        <w:rPr>
          <w:rFonts w:eastAsiaTheme="majorEastAsia" w:cs="Times New Roman"/>
          <w:szCs w:val="24"/>
        </w:rPr>
        <w:t xml:space="preserve">, A. R., </w:t>
      </w:r>
      <w:proofErr w:type="spellStart"/>
      <w:r w:rsidRPr="00A131A7">
        <w:rPr>
          <w:rFonts w:eastAsiaTheme="majorEastAsia" w:cs="Times New Roman"/>
          <w:szCs w:val="24"/>
        </w:rPr>
        <w:t>Nekabari</w:t>
      </w:r>
      <w:proofErr w:type="spellEnd"/>
      <w:r w:rsidRPr="00A131A7">
        <w:rPr>
          <w:rFonts w:eastAsiaTheme="majorEastAsia" w:cs="Times New Roman"/>
          <w:szCs w:val="24"/>
        </w:rPr>
        <w:t xml:space="preserve">, M. K., </w:t>
      </w:r>
      <w:proofErr w:type="spellStart"/>
      <w:r w:rsidRPr="00A131A7">
        <w:rPr>
          <w:rFonts w:eastAsiaTheme="majorEastAsia" w:cs="Times New Roman"/>
          <w:szCs w:val="24"/>
        </w:rPr>
        <w:t>Ozah</w:t>
      </w:r>
      <w:proofErr w:type="spellEnd"/>
      <w:r w:rsidRPr="00A131A7">
        <w:rPr>
          <w:rFonts w:eastAsiaTheme="majorEastAsia" w:cs="Times New Roman"/>
          <w:szCs w:val="24"/>
        </w:rPr>
        <w:t xml:space="preserve">, E. O., </w:t>
      </w:r>
      <w:proofErr w:type="spellStart"/>
      <w:r w:rsidRPr="00A131A7">
        <w:rPr>
          <w:rFonts w:eastAsiaTheme="majorEastAsia" w:cs="Times New Roman"/>
          <w:szCs w:val="24"/>
        </w:rPr>
        <w:t>Iwhiwhu</w:t>
      </w:r>
      <w:proofErr w:type="spellEnd"/>
      <w:r w:rsidRPr="00A131A7">
        <w:rPr>
          <w:rFonts w:eastAsiaTheme="majorEastAsia" w:cs="Times New Roman"/>
          <w:szCs w:val="24"/>
        </w:rPr>
        <w:t xml:space="preserve">, P., Ajayi, A. M., </w:t>
      </w:r>
      <w:proofErr w:type="spellStart"/>
      <w:r w:rsidRPr="00A131A7">
        <w:rPr>
          <w:rFonts w:eastAsiaTheme="majorEastAsia" w:cs="Times New Roman"/>
          <w:szCs w:val="24"/>
        </w:rPr>
        <w:t>Oyovwi</w:t>
      </w:r>
      <w:proofErr w:type="spellEnd"/>
      <w:r w:rsidRPr="00A131A7">
        <w:rPr>
          <w:rFonts w:eastAsiaTheme="majorEastAsia" w:cs="Times New Roman"/>
          <w:szCs w:val="24"/>
        </w:rPr>
        <w:t xml:space="preserve">, O. M., </w:t>
      </w:r>
      <w:proofErr w:type="spellStart"/>
      <w:r w:rsidRPr="00A131A7">
        <w:rPr>
          <w:rFonts w:eastAsiaTheme="majorEastAsia" w:cs="Times New Roman"/>
          <w:szCs w:val="24"/>
        </w:rPr>
        <w:t>Omogbiy</w:t>
      </w:r>
      <w:proofErr w:type="spellEnd"/>
      <w:r w:rsidRPr="00A131A7">
        <w:rPr>
          <w:rFonts w:eastAsiaTheme="majorEastAsia" w:cs="Times New Roman"/>
          <w:szCs w:val="24"/>
        </w:rPr>
        <w:t xml:space="preserve">, I. A., &amp; Eduviere, A. T. (2025). Taurine, an essential amino acid, attenuates rotenone-induced Parkinson’s disease in rats by inhibiting alpha-synuclein aggregation and augmenting dopamine release. </w:t>
      </w:r>
      <w:proofErr w:type="spellStart"/>
      <w:r w:rsidRPr="00A131A7">
        <w:rPr>
          <w:rFonts w:eastAsiaTheme="majorEastAsia" w:cs="Times New Roman"/>
          <w:i/>
          <w:iCs/>
          <w:szCs w:val="24"/>
        </w:rPr>
        <w:t>Behavioural</w:t>
      </w:r>
      <w:proofErr w:type="spellEnd"/>
      <w:r w:rsidRPr="00A131A7">
        <w:rPr>
          <w:rFonts w:eastAsiaTheme="majorEastAsia" w:cs="Times New Roman"/>
          <w:i/>
          <w:iCs/>
          <w:szCs w:val="24"/>
        </w:rPr>
        <w:t xml:space="preserve"> Brain Research</w:t>
      </w:r>
      <w:r w:rsidRPr="00A131A7">
        <w:rPr>
          <w:rFonts w:eastAsiaTheme="majorEastAsia" w:cs="Times New Roman"/>
          <w:szCs w:val="24"/>
        </w:rPr>
        <w:t>, 480, 115397.</w:t>
      </w:r>
    </w:p>
    <w:p w14:paraId="4B58DA09"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Padilla-Valdez, M. M., Díaz-Iñiguez, M. I., Ortuño-Sahagún, D., &amp; Rojas-Mayorquín, A. E. (2024). Neuroinflammation in fetal alcohol spectrum disorders and related novel therapeutic approaches. </w:t>
      </w:r>
      <w:proofErr w:type="spellStart"/>
      <w:r w:rsidRPr="00A131A7">
        <w:rPr>
          <w:rFonts w:eastAsiaTheme="majorEastAsia" w:cs="Times New Roman"/>
          <w:i/>
          <w:iCs/>
          <w:szCs w:val="24"/>
        </w:rPr>
        <w:t>Biochimica</w:t>
      </w:r>
      <w:proofErr w:type="spellEnd"/>
      <w:r w:rsidRPr="00A131A7">
        <w:rPr>
          <w:rFonts w:eastAsiaTheme="majorEastAsia" w:cs="Times New Roman"/>
          <w:i/>
          <w:iCs/>
          <w:szCs w:val="24"/>
        </w:rPr>
        <w:t xml:space="preserve"> et </w:t>
      </w:r>
      <w:proofErr w:type="spellStart"/>
      <w:r w:rsidRPr="00A131A7">
        <w:rPr>
          <w:rFonts w:eastAsiaTheme="majorEastAsia" w:cs="Times New Roman"/>
          <w:i/>
          <w:iCs/>
          <w:szCs w:val="24"/>
        </w:rPr>
        <w:t>Biophysica</w:t>
      </w:r>
      <w:proofErr w:type="spellEnd"/>
      <w:r w:rsidRPr="00A131A7">
        <w:rPr>
          <w:rFonts w:eastAsiaTheme="majorEastAsia" w:cs="Times New Roman"/>
          <w:i/>
          <w:iCs/>
          <w:szCs w:val="24"/>
        </w:rPr>
        <w:t xml:space="preserve"> Acta (BBA) - Molecular Basis of Disease</w:t>
      </w:r>
      <w:r w:rsidRPr="00A131A7">
        <w:rPr>
          <w:rFonts w:eastAsiaTheme="majorEastAsia" w:cs="Times New Roman"/>
          <w:szCs w:val="24"/>
        </w:rPr>
        <w:t>, 1870(1), 166854.</w:t>
      </w:r>
    </w:p>
    <w:p w14:paraId="2AB15A05"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Popa, E., Ungureanu, M., Slanina, A. M., </w:t>
      </w:r>
      <w:proofErr w:type="spellStart"/>
      <w:r w:rsidRPr="00A131A7">
        <w:rPr>
          <w:rFonts w:eastAsiaTheme="majorEastAsia" w:cs="Times New Roman"/>
          <w:szCs w:val="24"/>
        </w:rPr>
        <w:t>Poroch</w:t>
      </w:r>
      <w:proofErr w:type="spellEnd"/>
      <w:r w:rsidRPr="00A131A7">
        <w:rPr>
          <w:rFonts w:eastAsiaTheme="majorEastAsia" w:cs="Times New Roman"/>
          <w:szCs w:val="24"/>
        </w:rPr>
        <w:t>, M., &amp; Popa, A. E. (2024). The Influence of Prenatal Environmental Factors on the Risk and Development of ADHD: Insights from Epidemiological and Neurodevelopmental Research-Review. J Family Med Prim Care Open Acc, 8, 258.</w:t>
      </w:r>
    </w:p>
    <w:p w14:paraId="70D747FB"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Scattolin</w:t>
      </w:r>
      <w:proofErr w:type="spellEnd"/>
      <w:r w:rsidRPr="00A131A7">
        <w:rPr>
          <w:rFonts w:eastAsiaTheme="majorEastAsia" w:cs="Times New Roman"/>
          <w:szCs w:val="24"/>
        </w:rPr>
        <w:t xml:space="preserve">, M. A. D. A., </w:t>
      </w:r>
      <w:proofErr w:type="spellStart"/>
      <w:r w:rsidRPr="00A131A7">
        <w:rPr>
          <w:rFonts w:eastAsiaTheme="majorEastAsia" w:cs="Times New Roman"/>
          <w:szCs w:val="24"/>
        </w:rPr>
        <w:t>Resegue</w:t>
      </w:r>
      <w:proofErr w:type="spellEnd"/>
      <w:r w:rsidRPr="00A131A7">
        <w:rPr>
          <w:rFonts w:eastAsiaTheme="majorEastAsia" w:cs="Times New Roman"/>
          <w:szCs w:val="24"/>
        </w:rPr>
        <w:t xml:space="preserve">, R. M., &amp; Rosário, M. C. D. (2022). The impact of the environment on neurodevelopmental disorders in early childhood. </w:t>
      </w:r>
      <w:proofErr w:type="spellStart"/>
      <w:r w:rsidRPr="00A131A7">
        <w:rPr>
          <w:rFonts w:eastAsiaTheme="majorEastAsia" w:cs="Times New Roman"/>
          <w:i/>
          <w:iCs/>
          <w:szCs w:val="24"/>
        </w:rPr>
        <w:t>Jornal</w:t>
      </w:r>
      <w:proofErr w:type="spellEnd"/>
      <w:r w:rsidRPr="00A131A7">
        <w:rPr>
          <w:rFonts w:eastAsiaTheme="majorEastAsia" w:cs="Times New Roman"/>
          <w:i/>
          <w:iCs/>
          <w:szCs w:val="24"/>
        </w:rPr>
        <w:t xml:space="preserve"> de </w:t>
      </w:r>
      <w:proofErr w:type="spellStart"/>
      <w:r w:rsidRPr="00A131A7">
        <w:rPr>
          <w:rFonts w:eastAsiaTheme="majorEastAsia" w:cs="Times New Roman"/>
          <w:i/>
          <w:iCs/>
          <w:szCs w:val="24"/>
        </w:rPr>
        <w:t>Pediatria</w:t>
      </w:r>
      <w:proofErr w:type="spellEnd"/>
      <w:r w:rsidRPr="00A131A7">
        <w:rPr>
          <w:rFonts w:eastAsiaTheme="majorEastAsia" w:cs="Times New Roman"/>
          <w:szCs w:val="24"/>
        </w:rPr>
        <w:t>, 98(suppl 1), 66–72.</w:t>
      </w:r>
    </w:p>
    <w:p w14:paraId="0DF1640B"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Schneider, T., &amp; Popik, P. (2007). Involvement of the NMDA receptor in the effects of memantine in the mouse model of compulsive-like behavior. </w:t>
      </w:r>
      <w:proofErr w:type="spellStart"/>
      <w:r w:rsidRPr="00A131A7">
        <w:rPr>
          <w:rFonts w:eastAsiaTheme="majorEastAsia" w:cs="Times New Roman"/>
          <w:i/>
          <w:iCs/>
          <w:szCs w:val="24"/>
        </w:rPr>
        <w:t>Behavioural</w:t>
      </w:r>
      <w:proofErr w:type="spellEnd"/>
      <w:r w:rsidRPr="00A131A7">
        <w:rPr>
          <w:rFonts w:eastAsiaTheme="majorEastAsia" w:cs="Times New Roman"/>
          <w:i/>
          <w:iCs/>
          <w:szCs w:val="24"/>
        </w:rPr>
        <w:t xml:space="preserve"> Pharmacology</w:t>
      </w:r>
      <w:r w:rsidRPr="00A131A7">
        <w:rPr>
          <w:rFonts w:eastAsiaTheme="majorEastAsia" w:cs="Times New Roman"/>
          <w:szCs w:val="24"/>
        </w:rPr>
        <w:t>, 18(8), 776–784.</w:t>
      </w:r>
    </w:p>
    <w:p w14:paraId="0097B737"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Song, P., Zha, M., Yang, Q., Zhang, Y., Li, X., &amp; Rudan, I. (2021). The prevalence of adult attention-deficit hyperactivity disorder: A global systematic review and meta-analysis. </w:t>
      </w:r>
      <w:r w:rsidRPr="00A131A7">
        <w:rPr>
          <w:rFonts w:eastAsiaTheme="majorEastAsia" w:cs="Times New Roman"/>
          <w:i/>
          <w:iCs/>
          <w:szCs w:val="24"/>
        </w:rPr>
        <w:t>Journal of Global Health</w:t>
      </w:r>
      <w:r w:rsidRPr="00A131A7">
        <w:rPr>
          <w:rFonts w:eastAsiaTheme="majorEastAsia" w:cs="Times New Roman"/>
          <w:szCs w:val="24"/>
        </w:rPr>
        <w:t>, 11, 04009.</w:t>
      </w:r>
    </w:p>
    <w:p w14:paraId="575C7BD1"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lastRenderedPageBreak/>
        <w:t xml:space="preserve">Taylor, G. (2017). Marble burying as compulsive behaviors in male and female mice. </w:t>
      </w:r>
      <w:r w:rsidRPr="00A131A7">
        <w:rPr>
          <w:rFonts w:eastAsiaTheme="majorEastAsia" w:cs="Times New Roman"/>
          <w:i/>
          <w:iCs/>
          <w:szCs w:val="24"/>
        </w:rPr>
        <w:t xml:space="preserve">Acta </w:t>
      </w:r>
      <w:proofErr w:type="spellStart"/>
      <w:r w:rsidRPr="00A131A7">
        <w:rPr>
          <w:rFonts w:eastAsiaTheme="majorEastAsia" w:cs="Times New Roman"/>
          <w:i/>
          <w:iCs/>
          <w:szCs w:val="24"/>
        </w:rPr>
        <w:t>Neurobiologiae</w:t>
      </w:r>
      <w:proofErr w:type="spellEnd"/>
      <w:r w:rsidRPr="00A131A7">
        <w:rPr>
          <w:rFonts w:eastAsiaTheme="majorEastAsia" w:cs="Times New Roman"/>
          <w:i/>
          <w:iCs/>
          <w:szCs w:val="24"/>
        </w:rPr>
        <w:t xml:space="preserve"> </w:t>
      </w:r>
      <w:proofErr w:type="spellStart"/>
      <w:r w:rsidRPr="00A131A7">
        <w:rPr>
          <w:rFonts w:eastAsiaTheme="majorEastAsia" w:cs="Times New Roman"/>
          <w:i/>
          <w:iCs/>
          <w:szCs w:val="24"/>
        </w:rPr>
        <w:t>Experimentalis</w:t>
      </w:r>
      <w:proofErr w:type="spellEnd"/>
      <w:r w:rsidRPr="00A131A7">
        <w:rPr>
          <w:rFonts w:eastAsiaTheme="majorEastAsia" w:cs="Times New Roman"/>
          <w:szCs w:val="24"/>
        </w:rPr>
        <w:t>, 77(3), 254–260.</w:t>
      </w:r>
    </w:p>
    <w:p w14:paraId="1206DBAB"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Thomas, A., Burant, A., Bui, N., Graham, D., Yuva-Paylor, L. A., &amp; Paylor, R. (2009). Marble burying reflects a repetitive and perseverative behavior more than novelty-induced anxiety. </w:t>
      </w:r>
      <w:r w:rsidRPr="00A131A7">
        <w:rPr>
          <w:rFonts w:eastAsiaTheme="majorEastAsia" w:cs="Times New Roman"/>
          <w:i/>
          <w:iCs/>
          <w:szCs w:val="24"/>
        </w:rPr>
        <w:t>Psychopharmacology</w:t>
      </w:r>
      <w:r w:rsidRPr="00A131A7">
        <w:rPr>
          <w:rFonts w:eastAsiaTheme="majorEastAsia" w:cs="Times New Roman"/>
          <w:szCs w:val="24"/>
        </w:rPr>
        <w:t>, 204(2), 361–373.</w:t>
      </w:r>
    </w:p>
    <w:p w14:paraId="2C25ECCA"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Tistarelli</w:t>
      </w:r>
      <w:proofErr w:type="spellEnd"/>
      <w:r w:rsidRPr="00A131A7">
        <w:rPr>
          <w:rFonts w:eastAsiaTheme="majorEastAsia" w:cs="Times New Roman"/>
          <w:szCs w:val="24"/>
        </w:rPr>
        <w:t xml:space="preserve">, N., Fagnani, C., </w:t>
      </w:r>
      <w:proofErr w:type="spellStart"/>
      <w:r w:rsidRPr="00A131A7">
        <w:rPr>
          <w:rFonts w:eastAsiaTheme="majorEastAsia" w:cs="Times New Roman"/>
          <w:szCs w:val="24"/>
        </w:rPr>
        <w:t>Troianiello</w:t>
      </w:r>
      <w:proofErr w:type="spellEnd"/>
      <w:r w:rsidRPr="00A131A7">
        <w:rPr>
          <w:rFonts w:eastAsiaTheme="majorEastAsia" w:cs="Times New Roman"/>
          <w:szCs w:val="24"/>
        </w:rPr>
        <w:t xml:space="preserve">, M., </w:t>
      </w:r>
      <w:proofErr w:type="spellStart"/>
      <w:r w:rsidRPr="00A131A7">
        <w:rPr>
          <w:rFonts w:eastAsiaTheme="majorEastAsia" w:cs="Times New Roman"/>
          <w:szCs w:val="24"/>
        </w:rPr>
        <w:t>Stazi</w:t>
      </w:r>
      <w:proofErr w:type="spellEnd"/>
      <w:r w:rsidRPr="00A131A7">
        <w:rPr>
          <w:rFonts w:eastAsiaTheme="majorEastAsia" w:cs="Times New Roman"/>
          <w:szCs w:val="24"/>
        </w:rPr>
        <w:t xml:space="preserve">, M. A., &amp; Adriani, W. (2020). The nature and nurture of ADHD and its comorbidities: A narrative review on twin studies. </w:t>
      </w:r>
      <w:r w:rsidRPr="00A131A7">
        <w:rPr>
          <w:rFonts w:eastAsiaTheme="majorEastAsia" w:cs="Times New Roman"/>
          <w:i/>
          <w:iCs/>
          <w:szCs w:val="24"/>
        </w:rPr>
        <w:t>Neuroscience &amp; Biobehavioral Reviews</w:t>
      </w:r>
      <w:r w:rsidRPr="00A131A7">
        <w:rPr>
          <w:rFonts w:eastAsiaTheme="majorEastAsia" w:cs="Times New Roman"/>
          <w:szCs w:val="24"/>
        </w:rPr>
        <w:t>, 109, 63–77.</w:t>
      </w:r>
    </w:p>
    <w:p w14:paraId="45F9C7AA"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Umukoro, S., &amp; Eduviere, A. T. (2016). Methyl </w:t>
      </w:r>
      <w:proofErr w:type="spellStart"/>
      <w:r w:rsidRPr="00A131A7">
        <w:rPr>
          <w:rFonts w:eastAsiaTheme="majorEastAsia" w:cs="Times New Roman"/>
          <w:szCs w:val="24"/>
        </w:rPr>
        <w:t>jasmonate</w:t>
      </w:r>
      <w:proofErr w:type="spellEnd"/>
      <w:r w:rsidRPr="00A131A7">
        <w:rPr>
          <w:rFonts w:eastAsiaTheme="majorEastAsia" w:cs="Times New Roman"/>
          <w:szCs w:val="24"/>
        </w:rPr>
        <w:t xml:space="preserve"> attenuated lipopolysaccharide-induced memory dysfunction through inhibition of neuroinflammatory markers and beta-amyloid generation in mice. </w:t>
      </w:r>
      <w:r w:rsidRPr="00A131A7">
        <w:rPr>
          <w:rFonts w:eastAsiaTheme="majorEastAsia" w:cs="Times New Roman"/>
          <w:i/>
          <w:iCs/>
          <w:szCs w:val="24"/>
        </w:rPr>
        <w:t>European Neuropsychopharmacology</w:t>
      </w:r>
      <w:r w:rsidRPr="00A131A7">
        <w:rPr>
          <w:rFonts w:eastAsiaTheme="majorEastAsia" w:cs="Times New Roman"/>
          <w:szCs w:val="24"/>
        </w:rPr>
        <w:t>, 26, S647–S648.</w:t>
      </w:r>
    </w:p>
    <w:p w14:paraId="1A6DAD23"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Unno, K., Takabayashi, F., Yoshida, H., </w:t>
      </w:r>
      <w:proofErr w:type="spellStart"/>
      <w:r w:rsidRPr="00A131A7">
        <w:rPr>
          <w:rFonts w:eastAsiaTheme="majorEastAsia" w:cs="Times New Roman"/>
          <w:szCs w:val="24"/>
        </w:rPr>
        <w:t>Choba</w:t>
      </w:r>
      <w:proofErr w:type="spellEnd"/>
      <w:r w:rsidRPr="00A131A7">
        <w:rPr>
          <w:rFonts w:eastAsiaTheme="majorEastAsia" w:cs="Times New Roman"/>
          <w:szCs w:val="24"/>
        </w:rPr>
        <w:t xml:space="preserve">, D., Fukutomi, R., &amp; Iguchi, K. (2019). Theaflavins improve memory impairment and depression-like behavior by regulating microglial activation. </w:t>
      </w:r>
      <w:r w:rsidRPr="00A131A7">
        <w:rPr>
          <w:rFonts w:eastAsiaTheme="majorEastAsia" w:cs="Times New Roman"/>
          <w:i/>
          <w:iCs/>
          <w:szCs w:val="24"/>
        </w:rPr>
        <w:t>Molecules</w:t>
      </w:r>
      <w:r w:rsidRPr="00A131A7">
        <w:rPr>
          <w:rFonts w:eastAsiaTheme="majorEastAsia" w:cs="Times New Roman"/>
          <w:szCs w:val="24"/>
        </w:rPr>
        <w:t xml:space="preserve">, 24(3), 467. </w:t>
      </w:r>
      <w:hyperlink r:id="rId21" w:tgtFrame="_new" w:history="1">
        <w:r w:rsidRPr="00A131A7">
          <w:rPr>
            <w:rStyle w:val="Hyperlink"/>
            <w:rFonts w:eastAsiaTheme="majorEastAsia" w:cs="Times New Roman"/>
            <w:szCs w:val="24"/>
          </w:rPr>
          <w:t>https://doi.org/10.3390/molecules24030467</w:t>
        </w:r>
      </w:hyperlink>
    </w:p>
    <w:p w14:paraId="7C97CC29"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Visser, J. C., </w:t>
      </w:r>
      <w:proofErr w:type="spellStart"/>
      <w:r w:rsidRPr="00A131A7">
        <w:rPr>
          <w:rFonts w:eastAsiaTheme="majorEastAsia" w:cs="Times New Roman"/>
          <w:szCs w:val="24"/>
        </w:rPr>
        <w:t>Rommelse</w:t>
      </w:r>
      <w:proofErr w:type="spellEnd"/>
      <w:r w:rsidRPr="00A131A7">
        <w:rPr>
          <w:rFonts w:eastAsiaTheme="majorEastAsia" w:cs="Times New Roman"/>
          <w:szCs w:val="24"/>
        </w:rPr>
        <w:t xml:space="preserve">, N. N., Greven, C. U., &amp; </w:t>
      </w:r>
      <w:proofErr w:type="spellStart"/>
      <w:r w:rsidRPr="00A131A7">
        <w:rPr>
          <w:rFonts w:eastAsiaTheme="majorEastAsia" w:cs="Times New Roman"/>
          <w:szCs w:val="24"/>
        </w:rPr>
        <w:t>Buitelaar</w:t>
      </w:r>
      <w:proofErr w:type="spellEnd"/>
      <w:r w:rsidRPr="00A131A7">
        <w:rPr>
          <w:rFonts w:eastAsiaTheme="majorEastAsia" w:cs="Times New Roman"/>
          <w:szCs w:val="24"/>
        </w:rPr>
        <w:t xml:space="preserve">, J. K. (2016). Autism spectrum disorder and attention-deficit/hyperactivity disorder in early childhood: A review of unique and shared characteristics and developmental antecedents. </w:t>
      </w:r>
      <w:r w:rsidRPr="00A131A7">
        <w:rPr>
          <w:rFonts w:eastAsiaTheme="majorEastAsia" w:cs="Times New Roman"/>
          <w:i/>
          <w:iCs/>
          <w:szCs w:val="24"/>
        </w:rPr>
        <w:t>Neuroscience &amp; Biobehavioral Reviews</w:t>
      </w:r>
      <w:r w:rsidRPr="00A131A7">
        <w:rPr>
          <w:rFonts w:eastAsiaTheme="majorEastAsia" w:cs="Times New Roman"/>
          <w:szCs w:val="24"/>
        </w:rPr>
        <w:t>, 65, 229–263.</w:t>
      </w:r>
    </w:p>
    <w:p w14:paraId="668046CA"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Wang, Y., Zhou, J., Yang, M., Zhu, L., &amp; Wang, F. (2024). Tea administration facilitates immune homeostasis by modulating host microbiota. </w:t>
      </w:r>
      <w:r w:rsidRPr="00A131A7">
        <w:rPr>
          <w:rFonts w:eastAsiaTheme="majorEastAsia" w:cs="Times New Roman"/>
          <w:i/>
          <w:iCs/>
          <w:szCs w:val="24"/>
        </w:rPr>
        <w:t>Nutrients</w:t>
      </w:r>
      <w:r w:rsidRPr="00A131A7">
        <w:rPr>
          <w:rFonts w:eastAsiaTheme="majorEastAsia" w:cs="Times New Roman"/>
          <w:szCs w:val="24"/>
        </w:rPr>
        <w:t>, 16(21), 3675.</w:t>
      </w:r>
    </w:p>
    <w:p w14:paraId="6228A400"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Zeng, X., Cai, Y., Wu, M., Chen, H., Sun, M., &amp; Yang, H. (2024). An overview of current advances in perinatal alcohol exposure and pathogenesis of fetal alcohol spectrum disorders. </w:t>
      </w:r>
      <w:r w:rsidRPr="00A131A7">
        <w:rPr>
          <w:rFonts w:eastAsiaTheme="majorEastAsia" w:cs="Times New Roman"/>
          <w:i/>
          <w:iCs/>
          <w:szCs w:val="24"/>
        </w:rPr>
        <w:t>Journal of Neurodevelopmental Disorders</w:t>
      </w:r>
      <w:r w:rsidRPr="00A131A7">
        <w:rPr>
          <w:rFonts w:eastAsiaTheme="majorEastAsia" w:cs="Times New Roman"/>
          <w:szCs w:val="24"/>
        </w:rPr>
        <w:t>, 16(1), 20.</w:t>
      </w:r>
    </w:p>
    <w:p w14:paraId="4C286E10" w14:textId="77777777" w:rsidR="00A131A7" w:rsidRPr="00A131A7" w:rsidRDefault="00A131A7" w:rsidP="00A131A7">
      <w:pPr>
        <w:spacing w:after="0"/>
        <w:ind w:left="-540"/>
        <w:jc w:val="both"/>
        <w:rPr>
          <w:rFonts w:cs="Times New Roman"/>
          <w:szCs w:val="24"/>
        </w:rPr>
      </w:pPr>
    </w:p>
    <w:p w14:paraId="1F7A1FC0" w14:textId="37BCF15F" w:rsidR="00CD5E5A" w:rsidRPr="00A131A7" w:rsidRDefault="00CD5E5A" w:rsidP="00A131A7">
      <w:pPr>
        <w:spacing w:line="360" w:lineRule="auto"/>
        <w:jc w:val="both"/>
        <w:rPr>
          <w:rFonts w:cs="Times New Roman"/>
          <w:szCs w:val="24"/>
          <w:highlight w:val="yellow"/>
        </w:rPr>
      </w:pPr>
    </w:p>
    <w:sectPr w:rsidR="00CD5E5A" w:rsidRPr="00A131A7">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164F0C" w14:textId="77777777" w:rsidR="00F8123B" w:rsidRDefault="00F8123B" w:rsidP="007C420F">
      <w:pPr>
        <w:spacing w:after="0" w:line="240" w:lineRule="auto"/>
      </w:pPr>
      <w:r>
        <w:separator/>
      </w:r>
    </w:p>
  </w:endnote>
  <w:endnote w:type="continuationSeparator" w:id="0">
    <w:p w14:paraId="541916C8" w14:textId="77777777" w:rsidR="00F8123B" w:rsidRDefault="00F8123B" w:rsidP="007C4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75E0E" w14:textId="77777777" w:rsidR="007C420F" w:rsidRDefault="007C42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F30D6" w14:textId="77777777" w:rsidR="007C420F" w:rsidRDefault="007C42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F1055" w14:textId="77777777" w:rsidR="007C420F" w:rsidRDefault="007C42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0E1D0D" w14:textId="77777777" w:rsidR="00F8123B" w:rsidRDefault="00F8123B" w:rsidP="007C420F">
      <w:pPr>
        <w:spacing w:after="0" w:line="240" w:lineRule="auto"/>
      </w:pPr>
      <w:r>
        <w:separator/>
      </w:r>
    </w:p>
  </w:footnote>
  <w:footnote w:type="continuationSeparator" w:id="0">
    <w:p w14:paraId="7B9CD3CD" w14:textId="77777777" w:rsidR="00F8123B" w:rsidRDefault="00F8123B" w:rsidP="007C42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C77C9" w14:textId="5672621F" w:rsidR="007C420F" w:rsidRDefault="007C420F">
    <w:pPr>
      <w:pStyle w:val="Header"/>
    </w:pPr>
    <w:r>
      <w:rPr>
        <w:noProof/>
      </w:rPr>
      <w:pict w14:anchorId="4B1DEF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813735"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CA58B" w14:textId="3934AEA8" w:rsidR="007C420F" w:rsidRDefault="007C420F">
    <w:pPr>
      <w:pStyle w:val="Header"/>
    </w:pPr>
    <w:r>
      <w:rPr>
        <w:noProof/>
      </w:rPr>
      <w:pict w14:anchorId="6B8A71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813736"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85D35" w14:textId="4AB7E943" w:rsidR="007C420F" w:rsidRDefault="007C420F">
    <w:pPr>
      <w:pStyle w:val="Header"/>
    </w:pPr>
    <w:r>
      <w:rPr>
        <w:noProof/>
      </w:rPr>
      <w:pict w14:anchorId="6AAEB0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813734"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76208D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7666D9"/>
    <w:multiLevelType w:val="hybridMultilevel"/>
    <w:tmpl w:val="9DB6F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BE586B"/>
    <w:multiLevelType w:val="hybridMultilevel"/>
    <w:tmpl w:val="878A5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DE3F90"/>
    <w:multiLevelType w:val="hybridMultilevel"/>
    <w:tmpl w:val="6B5658CE"/>
    <w:lvl w:ilvl="0" w:tplc="0409000F">
      <w:start w:val="1"/>
      <w:numFmt w:val="decimal"/>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E03ADF"/>
    <w:multiLevelType w:val="multilevel"/>
    <w:tmpl w:val="4FDAD6A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033180"/>
    <w:multiLevelType w:val="hybridMultilevel"/>
    <w:tmpl w:val="1556C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A80DF7"/>
    <w:multiLevelType w:val="hybridMultilevel"/>
    <w:tmpl w:val="0B921B8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133661"/>
    <w:multiLevelType w:val="hybridMultilevel"/>
    <w:tmpl w:val="5F62B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542AFF"/>
    <w:multiLevelType w:val="multilevel"/>
    <w:tmpl w:val="45CE5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9511D0"/>
    <w:multiLevelType w:val="hybridMultilevel"/>
    <w:tmpl w:val="F2F2F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C412E9"/>
    <w:multiLevelType w:val="hybridMultilevel"/>
    <w:tmpl w:val="A8EC1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854715"/>
    <w:multiLevelType w:val="hybridMultilevel"/>
    <w:tmpl w:val="46F24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5"/>
  </w:num>
  <w:num w:numId="4">
    <w:abstractNumId w:val="11"/>
  </w:num>
  <w:num w:numId="5">
    <w:abstractNumId w:val="7"/>
  </w:num>
  <w:num w:numId="6">
    <w:abstractNumId w:val="6"/>
  </w:num>
  <w:num w:numId="7">
    <w:abstractNumId w:val="0"/>
  </w:num>
  <w:num w:numId="8">
    <w:abstractNumId w:val="4"/>
  </w:num>
  <w:num w:numId="9">
    <w:abstractNumId w:val="1"/>
  </w:num>
  <w:num w:numId="10">
    <w:abstractNumId w:val="9"/>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sDQyNzY0MTc2sDC1NDVW0lEKTi0uzszPAykwrAUAfHckBCwAAAA="/>
  </w:docVars>
  <w:rsids>
    <w:rsidRoot w:val="0056666F"/>
    <w:rsid w:val="00005F74"/>
    <w:rsid w:val="00082857"/>
    <w:rsid w:val="000C2B10"/>
    <w:rsid w:val="000D53EB"/>
    <w:rsid w:val="001C287F"/>
    <w:rsid w:val="001D5134"/>
    <w:rsid w:val="002240C2"/>
    <w:rsid w:val="00247447"/>
    <w:rsid w:val="002B7FDE"/>
    <w:rsid w:val="002D571D"/>
    <w:rsid w:val="002D5EF0"/>
    <w:rsid w:val="00315AEF"/>
    <w:rsid w:val="003F426B"/>
    <w:rsid w:val="003F6F2E"/>
    <w:rsid w:val="003F7DD2"/>
    <w:rsid w:val="00414722"/>
    <w:rsid w:val="004173E3"/>
    <w:rsid w:val="00426534"/>
    <w:rsid w:val="00515F29"/>
    <w:rsid w:val="0051605E"/>
    <w:rsid w:val="005246CE"/>
    <w:rsid w:val="00530049"/>
    <w:rsid w:val="0053371C"/>
    <w:rsid w:val="0056666F"/>
    <w:rsid w:val="00584A5F"/>
    <w:rsid w:val="00594703"/>
    <w:rsid w:val="005F1E19"/>
    <w:rsid w:val="00670D7C"/>
    <w:rsid w:val="006A6C51"/>
    <w:rsid w:val="00713BC3"/>
    <w:rsid w:val="00722297"/>
    <w:rsid w:val="00742C03"/>
    <w:rsid w:val="007706F3"/>
    <w:rsid w:val="0078278A"/>
    <w:rsid w:val="00794906"/>
    <w:rsid w:val="007C420F"/>
    <w:rsid w:val="007F7BBB"/>
    <w:rsid w:val="0082396A"/>
    <w:rsid w:val="00837D05"/>
    <w:rsid w:val="00844034"/>
    <w:rsid w:val="008D0BF6"/>
    <w:rsid w:val="008D10D7"/>
    <w:rsid w:val="008D6564"/>
    <w:rsid w:val="0091689E"/>
    <w:rsid w:val="00942491"/>
    <w:rsid w:val="0096348E"/>
    <w:rsid w:val="00993906"/>
    <w:rsid w:val="009A627D"/>
    <w:rsid w:val="009C2B1C"/>
    <w:rsid w:val="00A131A7"/>
    <w:rsid w:val="00A76B08"/>
    <w:rsid w:val="00A90603"/>
    <w:rsid w:val="00B036C4"/>
    <w:rsid w:val="00B426B9"/>
    <w:rsid w:val="00B4334A"/>
    <w:rsid w:val="00BB5F89"/>
    <w:rsid w:val="00BD633D"/>
    <w:rsid w:val="00BF7DA3"/>
    <w:rsid w:val="00CC77DF"/>
    <w:rsid w:val="00CD5E5A"/>
    <w:rsid w:val="00CE49AA"/>
    <w:rsid w:val="00D0135E"/>
    <w:rsid w:val="00D20536"/>
    <w:rsid w:val="00D45EDE"/>
    <w:rsid w:val="00D66952"/>
    <w:rsid w:val="00DA7BE4"/>
    <w:rsid w:val="00DB6143"/>
    <w:rsid w:val="00E14789"/>
    <w:rsid w:val="00E51AC7"/>
    <w:rsid w:val="00F72D47"/>
    <w:rsid w:val="00F75E2E"/>
    <w:rsid w:val="00F8123B"/>
    <w:rsid w:val="00F945A8"/>
    <w:rsid w:val="00FB0164"/>
    <w:rsid w:val="00FE3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85D810"/>
  <w15:chartTrackingRefBased/>
  <w15:docId w15:val="{CF4E738C-401C-4386-9117-D651A19B3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2B10"/>
    <w:pPr>
      <w:spacing w:after="200" w:line="276" w:lineRule="auto"/>
    </w:pPr>
    <w:rPr>
      <w:rFonts w:ascii="Times New Roman" w:hAnsi="Times New Roman"/>
      <w:kern w:val="0"/>
      <w:sz w:val="24"/>
      <w14:ligatures w14:val="none"/>
    </w:rPr>
  </w:style>
  <w:style w:type="paragraph" w:styleId="Heading1">
    <w:name w:val="heading 1"/>
    <w:basedOn w:val="Normal"/>
    <w:next w:val="Normal"/>
    <w:link w:val="Heading1Char"/>
    <w:uiPriority w:val="9"/>
    <w:qFormat/>
    <w:rsid w:val="005666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666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6666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6666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6666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6666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6666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6666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6666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666F"/>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rsid w:val="0056666F"/>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56666F"/>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56666F"/>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56666F"/>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56666F"/>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56666F"/>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56666F"/>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56666F"/>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5666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666F"/>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56666F"/>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666F"/>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56666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6666F"/>
    <w:rPr>
      <w:rFonts w:ascii="Times New Roman" w:hAnsi="Times New Roman"/>
      <w:i/>
      <w:iCs/>
      <w:color w:val="404040" w:themeColor="text1" w:themeTint="BF"/>
      <w:kern w:val="0"/>
      <w:sz w:val="24"/>
      <w14:ligatures w14:val="none"/>
    </w:rPr>
  </w:style>
  <w:style w:type="paragraph" w:styleId="ListParagraph">
    <w:name w:val="List Paragraph"/>
    <w:basedOn w:val="Normal"/>
    <w:uiPriority w:val="34"/>
    <w:qFormat/>
    <w:rsid w:val="0056666F"/>
    <w:pPr>
      <w:ind w:left="720"/>
      <w:contextualSpacing/>
    </w:pPr>
  </w:style>
  <w:style w:type="character" w:styleId="IntenseEmphasis">
    <w:name w:val="Intense Emphasis"/>
    <w:basedOn w:val="DefaultParagraphFont"/>
    <w:uiPriority w:val="21"/>
    <w:qFormat/>
    <w:rsid w:val="0056666F"/>
    <w:rPr>
      <w:i/>
      <w:iCs/>
      <w:color w:val="0F4761" w:themeColor="accent1" w:themeShade="BF"/>
    </w:rPr>
  </w:style>
  <w:style w:type="paragraph" w:styleId="IntenseQuote">
    <w:name w:val="Intense Quote"/>
    <w:basedOn w:val="Normal"/>
    <w:next w:val="Normal"/>
    <w:link w:val="IntenseQuoteChar"/>
    <w:uiPriority w:val="30"/>
    <w:qFormat/>
    <w:rsid w:val="005666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666F"/>
    <w:rPr>
      <w:rFonts w:ascii="Times New Roman" w:hAnsi="Times New Roman"/>
      <w:i/>
      <w:iCs/>
      <w:color w:val="0F4761" w:themeColor="accent1" w:themeShade="BF"/>
      <w:kern w:val="0"/>
      <w:sz w:val="24"/>
      <w14:ligatures w14:val="none"/>
    </w:rPr>
  </w:style>
  <w:style w:type="character" w:styleId="IntenseReference">
    <w:name w:val="Intense Reference"/>
    <w:basedOn w:val="DefaultParagraphFont"/>
    <w:uiPriority w:val="32"/>
    <w:qFormat/>
    <w:rsid w:val="0056666F"/>
    <w:rPr>
      <w:b/>
      <w:bCs/>
      <w:smallCaps/>
      <w:color w:val="0F4761" w:themeColor="accent1" w:themeShade="BF"/>
      <w:spacing w:val="5"/>
    </w:rPr>
  </w:style>
  <w:style w:type="character" w:styleId="Strong">
    <w:name w:val="Strong"/>
    <w:basedOn w:val="DefaultParagraphFont"/>
    <w:uiPriority w:val="22"/>
    <w:qFormat/>
    <w:rsid w:val="0056666F"/>
    <w:rPr>
      <w:b/>
      <w:bCs/>
    </w:rPr>
  </w:style>
  <w:style w:type="character" w:styleId="Emphasis">
    <w:name w:val="Emphasis"/>
    <w:basedOn w:val="DefaultParagraphFont"/>
    <w:uiPriority w:val="20"/>
    <w:qFormat/>
    <w:rsid w:val="0056666F"/>
    <w:rPr>
      <w:i/>
      <w:iCs/>
    </w:rPr>
  </w:style>
  <w:style w:type="paragraph" w:styleId="NormalWeb">
    <w:name w:val="Normal (Web)"/>
    <w:basedOn w:val="Normal"/>
    <w:uiPriority w:val="99"/>
    <w:unhideWhenUsed/>
    <w:rsid w:val="0056666F"/>
    <w:pPr>
      <w:spacing w:before="100" w:beforeAutospacing="1" w:after="100" w:afterAutospacing="1" w:line="240" w:lineRule="auto"/>
    </w:pPr>
    <w:rPr>
      <w:rFonts w:eastAsia="Times New Roman" w:cs="Times New Roman"/>
      <w:szCs w:val="24"/>
    </w:rPr>
  </w:style>
  <w:style w:type="paragraph" w:styleId="Caption">
    <w:name w:val="caption"/>
    <w:basedOn w:val="Normal"/>
    <w:next w:val="Normal"/>
    <w:autoRedefine/>
    <w:uiPriority w:val="35"/>
    <w:unhideWhenUsed/>
    <w:qFormat/>
    <w:rsid w:val="00B4334A"/>
    <w:pPr>
      <w:spacing w:line="360" w:lineRule="auto"/>
      <w:jc w:val="both"/>
    </w:pPr>
    <w:rPr>
      <w:rFonts w:cs="Times New Roman"/>
      <w:b/>
      <w:bCs/>
      <w:szCs w:val="24"/>
    </w:rPr>
  </w:style>
  <w:style w:type="paragraph" w:customStyle="1" w:styleId="Default">
    <w:name w:val="Default"/>
    <w:rsid w:val="008D10D7"/>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ListBullet">
    <w:name w:val="List Bullet"/>
    <w:basedOn w:val="Normal"/>
    <w:uiPriority w:val="99"/>
    <w:unhideWhenUsed/>
    <w:rsid w:val="008D10D7"/>
    <w:pPr>
      <w:numPr>
        <w:numId w:val="7"/>
      </w:numPr>
      <w:contextualSpacing/>
    </w:pPr>
    <w:rPr>
      <w:rFonts w:ascii="Calibri" w:eastAsia="Calibri" w:hAnsi="Calibri" w:cs="Times New Roman"/>
      <w:sz w:val="22"/>
    </w:rPr>
  </w:style>
  <w:style w:type="character" w:styleId="Hyperlink">
    <w:name w:val="Hyperlink"/>
    <w:basedOn w:val="DefaultParagraphFont"/>
    <w:uiPriority w:val="99"/>
    <w:unhideWhenUsed/>
    <w:rsid w:val="00A131A7"/>
    <w:rPr>
      <w:color w:val="467886" w:themeColor="hyperlink"/>
      <w:u w:val="single"/>
    </w:rPr>
  </w:style>
  <w:style w:type="character" w:styleId="UnresolvedMention">
    <w:name w:val="Unresolved Mention"/>
    <w:basedOn w:val="DefaultParagraphFont"/>
    <w:uiPriority w:val="99"/>
    <w:semiHidden/>
    <w:unhideWhenUsed/>
    <w:rsid w:val="005246CE"/>
    <w:rPr>
      <w:color w:val="605E5C"/>
      <w:shd w:val="clear" w:color="auto" w:fill="E1DFDD"/>
    </w:rPr>
  </w:style>
  <w:style w:type="paragraph" w:styleId="Header">
    <w:name w:val="header"/>
    <w:basedOn w:val="Normal"/>
    <w:link w:val="HeaderChar"/>
    <w:uiPriority w:val="99"/>
    <w:unhideWhenUsed/>
    <w:rsid w:val="007C42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420F"/>
    <w:rPr>
      <w:rFonts w:ascii="Times New Roman" w:hAnsi="Times New Roman"/>
      <w:kern w:val="0"/>
      <w:sz w:val="24"/>
      <w14:ligatures w14:val="none"/>
    </w:rPr>
  </w:style>
  <w:style w:type="paragraph" w:styleId="Footer">
    <w:name w:val="footer"/>
    <w:basedOn w:val="Normal"/>
    <w:link w:val="FooterChar"/>
    <w:uiPriority w:val="99"/>
    <w:unhideWhenUsed/>
    <w:rsid w:val="007C42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420F"/>
    <w:rPr>
      <w:rFonts w:ascii="Times New Roman" w:hAnsi="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103243">
      <w:bodyDiv w:val="1"/>
      <w:marLeft w:val="0"/>
      <w:marRight w:val="0"/>
      <w:marTop w:val="0"/>
      <w:marBottom w:val="0"/>
      <w:divBdr>
        <w:top w:val="none" w:sz="0" w:space="0" w:color="auto"/>
        <w:left w:val="none" w:sz="0" w:space="0" w:color="auto"/>
        <w:bottom w:val="none" w:sz="0" w:space="0" w:color="auto"/>
        <w:right w:val="none" w:sz="0" w:space="0" w:color="auto"/>
      </w:divBdr>
    </w:div>
    <w:div w:id="368189492">
      <w:bodyDiv w:val="1"/>
      <w:marLeft w:val="0"/>
      <w:marRight w:val="0"/>
      <w:marTop w:val="0"/>
      <w:marBottom w:val="0"/>
      <w:divBdr>
        <w:top w:val="none" w:sz="0" w:space="0" w:color="auto"/>
        <w:left w:val="none" w:sz="0" w:space="0" w:color="auto"/>
        <w:bottom w:val="none" w:sz="0" w:space="0" w:color="auto"/>
        <w:right w:val="none" w:sz="0" w:space="0" w:color="auto"/>
      </w:divBdr>
    </w:div>
    <w:div w:id="722102988">
      <w:bodyDiv w:val="1"/>
      <w:marLeft w:val="0"/>
      <w:marRight w:val="0"/>
      <w:marTop w:val="0"/>
      <w:marBottom w:val="0"/>
      <w:divBdr>
        <w:top w:val="none" w:sz="0" w:space="0" w:color="auto"/>
        <w:left w:val="none" w:sz="0" w:space="0" w:color="auto"/>
        <w:bottom w:val="none" w:sz="0" w:space="0" w:color="auto"/>
        <w:right w:val="none" w:sz="0" w:space="0" w:color="auto"/>
      </w:divBdr>
    </w:div>
    <w:div w:id="746608214">
      <w:bodyDiv w:val="1"/>
      <w:marLeft w:val="0"/>
      <w:marRight w:val="0"/>
      <w:marTop w:val="0"/>
      <w:marBottom w:val="0"/>
      <w:divBdr>
        <w:top w:val="none" w:sz="0" w:space="0" w:color="auto"/>
        <w:left w:val="none" w:sz="0" w:space="0" w:color="auto"/>
        <w:bottom w:val="none" w:sz="0" w:space="0" w:color="auto"/>
        <w:right w:val="none" w:sz="0" w:space="0" w:color="auto"/>
      </w:divBdr>
    </w:div>
    <w:div w:id="1333678982">
      <w:bodyDiv w:val="1"/>
      <w:marLeft w:val="0"/>
      <w:marRight w:val="0"/>
      <w:marTop w:val="0"/>
      <w:marBottom w:val="0"/>
      <w:divBdr>
        <w:top w:val="none" w:sz="0" w:space="0" w:color="auto"/>
        <w:left w:val="none" w:sz="0" w:space="0" w:color="auto"/>
        <w:bottom w:val="none" w:sz="0" w:space="0" w:color="auto"/>
        <w:right w:val="none" w:sz="0" w:space="0" w:color="auto"/>
      </w:divBdr>
    </w:div>
    <w:div w:id="1358627420">
      <w:bodyDiv w:val="1"/>
      <w:marLeft w:val="0"/>
      <w:marRight w:val="0"/>
      <w:marTop w:val="0"/>
      <w:marBottom w:val="0"/>
      <w:divBdr>
        <w:top w:val="none" w:sz="0" w:space="0" w:color="auto"/>
        <w:left w:val="none" w:sz="0" w:space="0" w:color="auto"/>
        <w:bottom w:val="none" w:sz="0" w:space="0" w:color="auto"/>
        <w:right w:val="none" w:sz="0" w:space="0" w:color="auto"/>
      </w:divBdr>
    </w:div>
    <w:div w:id="1554923808">
      <w:bodyDiv w:val="1"/>
      <w:marLeft w:val="0"/>
      <w:marRight w:val="0"/>
      <w:marTop w:val="0"/>
      <w:marBottom w:val="0"/>
      <w:divBdr>
        <w:top w:val="none" w:sz="0" w:space="0" w:color="auto"/>
        <w:left w:val="none" w:sz="0" w:space="0" w:color="auto"/>
        <w:bottom w:val="none" w:sz="0" w:space="0" w:color="auto"/>
        <w:right w:val="none" w:sz="0" w:space="0" w:color="auto"/>
      </w:divBdr>
    </w:div>
    <w:div w:id="1781728723">
      <w:bodyDiv w:val="1"/>
      <w:marLeft w:val="0"/>
      <w:marRight w:val="0"/>
      <w:marTop w:val="0"/>
      <w:marBottom w:val="0"/>
      <w:divBdr>
        <w:top w:val="none" w:sz="0" w:space="0" w:color="auto"/>
        <w:left w:val="none" w:sz="0" w:space="0" w:color="auto"/>
        <w:bottom w:val="none" w:sz="0" w:space="0" w:color="auto"/>
        <w:right w:val="none" w:sz="0" w:space="0" w:color="auto"/>
      </w:divBdr>
    </w:div>
    <w:div w:id="192499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doi.org/10.3390/molecules24030467" TargetMode="Externa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oleObject" Target="embeddings/oleObject6.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17813</TotalTime>
  <Pages>20</Pages>
  <Words>5667</Words>
  <Characters>32302</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SDI 1084</cp:lastModifiedBy>
  <cp:revision>36</cp:revision>
  <dcterms:created xsi:type="dcterms:W3CDTF">2025-04-16T10:32:00Z</dcterms:created>
  <dcterms:modified xsi:type="dcterms:W3CDTF">2025-05-12T06:13:00Z</dcterms:modified>
</cp:coreProperties>
</file>