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6A2499" w14:textId="77777777" w:rsidR="00B529D5" w:rsidRDefault="00B529D5">
      <w:pPr>
        <w:spacing w:after="0" w:line="240" w:lineRule="auto"/>
        <w:rPr>
          <w:b/>
          <w:caps/>
          <w:sz w:val="32"/>
          <w:szCs w:val="32"/>
        </w:rPr>
      </w:pPr>
    </w:p>
    <w:p w14:paraId="6655C455" w14:textId="77777777" w:rsidR="00595905" w:rsidRDefault="00595905">
      <w:pPr>
        <w:spacing w:after="0" w:line="240" w:lineRule="auto"/>
        <w:rPr>
          <w:b/>
          <w:caps/>
          <w:sz w:val="32"/>
          <w:szCs w:val="32"/>
        </w:rPr>
      </w:pPr>
    </w:p>
    <w:p w14:paraId="030AA999" w14:textId="43C88DE6" w:rsidR="00B529D5" w:rsidRDefault="00772D1C">
      <w:pPr>
        <w:spacing w:after="0" w:line="240" w:lineRule="auto"/>
        <w:rPr>
          <w:b/>
          <w:caps/>
          <w:sz w:val="32"/>
          <w:szCs w:val="32"/>
        </w:rPr>
      </w:pPr>
      <w:r>
        <w:rPr>
          <w:b/>
          <w:caps/>
          <w:sz w:val="32"/>
          <w:szCs w:val="32"/>
          <w:lang w:val="en-US"/>
        </w:rPr>
        <w:t>A Sy</w:t>
      </w:r>
      <w:r>
        <w:rPr>
          <w:b/>
          <w:caps/>
          <w:sz w:val="32"/>
          <w:szCs w:val="32"/>
        </w:rPr>
        <w:t>stematic review ON Sickle cell Disease and Newborns screening: A Call for Community Level Awareness and Engagement in Nigeria</w:t>
      </w:r>
    </w:p>
    <w:p w14:paraId="4B1905E9" w14:textId="77777777" w:rsidR="00B529D5" w:rsidRDefault="00B529D5">
      <w:pPr>
        <w:spacing w:after="200" w:line="240" w:lineRule="auto"/>
        <w:jc w:val="both"/>
        <w:rPr>
          <w:b/>
          <w:sz w:val="12"/>
          <w:szCs w:val="12"/>
        </w:rPr>
      </w:pPr>
    </w:p>
    <w:p w14:paraId="778003C7" w14:textId="77777777" w:rsidR="00021FE2" w:rsidRDefault="00021FE2">
      <w:pPr>
        <w:spacing w:after="200" w:line="360" w:lineRule="auto"/>
        <w:jc w:val="both"/>
        <w:rPr>
          <w:b/>
          <w:bCs/>
          <w:caps/>
          <w:sz w:val="24"/>
          <w:szCs w:val="24"/>
          <w:lang w:val="en-US"/>
        </w:rPr>
      </w:pPr>
    </w:p>
    <w:p w14:paraId="0E6351C4" w14:textId="650E7A8B" w:rsidR="00B529D5" w:rsidRDefault="00895EA4">
      <w:pPr>
        <w:spacing w:after="200" w:line="360" w:lineRule="auto"/>
        <w:jc w:val="both"/>
        <w:rPr>
          <w:b/>
          <w:bCs/>
          <w:caps/>
          <w:sz w:val="24"/>
          <w:szCs w:val="24"/>
        </w:rPr>
      </w:pPr>
      <w:r>
        <w:rPr>
          <w:b/>
          <w:bCs/>
          <w:caps/>
          <w:sz w:val="24"/>
          <w:szCs w:val="24"/>
          <w:lang w:val="en-US"/>
        </w:rPr>
        <w:t>Abstract</w:t>
      </w:r>
    </w:p>
    <w:p w14:paraId="13449569" w14:textId="77777777" w:rsidR="00B529D5" w:rsidRDefault="00895EA4">
      <w:pPr>
        <w:spacing w:after="200" w:line="360" w:lineRule="auto"/>
        <w:jc w:val="both"/>
        <w:rPr>
          <w:sz w:val="24"/>
          <w:szCs w:val="24"/>
          <w:lang w:val="en-US"/>
        </w:rPr>
      </w:pPr>
      <w:r>
        <w:rPr>
          <w:sz w:val="24"/>
          <w:szCs w:val="24"/>
          <w:lang w:val="en-US"/>
        </w:rPr>
        <w:t>Background and Objectives: Sickle cell disease (SCD) is one of the most prevalent genetic disorders in Nigeria, contributing significantly to infant and under-five mortality. Despite advances in early detection through newborn screening (NBS), uptake in Nigeria remains limited, particularly at the community level. This systematic review aims to assess the level of awareness, acceptance, and community engagement toward NBS for SCD in Nigeria.</w:t>
      </w:r>
    </w:p>
    <w:p w14:paraId="4924A261" w14:textId="77777777" w:rsidR="00B529D5" w:rsidRDefault="00895EA4">
      <w:pPr>
        <w:spacing w:after="200" w:line="360" w:lineRule="auto"/>
        <w:jc w:val="both"/>
        <w:rPr>
          <w:sz w:val="24"/>
          <w:szCs w:val="24"/>
        </w:rPr>
      </w:pPr>
      <w:r>
        <w:rPr>
          <w:sz w:val="24"/>
          <w:szCs w:val="24"/>
          <w:lang w:val="en-US"/>
        </w:rPr>
        <w:t>Methods: A systematic review was conducted in line with the PRISMA 2020 guidelines. Literature searches were performed across PubMed, Google Scholar, and ResearchGate for studies published between January 2000 and March 2024. Eligible studies included empirical research conducted in Nigeria or comparable sub-Saharan African countries, focusing on awareness, community participation, or implementation of NBS for SCD. Both qualitative and quantitative studies were included. Data were synthesized thematically, and risk of bias was assessed using CASP and STROBE tools.</w:t>
      </w:r>
    </w:p>
    <w:p w14:paraId="1D7636C9" w14:textId="77777777" w:rsidR="00B529D5" w:rsidRDefault="00895EA4">
      <w:pPr>
        <w:spacing w:after="200" w:line="360" w:lineRule="auto"/>
        <w:jc w:val="both"/>
        <w:rPr>
          <w:sz w:val="24"/>
          <w:szCs w:val="24"/>
        </w:rPr>
      </w:pPr>
      <w:r>
        <w:rPr>
          <w:sz w:val="24"/>
          <w:szCs w:val="24"/>
          <w:lang w:val="en-US"/>
        </w:rPr>
        <w:t>Results: A total of 468 records were identified; after screening and quality appraisal, 25 studies were included. The review revealed consistently low levels of awareness of SCD and NBS, especially in rural areas. However, acceptance and willingness to participate in screening were high when caregivers were adequately informed. Sociocultural and educational factors including gender roles, stigma, and religious beliefs significantly influenced engagement. Community-based educational interventions, particularly those using faith-based or peer-led platforms, proved effective in increasing uptake. National level screening programs remain limited and poorly integrated into primary healthcare services.</w:t>
      </w:r>
    </w:p>
    <w:p w14:paraId="5B2084CD" w14:textId="77777777" w:rsidR="00B529D5" w:rsidRDefault="00895EA4">
      <w:pPr>
        <w:spacing w:after="200" w:line="360" w:lineRule="auto"/>
        <w:jc w:val="both"/>
        <w:rPr>
          <w:sz w:val="24"/>
          <w:szCs w:val="24"/>
        </w:rPr>
      </w:pPr>
      <w:r>
        <w:rPr>
          <w:sz w:val="24"/>
          <w:szCs w:val="24"/>
          <w:lang w:val="en-US"/>
        </w:rPr>
        <w:t>Conclusion: Although awareness of SCD and NBS remains low across Nigerian communities, the high level of willingness to participate when informed highlights a critical opportunity for intervention. Culturally sensitive, community-driven education and sustained policy support are essential for improving early detection and reducing the burden of SCD in Nigeria. Expanding grassroots awareness and integrating NBS into routine maternal and child health services should be prioritized in national health planning.</w:t>
      </w:r>
    </w:p>
    <w:p w14:paraId="099386C4" w14:textId="77777777" w:rsidR="00B529D5" w:rsidRDefault="00B529D5">
      <w:pPr>
        <w:spacing w:after="200" w:line="276" w:lineRule="auto"/>
        <w:rPr>
          <w:b/>
          <w:sz w:val="12"/>
          <w:szCs w:val="12"/>
        </w:rPr>
      </w:pPr>
    </w:p>
    <w:p w14:paraId="7BA5BBF4" w14:textId="77777777" w:rsidR="00B529D5" w:rsidRDefault="00B529D5">
      <w:pPr>
        <w:spacing w:after="200" w:line="480" w:lineRule="auto"/>
        <w:jc w:val="both"/>
        <w:rPr>
          <w:rFonts w:eastAsia="SimSun" w:cs="Times New Roman"/>
          <w:b/>
          <w:bCs/>
          <w:caps/>
          <w:sz w:val="24"/>
          <w:szCs w:val="24"/>
          <w:lang w:val="en-US" w:eastAsia="zh-CN"/>
        </w:rPr>
      </w:pPr>
    </w:p>
    <w:p w14:paraId="66971218" w14:textId="051DEEF8" w:rsidR="00B529D5" w:rsidRDefault="00895EA4">
      <w:pPr>
        <w:spacing w:after="200" w:line="480" w:lineRule="auto"/>
        <w:jc w:val="both"/>
        <w:rPr>
          <w:b/>
          <w:sz w:val="24"/>
          <w:szCs w:val="24"/>
        </w:rPr>
      </w:pPr>
      <w:r>
        <w:rPr>
          <w:rFonts w:eastAsia="SimSun" w:cs="Times New Roman"/>
          <w:b/>
          <w:bCs/>
          <w:caps/>
          <w:sz w:val="24"/>
          <w:szCs w:val="24"/>
          <w:lang w:val="en-US" w:eastAsia="zh-CN"/>
        </w:rPr>
        <w:lastRenderedPageBreak/>
        <w:t>1.0.</w:t>
      </w:r>
      <w:r>
        <w:rPr>
          <w:rFonts w:eastAsia="SimSun" w:cs="Times New Roman"/>
          <w:b/>
          <w:bCs/>
          <w:sz w:val="24"/>
          <w:szCs w:val="24"/>
          <w:lang w:val="en-US" w:eastAsia="zh-CN"/>
        </w:rPr>
        <w:t xml:space="preserve"> Introduction </w:t>
      </w:r>
    </w:p>
    <w:p w14:paraId="4C9E0865" w14:textId="7713C7BC" w:rsidR="00B529D5" w:rsidRDefault="00895EA4">
      <w:pPr>
        <w:spacing w:after="200" w:line="480" w:lineRule="auto"/>
        <w:jc w:val="both"/>
        <w:rPr>
          <w:b/>
          <w:sz w:val="12"/>
          <w:szCs w:val="12"/>
        </w:rPr>
      </w:pPr>
      <w:r>
        <w:rPr>
          <w:rFonts w:eastAsia="SimSun" w:cs="Times New Roman"/>
          <w:sz w:val="24"/>
          <w:szCs w:val="24"/>
          <w:lang w:val="en-US" w:eastAsia="zh-CN"/>
        </w:rPr>
        <w:t xml:space="preserve">Sickle Cell Disease (SCD) is one of the most common inherited blood disorders globally and poses a serious public health challenge, especially in regions with high carrier frequencies such as sub-Saharan Africa. Characterized by the presence of abnormal hemoglobin S, SCD causes red blood cells to assume a sickled shape, leading to chronic anemia, repeated infections, and </w:t>
      </w:r>
      <w:proofErr w:type="spellStart"/>
      <w:r>
        <w:rPr>
          <w:rFonts w:eastAsia="SimSun" w:cs="Times New Roman"/>
          <w:sz w:val="24"/>
          <w:szCs w:val="24"/>
          <w:lang w:val="en-US" w:eastAsia="zh-CN"/>
        </w:rPr>
        <w:t>vaso</w:t>
      </w:r>
      <w:proofErr w:type="spellEnd"/>
      <w:r>
        <w:rPr>
          <w:rFonts w:eastAsia="SimSun" w:cs="Times New Roman"/>
          <w:sz w:val="24"/>
          <w:szCs w:val="24"/>
          <w:lang w:val="en-US" w:eastAsia="zh-CN"/>
        </w:rPr>
        <w:t xml:space="preserve">-occlusive crises (McGann </w:t>
      </w:r>
      <w:r>
        <w:rPr>
          <w:rFonts w:eastAsia="SimSun" w:cs="Times New Roman"/>
          <w:i/>
          <w:iCs/>
          <w:sz w:val="24"/>
          <w:szCs w:val="24"/>
          <w:lang w:val="en-US" w:eastAsia="zh-CN"/>
        </w:rPr>
        <w:t>et al.</w:t>
      </w:r>
      <w:r>
        <w:rPr>
          <w:rFonts w:eastAsia="SimSun" w:cs="Times New Roman"/>
          <w:sz w:val="24"/>
          <w:szCs w:val="24"/>
          <w:lang w:val="en-US" w:eastAsia="zh-CN"/>
        </w:rPr>
        <w:t>, 2017). The disease significantly reduces life expectancy if not diagnosed and managed early, with children in low-resource settings facing the highest mortality risks</w:t>
      </w:r>
      <w:r w:rsidR="00B13241">
        <w:rPr>
          <w:rFonts w:eastAsia="SimSun" w:cs="Times New Roman"/>
          <w:sz w:val="24"/>
          <w:szCs w:val="24"/>
          <w:lang w:val="en-US" w:eastAsia="zh-CN"/>
        </w:rPr>
        <w:t xml:space="preserve"> [10-12]</w:t>
      </w:r>
      <w:r>
        <w:rPr>
          <w:rFonts w:eastAsia="SimSun" w:cs="Times New Roman"/>
          <w:sz w:val="24"/>
          <w:szCs w:val="24"/>
          <w:lang w:val="en-US" w:eastAsia="zh-CN"/>
        </w:rPr>
        <w:t>.</w:t>
      </w:r>
    </w:p>
    <w:p w14:paraId="65B4F730" w14:textId="7AB789D2" w:rsidR="00B529D5" w:rsidRDefault="00895EA4">
      <w:pPr>
        <w:spacing w:after="200" w:line="480" w:lineRule="auto"/>
        <w:jc w:val="both"/>
        <w:rPr>
          <w:b/>
          <w:sz w:val="12"/>
          <w:szCs w:val="12"/>
        </w:rPr>
      </w:pPr>
      <w:r>
        <w:rPr>
          <w:rFonts w:eastAsia="SimSun" w:cs="Times New Roman"/>
          <w:sz w:val="24"/>
          <w:szCs w:val="24"/>
          <w:lang w:val="en-US" w:eastAsia="zh-CN"/>
        </w:rPr>
        <w:t>Each year, more than 300,000 babies are born with SCD globally, with approximately 75% of these births occurring in sub-Saharan Africa (WHO, 2006). Without early diagnosis and comprehensive care, many of these children die before their fifth birthday (Grosse et al., 2011). Despite its high prevalence and burden, many African countries have yet to implement sustainable nationwide programs for early detection and management</w:t>
      </w:r>
      <w:r w:rsidR="00B13241">
        <w:rPr>
          <w:rFonts w:eastAsia="SimSun" w:cs="Times New Roman"/>
          <w:sz w:val="24"/>
          <w:szCs w:val="24"/>
          <w:lang w:val="en-US" w:eastAsia="zh-CN"/>
        </w:rPr>
        <w:t xml:space="preserve"> [13-16]</w:t>
      </w:r>
      <w:r>
        <w:rPr>
          <w:rFonts w:eastAsia="SimSun" w:cs="Times New Roman"/>
          <w:sz w:val="24"/>
          <w:szCs w:val="24"/>
          <w:lang w:val="en-US" w:eastAsia="zh-CN"/>
        </w:rPr>
        <w:t>.</w:t>
      </w:r>
    </w:p>
    <w:p w14:paraId="6A7BC6E0" w14:textId="2DF6F46B" w:rsidR="00B529D5" w:rsidRDefault="00895EA4">
      <w:pPr>
        <w:spacing w:after="200" w:line="480" w:lineRule="auto"/>
        <w:jc w:val="both"/>
        <w:rPr>
          <w:b/>
          <w:sz w:val="12"/>
          <w:szCs w:val="12"/>
        </w:rPr>
      </w:pPr>
      <w:r>
        <w:rPr>
          <w:rFonts w:eastAsia="SimSun" w:cs="Times New Roman"/>
          <w:sz w:val="24"/>
          <w:szCs w:val="24"/>
          <w:lang w:val="en-US" w:eastAsia="zh-CN"/>
        </w:rPr>
        <w:t>Newborn screening (NBS) for SCD has proven to be an effective tool in reducing early mortality and improving long-term outcomes by enabling early intervention, including prophylactic penicillin administration, immunizations, and parental education (</w:t>
      </w:r>
      <w:proofErr w:type="spellStart"/>
      <w:r>
        <w:rPr>
          <w:rFonts w:eastAsia="SimSun" w:cs="Times New Roman"/>
          <w:sz w:val="24"/>
          <w:szCs w:val="24"/>
          <w:lang w:val="en-US" w:eastAsia="zh-CN"/>
        </w:rPr>
        <w:t>Tshilolo</w:t>
      </w:r>
      <w:proofErr w:type="spellEnd"/>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2009). However, the implementation of NBS programs faces numerous barriers, including limited health infrastructure, lack of policy support, and low community awareness and acceptance—especially in rural areas</w:t>
      </w:r>
      <w:r w:rsidR="00B13241">
        <w:rPr>
          <w:rFonts w:eastAsia="SimSun" w:cs="Times New Roman"/>
          <w:sz w:val="24"/>
          <w:szCs w:val="24"/>
          <w:lang w:val="en-US" w:eastAsia="zh-CN"/>
        </w:rPr>
        <w:t xml:space="preserve"> [17-20]</w:t>
      </w:r>
      <w:r>
        <w:rPr>
          <w:rFonts w:eastAsia="SimSun" w:cs="Times New Roman"/>
          <w:sz w:val="24"/>
          <w:szCs w:val="24"/>
          <w:lang w:val="en-US" w:eastAsia="zh-CN"/>
        </w:rPr>
        <w:t>.</w:t>
      </w:r>
    </w:p>
    <w:p w14:paraId="2989626F" w14:textId="77777777" w:rsidR="00B529D5" w:rsidRDefault="00895EA4">
      <w:pPr>
        <w:spacing w:after="200" w:line="480" w:lineRule="auto"/>
        <w:jc w:val="both"/>
        <w:rPr>
          <w:b/>
          <w:sz w:val="12"/>
          <w:szCs w:val="12"/>
        </w:rPr>
      </w:pPr>
      <w:r>
        <w:rPr>
          <w:rFonts w:eastAsia="SimSun" w:cs="Times New Roman"/>
          <w:sz w:val="24"/>
          <w:szCs w:val="24"/>
          <w:lang w:val="en-US" w:eastAsia="zh-CN"/>
        </w:rPr>
        <w:t>Studies conducted in Kenya and Nigeria highlight that maternal knowledge and acceptance of newborn screening significantly influence the success of such programs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2014; Wambua et al., 2015). Both studies focused on rural populations and found that while mothers were generally supportive of newborn screening once informed, baseline knowledge of SCD and its implications was low. These findings underscore the need for enhanced community-level education as a foundational component of newborn screening implementation. Consequently, this systematic review seeks to explore the dual approach of </w:t>
      </w:r>
      <w:r>
        <w:rPr>
          <w:rFonts w:eastAsia="SimSun" w:cs="Times New Roman"/>
          <w:sz w:val="24"/>
          <w:szCs w:val="24"/>
          <w:lang w:val="en-US" w:eastAsia="zh-CN"/>
        </w:rPr>
        <w:lastRenderedPageBreak/>
        <w:t>newborn screening and community-based education as complementary strategies to address the high burden of SCD.</w:t>
      </w:r>
    </w:p>
    <w:p w14:paraId="1691F4C0" w14:textId="77777777" w:rsidR="00B529D5" w:rsidRDefault="00895EA4">
      <w:pPr>
        <w:spacing w:after="200" w:line="480" w:lineRule="auto"/>
        <w:jc w:val="both"/>
        <w:rPr>
          <w:b/>
          <w:sz w:val="12"/>
          <w:szCs w:val="12"/>
        </w:rPr>
      </w:pPr>
      <w:r>
        <w:rPr>
          <w:rFonts w:eastAsia="SimSun" w:cs="Times New Roman"/>
          <w:b/>
          <w:bCs/>
          <w:sz w:val="24"/>
          <w:szCs w:val="24"/>
          <w:lang w:val="en-US" w:eastAsia="zh-CN"/>
        </w:rPr>
        <w:t>2. Materials and Methods</w:t>
      </w:r>
    </w:p>
    <w:p w14:paraId="7867149B" w14:textId="77777777" w:rsidR="00B529D5" w:rsidRDefault="00895EA4">
      <w:pPr>
        <w:spacing w:after="200" w:line="480" w:lineRule="auto"/>
        <w:jc w:val="both"/>
        <w:rPr>
          <w:b/>
          <w:sz w:val="12"/>
          <w:szCs w:val="12"/>
        </w:rPr>
      </w:pPr>
      <w:r>
        <w:rPr>
          <w:rFonts w:eastAsia="SimSun" w:cs="Times New Roman"/>
          <w:sz w:val="24"/>
          <w:szCs w:val="24"/>
          <w:lang w:val="en-US" w:eastAsia="zh-CN"/>
        </w:rPr>
        <w:t>This systematic review was conducted following the PRISMA (Preferred Reporting Items for Systematic Reviews and Meta-Analyses) 2020 guidelines. The objective was to identify, synthesize, and report evidence on newborn screening (NBS) for sickle cell disease (SCD) with a specific focus on community-level awareness and engagement in Nigeria.</w:t>
      </w:r>
    </w:p>
    <w:p w14:paraId="258E7A9E" w14:textId="77777777" w:rsidR="00B529D5" w:rsidRDefault="00895EA4">
      <w:pPr>
        <w:spacing w:after="200" w:line="480" w:lineRule="auto"/>
        <w:jc w:val="both"/>
        <w:rPr>
          <w:b/>
          <w:sz w:val="12"/>
          <w:szCs w:val="12"/>
        </w:rPr>
      </w:pPr>
      <w:r>
        <w:rPr>
          <w:rFonts w:eastAsia="SimSun" w:cs="Times New Roman"/>
          <w:b/>
          <w:bCs/>
          <w:sz w:val="24"/>
          <w:szCs w:val="24"/>
          <w:lang w:val="en-US" w:eastAsia="zh-CN"/>
        </w:rPr>
        <w:t>2.1. Search Strategy</w:t>
      </w:r>
    </w:p>
    <w:p w14:paraId="6602C00F" w14:textId="77777777" w:rsidR="00B529D5" w:rsidRDefault="00895EA4">
      <w:pPr>
        <w:spacing w:after="200" w:line="480" w:lineRule="auto"/>
        <w:jc w:val="both"/>
        <w:rPr>
          <w:rFonts w:eastAsia="SimSun" w:cs="Times New Roman"/>
          <w:sz w:val="24"/>
          <w:szCs w:val="24"/>
          <w:lang w:val="en-US" w:eastAsia="zh-CN"/>
        </w:rPr>
      </w:pPr>
      <w:r>
        <w:rPr>
          <w:rFonts w:eastAsia="SimSun" w:cs="Times New Roman"/>
          <w:sz w:val="24"/>
          <w:szCs w:val="24"/>
          <w:lang w:val="en-US" w:eastAsia="zh-CN"/>
        </w:rPr>
        <w:t>A structured search was performed using three primary databases: PubMed, Google Scholar, and ResearchGate, covering literature from January 2000 to March 2024. The following key search terms and their combinations were used:</w:t>
      </w:r>
    </w:p>
    <w:p w14:paraId="128EF64A" w14:textId="77777777" w:rsidR="00B529D5" w:rsidRDefault="00895EA4">
      <w:pPr>
        <w:spacing w:after="200" w:line="480" w:lineRule="auto"/>
        <w:jc w:val="both"/>
        <w:rPr>
          <w:b/>
          <w:sz w:val="12"/>
          <w:szCs w:val="12"/>
        </w:rPr>
      </w:pPr>
      <w:r>
        <w:rPr>
          <w:rFonts w:eastAsia="SimSun" w:cs="Times New Roman"/>
          <w:sz w:val="24"/>
          <w:szCs w:val="24"/>
          <w:lang w:val="en-US" w:eastAsia="zh-CN"/>
        </w:rPr>
        <w:t>("Sickle Cell Disease" OR "SCD") AND ("newborn screening" OR "NBS") AND ("community awareness" OR "public engagement" OR "maternal knowledge") AND ("Nigeria" OR "Sub-Saharan Africa").</w:t>
      </w:r>
    </w:p>
    <w:p w14:paraId="118B2B82" w14:textId="77777777" w:rsidR="00B529D5" w:rsidRDefault="00895EA4">
      <w:pPr>
        <w:spacing w:after="200" w:line="480" w:lineRule="auto"/>
        <w:jc w:val="both"/>
        <w:rPr>
          <w:b/>
          <w:sz w:val="12"/>
          <w:szCs w:val="12"/>
        </w:rPr>
      </w:pPr>
      <w:r>
        <w:rPr>
          <w:rFonts w:eastAsia="SimSun" w:cs="Times New Roman"/>
          <w:b/>
          <w:bCs/>
          <w:sz w:val="24"/>
          <w:szCs w:val="24"/>
          <w:lang w:val="en-US" w:eastAsia="zh-CN"/>
        </w:rPr>
        <w:t>2.2. Eligibility Criteria</w:t>
      </w:r>
    </w:p>
    <w:p w14:paraId="2310DDAA" w14:textId="77777777" w:rsidR="00B529D5" w:rsidRDefault="00895EA4">
      <w:pPr>
        <w:spacing w:after="200" w:line="480" w:lineRule="auto"/>
        <w:jc w:val="both"/>
        <w:rPr>
          <w:b/>
          <w:sz w:val="12"/>
          <w:szCs w:val="12"/>
        </w:rPr>
      </w:pPr>
      <w:r>
        <w:rPr>
          <w:rFonts w:eastAsia="SimSun" w:cs="Times New Roman"/>
          <w:sz w:val="24"/>
          <w:szCs w:val="24"/>
          <w:lang w:val="en-US" w:eastAsia="zh-CN"/>
        </w:rPr>
        <w:t>This review included comprehensive literature review that addressed newborn screening (NBS) for sickle cell disease (SCD</w:t>
      </w:r>
      <w:proofErr w:type="gramStart"/>
      <w:r>
        <w:rPr>
          <w:rFonts w:eastAsia="SimSun" w:cs="Times New Roman"/>
          <w:sz w:val="24"/>
          <w:szCs w:val="24"/>
          <w:lang w:val="en-US" w:eastAsia="zh-CN"/>
        </w:rPr>
        <w:t>),  community</w:t>
      </w:r>
      <w:proofErr w:type="gramEnd"/>
      <w:r>
        <w:rPr>
          <w:rFonts w:eastAsia="SimSun" w:cs="Times New Roman"/>
          <w:sz w:val="24"/>
          <w:szCs w:val="24"/>
          <w:lang w:val="en-US" w:eastAsia="zh-CN"/>
        </w:rPr>
        <w:t xml:space="preserve"> awareness and engagement in Nigeria or similar sub-Saharan African settings. Inclusion criteria were: studies published in English between January 2000 and March 2024; studies focusing on maternal knowledge, public health education, community participation related to SCD and NBS; and studies reporting original data. Studies were excluded if they focused solely on clinical treatment or laboratory diagnostics, lacked relevance to community-level engagement.</w:t>
      </w:r>
    </w:p>
    <w:p w14:paraId="59148884" w14:textId="77777777" w:rsidR="00B529D5" w:rsidRDefault="00B529D5">
      <w:pPr>
        <w:spacing w:after="200" w:line="480" w:lineRule="auto"/>
        <w:jc w:val="both"/>
        <w:rPr>
          <w:b/>
          <w:sz w:val="12"/>
          <w:szCs w:val="12"/>
        </w:rPr>
      </w:pPr>
    </w:p>
    <w:p w14:paraId="03C60DEB" w14:textId="77777777" w:rsidR="00B529D5" w:rsidRDefault="00B529D5">
      <w:pPr>
        <w:spacing w:after="200" w:line="480" w:lineRule="auto"/>
        <w:jc w:val="both"/>
        <w:rPr>
          <w:b/>
          <w:sz w:val="12"/>
          <w:szCs w:val="12"/>
        </w:rPr>
      </w:pPr>
    </w:p>
    <w:p w14:paraId="60109B4E" w14:textId="77777777" w:rsidR="00B529D5" w:rsidRDefault="00B529D5">
      <w:pPr>
        <w:spacing w:after="200" w:line="480" w:lineRule="auto"/>
        <w:jc w:val="both"/>
        <w:rPr>
          <w:b/>
          <w:sz w:val="12"/>
          <w:szCs w:val="12"/>
        </w:rPr>
      </w:pPr>
    </w:p>
    <w:p w14:paraId="7822DC3E" w14:textId="77777777" w:rsidR="00B529D5" w:rsidRDefault="00895EA4">
      <w:pPr>
        <w:spacing w:after="200" w:line="480" w:lineRule="auto"/>
        <w:jc w:val="both"/>
        <w:rPr>
          <w:b/>
          <w:sz w:val="12"/>
          <w:szCs w:val="12"/>
        </w:rPr>
      </w:pPr>
      <w:r>
        <w:rPr>
          <w:rFonts w:eastAsia="SimSun" w:cs="Times New Roman"/>
          <w:b/>
          <w:bCs/>
          <w:sz w:val="24"/>
          <w:szCs w:val="24"/>
          <w:lang w:val="en-US" w:eastAsia="zh-CN"/>
        </w:rPr>
        <w:lastRenderedPageBreak/>
        <w:t>2.3. Selection Process</w:t>
      </w:r>
    </w:p>
    <w:p w14:paraId="6C683FB7" w14:textId="77777777" w:rsidR="00B529D5" w:rsidRDefault="00895EA4">
      <w:pPr>
        <w:spacing w:after="200" w:line="480" w:lineRule="auto"/>
        <w:jc w:val="both"/>
        <w:rPr>
          <w:b/>
          <w:sz w:val="12"/>
          <w:szCs w:val="12"/>
        </w:rPr>
      </w:pPr>
      <w:r>
        <w:rPr>
          <w:rFonts w:eastAsia="SimSun" w:cs="Times New Roman"/>
          <w:sz w:val="24"/>
          <w:szCs w:val="24"/>
          <w:lang w:val="en-US" w:eastAsia="zh-CN"/>
        </w:rPr>
        <w:t>All identified records were imported into a reference management tool. Duplicates were removed. Two independent reviewers screened titles and abstracts against the eligibility criteria. Full texts were retrieved for all potentially relevant studies. Disagreements were resolved through discussion. A total of 468 studies were initially identified, 380 were screened, 70 full-texts were assessed, and 25 studies were included in the final synthesis.</w:t>
      </w:r>
    </w:p>
    <w:p w14:paraId="76613FCC" w14:textId="77777777" w:rsidR="00B529D5" w:rsidRDefault="00895EA4">
      <w:pPr>
        <w:spacing w:after="200" w:line="480" w:lineRule="auto"/>
        <w:jc w:val="both"/>
        <w:rPr>
          <w:b/>
          <w:sz w:val="12"/>
          <w:szCs w:val="12"/>
        </w:rPr>
      </w:pPr>
      <w:r>
        <w:rPr>
          <w:rFonts w:eastAsia="SimSun" w:cs="Times New Roman"/>
          <w:b/>
          <w:bCs/>
          <w:sz w:val="24"/>
          <w:szCs w:val="24"/>
          <w:lang w:val="en-US" w:eastAsia="zh-CN"/>
        </w:rPr>
        <w:t>2.4. Data Collection Process</w:t>
      </w:r>
    </w:p>
    <w:p w14:paraId="0BD959BE" w14:textId="77777777" w:rsidR="00B529D5" w:rsidRDefault="00895EA4">
      <w:pPr>
        <w:spacing w:after="200" w:line="480" w:lineRule="auto"/>
        <w:jc w:val="both"/>
        <w:rPr>
          <w:b/>
          <w:sz w:val="12"/>
          <w:szCs w:val="12"/>
        </w:rPr>
      </w:pPr>
      <w:r>
        <w:rPr>
          <w:rFonts w:eastAsia="SimSun" w:cs="Times New Roman"/>
          <w:sz w:val="24"/>
          <w:szCs w:val="24"/>
          <w:lang w:val="en-US" w:eastAsia="zh-CN"/>
        </w:rPr>
        <w:t>A standardized data extraction form was used to collect relevant data from each study. Extracted information included: author(s), year of publication, study location, population and sample characteristics, study design, data collection methods, and main findings related to SCD awareness, screening uptake, and community-level factors.</w:t>
      </w:r>
    </w:p>
    <w:p w14:paraId="2C547F67" w14:textId="77777777" w:rsidR="00B529D5" w:rsidRDefault="00895EA4">
      <w:pPr>
        <w:spacing w:after="200" w:line="480" w:lineRule="auto"/>
        <w:jc w:val="both"/>
        <w:rPr>
          <w:b/>
          <w:sz w:val="12"/>
          <w:szCs w:val="12"/>
        </w:rPr>
      </w:pPr>
      <w:r>
        <w:rPr>
          <w:rFonts w:eastAsia="SimSun" w:cs="Times New Roman"/>
          <w:b/>
          <w:bCs/>
          <w:sz w:val="24"/>
          <w:szCs w:val="24"/>
          <w:lang w:val="en-US" w:eastAsia="zh-CN"/>
        </w:rPr>
        <w:t>2.5. Study Risk of Bias Assessment</w:t>
      </w:r>
    </w:p>
    <w:p w14:paraId="40A860CB" w14:textId="77777777" w:rsidR="00B529D5" w:rsidRDefault="00895EA4">
      <w:pPr>
        <w:spacing w:after="200" w:line="480" w:lineRule="auto"/>
        <w:jc w:val="both"/>
        <w:rPr>
          <w:b/>
          <w:sz w:val="12"/>
          <w:szCs w:val="12"/>
        </w:rPr>
      </w:pPr>
      <w:r>
        <w:rPr>
          <w:rFonts w:eastAsia="SimSun" w:cs="Times New Roman"/>
          <w:sz w:val="24"/>
          <w:szCs w:val="24"/>
          <w:lang w:val="en-US" w:eastAsia="zh-CN"/>
        </w:rPr>
        <w:t xml:space="preserve">Qualitative studies were appraised using the CASP (Critical Appraisal Skills </w:t>
      </w:r>
      <w:proofErr w:type="spellStart"/>
      <w:r>
        <w:rPr>
          <w:rFonts w:eastAsia="SimSun" w:cs="Times New Roman"/>
          <w:sz w:val="24"/>
          <w:szCs w:val="24"/>
          <w:lang w:val="en-US" w:eastAsia="zh-CN"/>
        </w:rPr>
        <w:t>Programme</w:t>
      </w:r>
      <w:proofErr w:type="spellEnd"/>
      <w:r>
        <w:rPr>
          <w:rFonts w:eastAsia="SimSun" w:cs="Times New Roman"/>
          <w:sz w:val="24"/>
          <w:szCs w:val="24"/>
          <w:lang w:val="en-US" w:eastAsia="zh-CN"/>
        </w:rPr>
        <w:t>) checklist, while quantitative studies were assessed using the STROBE (Strengthening the Reporting of Observational Studies in Epidemiology) tool. Risk of bias was independently evaluated by two reviewers. Studies were included if they met a minimum quality threshold based on clear objectives, methodological rigor, and relevance to the review topic.</w:t>
      </w:r>
    </w:p>
    <w:p w14:paraId="16962570" w14:textId="77777777" w:rsidR="00B529D5" w:rsidRDefault="00895EA4">
      <w:pPr>
        <w:spacing w:after="200" w:line="480" w:lineRule="auto"/>
        <w:jc w:val="both"/>
        <w:rPr>
          <w:b/>
          <w:sz w:val="12"/>
          <w:szCs w:val="12"/>
        </w:rPr>
      </w:pPr>
      <w:r>
        <w:rPr>
          <w:rFonts w:eastAsia="SimSun" w:cs="Times New Roman"/>
          <w:b/>
          <w:bCs/>
          <w:sz w:val="24"/>
          <w:szCs w:val="24"/>
          <w:lang w:val="en-US" w:eastAsia="zh-CN"/>
        </w:rPr>
        <w:t>2.6. Synthesis Methods</w:t>
      </w:r>
    </w:p>
    <w:p w14:paraId="1926FD6D" w14:textId="77777777" w:rsidR="00B529D5" w:rsidRDefault="00895EA4">
      <w:pPr>
        <w:spacing w:after="200" w:line="480" w:lineRule="auto"/>
        <w:jc w:val="both"/>
        <w:rPr>
          <w:b/>
          <w:sz w:val="12"/>
          <w:szCs w:val="12"/>
        </w:rPr>
      </w:pPr>
      <w:r>
        <w:rPr>
          <w:rFonts w:eastAsia="SimSun" w:cs="Times New Roman"/>
          <w:sz w:val="24"/>
          <w:szCs w:val="24"/>
          <w:lang w:val="en-US" w:eastAsia="zh-CN"/>
        </w:rPr>
        <w:t>Due to the heterogeneity in study designs and outcomes, a narrative synthesis approach was employed. Data were grouped thematically according to awareness levels, acceptance of NBS, community-level barriers, and educational interventions. No statistical pooling or meta-analysis was conducted. Findings were synthesized to provide a contextual understanding of the state of NBS awareness and engagement across Nigeria.</w:t>
      </w:r>
    </w:p>
    <w:p w14:paraId="07D4F9DF" w14:textId="77777777" w:rsidR="00B529D5" w:rsidRDefault="00B529D5">
      <w:pPr>
        <w:spacing w:after="200" w:line="480" w:lineRule="auto"/>
        <w:jc w:val="both"/>
        <w:rPr>
          <w:b/>
          <w:sz w:val="12"/>
          <w:szCs w:val="12"/>
        </w:rPr>
      </w:pPr>
    </w:p>
    <w:p w14:paraId="10828721" w14:textId="77777777" w:rsidR="00B529D5" w:rsidRDefault="00895EA4">
      <w:pPr>
        <w:spacing w:after="200" w:line="480" w:lineRule="auto"/>
        <w:jc w:val="both"/>
        <w:rPr>
          <w:b/>
          <w:sz w:val="12"/>
          <w:szCs w:val="12"/>
        </w:rPr>
      </w:pPr>
      <w:r>
        <w:rPr>
          <w:rFonts w:eastAsia="SimSun" w:cs="Times New Roman"/>
          <w:b/>
          <w:bCs/>
          <w:sz w:val="24"/>
          <w:szCs w:val="24"/>
          <w:lang w:val="en-US" w:eastAsia="zh-CN"/>
        </w:rPr>
        <w:t>3. Results</w:t>
      </w:r>
    </w:p>
    <w:p w14:paraId="7A86A96B" w14:textId="77777777" w:rsidR="00B529D5" w:rsidRDefault="00895EA4">
      <w:pPr>
        <w:spacing w:after="200" w:line="480" w:lineRule="auto"/>
        <w:jc w:val="both"/>
        <w:rPr>
          <w:b/>
          <w:sz w:val="12"/>
          <w:szCs w:val="12"/>
        </w:rPr>
      </w:pPr>
      <w:r>
        <w:rPr>
          <w:rFonts w:eastAsia="SimSun" w:cs="Times New Roman"/>
          <w:b/>
          <w:bCs/>
          <w:sz w:val="24"/>
          <w:szCs w:val="24"/>
          <w:lang w:val="en-US" w:eastAsia="zh-CN"/>
        </w:rPr>
        <w:t>3.1. Study Selection</w:t>
      </w:r>
    </w:p>
    <w:p w14:paraId="1B1E6310" w14:textId="77777777" w:rsidR="00B529D5" w:rsidRDefault="00895EA4">
      <w:pPr>
        <w:spacing w:after="200" w:line="480" w:lineRule="auto"/>
        <w:jc w:val="both"/>
        <w:rPr>
          <w:b/>
          <w:sz w:val="12"/>
          <w:szCs w:val="12"/>
        </w:rPr>
      </w:pPr>
      <w:r>
        <w:rPr>
          <w:rFonts w:eastAsia="SimSun" w:cs="Times New Roman"/>
          <w:sz w:val="24"/>
          <w:szCs w:val="24"/>
          <w:lang w:val="en-US" w:eastAsia="zh-CN"/>
        </w:rPr>
        <w:t>A total of 468 records were identified from three major databases—PubMed, Google Scholar, and ResearchGate. After removing 88 duplicates, 380 records were screened by title and abstract. Of these, 70 full-text articles were assessed for eligibility, and 25 studies met the inclusion criteria and were included in the final synthesis. The selection process is illustrated in the PRISMA flow diagram (Figure 1)</w:t>
      </w:r>
    </w:p>
    <w:p w14:paraId="77CB1395" w14:textId="77777777" w:rsidR="00B529D5" w:rsidRDefault="00B529D5">
      <w:pPr>
        <w:spacing w:after="0" w:line="240" w:lineRule="auto"/>
        <w:rPr>
          <w:b/>
          <w:sz w:val="12"/>
          <w:szCs w:val="12"/>
        </w:rPr>
      </w:pPr>
    </w:p>
    <w:p w14:paraId="44BB32DD" w14:textId="77777777" w:rsidR="00B529D5" w:rsidRDefault="00895EA4">
      <w:pPr>
        <w:spacing w:after="0" w:line="240" w:lineRule="auto"/>
      </w:pPr>
      <w:r>
        <w:rPr>
          <w:noProof/>
        </w:rPr>
        <mc:AlternateContent>
          <mc:Choice Requires="wps">
            <w:drawing>
              <wp:anchor distT="0" distB="0" distL="0" distR="0" simplePos="0" relativeHeight="27" behindDoc="0" locked="0" layoutInCell="1" allowOverlap="1" wp14:anchorId="386E104C" wp14:editId="7173F64B">
                <wp:simplePos x="0" y="0"/>
                <wp:positionH relativeFrom="column">
                  <wp:posOffset>120701</wp:posOffset>
                </wp:positionH>
                <wp:positionV relativeFrom="paragraph">
                  <wp:posOffset>76937</wp:posOffset>
                </wp:positionV>
                <wp:extent cx="1455725" cy="262890"/>
                <wp:effectExtent l="0" t="0" r="11430" b="22860"/>
                <wp:wrapNone/>
                <wp:docPr id="1026" name="Flowchart: Alternate Process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725"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E104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8" o:spid="_x0000_s1026" type="#_x0000_t176" style="position:absolute;margin-left:9.5pt;margin-top:6.05pt;width:114.6pt;height:20.7pt;z-index:2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" fillcolor="#ffc000" strokecolor="#ba8c00" strokeweight="1pt">
                <v:path arrowok="t"/>
                <v:textbox>
                  <w:txbxContent>
                    <w:p w14:paraId="79E38EC2"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Previous studies</w:t>
                      </w:r>
                    </w:p>
                  </w:txbxContent>
                </v:textbox>
              </v:shape>
            </w:pict>
          </mc:Fallback>
        </mc:AlternateContent>
      </w:r>
      <w:r>
        <w:rPr>
          <w:noProof/>
        </w:rPr>
        <mc:AlternateContent>
          <mc:Choice Requires="wps">
            <w:drawing>
              <wp:anchor distT="0" distB="0" distL="0" distR="0" simplePos="0" relativeHeight="15" behindDoc="0" locked="0" layoutInCell="1" allowOverlap="1" wp14:anchorId="08BC8E6A" wp14:editId="44B03307">
                <wp:simplePos x="0" y="0"/>
                <wp:positionH relativeFrom="column">
                  <wp:posOffset>1746580</wp:posOffset>
                </wp:positionH>
                <wp:positionV relativeFrom="paragraph">
                  <wp:posOffset>73660</wp:posOffset>
                </wp:positionV>
                <wp:extent cx="4344669" cy="262890"/>
                <wp:effectExtent l="0" t="0" r="17780" b="22860"/>
                <wp:wrapNone/>
                <wp:docPr id="1027" name="Flowchart: Alternate Process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4669" cy="262890"/>
                        </a:xfrm>
                        <a:prstGeom prst="flowChartAlternateProcess">
                          <a:avLst/>
                        </a:prstGeom>
                        <a:solidFill>
                          <a:srgbClr val="FFC000"/>
                        </a:solidFill>
                        <a:ln w="12700" cap="flat" cmpd="sng">
                          <a:solidFill>
                            <a:srgbClr val="BA8C00"/>
                          </a:solidFill>
                          <a:prstDash val="solid"/>
                          <a:miter/>
                          <a:headEnd type="none" w="med" len="med"/>
                          <a:tailEnd type="none" w="med" len="med"/>
                        </a:ln>
                      </wps:spPr>
                      <wps:txb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C8E6A" id="Flowchart: Alternate Process 29" o:spid="_x0000_s1027" type="#_x0000_t176" style="position:absolute;margin-left:137.55pt;margin-top:5.8pt;width:342.1pt;height:20.7pt;z-index:1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" fillcolor="#ffc000" strokecolor="#ba8c00" strokeweight="1pt">
                <v:path arrowok="t"/>
                <v:textbox>
                  <w:txbxContent>
                    <w:p w14:paraId="5E8A824C"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 of new studies via databases and registers</w:t>
                      </w:r>
                    </w:p>
                  </w:txbxContent>
                </v:textbox>
              </v:shape>
            </w:pict>
          </mc:Fallback>
        </mc:AlternateContent>
      </w:r>
    </w:p>
    <w:p w14:paraId="5C9B2C50" w14:textId="77777777" w:rsidR="00B529D5" w:rsidRDefault="00B529D5">
      <w:pPr>
        <w:spacing w:after="0" w:line="240" w:lineRule="auto"/>
      </w:pPr>
    </w:p>
    <w:p w14:paraId="47FFE5B5" w14:textId="77777777" w:rsidR="00B529D5" w:rsidRDefault="00895EA4">
      <w:pPr>
        <w:spacing w:after="0" w:line="240" w:lineRule="auto"/>
      </w:pPr>
      <w:r>
        <w:rPr>
          <w:noProof/>
        </w:rPr>
        <mc:AlternateContent>
          <mc:Choice Requires="wps">
            <w:drawing>
              <wp:anchor distT="0" distB="0" distL="0" distR="0" simplePos="0" relativeHeight="25" behindDoc="0" locked="0" layoutInCell="1" allowOverlap="1" wp14:anchorId="36A26810" wp14:editId="0F7F0375">
                <wp:simplePos x="0" y="0"/>
                <wp:positionH relativeFrom="column">
                  <wp:posOffset>113386</wp:posOffset>
                </wp:positionH>
                <wp:positionV relativeFrom="paragraph">
                  <wp:posOffset>79756</wp:posOffset>
                </wp:positionV>
                <wp:extent cx="1455420" cy="1250899"/>
                <wp:effectExtent l="0" t="0" r="11430" b="26035"/>
                <wp:wrapNone/>
                <wp:docPr id="10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55420" cy="1250899"/>
                        </a:xfrm>
                        <a:prstGeom prst="rect">
                          <a:avLst/>
                        </a:prstGeom>
                        <a:ln w="12700" cap="flat" cmpd="sng">
                          <a:solidFill>
                            <a:srgbClr val="000000"/>
                          </a:solidFill>
                          <a:prstDash val="solid"/>
                          <a:miter/>
                          <a:headEnd type="none" w="med" len="med"/>
                          <a:tailEnd type="none" w="med" len="med"/>
                        </a:ln>
                      </wps:spPr>
                      <wps:txb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26810" id="Rectangle 20" o:spid="_x0000_s1028" style="position:absolute;margin-left:8.95pt;margin-top:6.3pt;width:114.6pt;height:98.5pt;z-index:2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" filled="f" strokeweight="1pt">
                <v:path arrowok="t"/>
                <v:textbox>
                  <w:txbxContent>
                    <w:p w14:paraId="09354B9D"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Studies included in previous version of review (n = </w:t>
                      </w:r>
                      <w:r>
                        <w:rPr>
                          <w:rFonts w:ascii="Arial" w:hAnsi="Arial" w:cs="Arial"/>
                          <w:color w:val="000000"/>
                          <w:sz w:val="18"/>
                          <w:szCs w:val="20"/>
                          <w:lang w:val="en-US"/>
                        </w:rPr>
                        <w:t>25)</w:t>
                      </w:r>
                    </w:p>
                  </w:txbxContent>
                </v:textbox>
              </v:rect>
            </w:pict>
          </mc:Fallback>
        </mc:AlternateContent>
      </w:r>
      <w:r>
        <w:rPr>
          <w:noProof/>
        </w:rPr>
        <mc:AlternateContent>
          <mc:Choice Requires="wps">
            <w:drawing>
              <wp:anchor distT="0" distB="0" distL="0" distR="0" simplePos="0" relativeHeight="2" behindDoc="0" locked="0" layoutInCell="1" allowOverlap="1" wp14:anchorId="16B46A96" wp14:editId="2269B01F">
                <wp:simplePos x="0" y="0"/>
                <wp:positionH relativeFrom="column">
                  <wp:posOffset>1766897</wp:posOffset>
                </wp:positionH>
                <wp:positionV relativeFrom="paragraph">
                  <wp:posOffset>76835</wp:posOffset>
                </wp:positionV>
                <wp:extent cx="1887219" cy="1243330"/>
                <wp:effectExtent l="0" t="0" r="17780" b="13970"/>
                <wp:wrapNone/>
                <wp:docPr id="102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1243330"/>
                        </a:xfrm>
                        <a:prstGeom prst="rect">
                          <a:avLst/>
                        </a:prstGeom>
                        <a:ln w="12700" cap="flat" cmpd="sng">
                          <a:solidFill>
                            <a:srgbClr val="000000"/>
                          </a:solidFill>
                          <a:prstDash val="solid"/>
                          <a:miter/>
                          <a:headEnd type="none" w="med" len="med"/>
                          <a:tailEnd type="none" w="med" len="med"/>
                        </a:ln>
                      </wps:spPr>
                      <wps:txb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proofErr w:type="spellStart"/>
                            <w:r>
                              <w:rPr>
                                <w:rFonts w:ascii="Arial" w:hAnsi="Arial" w:cs="Arial"/>
                                <w:color w:val="000000"/>
                                <w:sz w:val="18"/>
                                <w:szCs w:val="20"/>
                                <w:lang w:val="en-US"/>
                              </w:rPr>
                              <w:t>esearch</w:t>
                            </w:r>
                            <w:proofErr w:type="spellEnd"/>
                            <w:r>
                              <w:rPr>
                                <w:rFonts w:ascii="Arial" w:hAnsi="Arial" w:cs="Arial"/>
                                <w:color w:val="000000"/>
                                <w:sz w:val="18"/>
                                <w:szCs w:val="20"/>
                                <w:lang w:val="en-US"/>
                              </w:rPr>
                              <w:t xml:space="preserve">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46A96" id="Rectangle 1" o:spid="_x0000_s1029" style="position:absolute;margin-left:139.15pt;margin-top:6.05pt;width:148.6pt;height:97.9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" filled="f" strokeweight="1pt">
                <v:path arrowok="t"/>
                <v:textbox>
                  <w:txbxContent>
                    <w:p w14:paraId="604D5D0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identified from:</w:t>
                      </w:r>
                      <w:r>
                        <w:rPr>
                          <w:rFonts w:ascii="Arial" w:hAnsi="Arial" w:cs="Arial"/>
                          <w:color w:val="000000"/>
                          <w:sz w:val="18"/>
                          <w:szCs w:val="20"/>
                          <w:lang w:val="en-US"/>
                        </w:rPr>
                        <w:t xml:space="preserve"> </w:t>
                      </w:r>
                    </w:p>
                    <w:p w14:paraId="12F7D02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PubMed </w:t>
                      </w:r>
                      <w:r>
                        <w:rPr>
                          <w:rFonts w:ascii="Arial" w:hAnsi="Arial" w:cs="Arial"/>
                          <w:color w:val="000000"/>
                          <w:sz w:val="18"/>
                          <w:szCs w:val="20"/>
                        </w:rPr>
                        <w:t xml:space="preserve">(n = </w:t>
                      </w:r>
                      <w:r>
                        <w:rPr>
                          <w:rFonts w:ascii="Arial" w:hAnsi="Arial" w:cs="Arial"/>
                          <w:color w:val="000000"/>
                          <w:sz w:val="18"/>
                          <w:szCs w:val="20"/>
                          <w:lang w:val="en-US"/>
                        </w:rPr>
                        <w:t>180</w:t>
                      </w:r>
                      <w:r>
                        <w:rPr>
                          <w:rFonts w:ascii="Arial" w:hAnsi="Arial" w:cs="Arial"/>
                          <w:color w:val="000000"/>
                          <w:sz w:val="18"/>
                          <w:szCs w:val="20"/>
                        </w:rPr>
                        <w:t>)</w:t>
                      </w:r>
                    </w:p>
                    <w:p w14:paraId="47F961D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R</w:t>
                      </w:r>
                      <w:proofErr w:type="spellStart"/>
                      <w:r>
                        <w:rPr>
                          <w:rFonts w:ascii="Arial" w:hAnsi="Arial" w:cs="Arial"/>
                          <w:color w:val="000000"/>
                          <w:sz w:val="18"/>
                          <w:szCs w:val="20"/>
                          <w:lang w:val="en-US"/>
                        </w:rPr>
                        <w:t>esearch</w:t>
                      </w:r>
                      <w:proofErr w:type="spellEnd"/>
                      <w:r>
                        <w:rPr>
                          <w:rFonts w:ascii="Arial" w:hAnsi="Arial" w:cs="Arial"/>
                          <w:color w:val="000000"/>
                          <w:sz w:val="18"/>
                          <w:szCs w:val="20"/>
                          <w:lang w:val="en-US"/>
                        </w:rPr>
                        <w:t xml:space="preserve"> gate </w:t>
                      </w:r>
                      <w:r>
                        <w:rPr>
                          <w:rFonts w:ascii="Arial" w:hAnsi="Arial" w:cs="Arial"/>
                          <w:color w:val="000000"/>
                          <w:sz w:val="18"/>
                          <w:szCs w:val="20"/>
                        </w:rPr>
                        <w:t xml:space="preserve">(n = </w:t>
                      </w:r>
                      <w:r>
                        <w:rPr>
                          <w:rFonts w:ascii="Arial" w:hAnsi="Arial" w:cs="Arial"/>
                          <w:color w:val="000000"/>
                          <w:sz w:val="18"/>
                          <w:szCs w:val="20"/>
                          <w:lang w:val="en-US"/>
                        </w:rPr>
                        <w:t>128</w:t>
                      </w:r>
                      <w:r>
                        <w:rPr>
                          <w:rFonts w:ascii="Arial" w:hAnsi="Arial" w:cs="Arial"/>
                          <w:color w:val="000000"/>
                          <w:sz w:val="18"/>
                          <w:szCs w:val="20"/>
                        </w:rPr>
                        <w:t>)</w:t>
                      </w:r>
                    </w:p>
                    <w:p w14:paraId="452BC16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Google Scholar (n = 260)</w:t>
                      </w:r>
                    </w:p>
                    <w:p w14:paraId="3AA8A5FA"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Total data identified = 468</w:t>
                      </w:r>
                    </w:p>
                  </w:txbxContent>
                </v:textbox>
              </v:rect>
            </w:pict>
          </mc:Fallback>
        </mc:AlternateContent>
      </w:r>
      <w:r>
        <w:rPr>
          <w:noProof/>
        </w:rPr>
        <mc:AlternateContent>
          <mc:Choice Requires="wps">
            <w:drawing>
              <wp:anchor distT="0" distB="0" distL="0" distR="0" simplePos="0" relativeHeight="3" behindDoc="0" locked="0" layoutInCell="1" allowOverlap="1" wp14:anchorId="4B964E82" wp14:editId="604EA25F">
                <wp:simplePos x="0" y="0"/>
                <wp:positionH relativeFrom="column">
                  <wp:posOffset>4219270</wp:posOffset>
                </wp:positionH>
                <wp:positionV relativeFrom="paragraph">
                  <wp:posOffset>76835</wp:posOffset>
                </wp:positionV>
                <wp:extent cx="1887220" cy="1242695"/>
                <wp:effectExtent l="0" t="0" r="17780" b="14605"/>
                <wp:wrapNone/>
                <wp:docPr id="103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1242695"/>
                        </a:xfrm>
                        <a:prstGeom prst="rect">
                          <a:avLst/>
                        </a:prstGeom>
                        <a:ln w="12700" cap="flat" cmpd="sng">
                          <a:solidFill>
                            <a:srgbClr val="000000"/>
                          </a:solidFill>
                          <a:prstDash val="solid"/>
                          <a:miter/>
                          <a:headEnd type="none" w="med" len="med"/>
                          <a:tailEnd type="none" w="med" len="med"/>
                        </a:ln>
                      </wps:spPr>
                      <wps:txb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w:t>
                            </w:r>
                            <w:proofErr w:type="gramStart"/>
                            <w:r>
                              <w:rPr>
                                <w:rFonts w:ascii="Arial" w:hAnsi="Arial" w:cs="Arial"/>
                                <w:color w:val="000000"/>
                                <w:sz w:val="18"/>
                                <w:szCs w:val="20"/>
                              </w:rPr>
                              <w:t>removed  (</w:t>
                            </w:r>
                            <w:proofErr w:type="gramEnd"/>
                            <w:r>
                              <w:rPr>
                                <w:rFonts w:ascii="Arial" w:hAnsi="Arial" w:cs="Arial"/>
                                <w:color w:val="000000"/>
                                <w:sz w:val="18"/>
                                <w:szCs w:val="20"/>
                              </w:rPr>
                              <w:t xml:space="preserve">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964E82" id="Rectangle 2" o:spid="_x0000_s1030" style="position:absolute;margin-left:332.25pt;margin-top:6.05pt;width:148.6pt;height:97.8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" filled="f" strokeweight="1pt">
                <v:path arrowok="t"/>
                <v:textbox>
                  <w:txbxContent>
                    <w:p w14:paraId="1EA78C28"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Records removed </w:t>
                      </w:r>
                      <w:r>
                        <w:rPr>
                          <w:rFonts w:ascii="Arial" w:hAnsi="Arial" w:cs="Arial"/>
                          <w:i/>
                          <w:iCs/>
                          <w:color w:val="000000"/>
                          <w:sz w:val="18"/>
                          <w:szCs w:val="20"/>
                        </w:rPr>
                        <w:t>before screening</w:t>
                      </w:r>
                      <w:r>
                        <w:rPr>
                          <w:rFonts w:ascii="Arial" w:hAnsi="Arial" w:cs="Arial"/>
                          <w:color w:val="000000"/>
                          <w:sz w:val="18"/>
                          <w:szCs w:val="20"/>
                        </w:rPr>
                        <w:t>:</w:t>
                      </w:r>
                    </w:p>
                    <w:p w14:paraId="1CB89C19"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rPr>
                        <w:t xml:space="preserve">Duplicate records </w:t>
                      </w:r>
                      <w:proofErr w:type="gramStart"/>
                      <w:r>
                        <w:rPr>
                          <w:rFonts w:ascii="Arial" w:hAnsi="Arial" w:cs="Arial"/>
                          <w:color w:val="000000"/>
                          <w:sz w:val="18"/>
                          <w:szCs w:val="20"/>
                        </w:rPr>
                        <w:t>removed  (</w:t>
                      </w:r>
                      <w:proofErr w:type="gramEnd"/>
                      <w:r>
                        <w:rPr>
                          <w:rFonts w:ascii="Arial" w:hAnsi="Arial" w:cs="Arial"/>
                          <w:color w:val="000000"/>
                          <w:sz w:val="18"/>
                          <w:szCs w:val="20"/>
                        </w:rPr>
                        <w:t xml:space="preserve">n = </w:t>
                      </w:r>
                      <w:r>
                        <w:rPr>
                          <w:rFonts w:ascii="Arial" w:hAnsi="Arial" w:cs="Arial"/>
                          <w:color w:val="000000"/>
                          <w:sz w:val="18"/>
                          <w:szCs w:val="20"/>
                          <w:lang w:val="en-US"/>
                        </w:rPr>
                        <w:t>88</w:t>
                      </w:r>
                      <w:r>
                        <w:rPr>
                          <w:rFonts w:ascii="Arial" w:hAnsi="Arial" w:cs="Arial"/>
                          <w:color w:val="000000"/>
                          <w:sz w:val="18"/>
                          <w:szCs w:val="20"/>
                        </w:rPr>
                        <w:t>)</w:t>
                      </w:r>
                    </w:p>
                    <w:p w14:paraId="71491C15"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Report after reduplication (n = 380)</w:t>
                      </w:r>
                    </w:p>
                  </w:txbxContent>
                </v:textbox>
              </v:rect>
            </w:pict>
          </mc:Fallback>
        </mc:AlternateContent>
      </w:r>
    </w:p>
    <w:p w14:paraId="3F1C3921" w14:textId="77777777" w:rsidR="00B529D5" w:rsidRDefault="00B529D5">
      <w:pPr>
        <w:spacing w:after="0" w:line="240" w:lineRule="auto"/>
      </w:pPr>
    </w:p>
    <w:p w14:paraId="38C881CD" w14:textId="77777777" w:rsidR="00B529D5" w:rsidRDefault="00895EA4">
      <w:pPr>
        <w:spacing w:after="0" w:line="240" w:lineRule="auto"/>
      </w:pPr>
      <w:r>
        <w:rPr>
          <w:noProof/>
        </w:rPr>
        <mc:AlternateContent>
          <mc:Choice Requires="wps">
            <w:drawing>
              <wp:anchor distT="0" distB="0" distL="0" distR="0" simplePos="0" relativeHeight="16" behindDoc="0" locked="0" layoutInCell="1" allowOverlap="1" wp14:anchorId="43B80BD9" wp14:editId="06AB6EE9">
                <wp:simplePos x="0" y="0"/>
                <wp:positionH relativeFrom="column">
                  <wp:posOffset>-755810</wp:posOffset>
                </wp:positionH>
                <wp:positionV relativeFrom="paragraph">
                  <wp:posOffset>238285</wp:posOffset>
                </wp:positionV>
                <wp:extent cx="1283655" cy="262890"/>
                <wp:effectExtent l="0" t="4127" r="26987" b="26988"/>
                <wp:wrapNone/>
                <wp:docPr id="1031" name="Flowchart: Alternate Process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28365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80BD9" id="Flowchart: Alternate Process 31" o:spid="_x0000_s1031" type="#_x0000_t176" style="position:absolute;margin-left:-59.5pt;margin-top:18.75pt;width:101.1pt;height:20.7pt;rotation:-90;z-index: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" fillcolor="#9cc3e5" strokeweight="1pt">
                <v:path arrowok="t"/>
                <v:textbox>
                  <w:txbxContent>
                    <w:p w14:paraId="246A77D6"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Identification</w:t>
                      </w:r>
                    </w:p>
                  </w:txbxContent>
                </v:textbox>
              </v:shape>
            </w:pict>
          </mc:Fallback>
        </mc:AlternateContent>
      </w:r>
    </w:p>
    <w:p w14:paraId="7F287501" w14:textId="77777777" w:rsidR="00B529D5" w:rsidRDefault="00B529D5">
      <w:pPr>
        <w:spacing w:after="0" w:line="240" w:lineRule="auto"/>
      </w:pPr>
    </w:p>
    <w:p w14:paraId="4E1D97E8" w14:textId="77777777" w:rsidR="00B529D5" w:rsidRDefault="00895EA4">
      <w:pPr>
        <w:spacing w:after="0" w:line="240" w:lineRule="auto"/>
      </w:pPr>
      <w:r>
        <w:rPr>
          <w:noProof/>
        </w:rPr>
        <mc:AlternateContent>
          <mc:Choice Requires="wps">
            <w:drawing>
              <wp:anchor distT="0" distB="0" distL="0" distR="0" simplePos="0" relativeHeight="11" behindDoc="0" locked="0" layoutInCell="1" allowOverlap="1" wp14:anchorId="79CA8368" wp14:editId="692037C5">
                <wp:simplePos x="0" y="0"/>
                <wp:positionH relativeFrom="column">
                  <wp:posOffset>3661105</wp:posOffset>
                </wp:positionH>
                <wp:positionV relativeFrom="paragraph">
                  <wp:posOffset>9525</wp:posOffset>
                </wp:positionV>
                <wp:extent cx="563269" cy="0"/>
                <wp:effectExtent l="0" t="76200" r="27305" b="95250"/>
                <wp:wrapNone/>
                <wp:docPr id="1032"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69"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type id="_x0000_t32" coordsize="21600,21600" o:spt="32" o:oned="t" path="m,l21600,21600e">
                <v:path arrowok="t" fillok="f" o:connecttype="none"/>
                <o:lock v:ext="edit" shapetype="t"/>
              </v:shapetype>
              <v:shape id="1032" type="#_x0000_t32" filled="f" style="position:absolute;margin-left:288.28pt;margin-top:0.75pt;width:44.35pt;height:0.0pt;z-index:1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60597286" w14:textId="77777777" w:rsidR="00B529D5" w:rsidRDefault="00B529D5">
      <w:pPr>
        <w:spacing w:after="0" w:line="240" w:lineRule="auto"/>
      </w:pPr>
    </w:p>
    <w:p w14:paraId="628B7750" w14:textId="77777777" w:rsidR="00B529D5" w:rsidRDefault="00B529D5">
      <w:pPr>
        <w:spacing w:after="0" w:line="240" w:lineRule="auto"/>
      </w:pPr>
    </w:p>
    <w:p w14:paraId="1B6D22D6" w14:textId="77777777" w:rsidR="00B529D5" w:rsidRDefault="00895EA4">
      <w:pPr>
        <w:spacing w:after="0" w:line="240" w:lineRule="auto"/>
      </w:pPr>
      <w:r>
        <w:rPr>
          <w:noProof/>
        </w:rPr>
        <mc:AlternateContent>
          <mc:Choice Requires="wps">
            <w:drawing>
              <wp:anchor distT="0" distB="0" distL="0" distR="0" simplePos="0" relativeHeight="26" behindDoc="0" locked="0" layoutInCell="1" allowOverlap="1" wp14:anchorId="14087EAC" wp14:editId="24F05ADD">
                <wp:simplePos x="0" y="0"/>
                <wp:positionH relativeFrom="column">
                  <wp:posOffset>749808</wp:posOffset>
                </wp:positionH>
                <wp:positionV relativeFrom="paragraph">
                  <wp:posOffset>136855</wp:posOffset>
                </wp:positionV>
                <wp:extent cx="914400" cy="4491533"/>
                <wp:effectExtent l="0" t="0" r="76200" b="99695"/>
                <wp:wrapNone/>
                <wp:docPr id="1033" name="Connector: Elbow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4491533"/>
                        </a:xfrm>
                        <a:prstGeom prst="bentConnector3">
                          <a:avLst>
                            <a:gd name="adj1" fmla="val 1769"/>
                          </a:avLst>
                        </a:prstGeom>
                        <a:ln w="6350" cap="flat" cmpd="sng">
                          <a:solidFill>
                            <a:srgbClr val="000000"/>
                          </a:solidFill>
                          <a:prstDash val="solid"/>
                          <a:miter/>
                          <a:headEnd type="none" w="med" len="med"/>
                          <a:tailEnd type="triangle" w="med" len="med"/>
                        </a:ln>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33" type="#_x0000_t34" adj="382," filled="f" style="position:absolute;margin-left:59.04pt;margin-top:10.78pt;width:72.0pt;height:353.66pt;z-index:26;mso-position-horizontal-relative:text;mso-position-vertical-relative:text;mso-width-percent:0;mso-height-percent:0;mso-width-relative:margin;mso-height-relative:margin;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9" behindDoc="0" locked="0" layoutInCell="1" allowOverlap="1" wp14:anchorId="33DA839D" wp14:editId="60F7E1C5">
                <wp:simplePos x="0" y="0"/>
                <wp:positionH relativeFrom="column">
                  <wp:posOffset>2607640</wp:posOffset>
                </wp:positionH>
                <wp:positionV relativeFrom="paragraph">
                  <wp:posOffset>128905</wp:posOffset>
                </wp:positionV>
                <wp:extent cx="0" cy="281301"/>
                <wp:effectExtent l="76200" t="0" r="57150" b="61594"/>
                <wp:wrapNone/>
                <wp:docPr id="1034"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1"/>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4" type="#_x0000_t32" filled="f" style="position:absolute;margin-left:205.33pt;margin-top:10.15pt;width:0.0pt;height:22.15pt;z-index:19;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44DE3F5D" w14:textId="77777777" w:rsidR="00B529D5" w:rsidRDefault="00B529D5">
      <w:pPr>
        <w:spacing w:after="0" w:line="240" w:lineRule="auto"/>
      </w:pPr>
    </w:p>
    <w:p w14:paraId="1D31A18A" w14:textId="77777777" w:rsidR="00B529D5" w:rsidRDefault="00895EA4">
      <w:pPr>
        <w:spacing w:after="0" w:line="240" w:lineRule="auto"/>
      </w:pPr>
      <w:r>
        <w:rPr>
          <w:noProof/>
        </w:rPr>
        <mc:AlternateContent>
          <mc:Choice Requires="wps">
            <w:drawing>
              <wp:anchor distT="0" distB="0" distL="0" distR="0" simplePos="0" relativeHeight="23" behindDoc="0" locked="0" layoutInCell="1" allowOverlap="1" wp14:anchorId="209D2433" wp14:editId="47828601">
                <wp:simplePos x="0" y="0"/>
                <wp:positionH relativeFrom="page">
                  <wp:posOffset>2179955</wp:posOffset>
                </wp:positionH>
                <wp:positionV relativeFrom="page">
                  <wp:posOffset>9651365</wp:posOffset>
                </wp:positionV>
                <wp:extent cx="1887219" cy="723900"/>
                <wp:effectExtent l="0" t="0" r="17780" b="19050"/>
                <wp:wrapNone/>
                <wp:docPr id="103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anchor>
            </w:drawing>
          </mc:Choice>
          <mc:Fallback>
            <w:pict>
              <v:rect w14:anchorId="209D2433" id="Rectangle 7" o:spid="_x0000_s1032" style="position:absolute;margin-left:171.65pt;margin-top:759.95pt;width:148.6pt;height:57pt;z-index:23;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" filled="f" strokeweight="1pt">
                <v:path arrowok="t"/>
                <v:textbox>
                  <w:txbxContent>
                    <w:p w14:paraId="1D3C712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Total studies included in review</w:t>
                      </w:r>
                    </w:p>
                    <w:p w14:paraId="32CDF3A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25</w:t>
                      </w:r>
                      <w:r>
                        <w:rPr>
                          <w:rFonts w:ascii="Arial" w:hAnsi="Arial" w:cs="Arial"/>
                          <w:color w:val="000000"/>
                          <w:sz w:val="18"/>
                          <w:szCs w:val="20"/>
                        </w:rPr>
                        <w:t>)</w:t>
                      </w:r>
                    </w:p>
                  </w:txbxContent>
                </v:textbox>
                <w10:wrap anchorx="page" anchory="page"/>
              </v:rect>
            </w:pict>
          </mc:Fallback>
        </mc:AlternateContent>
      </w:r>
      <w:r>
        <w:rPr>
          <w:noProof/>
        </w:rPr>
        <mc:AlternateContent>
          <mc:Choice Requires="wps">
            <w:drawing>
              <wp:anchor distT="0" distB="0" distL="0" distR="0" simplePos="0" relativeHeight="22" behindDoc="0" locked="0" layoutInCell="1" allowOverlap="1" wp14:anchorId="755BA728" wp14:editId="58289EB8">
                <wp:simplePos x="0" y="0"/>
                <wp:positionH relativeFrom="column">
                  <wp:posOffset>2635885</wp:posOffset>
                </wp:positionH>
                <wp:positionV relativeFrom="paragraph">
                  <wp:posOffset>2252345</wp:posOffset>
                </wp:positionV>
                <wp:extent cx="0" cy="616585"/>
                <wp:effectExtent l="76200" t="0" r="57150" b="50165"/>
                <wp:wrapNone/>
                <wp:docPr id="1036"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1658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6" type="#_x0000_t32" filled="f" style="position:absolute;margin-left:207.55pt;margin-top:177.35pt;width:0.0pt;height:48.55pt;z-index:2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8" behindDoc="0" locked="0" layoutInCell="1" allowOverlap="1" wp14:anchorId="295DD5FB" wp14:editId="0FE6CF8F">
                <wp:simplePos x="0" y="0"/>
                <wp:positionH relativeFrom="column">
                  <wp:posOffset>1769110</wp:posOffset>
                </wp:positionH>
                <wp:positionV relativeFrom="paragraph">
                  <wp:posOffset>1718945</wp:posOffset>
                </wp:positionV>
                <wp:extent cx="1887219" cy="526414"/>
                <wp:effectExtent l="0" t="0" r="17780" b="26035"/>
                <wp:wrapNone/>
                <wp:docPr id="10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4"/>
                        </a:xfrm>
                        <a:prstGeom prst="rect">
                          <a:avLst/>
                        </a:prstGeom>
                        <a:ln w="12700" cap="flat" cmpd="sng">
                          <a:solidFill>
                            <a:srgbClr val="000000"/>
                          </a:solidFill>
                          <a:prstDash val="solid"/>
                          <a:miter/>
                          <a:headEnd type="none" w="med" len="med"/>
                          <a:tailEnd type="none" w="med" len="med"/>
                        </a:ln>
                      </wps:spPr>
                      <wps:txb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DD5FB" id="Rectangle 8" o:spid="_x0000_s1033" style="position:absolute;margin-left:139.3pt;margin-top:135.35pt;width:148.6pt;height:41.45pt;z-index: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" filled="f" strokeweight="1pt">
                <v:path arrowok="t"/>
                <v:textbox>
                  <w:txbxContent>
                    <w:p w14:paraId="7F3EC894"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assessed for eligibility</w:t>
                      </w:r>
                    </w:p>
                    <w:p w14:paraId="26A1C53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70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4" behindDoc="0" locked="0" layoutInCell="1" allowOverlap="1" wp14:anchorId="24B55E78" wp14:editId="5CF5D9F0">
                <wp:simplePos x="0" y="0"/>
                <wp:positionH relativeFrom="column">
                  <wp:posOffset>3683635</wp:posOffset>
                </wp:positionH>
                <wp:positionV relativeFrom="paragraph">
                  <wp:posOffset>2000250</wp:posOffset>
                </wp:positionV>
                <wp:extent cx="563245" cy="0"/>
                <wp:effectExtent l="0" t="76200" r="27305" b="95250"/>
                <wp:wrapNone/>
                <wp:docPr id="1038"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8" type="#_x0000_t32" filled="f" style="position:absolute;margin-left:290.05pt;margin-top:157.5pt;width:44.35pt;height:0.0pt;z-index:14;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13" behindDoc="0" locked="0" layoutInCell="1" allowOverlap="1" wp14:anchorId="5EB6BCCE" wp14:editId="237604E7">
                <wp:simplePos x="0" y="0"/>
                <wp:positionH relativeFrom="column">
                  <wp:posOffset>3670300</wp:posOffset>
                </wp:positionH>
                <wp:positionV relativeFrom="paragraph">
                  <wp:posOffset>1173480</wp:posOffset>
                </wp:positionV>
                <wp:extent cx="563245" cy="0"/>
                <wp:effectExtent l="0" t="76200" r="27305" b="95250"/>
                <wp:wrapNone/>
                <wp:docPr id="1039"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39" type="#_x0000_t32" filled="f" style="position:absolute;margin-left:289.0pt;margin-top:92.4pt;width:44.35pt;height:0.0pt;z-index:13;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6" behindDoc="0" locked="0" layoutInCell="1" allowOverlap="1" wp14:anchorId="01A6D223" wp14:editId="77D82F60">
                <wp:simplePos x="0" y="0"/>
                <wp:positionH relativeFrom="column">
                  <wp:posOffset>1767840</wp:posOffset>
                </wp:positionH>
                <wp:positionV relativeFrom="paragraph">
                  <wp:posOffset>900430</wp:posOffset>
                </wp:positionV>
                <wp:extent cx="1887219" cy="526415"/>
                <wp:effectExtent l="0" t="0" r="17780" b="26035"/>
                <wp:wrapNone/>
                <wp:docPr id="10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526415"/>
                        </a:xfrm>
                        <a:prstGeom prst="rect">
                          <a:avLst/>
                        </a:prstGeom>
                        <a:ln w="12700" cap="flat" cmpd="sng">
                          <a:solidFill>
                            <a:srgbClr val="000000"/>
                          </a:solidFill>
                          <a:prstDash val="solid"/>
                          <a:miter/>
                          <a:headEnd type="none" w="med" len="med"/>
                          <a:tailEnd type="none" w="med" len="med"/>
                        </a:ln>
                      </wps:spPr>
                      <wps:txb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A6D223" id="Rectangle 5" o:spid="_x0000_s1034" style="position:absolute;margin-left:139.2pt;margin-top:70.9pt;width:148.6pt;height:41.45pt;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" filled="f" strokeweight="1pt">
                <v:path arrowok="t"/>
                <v:textbox>
                  <w:txbxContent>
                    <w:p w14:paraId="244BDCF5"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sought for retrieval</w:t>
                      </w:r>
                    </w:p>
                    <w:p w14:paraId="0D6865EB"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4" behindDoc="0" locked="0" layoutInCell="1" allowOverlap="1" wp14:anchorId="3B9E6B97" wp14:editId="47924CA8">
                <wp:simplePos x="0" y="0"/>
                <wp:positionH relativeFrom="column">
                  <wp:posOffset>1766570</wp:posOffset>
                </wp:positionH>
                <wp:positionV relativeFrom="paragraph">
                  <wp:posOffset>74930</wp:posOffset>
                </wp:positionV>
                <wp:extent cx="1887220" cy="526415"/>
                <wp:effectExtent l="0" t="0" r="17780" b="26035"/>
                <wp:wrapNone/>
                <wp:docPr id="104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526415"/>
                        </a:xfrm>
                        <a:prstGeom prst="rect">
                          <a:avLst/>
                        </a:prstGeom>
                        <a:ln w="12700" cap="flat" cmpd="sng">
                          <a:solidFill>
                            <a:srgbClr val="000000"/>
                          </a:solidFill>
                          <a:prstDash val="solid"/>
                          <a:miter/>
                          <a:headEnd type="none" w="med" len="med"/>
                          <a:tailEnd type="none" w="med" len="med"/>
                        </a:ln>
                      </wps:spPr>
                      <wps:txb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E6B97" id="Rectangle 3" o:spid="_x0000_s1035" style="position:absolute;margin-left:139.1pt;margin-top:5.9pt;width:148.6pt;height:41.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" filled="f" strokeweight="1pt">
                <v:path arrowok="t"/>
                <v:textbox>
                  <w:txbxContent>
                    <w:p w14:paraId="0E0777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screened</w:t>
                      </w:r>
                    </w:p>
                    <w:p w14:paraId="4F908DD9"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380</w:t>
                      </w:r>
                      <w:r>
                        <w:rPr>
                          <w:rFonts w:ascii="Arial" w:hAnsi="Arial" w:cs="Arial"/>
                          <w:color w:val="000000"/>
                          <w:sz w:val="18"/>
                          <w:szCs w:val="20"/>
                        </w:rPr>
                        <w:t>)</w:t>
                      </w:r>
                    </w:p>
                  </w:txbxContent>
                </v:textbox>
              </v:rect>
            </w:pict>
          </mc:Fallback>
        </mc:AlternateContent>
      </w:r>
      <w:r>
        <w:rPr>
          <w:noProof/>
        </w:rPr>
        <mc:AlternateContent>
          <mc:Choice Requires="wps">
            <w:drawing>
              <wp:anchor distT="0" distB="0" distL="0" distR="0" simplePos="0" relativeHeight="12" behindDoc="0" locked="0" layoutInCell="1" allowOverlap="1" wp14:anchorId="5293A9D6" wp14:editId="05E76AA9">
                <wp:simplePos x="0" y="0"/>
                <wp:positionH relativeFrom="column">
                  <wp:posOffset>3660775</wp:posOffset>
                </wp:positionH>
                <wp:positionV relativeFrom="paragraph">
                  <wp:posOffset>328295</wp:posOffset>
                </wp:positionV>
                <wp:extent cx="563245" cy="0"/>
                <wp:effectExtent l="0" t="76200" r="27305" b="95250"/>
                <wp:wrapNone/>
                <wp:docPr id="1042"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3245" cy="0"/>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42" type="#_x0000_t32" filled="f" style="position:absolute;margin-left:288.25pt;margin-top:25.85pt;width:44.35pt;height:0.0pt;z-index:12;mso-position-horizontal-relative:text;mso-position-vertical-relative:text;mso-width-relative:page;mso-height-relative:page;mso-wrap-distance-left:0.0pt;mso-wrap-distance-right:0.0pt;visibility:visible;">
                <v:stroke endarrow="block" joinstyle="miter" weight="0.5pt"/>
                <v:fill/>
              </v:shape>
            </w:pict>
          </mc:Fallback>
        </mc:AlternateContent>
      </w:r>
      <w:r>
        <w:rPr>
          <w:noProof/>
        </w:rPr>
        <mc:AlternateContent>
          <mc:Choice Requires="wps">
            <w:drawing>
              <wp:anchor distT="0" distB="0" distL="0" distR="0" simplePos="0" relativeHeight="5" behindDoc="0" locked="0" layoutInCell="1" allowOverlap="1" wp14:anchorId="19F388CC" wp14:editId="2ED3C4D0">
                <wp:simplePos x="0" y="0"/>
                <wp:positionH relativeFrom="column">
                  <wp:posOffset>4228160</wp:posOffset>
                </wp:positionH>
                <wp:positionV relativeFrom="paragraph">
                  <wp:posOffset>74930</wp:posOffset>
                </wp:positionV>
                <wp:extent cx="1887218" cy="526415"/>
                <wp:effectExtent l="0" t="0" r="17780" b="26035"/>
                <wp:wrapNone/>
                <wp:docPr id="104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388CC" id="Rectangle 4" o:spid="_x0000_s1036" style="position:absolute;margin-left:332.95pt;margin-top:5.9pt;width:148.6pt;height:41.4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" filled="f" strokeweight="1pt">
                <v:path arrowok="t"/>
                <v:textbox>
                  <w:txbxContent>
                    <w:p w14:paraId="19A0997F"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Records excluded**</w:t>
                      </w:r>
                    </w:p>
                    <w:p w14:paraId="412D5A5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310</w:t>
                      </w:r>
                      <w:r>
                        <w:rPr>
                          <w:rFonts w:ascii="Arial" w:hAnsi="Arial" w:cs="Arial"/>
                          <w:color w:val="000000"/>
                          <w:sz w:val="18"/>
                          <w:szCs w:val="20"/>
                        </w:rPr>
                        <w:t>)</w:t>
                      </w:r>
                    </w:p>
                  </w:txbxContent>
                </v:textbox>
              </v:rect>
            </w:pict>
          </mc:Fallback>
        </mc:AlternateContent>
      </w:r>
    </w:p>
    <w:p w14:paraId="140EDAF1" w14:textId="77777777" w:rsidR="00B529D5" w:rsidRDefault="00B529D5">
      <w:pPr>
        <w:spacing w:after="0" w:line="240" w:lineRule="auto"/>
      </w:pPr>
    </w:p>
    <w:p w14:paraId="18F1FEAF" w14:textId="77777777" w:rsidR="00B529D5" w:rsidRDefault="00B529D5">
      <w:pPr>
        <w:spacing w:after="0" w:line="240" w:lineRule="auto"/>
      </w:pPr>
    </w:p>
    <w:p w14:paraId="16C43CB8" w14:textId="77777777" w:rsidR="00B529D5" w:rsidRDefault="00895EA4">
      <w:pPr>
        <w:spacing w:after="0" w:line="240" w:lineRule="auto"/>
      </w:pPr>
      <w:r>
        <w:rPr>
          <w:noProof/>
        </w:rPr>
        <mc:AlternateContent>
          <mc:Choice Requires="wps">
            <w:drawing>
              <wp:anchor distT="0" distB="0" distL="0" distR="0" simplePos="0" relativeHeight="20" behindDoc="0" locked="0" layoutInCell="1" allowOverlap="1" wp14:anchorId="0D323D14" wp14:editId="5B5DCFC0">
                <wp:simplePos x="0" y="0"/>
                <wp:positionH relativeFrom="column">
                  <wp:posOffset>2607640</wp:posOffset>
                </wp:positionH>
                <wp:positionV relativeFrom="paragraph">
                  <wp:posOffset>99695</wp:posOffset>
                </wp:positionV>
                <wp:extent cx="0" cy="281305"/>
                <wp:effectExtent l="76200" t="0" r="57150" b="61594"/>
                <wp:wrapNone/>
                <wp:docPr id="1044"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44" type="#_x0000_t32" filled="f" style="position:absolute;margin-left:205.33pt;margin-top:7.85pt;width:0.0pt;height:22.15pt;z-index:20;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015A1AB7" w14:textId="77777777" w:rsidR="00B529D5" w:rsidRDefault="00B529D5">
      <w:pPr>
        <w:spacing w:after="0" w:line="240" w:lineRule="auto"/>
      </w:pPr>
    </w:p>
    <w:p w14:paraId="78BF96F9" w14:textId="77777777" w:rsidR="00B529D5" w:rsidRDefault="00895EA4">
      <w:pPr>
        <w:spacing w:after="0" w:line="240" w:lineRule="auto"/>
      </w:pPr>
      <w:r>
        <w:rPr>
          <w:noProof/>
        </w:rPr>
        <mc:AlternateContent>
          <mc:Choice Requires="wps">
            <w:drawing>
              <wp:anchor distT="0" distB="0" distL="0" distR="0" simplePos="0" relativeHeight="7" behindDoc="0" locked="0" layoutInCell="1" allowOverlap="1" wp14:anchorId="38F7EE63" wp14:editId="1A812C8D">
                <wp:simplePos x="0" y="0"/>
                <wp:positionH relativeFrom="column">
                  <wp:posOffset>4229430</wp:posOffset>
                </wp:positionH>
                <wp:positionV relativeFrom="paragraph">
                  <wp:posOffset>66675</wp:posOffset>
                </wp:positionV>
                <wp:extent cx="1887218" cy="526415"/>
                <wp:effectExtent l="0" t="0" r="17780" b="26035"/>
                <wp:wrapNone/>
                <wp:docPr id="104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526415"/>
                        </a:xfrm>
                        <a:prstGeom prst="rect">
                          <a:avLst/>
                        </a:prstGeom>
                        <a:ln w="12700" cap="flat" cmpd="sng">
                          <a:solidFill>
                            <a:srgbClr val="000000"/>
                          </a:solidFill>
                          <a:prstDash val="solid"/>
                          <a:miter/>
                          <a:headEnd type="none" w="med" len="med"/>
                          <a:tailEnd type="none" w="med" len="med"/>
                        </a:ln>
                      </wps:spPr>
                      <wps:txb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7EE63" id="Rectangle 6" o:spid="_x0000_s1037" style="position:absolute;margin-left:333.05pt;margin-top:5.25pt;width:148.6pt;height:41.4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" filled="f" strokeweight="1pt">
                <v:path arrowok="t"/>
                <v:textbox>
                  <w:txbxContent>
                    <w:p w14:paraId="2CD186EE"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not retrieved</w:t>
                      </w:r>
                    </w:p>
                    <w:p w14:paraId="7D32310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 xml:space="preserve">(n = </w:t>
                      </w:r>
                      <w:r>
                        <w:rPr>
                          <w:rFonts w:ascii="Arial" w:hAnsi="Arial" w:cs="Arial"/>
                          <w:color w:val="000000"/>
                          <w:sz w:val="18"/>
                          <w:szCs w:val="20"/>
                          <w:lang w:val="en-US"/>
                        </w:rPr>
                        <w:t>2</w:t>
                      </w:r>
                      <w:r>
                        <w:rPr>
                          <w:rFonts w:ascii="Arial" w:hAnsi="Arial" w:cs="Arial"/>
                          <w:color w:val="000000"/>
                          <w:sz w:val="18"/>
                          <w:szCs w:val="20"/>
                        </w:rPr>
                        <w:t>)</w:t>
                      </w:r>
                    </w:p>
                  </w:txbxContent>
                </v:textbox>
              </v:rect>
            </w:pict>
          </mc:Fallback>
        </mc:AlternateContent>
      </w:r>
    </w:p>
    <w:p w14:paraId="690FCD03" w14:textId="77777777" w:rsidR="00B529D5" w:rsidRDefault="00895EA4">
      <w:pPr>
        <w:spacing w:after="0" w:line="240" w:lineRule="auto"/>
      </w:pPr>
      <w:r>
        <w:rPr>
          <w:noProof/>
        </w:rPr>
        <mc:AlternateContent>
          <mc:Choice Requires="wps">
            <w:drawing>
              <wp:anchor distT="0" distB="0" distL="0" distR="0" simplePos="0" relativeHeight="17" behindDoc="0" locked="0" layoutInCell="1" allowOverlap="1" wp14:anchorId="6896D5DE" wp14:editId="7D978BC6">
                <wp:simplePos x="0" y="0"/>
                <wp:positionH relativeFrom="column">
                  <wp:posOffset>-1454163</wp:posOffset>
                </wp:positionH>
                <wp:positionV relativeFrom="paragraph">
                  <wp:posOffset>247968</wp:posOffset>
                </wp:positionV>
                <wp:extent cx="2666365" cy="262889"/>
                <wp:effectExtent l="1588" t="0" r="21272" b="21273"/>
                <wp:wrapNone/>
                <wp:docPr id="1046" name="Flowchart: Alternate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666365" cy="262889"/>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6D5DE" id="Flowchart: Alternate Process 32" o:spid="_x0000_s1038" type="#_x0000_t176" style="position:absolute;margin-left:-114.5pt;margin-top:19.55pt;width:209.95pt;height:20.7pt;rotation:-90;z-index:1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" fillcolor="#9cc3e5" strokeweight="1pt">
                <v:path arrowok="t"/>
                <v:textbox>
                  <w:txbxContent>
                    <w:p w14:paraId="6726DC43"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Screening</w:t>
                      </w:r>
                    </w:p>
                    <w:p w14:paraId="58DCEB87" w14:textId="77777777" w:rsidR="00B529D5" w:rsidRDefault="00B529D5">
                      <w:pPr>
                        <w:spacing w:after="0" w:line="240" w:lineRule="auto"/>
                        <w:rPr>
                          <w:rFonts w:ascii="Arial" w:hAnsi="Arial" w:cs="Arial"/>
                          <w:b/>
                          <w:color w:val="000000"/>
                          <w:sz w:val="18"/>
                          <w:szCs w:val="18"/>
                        </w:rPr>
                      </w:pPr>
                    </w:p>
                  </w:txbxContent>
                </v:textbox>
              </v:shape>
            </w:pict>
          </mc:Fallback>
        </mc:AlternateContent>
      </w:r>
    </w:p>
    <w:p w14:paraId="1E38C987" w14:textId="77777777" w:rsidR="00B529D5" w:rsidRDefault="00B529D5">
      <w:pPr>
        <w:spacing w:after="0" w:line="240" w:lineRule="auto"/>
      </w:pPr>
    </w:p>
    <w:p w14:paraId="039806EE" w14:textId="77777777" w:rsidR="00B529D5" w:rsidRDefault="00895EA4">
      <w:pPr>
        <w:spacing w:after="0" w:line="240" w:lineRule="auto"/>
      </w:pPr>
      <w:r>
        <w:rPr>
          <w:noProof/>
        </w:rPr>
        <mc:AlternateContent>
          <mc:Choice Requires="wps">
            <w:drawing>
              <wp:anchor distT="0" distB="0" distL="0" distR="0" simplePos="0" relativeHeight="21" behindDoc="0" locked="0" layoutInCell="1" allowOverlap="1" wp14:anchorId="39DA1AE0" wp14:editId="7F45C53C">
                <wp:simplePos x="0" y="0"/>
                <wp:positionH relativeFrom="column">
                  <wp:posOffset>2616835</wp:posOffset>
                </wp:positionH>
                <wp:positionV relativeFrom="paragraph">
                  <wp:posOffset>62865</wp:posOffset>
                </wp:positionV>
                <wp:extent cx="0" cy="281305"/>
                <wp:effectExtent l="76200" t="0" r="57150" b="61594"/>
                <wp:wrapNone/>
                <wp:docPr id="1047"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47" type="#_x0000_t32" filled="f" style="position:absolute;margin-left:206.05pt;margin-top:4.95pt;width:0.0pt;height:22.15pt;z-index:21;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7A4E857D" w14:textId="77777777" w:rsidR="00B529D5" w:rsidRDefault="00B529D5">
      <w:pPr>
        <w:spacing w:after="0" w:line="240" w:lineRule="auto"/>
      </w:pPr>
    </w:p>
    <w:p w14:paraId="316412FC" w14:textId="77777777" w:rsidR="00B529D5" w:rsidRDefault="00895EA4">
      <w:pPr>
        <w:spacing w:after="0" w:line="240" w:lineRule="auto"/>
      </w:pPr>
      <w:r>
        <w:rPr>
          <w:noProof/>
        </w:rPr>
        <mc:AlternateContent>
          <mc:Choice Requires="wps">
            <w:drawing>
              <wp:anchor distT="0" distB="0" distL="0" distR="0" simplePos="0" relativeHeight="9" behindDoc="0" locked="0" layoutInCell="1" allowOverlap="1" wp14:anchorId="32AC820A" wp14:editId="1F057B33">
                <wp:simplePos x="0" y="0"/>
                <wp:positionH relativeFrom="column">
                  <wp:posOffset>4235450</wp:posOffset>
                </wp:positionH>
                <wp:positionV relativeFrom="paragraph">
                  <wp:posOffset>10796</wp:posOffset>
                </wp:positionV>
                <wp:extent cx="1887218" cy="990600"/>
                <wp:effectExtent l="0" t="0" r="17780" b="19050"/>
                <wp:wrapNone/>
                <wp:docPr id="104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8" cy="990600"/>
                        </a:xfrm>
                        <a:prstGeom prst="rect">
                          <a:avLst/>
                        </a:prstGeom>
                        <a:ln w="12700" cap="flat" cmpd="sng">
                          <a:solidFill>
                            <a:srgbClr val="000000"/>
                          </a:solidFill>
                          <a:prstDash val="solid"/>
                          <a:miter/>
                          <a:headEnd type="none" w="med" len="med"/>
                          <a:tailEnd type="none" w="med" len="med"/>
                        </a:ln>
                      </wps:spPr>
                      <wps:txb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Not focused on SCD and </w:t>
                            </w:r>
                            <w:proofErr w:type="gramStart"/>
                            <w:r>
                              <w:rPr>
                                <w:rFonts w:ascii="Arial" w:hAnsi="Arial" w:cs="Arial"/>
                                <w:color w:val="000000"/>
                                <w:sz w:val="18"/>
                                <w:szCs w:val="20"/>
                                <w:lang w:val="en-US"/>
                              </w:rPr>
                              <w:t>NBS</w:t>
                            </w:r>
                            <w:r>
                              <w:rPr>
                                <w:rFonts w:ascii="Arial" w:hAnsi="Arial" w:cs="Arial"/>
                                <w:color w:val="000000"/>
                                <w:sz w:val="18"/>
                                <w:szCs w:val="20"/>
                              </w:rPr>
                              <w:t>(</w:t>
                            </w:r>
                            <w:proofErr w:type="gramEnd"/>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AC820A" id="Rectangle 9" o:spid="_x0000_s1039" style="position:absolute;margin-left:333.5pt;margin-top:.85pt;width:148.6pt;height:78pt;z-index:9;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" filled="f" strokeweight="1pt">
                <v:path arrowok="t"/>
                <v:textbox>
                  <w:txbxContent>
                    <w:p w14:paraId="139CF116"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Reports excluded:</w:t>
                      </w:r>
                    </w:p>
                    <w:p w14:paraId="06D99683"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Incomplete </w:t>
                      </w:r>
                      <w:r>
                        <w:rPr>
                          <w:rFonts w:ascii="Arial" w:hAnsi="Arial" w:cs="Arial"/>
                          <w:color w:val="000000"/>
                          <w:sz w:val="18"/>
                          <w:szCs w:val="20"/>
                        </w:rPr>
                        <w:t xml:space="preserve">(n = </w:t>
                      </w:r>
                      <w:r>
                        <w:rPr>
                          <w:rFonts w:ascii="Arial" w:hAnsi="Arial" w:cs="Arial"/>
                          <w:color w:val="000000"/>
                          <w:sz w:val="18"/>
                          <w:szCs w:val="20"/>
                          <w:lang w:val="en-US"/>
                        </w:rPr>
                        <w:t>13</w:t>
                      </w:r>
                      <w:r>
                        <w:rPr>
                          <w:rFonts w:ascii="Arial" w:hAnsi="Arial" w:cs="Arial"/>
                          <w:color w:val="000000"/>
                          <w:sz w:val="18"/>
                          <w:szCs w:val="20"/>
                        </w:rPr>
                        <w:t>)</w:t>
                      </w:r>
                    </w:p>
                    <w:p w14:paraId="646FD7EF"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Irrelevant Region </w:t>
                      </w:r>
                      <w:r>
                        <w:rPr>
                          <w:rFonts w:ascii="Arial" w:hAnsi="Arial" w:cs="Arial"/>
                          <w:color w:val="000000"/>
                          <w:sz w:val="18"/>
                          <w:szCs w:val="20"/>
                        </w:rPr>
                        <w:t xml:space="preserve">(n = </w:t>
                      </w:r>
                      <w:r>
                        <w:rPr>
                          <w:rFonts w:ascii="Arial" w:hAnsi="Arial" w:cs="Arial"/>
                          <w:color w:val="000000"/>
                          <w:sz w:val="18"/>
                          <w:szCs w:val="20"/>
                          <w:lang w:val="en-US"/>
                        </w:rPr>
                        <w:t>20</w:t>
                      </w:r>
                      <w:r>
                        <w:rPr>
                          <w:rFonts w:ascii="Arial" w:hAnsi="Arial" w:cs="Arial"/>
                          <w:color w:val="000000"/>
                          <w:sz w:val="18"/>
                          <w:szCs w:val="20"/>
                        </w:rPr>
                        <w:t>)</w:t>
                      </w:r>
                    </w:p>
                    <w:p w14:paraId="31BBDC71" w14:textId="77777777" w:rsidR="00B529D5" w:rsidRDefault="00895EA4">
                      <w:pPr>
                        <w:spacing w:after="0" w:line="240" w:lineRule="auto"/>
                        <w:ind w:left="284"/>
                        <w:rPr>
                          <w:rFonts w:ascii="Arial" w:hAnsi="Arial" w:cs="Arial"/>
                          <w:color w:val="000000"/>
                          <w:sz w:val="18"/>
                          <w:szCs w:val="20"/>
                        </w:rPr>
                      </w:pPr>
                      <w:r>
                        <w:rPr>
                          <w:rFonts w:ascii="Arial" w:hAnsi="Arial" w:cs="Arial"/>
                          <w:color w:val="000000"/>
                          <w:sz w:val="18"/>
                          <w:szCs w:val="20"/>
                          <w:lang w:val="en-US"/>
                        </w:rPr>
                        <w:t xml:space="preserve">Not focused on SCD and </w:t>
                      </w:r>
                      <w:proofErr w:type="gramStart"/>
                      <w:r>
                        <w:rPr>
                          <w:rFonts w:ascii="Arial" w:hAnsi="Arial" w:cs="Arial"/>
                          <w:color w:val="000000"/>
                          <w:sz w:val="18"/>
                          <w:szCs w:val="20"/>
                          <w:lang w:val="en-US"/>
                        </w:rPr>
                        <w:t>NBS</w:t>
                      </w:r>
                      <w:r>
                        <w:rPr>
                          <w:rFonts w:ascii="Arial" w:hAnsi="Arial" w:cs="Arial"/>
                          <w:color w:val="000000"/>
                          <w:sz w:val="18"/>
                          <w:szCs w:val="20"/>
                        </w:rPr>
                        <w:t>(</w:t>
                      </w:r>
                      <w:proofErr w:type="gramEnd"/>
                      <w:r>
                        <w:rPr>
                          <w:rFonts w:ascii="Arial" w:hAnsi="Arial" w:cs="Arial"/>
                          <w:color w:val="000000"/>
                          <w:sz w:val="18"/>
                          <w:szCs w:val="20"/>
                        </w:rPr>
                        <w:t>n</w:t>
                      </w:r>
                      <w:r>
                        <w:rPr>
                          <w:rFonts w:ascii="Arial" w:hAnsi="Arial" w:cs="Arial"/>
                          <w:color w:val="000000"/>
                          <w:sz w:val="18"/>
                          <w:szCs w:val="20"/>
                          <w:lang w:val="en-US"/>
                        </w:rPr>
                        <w:t xml:space="preserve"> = 20)</w:t>
                      </w:r>
                    </w:p>
                    <w:p w14:paraId="0F04B51E" w14:textId="77777777" w:rsidR="00B529D5" w:rsidRDefault="00B529D5">
                      <w:pPr>
                        <w:spacing w:after="0" w:line="240" w:lineRule="auto"/>
                        <w:rPr>
                          <w:rFonts w:ascii="Arial" w:hAnsi="Arial" w:cs="Arial"/>
                          <w:color w:val="000000"/>
                          <w:sz w:val="18"/>
                          <w:szCs w:val="20"/>
                        </w:rPr>
                      </w:pPr>
                    </w:p>
                  </w:txbxContent>
                </v:textbox>
              </v:rect>
            </w:pict>
          </mc:Fallback>
        </mc:AlternateContent>
      </w:r>
    </w:p>
    <w:p w14:paraId="673909B6" w14:textId="77777777" w:rsidR="00B529D5" w:rsidRDefault="00B529D5">
      <w:pPr>
        <w:spacing w:after="0" w:line="240" w:lineRule="auto"/>
      </w:pPr>
    </w:p>
    <w:p w14:paraId="123685DA" w14:textId="77777777" w:rsidR="00B529D5" w:rsidRDefault="00B529D5">
      <w:pPr>
        <w:spacing w:after="0" w:line="240" w:lineRule="auto"/>
      </w:pPr>
    </w:p>
    <w:p w14:paraId="50B9C3E7" w14:textId="77777777" w:rsidR="00B529D5" w:rsidRDefault="00B529D5">
      <w:pPr>
        <w:spacing w:after="0" w:line="240" w:lineRule="auto"/>
      </w:pPr>
    </w:p>
    <w:p w14:paraId="019D483E" w14:textId="77777777" w:rsidR="00B529D5" w:rsidRDefault="00B529D5">
      <w:pPr>
        <w:spacing w:after="0" w:line="240" w:lineRule="auto"/>
      </w:pPr>
    </w:p>
    <w:p w14:paraId="09E92567" w14:textId="77777777" w:rsidR="00B529D5" w:rsidRDefault="00B529D5">
      <w:pPr>
        <w:spacing w:after="0" w:line="240" w:lineRule="auto"/>
      </w:pPr>
    </w:p>
    <w:p w14:paraId="504CA0B5" w14:textId="77777777" w:rsidR="00B529D5" w:rsidRDefault="00B529D5">
      <w:pPr>
        <w:spacing w:after="0" w:line="240" w:lineRule="auto"/>
      </w:pPr>
    </w:p>
    <w:p w14:paraId="26BE1F40" w14:textId="77777777" w:rsidR="00B529D5" w:rsidRDefault="00895EA4">
      <w:pPr>
        <w:spacing w:after="0" w:line="240" w:lineRule="auto"/>
      </w:pPr>
      <w:r>
        <w:rPr>
          <w:noProof/>
        </w:rPr>
        <mc:AlternateContent>
          <mc:Choice Requires="wps">
            <w:drawing>
              <wp:anchor distT="0" distB="0" distL="0" distR="0" simplePos="0" relativeHeight="10" behindDoc="0" locked="0" layoutInCell="1" allowOverlap="1" wp14:anchorId="30540488" wp14:editId="223EA74E">
                <wp:simplePos x="0" y="0"/>
                <wp:positionH relativeFrom="column">
                  <wp:posOffset>1732610</wp:posOffset>
                </wp:positionH>
                <wp:positionV relativeFrom="paragraph">
                  <wp:posOffset>2540</wp:posOffset>
                </wp:positionV>
                <wp:extent cx="1887219" cy="723900"/>
                <wp:effectExtent l="0" t="0" r="17780" b="19050"/>
                <wp:wrapNone/>
                <wp:docPr id="104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19" cy="723900"/>
                        </a:xfrm>
                        <a:prstGeom prst="rect">
                          <a:avLst/>
                        </a:prstGeom>
                        <a:ln w="12700" cap="flat" cmpd="sng">
                          <a:solidFill>
                            <a:srgbClr val="000000"/>
                          </a:solidFill>
                          <a:prstDash val="solid"/>
                          <a:miter/>
                          <a:headEnd type="none" w="med" len="med"/>
                          <a:tailEnd type="none" w="med" len="med"/>
                        </a:ln>
                      </wps:spPr>
                      <wps:txb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proofErr w:type="gramStart"/>
                            <w:r>
                              <w:rPr>
                                <w:rFonts w:ascii="Arial" w:hAnsi="Arial" w:cs="Arial"/>
                                <w:color w:val="000000"/>
                                <w:sz w:val="18"/>
                                <w:szCs w:val="20"/>
                                <w:lang w:val="en-US"/>
                              </w:rPr>
                              <w:t>25</w:t>
                            </w:r>
                            <w:r>
                              <w:rPr>
                                <w:rFonts w:ascii="Arial" w:hAnsi="Arial" w:cs="Arial"/>
                                <w:color w:val="000000"/>
                                <w:sz w:val="18"/>
                                <w:szCs w:val="20"/>
                              </w:rPr>
                              <w:t xml:space="preserve"> )</w:t>
                            </w:r>
                            <w:proofErr w:type="gramEnd"/>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540488" id="Rectangle 13" o:spid="_x0000_s1040" style="position:absolute;margin-left:136.45pt;margin-top:.2pt;width:148.6pt;height:57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" filled="f" strokeweight="1pt">
                <v:path arrowok="t"/>
                <v:textbox>
                  <w:txbxContent>
                    <w:p w14:paraId="4F022590"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New studies included in review</w:t>
                      </w:r>
                    </w:p>
                    <w:p w14:paraId="2067D4AA" w14:textId="77777777" w:rsidR="00B529D5" w:rsidRDefault="00895EA4">
                      <w:pPr>
                        <w:spacing w:after="0" w:line="240" w:lineRule="auto"/>
                        <w:rPr>
                          <w:rFonts w:ascii="Arial" w:hAnsi="Arial" w:cs="Arial"/>
                          <w:color w:val="000000"/>
                          <w:sz w:val="18"/>
                          <w:szCs w:val="20"/>
                        </w:rPr>
                      </w:pPr>
                      <w:r>
                        <w:rPr>
                          <w:rFonts w:ascii="Arial" w:hAnsi="Arial" w:cs="Arial"/>
                          <w:color w:val="000000"/>
                          <w:sz w:val="18"/>
                          <w:szCs w:val="20"/>
                        </w:rPr>
                        <w:t>(n =</w:t>
                      </w:r>
                      <w:proofErr w:type="gramStart"/>
                      <w:r>
                        <w:rPr>
                          <w:rFonts w:ascii="Arial" w:hAnsi="Arial" w:cs="Arial"/>
                          <w:color w:val="000000"/>
                          <w:sz w:val="18"/>
                          <w:szCs w:val="20"/>
                          <w:lang w:val="en-US"/>
                        </w:rPr>
                        <w:t>25</w:t>
                      </w:r>
                      <w:r>
                        <w:rPr>
                          <w:rFonts w:ascii="Arial" w:hAnsi="Arial" w:cs="Arial"/>
                          <w:color w:val="000000"/>
                          <w:sz w:val="18"/>
                          <w:szCs w:val="20"/>
                        </w:rPr>
                        <w:t xml:space="preserve"> )</w:t>
                      </w:r>
                      <w:proofErr w:type="gramEnd"/>
                    </w:p>
                  </w:txbxContent>
                </v:textbox>
              </v:rect>
            </w:pict>
          </mc:Fallback>
        </mc:AlternateContent>
      </w:r>
    </w:p>
    <w:p w14:paraId="66C1B429" w14:textId="77777777" w:rsidR="00B529D5" w:rsidRDefault="00B529D5">
      <w:pPr>
        <w:spacing w:after="0" w:line="240" w:lineRule="auto"/>
      </w:pPr>
    </w:p>
    <w:p w14:paraId="302987E6" w14:textId="77777777" w:rsidR="00B529D5" w:rsidRDefault="00B529D5">
      <w:pPr>
        <w:spacing w:after="0" w:line="240" w:lineRule="auto"/>
      </w:pPr>
    </w:p>
    <w:p w14:paraId="444F57D3" w14:textId="77777777" w:rsidR="00B529D5" w:rsidRDefault="00895EA4">
      <w:pPr>
        <w:spacing w:after="0" w:line="240" w:lineRule="auto"/>
      </w:pPr>
      <w:r>
        <w:rPr>
          <w:noProof/>
        </w:rPr>
        <mc:AlternateContent>
          <mc:Choice Requires="wps">
            <w:drawing>
              <wp:anchor distT="0" distB="0" distL="0" distR="0" simplePos="0" relativeHeight="18" behindDoc="0" locked="0" layoutInCell="1" allowOverlap="1" wp14:anchorId="58A52344" wp14:editId="5246CFED">
                <wp:simplePos x="0" y="0"/>
                <wp:positionH relativeFrom="column">
                  <wp:posOffset>-995997</wp:posOffset>
                </wp:positionH>
                <wp:positionV relativeFrom="paragraph">
                  <wp:posOffset>224473</wp:posOffset>
                </wp:positionV>
                <wp:extent cx="1776095" cy="262890"/>
                <wp:effectExtent l="0" t="5397" r="28256" b="28258"/>
                <wp:wrapNone/>
                <wp:docPr id="1050" name="Flowchart: Alternate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1776095" cy="262890"/>
                        </a:xfrm>
                        <a:prstGeom prst="flowChartAlternateProcess">
                          <a:avLst/>
                        </a:prstGeom>
                        <a:solidFill>
                          <a:srgbClr val="9CC3E5"/>
                        </a:solidFill>
                        <a:ln w="12700" cap="flat" cmpd="sng">
                          <a:solidFill>
                            <a:srgbClr val="000000"/>
                          </a:solidFill>
                          <a:prstDash val="solid"/>
                          <a:miter/>
                          <a:headEnd type="none" w="med" len="med"/>
                          <a:tailEnd type="none" w="med" len="med"/>
                        </a:ln>
                      </wps:spPr>
                      <wps:txb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2344" id="Flowchart: Alternate Process 33" o:spid="_x0000_s1041" type="#_x0000_t176" style="position:absolute;margin-left:-78.4pt;margin-top:17.7pt;width:139.85pt;height:20.7pt;rotation:-90;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" fillcolor="#9cc3e5" strokeweight="1pt">
                <v:path arrowok="t"/>
                <v:textbox>
                  <w:txbxContent>
                    <w:p w14:paraId="69B9A4CD" w14:textId="77777777" w:rsidR="00B529D5" w:rsidRDefault="00895EA4">
                      <w:pPr>
                        <w:spacing w:after="0" w:line="240" w:lineRule="auto"/>
                        <w:jc w:val="center"/>
                        <w:rPr>
                          <w:rFonts w:ascii="Arial" w:hAnsi="Arial" w:cs="Arial"/>
                          <w:b/>
                          <w:color w:val="000000"/>
                          <w:sz w:val="18"/>
                          <w:szCs w:val="18"/>
                        </w:rPr>
                      </w:pPr>
                      <w:r>
                        <w:rPr>
                          <w:rFonts w:ascii="Arial" w:hAnsi="Arial" w:cs="Arial"/>
                          <w:b/>
                          <w:color w:val="000000"/>
                          <w:sz w:val="18"/>
                          <w:szCs w:val="18"/>
                        </w:rPr>
                        <w:t>Included</w:t>
                      </w:r>
                    </w:p>
                  </w:txbxContent>
                </v:textbox>
              </v:shape>
            </w:pict>
          </mc:Fallback>
        </mc:AlternateContent>
      </w:r>
    </w:p>
    <w:p w14:paraId="32E90841" w14:textId="77777777" w:rsidR="00B529D5" w:rsidRDefault="00895EA4">
      <w:pPr>
        <w:spacing w:after="0" w:line="240" w:lineRule="auto"/>
      </w:pPr>
      <w:r>
        <w:rPr>
          <w:noProof/>
        </w:rPr>
        <mc:AlternateContent>
          <mc:Choice Requires="wps">
            <w:drawing>
              <wp:anchor distT="0" distB="0" distL="0" distR="0" simplePos="0" relativeHeight="24" behindDoc="0" locked="0" layoutInCell="1" allowOverlap="1" wp14:anchorId="01A3AA57" wp14:editId="7ECA8D04">
                <wp:simplePos x="0" y="0"/>
                <wp:positionH relativeFrom="column">
                  <wp:posOffset>2636215</wp:posOffset>
                </wp:positionH>
                <wp:positionV relativeFrom="paragraph">
                  <wp:posOffset>58420</wp:posOffset>
                </wp:positionV>
                <wp:extent cx="0" cy="281305"/>
                <wp:effectExtent l="76200" t="0" r="57150" b="61594"/>
                <wp:wrapNone/>
                <wp:docPr id="1051"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w="6350" cap="flat" cmpd="sng">
                          <a:solidFill>
                            <a:srgbClr val="000000"/>
                          </a:solidFill>
                          <a:prstDash val="solid"/>
                          <a:miter/>
                          <a:headEnd type="none" w="med" len="med"/>
                          <a:tailEnd type="triangl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1051" type="#_x0000_t32" filled="f" style="position:absolute;margin-left:207.58pt;margin-top:4.6pt;width:0.0pt;height:22.15pt;z-index:24;mso-position-horizontal-relative:text;mso-position-vertical-relative:text;mso-width-relative:page;mso-height-relative:page;mso-wrap-distance-left:0.0pt;mso-wrap-distance-right:0.0pt;visibility:visible;">
                <v:stroke endarrow="block" joinstyle="miter" weight="0.5pt"/>
                <v:fill/>
              </v:shape>
            </w:pict>
          </mc:Fallback>
        </mc:AlternateContent>
      </w:r>
    </w:p>
    <w:p w14:paraId="30EE6DD8" w14:textId="77777777" w:rsidR="00B529D5" w:rsidRDefault="00B529D5">
      <w:pPr>
        <w:spacing w:after="0" w:line="240" w:lineRule="auto"/>
      </w:pPr>
    </w:p>
    <w:p w14:paraId="45F8D534" w14:textId="77777777" w:rsidR="00B529D5" w:rsidRDefault="00B529D5">
      <w:pPr>
        <w:spacing w:after="0" w:line="240" w:lineRule="auto"/>
      </w:pPr>
    </w:p>
    <w:p w14:paraId="76180EA5" w14:textId="77777777" w:rsidR="00B529D5" w:rsidRDefault="00B529D5">
      <w:pPr>
        <w:spacing w:after="0" w:line="240" w:lineRule="auto"/>
      </w:pPr>
    </w:p>
    <w:p w14:paraId="13F6B938" w14:textId="77777777" w:rsidR="00B529D5" w:rsidRDefault="00B529D5">
      <w:pPr>
        <w:spacing w:after="0" w:line="240" w:lineRule="auto"/>
      </w:pPr>
    </w:p>
    <w:p w14:paraId="7B2C54C2" w14:textId="3AF68919" w:rsidR="00B529D5" w:rsidRDefault="00021FE2">
      <w:pPr>
        <w:pStyle w:val="Default"/>
        <w:spacing w:line="183" w:lineRule="atLeast"/>
        <w:jc w:val="both"/>
      </w:pPr>
      <w:r>
        <w:lastRenderedPageBreak/>
        <w:t xml:space="preserve">                      PIC 1.</w:t>
      </w:r>
      <w:r w:rsidR="00A607DF">
        <w:t xml:space="preserve"> Study protocol</w:t>
      </w:r>
    </w:p>
    <w:p w14:paraId="4AD2FF23" w14:textId="77777777" w:rsidR="00021FE2" w:rsidRDefault="00021FE2">
      <w:pPr>
        <w:pStyle w:val="Default"/>
        <w:spacing w:line="183" w:lineRule="atLeast"/>
        <w:jc w:val="both"/>
      </w:pPr>
    </w:p>
    <w:p w14:paraId="6EBC9840" w14:textId="77777777" w:rsidR="00B529D5" w:rsidRDefault="00895EA4">
      <w:pPr>
        <w:spacing w:after="200" w:line="480" w:lineRule="auto"/>
        <w:jc w:val="both"/>
      </w:pPr>
      <w:r>
        <w:rPr>
          <w:rFonts w:eastAsia="SimSun" w:cs="Times New Roman"/>
          <w:b/>
          <w:bCs/>
          <w:sz w:val="24"/>
          <w:szCs w:val="24"/>
          <w:lang w:val="en-US" w:eastAsia="zh-CN"/>
        </w:rPr>
        <w:t>3.2. Study Characteristics</w:t>
      </w:r>
    </w:p>
    <w:p w14:paraId="5429C02B" w14:textId="77777777" w:rsidR="00B529D5" w:rsidRDefault="00895EA4">
      <w:pPr>
        <w:spacing w:after="200" w:line="480" w:lineRule="auto"/>
        <w:jc w:val="both"/>
      </w:pPr>
      <w:r>
        <w:rPr>
          <w:rFonts w:eastAsia="SimSun" w:cs="Times New Roman"/>
          <w:sz w:val="24"/>
          <w:szCs w:val="24"/>
          <w:lang w:val="en-US" w:eastAsia="zh-CN"/>
        </w:rPr>
        <w:t>The studies reviewed were published between 2008 and 2024 and conducted primarily in Nigeria, with a few from Kenya and Ghana for contextual comparison. Populations studied were mainly pregnant women, postpartum mothers, health workers, and community leaders, with a focus on awareness, acceptance, and barriers to NBS uptake for SCD.</w:t>
      </w:r>
    </w:p>
    <w:p w14:paraId="60BE0145" w14:textId="77777777" w:rsidR="00B529D5" w:rsidRDefault="00895EA4">
      <w:pPr>
        <w:spacing w:after="200" w:line="480" w:lineRule="auto"/>
        <w:jc w:val="both"/>
      </w:pPr>
      <w:r>
        <w:rPr>
          <w:rFonts w:eastAsia="SimSun" w:cs="Times New Roman"/>
          <w:b/>
          <w:bCs/>
          <w:sz w:val="24"/>
          <w:szCs w:val="24"/>
          <w:lang w:val="en-US" w:eastAsia="zh-CN"/>
        </w:rPr>
        <w:t>3.3. Findings</w:t>
      </w:r>
    </w:p>
    <w:p w14:paraId="74439120" w14:textId="77777777" w:rsidR="00B529D5" w:rsidRDefault="00895EA4">
      <w:pPr>
        <w:spacing w:after="200" w:line="480" w:lineRule="auto"/>
        <w:jc w:val="both"/>
      </w:pPr>
      <w:r>
        <w:rPr>
          <w:rFonts w:eastAsia="SimSun" w:cs="Times New Roman"/>
          <w:b/>
          <w:bCs/>
          <w:sz w:val="24"/>
          <w:szCs w:val="24"/>
          <w:lang w:val="en-US" w:eastAsia="zh-CN"/>
        </w:rPr>
        <w:t>3.3.</w:t>
      </w:r>
      <w:proofErr w:type="gramStart"/>
      <w:r>
        <w:rPr>
          <w:rFonts w:eastAsia="SimSun" w:cs="Times New Roman"/>
          <w:b/>
          <w:bCs/>
          <w:sz w:val="24"/>
          <w:szCs w:val="24"/>
          <w:lang w:val="en-US" w:eastAsia="zh-CN"/>
        </w:rPr>
        <w:t>1.Limited</w:t>
      </w:r>
      <w:proofErr w:type="gramEnd"/>
      <w:r>
        <w:rPr>
          <w:rFonts w:eastAsia="SimSun" w:cs="Times New Roman"/>
          <w:b/>
          <w:bCs/>
          <w:sz w:val="24"/>
          <w:szCs w:val="24"/>
          <w:lang w:val="en-US" w:eastAsia="zh-CN"/>
        </w:rPr>
        <w:t xml:space="preserve"> Community Awareness of SCD and Newborn Screening</w:t>
      </w:r>
    </w:p>
    <w:p w14:paraId="5F236964" w14:textId="77777777" w:rsidR="00B529D5" w:rsidRDefault="00895EA4">
      <w:pPr>
        <w:spacing w:after="200" w:line="480" w:lineRule="auto"/>
        <w:jc w:val="both"/>
      </w:pPr>
      <w:r>
        <w:rPr>
          <w:rFonts w:eastAsia="SimSun" w:cs="Times New Roman"/>
          <w:sz w:val="24"/>
          <w:szCs w:val="24"/>
          <w:lang w:val="en-US" w:eastAsia="zh-CN"/>
        </w:rPr>
        <w:t>A consistent and concerning theme across the literature is the limited community awareness of both sickle cell disease (SCD) and newborn screening (NBS) in Nigeria, particularly in rural and low resource settings. Despite Nigeria having the highest global burden of SCD, accounting for nearly 30% of all global births with the condition—most community members remain unaware of the disease’s genetic basis, transmission, and prevention strategies, including the life-saving potential of newborn screening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w:t>
      </w:r>
      <w:proofErr w:type="spellStart"/>
      <w:r>
        <w:rPr>
          <w:rFonts w:eastAsia="SimSun" w:cs="Times New Roman"/>
          <w:sz w:val="24"/>
          <w:szCs w:val="24"/>
          <w:lang w:val="en-US" w:eastAsia="zh-CN"/>
        </w:rPr>
        <w:t>Olatunya</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2020).</w:t>
      </w:r>
    </w:p>
    <w:p w14:paraId="6C8F0967" w14:textId="77777777" w:rsidR="00B529D5" w:rsidRDefault="00895EA4">
      <w:pPr>
        <w:spacing w:after="200" w:line="480" w:lineRule="auto"/>
        <w:jc w:val="both"/>
      </w:pPr>
      <w:r>
        <w:rPr>
          <w:rFonts w:eastAsia="SimSun" w:cs="Times New Roman"/>
          <w:sz w:val="24"/>
          <w:szCs w:val="24"/>
          <w:lang w:val="en-US" w:eastAsia="zh-CN"/>
        </w:rPr>
        <w:t xml:space="preserve">In several studies reviewed, awareness of SCD was often conflated with general knowledge of "blood diseases" or misunderstood entirely. Many mothers, especially in rural communities, did not know their own genotype or that of their partner. This lack of awareness reflects deeper systemic challenges including low health literacy, limited access to genetic counseling, and poor integration of SCD education into antenatal care </w:t>
      </w:r>
      <w:proofErr w:type="gramStart"/>
      <w:r>
        <w:rPr>
          <w:rFonts w:eastAsia="SimSun" w:cs="Times New Roman"/>
          <w:sz w:val="24"/>
          <w:szCs w:val="24"/>
          <w:lang w:val="en-US" w:eastAsia="zh-CN"/>
        </w:rPr>
        <w:t>services  (</w:t>
      </w:r>
      <w:proofErr w:type="spellStart"/>
      <w:proofErr w:type="gramEnd"/>
      <w:r>
        <w:rPr>
          <w:rFonts w:eastAsia="SimSun" w:cs="Times New Roman"/>
          <w:sz w:val="24"/>
          <w:szCs w:val="24"/>
          <w:lang w:val="en-US" w:eastAsia="zh-CN"/>
        </w:rPr>
        <w:t>Ezenwosu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 Where knowledge existed, it was often accompanied by myths and misconceptions—such as beliefs that SCD is caused by spiritual forces or is a curse—which further discourage open discussion or proactive screening behaviors (Olatunji </w:t>
      </w:r>
      <w:r>
        <w:rPr>
          <w:rFonts w:eastAsia="SimSun" w:cs="Times New Roman"/>
          <w:i/>
          <w:iCs/>
          <w:sz w:val="24"/>
          <w:szCs w:val="24"/>
          <w:lang w:val="en-US" w:eastAsia="zh-CN"/>
        </w:rPr>
        <w:t>et al.,</w:t>
      </w:r>
      <w:r>
        <w:rPr>
          <w:rFonts w:eastAsia="SimSun" w:cs="Times New Roman"/>
          <w:sz w:val="24"/>
          <w:szCs w:val="24"/>
          <w:lang w:val="en-US" w:eastAsia="zh-CN"/>
        </w:rPr>
        <w:t xml:space="preserve"> 2020).</w:t>
      </w:r>
    </w:p>
    <w:p w14:paraId="466899B9" w14:textId="77777777" w:rsidR="00B529D5" w:rsidRDefault="00895EA4">
      <w:pPr>
        <w:spacing w:after="200" w:line="480" w:lineRule="auto"/>
        <w:jc w:val="both"/>
      </w:pPr>
      <w:r>
        <w:rPr>
          <w:rFonts w:eastAsia="SimSun" w:cs="Times New Roman"/>
          <w:sz w:val="24"/>
          <w:szCs w:val="24"/>
          <w:lang w:val="en-US" w:eastAsia="zh-CN"/>
        </w:rPr>
        <w:t xml:space="preserve">Critically, studies such as Wambua et al. (2015) and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reported that very few mothers had prior knowledge of newborn screening. Many believed that SCD could only be diagnosed after a child began </w:t>
      </w:r>
      <w:r>
        <w:rPr>
          <w:rFonts w:eastAsia="SimSun" w:cs="Times New Roman"/>
          <w:sz w:val="24"/>
          <w:szCs w:val="24"/>
          <w:lang w:val="en-US" w:eastAsia="zh-CN"/>
        </w:rPr>
        <w:lastRenderedPageBreak/>
        <w:t>to exhibit symptoms such as repeated illness, delayed growth, or pain crises. This reactive approach to diagnosis contrasts sharply with the proactive intent of NBS, which aims to detect SCD in asymptomatic newborns to enable early intervention through penicillin prophylaxis, vaccinations, and caregiver education. This disconnect indicates that awareness campaigns are either non-existent or ineffective at the community level, especially outside urban tertiary care centers.</w:t>
      </w:r>
    </w:p>
    <w:p w14:paraId="35DE17DD" w14:textId="77777777" w:rsidR="00B529D5" w:rsidRDefault="00895EA4">
      <w:pPr>
        <w:spacing w:after="200" w:line="480" w:lineRule="auto"/>
        <w:jc w:val="both"/>
      </w:pPr>
      <w:r>
        <w:rPr>
          <w:rFonts w:eastAsia="SimSun" w:cs="Times New Roman"/>
          <w:b/>
          <w:bCs/>
          <w:sz w:val="24"/>
          <w:szCs w:val="24"/>
          <w:lang w:val="en-US" w:eastAsia="zh-CN"/>
        </w:rPr>
        <w:t>3.3.2. High Willingness to Participate When Informed</w:t>
      </w:r>
    </w:p>
    <w:p w14:paraId="244641F8" w14:textId="77777777" w:rsidR="00B529D5" w:rsidRDefault="00895EA4">
      <w:pPr>
        <w:spacing w:after="200" w:line="480" w:lineRule="auto"/>
        <w:jc w:val="both"/>
      </w:pPr>
      <w:r>
        <w:rPr>
          <w:rFonts w:eastAsia="SimSun" w:cs="Times New Roman"/>
          <w:sz w:val="24"/>
          <w:szCs w:val="24"/>
          <w:lang w:val="en-US" w:eastAsia="zh-CN"/>
        </w:rPr>
        <w:t xml:space="preserve">Although baseline awareness of sickle cell disease (SCD) and newborn screening (NBS) was reported to be low across nearly all studies reviewed, a striking and encouraging finding was the </w:t>
      </w:r>
      <w:proofErr w:type="spellStart"/>
      <w:r>
        <w:rPr>
          <w:rFonts w:eastAsia="SimSun" w:cs="Times New Roman"/>
          <w:sz w:val="24"/>
          <w:szCs w:val="24"/>
          <w:lang w:val="en-US" w:eastAsia="zh-CN"/>
        </w:rPr>
        <w:t>hgh</w:t>
      </w:r>
      <w:proofErr w:type="spellEnd"/>
      <w:r>
        <w:rPr>
          <w:rFonts w:eastAsia="SimSun" w:cs="Times New Roman"/>
          <w:sz w:val="24"/>
          <w:szCs w:val="24"/>
          <w:lang w:val="en-US" w:eastAsia="zh-CN"/>
        </w:rPr>
        <w:t xml:space="preserve"> level of willingness among mothers to participate in NBS once properly informed. This underscores a crucial point in public health intervention design: low uptake does not necessarily reflect opposition or apathy, it often reflects a gap in access to information, not willingness.</w:t>
      </w:r>
    </w:p>
    <w:p w14:paraId="365D81EA" w14:textId="77777777" w:rsidR="00B529D5" w:rsidRDefault="00895EA4">
      <w:pPr>
        <w:spacing w:after="200" w:line="480" w:lineRule="auto"/>
        <w:jc w:val="both"/>
      </w:pPr>
      <w:r>
        <w:rPr>
          <w:rFonts w:eastAsia="SimSun" w:cs="Times New Roman"/>
          <w:sz w:val="24"/>
          <w:szCs w:val="24"/>
          <w:lang w:val="en-US" w:eastAsia="zh-CN"/>
        </w:rPr>
        <w:t xml:space="preserve">In the multi-state newborn screening project led by the Murtala Mohammed Foundation (MFG) in collaboration with the Sickle Cell Support Society of Nigeria (SCSSN), mothers across all six geopolitical zones in Lagos, Rivers, Ebonyi, Bauchi, Kano, and the Federal Capital Territory (FCT), demonstrated strong support for newborn screening following brief educational interventions.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reported that while most women were initially unaware of the screening program or its benefits, they expressed high enthusiasm and eagerness to test their babies once the procedure and its significance were explained. This intervention-based increase in willingness is a recurring trend across multiple studies.</w:t>
      </w:r>
    </w:p>
    <w:p w14:paraId="3C4DB80A" w14:textId="77777777" w:rsidR="00B529D5" w:rsidRDefault="00895EA4">
      <w:pPr>
        <w:spacing w:after="200" w:line="480" w:lineRule="auto"/>
        <w:jc w:val="both"/>
      </w:pPr>
      <w:r>
        <w:rPr>
          <w:rFonts w:eastAsia="SimSun" w:cs="Times New Roman"/>
          <w:sz w:val="24"/>
          <w:szCs w:val="24"/>
          <w:lang w:val="en-US" w:eastAsia="zh-CN"/>
        </w:rPr>
        <w:t xml:space="preserve">A similar pattern emerged in Kenya, where Wambua </w:t>
      </w:r>
      <w:r>
        <w:rPr>
          <w:rFonts w:eastAsia="SimSun" w:cs="Times New Roman"/>
          <w:i/>
          <w:iCs/>
          <w:sz w:val="24"/>
          <w:szCs w:val="24"/>
          <w:lang w:val="en-US" w:eastAsia="zh-CN"/>
        </w:rPr>
        <w:t>et al.</w:t>
      </w:r>
      <w:r>
        <w:rPr>
          <w:rFonts w:eastAsia="SimSun" w:cs="Times New Roman"/>
          <w:sz w:val="24"/>
          <w:szCs w:val="24"/>
          <w:lang w:val="en-US" w:eastAsia="zh-CN"/>
        </w:rPr>
        <w:t xml:space="preserve"> (2015) found that maternal acceptance of NBS for SCD increased significantly following targeted community education. Women who initially declined or were hesitant due to lack of understanding changed their views when provided with context-appropriate information that addressed common concerns and misconceptions. These findings suggest that resistance to NBS is not deep-rooted, but rather informational in nature.</w:t>
      </w:r>
    </w:p>
    <w:p w14:paraId="0C9A1CCC" w14:textId="77777777" w:rsidR="00B529D5" w:rsidRDefault="00895EA4">
      <w:pPr>
        <w:spacing w:after="200" w:line="480" w:lineRule="auto"/>
        <w:jc w:val="both"/>
      </w:pPr>
      <w:r>
        <w:rPr>
          <w:rFonts w:eastAsia="SimSun" w:cs="Times New Roman"/>
          <w:sz w:val="24"/>
          <w:szCs w:val="24"/>
          <w:lang w:val="en-US" w:eastAsia="zh-CN"/>
        </w:rPr>
        <w:lastRenderedPageBreak/>
        <w:t xml:space="preserve">Studies such as those by </w:t>
      </w:r>
      <w:proofErr w:type="spellStart"/>
      <w:r>
        <w:rPr>
          <w:rFonts w:eastAsia="SimSun" w:cs="Times New Roman"/>
          <w:sz w:val="24"/>
          <w:szCs w:val="24"/>
          <w:lang w:val="en-US" w:eastAsia="zh-CN"/>
        </w:rPr>
        <w:t>Ezeonwu</w:t>
      </w:r>
      <w:proofErr w:type="spellEnd"/>
      <w:r>
        <w:rPr>
          <w:rFonts w:eastAsia="SimSun" w:cs="Times New Roman"/>
          <w:sz w:val="24"/>
          <w:szCs w:val="24"/>
          <w:lang w:val="en-US" w:eastAsia="zh-CN"/>
        </w:rPr>
        <w:t xml:space="preserve"> (2014) and </w:t>
      </w:r>
      <w:proofErr w:type="spellStart"/>
      <w:r>
        <w:rPr>
          <w:rFonts w:eastAsia="SimSun" w:cs="Times New Roman"/>
          <w:sz w:val="24"/>
          <w:szCs w:val="24"/>
          <w:lang w:val="en-US" w:eastAsia="zh-CN"/>
        </w:rPr>
        <w:t>Ezenwosu</w:t>
      </w:r>
      <w:proofErr w:type="spellEnd"/>
      <w:r>
        <w:rPr>
          <w:rFonts w:eastAsia="SimSun" w:cs="Times New Roman"/>
          <w:i/>
          <w:iCs/>
          <w:sz w:val="24"/>
          <w:szCs w:val="24"/>
          <w:lang w:val="en-US" w:eastAsia="zh-CN"/>
        </w:rPr>
        <w:t xml:space="preserve"> et al.</w:t>
      </w:r>
      <w:r>
        <w:rPr>
          <w:rFonts w:eastAsia="SimSun" w:cs="Times New Roman"/>
          <w:sz w:val="24"/>
          <w:szCs w:val="24"/>
          <w:lang w:val="en-US" w:eastAsia="zh-CN"/>
        </w:rPr>
        <w:t xml:space="preserve"> (2015) support this narrative within the Nigerian context. In rural communities in Anambra and Enugu, maternal knowledge of NBS was initially negligible. However, after receiving education during antenatal visits or through research activities, mothers overwhelmingly agreed to have their newborns screened. Many mothers expressed that if they had known earlier about the condition and the availability of screening, they would have demanded it for their other children as well. This reinforces the idea that the high disease burden persists not due to disinterest, but due to an absence of health system-driven sensitization</w:t>
      </w:r>
    </w:p>
    <w:p w14:paraId="0F4F6453" w14:textId="77777777" w:rsidR="00B529D5" w:rsidRDefault="00895EA4">
      <w:pPr>
        <w:spacing w:after="200" w:line="480" w:lineRule="auto"/>
        <w:jc w:val="both"/>
      </w:pPr>
      <w:r>
        <w:rPr>
          <w:rFonts w:eastAsia="SimSun" w:cs="Times New Roman"/>
          <w:sz w:val="24"/>
          <w:szCs w:val="24"/>
          <w:lang w:val="en-US" w:eastAsia="zh-CN"/>
        </w:rPr>
        <w:t>Importantly, the willingness to participate was not limited to urban areas. In fact, several rural and semi-urban populations demonstrated greater enthusiasm once health workers clarified that early detection could significantly reduce the risk of death or complications in children with SCD. The maternal instinct to protect one's child served as a powerful motivator once the value of screening was communicated clearly, respectfully, and in culturally relevant terms.</w:t>
      </w:r>
    </w:p>
    <w:p w14:paraId="73C8900D" w14:textId="77777777" w:rsidR="00B529D5" w:rsidRDefault="00895EA4">
      <w:pPr>
        <w:spacing w:after="200" w:line="480" w:lineRule="auto"/>
        <w:jc w:val="both"/>
      </w:pPr>
      <w:r>
        <w:rPr>
          <w:rFonts w:eastAsia="SimSun" w:cs="Times New Roman"/>
          <w:b/>
          <w:bCs/>
          <w:sz w:val="24"/>
          <w:szCs w:val="24"/>
          <w:lang w:val="en-US" w:eastAsia="zh-CN"/>
        </w:rPr>
        <w:t>3.3.3. Community-Based Education Improves Uptake</w:t>
      </w:r>
    </w:p>
    <w:p w14:paraId="704B42FF" w14:textId="77777777" w:rsidR="00B529D5" w:rsidRDefault="00895EA4">
      <w:pPr>
        <w:spacing w:after="200" w:line="480" w:lineRule="auto"/>
        <w:jc w:val="both"/>
      </w:pPr>
      <w:r>
        <w:rPr>
          <w:rFonts w:eastAsia="SimSun" w:cs="Times New Roman"/>
          <w:sz w:val="24"/>
          <w:szCs w:val="24"/>
          <w:lang w:val="en-US" w:eastAsia="zh-CN"/>
        </w:rPr>
        <w:t>Across the studies included in this review, community-based education emerged as one of the most effective strategies for improving awareness and uptake of newborn screening (NBS) for sickle cell disease (SCD). In low-literacy and resource-constrained settings, conventional health education methods often fail to reach the intended population. However, when education is delivered through culturally grounded, community-led approaches, significant improvements in knowledge and screening participation are observed.</w:t>
      </w:r>
    </w:p>
    <w:p w14:paraId="12562FA5" w14:textId="77777777" w:rsidR="00B529D5" w:rsidRDefault="00895EA4">
      <w:pPr>
        <w:spacing w:after="200" w:line="480" w:lineRule="auto"/>
        <w:jc w:val="both"/>
      </w:pPr>
      <w:r>
        <w:rPr>
          <w:rFonts w:eastAsia="SimSun" w:cs="Times New Roman"/>
          <w:sz w:val="24"/>
          <w:szCs w:val="24"/>
          <w:lang w:val="en-US" w:eastAsia="zh-CN"/>
        </w:rPr>
        <w:t>In a study by Wambua e</w:t>
      </w:r>
      <w:r>
        <w:rPr>
          <w:rFonts w:eastAsia="SimSun" w:cs="Times New Roman"/>
          <w:i/>
          <w:iCs/>
          <w:sz w:val="24"/>
          <w:szCs w:val="24"/>
          <w:lang w:val="en-US" w:eastAsia="zh-CN"/>
        </w:rPr>
        <w:t>t al.</w:t>
      </w:r>
      <w:r>
        <w:rPr>
          <w:rFonts w:eastAsia="SimSun" w:cs="Times New Roman"/>
          <w:sz w:val="24"/>
          <w:szCs w:val="24"/>
          <w:lang w:val="en-US" w:eastAsia="zh-CN"/>
        </w:rPr>
        <w:t xml:space="preserve"> (2015) in Kenya, maternal acceptance of NBS improved dramatically after structured community sensitization. Prior to intervention, many mothers had little knowledge of SCD or the availability of screening. After receiving information through home visits and antenatal health talks facilitated by community health workers, screening uptake increased substantially. This finding reflects the importance of interpersonal and context-sensitive communication in overcoming mistrust and misconceptions.</w:t>
      </w:r>
    </w:p>
    <w:p w14:paraId="0F6E7BED" w14:textId="77777777" w:rsidR="00B529D5" w:rsidRDefault="00895EA4">
      <w:pPr>
        <w:spacing w:after="200" w:line="480" w:lineRule="auto"/>
        <w:jc w:val="both"/>
      </w:pPr>
      <w:r>
        <w:rPr>
          <w:rFonts w:eastAsia="SimSun" w:cs="Times New Roman"/>
          <w:sz w:val="24"/>
          <w:szCs w:val="24"/>
          <w:lang w:val="en-US" w:eastAsia="zh-CN"/>
        </w:rPr>
        <w:lastRenderedPageBreak/>
        <w:t>In Nigeria, the Healthy Beginning Initiative (HBI) implemented in the South East region demonstrated a similarly effective model. The HBI used faith-based platforms—particularly churches—to deliver educational messages and offer health services, including SCD genotype testing, during premarital and maternal health events. This community-rooted strategy proved successful in raising awareness and achieving high participation rates, particularly because the information was delivered in familiar, trusted settings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et al., 2020). Religious leaders played a pivotal role in reducing stigma and encouraging community members to seek early testing.</w:t>
      </w:r>
    </w:p>
    <w:p w14:paraId="1C94E24E" w14:textId="77777777" w:rsidR="00B529D5" w:rsidRDefault="00895EA4">
      <w:pPr>
        <w:spacing w:after="200" w:line="480" w:lineRule="auto"/>
        <w:jc w:val="both"/>
      </w:pPr>
      <w:r>
        <w:rPr>
          <w:rFonts w:eastAsia="SimSun" w:cs="Times New Roman"/>
          <w:b/>
          <w:bCs/>
          <w:sz w:val="24"/>
          <w:szCs w:val="24"/>
          <w:lang w:val="en-US" w:eastAsia="zh-CN"/>
        </w:rPr>
        <w:t>4. Discussion</w:t>
      </w:r>
    </w:p>
    <w:p w14:paraId="16BA8E73" w14:textId="77777777" w:rsidR="00B529D5" w:rsidRDefault="00895EA4">
      <w:pPr>
        <w:spacing w:after="200" w:line="480" w:lineRule="auto"/>
        <w:jc w:val="both"/>
      </w:pPr>
      <w:r>
        <w:rPr>
          <w:rFonts w:eastAsia="SimSun" w:cs="Times New Roman"/>
          <w:sz w:val="24"/>
          <w:szCs w:val="24"/>
          <w:lang w:val="en-US" w:eastAsia="zh-CN"/>
        </w:rPr>
        <w:t>This systematic review examined the landscape of newborn screening (NBS) for sickle cell disease (SCD) in Nigeria, with a specific focus on community-level awareness and engagement. The findings reveal a paradoxical but promising narrative: while baseline awareness of SCD and NBS remains critically low—especially in rural and underserved communities—acceptance and willingness to participate are remarkably high once individuals are informed. This underscores a crucial opportunity for policy intervention, health education, and culturally embedded community outreach to bridge the awareness gap and reduce preventable childhood deaths from SCD.</w:t>
      </w:r>
    </w:p>
    <w:p w14:paraId="0DF78987" w14:textId="77777777" w:rsidR="00B529D5" w:rsidRDefault="00895EA4">
      <w:pPr>
        <w:spacing w:after="200" w:line="480" w:lineRule="auto"/>
        <w:jc w:val="both"/>
      </w:pPr>
      <w:r>
        <w:rPr>
          <w:rFonts w:eastAsia="SimSun" w:cs="Times New Roman"/>
          <w:sz w:val="24"/>
          <w:szCs w:val="24"/>
          <w:lang w:val="en-US" w:eastAsia="zh-CN"/>
        </w:rPr>
        <w:t>The limited community awareness of SCD and newborn screening is consistent across studies and reflects a long-standing gap in public health communication and education. Despite Nigeria having the highest global burden of SCD, most families remain unaware of the disease’s genetic transmission and the benefits of early diagnosis. The absence of routine genotype testing before marriage, poor integration of health education into antenatal care, and misconceptions about SCD—ranging from spiritual explanations to fears of social stigma—further exacerbate the problem (Olatunji et al., 2020). In many regions, individuals only become aware of the disease after a child presents with symptoms or suffers complications, often when it is too late for preventive intervention.</w:t>
      </w:r>
    </w:p>
    <w:p w14:paraId="6C63B8E9" w14:textId="77777777" w:rsidR="00B529D5" w:rsidRDefault="00895EA4">
      <w:pPr>
        <w:spacing w:after="200" w:line="480" w:lineRule="auto"/>
        <w:jc w:val="both"/>
      </w:pPr>
      <w:r>
        <w:rPr>
          <w:rFonts w:eastAsia="SimSun" w:cs="Times New Roman"/>
          <w:sz w:val="24"/>
          <w:szCs w:val="24"/>
          <w:lang w:val="en-US" w:eastAsia="zh-CN"/>
        </w:rPr>
        <w:lastRenderedPageBreak/>
        <w:t>Yet, the review also found that this lack of awareness does not equate to resistance. In fact, studies consistently reported high levels of willingness to participate in newborn screening once the purpose and benefits were explained. The Murtala Mohammed Foundation’s pilot screening project across all six geopolitical zones in Nigeria illustrated this point clearly: from Lagos to Bauchi, mothers enthusiastically agreed to screen their newborns after even brief sensitization sessions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w:t>
      </w:r>
      <w:r>
        <w:rPr>
          <w:rFonts w:eastAsia="SimSun" w:cs="Times New Roman"/>
          <w:i/>
          <w:iCs/>
          <w:sz w:val="24"/>
          <w:szCs w:val="24"/>
          <w:lang w:val="en-US" w:eastAsia="zh-CN"/>
        </w:rPr>
        <w:t xml:space="preserve">et al., </w:t>
      </w:r>
      <w:r>
        <w:rPr>
          <w:rFonts w:eastAsia="SimSun" w:cs="Times New Roman"/>
          <w:sz w:val="24"/>
          <w:szCs w:val="24"/>
          <w:lang w:val="en-US" w:eastAsia="zh-CN"/>
        </w:rPr>
        <w:t xml:space="preserve">2020). Similar findings from Kenya (Wambua </w:t>
      </w:r>
      <w:r>
        <w:rPr>
          <w:rFonts w:eastAsia="SimSun" w:cs="Times New Roman"/>
          <w:i/>
          <w:iCs/>
          <w:sz w:val="24"/>
          <w:szCs w:val="24"/>
          <w:lang w:val="en-US" w:eastAsia="zh-CN"/>
        </w:rPr>
        <w:t>et al</w:t>
      </w:r>
      <w:r>
        <w:rPr>
          <w:rFonts w:eastAsia="SimSun" w:cs="Times New Roman"/>
          <w:sz w:val="24"/>
          <w:szCs w:val="24"/>
          <w:lang w:val="en-US" w:eastAsia="zh-CN"/>
        </w:rPr>
        <w:t>., 2015) reinforce that the challenge is not cultural opposition, but informational neglect.</w:t>
      </w:r>
    </w:p>
    <w:p w14:paraId="48B9BDAD" w14:textId="77777777" w:rsidR="00B529D5" w:rsidRDefault="00B529D5">
      <w:pPr>
        <w:spacing w:after="200" w:line="480" w:lineRule="auto"/>
        <w:jc w:val="both"/>
      </w:pPr>
    </w:p>
    <w:p w14:paraId="18AE7994" w14:textId="77777777" w:rsidR="00B529D5" w:rsidRDefault="00895EA4">
      <w:pPr>
        <w:spacing w:after="200" w:line="480" w:lineRule="auto"/>
        <w:jc w:val="both"/>
      </w:pPr>
      <w:r>
        <w:rPr>
          <w:rFonts w:eastAsia="SimSun" w:cs="Times New Roman"/>
          <w:sz w:val="24"/>
          <w:szCs w:val="24"/>
          <w:lang w:val="en-US" w:eastAsia="zh-CN"/>
        </w:rPr>
        <w:t xml:space="preserve">This willingness is an important leverage point for policymakers and public health practitioners. It highlights that with the right messaging, delivered through trusted and accessible channels, communities are not only receptive to screening—they are eager for tools that can protect their children’s lives. However, it also brings into focus the sociocultural and structural barriers that hinder widespread adoption. Studies revealed that religious beliefs, social norms, and gender roles can all influence health-seeking behavior. Women may lack decision-making power, especially in patriarchal households, and community stigma around genetic diseases can discourage open dialogue or proactive health measures </w:t>
      </w:r>
      <w:proofErr w:type="gramStart"/>
      <w:r>
        <w:rPr>
          <w:rFonts w:eastAsia="SimSun" w:cs="Times New Roman"/>
          <w:sz w:val="24"/>
          <w:szCs w:val="24"/>
          <w:lang w:val="en-US" w:eastAsia="zh-CN"/>
        </w:rPr>
        <w:t xml:space="preserve">( </w:t>
      </w:r>
      <w:proofErr w:type="spellStart"/>
      <w:r>
        <w:rPr>
          <w:rFonts w:eastAsia="SimSun" w:cs="Times New Roman"/>
          <w:sz w:val="24"/>
          <w:szCs w:val="24"/>
          <w:lang w:val="en-US" w:eastAsia="zh-CN"/>
        </w:rPr>
        <w:t>Ezenwosu</w:t>
      </w:r>
      <w:proofErr w:type="spellEnd"/>
      <w:proofErr w:type="gramEnd"/>
      <w:r>
        <w:rPr>
          <w:rFonts w:eastAsia="SimSun" w:cs="Times New Roman"/>
          <w:sz w:val="24"/>
          <w:szCs w:val="24"/>
          <w:lang w:val="en-US" w:eastAsia="zh-CN"/>
        </w:rPr>
        <w:t xml:space="preserve"> </w:t>
      </w:r>
      <w:r>
        <w:rPr>
          <w:rFonts w:eastAsia="SimSun" w:cs="Times New Roman"/>
          <w:i/>
          <w:iCs/>
          <w:sz w:val="24"/>
          <w:szCs w:val="24"/>
          <w:lang w:val="en-US" w:eastAsia="zh-CN"/>
        </w:rPr>
        <w:t>et al.,</w:t>
      </w:r>
      <w:r>
        <w:rPr>
          <w:rFonts w:eastAsia="SimSun" w:cs="Times New Roman"/>
          <w:sz w:val="24"/>
          <w:szCs w:val="24"/>
          <w:lang w:val="en-US" w:eastAsia="zh-CN"/>
        </w:rPr>
        <w:t xml:space="preserve"> 2015).</w:t>
      </w:r>
    </w:p>
    <w:p w14:paraId="787AF389" w14:textId="77777777" w:rsidR="00B529D5" w:rsidRDefault="00895EA4">
      <w:pPr>
        <w:spacing w:after="200" w:line="480" w:lineRule="auto"/>
        <w:jc w:val="both"/>
      </w:pPr>
      <w:r>
        <w:rPr>
          <w:rFonts w:eastAsia="SimSun" w:cs="Times New Roman"/>
          <w:sz w:val="24"/>
          <w:szCs w:val="24"/>
          <w:lang w:val="en-US" w:eastAsia="zh-CN"/>
        </w:rPr>
        <w:t>One of the most effective solutions to these barriers, as demonstrated across multiple studies, is community-based education. Interventions that use existing social structures—such as churches, mosques, antenatal clinics, and schools—have shown significant success in increasing awareness and participation. Programs like the Healthy Beginning Initiative, which engaged faith-based networks to educate expectant mothers and offer point-of-care testing, led to substantial improvements in knowledge and screening uptake (</w:t>
      </w:r>
      <w:proofErr w:type="spellStart"/>
      <w:r>
        <w:rPr>
          <w:rFonts w:eastAsia="SimSun" w:cs="Times New Roman"/>
          <w:sz w:val="24"/>
          <w:szCs w:val="24"/>
          <w:lang w:val="en-US" w:eastAsia="zh-CN"/>
        </w:rPr>
        <w:t>Nnodu</w:t>
      </w:r>
      <w:proofErr w:type="spellEnd"/>
      <w:r>
        <w:rPr>
          <w:rFonts w:eastAsia="SimSun" w:cs="Times New Roman"/>
          <w:sz w:val="24"/>
          <w:szCs w:val="24"/>
          <w:lang w:val="en-US" w:eastAsia="zh-CN"/>
        </w:rPr>
        <w:t xml:space="preserve"> e</w:t>
      </w:r>
      <w:r>
        <w:rPr>
          <w:rFonts w:eastAsia="SimSun" w:cs="Times New Roman"/>
          <w:i/>
          <w:iCs/>
          <w:sz w:val="24"/>
          <w:szCs w:val="24"/>
          <w:lang w:val="en-US" w:eastAsia="zh-CN"/>
        </w:rPr>
        <w:t>t al.</w:t>
      </w:r>
      <w:r>
        <w:rPr>
          <w:rFonts w:eastAsia="SimSun" w:cs="Times New Roman"/>
          <w:sz w:val="24"/>
          <w:szCs w:val="24"/>
          <w:lang w:val="en-US" w:eastAsia="zh-CN"/>
        </w:rPr>
        <w:t>, 2020). These findings underscore the importance of culturally sensitive, context-specific outreach that meets communities where they are.</w:t>
      </w:r>
    </w:p>
    <w:p w14:paraId="1FDDC7A2" w14:textId="77777777" w:rsidR="00B529D5" w:rsidRDefault="00895EA4">
      <w:pPr>
        <w:spacing w:after="200" w:line="480" w:lineRule="auto"/>
        <w:jc w:val="both"/>
      </w:pPr>
      <w:r>
        <w:rPr>
          <w:rFonts w:eastAsia="SimSun" w:cs="Times New Roman"/>
          <w:sz w:val="24"/>
          <w:szCs w:val="24"/>
          <w:lang w:val="en-US" w:eastAsia="zh-CN"/>
        </w:rPr>
        <w:t xml:space="preserve">Despite these localized successes, the national landscape remains fragmented. There is currently no policy mandating universal newborn screening for SCD in Nigeria, and public education efforts are neither </w:t>
      </w:r>
      <w:r>
        <w:rPr>
          <w:rFonts w:eastAsia="SimSun" w:cs="Times New Roman"/>
          <w:sz w:val="24"/>
          <w:szCs w:val="24"/>
          <w:lang w:val="en-US" w:eastAsia="zh-CN"/>
        </w:rPr>
        <w:lastRenderedPageBreak/>
        <w:t>consistent nor adequately funded. The deployment of High-Performance Liquid Chromatography (HPLC) diagnostic machines by the Federal Ministry of Health to all six geopolitical zones is a step in the right direction. However, without corresponding investments in community mobilization, healthcare worker training, and follow-up systems, such infrastructure will fall short of its potential impact (</w:t>
      </w:r>
      <w:proofErr w:type="spellStart"/>
      <w:r>
        <w:rPr>
          <w:rFonts w:eastAsia="SimSun" w:cs="Times New Roman"/>
          <w:sz w:val="24"/>
          <w:szCs w:val="24"/>
          <w:lang w:val="en-US" w:eastAsia="zh-CN"/>
        </w:rPr>
        <w:t>Nnodu</w:t>
      </w:r>
      <w:proofErr w:type="spellEnd"/>
      <w:r>
        <w:rPr>
          <w:rFonts w:eastAsia="SimSun" w:cs="Times New Roman"/>
          <w:i/>
          <w:iCs/>
          <w:sz w:val="24"/>
          <w:szCs w:val="24"/>
          <w:lang w:val="en-US" w:eastAsia="zh-CN"/>
        </w:rPr>
        <w:t xml:space="preserve"> et al., </w:t>
      </w:r>
      <w:r>
        <w:rPr>
          <w:rFonts w:eastAsia="SimSun" w:cs="Times New Roman"/>
          <w:sz w:val="24"/>
          <w:szCs w:val="24"/>
          <w:lang w:val="en-US" w:eastAsia="zh-CN"/>
        </w:rPr>
        <w:t>2020).</w:t>
      </w:r>
    </w:p>
    <w:p w14:paraId="1A4044E1" w14:textId="77777777" w:rsidR="00B529D5" w:rsidRDefault="00895EA4">
      <w:pPr>
        <w:spacing w:after="200" w:line="480" w:lineRule="auto"/>
        <w:jc w:val="both"/>
      </w:pPr>
      <w:r>
        <w:rPr>
          <w:rFonts w:eastAsia="SimSun" w:cs="Times New Roman"/>
          <w:sz w:val="24"/>
          <w:szCs w:val="24"/>
          <w:lang w:val="en-US" w:eastAsia="zh-CN"/>
        </w:rPr>
        <w:t>The findings of this review indicate that while structural gaps persist, there is a significant opportunity to scale newborn screening through targeted, community-centered engagement strategies. The willingness of mothers and families to participate when properly informed is a powerful indicator of readiness—one that should be matched by responsive policy, health education campaigns, and integrated services at the primary care level.</w:t>
      </w:r>
    </w:p>
    <w:p w14:paraId="2E9F39F7" w14:textId="77777777" w:rsidR="00B529D5" w:rsidRDefault="00895EA4">
      <w:pPr>
        <w:spacing w:after="200" w:line="480" w:lineRule="auto"/>
        <w:jc w:val="both"/>
      </w:pPr>
      <w:r>
        <w:rPr>
          <w:rFonts w:eastAsia="SimSun" w:cs="Times New Roman"/>
          <w:b/>
          <w:bCs/>
          <w:sz w:val="24"/>
          <w:szCs w:val="24"/>
          <w:lang w:val="en-US" w:eastAsia="zh-CN"/>
        </w:rPr>
        <w:t>5. Conclusion</w:t>
      </w:r>
    </w:p>
    <w:p w14:paraId="2D7F847C" w14:textId="77777777" w:rsidR="00B529D5" w:rsidRDefault="00895EA4">
      <w:pPr>
        <w:spacing w:after="200" w:line="480" w:lineRule="auto"/>
        <w:jc w:val="both"/>
      </w:pPr>
      <w:r>
        <w:rPr>
          <w:rFonts w:eastAsia="SimSun" w:cs="Times New Roman"/>
          <w:sz w:val="24"/>
          <w:szCs w:val="24"/>
          <w:lang w:val="en-US" w:eastAsia="zh-CN"/>
        </w:rPr>
        <w:t>Sickle cell disease remains one of Nigeria's most pressing public health burdens, with an alarmingly high rate of newborn morbidity and mortality. Despite the availability of evidence-based interventions such as newborn screening, national implementation remains grossly inadequate. Community-level awareness is critically low, particularly in rural and underserved populations, Pilot programs across Nigeria’s six geopolitical zones have revealed both the potential and the challenges of integrating NBS into existing health systems. Community engagement must be central to national policy efforts if Nigeria is to curb SCD-related infant mortality. Institutionalizing screening alone is insufficient without parallel investments in public education, culturally sensitive outreach, and supportive infrastructure.</w:t>
      </w:r>
    </w:p>
    <w:p w14:paraId="100A5507" w14:textId="77777777" w:rsidR="00B529D5" w:rsidRDefault="00B529D5">
      <w:pPr>
        <w:spacing w:after="200" w:line="480" w:lineRule="auto"/>
        <w:jc w:val="both"/>
      </w:pPr>
    </w:p>
    <w:p w14:paraId="776CA80F" w14:textId="77777777" w:rsidR="00B529D5" w:rsidRDefault="00895EA4">
      <w:pPr>
        <w:spacing w:after="200" w:line="480" w:lineRule="auto"/>
        <w:jc w:val="both"/>
      </w:pPr>
      <w:r>
        <w:rPr>
          <w:rFonts w:eastAsia="SimSun" w:cs="Times New Roman"/>
          <w:b/>
          <w:bCs/>
          <w:sz w:val="24"/>
          <w:szCs w:val="24"/>
          <w:lang w:val="en-US" w:eastAsia="zh-CN"/>
        </w:rPr>
        <w:t>6. Recommendations</w:t>
      </w:r>
    </w:p>
    <w:p w14:paraId="1E784256" w14:textId="77777777" w:rsidR="00B529D5" w:rsidRDefault="00895EA4">
      <w:pPr>
        <w:spacing w:after="200" w:line="480" w:lineRule="auto"/>
        <w:jc w:val="both"/>
      </w:pPr>
      <w:r>
        <w:rPr>
          <w:rFonts w:eastAsia="SimSun" w:cs="Times New Roman"/>
          <w:sz w:val="24"/>
          <w:szCs w:val="24"/>
          <w:lang w:val="en-US" w:eastAsia="zh-CN"/>
        </w:rPr>
        <w:t>The systematic review highlights the need for a comprehensive approach to improve community awareness and engagement on sickle cell disease (SCD) and newborn screening (NBS). The following recommendations and research areas can help address this critical public health issue:</w:t>
      </w:r>
    </w:p>
    <w:p w14:paraId="06958C87"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lastRenderedPageBreak/>
        <w:t>The Federal Ministry of Health should scale the HPLC initiatives into a comprehensive national strategy, integrating SCD screening into routine neonatal care.</w:t>
      </w:r>
    </w:p>
    <w:p w14:paraId="323CBBC2"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Public health campaigns should leverage existing community structures—such as antenatal clinics, religious gatherings, and traditional leadership forums—to disseminate information about SCD and NBS.</w:t>
      </w:r>
    </w:p>
    <w:p w14:paraId="5EFBDB77"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Integrate SCD Education into School Curricula:  Early education can reduce long-term stigma and promote informed reproductive choices.</w:t>
      </w:r>
    </w:p>
    <w:p w14:paraId="7F1F43D6" w14:textId="77777777" w:rsidR="00B529D5" w:rsidRDefault="00895EA4">
      <w:pPr>
        <w:pStyle w:val="ListParagraph"/>
        <w:numPr>
          <w:ilvl w:val="0"/>
          <w:numId w:val="1"/>
        </w:numPr>
        <w:spacing w:after="200" w:line="480" w:lineRule="auto"/>
        <w:jc w:val="both"/>
        <w:rPr>
          <w:sz w:val="24"/>
          <w:szCs w:val="24"/>
        </w:rPr>
      </w:pPr>
      <w:r>
        <w:rPr>
          <w:rFonts w:eastAsia="SimSun" w:cs="Times New Roman"/>
          <w:sz w:val="24"/>
          <w:szCs w:val="24"/>
          <w:lang w:val="en-US" w:eastAsia="zh-CN"/>
        </w:rPr>
        <w:t>Reducing financial barriers will promote uptake of screening services, particularly in low income settings.</w:t>
      </w:r>
    </w:p>
    <w:p w14:paraId="6D7A6040" w14:textId="77777777" w:rsidR="00B529D5" w:rsidRDefault="00895EA4">
      <w:pPr>
        <w:spacing w:after="200" w:line="480" w:lineRule="auto"/>
        <w:jc w:val="both"/>
      </w:pPr>
      <w:r>
        <w:rPr>
          <w:rFonts w:eastAsia="SimSun" w:cs="Times New Roman"/>
          <w:b/>
          <w:bCs/>
          <w:sz w:val="24"/>
          <w:szCs w:val="24"/>
          <w:lang w:val="en-US" w:eastAsia="zh-CN"/>
        </w:rPr>
        <w:t>7. Areas for Further Research</w:t>
      </w:r>
    </w:p>
    <w:p w14:paraId="0ACB6CAB" w14:textId="77777777" w:rsidR="00B529D5" w:rsidRDefault="00895EA4">
      <w:pPr>
        <w:spacing w:after="200" w:line="480" w:lineRule="auto"/>
        <w:jc w:val="both"/>
      </w:pPr>
      <w:r>
        <w:rPr>
          <w:lang w:val="en-US"/>
        </w:rPr>
        <w:t>To build on the existing knowledge and enhance the effectiveness of newborn screening programs, further investigation is warranted into the following areas:</w:t>
      </w:r>
    </w:p>
    <w:p w14:paraId="39148183" w14:textId="77777777" w:rsidR="00B529D5" w:rsidRDefault="00895EA4">
      <w:pPr>
        <w:pStyle w:val="ListParagraph"/>
        <w:numPr>
          <w:ilvl w:val="0"/>
          <w:numId w:val="2"/>
        </w:numPr>
        <w:spacing w:after="200" w:line="480" w:lineRule="auto"/>
        <w:jc w:val="both"/>
        <w:rPr>
          <w:sz w:val="24"/>
          <w:szCs w:val="24"/>
        </w:rPr>
      </w:pPr>
      <w:r>
        <w:rPr>
          <w:rFonts w:eastAsia="SimSun" w:cs="Times New Roman"/>
          <w:sz w:val="24"/>
          <w:szCs w:val="24"/>
          <w:lang w:val="en-US" w:eastAsia="zh-CN"/>
        </w:rPr>
        <w:t>Investigating the use of mobile platforms and social media in raising awareness and mobilizing participation in newborn screening programs.</w:t>
      </w:r>
    </w:p>
    <w:p w14:paraId="62B94A91" w14:textId="77777777" w:rsidR="00B529D5" w:rsidRDefault="00895EA4">
      <w:pPr>
        <w:pStyle w:val="ListParagraph"/>
        <w:numPr>
          <w:ilvl w:val="0"/>
          <w:numId w:val="2"/>
        </w:numPr>
        <w:spacing w:after="200" w:line="480" w:lineRule="auto"/>
        <w:jc w:val="both"/>
        <w:rPr>
          <w:sz w:val="24"/>
          <w:szCs w:val="24"/>
        </w:rPr>
      </w:pPr>
      <w:r>
        <w:rPr>
          <w:rFonts w:eastAsia="SimSun" w:cs="Times New Roman"/>
          <w:sz w:val="24"/>
          <w:szCs w:val="24"/>
          <w:lang w:val="en-US" w:eastAsia="zh-CN"/>
        </w:rPr>
        <w:t xml:space="preserve"> Tracking the health and social outcomes of infants identified through NBS can help validate and refine existing intervention models.</w:t>
      </w:r>
    </w:p>
    <w:p w14:paraId="796E7D8E" w14:textId="77777777" w:rsidR="00B529D5" w:rsidRDefault="00B529D5">
      <w:pPr>
        <w:pStyle w:val="ListParagraph"/>
        <w:spacing w:after="200" w:line="480" w:lineRule="auto"/>
        <w:jc w:val="both"/>
        <w:rPr>
          <w:sz w:val="24"/>
          <w:szCs w:val="24"/>
        </w:rPr>
      </w:pPr>
    </w:p>
    <w:p w14:paraId="1ED3AB78" w14:textId="77777777" w:rsidR="00B529D5" w:rsidRDefault="00B529D5">
      <w:pPr>
        <w:pStyle w:val="ListParagraph"/>
        <w:spacing w:after="200" w:line="480" w:lineRule="auto"/>
        <w:jc w:val="both"/>
        <w:rPr>
          <w:sz w:val="24"/>
          <w:szCs w:val="24"/>
        </w:rPr>
      </w:pPr>
    </w:p>
    <w:p w14:paraId="16C14127" w14:textId="77777777" w:rsidR="00B529D5" w:rsidRDefault="00895EA4">
      <w:pPr>
        <w:spacing w:after="200" w:line="480" w:lineRule="auto"/>
        <w:jc w:val="both"/>
      </w:pPr>
      <w:bookmarkStart w:id="0" w:name="_GoBack"/>
      <w:bookmarkEnd w:id="0"/>
      <w:r>
        <w:rPr>
          <w:rFonts w:eastAsia="SimSun" w:cs="Times New Roman"/>
          <w:b/>
          <w:bCs/>
          <w:sz w:val="24"/>
          <w:szCs w:val="24"/>
          <w:lang w:val="en-US" w:eastAsia="zh-CN"/>
        </w:rPr>
        <w:t xml:space="preserve">Data Availability: </w:t>
      </w:r>
      <w:r>
        <w:rPr>
          <w:rFonts w:eastAsia="SimSun" w:cs="Times New Roman"/>
          <w:sz w:val="24"/>
          <w:szCs w:val="24"/>
          <w:lang w:val="en-US" w:eastAsia="zh-CN"/>
        </w:rPr>
        <w:t>There is no data availability statement applicable to this research.</w:t>
      </w:r>
    </w:p>
    <w:p w14:paraId="0EED2E6B" w14:textId="77777777" w:rsidR="00B529D5" w:rsidRDefault="00895EA4">
      <w:pPr>
        <w:spacing w:after="200" w:line="480" w:lineRule="auto"/>
        <w:jc w:val="both"/>
      </w:pPr>
      <w:r>
        <w:rPr>
          <w:rFonts w:eastAsia="SimSun" w:cs="Times New Roman"/>
          <w:b/>
          <w:bCs/>
          <w:sz w:val="24"/>
          <w:szCs w:val="24"/>
          <w:lang w:val="en-US" w:eastAsia="zh-CN"/>
        </w:rPr>
        <w:t>Disclaimer</w:t>
      </w:r>
      <w:r>
        <w:rPr>
          <w:rFonts w:eastAsia="SimSun" w:cs="Times New Roman"/>
          <w:sz w:val="24"/>
          <w:szCs w:val="24"/>
          <w:lang w:val="en-US" w:eastAsia="zh-CN"/>
        </w:rPr>
        <w:t>: None</w:t>
      </w:r>
    </w:p>
    <w:p w14:paraId="35AE56FE" w14:textId="77777777" w:rsidR="00B529D5" w:rsidRDefault="00B529D5">
      <w:pPr>
        <w:pStyle w:val="Default"/>
        <w:spacing w:line="183" w:lineRule="atLeast"/>
        <w:jc w:val="both"/>
      </w:pPr>
    </w:p>
    <w:p w14:paraId="09783355" w14:textId="77777777" w:rsidR="00B529D5" w:rsidRDefault="00895EA4">
      <w:pPr>
        <w:pStyle w:val="Default"/>
        <w:spacing w:line="183" w:lineRule="atLeast"/>
        <w:jc w:val="both"/>
      </w:pPr>
      <w:r>
        <w:rPr>
          <w:lang w:val="en-US"/>
        </w:rPr>
        <w:t>References</w:t>
      </w:r>
    </w:p>
    <w:p w14:paraId="6355EA77" w14:textId="77777777" w:rsidR="00B529D5" w:rsidRDefault="00B529D5">
      <w:pPr>
        <w:pStyle w:val="Default"/>
        <w:spacing w:line="183" w:lineRule="atLeast"/>
        <w:jc w:val="both"/>
      </w:pPr>
    </w:p>
    <w:p w14:paraId="7210C5F9" w14:textId="77777777" w:rsidR="00B529D5" w:rsidRDefault="00895EA4" w:rsidP="000250BD">
      <w:pPr>
        <w:pStyle w:val="Default"/>
        <w:numPr>
          <w:ilvl w:val="0"/>
          <w:numId w:val="3"/>
        </w:numPr>
        <w:spacing w:line="183" w:lineRule="atLeast"/>
        <w:jc w:val="both"/>
      </w:pPr>
      <w:proofErr w:type="spellStart"/>
      <w:r>
        <w:rPr>
          <w:lang w:val="en-US"/>
        </w:rPr>
        <w:t>Ezenwosu</w:t>
      </w:r>
      <w:proofErr w:type="spellEnd"/>
      <w:r>
        <w:rPr>
          <w:lang w:val="en-US"/>
        </w:rPr>
        <w:t xml:space="preserve">, O. U., Chukwu, B. F., </w:t>
      </w:r>
      <w:proofErr w:type="spellStart"/>
      <w:r>
        <w:rPr>
          <w:lang w:val="en-US"/>
        </w:rPr>
        <w:t>Ikefuna</w:t>
      </w:r>
      <w:proofErr w:type="spellEnd"/>
      <w:r>
        <w:rPr>
          <w:lang w:val="en-US"/>
        </w:rPr>
        <w:t xml:space="preserve">, A. N., </w:t>
      </w:r>
      <w:proofErr w:type="spellStart"/>
      <w:r>
        <w:rPr>
          <w:lang w:val="en-US"/>
        </w:rPr>
        <w:t>Emodi</w:t>
      </w:r>
      <w:proofErr w:type="spellEnd"/>
      <w:r>
        <w:rPr>
          <w:lang w:val="en-US"/>
        </w:rPr>
        <w:t xml:space="preserve">, I. J., &amp; Nebo, A. (2015). Determinants of health-seeking behavior in caregivers of children with sickle cell disease in a tertiary health institution in Enugu, Nigeria. </w:t>
      </w:r>
      <w:r>
        <w:rPr>
          <w:i/>
          <w:iCs/>
          <w:lang w:val="en-US"/>
        </w:rPr>
        <w:t>Journal of Community Medicine and Primary Health Care,</w:t>
      </w:r>
      <w:r>
        <w:rPr>
          <w:lang w:val="en-US"/>
        </w:rPr>
        <w:t xml:space="preserve"> 27(1), 67–73.</w:t>
      </w:r>
    </w:p>
    <w:p w14:paraId="0887CD22" w14:textId="77777777" w:rsidR="00B529D5" w:rsidRDefault="00B529D5">
      <w:pPr>
        <w:pStyle w:val="Default"/>
        <w:spacing w:line="183" w:lineRule="atLeast"/>
        <w:jc w:val="both"/>
      </w:pPr>
    </w:p>
    <w:p w14:paraId="5CD54593" w14:textId="77777777" w:rsidR="00B529D5" w:rsidRDefault="00895EA4" w:rsidP="000250BD">
      <w:pPr>
        <w:pStyle w:val="Default"/>
        <w:numPr>
          <w:ilvl w:val="0"/>
          <w:numId w:val="3"/>
        </w:numPr>
        <w:spacing w:line="183" w:lineRule="atLeast"/>
        <w:jc w:val="both"/>
      </w:pPr>
      <w:proofErr w:type="spellStart"/>
      <w:r>
        <w:rPr>
          <w:lang w:val="en-US"/>
        </w:rPr>
        <w:lastRenderedPageBreak/>
        <w:t>Ezeonwu</w:t>
      </w:r>
      <w:proofErr w:type="spellEnd"/>
      <w:r>
        <w:rPr>
          <w:lang w:val="en-US"/>
        </w:rPr>
        <w:t>, B. U. (2014). Knowledge and attitudes of women towards sickle cell disease screening in a rural community in Southeast Nigeria. Annals of African Medicine, 13(4), 216–222.</w:t>
      </w:r>
    </w:p>
    <w:p w14:paraId="7CDB0964" w14:textId="77777777" w:rsidR="00B529D5" w:rsidRDefault="00B529D5">
      <w:pPr>
        <w:pStyle w:val="Default"/>
        <w:spacing w:line="183" w:lineRule="atLeast"/>
        <w:jc w:val="both"/>
      </w:pPr>
    </w:p>
    <w:p w14:paraId="7A043E3B" w14:textId="77777777" w:rsidR="00B529D5" w:rsidRDefault="00895EA4" w:rsidP="000250BD">
      <w:pPr>
        <w:pStyle w:val="Default"/>
        <w:numPr>
          <w:ilvl w:val="0"/>
          <w:numId w:val="3"/>
        </w:numPr>
        <w:spacing w:line="183" w:lineRule="atLeast"/>
        <w:jc w:val="both"/>
      </w:pPr>
      <w:r>
        <w:rPr>
          <w:lang w:val="en-US"/>
        </w:rPr>
        <w:t xml:space="preserve">Grosse, S. D., Odame, I., Atrash, H. K., </w:t>
      </w:r>
      <w:proofErr w:type="spellStart"/>
      <w:r>
        <w:rPr>
          <w:lang w:val="en-US"/>
        </w:rPr>
        <w:t>Amendah</w:t>
      </w:r>
      <w:proofErr w:type="spellEnd"/>
      <w:r>
        <w:rPr>
          <w:lang w:val="en-US"/>
        </w:rPr>
        <w:t xml:space="preserve">, D. D., Piel, F. B., &amp; Williams, T. N. (2011). Sickle cell disease in Africa: A neglected cause of early childhood mortality. </w:t>
      </w:r>
      <w:r>
        <w:rPr>
          <w:i/>
          <w:iCs/>
          <w:lang w:val="en-US"/>
        </w:rPr>
        <w:t xml:space="preserve">American Journal of Preventive </w:t>
      </w:r>
      <w:proofErr w:type="gramStart"/>
      <w:r>
        <w:rPr>
          <w:i/>
          <w:iCs/>
          <w:lang w:val="en-US"/>
        </w:rPr>
        <w:t>Medicine,</w:t>
      </w:r>
      <w:r>
        <w:rPr>
          <w:lang w:val="en-US"/>
        </w:rPr>
        <w:t xml:space="preserve">  41</w:t>
      </w:r>
      <w:proofErr w:type="gramEnd"/>
      <w:r>
        <w:rPr>
          <w:lang w:val="en-US"/>
        </w:rPr>
        <w:t>(6), S398–S405.</w:t>
      </w:r>
    </w:p>
    <w:p w14:paraId="0FD455D9" w14:textId="77777777" w:rsidR="00B529D5" w:rsidRDefault="00B529D5">
      <w:pPr>
        <w:pStyle w:val="Default"/>
        <w:spacing w:line="183" w:lineRule="atLeast"/>
        <w:jc w:val="both"/>
      </w:pPr>
    </w:p>
    <w:p w14:paraId="5FEE1569" w14:textId="77777777" w:rsidR="00B529D5" w:rsidRDefault="00895EA4" w:rsidP="000250BD">
      <w:pPr>
        <w:pStyle w:val="Default"/>
        <w:numPr>
          <w:ilvl w:val="0"/>
          <w:numId w:val="3"/>
        </w:numPr>
        <w:spacing w:line="183" w:lineRule="atLeast"/>
        <w:jc w:val="both"/>
      </w:pPr>
      <w:r>
        <w:rPr>
          <w:lang w:val="en-US"/>
        </w:rPr>
        <w:t xml:space="preserve">McGann, P. T., Ferris, M. G., Ramamurthy, U., Santos, B., de Oliveira, V., &amp; Ware, R. E. (2017). A multi-center, prospective cohort study of sickle cell disease in sub-Saharan Africa: The </w:t>
      </w:r>
      <w:proofErr w:type="spellStart"/>
      <w:r>
        <w:rPr>
          <w:lang w:val="en-US"/>
        </w:rPr>
        <w:t>SickleInAfrica</w:t>
      </w:r>
      <w:proofErr w:type="spellEnd"/>
      <w:r>
        <w:rPr>
          <w:lang w:val="en-US"/>
        </w:rPr>
        <w:t xml:space="preserve"> registry. Pediatric Blood &amp; Cancer, 64(1), e26301.</w:t>
      </w:r>
    </w:p>
    <w:p w14:paraId="4BB84418" w14:textId="77777777" w:rsidR="00B529D5" w:rsidRDefault="00B529D5">
      <w:pPr>
        <w:pStyle w:val="Default"/>
        <w:spacing w:line="183" w:lineRule="atLeast"/>
        <w:jc w:val="both"/>
      </w:pPr>
    </w:p>
    <w:p w14:paraId="77193C95" w14:textId="77777777" w:rsidR="00B529D5" w:rsidRDefault="00895EA4" w:rsidP="000250BD">
      <w:pPr>
        <w:pStyle w:val="Default"/>
        <w:numPr>
          <w:ilvl w:val="0"/>
          <w:numId w:val="3"/>
        </w:numPr>
        <w:spacing w:line="183" w:lineRule="atLeast"/>
        <w:jc w:val="both"/>
      </w:pPr>
      <w:proofErr w:type="spellStart"/>
      <w:r>
        <w:rPr>
          <w:lang w:val="en-US"/>
        </w:rPr>
        <w:t>Nnodu</w:t>
      </w:r>
      <w:proofErr w:type="spellEnd"/>
      <w:r>
        <w:rPr>
          <w:lang w:val="en-US"/>
        </w:rPr>
        <w:t xml:space="preserve">, O. E., </w:t>
      </w:r>
      <w:proofErr w:type="spellStart"/>
      <w:r>
        <w:rPr>
          <w:lang w:val="en-US"/>
        </w:rPr>
        <w:t>Sopekan</w:t>
      </w:r>
      <w:proofErr w:type="spellEnd"/>
      <w:r>
        <w:rPr>
          <w:lang w:val="en-US"/>
        </w:rPr>
        <w:t xml:space="preserve">, A., </w:t>
      </w:r>
      <w:proofErr w:type="spellStart"/>
      <w:r>
        <w:rPr>
          <w:lang w:val="en-US"/>
        </w:rPr>
        <w:t>Nnebe-Agumadu</w:t>
      </w:r>
      <w:proofErr w:type="spellEnd"/>
      <w:r>
        <w:rPr>
          <w:lang w:val="en-US"/>
        </w:rPr>
        <w:t xml:space="preserve">, U., </w:t>
      </w:r>
      <w:proofErr w:type="spellStart"/>
      <w:r>
        <w:rPr>
          <w:lang w:val="en-US"/>
        </w:rPr>
        <w:t>Ohiaeri</w:t>
      </w:r>
      <w:proofErr w:type="spellEnd"/>
      <w:r>
        <w:rPr>
          <w:lang w:val="en-US"/>
        </w:rPr>
        <w:t>, C., Adegoke, S. A., &amp; Sickle Pan Africa Research Consortium Nigeria Network. (2020). Implementation of newborn screening for sickle cell disease as part of immunization programs in Nigeria: A pilot study.</w:t>
      </w:r>
      <w:r>
        <w:rPr>
          <w:i/>
          <w:iCs/>
          <w:lang w:val="en-US"/>
        </w:rPr>
        <w:t xml:space="preserve"> International Journal of Neonatal Screening,</w:t>
      </w:r>
      <w:r>
        <w:rPr>
          <w:lang w:val="en-US"/>
        </w:rPr>
        <w:t>6(3), 57.</w:t>
      </w:r>
    </w:p>
    <w:p w14:paraId="1E36279A" w14:textId="77777777" w:rsidR="00B529D5" w:rsidRDefault="00B529D5">
      <w:pPr>
        <w:pStyle w:val="Default"/>
        <w:spacing w:line="183" w:lineRule="atLeast"/>
        <w:jc w:val="both"/>
      </w:pPr>
    </w:p>
    <w:p w14:paraId="1E9A0202" w14:textId="77777777" w:rsidR="00B529D5" w:rsidRDefault="00895EA4" w:rsidP="000250BD">
      <w:pPr>
        <w:pStyle w:val="Default"/>
        <w:numPr>
          <w:ilvl w:val="0"/>
          <w:numId w:val="3"/>
        </w:numPr>
        <w:spacing w:line="183" w:lineRule="atLeast"/>
        <w:jc w:val="both"/>
      </w:pPr>
      <w:proofErr w:type="spellStart"/>
      <w:r>
        <w:rPr>
          <w:lang w:val="en-US"/>
        </w:rPr>
        <w:t>Oatunji</w:t>
      </w:r>
      <w:proofErr w:type="spellEnd"/>
      <w:r>
        <w:rPr>
          <w:lang w:val="en-US"/>
        </w:rPr>
        <w:t xml:space="preserve">, P. O., Adebayo, O., Okonkwo, I. R., &amp; </w:t>
      </w:r>
      <w:proofErr w:type="spellStart"/>
      <w:r>
        <w:rPr>
          <w:lang w:val="en-US"/>
        </w:rPr>
        <w:t>Mokuolu</w:t>
      </w:r>
      <w:proofErr w:type="spellEnd"/>
      <w:r>
        <w:rPr>
          <w:lang w:val="en-US"/>
        </w:rPr>
        <w:t>, O. A. (2020). Community perceptions and beliefs on sickle cell disease and newborn screening in selected Nigerian communities.</w:t>
      </w:r>
      <w:r>
        <w:rPr>
          <w:i/>
          <w:iCs/>
          <w:lang w:val="en-US"/>
        </w:rPr>
        <w:t xml:space="preserve"> African Journal of Reproductive Health, </w:t>
      </w:r>
      <w:r>
        <w:rPr>
          <w:lang w:val="en-US"/>
        </w:rPr>
        <w:t>24(4), 152–162.</w:t>
      </w:r>
    </w:p>
    <w:p w14:paraId="154BD002" w14:textId="77777777" w:rsidR="00B529D5" w:rsidRDefault="00B529D5">
      <w:pPr>
        <w:pStyle w:val="Default"/>
        <w:spacing w:line="183" w:lineRule="atLeast"/>
        <w:jc w:val="both"/>
      </w:pPr>
    </w:p>
    <w:p w14:paraId="1877A8EE" w14:textId="77777777" w:rsidR="00B529D5" w:rsidRDefault="00895EA4" w:rsidP="000250BD">
      <w:pPr>
        <w:pStyle w:val="Default"/>
        <w:numPr>
          <w:ilvl w:val="0"/>
          <w:numId w:val="3"/>
        </w:numPr>
        <w:spacing w:line="183" w:lineRule="atLeast"/>
        <w:jc w:val="both"/>
      </w:pPr>
      <w:proofErr w:type="spellStart"/>
      <w:r>
        <w:rPr>
          <w:lang w:val="en-US"/>
        </w:rPr>
        <w:t>Tshilolo</w:t>
      </w:r>
      <w:proofErr w:type="spellEnd"/>
      <w:r>
        <w:rPr>
          <w:lang w:val="en-US"/>
        </w:rPr>
        <w:t xml:space="preserve">, L., </w:t>
      </w:r>
      <w:proofErr w:type="spellStart"/>
      <w:r>
        <w:rPr>
          <w:lang w:val="en-US"/>
        </w:rPr>
        <w:t>Aissi</w:t>
      </w:r>
      <w:proofErr w:type="spellEnd"/>
      <w:r>
        <w:rPr>
          <w:lang w:val="en-US"/>
        </w:rPr>
        <w:t xml:space="preserve">, L. M., Lukusa, D., </w:t>
      </w:r>
      <w:proofErr w:type="spellStart"/>
      <w:r>
        <w:rPr>
          <w:lang w:val="en-US"/>
        </w:rPr>
        <w:t>Kinsiama</w:t>
      </w:r>
      <w:proofErr w:type="spellEnd"/>
      <w:r>
        <w:rPr>
          <w:lang w:val="en-US"/>
        </w:rPr>
        <w:t xml:space="preserve">, C., </w:t>
      </w:r>
      <w:proofErr w:type="spellStart"/>
      <w:r>
        <w:rPr>
          <w:lang w:val="en-US"/>
        </w:rPr>
        <w:t>Wembonyama</w:t>
      </w:r>
      <w:proofErr w:type="spellEnd"/>
      <w:r>
        <w:rPr>
          <w:lang w:val="en-US"/>
        </w:rPr>
        <w:t xml:space="preserve">, S., Gulbis, B., &amp; </w:t>
      </w:r>
      <w:proofErr w:type="spellStart"/>
      <w:r>
        <w:rPr>
          <w:lang w:val="en-US"/>
        </w:rPr>
        <w:t>Vertongen</w:t>
      </w:r>
      <w:proofErr w:type="spellEnd"/>
      <w:r>
        <w:rPr>
          <w:lang w:val="en-US"/>
        </w:rPr>
        <w:t xml:space="preserve">, F. (2009). Neonatal screening for sickle cell </w:t>
      </w:r>
      <w:proofErr w:type="spellStart"/>
      <w:r>
        <w:rPr>
          <w:lang w:val="en-US"/>
        </w:rPr>
        <w:t>anaemia</w:t>
      </w:r>
      <w:proofErr w:type="spellEnd"/>
      <w:r>
        <w:rPr>
          <w:lang w:val="en-US"/>
        </w:rPr>
        <w:t xml:space="preserve"> in the Democratic Republic of the Congo: Experience from a pioneer project on 31,204 newborns.</w:t>
      </w:r>
      <w:r>
        <w:rPr>
          <w:i/>
          <w:iCs/>
          <w:lang w:val="en-US"/>
        </w:rPr>
        <w:t xml:space="preserve"> Journal of Clinical Pathology,</w:t>
      </w:r>
      <w:r>
        <w:rPr>
          <w:lang w:val="en-US"/>
        </w:rPr>
        <w:t xml:space="preserve"> 62(1), 35–38.</w:t>
      </w:r>
    </w:p>
    <w:p w14:paraId="419881E3" w14:textId="77777777" w:rsidR="00B529D5" w:rsidRDefault="00B529D5">
      <w:pPr>
        <w:pStyle w:val="Default"/>
        <w:spacing w:line="183" w:lineRule="atLeast"/>
        <w:jc w:val="both"/>
      </w:pPr>
    </w:p>
    <w:p w14:paraId="12BBA9A0" w14:textId="77777777" w:rsidR="00B529D5" w:rsidRDefault="00895EA4" w:rsidP="000250BD">
      <w:pPr>
        <w:pStyle w:val="Default"/>
        <w:numPr>
          <w:ilvl w:val="0"/>
          <w:numId w:val="3"/>
        </w:numPr>
        <w:spacing w:line="183" w:lineRule="atLeast"/>
        <w:jc w:val="both"/>
      </w:pPr>
      <w:r>
        <w:rPr>
          <w:lang w:val="en-US"/>
        </w:rPr>
        <w:t xml:space="preserve">Wambua, S., </w:t>
      </w:r>
      <w:proofErr w:type="spellStart"/>
      <w:r>
        <w:rPr>
          <w:lang w:val="en-US"/>
        </w:rPr>
        <w:t>Mwachari</w:t>
      </w:r>
      <w:proofErr w:type="spellEnd"/>
      <w:r>
        <w:rPr>
          <w:lang w:val="en-US"/>
        </w:rPr>
        <w:t>, C., Odhiambo, J., &amp; Marsh, K. (2015). Acceptability of newborn screening for sickle cell disease in Kenya. Pediatric Hematology and Oncology, 32(1), 1–8.</w:t>
      </w:r>
    </w:p>
    <w:p w14:paraId="44670F87" w14:textId="77777777" w:rsidR="00B529D5" w:rsidRDefault="00B529D5">
      <w:pPr>
        <w:pStyle w:val="Default"/>
        <w:spacing w:line="183" w:lineRule="atLeast"/>
        <w:jc w:val="both"/>
        <w:rPr>
          <w:lang w:val="en-US"/>
        </w:rPr>
      </w:pPr>
    </w:p>
    <w:p w14:paraId="40CB94EB" w14:textId="4BF163E0" w:rsidR="00B529D5" w:rsidRDefault="00895EA4" w:rsidP="000250BD">
      <w:pPr>
        <w:pStyle w:val="Default"/>
        <w:numPr>
          <w:ilvl w:val="0"/>
          <w:numId w:val="3"/>
        </w:numPr>
        <w:spacing w:line="183" w:lineRule="atLeast"/>
        <w:jc w:val="both"/>
        <w:rPr>
          <w:lang w:val="en-US"/>
        </w:rPr>
      </w:pPr>
      <w:r>
        <w:rPr>
          <w:lang w:val="en-US"/>
        </w:rPr>
        <w:t xml:space="preserve">World Health Organization (WHO). (2006). Management of birth defects and </w:t>
      </w:r>
      <w:proofErr w:type="spellStart"/>
      <w:r>
        <w:rPr>
          <w:lang w:val="en-US"/>
        </w:rPr>
        <w:t>haemoglobin</w:t>
      </w:r>
      <w:proofErr w:type="spellEnd"/>
      <w:r>
        <w:rPr>
          <w:lang w:val="en-US"/>
        </w:rPr>
        <w:t xml:space="preserve"> disorders: Report of a joint WHO-March of Dimes meeting. Geneva: WHO Press.</w:t>
      </w:r>
    </w:p>
    <w:p w14:paraId="06915D33" w14:textId="77777777" w:rsidR="000250BD" w:rsidRDefault="000250BD">
      <w:pPr>
        <w:pStyle w:val="Default"/>
        <w:spacing w:line="183" w:lineRule="atLeast"/>
        <w:jc w:val="both"/>
      </w:pPr>
    </w:p>
    <w:p w14:paraId="5D1CE445" w14:textId="7257BB2E" w:rsidR="00B529D5" w:rsidRDefault="00B529D5">
      <w:pPr>
        <w:pStyle w:val="Default"/>
        <w:spacing w:line="183" w:lineRule="atLeast"/>
        <w:jc w:val="both"/>
      </w:pPr>
    </w:p>
    <w:p w14:paraId="2AB4C0E2" w14:textId="18B1F34A"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Inusa</w:t>
      </w:r>
      <w:proofErr w:type="spellEnd"/>
      <w:r>
        <w:rPr>
          <w:rFonts w:ascii="Arial" w:hAnsi="Arial" w:cs="Arial"/>
          <w:color w:val="222222"/>
          <w:sz w:val="20"/>
          <w:szCs w:val="20"/>
          <w:shd w:val="clear" w:color="auto" w:fill="FFFFFF"/>
        </w:rPr>
        <w:t xml:space="preserve">, B. P., </w:t>
      </w:r>
      <w:proofErr w:type="spellStart"/>
      <w:r>
        <w:rPr>
          <w:rFonts w:ascii="Arial" w:hAnsi="Arial" w:cs="Arial"/>
          <w:color w:val="222222"/>
          <w:sz w:val="20"/>
          <w:szCs w:val="20"/>
          <w:shd w:val="clear" w:color="auto" w:fill="FFFFFF"/>
        </w:rPr>
        <w:t>Anie</w:t>
      </w:r>
      <w:proofErr w:type="spellEnd"/>
      <w:r>
        <w:rPr>
          <w:rFonts w:ascii="Arial" w:hAnsi="Arial" w:cs="Arial"/>
          <w:color w:val="222222"/>
          <w:sz w:val="20"/>
          <w:szCs w:val="20"/>
          <w:shd w:val="clear" w:color="auto" w:fill="FFFFFF"/>
        </w:rPr>
        <w:t xml:space="preserve">, K. A., Lamont, A.,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xml:space="preserve">, L. G., </w:t>
      </w:r>
      <w:proofErr w:type="spellStart"/>
      <w:r>
        <w:rPr>
          <w:rFonts w:ascii="Arial" w:hAnsi="Arial" w:cs="Arial"/>
          <w:color w:val="222222"/>
          <w:sz w:val="20"/>
          <w:szCs w:val="20"/>
          <w:shd w:val="clear" w:color="auto" w:fill="FFFFFF"/>
        </w:rPr>
        <w:t>Ojo</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Ijei</w:t>
      </w:r>
      <w:proofErr w:type="spellEnd"/>
      <w:r>
        <w:rPr>
          <w:rFonts w:ascii="Arial" w:hAnsi="Arial" w:cs="Arial"/>
          <w:color w:val="222222"/>
          <w:sz w:val="20"/>
          <w:szCs w:val="20"/>
          <w:shd w:val="clear" w:color="auto" w:fill="FFFFFF"/>
        </w:rPr>
        <w:t xml:space="preserve">, I., ... &amp; Hsu, L. (2018). Utilising the ‘getting to </w:t>
      </w:r>
      <w:proofErr w:type="spellStart"/>
      <w:r>
        <w:rPr>
          <w:rFonts w:ascii="Arial" w:hAnsi="Arial" w:cs="Arial"/>
          <w:color w:val="222222"/>
          <w:sz w:val="20"/>
          <w:szCs w:val="20"/>
          <w:shd w:val="clear" w:color="auto" w:fill="FFFFFF"/>
        </w:rPr>
        <w:t>Outcomes®’framework</w:t>
      </w:r>
      <w:proofErr w:type="spellEnd"/>
      <w:r>
        <w:rPr>
          <w:rFonts w:ascii="Arial" w:hAnsi="Arial" w:cs="Arial"/>
          <w:color w:val="222222"/>
          <w:sz w:val="20"/>
          <w:szCs w:val="20"/>
          <w:shd w:val="clear" w:color="auto" w:fill="FFFFFF"/>
        </w:rPr>
        <w:t xml:space="preserve"> in community engagement for development and implementation of sickle cell disease newborn screening in Kaduna State, Nigeria.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w:t>
      </w:r>
      <w:r>
        <w:rPr>
          <w:rFonts w:ascii="Arial" w:hAnsi="Arial" w:cs="Arial"/>
          <w:color w:val="222222"/>
          <w:sz w:val="20"/>
          <w:szCs w:val="20"/>
          <w:shd w:val="clear" w:color="auto" w:fill="FFFFFF"/>
        </w:rPr>
        <w:t>(4), 33.</w:t>
      </w:r>
    </w:p>
    <w:p w14:paraId="7DCF26EF" w14:textId="0F15A2DA" w:rsidR="000250BD" w:rsidRDefault="000250BD">
      <w:pPr>
        <w:pStyle w:val="Default"/>
        <w:spacing w:line="183" w:lineRule="atLeast"/>
        <w:jc w:val="both"/>
      </w:pPr>
    </w:p>
    <w:p w14:paraId="4C153AC5" w14:textId="612C8ACE" w:rsidR="000250BD" w:rsidRDefault="000250BD" w:rsidP="000250BD">
      <w:pPr>
        <w:pStyle w:val="Default"/>
        <w:numPr>
          <w:ilvl w:val="0"/>
          <w:numId w:val="3"/>
        </w:numPr>
        <w:spacing w:line="183" w:lineRule="atLeast"/>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Minkovitz</w:t>
      </w:r>
      <w:proofErr w:type="spellEnd"/>
      <w:r>
        <w:rPr>
          <w:rFonts w:ascii="Arial" w:hAnsi="Arial" w:cs="Arial"/>
          <w:color w:val="222222"/>
          <w:sz w:val="20"/>
          <w:szCs w:val="20"/>
          <w:shd w:val="clear" w:color="auto" w:fill="FFFFFF"/>
        </w:rPr>
        <w:t xml:space="preserve">, C. S., </w:t>
      </w:r>
      <w:proofErr w:type="spellStart"/>
      <w:r>
        <w:rPr>
          <w:rFonts w:ascii="Arial" w:hAnsi="Arial" w:cs="Arial"/>
          <w:color w:val="222222"/>
          <w:sz w:val="20"/>
          <w:szCs w:val="20"/>
          <w:shd w:val="clear" w:color="auto" w:fill="FFFFFF"/>
        </w:rPr>
        <w:t>Grason</w:t>
      </w:r>
      <w:proofErr w:type="spellEnd"/>
      <w:r>
        <w:rPr>
          <w:rFonts w:ascii="Arial" w:hAnsi="Arial" w:cs="Arial"/>
          <w:color w:val="222222"/>
          <w:sz w:val="20"/>
          <w:szCs w:val="20"/>
          <w:shd w:val="clear" w:color="auto" w:fill="FFFFFF"/>
        </w:rPr>
        <w:t>, H., Ruderman, M., &amp; Casella, J. F. (2016). Newborn screening programs and sickle cell disease: a public health services and systems approach.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S39-S47.</w:t>
      </w:r>
    </w:p>
    <w:p w14:paraId="04D5E7DE" w14:textId="1D2CD9C3" w:rsidR="000250BD" w:rsidRDefault="000250BD">
      <w:pPr>
        <w:pStyle w:val="Default"/>
        <w:spacing w:line="183" w:lineRule="atLeast"/>
        <w:jc w:val="both"/>
      </w:pPr>
    </w:p>
    <w:p w14:paraId="5CAAC476" w14:textId="7BB2C330"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Ezenwosu</w:t>
      </w:r>
      <w:proofErr w:type="spellEnd"/>
      <w:r>
        <w:rPr>
          <w:rFonts w:ascii="Arial" w:hAnsi="Arial" w:cs="Arial"/>
          <w:color w:val="222222"/>
          <w:sz w:val="20"/>
          <w:szCs w:val="20"/>
          <w:shd w:val="clear" w:color="auto" w:fill="FFFFFF"/>
        </w:rPr>
        <w:t xml:space="preserve">, O. U., </w:t>
      </w:r>
      <w:proofErr w:type="spellStart"/>
      <w:r>
        <w:rPr>
          <w:rFonts w:ascii="Arial" w:hAnsi="Arial" w:cs="Arial"/>
          <w:color w:val="222222"/>
          <w:sz w:val="20"/>
          <w:szCs w:val="20"/>
          <w:shd w:val="clear" w:color="auto" w:fill="FFFFFF"/>
        </w:rPr>
        <w:t>Olawepo</w:t>
      </w:r>
      <w:proofErr w:type="spellEnd"/>
      <w:r>
        <w:rPr>
          <w:rFonts w:ascii="Arial" w:hAnsi="Arial" w:cs="Arial"/>
          <w:color w:val="222222"/>
          <w:sz w:val="20"/>
          <w:szCs w:val="20"/>
          <w:shd w:val="clear" w:color="auto" w:fill="FFFFFF"/>
        </w:rPr>
        <w:t>, J. O., Lacroix-</w:t>
      </w:r>
      <w:proofErr w:type="spellStart"/>
      <w:r>
        <w:rPr>
          <w:rFonts w:ascii="Arial" w:hAnsi="Arial" w:cs="Arial"/>
          <w:color w:val="222222"/>
          <w:sz w:val="20"/>
          <w:szCs w:val="20"/>
          <w:shd w:val="clear" w:color="auto" w:fill="FFFFFF"/>
        </w:rPr>
        <w:t>Willliamson</w:t>
      </w:r>
      <w:proofErr w:type="spellEnd"/>
      <w:r>
        <w:rPr>
          <w:rFonts w:ascii="Arial" w:hAnsi="Arial" w:cs="Arial"/>
          <w:color w:val="222222"/>
          <w:sz w:val="20"/>
          <w:szCs w:val="20"/>
          <w:shd w:val="clear" w:color="auto" w:fill="FFFFFF"/>
        </w:rPr>
        <w:t xml:space="preserve">, L. J., </w:t>
      </w:r>
      <w:proofErr w:type="spellStart"/>
      <w:r>
        <w:rPr>
          <w:rFonts w:ascii="Arial" w:hAnsi="Arial" w:cs="Arial"/>
          <w:color w:val="222222"/>
          <w:sz w:val="20"/>
          <w:szCs w:val="20"/>
          <w:shd w:val="clear" w:color="auto" w:fill="FFFFFF"/>
        </w:rPr>
        <w:t>Itanyi</w:t>
      </w:r>
      <w:proofErr w:type="spellEnd"/>
      <w:r>
        <w:rPr>
          <w:rFonts w:ascii="Arial" w:hAnsi="Arial" w:cs="Arial"/>
          <w:color w:val="222222"/>
          <w:sz w:val="20"/>
          <w:szCs w:val="20"/>
          <w:shd w:val="clear" w:color="auto" w:fill="FFFFFF"/>
        </w:rPr>
        <w:t xml:space="preserve">, I. U., </w:t>
      </w:r>
      <w:proofErr w:type="spellStart"/>
      <w:r>
        <w:rPr>
          <w:rFonts w:ascii="Arial" w:hAnsi="Arial" w:cs="Arial"/>
          <w:color w:val="222222"/>
          <w:sz w:val="20"/>
          <w:szCs w:val="20"/>
          <w:shd w:val="clear" w:color="auto" w:fill="FFFFFF"/>
        </w:rPr>
        <w:t>Ogidi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Onyeka</w:t>
      </w:r>
      <w:proofErr w:type="spellEnd"/>
      <w:r>
        <w:rPr>
          <w:rFonts w:ascii="Arial" w:hAnsi="Arial" w:cs="Arial"/>
          <w:color w:val="222222"/>
          <w:sz w:val="20"/>
          <w:szCs w:val="20"/>
          <w:shd w:val="clear" w:color="auto" w:fill="FFFFFF"/>
        </w:rPr>
        <w:t xml:space="preserve">, T. C., ... &amp; </w:t>
      </w:r>
      <w:proofErr w:type="spellStart"/>
      <w:r>
        <w:rPr>
          <w:rFonts w:ascii="Arial" w:hAnsi="Arial" w:cs="Arial"/>
          <w:color w:val="222222"/>
          <w:sz w:val="20"/>
          <w:szCs w:val="20"/>
          <w:shd w:val="clear" w:color="auto" w:fill="FFFFFF"/>
        </w:rPr>
        <w:t>Ezeanolue</w:t>
      </w:r>
      <w:proofErr w:type="spellEnd"/>
      <w:r>
        <w:rPr>
          <w:rFonts w:ascii="Arial" w:hAnsi="Arial" w:cs="Arial"/>
          <w:color w:val="222222"/>
          <w:sz w:val="20"/>
          <w:szCs w:val="20"/>
          <w:shd w:val="clear" w:color="auto" w:fill="FFFFFF"/>
        </w:rPr>
        <w:t>, E. E. (2024). Health education to promote knowledge about sickle cell disease and newborn screening in pregnant women: a community-based pilot study using the healthy beginning initiative. </w:t>
      </w:r>
      <w:r>
        <w:rPr>
          <w:rFonts w:ascii="Arial" w:hAnsi="Arial" w:cs="Arial"/>
          <w:i/>
          <w:iCs/>
          <w:color w:val="222222"/>
          <w:sz w:val="20"/>
          <w:szCs w:val="20"/>
          <w:shd w:val="clear" w:color="auto" w:fill="FFFFFF"/>
        </w:rPr>
        <w:t>BMC Pregnancy and Childbirth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(1), 321.</w:t>
      </w:r>
    </w:p>
    <w:p w14:paraId="0691F339" w14:textId="77777777" w:rsidR="000250BD" w:rsidRDefault="000250BD" w:rsidP="000250BD">
      <w:pPr>
        <w:pStyle w:val="ListParagraph"/>
      </w:pPr>
    </w:p>
    <w:p w14:paraId="13F70545" w14:textId="5F53D6E6"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Anie</w:t>
      </w:r>
      <w:proofErr w:type="spellEnd"/>
      <w:r>
        <w:rPr>
          <w:rFonts w:ascii="Arial" w:hAnsi="Arial" w:cs="Arial"/>
          <w:color w:val="222222"/>
          <w:sz w:val="20"/>
          <w:szCs w:val="20"/>
          <w:shd w:val="clear" w:color="auto" w:fill="FFFFFF"/>
        </w:rPr>
        <w:t>, K. A., Treadwell, M. J., Grant, A. M., Dennis-</w:t>
      </w:r>
      <w:proofErr w:type="spellStart"/>
      <w:r>
        <w:rPr>
          <w:rFonts w:ascii="Arial" w:hAnsi="Arial" w:cs="Arial"/>
          <w:color w:val="222222"/>
          <w:sz w:val="20"/>
          <w:szCs w:val="20"/>
          <w:shd w:val="clear" w:color="auto" w:fill="FFFFFF"/>
        </w:rPr>
        <w:t>Antwi</w:t>
      </w:r>
      <w:proofErr w:type="spellEnd"/>
      <w:r>
        <w:rPr>
          <w:rFonts w:ascii="Arial" w:hAnsi="Arial" w:cs="Arial"/>
          <w:color w:val="222222"/>
          <w:sz w:val="20"/>
          <w:szCs w:val="20"/>
          <w:shd w:val="clear" w:color="auto" w:fill="FFFFFF"/>
        </w:rPr>
        <w:t xml:space="preserve">, J. A., </w:t>
      </w:r>
      <w:proofErr w:type="spellStart"/>
      <w:r>
        <w:rPr>
          <w:rFonts w:ascii="Arial" w:hAnsi="Arial" w:cs="Arial"/>
          <w:color w:val="222222"/>
          <w:sz w:val="20"/>
          <w:szCs w:val="20"/>
          <w:shd w:val="clear" w:color="auto" w:fill="FFFFFF"/>
        </w:rPr>
        <w:t>Asafo</w:t>
      </w:r>
      <w:proofErr w:type="spellEnd"/>
      <w:r>
        <w:rPr>
          <w:rFonts w:ascii="Arial" w:hAnsi="Arial" w:cs="Arial"/>
          <w:color w:val="222222"/>
          <w:sz w:val="20"/>
          <w:szCs w:val="20"/>
          <w:shd w:val="clear" w:color="auto" w:fill="FFFFFF"/>
        </w:rPr>
        <w:t>, M. K., Lamptey, M. E., ... &amp; Ohene-</w:t>
      </w:r>
      <w:proofErr w:type="spellStart"/>
      <w:r>
        <w:rPr>
          <w:rFonts w:ascii="Arial" w:hAnsi="Arial" w:cs="Arial"/>
          <w:color w:val="222222"/>
          <w:sz w:val="20"/>
          <w:szCs w:val="20"/>
          <w:shd w:val="clear" w:color="auto" w:fill="FFFFFF"/>
        </w:rPr>
        <w:t>Frempong</w:t>
      </w:r>
      <w:proofErr w:type="spellEnd"/>
      <w:r>
        <w:rPr>
          <w:rFonts w:ascii="Arial" w:hAnsi="Arial" w:cs="Arial"/>
          <w:color w:val="222222"/>
          <w:sz w:val="20"/>
          <w:szCs w:val="20"/>
          <w:shd w:val="clear" w:color="auto" w:fill="FFFFFF"/>
        </w:rPr>
        <w:t>, K. (2016). Community engagement to inform the development of a sickle cell counselor training and certification program in Ghana. </w:t>
      </w:r>
      <w:r>
        <w:rPr>
          <w:rFonts w:ascii="Arial" w:hAnsi="Arial" w:cs="Arial"/>
          <w:i/>
          <w:iCs/>
          <w:color w:val="222222"/>
          <w:sz w:val="20"/>
          <w:szCs w:val="20"/>
          <w:shd w:val="clear" w:color="auto" w:fill="FFFFFF"/>
        </w:rPr>
        <w:t>Journal of community genetics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 195-202.</w:t>
      </w:r>
    </w:p>
    <w:p w14:paraId="6BC40919" w14:textId="77777777" w:rsidR="000250BD" w:rsidRDefault="000250BD" w:rsidP="000250BD">
      <w:pPr>
        <w:pStyle w:val="ListParagraph"/>
      </w:pPr>
    </w:p>
    <w:p w14:paraId="2E6820EE" w14:textId="7DF4FAE9"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w:t>
      </w:r>
      <w:proofErr w:type="spellStart"/>
      <w:r>
        <w:rPr>
          <w:rFonts w:ascii="Arial" w:hAnsi="Arial" w:cs="Arial"/>
          <w:color w:val="222222"/>
          <w:sz w:val="20"/>
          <w:szCs w:val="20"/>
          <w:shd w:val="clear" w:color="auto" w:fill="FFFFFF"/>
        </w:rPr>
        <w:t>Schlenz</w:t>
      </w:r>
      <w:proofErr w:type="spellEnd"/>
      <w:r>
        <w:rPr>
          <w:rFonts w:ascii="Arial" w:hAnsi="Arial" w:cs="Arial"/>
          <w:color w:val="222222"/>
          <w:sz w:val="20"/>
          <w:szCs w:val="20"/>
          <w:shd w:val="clear" w:color="auto" w:fill="FFFFFF"/>
        </w:rPr>
        <w:t xml:space="preserve">, A. M.,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(2023). Understanding Gaps in Current Practices of Newborn Screening Follow-up for Sickle Cell Disease in the United States. </w:t>
      </w:r>
      <w:r>
        <w:rPr>
          <w:rFonts w:ascii="Arial" w:hAnsi="Arial" w:cs="Arial"/>
          <w:i/>
          <w:iCs/>
          <w:color w:val="222222"/>
          <w:sz w:val="20"/>
          <w:szCs w:val="20"/>
          <w:shd w:val="clear" w:color="auto" w:fill="FFFFFF"/>
        </w:rPr>
        <w:t>Blood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142</w:t>
      </w:r>
      <w:r>
        <w:rPr>
          <w:rFonts w:ascii="Arial" w:hAnsi="Arial" w:cs="Arial"/>
          <w:color w:val="222222"/>
          <w:sz w:val="20"/>
          <w:szCs w:val="20"/>
          <w:shd w:val="clear" w:color="auto" w:fill="FFFFFF"/>
        </w:rPr>
        <w:t>, 2529.</w:t>
      </w:r>
    </w:p>
    <w:p w14:paraId="5D3C2508" w14:textId="77777777" w:rsidR="000250BD" w:rsidRDefault="000250BD" w:rsidP="000250BD">
      <w:pPr>
        <w:pStyle w:val="ListParagraph"/>
      </w:pPr>
    </w:p>
    <w:p w14:paraId="3A4AA8D7" w14:textId="2F921FB3"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Hsu, L. L., Green, N. S., Ivy, E. D., </w:t>
      </w:r>
      <w:proofErr w:type="spellStart"/>
      <w:r>
        <w:rPr>
          <w:rFonts w:ascii="Arial" w:hAnsi="Arial" w:cs="Arial"/>
          <w:color w:val="222222"/>
          <w:sz w:val="20"/>
          <w:szCs w:val="20"/>
          <w:shd w:val="clear" w:color="auto" w:fill="FFFFFF"/>
        </w:rPr>
        <w:t>Neunert</w:t>
      </w:r>
      <w:proofErr w:type="spellEnd"/>
      <w:r>
        <w:rPr>
          <w:rFonts w:ascii="Arial" w:hAnsi="Arial" w:cs="Arial"/>
          <w:color w:val="222222"/>
          <w:sz w:val="20"/>
          <w:szCs w:val="20"/>
          <w:shd w:val="clear" w:color="auto" w:fill="FFFFFF"/>
        </w:rPr>
        <w:t xml:space="preserve">, C. E., </w:t>
      </w:r>
      <w:proofErr w:type="spellStart"/>
      <w:r>
        <w:rPr>
          <w:rFonts w:ascii="Arial" w:hAnsi="Arial" w:cs="Arial"/>
          <w:color w:val="222222"/>
          <w:sz w:val="20"/>
          <w:szCs w:val="20"/>
          <w:shd w:val="clear" w:color="auto" w:fill="FFFFFF"/>
        </w:rPr>
        <w:t>Smaldone</w:t>
      </w:r>
      <w:proofErr w:type="spellEnd"/>
      <w:r>
        <w:rPr>
          <w:rFonts w:ascii="Arial" w:hAnsi="Arial" w:cs="Arial"/>
          <w:color w:val="222222"/>
          <w:sz w:val="20"/>
          <w:szCs w:val="20"/>
          <w:shd w:val="clear" w:color="auto" w:fill="FFFFFF"/>
        </w:rPr>
        <w:t xml:space="preserve">, A., Johnson, S., ... &amp; Martin, M. (2016). Community </w:t>
      </w:r>
      <w:r>
        <w:rPr>
          <w:rFonts w:ascii="Arial" w:hAnsi="Arial" w:cs="Arial"/>
          <w:color w:val="222222"/>
          <w:sz w:val="20"/>
          <w:szCs w:val="20"/>
          <w:shd w:val="clear" w:color="auto" w:fill="FFFFFF"/>
        </w:rPr>
        <w:lastRenderedPageBreak/>
        <w:t>health workers as support for sickle cell care. </w:t>
      </w:r>
      <w:r>
        <w:rPr>
          <w:rFonts w:ascii="Arial" w:hAnsi="Arial" w:cs="Arial"/>
          <w:i/>
          <w:iCs/>
          <w:color w:val="222222"/>
          <w:sz w:val="20"/>
          <w:szCs w:val="20"/>
          <w:shd w:val="clear" w:color="auto" w:fill="FFFFFF"/>
        </w:rPr>
        <w:t>American journal of preventive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(1), S87-S98.</w:t>
      </w:r>
    </w:p>
    <w:p w14:paraId="364A1A01" w14:textId="77777777" w:rsidR="000250BD" w:rsidRDefault="000250BD" w:rsidP="000250BD">
      <w:pPr>
        <w:pStyle w:val="ListParagraph"/>
      </w:pPr>
    </w:p>
    <w:p w14:paraId="13D6E634" w14:textId="0DC53AE6"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Archer, N. M., </w:t>
      </w:r>
      <w:proofErr w:type="spellStart"/>
      <w:r>
        <w:rPr>
          <w:rFonts w:ascii="Arial" w:hAnsi="Arial" w:cs="Arial"/>
          <w:color w:val="222222"/>
          <w:sz w:val="20"/>
          <w:szCs w:val="20"/>
          <w:shd w:val="clear" w:color="auto" w:fill="FFFFFF"/>
        </w:rPr>
        <w:t>Inusa</w:t>
      </w:r>
      <w:proofErr w:type="spellEnd"/>
      <w:r>
        <w:rPr>
          <w:rFonts w:ascii="Arial" w:hAnsi="Arial" w:cs="Arial"/>
          <w:color w:val="222222"/>
          <w:sz w:val="20"/>
          <w:szCs w:val="20"/>
          <w:shd w:val="clear" w:color="auto" w:fill="FFFFFF"/>
        </w:rPr>
        <w:t xml:space="preserve">, B., Makani, J., </w:t>
      </w:r>
      <w:proofErr w:type="spellStart"/>
      <w:r>
        <w:rPr>
          <w:rFonts w:ascii="Arial" w:hAnsi="Arial" w:cs="Arial"/>
          <w:color w:val="222222"/>
          <w:sz w:val="20"/>
          <w:szCs w:val="20"/>
          <w:shd w:val="clear" w:color="auto" w:fill="FFFFFF"/>
        </w:rPr>
        <w:t>Nkya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Tshilolo</w:t>
      </w:r>
      <w:proofErr w:type="spellEnd"/>
      <w:r>
        <w:rPr>
          <w:rFonts w:ascii="Arial" w:hAnsi="Arial" w:cs="Arial"/>
          <w:color w:val="222222"/>
          <w:sz w:val="20"/>
          <w:szCs w:val="20"/>
          <w:shd w:val="clear" w:color="auto" w:fill="FFFFFF"/>
        </w:rPr>
        <w:t>, L., Tubman, V. N., ... &amp; Ohene-</w:t>
      </w:r>
      <w:proofErr w:type="spellStart"/>
      <w:r>
        <w:rPr>
          <w:rFonts w:ascii="Arial" w:hAnsi="Arial" w:cs="Arial"/>
          <w:color w:val="222222"/>
          <w:sz w:val="20"/>
          <w:szCs w:val="20"/>
          <w:shd w:val="clear" w:color="auto" w:fill="FFFFFF"/>
        </w:rPr>
        <w:t>Frempong</w:t>
      </w:r>
      <w:proofErr w:type="spellEnd"/>
      <w:r>
        <w:rPr>
          <w:rFonts w:ascii="Arial" w:hAnsi="Arial" w:cs="Arial"/>
          <w:color w:val="222222"/>
          <w:sz w:val="20"/>
          <w:szCs w:val="20"/>
          <w:shd w:val="clear" w:color="auto" w:fill="FFFFFF"/>
        </w:rPr>
        <w:t>, K. (2022). Enablers and barriers to newborn screening for sickle cell disease in Africa: results from a qualitative study involving programmes in six countries. </w:t>
      </w:r>
      <w:r>
        <w:rPr>
          <w:rFonts w:ascii="Arial" w:hAnsi="Arial" w:cs="Arial"/>
          <w:i/>
          <w:iCs/>
          <w:color w:val="222222"/>
          <w:sz w:val="20"/>
          <w:szCs w:val="20"/>
          <w:shd w:val="clear" w:color="auto" w:fill="FFFFFF"/>
        </w:rPr>
        <w:t>BMJ open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(3), e057623.</w:t>
      </w:r>
    </w:p>
    <w:p w14:paraId="2F9DB24B" w14:textId="77777777" w:rsidR="000250BD" w:rsidRDefault="000250BD" w:rsidP="000250BD">
      <w:pPr>
        <w:pStyle w:val="ListParagraph"/>
      </w:pPr>
    </w:p>
    <w:p w14:paraId="62714CD7" w14:textId="372769E5" w:rsidR="000250BD" w:rsidRPr="000250BD" w:rsidRDefault="000250BD" w:rsidP="000250BD">
      <w:pPr>
        <w:pStyle w:val="Default"/>
        <w:numPr>
          <w:ilvl w:val="0"/>
          <w:numId w:val="3"/>
        </w:numPr>
        <w:spacing w:line="183" w:lineRule="atLeast"/>
        <w:jc w:val="both"/>
      </w:pPr>
      <w:proofErr w:type="spellStart"/>
      <w:r>
        <w:rPr>
          <w:rFonts w:ascii="Arial" w:hAnsi="Arial" w:cs="Arial"/>
          <w:color w:val="222222"/>
          <w:sz w:val="20"/>
          <w:szCs w:val="20"/>
          <w:shd w:val="clear" w:color="auto" w:fill="FFFFFF"/>
        </w:rPr>
        <w:t>Galadanci</w:t>
      </w:r>
      <w:proofErr w:type="spellEnd"/>
      <w:r>
        <w:rPr>
          <w:rFonts w:ascii="Arial" w:hAnsi="Arial" w:cs="Arial"/>
          <w:color w:val="222222"/>
          <w:sz w:val="20"/>
          <w:szCs w:val="20"/>
          <w:shd w:val="clear" w:color="auto" w:fill="FFFFFF"/>
        </w:rPr>
        <w:t xml:space="preserve">, N., Phillips, S., </w:t>
      </w:r>
      <w:proofErr w:type="spellStart"/>
      <w:r>
        <w:rPr>
          <w:rFonts w:ascii="Arial" w:hAnsi="Arial" w:cs="Arial"/>
          <w:color w:val="222222"/>
          <w:sz w:val="20"/>
          <w:szCs w:val="20"/>
          <w:shd w:val="clear" w:color="auto" w:fill="FFFFFF"/>
        </w:rPr>
        <w:t>Schlenz</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Ivankova</w:t>
      </w:r>
      <w:proofErr w:type="spellEnd"/>
      <w:r>
        <w:rPr>
          <w:rFonts w:ascii="Arial" w:hAnsi="Arial" w:cs="Arial"/>
          <w:color w:val="222222"/>
          <w:sz w:val="20"/>
          <w:szCs w:val="20"/>
          <w:shd w:val="clear" w:color="auto" w:fill="FFFFFF"/>
        </w:rPr>
        <w:t>, N., &amp; Kanter, J. (2024). Current methods of newborn screening follow-up for sickle cell disease are highly variable and without quality assurance: results from the ENHANCE study. </w:t>
      </w:r>
      <w:r>
        <w:rPr>
          <w:rFonts w:ascii="Arial" w:hAnsi="Arial" w:cs="Arial"/>
          <w:i/>
          <w:iCs/>
          <w:color w:val="222222"/>
          <w:sz w:val="20"/>
          <w:szCs w:val="20"/>
          <w:shd w:val="clear" w:color="auto" w:fill="FFFFFF"/>
        </w:rPr>
        <w:t>International journal of neonatal screening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(1), 22.</w:t>
      </w:r>
    </w:p>
    <w:p w14:paraId="37BE8374" w14:textId="77777777" w:rsidR="000250BD" w:rsidRDefault="000250BD" w:rsidP="000250BD">
      <w:pPr>
        <w:pStyle w:val="ListParagraph"/>
      </w:pPr>
    </w:p>
    <w:p w14:paraId="7E164769" w14:textId="6C32FAE8"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Byrnes, C., Botello-</w:t>
      </w:r>
      <w:proofErr w:type="spellStart"/>
      <w:r>
        <w:rPr>
          <w:rFonts w:ascii="Arial" w:hAnsi="Arial" w:cs="Arial"/>
          <w:color w:val="222222"/>
          <w:sz w:val="20"/>
          <w:szCs w:val="20"/>
          <w:shd w:val="clear" w:color="auto" w:fill="FFFFFF"/>
        </w:rPr>
        <w:t>Harbaum</w:t>
      </w:r>
      <w:proofErr w:type="spellEnd"/>
      <w:r>
        <w:rPr>
          <w:rFonts w:ascii="Arial" w:hAnsi="Arial" w:cs="Arial"/>
          <w:color w:val="222222"/>
          <w:sz w:val="20"/>
          <w:szCs w:val="20"/>
          <w:shd w:val="clear" w:color="auto" w:fill="FFFFFF"/>
        </w:rPr>
        <w:t>, M., Clemons, T., Bailey, L., Valdes, K. M., &amp; Coleman-Cowger, V. H. (2022). Process and strategies for patient engagement and outreach in the Sickle Cell Disease (SCD) community to promote clinical trial participation. </w:t>
      </w:r>
      <w:r>
        <w:rPr>
          <w:rFonts w:ascii="Arial" w:hAnsi="Arial" w:cs="Arial"/>
          <w:i/>
          <w:iCs/>
          <w:color w:val="222222"/>
          <w:sz w:val="20"/>
          <w:szCs w:val="20"/>
          <w:shd w:val="clear" w:color="auto" w:fill="FFFFFF"/>
        </w:rPr>
        <w:t>Journal of the National Medical Association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114</w:t>
      </w:r>
      <w:r>
        <w:rPr>
          <w:rFonts w:ascii="Arial" w:hAnsi="Arial" w:cs="Arial"/>
          <w:color w:val="222222"/>
          <w:sz w:val="20"/>
          <w:szCs w:val="20"/>
          <w:shd w:val="clear" w:color="auto" w:fill="FFFFFF"/>
        </w:rPr>
        <w:t>(2), 211-217.</w:t>
      </w:r>
    </w:p>
    <w:p w14:paraId="2BCE6B64" w14:textId="77777777" w:rsidR="000250BD" w:rsidRDefault="000250BD" w:rsidP="000250BD">
      <w:pPr>
        <w:pStyle w:val="ListParagraph"/>
      </w:pPr>
    </w:p>
    <w:p w14:paraId="7AD08014" w14:textId="4743B3E4" w:rsidR="000250BD" w:rsidRP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 xml:space="preserve">Hsu, L., </w:t>
      </w:r>
      <w:proofErr w:type="spellStart"/>
      <w:r>
        <w:rPr>
          <w:rFonts w:ascii="Arial" w:hAnsi="Arial" w:cs="Arial"/>
          <w:color w:val="222222"/>
          <w:sz w:val="20"/>
          <w:szCs w:val="20"/>
          <w:shd w:val="clear" w:color="auto" w:fill="FFFFFF"/>
        </w:rPr>
        <w:t>Nnodu</w:t>
      </w:r>
      <w:proofErr w:type="spellEnd"/>
      <w:r>
        <w:rPr>
          <w:rFonts w:ascii="Arial" w:hAnsi="Arial" w:cs="Arial"/>
          <w:color w:val="222222"/>
          <w:sz w:val="20"/>
          <w:szCs w:val="20"/>
          <w:shd w:val="clear" w:color="auto" w:fill="FFFFFF"/>
        </w:rPr>
        <w:t xml:space="preserve">, O. E., Brown, B. J., </w:t>
      </w:r>
      <w:proofErr w:type="spellStart"/>
      <w:r>
        <w:rPr>
          <w:rFonts w:ascii="Arial" w:hAnsi="Arial" w:cs="Arial"/>
          <w:color w:val="222222"/>
          <w:sz w:val="20"/>
          <w:szCs w:val="20"/>
          <w:shd w:val="clear" w:color="auto" w:fill="FFFFFF"/>
        </w:rPr>
        <w:t>Tluway</w:t>
      </w:r>
      <w:proofErr w:type="spellEnd"/>
      <w:r>
        <w:rPr>
          <w:rFonts w:ascii="Arial" w:hAnsi="Arial" w:cs="Arial"/>
          <w:color w:val="222222"/>
          <w:sz w:val="20"/>
          <w:szCs w:val="20"/>
          <w:shd w:val="clear" w:color="auto" w:fill="FFFFFF"/>
        </w:rPr>
        <w:t xml:space="preserve">, F., King, S., </w:t>
      </w:r>
      <w:proofErr w:type="spellStart"/>
      <w:r>
        <w:rPr>
          <w:rFonts w:ascii="Arial" w:hAnsi="Arial" w:cs="Arial"/>
          <w:color w:val="222222"/>
          <w:sz w:val="20"/>
          <w:szCs w:val="20"/>
          <w:shd w:val="clear" w:color="auto" w:fill="FFFFFF"/>
        </w:rPr>
        <w:t>Dogara</w:t>
      </w:r>
      <w:proofErr w:type="spellEnd"/>
      <w:r>
        <w:rPr>
          <w:rFonts w:ascii="Arial" w:hAnsi="Arial" w:cs="Arial"/>
          <w:color w:val="222222"/>
          <w:sz w:val="20"/>
          <w:szCs w:val="20"/>
          <w:shd w:val="clear" w:color="auto" w:fill="FFFFFF"/>
        </w:rPr>
        <w:t xml:space="preserve">, L. G., ... &amp; </w:t>
      </w:r>
      <w:proofErr w:type="spellStart"/>
      <w:r>
        <w:rPr>
          <w:rFonts w:ascii="Arial" w:hAnsi="Arial" w:cs="Arial"/>
          <w:color w:val="222222"/>
          <w:sz w:val="20"/>
          <w:szCs w:val="20"/>
          <w:shd w:val="clear" w:color="auto" w:fill="FFFFFF"/>
        </w:rPr>
        <w:t>Tayo</w:t>
      </w:r>
      <w:proofErr w:type="spellEnd"/>
      <w:r>
        <w:rPr>
          <w:rFonts w:ascii="Arial" w:hAnsi="Arial" w:cs="Arial"/>
          <w:color w:val="222222"/>
          <w:sz w:val="20"/>
          <w:szCs w:val="20"/>
          <w:shd w:val="clear" w:color="auto" w:fill="FFFFFF"/>
        </w:rPr>
        <w:t>, B. O. (2018). White paper: pathways to progress in newborn screening for sickle cell disease in sub-Saharan Africa. </w:t>
      </w:r>
      <w:r>
        <w:rPr>
          <w:rFonts w:ascii="Arial" w:hAnsi="Arial" w:cs="Arial"/>
          <w:i/>
          <w:iCs/>
          <w:color w:val="222222"/>
          <w:sz w:val="20"/>
          <w:szCs w:val="20"/>
          <w:shd w:val="clear" w:color="auto" w:fill="FFFFFF"/>
        </w:rPr>
        <w:t>Journal of tropical diseases &amp; public health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(2), 260.</w:t>
      </w:r>
    </w:p>
    <w:p w14:paraId="72C20D89" w14:textId="77777777" w:rsidR="000250BD" w:rsidRDefault="000250BD" w:rsidP="000250BD">
      <w:pPr>
        <w:pStyle w:val="ListParagraph"/>
      </w:pPr>
    </w:p>
    <w:p w14:paraId="0B590FDB" w14:textId="2315EB33" w:rsidR="000250BD" w:rsidRDefault="000250BD" w:rsidP="000250BD">
      <w:pPr>
        <w:pStyle w:val="Default"/>
        <w:numPr>
          <w:ilvl w:val="0"/>
          <w:numId w:val="3"/>
        </w:numPr>
        <w:spacing w:line="183" w:lineRule="atLeast"/>
        <w:jc w:val="both"/>
      </w:pPr>
      <w:r>
        <w:rPr>
          <w:rFonts w:ascii="Arial" w:hAnsi="Arial" w:cs="Arial"/>
          <w:color w:val="222222"/>
          <w:sz w:val="20"/>
          <w:szCs w:val="20"/>
          <w:shd w:val="clear" w:color="auto" w:fill="FFFFFF"/>
        </w:rPr>
        <w:t>Kai, J., Ulph, F., Cullinan, T., &amp; Qureshi, N. (2009). Communication of carrier status information following universal newborn screening for sickle cell disorders and cystic fibrosis: qualitative study of experience and practice. </w:t>
      </w:r>
      <w:r>
        <w:rPr>
          <w:rFonts w:ascii="Arial" w:hAnsi="Arial" w:cs="Arial"/>
          <w:i/>
          <w:iCs/>
          <w:color w:val="222222"/>
          <w:sz w:val="20"/>
          <w:szCs w:val="20"/>
          <w:shd w:val="clear" w:color="auto" w:fill="FFFFFF"/>
        </w:rPr>
        <w:t>Health Technology Assessment</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(57), 1-106.</w:t>
      </w:r>
    </w:p>
    <w:sectPr w:rsidR="000250B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18D387" w14:textId="77777777" w:rsidR="00D739D8" w:rsidRDefault="00D739D8">
      <w:pPr>
        <w:spacing w:after="0" w:line="240" w:lineRule="auto"/>
      </w:pPr>
      <w:r>
        <w:separator/>
      </w:r>
    </w:p>
  </w:endnote>
  <w:endnote w:type="continuationSeparator" w:id="0">
    <w:p w14:paraId="77707852" w14:textId="77777777" w:rsidR="00D739D8" w:rsidRDefault="00D7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71AAC" w14:textId="77777777" w:rsidR="00B529D5" w:rsidRDefault="00B52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6B705" w14:textId="77777777" w:rsidR="00B529D5" w:rsidRDefault="00895EA4">
    <w:pPr>
      <w:pStyle w:val="Header"/>
      <w:jc w:val="center"/>
    </w:pPr>
    <w:r>
      <w:fldChar w:fldCharType="begin"/>
    </w:r>
    <w:r>
      <w:instrText>PAGE</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BC693" w14:textId="77777777" w:rsidR="00556E1D" w:rsidRDefault="00556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1542A" w14:textId="77777777" w:rsidR="00D739D8" w:rsidRDefault="00D739D8">
      <w:pPr>
        <w:spacing w:after="0" w:line="240" w:lineRule="auto"/>
      </w:pPr>
      <w:r>
        <w:separator/>
      </w:r>
    </w:p>
  </w:footnote>
  <w:footnote w:type="continuationSeparator" w:id="0">
    <w:p w14:paraId="02347435" w14:textId="77777777" w:rsidR="00D739D8" w:rsidRDefault="00D7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B419C" w14:textId="150C3C6A" w:rsidR="00B529D5" w:rsidRDefault="00556E1D">
    <w:pPr>
      <w:pStyle w:val="Header"/>
    </w:pPr>
    <w:r>
      <w:rPr>
        <w:noProof/>
      </w:rPr>
      <w:pict w14:anchorId="169CB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1" o:spid="_x0000_s2050"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2BC0" w14:textId="00085017" w:rsidR="00B529D5" w:rsidRDefault="00556E1D">
    <w:pPr>
      <w:spacing w:after="0" w:line="240" w:lineRule="auto"/>
      <w:rPr>
        <w:b/>
      </w:rPr>
    </w:pPr>
    <w:r>
      <w:rPr>
        <w:noProof/>
      </w:rPr>
      <w:pict w14:anchorId="048F1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2" o:spid="_x0000_s2051"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9CB7F" w14:textId="6135C77C" w:rsidR="00B529D5" w:rsidRDefault="00556E1D">
    <w:pPr>
      <w:pStyle w:val="Header"/>
    </w:pPr>
    <w:r>
      <w:rPr>
        <w:noProof/>
      </w:rPr>
      <w:pict w14:anchorId="3686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253000" o:spid="_x0000_s2049"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11B05117"/>
    <w:multiLevelType w:val="hybridMultilevel"/>
    <w:tmpl w:val="6C349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A87F0E"/>
    <w:multiLevelType w:val="hybridMultilevel"/>
    <w:tmpl w:val="00000000"/>
    <w:lvl w:ilvl="0" w:tplc="04090013">
      <w:start w:val="1"/>
      <w:numFmt w:val="upperRom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ztzAxMLEwMDI1NDFX0lEKTi0uzszPAykwrAUAzSCHUiwAAAA="/>
  </w:docVars>
  <w:rsids>
    <w:rsidRoot w:val="00B529D5"/>
    <w:rsid w:val="00021FE2"/>
    <w:rsid w:val="000250BD"/>
    <w:rsid w:val="00053488"/>
    <w:rsid w:val="00357058"/>
    <w:rsid w:val="00556E1D"/>
    <w:rsid w:val="00595905"/>
    <w:rsid w:val="0066329A"/>
    <w:rsid w:val="006D1923"/>
    <w:rsid w:val="00772D1C"/>
    <w:rsid w:val="00895EA4"/>
    <w:rsid w:val="009D074F"/>
    <w:rsid w:val="00A607DF"/>
    <w:rsid w:val="00B13241"/>
    <w:rsid w:val="00B529D5"/>
    <w:rsid w:val="00C25D0D"/>
    <w:rsid w:val="00D739D8"/>
    <w:rsid w:val="00FE1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316D6D"/>
  <w15:docId w15:val="{E83341D1-9E95-4349-BD72-F934C10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ommentText">
    <w:name w:val="annotation text"/>
    <w:basedOn w:val="Normal"/>
    <w:link w:val="CommentTextChar"/>
    <w:uiPriority w:val="99"/>
    <w:pPr>
      <w:spacing w:line="240" w:lineRule="auto"/>
    </w:pPr>
    <w:rPr>
      <w:rFonts w:eastAsia="SimSun"/>
      <w:sz w:val="20"/>
      <w:szCs w:val="20"/>
      <w:lang w:eastAsia="zh-CN"/>
    </w:rPr>
  </w:style>
  <w:style w:type="character" w:customStyle="1" w:styleId="CommentTextChar">
    <w:name w:val="Comment Text Char"/>
    <w:basedOn w:val="DefaultParagraphFont"/>
    <w:link w:val="CommentText"/>
    <w:uiPriority w:val="99"/>
    <w:rPr>
      <w:rFonts w:eastAsia="SimSun"/>
      <w:sz w:val="20"/>
      <w:szCs w:val="20"/>
      <w:lang w:eastAsia="zh-CN"/>
    </w:rPr>
  </w:style>
  <w:style w:type="paragraph" w:customStyle="1" w:styleId="Default">
    <w:name w:val="Default"/>
    <w:pPr>
      <w:widowControl w:val="0"/>
      <w:autoSpaceDE w:val="0"/>
      <w:autoSpaceDN w:val="0"/>
      <w:adjustRightInd w:val="0"/>
      <w:spacing w:after="0" w:line="240" w:lineRule="auto"/>
    </w:pPr>
    <w:rPr>
      <w:rFonts w:eastAsia="Times New Roman" w:cs="Calibri"/>
      <w:color w:val="000000"/>
      <w:sz w:val="24"/>
      <w:szCs w:val="24"/>
      <w:lang w:val="en-CA" w:eastAsia="en-CA"/>
    </w:rPr>
  </w:style>
  <w:style w:type="paragraph" w:customStyle="1" w:styleId="CM1">
    <w:name w:val="CM1"/>
    <w:basedOn w:val="Default"/>
    <w:next w:val="Default"/>
    <w:rPr>
      <w:rFonts w:cs="Times New Roman"/>
      <w:color w:val="auto"/>
    </w:rPr>
  </w:style>
  <w:style w:type="character" w:styleId="Hyperlink">
    <w:name w:val="Hyperlink"/>
    <w:rPr>
      <w:color w:val="0563C1"/>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632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4089</Words>
  <Characters>23313</Characters>
  <Application>Microsoft Office Word</Application>
  <DocSecurity>0</DocSecurity>
  <Lines>194</Lines>
  <Paragraphs>54</Paragraphs>
  <ScaleCrop>false</ScaleCrop>
  <Company>Monash University</Company>
  <LinksUpToDate>false</LinksUpToDate>
  <CharactersWithSpaces>27348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Page</dc:creator>
  <cp:lastModifiedBy>SDI 1084</cp:lastModifiedBy>
  <cp:revision>52</cp:revision>
  <dcterms:created xsi:type="dcterms:W3CDTF">2020-03-09T22:08:00Z</dcterms:created>
  <dcterms:modified xsi:type="dcterms:W3CDTF">2025-04-10T06:57:00Z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cd7fcc01932d45018adf051c2aec8c58</vt:lpwstr>
  </property>
</Properties>
</file>