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8EFB" w14:textId="77777777" w:rsidR="000E41C0" w:rsidRDefault="000E41C0" w:rsidP="00C76F7C">
      <w:pPr>
        <w:pStyle w:val="Author"/>
        <w:spacing w:line="240" w:lineRule="auto"/>
        <w:rPr>
          <w:rFonts w:ascii="Arial" w:hAnsi="Arial" w:cs="Arial"/>
          <w:bCs/>
          <w:sz w:val="36"/>
          <w:szCs w:val="36"/>
        </w:rPr>
      </w:pPr>
      <w:r w:rsidRPr="000E41C0">
        <w:rPr>
          <w:rFonts w:ascii="Arial" w:hAnsi="Arial" w:cs="Arial"/>
          <w:bCs/>
          <w:sz w:val="36"/>
          <w:szCs w:val="36"/>
        </w:rPr>
        <w:t>Original Research Article</w:t>
      </w:r>
    </w:p>
    <w:p w14:paraId="6C61F09A" w14:textId="77777777" w:rsidR="000E41C0" w:rsidRDefault="000E41C0" w:rsidP="00C76F7C">
      <w:pPr>
        <w:pStyle w:val="Author"/>
        <w:spacing w:line="240" w:lineRule="auto"/>
        <w:rPr>
          <w:rFonts w:ascii="Arial" w:hAnsi="Arial" w:cs="Arial"/>
          <w:bCs/>
          <w:sz w:val="36"/>
          <w:szCs w:val="36"/>
        </w:rPr>
      </w:pPr>
    </w:p>
    <w:p w14:paraId="3D242DF6" w14:textId="74333AC1" w:rsidR="00A258C3" w:rsidRDefault="00C76F7C" w:rsidP="00C76F7C">
      <w:pPr>
        <w:pStyle w:val="Author"/>
        <w:spacing w:line="240" w:lineRule="auto"/>
        <w:rPr>
          <w:rFonts w:ascii="Arial" w:hAnsi="Arial" w:cs="Arial"/>
          <w:bCs/>
          <w:sz w:val="36"/>
          <w:szCs w:val="36"/>
        </w:rPr>
      </w:pPr>
      <w:r w:rsidRPr="000541D2">
        <w:rPr>
          <w:rFonts w:ascii="Arial" w:hAnsi="Arial" w:cs="Arial"/>
          <w:bCs/>
          <w:sz w:val="36"/>
          <w:szCs w:val="36"/>
        </w:rPr>
        <w:t xml:space="preserve">Effectiveness of </w:t>
      </w:r>
      <w:proofErr w:type="spellStart"/>
      <w:r w:rsidRPr="000541D2">
        <w:rPr>
          <w:rFonts w:ascii="Arial" w:hAnsi="Arial" w:cs="Arial"/>
          <w:bCs/>
          <w:sz w:val="36"/>
          <w:szCs w:val="36"/>
        </w:rPr>
        <w:t>Presepsin</w:t>
      </w:r>
      <w:proofErr w:type="spellEnd"/>
      <w:r w:rsidRPr="000541D2">
        <w:rPr>
          <w:rFonts w:ascii="Arial" w:hAnsi="Arial" w:cs="Arial"/>
          <w:bCs/>
          <w:sz w:val="36"/>
          <w:szCs w:val="36"/>
        </w:rPr>
        <w:t xml:space="preserve"> Examination in Early-Onset Neonatal Sepsis Compared to CRP, </w:t>
      </w:r>
      <w:proofErr w:type="spellStart"/>
      <w:r w:rsidRPr="000541D2">
        <w:rPr>
          <w:rFonts w:ascii="Arial" w:hAnsi="Arial" w:cs="Arial"/>
          <w:bCs/>
          <w:sz w:val="36"/>
          <w:szCs w:val="36"/>
        </w:rPr>
        <w:t>hsCRP</w:t>
      </w:r>
      <w:proofErr w:type="spellEnd"/>
      <w:r w:rsidRPr="000541D2">
        <w:rPr>
          <w:rFonts w:ascii="Arial" w:hAnsi="Arial" w:cs="Arial"/>
          <w:bCs/>
          <w:sz w:val="36"/>
          <w:szCs w:val="36"/>
        </w:rPr>
        <w:t xml:space="preserve">, MPV, </w:t>
      </w:r>
      <w:proofErr w:type="gramStart"/>
      <w:r w:rsidRPr="000541D2">
        <w:rPr>
          <w:rFonts w:ascii="Arial" w:hAnsi="Arial" w:cs="Arial"/>
          <w:bCs/>
          <w:sz w:val="36"/>
          <w:szCs w:val="36"/>
        </w:rPr>
        <w:t>I:T</w:t>
      </w:r>
      <w:proofErr w:type="gramEnd"/>
      <w:r w:rsidRPr="000541D2">
        <w:rPr>
          <w:rFonts w:ascii="Arial" w:hAnsi="Arial" w:cs="Arial"/>
          <w:bCs/>
          <w:sz w:val="36"/>
          <w:szCs w:val="36"/>
        </w:rPr>
        <w:t xml:space="preserve"> Ratio, NLR, and Pre-Analytical Factors</w:t>
      </w:r>
    </w:p>
    <w:p w14:paraId="1F768057" w14:textId="77777777" w:rsidR="005C75D7" w:rsidRPr="000541D2" w:rsidRDefault="005C75D7" w:rsidP="00C76F7C">
      <w:pPr>
        <w:pStyle w:val="Author"/>
        <w:spacing w:line="240" w:lineRule="auto"/>
        <w:rPr>
          <w:rFonts w:ascii="Arial" w:hAnsi="Arial" w:cs="Arial"/>
          <w:sz w:val="36"/>
          <w:szCs w:val="36"/>
        </w:rPr>
      </w:pPr>
    </w:p>
    <w:p w14:paraId="4FCB2737" w14:textId="1CDCE41F" w:rsidR="00B01FCD" w:rsidRPr="000541D2" w:rsidRDefault="00BB54F6" w:rsidP="00441B6F">
      <w:pPr>
        <w:pStyle w:val="Copyright"/>
        <w:spacing w:after="0" w:line="240" w:lineRule="auto"/>
        <w:jc w:val="both"/>
        <w:rPr>
          <w:rFonts w:ascii="Arial" w:hAnsi="Arial" w:cs="Arial"/>
        </w:rPr>
        <w:sectPr w:rsidR="00B01FCD" w:rsidRPr="000541D2" w:rsidSect="00D67B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541D2">
        <w:rPr>
          <w:rFonts w:ascii="Arial" w:hAnsi="Arial" w:cs="Arial"/>
          <w:noProof/>
        </w:rPr>
        <mc:AlternateContent>
          <mc:Choice Requires="wps">
            <w:drawing>
              <wp:inline distT="0" distB="0" distL="0" distR="0" wp14:anchorId="64F6D665" wp14:editId="4CDB8728">
                <wp:extent cx="5303520" cy="635"/>
                <wp:effectExtent l="13335" t="18415" r="17145" b="10160"/>
                <wp:docPr id="19689702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C58E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541D2">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541D2" w:rsidRPr="000541D2" w14:paraId="10A325E4" w14:textId="77777777" w:rsidTr="000737F5">
        <w:tc>
          <w:tcPr>
            <w:tcW w:w="8198" w:type="dxa"/>
            <w:shd w:val="clear" w:color="auto" w:fill="F2F2F2"/>
          </w:tcPr>
          <w:p w14:paraId="6378DE7D" w14:textId="3FFD48FD" w:rsidR="00BB54F6" w:rsidRPr="000541D2" w:rsidRDefault="00BA1B01" w:rsidP="000737F5">
            <w:pPr>
              <w:jc w:val="both"/>
              <w:rPr>
                <w:rFonts w:ascii="Arial" w:hAnsi="Arial" w:cs="Arial"/>
                <w:sz w:val="22"/>
                <w:szCs w:val="22"/>
              </w:rPr>
            </w:pPr>
            <w:bookmarkStart w:id="0" w:name="_Hlk197681311"/>
            <w:r w:rsidRPr="000541D2">
              <w:rPr>
                <w:rFonts w:ascii="Arial" w:eastAsia="Calibri" w:hAnsi="Arial" w:cs="Arial"/>
                <w:b/>
                <w:sz w:val="22"/>
                <w:szCs w:val="22"/>
              </w:rPr>
              <w:t xml:space="preserve">Aims: </w:t>
            </w:r>
            <w:r w:rsidR="00BB54F6" w:rsidRPr="000541D2">
              <w:rPr>
                <w:rFonts w:ascii="Arial" w:hAnsi="Arial" w:cs="Arial"/>
                <w:sz w:val="22"/>
                <w:szCs w:val="22"/>
              </w:rPr>
              <w:t xml:space="preserve">The primary objective is to collate and evaluate findings from a wide range of previously published studies, thereby offering an integrated understanding of the current state of knowledge. </w:t>
            </w:r>
          </w:p>
          <w:p w14:paraId="3A244997" w14:textId="61DF48C4" w:rsidR="000737F5" w:rsidRPr="000541D2" w:rsidRDefault="00BA1B01" w:rsidP="000737F5">
            <w:pPr>
              <w:jc w:val="both"/>
              <w:rPr>
                <w:rFonts w:ascii="Arial" w:hAnsi="Arial" w:cs="Arial"/>
                <w:sz w:val="22"/>
                <w:szCs w:val="22"/>
              </w:rPr>
            </w:pPr>
            <w:r w:rsidRPr="000541D2">
              <w:rPr>
                <w:rFonts w:ascii="Arial" w:eastAsia="Calibri" w:hAnsi="Arial" w:cs="Arial"/>
                <w:b/>
                <w:sz w:val="22"/>
                <w:szCs w:val="22"/>
              </w:rPr>
              <w:t>Study design:</w:t>
            </w:r>
            <w:r w:rsidRPr="000541D2">
              <w:rPr>
                <w:rFonts w:ascii="Arial" w:eastAsia="Calibri" w:hAnsi="Arial" w:cs="Arial"/>
                <w:sz w:val="22"/>
                <w:szCs w:val="22"/>
              </w:rPr>
              <w:t xml:space="preserve">  </w:t>
            </w:r>
            <w:r w:rsidR="000737F5" w:rsidRPr="000541D2">
              <w:rPr>
                <w:rFonts w:ascii="Arial" w:hAnsi="Arial" w:cs="Arial"/>
                <w:sz w:val="22"/>
                <w:szCs w:val="22"/>
              </w:rPr>
              <w:t xml:space="preserve">The study design employed in this work is a literature review, which systematically collects and analyzes previously published studies relevant to the research topic. Unlike original experimental or clinical research, this review does not involve new data collection or direct experimentation but rather synthesizes existing evidence to provide a comprehensive understanding of the subject matter. </w:t>
            </w:r>
          </w:p>
          <w:p w14:paraId="44745554" w14:textId="67FAA6B8" w:rsidR="00BA1B01" w:rsidRPr="000541D2" w:rsidRDefault="00BA1B01" w:rsidP="00441B6F">
            <w:pPr>
              <w:pStyle w:val="Body"/>
              <w:spacing w:after="0"/>
              <w:rPr>
                <w:rFonts w:ascii="Arial" w:eastAsia="Calibri" w:hAnsi="Arial" w:cs="Arial"/>
                <w:sz w:val="22"/>
                <w:szCs w:val="22"/>
              </w:rPr>
            </w:pPr>
            <w:r w:rsidRPr="000541D2">
              <w:rPr>
                <w:rFonts w:ascii="Arial" w:eastAsia="Calibri" w:hAnsi="Arial" w:cs="Arial"/>
                <w:b/>
                <w:sz w:val="22"/>
                <w:szCs w:val="22"/>
              </w:rPr>
              <w:t>Place and Duration of Study:</w:t>
            </w:r>
            <w:r w:rsidRPr="000541D2">
              <w:rPr>
                <w:rFonts w:ascii="Arial" w:eastAsia="Calibri" w:hAnsi="Arial" w:cs="Arial"/>
                <w:sz w:val="22"/>
                <w:szCs w:val="22"/>
              </w:rPr>
              <w:t xml:space="preserve"> Department of </w:t>
            </w:r>
            <w:r w:rsidR="000737F5" w:rsidRPr="000541D2">
              <w:rPr>
                <w:rFonts w:ascii="Arial" w:eastAsia="Calibri" w:hAnsi="Arial" w:cs="Arial"/>
                <w:sz w:val="22"/>
                <w:szCs w:val="22"/>
              </w:rPr>
              <w:t>Pediatrics, Ulin General Hospital,</w:t>
            </w:r>
            <w:r w:rsidRPr="000541D2">
              <w:rPr>
                <w:rFonts w:ascii="Arial" w:eastAsia="Calibri" w:hAnsi="Arial" w:cs="Arial"/>
                <w:sz w:val="22"/>
                <w:szCs w:val="22"/>
              </w:rPr>
              <w:t xml:space="preserve"> </w:t>
            </w:r>
            <w:r w:rsidR="000737F5" w:rsidRPr="000541D2">
              <w:rPr>
                <w:rFonts w:ascii="Arial" w:eastAsia="Calibri" w:hAnsi="Arial" w:cs="Arial"/>
                <w:sz w:val="22"/>
                <w:szCs w:val="22"/>
              </w:rPr>
              <w:t xml:space="preserve">Universitas </w:t>
            </w:r>
            <w:proofErr w:type="spellStart"/>
            <w:r w:rsidR="000737F5" w:rsidRPr="000541D2">
              <w:rPr>
                <w:rFonts w:ascii="Arial" w:eastAsia="Calibri" w:hAnsi="Arial" w:cs="Arial"/>
                <w:sz w:val="22"/>
                <w:szCs w:val="22"/>
              </w:rPr>
              <w:t>Lambung</w:t>
            </w:r>
            <w:proofErr w:type="spellEnd"/>
            <w:r w:rsidR="000737F5" w:rsidRPr="000541D2">
              <w:rPr>
                <w:rFonts w:ascii="Arial" w:eastAsia="Calibri" w:hAnsi="Arial" w:cs="Arial"/>
                <w:sz w:val="22"/>
                <w:szCs w:val="22"/>
              </w:rPr>
              <w:t xml:space="preserve"> Mangkurat</w:t>
            </w:r>
            <w:r w:rsidRPr="000541D2">
              <w:rPr>
                <w:rFonts w:ascii="Arial" w:eastAsia="Calibri" w:hAnsi="Arial" w:cs="Arial"/>
                <w:sz w:val="22"/>
                <w:szCs w:val="22"/>
              </w:rPr>
              <w:t xml:space="preserve">, </w:t>
            </w:r>
            <w:r w:rsidR="000737F5" w:rsidRPr="000541D2">
              <w:rPr>
                <w:rFonts w:ascii="Arial" w:eastAsia="Calibri" w:hAnsi="Arial" w:cs="Arial"/>
                <w:sz w:val="22"/>
                <w:szCs w:val="22"/>
              </w:rPr>
              <w:t>in 5 years literature</w:t>
            </w:r>
            <w:r w:rsidRPr="000541D2">
              <w:rPr>
                <w:rFonts w:ascii="Arial" w:eastAsia="Calibri" w:hAnsi="Arial" w:cs="Arial"/>
                <w:sz w:val="22"/>
                <w:szCs w:val="22"/>
              </w:rPr>
              <w:t>.</w:t>
            </w:r>
          </w:p>
          <w:p w14:paraId="3BEEA3B6" w14:textId="58DBDE87" w:rsidR="000737F5" w:rsidRPr="000541D2" w:rsidRDefault="00BA1B01" w:rsidP="000737F5">
            <w:pPr>
              <w:jc w:val="both"/>
              <w:rPr>
                <w:rFonts w:ascii="Arial" w:hAnsi="Arial" w:cs="Arial"/>
                <w:sz w:val="22"/>
                <w:szCs w:val="22"/>
              </w:rPr>
            </w:pPr>
            <w:r w:rsidRPr="000541D2">
              <w:rPr>
                <w:rFonts w:ascii="Arial" w:eastAsia="Calibri" w:hAnsi="Arial" w:cs="Arial"/>
                <w:b/>
                <w:bCs/>
                <w:sz w:val="22"/>
                <w:szCs w:val="22"/>
              </w:rPr>
              <w:t>Methodology:</w:t>
            </w:r>
            <w:r w:rsidRPr="000541D2">
              <w:rPr>
                <w:rFonts w:ascii="Arial" w:eastAsia="Calibri" w:hAnsi="Arial" w:cs="Arial"/>
                <w:sz w:val="22"/>
                <w:szCs w:val="22"/>
              </w:rPr>
              <w:t xml:space="preserve"> </w:t>
            </w:r>
            <w:r w:rsidR="000737F5" w:rsidRPr="000541D2">
              <w:rPr>
                <w:rFonts w:ascii="Arial" w:hAnsi="Arial" w:cs="Arial"/>
                <w:sz w:val="22"/>
                <w:szCs w:val="22"/>
              </w:rPr>
              <w:t xml:space="preserve">The methodology of this literature review involved a systematic and rigorous process to identify, select, and synthesize relevant studies from established medical databases. Initially, comprehensive searches were conducted across multiple electronic databases such as PubMed, Scopus, and Web of Science, using carefully constructed search terms and Boolean operators tailored to capture all pertinent literature related to the research topic. </w:t>
            </w:r>
          </w:p>
          <w:p w14:paraId="2060619B" w14:textId="77777777" w:rsidR="000541D2" w:rsidRPr="000541D2" w:rsidRDefault="00BA1B01" w:rsidP="000541D2">
            <w:pPr>
              <w:jc w:val="both"/>
              <w:rPr>
                <w:rFonts w:ascii="Arial" w:hAnsi="Arial" w:cs="Arial"/>
                <w:sz w:val="22"/>
                <w:szCs w:val="22"/>
              </w:rPr>
            </w:pPr>
            <w:r w:rsidRPr="000541D2">
              <w:rPr>
                <w:rFonts w:ascii="Arial" w:eastAsia="Calibri" w:hAnsi="Arial" w:cs="Arial"/>
                <w:b/>
                <w:bCs/>
                <w:sz w:val="22"/>
                <w:szCs w:val="22"/>
              </w:rPr>
              <w:t>Results:</w:t>
            </w:r>
            <w:r w:rsidRPr="000541D2">
              <w:rPr>
                <w:rFonts w:ascii="Arial" w:eastAsia="Calibri" w:hAnsi="Arial" w:cs="Arial"/>
                <w:sz w:val="22"/>
                <w:szCs w:val="22"/>
              </w:rPr>
              <w:t xml:space="preserve"> </w:t>
            </w:r>
            <w:r w:rsidR="000737F5" w:rsidRPr="000541D2">
              <w:rPr>
                <w:rFonts w:ascii="Arial" w:hAnsi="Arial" w:cs="Arial"/>
                <w:sz w:val="22"/>
                <w:szCs w:val="22"/>
              </w:rPr>
              <w:t xml:space="preserve">The results of this literature review reveal several key findings that collectively enhance the understanding of the topic. Across the reviewed studies, there is a general consensus on certain core outcomes and methodological approaches, which strengthens the reliability of the synthesized evidence. Common methodologies identified include standardized data collection techniques, consistent use of validated measurement tools, and adherence to established protocols for study design and analysis. </w:t>
            </w:r>
          </w:p>
          <w:p w14:paraId="4EB1A8BC" w14:textId="69B697D9" w:rsidR="00505F06" w:rsidRPr="000541D2" w:rsidRDefault="00BA1B01" w:rsidP="000541D2">
            <w:pPr>
              <w:jc w:val="both"/>
              <w:rPr>
                <w:rFonts w:ascii="Arial" w:hAnsi="Arial" w:cs="Arial"/>
                <w:sz w:val="22"/>
                <w:szCs w:val="22"/>
              </w:rPr>
            </w:pPr>
            <w:r w:rsidRPr="000541D2">
              <w:rPr>
                <w:rFonts w:ascii="Arial" w:eastAsia="Calibri" w:hAnsi="Arial" w:cs="Arial"/>
                <w:b/>
                <w:bCs/>
                <w:sz w:val="22"/>
                <w:szCs w:val="22"/>
              </w:rPr>
              <w:t>Conclusion:</w:t>
            </w:r>
            <w:r w:rsidRPr="000541D2">
              <w:rPr>
                <w:rFonts w:ascii="Arial" w:eastAsia="Calibri" w:hAnsi="Arial" w:cs="Arial"/>
                <w:sz w:val="22"/>
                <w:szCs w:val="22"/>
              </w:rPr>
              <w:t xml:space="preserve"> </w:t>
            </w:r>
            <w:r w:rsidR="000737F5" w:rsidRPr="000541D2">
              <w:rPr>
                <w:rFonts w:ascii="Arial" w:hAnsi="Arial" w:cs="Arial"/>
                <w:sz w:val="22"/>
                <w:szCs w:val="22"/>
              </w:rPr>
              <w:t>The review highlights that while many studies report positive associations or confirmatory evidence supporting specific clinical hypotheses, there remain conflicting results in certain areas. These inconsistencies often stem from heterogeneity in study designs, differences in inclusion criteria, and variations in outcome definitions.</w:t>
            </w:r>
            <w:r w:rsidR="000541D2" w:rsidRPr="000541D2">
              <w:rPr>
                <w:rFonts w:ascii="Arial" w:hAnsi="Arial" w:cs="Arial"/>
                <w:sz w:val="22"/>
                <w:szCs w:val="22"/>
              </w:rPr>
              <w:t xml:space="preserve"> </w:t>
            </w:r>
            <w:r w:rsidR="000737F5" w:rsidRPr="000541D2">
              <w:rPr>
                <w:rFonts w:ascii="Arial" w:hAnsi="Arial" w:cs="Arial"/>
                <w:sz w:val="22"/>
                <w:szCs w:val="22"/>
              </w:rPr>
              <w:t>Limitations identified within the existing body of literature include small sample sizes in several studies, potential publication bias favoring positive results, and occasional methodological weaknesses such as inadequate control for confounding variables.</w:t>
            </w:r>
          </w:p>
        </w:tc>
      </w:tr>
    </w:tbl>
    <w:bookmarkEnd w:id="0"/>
    <w:p w14:paraId="3CAD3017" w14:textId="5017032E" w:rsidR="000541D2" w:rsidRPr="000541D2" w:rsidRDefault="00A24E7E" w:rsidP="000541D2">
      <w:pPr>
        <w:jc w:val="both"/>
        <w:rPr>
          <w:rFonts w:ascii="Arial" w:hAnsi="Arial" w:cs="Arial"/>
        </w:rPr>
      </w:pPr>
      <w:r w:rsidRPr="000541D2">
        <w:rPr>
          <w:rFonts w:ascii="Arial" w:hAnsi="Arial" w:cs="Arial"/>
          <w:b/>
          <w:bCs/>
          <w:i/>
        </w:rPr>
        <w:t>Keywords:</w:t>
      </w:r>
      <w:r w:rsidRPr="000541D2">
        <w:rPr>
          <w:rFonts w:ascii="Arial" w:hAnsi="Arial" w:cs="Arial"/>
          <w:i/>
        </w:rPr>
        <w:t xml:space="preserve"> </w:t>
      </w:r>
      <w:r w:rsidR="000541D2" w:rsidRPr="000541D2">
        <w:rPr>
          <w:rFonts w:ascii="Arial" w:hAnsi="Arial" w:cs="Arial"/>
        </w:rPr>
        <w:t xml:space="preserve">Neonatal sepsis, </w:t>
      </w:r>
      <w:proofErr w:type="spellStart"/>
      <w:r w:rsidR="000541D2" w:rsidRPr="000541D2">
        <w:rPr>
          <w:rFonts w:ascii="Arial" w:hAnsi="Arial" w:cs="Arial"/>
        </w:rPr>
        <w:t>presepsin</w:t>
      </w:r>
      <w:proofErr w:type="spellEnd"/>
      <w:r w:rsidR="000541D2" w:rsidRPr="000541D2">
        <w:rPr>
          <w:rFonts w:ascii="Arial" w:hAnsi="Arial" w:cs="Arial"/>
        </w:rPr>
        <w:t>, C-reactive protein, mean platelet volume, immature to total neutrophil ratio, neutrophil to lymphocyte ratio, early-onset neonatal sepsis, biomarkers, diagnosis, pre-analytical factors</w:t>
      </w:r>
    </w:p>
    <w:p w14:paraId="0F989CB3" w14:textId="5B1AB0CE" w:rsidR="00A24E7E" w:rsidRPr="000541D2" w:rsidRDefault="00A24E7E" w:rsidP="00441B6F">
      <w:pPr>
        <w:pStyle w:val="Body"/>
        <w:spacing w:after="0"/>
        <w:rPr>
          <w:rFonts w:ascii="Arial" w:hAnsi="Arial" w:cs="Arial"/>
          <w:i/>
        </w:rPr>
      </w:pPr>
    </w:p>
    <w:p w14:paraId="789E99EF" w14:textId="77777777" w:rsidR="000541D2" w:rsidRPr="000541D2" w:rsidRDefault="000541D2" w:rsidP="00441B6F">
      <w:pPr>
        <w:pStyle w:val="Body"/>
        <w:spacing w:after="0"/>
        <w:rPr>
          <w:rFonts w:ascii="Arial" w:hAnsi="Arial" w:cs="Arial"/>
          <w:i/>
        </w:rPr>
      </w:pPr>
    </w:p>
    <w:p w14:paraId="06111658" w14:textId="0567F1F8" w:rsidR="007F7B32" w:rsidRPr="000541D2" w:rsidRDefault="00902823" w:rsidP="00441B6F">
      <w:pPr>
        <w:pStyle w:val="AbstHead"/>
        <w:spacing w:after="0"/>
        <w:jc w:val="both"/>
        <w:rPr>
          <w:rFonts w:ascii="Arial" w:hAnsi="Arial" w:cs="Arial"/>
        </w:rPr>
      </w:pPr>
      <w:r w:rsidRPr="000541D2">
        <w:rPr>
          <w:rFonts w:ascii="Arial" w:hAnsi="Arial" w:cs="Arial"/>
        </w:rPr>
        <w:lastRenderedPageBreak/>
        <w:t xml:space="preserve">1. </w:t>
      </w:r>
      <w:r w:rsidR="00B01FCD" w:rsidRPr="000541D2">
        <w:rPr>
          <w:rFonts w:ascii="Arial" w:hAnsi="Arial" w:cs="Arial"/>
        </w:rPr>
        <w:t>INTRODUCTION</w:t>
      </w:r>
      <w:r w:rsidR="007F7B32" w:rsidRPr="000541D2">
        <w:rPr>
          <w:rFonts w:ascii="Arial" w:hAnsi="Arial" w:cs="Arial"/>
        </w:rPr>
        <w:t xml:space="preserve"> </w:t>
      </w:r>
    </w:p>
    <w:p w14:paraId="15FFEBFA"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a systemic inflammatory response syndrome caused by infection in newborns, leading to significant morbidity and mortality globally. Early diagnosis is challenging due to nonspecific clinical signs and the limitations of current diagnostic tools. Biomarkers such as CRP and procalcitonin have been widely used but have limitations in sensitivity and specificity, especially in the early stages of infection. </w:t>
      </w:r>
      <w:proofErr w:type="spellStart"/>
      <w:r w:rsidRPr="000541D2">
        <w:rPr>
          <w:rFonts w:ascii="Arial" w:hAnsi="Arial" w:cs="Arial"/>
        </w:rPr>
        <w:t>Presepsin</w:t>
      </w:r>
      <w:proofErr w:type="spellEnd"/>
      <w:r w:rsidRPr="000541D2">
        <w:rPr>
          <w:rFonts w:ascii="Arial" w:hAnsi="Arial" w:cs="Arial"/>
        </w:rPr>
        <w:t xml:space="preserve">, a soluble CD14 subtype, has emerged as a promising biomarker reflecting innate immune activation. This paper aims to evaluate the effectiveness of </w:t>
      </w:r>
      <w:proofErr w:type="spellStart"/>
      <w:r w:rsidRPr="000541D2">
        <w:rPr>
          <w:rFonts w:ascii="Arial" w:hAnsi="Arial" w:cs="Arial"/>
        </w:rPr>
        <w:t>presepsin</w:t>
      </w:r>
      <w:proofErr w:type="spellEnd"/>
      <w:r w:rsidRPr="000541D2">
        <w:rPr>
          <w:rFonts w:ascii="Arial" w:hAnsi="Arial" w:cs="Arial"/>
        </w:rPr>
        <w:t xml:space="preserve"> in diagnosing early-onset neonatal sepsis compared to other established biomarkers and hematological indices, while also considering the influence of pre-analytical factors on test accuracy.</w:t>
      </w:r>
    </w:p>
    <w:p w14:paraId="160CA120" w14:textId="77777777" w:rsidR="000541D2" w:rsidRPr="000541D2" w:rsidRDefault="000541D2" w:rsidP="000541D2">
      <w:pPr>
        <w:jc w:val="both"/>
        <w:rPr>
          <w:rFonts w:ascii="Arial" w:hAnsi="Arial" w:cs="Arial"/>
        </w:rPr>
      </w:pPr>
    </w:p>
    <w:p w14:paraId="5124B8C5" w14:textId="5B94E455" w:rsidR="000541D2" w:rsidRPr="000541D2" w:rsidRDefault="000541D2" w:rsidP="000541D2">
      <w:pPr>
        <w:pStyle w:val="AbstHead"/>
        <w:spacing w:after="0"/>
        <w:jc w:val="both"/>
        <w:rPr>
          <w:rFonts w:ascii="Arial" w:hAnsi="Arial" w:cs="Arial"/>
        </w:rPr>
      </w:pPr>
      <w:r w:rsidRPr="000541D2">
        <w:rPr>
          <w:rFonts w:ascii="Arial" w:hAnsi="Arial" w:cs="Arial"/>
        </w:rPr>
        <w:t xml:space="preserve">2. material details </w:t>
      </w:r>
    </w:p>
    <w:p w14:paraId="7D8E1127" w14:textId="77777777" w:rsidR="000541D2" w:rsidRPr="000541D2" w:rsidRDefault="000541D2" w:rsidP="000541D2">
      <w:pPr>
        <w:jc w:val="both"/>
        <w:rPr>
          <w:rFonts w:ascii="Arial" w:hAnsi="Arial" w:cs="Arial"/>
        </w:rPr>
      </w:pPr>
    </w:p>
    <w:p w14:paraId="4E34FEC7"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Neonatal Sepsis Overview</w:t>
      </w:r>
    </w:p>
    <w:p w14:paraId="621EEAA3"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a significant cause of morbidity and mortality in neonates, with an incidence ranging from 1 to 4 per 1,000 live births in the United States and considerable variability worldwide. It is a clinical syndrome characterized by systemic inflammatory response to infection from various pathogens, including bacteria, viruses, and fungi, potentially leading to multiorgan dysfunction, failure, and death within the first 28 days of life </w:t>
      </w:r>
      <w:hyperlink r:id="rId14" w:history="1">
        <w:r w:rsidRPr="000541D2">
          <w:rPr>
            <w:rStyle w:val="Hyperlink"/>
            <w:rFonts w:ascii="Arial" w:hAnsi="Arial" w:cs="Arial"/>
            <w:color w:val="auto"/>
            <w:u w:val="none"/>
          </w:rPr>
          <w:t>(Attia Hussein Mahmoud et al., 2023)</w:t>
        </w:r>
      </w:hyperlink>
      <w:r w:rsidRPr="000541D2">
        <w:rPr>
          <w:rFonts w:ascii="Arial" w:hAnsi="Arial" w:cs="Arial"/>
        </w:rPr>
        <w:t>.</w:t>
      </w:r>
    </w:p>
    <w:p w14:paraId="571C60F4"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classified into two types: early-onset neonatal sepsis (EONS) and late-onset neonatal sepsis (LONS). EONS typically occurs within the first 24 hours to one week of life, while LONS occurs after 24 hours up to 28 days or one month. Definitions vary, with some literature categorizing EONS as sepsis within 72 hours and LONS thereafter. Uniform global definitions are needed to improve diagnostic and therapeutic accuracy </w:t>
      </w:r>
      <w:hyperlink r:id="rId15" w:history="1">
        <w:r w:rsidRPr="000541D2">
          <w:rPr>
            <w:rStyle w:val="Hyperlink"/>
            <w:rFonts w:ascii="Arial" w:hAnsi="Arial" w:cs="Arial"/>
            <w:color w:val="auto"/>
            <w:u w:val="none"/>
          </w:rPr>
          <w:t>(Ershad et al., 2019)</w:t>
        </w:r>
      </w:hyperlink>
      <w:r w:rsidRPr="000541D2">
        <w:rPr>
          <w:rFonts w:ascii="Arial" w:hAnsi="Arial" w:cs="Arial"/>
        </w:rPr>
        <w:t>.</w:t>
      </w:r>
    </w:p>
    <w:p w14:paraId="76C06680" w14:textId="77777777" w:rsidR="000541D2" w:rsidRPr="000541D2" w:rsidRDefault="000541D2" w:rsidP="000541D2">
      <w:pPr>
        <w:ind w:firstLine="720"/>
        <w:jc w:val="both"/>
        <w:rPr>
          <w:rFonts w:ascii="Arial" w:hAnsi="Arial" w:cs="Arial"/>
        </w:rPr>
      </w:pPr>
      <w:r w:rsidRPr="000541D2">
        <w:rPr>
          <w:rFonts w:ascii="Arial" w:hAnsi="Arial" w:cs="Arial"/>
        </w:rPr>
        <w:t xml:space="preserve">Globally, neonatal sepsis incidence ranges from 1 to 50 per 1,000 live births, contributing to 3–30% of infant and child mortality annually. A prospective study in South Korea (1997–1999) reported an incidence of 6 per 1,000 live births with positive cultures and 30 per 1,000 clinically diagnosed cases. Mortality rates were 2.2% for culture-confirmed and 4.7% for clinically diagnosed sepsis. Taiwanese data (2001–2006) showed an incidence of 4 per 1,000 live births for all neonatal sepsis cases </w:t>
      </w:r>
      <w:hyperlink r:id="rId16" w:history="1">
        <w:r w:rsidRPr="000541D2">
          <w:rPr>
            <w:rStyle w:val="Hyperlink"/>
            <w:rFonts w:ascii="Arial" w:hAnsi="Arial" w:cs="Arial"/>
            <w:color w:val="auto"/>
            <w:u w:val="none"/>
          </w:rPr>
          <w:t>(Zhou et al., 2016)</w:t>
        </w:r>
      </w:hyperlink>
      <w:r w:rsidRPr="000541D2">
        <w:rPr>
          <w:rFonts w:ascii="Arial" w:hAnsi="Arial" w:cs="Arial"/>
        </w:rPr>
        <w:t xml:space="preserve"> </w:t>
      </w:r>
      <w:hyperlink r:id="rId17" w:history="1">
        <w:r w:rsidRPr="000541D2">
          <w:rPr>
            <w:rStyle w:val="Hyperlink"/>
            <w:rFonts w:ascii="Arial" w:hAnsi="Arial" w:cs="Arial"/>
            <w:color w:val="auto"/>
            <w:u w:val="none"/>
          </w:rPr>
          <w:t>(Fleischmann et al., 2021)</w:t>
        </w:r>
      </w:hyperlink>
      <w:r w:rsidRPr="000541D2">
        <w:rPr>
          <w:rFonts w:ascii="Arial" w:hAnsi="Arial" w:cs="Arial"/>
        </w:rPr>
        <w:t>.</w:t>
      </w:r>
    </w:p>
    <w:p w14:paraId="35233E1F" w14:textId="77777777" w:rsidR="000541D2" w:rsidRPr="000541D2" w:rsidRDefault="000541D2" w:rsidP="000541D2">
      <w:pPr>
        <w:jc w:val="both"/>
        <w:rPr>
          <w:rFonts w:ascii="Arial" w:hAnsi="Arial" w:cs="Arial"/>
        </w:rPr>
      </w:pPr>
    </w:p>
    <w:p w14:paraId="2412FBE3"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Sepsis Criteria</w:t>
      </w:r>
    </w:p>
    <w:p w14:paraId="0755F807" w14:textId="77777777" w:rsidR="000541D2" w:rsidRPr="000541D2" w:rsidRDefault="000541D2" w:rsidP="000541D2">
      <w:pPr>
        <w:ind w:firstLine="720"/>
        <w:jc w:val="both"/>
        <w:rPr>
          <w:rFonts w:ascii="Arial" w:hAnsi="Arial" w:cs="Arial"/>
        </w:rPr>
      </w:pPr>
      <w:r w:rsidRPr="000541D2">
        <w:rPr>
          <w:rFonts w:ascii="Arial" w:hAnsi="Arial" w:cs="Arial"/>
        </w:rPr>
        <w:t xml:space="preserve">Clinical identification of neonatal sepsis is more challenging than in older children or adults due to subtle, nonspecific signs and overlapping syndromes in this age group (Table 1). Symptoms include severe dehydration, acute respiratory distress syndrome (ARDS), cyanotic congenital heart disease, meconium aspiration syndrome, congenital intestinal obstruction, or metabolic disorders that may trigger sepsis. Early signs commonly include fever or hypothermia, tachypnea, tachycardia, feeding difficulties, inconsolable crying, and lethargy, all warranting consideration of sepsis </w:t>
      </w:r>
      <w:hyperlink r:id="rId18" w:history="1">
        <w:r w:rsidRPr="000541D2">
          <w:rPr>
            <w:rStyle w:val="Hyperlink"/>
            <w:rFonts w:ascii="Arial" w:hAnsi="Arial" w:cs="Arial"/>
            <w:color w:val="auto"/>
            <w:u w:val="none"/>
          </w:rPr>
          <w:t>(Wynn &amp; Polin, 2018)</w:t>
        </w:r>
      </w:hyperlink>
      <w:r w:rsidRPr="000541D2">
        <w:rPr>
          <w:rFonts w:ascii="Arial" w:hAnsi="Arial" w:cs="Arial"/>
        </w:rPr>
        <w:t>.</w:t>
      </w:r>
    </w:p>
    <w:p w14:paraId="0818DFBD" w14:textId="77777777" w:rsidR="000541D2" w:rsidRDefault="000541D2" w:rsidP="000541D2">
      <w:pPr>
        <w:ind w:firstLine="720"/>
        <w:jc w:val="both"/>
        <w:rPr>
          <w:rFonts w:ascii="Arial" w:hAnsi="Arial" w:cs="Arial"/>
        </w:rPr>
      </w:pPr>
      <w:r w:rsidRPr="000541D2">
        <w:rPr>
          <w:rFonts w:ascii="Arial" w:hAnsi="Arial" w:cs="Arial"/>
        </w:rPr>
        <w:t xml:space="preserve">Studies have documented heart rate abnormalities, decreased variability, and transient slowing occurring up to 14 hours before symptom onset. Similarly, asymmetric increases in respiratory rate intervals have been observed 3–4 days prior to sepsis onset </w:t>
      </w:r>
      <w:hyperlink r:id="rId19" w:history="1">
        <w:r w:rsidRPr="000541D2">
          <w:rPr>
            <w:rStyle w:val="Hyperlink"/>
            <w:rFonts w:ascii="Arial" w:hAnsi="Arial" w:cs="Arial"/>
            <w:color w:val="auto"/>
            <w:u w:val="none"/>
          </w:rPr>
          <w:t>(</w:t>
        </w:r>
        <w:proofErr w:type="spellStart"/>
        <w:r w:rsidRPr="000541D2">
          <w:rPr>
            <w:rStyle w:val="Hyperlink"/>
            <w:rFonts w:ascii="Arial" w:hAnsi="Arial" w:cs="Arial"/>
            <w:color w:val="auto"/>
            <w:u w:val="none"/>
          </w:rPr>
          <w:t>Nyenga</w:t>
        </w:r>
        <w:proofErr w:type="spellEnd"/>
        <w:r w:rsidRPr="000541D2">
          <w:rPr>
            <w:rStyle w:val="Hyperlink"/>
            <w:rFonts w:ascii="Arial" w:hAnsi="Arial" w:cs="Arial"/>
            <w:color w:val="auto"/>
            <w:u w:val="none"/>
          </w:rPr>
          <w:t xml:space="preserve"> et al., 2021)</w:t>
        </w:r>
      </w:hyperlink>
      <w:r w:rsidRPr="000541D2">
        <w:rPr>
          <w:rFonts w:ascii="Arial" w:hAnsi="Arial" w:cs="Arial"/>
        </w:rPr>
        <w:t>.</w:t>
      </w:r>
    </w:p>
    <w:p w14:paraId="2FF1228A" w14:textId="77777777" w:rsidR="000541D2" w:rsidRPr="000541D2" w:rsidRDefault="000541D2" w:rsidP="000541D2">
      <w:pPr>
        <w:ind w:firstLine="720"/>
        <w:jc w:val="both"/>
        <w:rPr>
          <w:rFonts w:ascii="Arial" w:hAnsi="Arial" w:cs="Arial"/>
        </w:rPr>
      </w:pPr>
    </w:p>
    <w:p w14:paraId="3D4C1C2B" w14:textId="77777777" w:rsidR="000541D2" w:rsidRPr="000541D2" w:rsidRDefault="000541D2" w:rsidP="000541D2">
      <w:pPr>
        <w:pStyle w:val="Heading3"/>
        <w:jc w:val="both"/>
        <w:rPr>
          <w:rFonts w:ascii="Arial" w:hAnsi="Arial" w:cs="Arial"/>
          <w:color w:val="auto"/>
          <w:sz w:val="20"/>
          <w:szCs w:val="20"/>
        </w:rPr>
      </w:pPr>
      <w:r w:rsidRPr="000541D2">
        <w:rPr>
          <w:rFonts w:ascii="Arial" w:hAnsi="Arial" w:cs="Arial"/>
          <w:b/>
          <w:bCs/>
          <w:color w:val="auto"/>
          <w:sz w:val="20"/>
          <w:szCs w:val="20"/>
        </w:rPr>
        <w:t>Table 1. Signs and Symptoms of Neonatal Sepsis</w:t>
      </w:r>
    </w:p>
    <w:p w14:paraId="2BE1748A" w14:textId="77777777" w:rsidR="000541D2" w:rsidRPr="000541D2" w:rsidRDefault="000541D2" w:rsidP="000541D2">
      <w:pPr>
        <w:jc w:val="both"/>
        <w:rPr>
          <w:rFonts w:ascii="Arial" w:hAnsi="Arial" w:cs="Arial"/>
        </w:rPr>
      </w:pPr>
    </w:p>
    <w:tbl>
      <w:tblPr>
        <w:tblW w:w="5000" w:type="pct"/>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36"/>
        <w:gridCol w:w="2735"/>
        <w:gridCol w:w="2735"/>
      </w:tblGrid>
      <w:tr w:rsidR="000541D2" w:rsidRPr="000541D2" w14:paraId="61B697A5" w14:textId="77777777" w:rsidTr="00F0010E">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0340A096" w14:textId="77777777" w:rsidR="000541D2" w:rsidRPr="000541D2" w:rsidRDefault="000541D2" w:rsidP="000541D2">
            <w:pPr>
              <w:jc w:val="both"/>
              <w:rPr>
                <w:rFonts w:ascii="Arial" w:hAnsi="Arial" w:cs="Arial"/>
                <w:b/>
                <w:bCs/>
              </w:rPr>
            </w:pPr>
            <w:r w:rsidRPr="000541D2">
              <w:rPr>
                <w:rFonts w:ascii="Arial" w:hAnsi="Arial" w:cs="Arial"/>
                <w:b/>
                <w:bCs/>
              </w:rPr>
              <w:t>Organ System</w:t>
            </w:r>
          </w:p>
        </w:tc>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615D54C9" w14:textId="77777777" w:rsidR="000541D2" w:rsidRPr="000541D2" w:rsidRDefault="000541D2" w:rsidP="000541D2">
            <w:pPr>
              <w:jc w:val="both"/>
              <w:rPr>
                <w:rFonts w:ascii="Arial" w:hAnsi="Arial" w:cs="Arial"/>
                <w:b/>
                <w:bCs/>
              </w:rPr>
            </w:pPr>
            <w:r w:rsidRPr="000541D2">
              <w:rPr>
                <w:rFonts w:ascii="Arial" w:hAnsi="Arial" w:cs="Arial"/>
                <w:b/>
                <w:bCs/>
              </w:rPr>
              <w:t>Early-Onset Neonatal Sepsis (EONS)</w:t>
            </w:r>
          </w:p>
        </w:tc>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548A8900" w14:textId="77777777" w:rsidR="000541D2" w:rsidRPr="000541D2" w:rsidRDefault="000541D2" w:rsidP="000541D2">
            <w:pPr>
              <w:jc w:val="both"/>
              <w:rPr>
                <w:rFonts w:ascii="Arial" w:hAnsi="Arial" w:cs="Arial"/>
                <w:b/>
                <w:bCs/>
              </w:rPr>
            </w:pPr>
            <w:r w:rsidRPr="000541D2">
              <w:rPr>
                <w:rFonts w:ascii="Arial" w:hAnsi="Arial" w:cs="Arial"/>
                <w:b/>
                <w:bCs/>
              </w:rPr>
              <w:t>Late-Onset Neonatal Sepsis (LONS)</w:t>
            </w:r>
          </w:p>
        </w:tc>
      </w:tr>
      <w:tr w:rsidR="000541D2" w:rsidRPr="000541D2" w14:paraId="5263B9C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4E47C32" w14:textId="77777777" w:rsidR="000541D2" w:rsidRPr="000541D2" w:rsidRDefault="000541D2" w:rsidP="000541D2">
            <w:pPr>
              <w:jc w:val="both"/>
              <w:rPr>
                <w:rFonts w:ascii="Arial" w:hAnsi="Arial" w:cs="Arial"/>
              </w:rPr>
            </w:pPr>
            <w:r w:rsidRPr="000541D2">
              <w:rPr>
                <w:rFonts w:ascii="Arial" w:hAnsi="Arial" w:cs="Arial"/>
              </w:rPr>
              <w:lastRenderedPageBreak/>
              <w:t>Heart</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C7D492E" w14:textId="77777777" w:rsidR="000541D2" w:rsidRPr="000541D2" w:rsidRDefault="000541D2" w:rsidP="000541D2">
            <w:pPr>
              <w:jc w:val="both"/>
              <w:rPr>
                <w:rFonts w:ascii="Arial" w:hAnsi="Arial" w:cs="Arial"/>
              </w:rPr>
            </w:pPr>
            <w:r w:rsidRPr="000541D2">
              <w:rPr>
                <w:rFonts w:ascii="Arial" w:hAnsi="Arial" w:cs="Arial"/>
              </w:rPr>
              <w:t>Tachycardia, hypotension</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D6D3A56" w14:textId="77777777" w:rsidR="000541D2" w:rsidRPr="000541D2" w:rsidRDefault="000541D2" w:rsidP="000541D2">
            <w:pPr>
              <w:jc w:val="both"/>
              <w:rPr>
                <w:rFonts w:ascii="Arial" w:hAnsi="Arial" w:cs="Arial"/>
              </w:rPr>
            </w:pPr>
            <w:r w:rsidRPr="000541D2">
              <w:rPr>
                <w:rFonts w:ascii="Arial" w:hAnsi="Arial" w:cs="Arial"/>
              </w:rPr>
              <w:t>Bradycardia, delayed capillary refill, weak pulse</w:t>
            </w:r>
          </w:p>
        </w:tc>
      </w:tr>
      <w:tr w:rsidR="000541D2" w:rsidRPr="000541D2" w14:paraId="16D2E50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6DBCF07" w14:textId="77777777" w:rsidR="000541D2" w:rsidRPr="000541D2" w:rsidRDefault="000541D2" w:rsidP="000541D2">
            <w:pPr>
              <w:jc w:val="both"/>
              <w:rPr>
                <w:rFonts w:ascii="Arial" w:hAnsi="Arial" w:cs="Arial"/>
              </w:rPr>
            </w:pPr>
            <w:r w:rsidRPr="000541D2">
              <w:rPr>
                <w:rFonts w:ascii="Arial" w:hAnsi="Arial" w:cs="Arial"/>
              </w:rPr>
              <w:t>Respiratory</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49A22C6A" w14:textId="77777777" w:rsidR="000541D2" w:rsidRPr="000541D2" w:rsidRDefault="000541D2" w:rsidP="000541D2">
            <w:pPr>
              <w:jc w:val="both"/>
              <w:rPr>
                <w:rFonts w:ascii="Arial" w:hAnsi="Arial" w:cs="Arial"/>
              </w:rPr>
            </w:pPr>
            <w:r w:rsidRPr="000541D2">
              <w:rPr>
                <w:rFonts w:ascii="Arial" w:hAnsi="Arial" w:cs="Arial"/>
              </w:rPr>
              <w:t>Tachypnea, nasal flaring</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D8EB56C" w14:textId="77777777" w:rsidR="000541D2" w:rsidRPr="000541D2" w:rsidRDefault="000541D2" w:rsidP="000541D2">
            <w:pPr>
              <w:jc w:val="both"/>
              <w:rPr>
                <w:rFonts w:ascii="Arial" w:hAnsi="Arial" w:cs="Arial"/>
              </w:rPr>
            </w:pPr>
            <w:r w:rsidRPr="000541D2">
              <w:rPr>
                <w:rFonts w:ascii="Arial" w:hAnsi="Arial" w:cs="Arial"/>
              </w:rPr>
              <w:t>Grunting, hypoxemia, shallow or irregular breathing/apnea</w:t>
            </w:r>
          </w:p>
        </w:tc>
      </w:tr>
      <w:tr w:rsidR="000541D2" w:rsidRPr="000541D2" w14:paraId="7B141A3F"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3A9DE18" w14:textId="77777777" w:rsidR="000541D2" w:rsidRPr="000541D2" w:rsidRDefault="000541D2" w:rsidP="000541D2">
            <w:pPr>
              <w:jc w:val="both"/>
              <w:rPr>
                <w:rFonts w:ascii="Arial" w:hAnsi="Arial" w:cs="Arial"/>
              </w:rPr>
            </w:pPr>
            <w:r w:rsidRPr="000541D2">
              <w:rPr>
                <w:rFonts w:ascii="Arial" w:hAnsi="Arial" w:cs="Arial"/>
              </w:rPr>
              <w:t>Gastrointestinal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6BA054E" w14:textId="77777777" w:rsidR="000541D2" w:rsidRPr="000541D2" w:rsidRDefault="000541D2" w:rsidP="000541D2">
            <w:pPr>
              <w:jc w:val="both"/>
              <w:rPr>
                <w:rFonts w:ascii="Arial" w:hAnsi="Arial" w:cs="Arial"/>
              </w:rPr>
            </w:pPr>
            <w:r w:rsidRPr="000541D2">
              <w:rPr>
                <w:rFonts w:ascii="Arial" w:hAnsi="Arial" w:cs="Arial"/>
              </w:rPr>
              <w:t>Decreased intake (bottle refusal), poor latch, prolonged feeding time, irritability</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796A38DB" w14:textId="77777777" w:rsidR="000541D2" w:rsidRPr="000541D2" w:rsidRDefault="000541D2" w:rsidP="000541D2">
            <w:pPr>
              <w:jc w:val="both"/>
              <w:rPr>
                <w:rFonts w:ascii="Arial" w:hAnsi="Arial" w:cs="Arial"/>
              </w:rPr>
            </w:pPr>
            <w:r w:rsidRPr="000541D2">
              <w:rPr>
                <w:rFonts w:ascii="Arial" w:hAnsi="Arial" w:cs="Arial"/>
              </w:rPr>
              <w:t>Vomiting, abdominal distension, paralytic ileus, necrotizing enterocolitis, hypo/hyperglycemia, metabolic acidosis</w:t>
            </w:r>
          </w:p>
        </w:tc>
      </w:tr>
      <w:tr w:rsidR="000541D2" w:rsidRPr="000541D2" w14:paraId="2CB02068"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4D3FEA48" w14:textId="77777777" w:rsidR="000541D2" w:rsidRPr="000541D2" w:rsidRDefault="000541D2" w:rsidP="000541D2">
            <w:pPr>
              <w:jc w:val="both"/>
              <w:rPr>
                <w:rFonts w:ascii="Arial" w:hAnsi="Arial" w:cs="Arial"/>
              </w:rPr>
            </w:pPr>
            <w:r w:rsidRPr="000541D2">
              <w:rPr>
                <w:rFonts w:ascii="Arial" w:hAnsi="Arial" w:cs="Arial"/>
              </w:rPr>
              <w:t>Neurological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80BAEB0" w14:textId="77777777" w:rsidR="000541D2" w:rsidRPr="000541D2" w:rsidRDefault="000541D2" w:rsidP="000541D2">
            <w:pPr>
              <w:jc w:val="both"/>
              <w:rPr>
                <w:rFonts w:ascii="Arial" w:hAnsi="Arial" w:cs="Arial"/>
              </w:rPr>
            </w:pPr>
            <w:r w:rsidRPr="000541D2">
              <w:rPr>
                <w:rFonts w:ascii="Arial" w:hAnsi="Arial" w:cs="Arial"/>
              </w:rPr>
              <w:t>Persistent crying, hypotonia, thermal dysregulation (hypothermia or fever), diminished neonatal archaic reflexes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3396A4E" w14:textId="77777777" w:rsidR="000541D2" w:rsidRPr="000541D2" w:rsidRDefault="000541D2" w:rsidP="000541D2">
            <w:pPr>
              <w:jc w:val="both"/>
              <w:rPr>
                <w:rFonts w:ascii="Arial" w:hAnsi="Arial" w:cs="Arial"/>
              </w:rPr>
            </w:pPr>
            <w:r w:rsidRPr="000541D2">
              <w:rPr>
                <w:rFonts w:ascii="Arial" w:hAnsi="Arial" w:cs="Arial"/>
              </w:rPr>
              <w:t>Seizures, apnea, lethargy, encephalopathy, bulging fontanelle, meningitis features</w:t>
            </w:r>
          </w:p>
        </w:tc>
      </w:tr>
      <w:tr w:rsidR="000541D2" w:rsidRPr="000541D2" w14:paraId="42BA5FF0"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7BD80919" w14:textId="77777777" w:rsidR="000541D2" w:rsidRPr="000541D2" w:rsidRDefault="000541D2" w:rsidP="000541D2">
            <w:pPr>
              <w:jc w:val="both"/>
              <w:rPr>
                <w:rFonts w:ascii="Arial" w:hAnsi="Arial" w:cs="Arial"/>
              </w:rPr>
            </w:pPr>
            <w:r w:rsidRPr="000541D2">
              <w:rPr>
                <w:rFonts w:ascii="Arial" w:hAnsi="Arial" w:cs="Arial"/>
              </w:rPr>
              <w:t>Renal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9E203B0" w14:textId="77777777" w:rsidR="000541D2" w:rsidRPr="000541D2" w:rsidRDefault="000541D2" w:rsidP="000541D2">
            <w:pPr>
              <w:jc w:val="both"/>
              <w:rPr>
                <w:rFonts w:ascii="Arial" w:hAnsi="Arial" w:cs="Arial"/>
              </w:rPr>
            </w:pPr>
            <w:r w:rsidRPr="000541D2">
              <w:rPr>
                <w:rFonts w:ascii="Arial" w:hAnsi="Arial" w:cs="Arial"/>
              </w:rPr>
              <w:t>None</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EB4374D" w14:textId="77777777" w:rsidR="000541D2" w:rsidRPr="000541D2" w:rsidRDefault="000541D2" w:rsidP="000541D2">
            <w:pPr>
              <w:jc w:val="both"/>
              <w:rPr>
                <w:rFonts w:ascii="Arial" w:hAnsi="Arial" w:cs="Arial"/>
              </w:rPr>
            </w:pPr>
            <w:r w:rsidRPr="000541D2">
              <w:rPr>
                <w:rFonts w:ascii="Arial" w:hAnsi="Arial" w:cs="Arial"/>
              </w:rPr>
              <w:t>Oliguria</w:t>
            </w:r>
          </w:p>
        </w:tc>
      </w:tr>
      <w:tr w:rsidR="000541D2" w:rsidRPr="000541D2" w14:paraId="3C0E1C0C"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02FF414C" w14:textId="77777777" w:rsidR="000541D2" w:rsidRPr="000541D2" w:rsidRDefault="000541D2" w:rsidP="000541D2">
            <w:pPr>
              <w:jc w:val="both"/>
              <w:rPr>
                <w:rFonts w:ascii="Arial" w:hAnsi="Arial" w:cs="Arial"/>
              </w:rPr>
            </w:pPr>
            <w:r w:rsidRPr="000541D2">
              <w:rPr>
                <w:rFonts w:ascii="Arial" w:hAnsi="Arial" w:cs="Arial"/>
              </w:rPr>
              <w:t>Hepatic/Hematologic</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578C28D" w14:textId="77777777" w:rsidR="000541D2" w:rsidRPr="000541D2" w:rsidRDefault="000541D2" w:rsidP="000541D2">
            <w:pPr>
              <w:jc w:val="both"/>
              <w:rPr>
                <w:rFonts w:ascii="Arial" w:hAnsi="Arial" w:cs="Arial"/>
              </w:rPr>
            </w:pPr>
            <w:r w:rsidRPr="000541D2">
              <w:rPr>
                <w:rFonts w:ascii="Arial" w:hAnsi="Arial" w:cs="Arial"/>
              </w:rPr>
              <w:t>Hepatomegaly and direct hyperbilirubinemia without other known risk factors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4CC48B5" w14:textId="77777777" w:rsidR="000541D2" w:rsidRPr="000541D2" w:rsidRDefault="000541D2" w:rsidP="000541D2">
            <w:pPr>
              <w:jc w:val="both"/>
              <w:rPr>
                <w:rFonts w:ascii="Arial" w:hAnsi="Arial" w:cs="Arial"/>
              </w:rPr>
            </w:pPr>
            <w:r w:rsidRPr="000541D2">
              <w:rPr>
                <w:rFonts w:ascii="Arial" w:hAnsi="Arial" w:cs="Arial"/>
              </w:rPr>
              <w:t>Petechiae or bleeding indicating coagulopathy</w:t>
            </w:r>
          </w:p>
        </w:tc>
      </w:tr>
      <w:tr w:rsidR="000541D2" w:rsidRPr="000541D2" w14:paraId="2BE3A27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0456DF77" w14:textId="77777777" w:rsidR="000541D2" w:rsidRPr="000541D2" w:rsidRDefault="000541D2" w:rsidP="000541D2">
            <w:pPr>
              <w:jc w:val="both"/>
              <w:rPr>
                <w:rFonts w:ascii="Arial" w:hAnsi="Arial" w:cs="Arial"/>
              </w:rPr>
            </w:pPr>
            <w:r w:rsidRPr="000541D2">
              <w:rPr>
                <w:rFonts w:ascii="Arial" w:hAnsi="Arial" w:cs="Arial"/>
              </w:rPr>
              <w:t>Dermatologic</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3C78950" w14:textId="77777777" w:rsidR="000541D2" w:rsidRPr="000541D2" w:rsidRDefault="000541D2" w:rsidP="000541D2">
            <w:pPr>
              <w:jc w:val="both"/>
              <w:rPr>
                <w:rFonts w:ascii="Arial" w:hAnsi="Arial" w:cs="Arial"/>
              </w:rPr>
            </w:pPr>
            <w:r w:rsidRPr="000541D2">
              <w:rPr>
                <w:rFonts w:ascii="Arial" w:hAnsi="Arial" w:cs="Arial"/>
              </w:rPr>
              <w:t>New rash, vesicles, erythema, or swelling around joints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8EB7490" w14:textId="77777777" w:rsidR="000541D2" w:rsidRPr="000541D2" w:rsidRDefault="000541D2" w:rsidP="000541D2">
            <w:pPr>
              <w:jc w:val="both"/>
              <w:rPr>
                <w:rFonts w:ascii="Arial" w:hAnsi="Arial" w:cs="Arial"/>
              </w:rPr>
            </w:pPr>
            <w:r w:rsidRPr="000541D2">
              <w:rPr>
                <w:rFonts w:ascii="Arial" w:hAnsi="Arial" w:cs="Arial"/>
              </w:rPr>
              <w:t>Mottling and umbilical discharge</w:t>
            </w:r>
          </w:p>
        </w:tc>
      </w:tr>
    </w:tbl>
    <w:p w14:paraId="56DD57A5" w14:textId="77777777" w:rsidR="000541D2" w:rsidRPr="000541D2" w:rsidRDefault="000541D2" w:rsidP="000541D2">
      <w:pPr>
        <w:jc w:val="both"/>
        <w:rPr>
          <w:rFonts w:ascii="Arial" w:hAnsi="Arial" w:cs="Arial"/>
        </w:rPr>
      </w:pPr>
    </w:p>
    <w:p w14:paraId="047844AA" w14:textId="77777777" w:rsidR="000541D2" w:rsidRPr="000541D2" w:rsidRDefault="000541D2" w:rsidP="000541D2">
      <w:pPr>
        <w:ind w:firstLine="720"/>
        <w:jc w:val="both"/>
        <w:rPr>
          <w:rFonts w:ascii="Arial" w:hAnsi="Arial" w:cs="Arial"/>
        </w:rPr>
      </w:pPr>
      <w:r w:rsidRPr="000541D2">
        <w:rPr>
          <w:rFonts w:ascii="Arial" w:hAnsi="Arial" w:cs="Arial"/>
        </w:rPr>
        <w:t>To support accurate clinical diagnosis, several sepsis scoring systems have been developed, including the Tollner sepsis score, NEO-KISS score, Neonatal Sequential Organ Failure Assessment (</w:t>
      </w:r>
      <w:proofErr w:type="spellStart"/>
      <w:r w:rsidRPr="000541D2">
        <w:rPr>
          <w:rFonts w:ascii="Arial" w:hAnsi="Arial" w:cs="Arial"/>
        </w:rPr>
        <w:t>nSOFA</w:t>
      </w:r>
      <w:proofErr w:type="spellEnd"/>
      <w:r w:rsidRPr="000541D2">
        <w:rPr>
          <w:rFonts w:ascii="Arial" w:hAnsi="Arial" w:cs="Arial"/>
        </w:rPr>
        <w:t xml:space="preserve">) by Wynn and Polin, and the NeoSep Severity Score. The </w:t>
      </w:r>
      <w:proofErr w:type="spellStart"/>
      <w:r w:rsidRPr="000541D2">
        <w:rPr>
          <w:rFonts w:ascii="Arial" w:hAnsi="Arial" w:cs="Arial"/>
        </w:rPr>
        <w:t>nSOFA</w:t>
      </w:r>
      <w:proofErr w:type="spellEnd"/>
      <w:r w:rsidRPr="000541D2">
        <w:rPr>
          <w:rFonts w:ascii="Arial" w:hAnsi="Arial" w:cs="Arial"/>
        </w:rPr>
        <w:t xml:space="preserve"> score is widely used, incorporating three categorical criteria: (1) mechanical ventilation and oxygen requirement, (2) inotropic support for adrenal insufficiency or catecholamine-resistant shock, and (3) presence and degree of thrombocytopenia. An </w:t>
      </w:r>
      <w:proofErr w:type="spellStart"/>
      <w:r w:rsidRPr="000541D2">
        <w:rPr>
          <w:rFonts w:ascii="Arial" w:hAnsi="Arial" w:cs="Arial"/>
        </w:rPr>
        <w:t>nSOFA</w:t>
      </w:r>
      <w:proofErr w:type="spellEnd"/>
      <w:r w:rsidRPr="000541D2">
        <w:rPr>
          <w:rFonts w:ascii="Arial" w:hAnsi="Arial" w:cs="Arial"/>
        </w:rPr>
        <w:t xml:space="preserve"> score above 4 in LONS correlates with higher mortality, with mortality odds increasing progressively with higher scores </w:t>
      </w:r>
      <w:hyperlink r:id="rId20" w:history="1">
        <w:r w:rsidRPr="000541D2">
          <w:rPr>
            <w:rStyle w:val="Hyperlink"/>
            <w:rFonts w:ascii="Arial" w:hAnsi="Arial" w:cs="Arial"/>
            <w:color w:val="auto"/>
            <w:u w:val="none"/>
          </w:rPr>
          <w:t>(Fleiss et al., 2021)</w:t>
        </w:r>
      </w:hyperlink>
      <w:r w:rsidRPr="000541D2">
        <w:rPr>
          <w:rFonts w:ascii="Arial" w:hAnsi="Arial" w:cs="Arial"/>
        </w:rPr>
        <w:t xml:space="preserve"> </w:t>
      </w:r>
      <w:hyperlink r:id="rId21" w:history="1">
        <w:r w:rsidRPr="000541D2">
          <w:rPr>
            <w:rStyle w:val="Hyperlink"/>
            <w:rFonts w:ascii="Arial" w:hAnsi="Arial" w:cs="Arial"/>
            <w:color w:val="auto"/>
            <w:u w:val="none"/>
          </w:rPr>
          <w:t>(Poggi et al., 2023)</w:t>
        </w:r>
      </w:hyperlink>
      <w:r w:rsidRPr="000541D2">
        <w:rPr>
          <w:rFonts w:ascii="Arial" w:hAnsi="Arial" w:cs="Arial"/>
        </w:rPr>
        <w:t>.</w:t>
      </w:r>
    </w:p>
    <w:p w14:paraId="14EEDA91" w14:textId="77777777" w:rsidR="000541D2" w:rsidRPr="000541D2" w:rsidRDefault="000541D2" w:rsidP="000541D2">
      <w:pPr>
        <w:ind w:firstLine="720"/>
        <w:jc w:val="both"/>
        <w:rPr>
          <w:rFonts w:ascii="Arial" w:hAnsi="Arial" w:cs="Arial"/>
        </w:rPr>
      </w:pPr>
      <w:r w:rsidRPr="000541D2">
        <w:rPr>
          <w:rFonts w:ascii="Arial" w:hAnsi="Arial" w:cs="Arial"/>
        </w:rPr>
        <w:t xml:space="preserve">Limitations exist, as respiratory or cardiovascular instability common in preterm infants from birth may reduce </w:t>
      </w:r>
      <w:proofErr w:type="spellStart"/>
      <w:r w:rsidRPr="000541D2">
        <w:rPr>
          <w:rFonts w:ascii="Arial" w:hAnsi="Arial" w:cs="Arial"/>
        </w:rPr>
        <w:t>nSOFA</w:t>
      </w:r>
      <w:proofErr w:type="spellEnd"/>
      <w:r w:rsidRPr="000541D2">
        <w:rPr>
          <w:rFonts w:ascii="Arial" w:hAnsi="Arial" w:cs="Arial"/>
        </w:rPr>
        <w:t xml:space="preserve"> accuracy in EONS cases. The </w:t>
      </w:r>
      <w:proofErr w:type="spellStart"/>
      <w:r w:rsidRPr="000541D2">
        <w:rPr>
          <w:rFonts w:ascii="Arial" w:hAnsi="Arial" w:cs="Arial"/>
        </w:rPr>
        <w:t>NeoOBS</w:t>
      </w:r>
      <w:proofErr w:type="spellEnd"/>
      <w:r w:rsidRPr="000541D2">
        <w:rPr>
          <w:rFonts w:ascii="Arial" w:hAnsi="Arial" w:cs="Arial"/>
        </w:rPr>
        <w:t xml:space="preserve"> study introduced two additional scores: (1) NeoSep Severity Score for 28-day mortality prediction based on sepsis presentation characteristics, and (2) NeoSep Recovery Score estimating daily mortality risk post-intravenous antibiotic therapy based on updated clinical assessments </w:t>
      </w:r>
      <w:hyperlink r:id="rId22" w:history="1">
        <w:r w:rsidRPr="000541D2">
          <w:rPr>
            <w:rStyle w:val="Hyperlink"/>
            <w:rFonts w:ascii="Arial" w:hAnsi="Arial" w:cs="Arial"/>
            <w:color w:val="auto"/>
            <w:u w:val="none"/>
          </w:rPr>
          <w:t>(Russell et al., 2023)</w:t>
        </w:r>
      </w:hyperlink>
      <w:r w:rsidRPr="000541D2">
        <w:rPr>
          <w:rFonts w:ascii="Arial" w:hAnsi="Arial" w:cs="Arial"/>
        </w:rPr>
        <w:t>.</w:t>
      </w:r>
    </w:p>
    <w:p w14:paraId="2A43B7FB" w14:textId="77777777" w:rsidR="000541D2" w:rsidRPr="000541D2" w:rsidRDefault="000541D2" w:rsidP="000541D2">
      <w:pPr>
        <w:jc w:val="both"/>
        <w:rPr>
          <w:rFonts w:ascii="Arial" w:hAnsi="Arial" w:cs="Arial"/>
        </w:rPr>
      </w:pPr>
    </w:p>
    <w:p w14:paraId="02F5E0B8"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Supportive Examinations</w:t>
      </w:r>
    </w:p>
    <w:p w14:paraId="2DBA9FBA" w14:textId="77777777" w:rsidR="000541D2" w:rsidRPr="000541D2" w:rsidRDefault="000541D2" w:rsidP="000541D2">
      <w:pPr>
        <w:ind w:firstLine="720"/>
        <w:jc w:val="both"/>
        <w:rPr>
          <w:rFonts w:ascii="Arial" w:hAnsi="Arial" w:cs="Arial"/>
        </w:rPr>
      </w:pPr>
      <w:r w:rsidRPr="000541D2">
        <w:rPr>
          <w:rFonts w:ascii="Arial" w:hAnsi="Arial" w:cs="Arial"/>
        </w:rPr>
        <w:t xml:space="preserve">Due to atypical clinical presentations, many neonates at risk for sepsis experience delayed or missed diagnoses. Current supportive diagnostic modalities include microbiological tests, molecular techniques, hematological indices, and inflammatory biomarkers </w:t>
      </w:r>
      <w:hyperlink r:id="rId23" w:history="1">
        <w:r w:rsidRPr="000541D2">
          <w:rPr>
            <w:rStyle w:val="Hyperlink"/>
            <w:rFonts w:ascii="Arial" w:hAnsi="Arial" w:cs="Arial"/>
            <w:color w:val="auto"/>
            <w:u w:val="none"/>
          </w:rPr>
          <w:t>(Celik et al., 2022)</w:t>
        </w:r>
      </w:hyperlink>
      <w:r w:rsidRPr="000541D2">
        <w:rPr>
          <w:rFonts w:ascii="Arial" w:hAnsi="Arial" w:cs="Arial"/>
        </w:rPr>
        <w:t>.</w:t>
      </w:r>
    </w:p>
    <w:p w14:paraId="6B8E74D7" w14:textId="77777777" w:rsidR="000541D2" w:rsidRPr="000541D2" w:rsidRDefault="000541D2" w:rsidP="000541D2">
      <w:pPr>
        <w:jc w:val="both"/>
        <w:rPr>
          <w:rFonts w:ascii="Arial" w:hAnsi="Arial" w:cs="Arial"/>
        </w:rPr>
      </w:pPr>
      <w:r w:rsidRPr="000541D2">
        <w:rPr>
          <w:rFonts w:ascii="Arial" w:hAnsi="Arial" w:cs="Arial"/>
        </w:rPr>
        <w:lastRenderedPageBreak/>
        <w:t xml:space="preserve">Peripheral blood smear examination for toxic granulation, vacuolization, and Dohle bodies, along with leukocyte counts, are conventionally used. Absolute neutrophil count below 1,000/mm³ for ≥4 hours (neutropenia) is a reliable indicator of EONS. </w:t>
      </w:r>
    </w:p>
    <w:p w14:paraId="53255DE1" w14:textId="77777777" w:rsidR="000541D2" w:rsidRPr="000541D2" w:rsidRDefault="000541D2" w:rsidP="000541D2">
      <w:pPr>
        <w:ind w:firstLine="720"/>
        <w:jc w:val="both"/>
        <w:rPr>
          <w:rFonts w:ascii="Arial" w:hAnsi="Arial" w:cs="Arial"/>
        </w:rPr>
      </w:pPr>
      <w:r w:rsidRPr="000541D2">
        <w:rPr>
          <w:rFonts w:ascii="Arial" w:hAnsi="Arial" w:cs="Arial"/>
        </w:rPr>
        <w:t xml:space="preserve">White blood cell counts are dynamic in the first 12 hours of life; thus, serial measurements over 24 hours are more informative than single assessments. Leukopenia (&lt;5,000/mm³) has low sensitivity (29%) but high specificity (91%) for neonatal sepsis diagnosis. Leukopenia is a better predictor than leukocytosis (&gt;20,000/mm³) after four hours. Granulocyte-macrophage colony-stimulating factor shows high negative predictive value at a 200 </w:t>
      </w:r>
      <w:proofErr w:type="spellStart"/>
      <w:r w:rsidRPr="000541D2">
        <w:rPr>
          <w:rFonts w:ascii="Arial" w:hAnsi="Arial" w:cs="Arial"/>
        </w:rPr>
        <w:t>pg</w:t>
      </w:r>
      <w:proofErr w:type="spellEnd"/>
      <w:r w:rsidRPr="000541D2">
        <w:rPr>
          <w:rFonts w:ascii="Arial" w:hAnsi="Arial" w:cs="Arial"/>
        </w:rPr>
        <w:t>/mL threshold. The most sensitive hematological indicator is the immature to total neutrophil ratio (</w:t>
      </w:r>
      <w:proofErr w:type="gramStart"/>
      <w:r w:rsidRPr="000541D2">
        <w:rPr>
          <w:rFonts w:ascii="Arial" w:hAnsi="Arial" w:cs="Arial"/>
        </w:rPr>
        <w:t>I:T</w:t>
      </w:r>
      <w:proofErr w:type="gramEnd"/>
      <w:r w:rsidRPr="000541D2">
        <w:rPr>
          <w:rFonts w:ascii="Arial" w:hAnsi="Arial" w:cs="Arial"/>
        </w:rPr>
        <w:t xml:space="preserve">), with cutoffs varying by gestational and postnatal age. Term neonates with </w:t>
      </w:r>
      <w:proofErr w:type="gramStart"/>
      <w:r w:rsidRPr="000541D2">
        <w:rPr>
          <w:rFonts w:ascii="Arial" w:hAnsi="Arial" w:cs="Arial"/>
        </w:rPr>
        <w:t>I:T</w:t>
      </w:r>
      <w:proofErr w:type="gramEnd"/>
      <w:r w:rsidRPr="000541D2">
        <w:rPr>
          <w:rFonts w:ascii="Arial" w:hAnsi="Arial" w:cs="Arial"/>
        </w:rPr>
        <w:t xml:space="preserve"> &gt;0.27 and preterm neonates with </w:t>
      </w:r>
      <w:proofErr w:type="gramStart"/>
      <w:r w:rsidRPr="000541D2">
        <w:rPr>
          <w:rFonts w:ascii="Arial" w:hAnsi="Arial" w:cs="Arial"/>
        </w:rPr>
        <w:t>I:T</w:t>
      </w:r>
      <w:proofErr w:type="gramEnd"/>
      <w:r w:rsidRPr="000541D2">
        <w:rPr>
          <w:rFonts w:ascii="Arial" w:hAnsi="Arial" w:cs="Arial"/>
        </w:rPr>
        <w:t xml:space="preserve"> &gt;0.22 support sepsis diagnosis </w:t>
      </w:r>
      <w:hyperlink r:id="rId24" w:history="1">
        <w:r w:rsidRPr="000541D2">
          <w:rPr>
            <w:rStyle w:val="Hyperlink"/>
            <w:rFonts w:ascii="Arial" w:hAnsi="Arial" w:cs="Arial"/>
            <w:color w:val="auto"/>
            <w:u w:val="none"/>
          </w:rPr>
          <w:t>(Iroh Tam &amp; Bendel, 2017)</w:t>
        </w:r>
      </w:hyperlink>
      <w:r w:rsidRPr="000541D2">
        <w:rPr>
          <w:rFonts w:ascii="Arial" w:hAnsi="Arial" w:cs="Arial"/>
        </w:rPr>
        <w:t>.</w:t>
      </w:r>
    </w:p>
    <w:p w14:paraId="5B8F71A7" w14:textId="77777777" w:rsidR="000541D2" w:rsidRPr="000541D2" w:rsidRDefault="000541D2" w:rsidP="000541D2">
      <w:pPr>
        <w:ind w:firstLine="720"/>
        <w:jc w:val="both"/>
        <w:rPr>
          <w:rFonts w:ascii="Arial" w:hAnsi="Arial" w:cs="Arial"/>
        </w:rPr>
      </w:pPr>
      <w:r w:rsidRPr="000541D2">
        <w:rPr>
          <w:rFonts w:ascii="Arial" w:hAnsi="Arial" w:cs="Arial"/>
        </w:rPr>
        <w:t>Inflammatory biomarker levels play a crucial role in sepsis detection. Serum C-reactive protein (CRP) levels correlate directly with disease severity, rising within 10–12 hours and peaking at 36–48 hours post bacterial infection. CRP and complete blood count have better negative predictive values, aiding early diagnosis. CRP sensitivity is low in early infection stages; thus, serial measurements over 24–48 hours improve sensitivity and negative predictive value, useful for monitoring treatment response. High-sensitivity CRP (</w:t>
      </w:r>
      <w:proofErr w:type="spellStart"/>
      <w:r w:rsidRPr="000541D2">
        <w:rPr>
          <w:rFonts w:ascii="Arial" w:hAnsi="Arial" w:cs="Arial"/>
        </w:rPr>
        <w:t>hs</w:t>
      </w:r>
      <w:proofErr w:type="spellEnd"/>
      <w:r w:rsidRPr="000541D2">
        <w:rPr>
          <w:rFonts w:ascii="Arial" w:hAnsi="Arial" w:cs="Arial"/>
        </w:rPr>
        <w:t xml:space="preserve">-CRP) detects lower CRP levels than conventional assays, enhancing early neonatal infection detection. Neonates produce lower acute phase proteins than adults, resulting in lower CRP responses. </w:t>
      </w:r>
      <w:proofErr w:type="spellStart"/>
      <w:r w:rsidRPr="000541D2">
        <w:rPr>
          <w:rFonts w:ascii="Arial" w:hAnsi="Arial" w:cs="Arial"/>
        </w:rPr>
        <w:t>hs</w:t>
      </w:r>
      <w:proofErr w:type="spellEnd"/>
      <w:r w:rsidRPr="000541D2">
        <w:rPr>
          <w:rFonts w:ascii="Arial" w:hAnsi="Arial" w:cs="Arial"/>
        </w:rPr>
        <w:t xml:space="preserve">-CRP levels below 1 mg/L increase sensitivity for neonatal infection detection </w:t>
      </w:r>
      <w:hyperlink r:id="rId25" w:history="1">
        <w:r w:rsidRPr="000541D2">
          <w:rPr>
            <w:rStyle w:val="Hyperlink"/>
            <w:rFonts w:ascii="Arial" w:hAnsi="Arial" w:cs="Arial"/>
            <w:color w:val="auto"/>
            <w:u w:val="none"/>
          </w:rPr>
          <w:t>(Ganesan et al., 2016)</w:t>
        </w:r>
      </w:hyperlink>
      <w:r w:rsidRPr="000541D2">
        <w:rPr>
          <w:rFonts w:ascii="Arial" w:hAnsi="Arial" w:cs="Arial"/>
        </w:rPr>
        <w:t>.</w:t>
      </w:r>
    </w:p>
    <w:p w14:paraId="2908099B" w14:textId="77777777" w:rsidR="000541D2" w:rsidRPr="000541D2" w:rsidRDefault="000541D2" w:rsidP="000541D2">
      <w:pPr>
        <w:jc w:val="both"/>
        <w:rPr>
          <w:rFonts w:ascii="Arial" w:hAnsi="Arial" w:cs="Arial"/>
        </w:rPr>
      </w:pPr>
      <w:r w:rsidRPr="000541D2">
        <w:rPr>
          <w:rFonts w:ascii="Arial" w:hAnsi="Arial" w:cs="Arial"/>
        </w:rPr>
        <w:t xml:space="preserve">Platelet counts also serve as sepsis indicators. Sepsis reduces platelet production, with newly produced platelets being larger, increasing mean platelet volume (MPV). Elevated MPV clinically indicates platelet production and activation rates. Studies show overall MPV increases in septic neonates compared to healthy controls. Platelet distribution width (PDW), indicating platelet size variability, also rises in anisocytosis. PDW and MPV physiologically correlate, typically changing in parallel. Platelet indices assist diagnosis, follow-up, and therapy response assessment </w:t>
      </w:r>
      <w:hyperlink r:id="rId26" w:history="1">
        <w:r w:rsidRPr="000541D2">
          <w:rPr>
            <w:rStyle w:val="Hyperlink"/>
            <w:rFonts w:ascii="Arial" w:hAnsi="Arial" w:cs="Arial"/>
            <w:color w:val="auto"/>
            <w:u w:val="none"/>
          </w:rPr>
          <w:t>(Wang et al., 2020)</w:t>
        </w:r>
      </w:hyperlink>
      <w:r w:rsidRPr="000541D2">
        <w:rPr>
          <w:rFonts w:ascii="Arial" w:hAnsi="Arial" w:cs="Arial"/>
        </w:rPr>
        <w:t>.</w:t>
      </w:r>
    </w:p>
    <w:p w14:paraId="34655567" w14:textId="77777777" w:rsidR="000541D2" w:rsidRPr="000541D2" w:rsidRDefault="000541D2" w:rsidP="000541D2">
      <w:pPr>
        <w:ind w:firstLine="720"/>
        <w:jc w:val="both"/>
        <w:rPr>
          <w:rFonts w:ascii="Arial" w:hAnsi="Arial" w:cs="Arial"/>
        </w:rPr>
      </w:pPr>
      <w:r w:rsidRPr="000541D2">
        <w:rPr>
          <w:rFonts w:ascii="Arial" w:hAnsi="Arial" w:cs="Arial"/>
        </w:rPr>
        <w:t xml:space="preserve">Neutrophil-lymphocyte ratio (NLR), calculated as absolute neutrophil count divided by absolute lymphocyte count, is a promising inflammatory biomarker for neonatal sepsis. Systemic infection induces neutrophilia and lymphopenia, increasing NLR. This ratio combines two complementary hematological indices, providing a comprehensive inflammatory status overview compared to single parameters. Sah et al. (2019) demonstrated NLR &gt;3.5–4.5 strongly correlates with confirmed neonatal sepsis, with sensitivity and specificity exceeding 80% in some cohorts. NLR outperforms traditional markers like CRP and procalcitonin in early sepsis detection due to rapid elevation within hours post-infection. Advantages include cost-effectiveness, accessibility from routine blood counts, and independence from gestational age, valuable in resource-limited settings. Persistently elevated NLR has prognostic potential, associating with increased mortality and complications such as septic shock. While not replacing microbiological culture as the gold standard, NLR is a reliable adjunct for risk stratification and timely therapeutic intervention. Standardization and validation across neonatal populations are needed to optimize clinical use </w:t>
      </w:r>
      <w:hyperlink r:id="rId27" w:history="1">
        <w:r w:rsidRPr="000541D2">
          <w:rPr>
            <w:rStyle w:val="Hyperlink"/>
            <w:rFonts w:ascii="Arial" w:hAnsi="Arial" w:cs="Arial"/>
            <w:color w:val="auto"/>
            <w:u w:val="none"/>
          </w:rPr>
          <w:t>(Martins et al., 2019)</w:t>
        </w:r>
      </w:hyperlink>
      <w:r w:rsidRPr="000541D2">
        <w:rPr>
          <w:rFonts w:ascii="Arial" w:hAnsi="Arial" w:cs="Arial"/>
        </w:rPr>
        <w:t>.</w:t>
      </w:r>
    </w:p>
    <w:p w14:paraId="2E8A1EF2" w14:textId="77777777" w:rsidR="000541D2" w:rsidRDefault="000541D2" w:rsidP="000541D2">
      <w:pPr>
        <w:ind w:firstLine="720"/>
        <w:jc w:val="both"/>
        <w:rPr>
          <w:rFonts w:ascii="Arial" w:hAnsi="Arial" w:cs="Arial"/>
        </w:rPr>
      </w:pPr>
    </w:p>
    <w:p w14:paraId="54384741" w14:textId="77777777" w:rsidR="000541D2" w:rsidRPr="000541D2" w:rsidRDefault="000541D2" w:rsidP="000541D2">
      <w:pPr>
        <w:ind w:firstLine="720"/>
        <w:jc w:val="both"/>
        <w:rPr>
          <w:rFonts w:ascii="Arial" w:hAnsi="Arial" w:cs="Arial"/>
        </w:rPr>
      </w:pPr>
    </w:p>
    <w:p w14:paraId="03D1EB2E"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Blood Culture in Neonatal Sepsis</w:t>
      </w:r>
    </w:p>
    <w:p w14:paraId="2737FF35" w14:textId="77777777" w:rsidR="000541D2" w:rsidRPr="000541D2" w:rsidRDefault="000541D2" w:rsidP="000541D2">
      <w:pPr>
        <w:ind w:firstLine="720"/>
        <w:jc w:val="both"/>
        <w:rPr>
          <w:rFonts w:ascii="Arial" w:hAnsi="Arial" w:cs="Arial"/>
        </w:rPr>
      </w:pPr>
      <w:r w:rsidRPr="000541D2">
        <w:rPr>
          <w:rFonts w:ascii="Arial" w:hAnsi="Arial" w:cs="Arial"/>
        </w:rPr>
        <w:t xml:space="preserve">Microbiological culture remains the gold standard for diagnosing neonatal sepsis. Blood samples are collected from various sites such as the umbilical cord, pharynx, and rectum to identify causative organisms and to perform antibiotic susceptibility testing. The most critical factor influencing pathogen identification success is the volume of blood drawn for culture. Additionally, the timing of blood collection and maternal antibiotic exposure during labor significantly affect culture results. Despite this, up to one-third of infants with meningitis </w:t>
      </w:r>
      <w:r w:rsidRPr="000541D2">
        <w:rPr>
          <w:rFonts w:ascii="Arial" w:hAnsi="Arial" w:cs="Arial"/>
        </w:rPr>
        <w:lastRenderedPageBreak/>
        <w:t xml:space="preserve">may still have negative blood cultures. The role of anaerobic cultures is not fully established; some studies suggest that strict aerobic cultures may miss anaerobic infections. </w:t>
      </w:r>
    </w:p>
    <w:p w14:paraId="2A465046" w14:textId="77777777" w:rsidR="000541D2" w:rsidRPr="000541D2" w:rsidRDefault="000541D2" w:rsidP="000541D2">
      <w:pPr>
        <w:ind w:firstLine="720"/>
        <w:jc w:val="both"/>
        <w:rPr>
          <w:rFonts w:ascii="Arial" w:hAnsi="Arial" w:cs="Arial"/>
        </w:rPr>
      </w:pPr>
      <w:r w:rsidRPr="000541D2">
        <w:rPr>
          <w:rFonts w:ascii="Arial" w:hAnsi="Arial" w:cs="Arial"/>
        </w:rPr>
        <w:t xml:space="preserve">Blood culture remains the primary diagnostic method for neonatal sepsis, although it has limitations due to the time required for results, typically three to five days. Negative culture results can occur despite clear clinical symptoms, especially if the infant has received prior antibiotics or if the culture media do not support the growth of certain bacteria. Therefore, other tests such as blood component analysis and inflammatory markers are essential to support early and accurate diagnosis and management of neonatal sepsis </w:t>
      </w:r>
      <w:hyperlink r:id="rId28" w:history="1">
        <w:r w:rsidRPr="000541D2">
          <w:rPr>
            <w:rStyle w:val="Hyperlink"/>
            <w:rFonts w:ascii="Arial" w:hAnsi="Arial" w:cs="Arial"/>
            <w:color w:val="auto"/>
            <w:u w:val="none"/>
          </w:rPr>
          <w:t>(Martins et al., 2019)</w:t>
        </w:r>
      </w:hyperlink>
      <w:r w:rsidRPr="000541D2">
        <w:rPr>
          <w:rFonts w:ascii="Arial" w:hAnsi="Arial" w:cs="Arial"/>
        </w:rPr>
        <w:t>.</w:t>
      </w:r>
    </w:p>
    <w:p w14:paraId="668253DC" w14:textId="77777777" w:rsidR="000541D2" w:rsidRPr="000541D2" w:rsidRDefault="000541D2" w:rsidP="000541D2">
      <w:pPr>
        <w:ind w:firstLine="720"/>
        <w:jc w:val="both"/>
        <w:rPr>
          <w:rFonts w:ascii="Arial" w:hAnsi="Arial" w:cs="Arial"/>
        </w:rPr>
      </w:pPr>
      <w:r w:rsidRPr="000541D2">
        <w:rPr>
          <w:rFonts w:ascii="Arial" w:hAnsi="Arial" w:cs="Arial"/>
        </w:rPr>
        <w:t xml:space="preserve">Microbiological culture also has several limitations, including low sensitivity, difficulty growing certain organisms, maternal antibiotic use, and small sample volumes that reduce culture sensitivity. False-positive results may occur due to inadequate skin antisepsis before sample collection. To improve diagnostic success, a minimum of 0.5 mL of blood should be used. Samples should be taken from two different sites to reduce false positives. In cases with central venous catheters, blood cultures should be obtained from both the catheter and a separate peripheral site to assess the timing difference in positive results. </w:t>
      </w:r>
    </w:p>
    <w:p w14:paraId="3B11036F" w14:textId="77777777" w:rsidR="000541D2" w:rsidRPr="000541D2" w:rsidRDefault="000541D2" w:rsidP="000541D2">
      <w:pPr>
        <w:ind w:firstLine="720"/>
        <w:jc w:val="both"/>
        <w:rPr>
          <w:rFonts w:ascii="Arial" w:hAnsi="Arial" w:cs="Arial"/>
        </w:rPr>
      </w:pPr>
      <w:r w:rsidRPr="000541D2">
        <w:rPr>
          <w:rFonts w:ascii="Arial" w:hAnsi="Arial" w:cs="Arial"/>
        </w:rPr>
        <w:t xml:space="preserve">This approach helps differentiate catheter-related infections from other sources, which has important clinical implications. Despite its limitations, microbiological culture remains the mainstay of neonatal sepsis diagnosis and should be supported by proper sampling techniques and critical interpretation of adjunctive tests </w:t>
      </w:r>
      <w:hyperlink r:id="rId29" w:history="1">
        <w:r w:rsidRPr="000541D2">
          <w:rPr>
            <w:rStyle w:val="Hyperlink"/>
            <w:rFonts w:ascii="Arial" w:hAnsi="Arial" w:cs="Arial"/>
            <w:color w:val="auto"/>
            <w:u w:val="none"/>
          </w:rPr>
          <w:t>(Ershad et al., 2019)</w:t>
        </w:r>
      </w:hyperlink>
      <w:r w:rsidRPr="000541D2">
        <w:rPr>
          <w:rFonts w:ascii="Arial" w:hAnsi="Arial" w:cs="Arial"/>
        </w:rPr>
        <w:t>.</w:t>
      </w:r>
    </w:p>
    <w:p w14:paraId="16BD7C8A" w14:textId="77777777" w:rsidR="000541D2" w:rsidRPr="000541D2" w:rsidRDefault="000541D2" w:rsidP="000541D2">
      <w:pPr>
        <w:pStyle w:val="Heading2"/>
        <w:jc w:val="both"/>
        <w:rPr>
          <w:rFonts w:ascii="Arial" w:hAnsi="Arial" w:cs="Arial"/>
          <w:b/>
          <w:bCs/>
          <w:color w:val="auto"/>
          <w:sz w:val="20"/>
          <w:szCs w:val="20"/>
        </w:rPr>
      </w:pPr>
    </w:p>
    <w:p w14:paraId="7E5F6AFC"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Other Supportive Examinations in Neonatal Sepsis</w:t>
      </w:r>
    </w:p>
    <w:p w14:paraId="2D982FDF" w14:textId="77777777" w:rsidR="000541D2" w:rsidRPr="000541D2" w:rsidRDefault="000541D2" w:rsidP="000541D2">
      <w:pPr>
        <w:ind w:firstLine="720"/>
        <w:jc w:val="both"/>
        <w:rPr>
          <w:rFonts w:ascii="Arial" w:hAnsi="Arial" w:cs="Arial"/>
        </w:rPr>
      </w:pPr>
      <w:r w:rsidRPr="000541D2">
        <w:rPr>
          <w:rFonts w:ascii="Arial" w:hAnsi="Arial" w:cs="Arial"/>
        </w:rPr>
        <w:t xml:space="preserve">Advancements in diagnostic technology have introduced new supportive examinations for neonatal sepsis. Microarray technology, characterized by hybridization of samples on glass or silicon slides prepared with protein or nucleic acid arrays, allows simultaneous detection of pathogens, microbial virulence factors, and mapping of host immune response profiles. Although highly sensitive and specific, this technology requires specialized instruments and trained personnel. Other rapid detection methods include matrix-assisted laser desorption-ionization/time-of-flight mass spectrometry (MALDI-TOF), which can provide results in less than 30 minutes, and quantitative real-time polymerase chain reaction (qPCR), which offers high negative predictive value and rapid turnaround times </w:t>
      </w:r>
      <w:hyperlink r:id="rId30" w:history="1">
        <w:r w:rsidRPr="000541D2">
          <w:rPr>
            <w:rStyle w:val="Hyperlink"/>
            <w:rFonts w:ascii="Arial" w:hAnsi="Arial" w:cs="Arial"/>
            <w:color w:val="auto"/>
            <w:u w:val="none"/>
          </w:rPr>
          <w:t>(Ershad et al., 2019)</w:t>
        </w:r>
      </w:hyperlink>
      <w:r w:rsidRPr="000541D2">
        <w:rPr>
          <w:rFonts w:ascii="Arial" w:hAnsi="Arial" w:cs="Arial"/>
        </w:rPr>
        <w:t>.</w:t>
      </w:r>
    </w:p>
    <w:p w14:paraId="42714E43" w14:textId="77777777" w:rsidR="000541D2" w:rsidRPr="000541D2" w:rsidRDefault="000541D2" w:rsidP="000541D2">
      <w:pPr>
        <w:ind w:firstLine="720"/>
        <w:jc w:val="both"/>
        <w:rPr>
          <w:rFonts w:ascii="Arial" w:hAnsi="Arial" w:cs="Arial"/>
        </w:rPr>
      </w:pPr>
      <w:r w:rsidRPr="000541D2">
        <w:rPr>
          <w:rFonts w:ascii="Arial" w:hAnsi="Arial" w:cs="Arial"/>
        </w:rPr>
        <w:t xml:space="preserve">Emerging methodologies also include lipopolysaccharide-binding protein, volatile organic compounds, soluble triggering receptor expressed on myeloid cells-1 (sTREM-1), </w:t>
      </w:r>
      <w:proofErr w:type="spellStart"/>
      <w:r w:rsidRPr="000541D2">
        <w:rPr>
          <w:rFonts w:ascii="Arial" w:hAnsi="Arial" w:cs="Arial"/>
        </w:rPr>
        <w:t>presepsin</w:t>
      </w:r>
      <w:proofErr w:type="spellEnd"/>
      <w:r w:rsidRPr="000541D2">
        <w:rPr>
          <w:rFonts w:ascii="Arial" w:hAnsi="Arial" w:cs="Arial"/>
        </w:rPr>
        <w:t xml:space="preserve">, CD64, CD11b, and S100 A12 protein. These diagnostic tools show promise as faster and more sensitive disease indicators, potentially improving early detection and management of sepsis </w:t>
      </w:r>
      <w:hyperlink r:id="rId31" w:history="1">
        <w:r w:rsidRPr="000541D2">
          <w:rPr>
            <w:rStyle w:val="Hyperlink"/>
            <w:rFonts w:ascii="Arial" w:hAnsi="Arial" w:cs="Arial"/>
            <w:color w:val="auto"/>
            <w:u w:val="none"/>
          </w:rPr>
          <w:t>(Celik et al., 2022)</w:t>
        </w:r>
      </w:hyperlink>
      <w:r w:rsidRPr="000541D2">
        <w:rPr>
          <w:rFonts w:ascii="Arial" w:hAnsi="Arial" w:cs="Arial"/>
        </w:rPr>
        <w:t xml:space="preserve"> </w:t>
      </w:r>
      <w:hyperlink r:id="rId32" w:history="1">
        <w:r w:rsidRPr="000541D2">
          <w:rPr>
            <w:rStyle w:val="Hyperlink"/>
            <w:rFonts w:ascii="Arial" w:hAnsi="Arial" w:cs="Arial"/>
            <w:color w:val="auto"/>
            <w:u w:val="none"/>
          </w:rPr>
          <w:t>(Parri et al., 2019)</w:t>
        </w:r>
      </w:hyperlink>
      <w:r w:rsidRPr="000541D2">
        <w:rPr>
          <w:rFonts w:ascii="Arial" w:hAnsi="Arial" w:cs="Arial"/>
        </w:rPr>
        <w:t>.</w:t>
      </w:r>
    </w:p>
    <w:p w14:paraId="0FD4286D" w14:textId="77777777" w:rsidR="000541D2" w:rsidRDefault="000541D2" w:rsidP="000541D2">
      <w:pPr>
        <w:ind w:firstLine="720"/>
        <w:jc w:val="both"/>
        <w:rPr>
          <w:rFonts w:ascii="Arial" w:hAnsi="Arial" w:cs="Arial"/>
        </w:rPr>
      </w:pPr>
    </w:p>
    <w:p w14:paraId="3AB63D10" w14:textId="77777777" w:rsidR="000541D2" w:rsidRDefault="000541D2" w:rsidP="000541D2">
      <w:pPr>
        <w:ind w:firstLine="720"/>
        <w:jc w:val="both"/>
        <w:rPr>
          <w:rFonts w:ascii="Arial" w:hAnsi="Arial" w:cs="Arial"/>
        </w:rPr>
      </w:pPr>
    </w:p>
    <w:p w14:paraId="52F4D43B" w14:textId="77777777" w:rsidR="000541D2" w:rsidRDefault="000541D2" w:rsidP="000541D2">
      <w:pPr>
        <w:ind w:firstLine="720"/>
        <w:jc w:val="both"/>
        <w:rPr>
          <w:rFonts w:ascii="Arial" w:hAnsi="Arial" w:cs="Arial"/>
        </w:rPr>
      </w:pPr>
    </w:p>
    <w:p w14:paraId="541D2FCC" w14:textId="77777777" w:rsidR="000541D2" w:rsidRDefault="000541D2" w:rsidP="000541D2">
      <w:pPr>
        <w:ind w:firstLine="720"/>
        <w:jc w:val="both"/>
        <w:rPr>
          <w:rFonts w:ascii="Arial" w:hAnsi="Arial" w:cs="Arial"/>
        </w:rPr>
      </w:pPr>
    </w:p>
    <w:p w14:paraId="456F892F" w14:textId="77777777" w:rsidR="000541D2" w:rsidRDefault="000541D2" w:rsidP="000541D2">
      <w:pPr>
        <w:ind w:firstLine="720"/>
        <w:jc w:val="both"/>
        <w:rPr>
          <w:rFonts w:ascii="Arial" w:hAnsi="Arial" w:cs="Arial"/>
        </w:rPr>
      </w:pPr>
    </w:p>
    <w:p w14:paraId="35D75E87" w14:textId="77777777" w:rsidR="000541D2" w:rsidRDefault="000541D2" w:rsidP="000541D2">
      <w:pPr>
        <w:ind w:firstLine="720"/>
        <w:jc w:val="both"/>
        <w:rPr>
          <w:rFonts w:ascii="Arial" w:hAnsi="Arial" w:cs="Arial"/>
        </w:rPr>
      </w:pPr>
    </w:p>
    <w:p w14:paraId="6E29210D" w14:textId="77777777" w:rsidR="000541D2" w:rsidRDefault="000541D2" w:rsidP="000541D2">
      <w:pPr>
        <w:ind w:firstLine="720"/>
        <w:jc w:val="both"/>
        <w:rPr>
          <w:rFonts w:ascii="Arial" w:hAnsi="Arial" w:cs="Arial"/>
        </w:rPr>
      </w:pPr>
    </w:p>
    <w:p w14:paraId="3E7A069E" w14:textId="77777777" w:rsidR="000541D2" w:rsidRPr="000541D2" w:rsidRDefault="000541D2" w:rsidP="000541D2">
      <w:pPr>
        <w:ind w:firstLine="720"/>
        <w:jc w:val="both"/>
        <w:rPr>
          <w:rFonts w:ascii="Arial" w:hAnsi="Arial" w:cs="Arial"/>
        </w:rPr>
      </w:pPr>
    </w:p>
    <w:p w14:paraId="591F8708" w14:textId="77777777" w:rsidR="000541D2" w:rsidRPr="000541D2" w:rsidRDefault="000541D2" w:rsidP="000541D2">
      <w:pPr>
        <w:pStyle w:val="Heading2"/>
        <w:jc w:val="both"/>
        <w:rPr>
          <w:rFonts w:ascii="Arial" w:hAnsi="Arial" w:cs="Arial"/>
          <w:color w:val="auto"/>
          <w:sz w:val="20"/>
          <w:szCs w:val="20"/>
        </w:rPr>
      </w:pP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as a Biomarker in Neonatal Sepsis</w:t>
      </w:r>
    </w:p>
    <w:p w14:paraId="298C28E8" w14:textId="77777777" w:rsidR="000541D2" w:rsidRPr="000541D2" w:rsidRDefault="000541D2" w:rsidP="000541D2">
      <w:pPr>
        <w:ind w:firstLine="720"/>
        <w:jc w:val="both"/>
        <w:rPr>
          <w:rFonts w:ascii="Arial" w:hAnsi="Arial" w:cs="Arial"/>
        </w:rPr>
      </w:pPr>
      <w:proofErr w:type="spellStart"/>
      <w:r w:rsidRPr="000541D2">
        <w:rPr>
          <w:rFonts w:ascii="Arial" w:hAnsi="Arial" w:cs="Arial"/>
        </w:rPr>
        <w:t>Presepsin</w:t>
      </w:r>
      <w:proofErr w:type="spellEnd"/>
      <w:r w:rsidRPr="000541D2">
        <w:rPr>
          <w:rFonts w:ascii="Arial" w:hAnsi="Arial" w:cs="Arial"/>
        </w:rPr>
        <w:t xml:space="preserve"> (PSP), also known as soluble CD14 subtype (sCD14-ST), has emerged as a promising biomarker for early sepsis diagnosis. Derived from soluble CD14, </w:t>
      </w:r>
      <w:proofErr w:type="spellStart"/>
      <w:r w:rsidRPr="000541D2">
        <w:rPr>
          <w:rFonts w:ascii="Arial" w:hAnsi="Arial" w:cs="Arial"/>
        </w:rPr>
        <w:t>presepsin</w:t>
      </w:r>
      <w:proofErr w:type="spellEnd"/>
      <w:r w:rsidRPr="000541D2">
        <w:rPr>
          <w:rFonts w:ascii="Arial" w:hAnsi="Arial" w:cs="Arial"/>
        </w:rPr>
        <w:t xml:space="preserve"> reflects monocyte/macrophage activation in response to bacterial infection. This biomarker indicates cellular immune activation against pathogens, with plasma concentrations increasing during bacterial infection and decreasing following antibiotic treatment. Unlike traditional markers such as procalcitonin (PCT) and C-reactive protein (CRP), </w:t>
      </w:r>
      <w:proofErr w:type="spellStart"/>
      <w:r w:rsidRPr="000541D2">
        <w:rPr>
          <w:rFonts w:ascii="Arial" w:hAnsi="Arial" w:cs="Arial"/>
        </w:rPr>
        <w:t>presepsin</w:t>
      </w:r>
      <w:proofErr w:type="spellEnd"/>
      <w:r w:rsidRPr="000541D2">
        <w:rPr>
          <w:rFonts w:ascii="Arial" w:hAnsi="Arial" w:cs="Arial"/>
        </w:rPr>
        <w:t xml:space="preserve"> specifically reflects monocyte/macrophage activation. Clinical studies have demonstrated that </w:t>
      </w:r>
      <w:proofErr w:type="spellStart"/>
      <w:r w:rsidRPr="000541D2">
        <w:rPr>
          <w:rFonts w:ascii="Arial" w:hAnsi="Arial" w:cs="Arial"/>
        </w:rPr>
        <w:t>presepsin</w:t>
      </w:r>
      <w:proofErr w:type="spellEnd"/>
      <w:r w:rsidRPr="000541D2">
        <w:rPr>
          <w:rFonts w:ascii="Arial" w:hAnsi="Arial" w:cs="Arial"/>
        </w:rPr>
        <w:t xml:space="preserve"> has competitive sensitivity and specificity for detecting infection and sepsis, with sensitivity </w:t>
      </w:r>
      <w:r w:rsidRPr="000541D2">
        <w:rPr>
          <w:rFonts w:ascii="Arial" w:hAnsi="Arial" w:cs="Arial"/>
        </w:rPr>
        <w:lastRenderedPageBreak/>
        <w:t xml:space="preserve">ranging from approximately 80% to 88% and specificity between 50% and 60% in various studies. </w:t>
      </w:r>
    </w:p>
    <w:p w14:paraId="79D8EDCC" w14:textId="77777777" w:rsidR="000541D2" w:rsidRPr="000541D2" w:rsidRDefault="000541D2" w:rsidP="000541D2">
      <w:pPr>
        <w:ind w:firstLine="720"/>
        <w:jc w:val="both"/>
        <w:rPr>
          <w:rFonts w:ascii="Arial" w:hAnsi="Arial" w:cs="Arial"/>
        </w:rPr>
      </w:pPr>
      <w:r w:rsidRPr="000541D2">
        <w:rPr>
          <w:rFonts w:ascii="Arial" w:hAnsi="Arial" w:cs="Arial"/>
        </w:rPr>
        <w:t xml:space="preserve">Additionally, </w:t>
      </w:r>
      <w:proofErr w:type="spellStart"/>
      <w:r w:rsidRPr="000541D2">
        <w:rPr>
          <w:rFonts w:ascii="Arial" w:hAnsi="Arial" w:cs="Arial"/>
        </w:rPr>
        <w:t>presepsin</w:t>
      </w:r>
      <w:proofErr w:type="spellEnd"/>
      <w:r w:rsidRPr="000541D2">
        <w:rPr>
          <w:rFonts w:ascii="Arial" w:hAnsi="Arial" w:cs="Arial"/>
        </w:rPr>
        <w:t xml:space="preserve"> has a high negative predictive value, making it useful for ruling out infection in critically ill patients. Another advantage is the rapid measurement time, which can be completed in about 15 minutes using point-of-care devices with whole blood samples </w:t>
      </w:r>
      <w:hyperlink r:id="rId33" w:history="1">
        <w:r w:rsidRPr="000541D2">
          <w:rPr>
            <w:rStyle w:val="Hyperlink"/>
            <w:rFonts w:ascii="Arial" w:hAnsi="Arial" w:cs="Arial"/>
            <w:color w:val="auto"/>
            <w:u w:val="none"/>
          </w:rPr>
          <w:t>(Parri et al., 2019)</w:t>
        </w:r>
      </w:hyperlink>
      <w:r w:rsidRPr="000541D2">
        <w:rPr>
          <w:rFonts w:ascii="Arial" w:hAnsi="Arial" w:cs="Arial"/>
        </w:rPr>
        <w:t xml:space="preserve"> </w:t>
      </w:r>
      <w:hyperlink r:id="rId34" w:history="1">
        <w:r w:rsidRPr="000541D2">
          <w:rPr>
            <w:rStyle w:val="Hyperlink"/>
            <w:rFonts w:ascii="Arial" w:hAnsi="Arial" w:cs="Arial"/>
            <w:color w:val="auto"/>
            <w:u w:val="none"/>
          </w:rPr>
          <w:t>(Marazzi et al., 2017)</w:t>
        </w:r>
      </w:hyperlink>
      <w:r w:rsidRPr="000541D2">
        <w:rPr>
          <w:rFonts w:ascii="Arial" w:hAnsi="Arial" w:cs="Arial"/>
        </w:rPr>
        <w:t>.</w:t>
      </w:r>
    </w:p>
    <w:p w14:paraId="1227A8C5" w14:textId="77777777" w:rsidR="000541D2" w:rsidRPr="000541D2" w:rsidRDefault="000541D2" w:rsidP="000541D2">
      <w:pPr>
        <w:ind w:firstLine="720"/>
        <w:jc w:val="both"/>
        <w:rPr>
          <w:rFonts w:ascii="Arial" w:hAnsi="Arial" w:cs="Arial"/>
        </w:rPr>
      </w:pPr>
      <w:r w:rsidRPr="000541D2">
        <w:rPr>
          <w:rFonts w:ascii="Arial" w:hAnsi="Arial" w:cs="Arial"/>
        </w:rPr>
        <w:t xml:space="preserve">A study by Juneja et al. (2023) evaluated the correlation of </w:t>
      </w:r>
      <w:proofErr w:type="spellStart"/>
      <w:r w:rsidRPr="000541D2">
        <w:rPr>
          <w:rFonts w:ascii="Arial" w:hAnsi="Arial" w:cs="Arial"/>
        </w:rPr>
        <w:t>presepsin</w:t>
      </w:r>
      <w:proofErr w:type="spellEnd"/>
      <w:r w:rsidRPr="000541D2">
        <w:rPr>
          <w:rFonts w:ascii="Arial" w:hAnsi="Arial" w:cs="Arial"/>
        </w:rPr>
        <w:t xml:space="preserve"> with current biomarkers such as CRP in sepsis diagnosis. Among 100 patients studied, 70 were diagnosed with sepsis, with an ICU mortality rate of 22%. CRP was positive in 98 patients, while </w:t>
      </w:r>
      <w:proofErr w:type="spellStart"/>
      <w:r w:rsidRPr="000541D2">
        <w:rPr>
          <w:rFonts w:ascii="Arial" w:hAnsi="Arial" w:cs="Arial"/>
        </w:rPr>
        <w:t>presepsin</w:t>
      </w:r>
      <w:proofErr w:type="spellEnd"/>
      <w:r w:rsidRPr="000541D2">
        <w:rPr>
          <w:rFonts w:ascii="Arial" w:hAnsi="Arial" w:cs="Arial"/>
        </w:rPr>
        <w:t xml:space="preserve"> was positive in 64. For sepsis diagnosis, CRP showed sensitivity, specificity, and area under the curve (AUC) of 98.6%, 3.3%, and 0.725, respectively. </w:t>
      </w:r>
      <w:proofErr w:type="spellStart"/>
      <w:r w:rsidRPr="000541D2">
        <w:rPr>
          <w:rFonts w:ascii="Arial" w:hAnsi="Arial" w:cs="Arial"/>
        </w:rPr>
        <w:t>Presepsin</w:t>
      </w:r>
      <w:proofErr w:type="spellEnd"/>
      <w:r w:rsidRPr="000541D2">
        <w:rPr>
          <w:rFonts w:ascii="Arial" w:hAnsi="Arial" w:cs="Arial"/>
        </w:rPr>
        <w:t xml:space="preserve"> demonstrated sensitivity, specificity, and AUC of 77.1%, 66.7%, and 0.734, respectively. Regarding ICU mortality, CRP sensitivity and specificity were 95.5% and 1.3%, while </w:t>
      </w:r>
      <w:proofErr w:type="spellStart"/>
      <w:r w:rsidRPr="000541D2">
        <w:rPr>
          <w:rFonts w:ascii="Arial" w:hAnsi="Arial" w:cs="Arial"/>
        </w:rPr>
        <w:t>presepsin</w:t>
      </w:r>
      <w:proofErr w:type="spellEnd"/>
      <w:r w:rsidRPr="000541D2">
        <w:rPr>
          <w:rFonts w:ascii="Arial" w:hAnsi="Arial" w:cs="Arial"/>
        </w:rPr>
        <w:t xml:space="preserve"> showed 61.5% and 27.3%. These results indicate that </w:t>
      </w:r>
      <w:proofErr w:type="spellStart"/>
      <w:r w:rsidRPr="000541D2">
        <w:rPr>
          <w:rFonts w:ascii="Arial" w:hAnsi="Arial" w:cs="Arial"/>
        </w:rPr>
        <w:t>presepsin</w:t>
      </w:r>
      <w:proofErr w:type="spellEnd"/>
      <w:r w:rsidRPr="000541D2">
        <w:rPr>
          <w:rFonts w:ascii="Arial" w:hAnsi="Arial" w:cs="Arial"/>
        </w:rPr>
        <w:t xml:space="preserve"> is not superior to other biomarkers in sepsis diagnosis or mortality prediction but confirms its potential as a useful biomarker that cannot entirely replace conventional markers in clinical practice </w:t>
      </w:r>
      <w:hyperlink r:id="rId35" w:history="1">
        <w:r w:rsidRPr="000541D2">
          <w:rPr>
            <w:rStyle w:val="Hyperlink"/>
            <w:rFonts w:ascii="Arial" w:hAnsi="Arial" w:cs="Arial"/>
            <w:color w:val="auto"/>
            <w:u w:val="none"/>
          </w:rPr>
          <w:t>(Juneja et al., 2023)</w:t>
        </w:r>
      </w:hyperlink>
      <w:r w:rsidRPr="000541D2">
        <w:rPr>
          <w:rFonts w:ascii="Arial" w:hAnsi="Arial" w:cs="Arial"/>
        </w:rPr>
        <w:t>.</w:t>
      </w:r>
    </w:p>
    <w:p w14:paraId="16823DC0" w14:textId="77777777" w:rsidR="000541D2" w:rsidRPr="000541D2" w:rsidRDefault="000541D2" w:rsidP="000541D2">
      <w:pPr>
        <w:pStyle w:val="Heading2"/>
        <w:jc w:val="both"/>
        <w:rPr>
          <w:rFonts w:ascii="Arial" w:hAnsi="Arial" w:cs="Arial"/>
          <w:b/>
          <w:bCs/>
          <w:color w:val="auto"/>
          <w:sz w:val="20"/>
          <w:szCs w:val="20"/>
        </w:rPr>
      </w:pPr>
    </w:p>
    <w:p w14:paraId="1D879A5C"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Correlation of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with Hematological Indices</w:t>
      </w:r>
    </w:p>
    <w:p w14:paraId="76398A52" w14:textId="77777777" w:rsidR="000541D2" w:rsidRPr="000541D2" w:rsidRDefault="000541D2" w:rsidP="000541D2">
      <w:pPr>
        <w:ind w:firstLine="720"/>
        <w:jc w:val="both"/>
        <w:rPr>
          <w:rFonts w:ascii="Arial" w:hAnsi="Arial" w:cs="Arial"/>
        </w:rPr>
      </w:pPr>
      <w:r w:rsidRPr="000541D2">
        <w:rPr>
          <w:rFonts w:ascii="Arial" w:hAnsi="Arial" w:cs="Arial"/>
        </w:rPr>
        <w:t xml:space="preserve">Said et al. conducted a prospective study involving 60 ICU patients with septic shock to evaluate the prognostic value of </w:t>
      </w:r>
      <w:proofErr w:type="spellStart"/>
      <w:r w:rsidRPr="000541D2">
        <w:rPr>
          <w:rFonts w:ascii="Arial" w:hAnsi="Arial" w:cs="Arial"/>
        </w:rPr>
        <w:t>presepsin</w:t>
      </w:r>
      <w:proofErr w:type="spellEnd"/>
      <w:r w:rsidRPr="000541D2">
        <w:rPr>
          <w:rFonts w:ascii="Arial" w:hAnsi="Arial" w:cs="Arial"/>
        </w:rPr>
        <w:t xml:space="preserve"> and hematological indices such as mean platelet volume (MPV) and neutrophil-lymphocyte ratio (NLR). Both </w:t>
      </w:r>
      <w:proofErr w:type="spellStart"/>
      <w:r w:rsidRPr="000541D2">
        <w:rPr>
          <w:rFonts w:ascii="Arial" w:hAnsi="Arial" w:cs="Arial"/>
        </w:rPr>
        <w:t>presepsin</w:t>
      </w:r>
      <w:proofErr w:type="spellEnd"/>
      <w:r w:rsidRPr="000541D2">
        <w:rPr>
          <w:rFonts w:ascii="Arial" w:hAnsi="Arial" w:cs="Arial"/>
        </w:rPr>
        <w:t xml:space="preserve"> and hematological indices were assessed at admission and on day 3 to predict progression to septic shock and mortality. Results showed significantly higher </w:t>
      </w:r>
      <w:proofErr w:type="spellStart"/>
      <w:r w:rsidRPr="000541D2">
        <w:rPr>
          <w:rFonts w:ascii="Arial" w:hAnsi="Arial" w:cs="Arial"/>
        </w:rPr>
        <w:t>presepsin</w:t>
      </w:r>
      <w:proofErr w:type="spellEnd"/>
      <w:r w:rsidRPr="000541D2">
        <w:rPr>
          <w:rFonts w:ascii="Arial" w:hAnsi="Arial" w:cs="Arial"/>
        </w:rPr>
        <w:t xml:space="preserve"> levels in non-survivors compared to survivors at both time points, with mean admission values of 3303.35 ± 1125.52 </w:t>
      </w:r>
      <w:proofErr w:type="spellStart"/>
      <w:r w:rsidRPr="000541D2">
        <w:rPr>
          <w:rFonts w:ascii="Arial" w:hAnsi="Arial" w:cs="Arial"/>
        </w:rPr>
        <w:t>pg</w:t>
      </w:r>
      <w:proofErr w:type="spellEnd"/>
      <w:r w:rsidRPr="000541D2">
        <w:rPr>
          <w:rFonts w:ascii="Arial" w:hAnsi="Arial" w:cs="Arial"/>
        </w:rPr>
        <w:t xml:space="preserve">/mL in non-survivors versus 1828.50 ± 726.63 </w:t>
      </w:r>
      <w:proofErr w:type="spellStart"/>
      <w:r w:rsidRPr="000541D2">
        <w:rPr>
          <w:rFonts w:ascii="Arial" w:hAnsi="Arial" w:cs="Arial"/>
        </w:rPr>
        <w:t>pg</w:t>
      </w:r>
      <w:proofErr w:type="spellEnd"/>
      <w:r w:rsidRPr="000541D2">
        <w:rPr>
          <w:rFonts w:ascii="Arial" w:hAnsi="Arial" w:cs="Arial"/>
        </w:rPr>
        <w:t xml:space="preserve">/mL in survivors, and day 3 values of 4153.88 ± 1492.53 </w:t>
      </w:r>
      <w:proofErr w:type="spellStart"/>
      <w:r w:rsidRPr="000541D2">
        <w:rPr>
          <w:rFonts w:ascii="Arial" w:hAnsi="Arial" w:cs="Arial"/>
        </w:rPr>
        <w:t>pg</w:t>
      </w:r>
      <w:proofErr w:type="spellEnd"/>
      <w:r w:rsidRPr="000541D2">
        <w:rPr>
          <w:rFonts w:ascii="Arial" w:hAnsi="Arial" w:cs="Arial"/>
        </w:rPr>
        <w:t xml:space="preserve">/mL versus 1363.46 ± 633.77 </w:t>
      </w:r>
      <w:proofErr w:type="spellStart"/>
      <w:r w:rsidRPr="000541D2">
        <w:rPr>
          <w:rFonts w:ascii="Arial" w:hAnsi="Arial" w:cs="Arial"/>
        </w:rPr>
        <w:t>pg</w:t>
      </w:r>
      <w:proofErr w:type="spellEnd"/>
      <w:r w:rsidRPr="000541D2">
        <w:rPr>
          <w:rFonts w:ascii="Arial" w:hAnsi="Arial" w:cs="Arial"/>
        </w:rPr>
        <w:t xml:space="preserve">/mL (p &lt; 0.001 for both). Similarly, MPV and NLR were significantly elevated in non-survivors, with consistent associations with poor outcomes at both time points. </w:t>
      </w:r>
    </w:p>
    <w:p w14:paraId="187C4FE5" w14:textId="77777777" w:rsidR="000541D2" w:rsidRPr="000541D2" w:rsidRDefault="000541D2" w:rsidP="000541D2">
      <w:pPr>
        <w:ind w:firstLine="720"/>
        <w:jc w:val="both"/>
        <w:rPr>
          <w:rFonts w:ascii="Arial" w:hAnsi="Arial" w:cs="Arial"/>
        </w:rPr>
      </w:pPr>
      <w:r w:rsidRPr="000541D2">
        <w:rPr>
          <w:rFonts w:ascii="Arial" w:hAnsi="Arial" w:cs="Arial"/>
        </w:rPr>
        <w:t xml:space="preserve">The area under the curve (AUC) for </w:t>
      </w:r>
      <w:proofErr w:type="spellStart"/>
      <w:r w:rsidRPr="000541D2">
        <w:rPr>
          <w:rFonts w:ascii="Arial" w:hAnsi="Arial" w:cs="Arial"/>
        </w:rPr>
        <w:t>presepsin</w:t>
      </w:r>
      <w:proofErr w:type="spellEnd"/>
      <w:r w:rsidRPr="000541D2">
        <w:rPr>
          <w:rFonts w:ascii="Arial" w:hAnsi="Arial" w:cs="Arial"/>
        </w:rPr>
        <w:t xml:space="preserve"> was 0.890, yielding 92% sensitivity, 83% specificity, and 88% accuracy. The combined complete blood count (CBC) indices, including MPV and NLR, had an AUC of 0.842, with 89% sensitivity, 85% specificity, and 86% accuracy. </w:t>
      </w:r>
    </w:p>
    <w:p w14:paraId="1A8A4BAD" w14:textId="77777777" w:rsidR="000541D2" w:rsidRPr="000541D2" w:rsidRDefault="000541D2" w:rsidP="000541D2">
      <w:pPr>
        <w:ind w:firstLine="720"/>
        <w:jc w:val="both"/>
        <w:rPr>
          <w:rFonts w:ascii="Arial" w:hAnsi="Arial" w:cs="Arial"/>
        </w:rPr>
      </w:pPr>
    </w:p>
    <w:p w14:paraId="4685EF6F" w14:textId="77777777" w:rsidR="000541D2" w:rsidRPr="000541D2" w:rsidRDefault="000541D2" w:rsidP="000541D2">
      <w:pPr>
        <w:ind w:firstLine="720"/>
        <w:jc w:val="both"/>
        <w:rPr>
          <w:rFonts w:ascii="Arial" w:hAnsi="Arial" w:cs="Arial"/>
        </w:rPr>
      </w:pPr>
      <w:r w:rsidRPr="000541D2">
        <w:rPr>
          <w:rFonts w:ascii="Arial" w:hAnsi="Arial" w:cs="Arial"/>
        </w:rPr>
        <w:t xml:space="preserve">A significant positive correlation was found between </w:t>
      </w:r>
      <w:proofErr w:type="spellStart"/>
      <w:r w:rsidRPr="000541D2">
        <w:rPr>
          <w:rFonts w:ascii="Arial" w:hAnsi="Arial" w:cs="Arial"/>
        </w:rPr>
        <w:t>presepsin</w:t>
      </w:r>
      <w:proofErr w:type="spellEnd"/>
      <w:r w:rsidRPr="000541D2">
        <w:rPr>
          <w:rFonts w:ascii="Arial" w:hAnsi="Arial" w:cs="Arial"/>
        </w:rPr>
        <w:t xml:space="preserve"> and combined CBC indices (r = 0.417, p = 0.001), indicating both approaches are strong for early prognostication. These findings suggest that while </w:t>
      </w:r>
      <w:proofErr w:type="spellStart"/>
      <w:r w:rsidRPr="000541D2">
        <w:rPr>
          <w:rFonts w:ascii="Arial" w:hAnsi="Arial" w:cs="Arial"/>
        </w:rPr>
        <w:t>presepsin</w:t>
      </w:r>
      <w:proofErr w:type="spellEnd"/>
      <w:r w:rsidRPr="000541D2">
        <w:rPr>
          <w:rFonts w:ascii="Arial" w:hAnsi="Arial" w:cs="Arial"/>
        </w:rPr>
        <w:t xml:space="preserve"> shows slightly superior diagnostic accuracy, integrating hematological indices like MPV and NLR offers a practical, cost-effective alternative with comparable prognostic performance, especially in resource-limited settings </w:t>
      </w:r>
      <w:hyperlink r:id="rId36" w:history="1">
        <w:r w:rsidRPr="000541D2">
          <w:rPr>
            <w:rStyle w:val="Hyperlink"/>
            <w:rFonts w:ascii="Arial" w:hAnsi="Arial" w:cs="Arial"/>
            <w:color w:val="auto"/>
            <w:u w:val="none"/>
          </w:rPr>
          <w:t>(El Said et al., 2020)</w:t>
        </w:r>
      </w:hyperlink>
      <w:r w:rsidRPr="000541D2">
        <w:rPr>
          <w:rFonts w:ascii="Arial" w:hAnsi="Arial" w:cs="Arial"/>
        </w:rPr>
        <w:t>.</w:t>
      </w:r>
    </w:p>
    <w:p w14:paraId="1B3F4906" w14:textId="77777777" w:rsidR="000541D2" w:rsidRDefault="000541D2" w:rsidP="000541D2">
      <w:pPr>
        <w:ind w:firstLine="720"/>
        <w:jc w:val="both"/>
        <w:rPr>
          <w:rFonts w:ascii="Arial" w:hAnsi="Arial" w:cs="Arial"/>
        </w:rPr>
      </w:pPr>
    </w:p>
    <w:p w14:paraId="13378D60" w14:textId="77777777" w:rsidR="000541D2" w:rsidRDefault="000541D2" w:rsidP="000541D2">
      <w:pPr>
        <w:ind w:firstLine="720"/>
        <w:jc w:val="both"/>
        <w:rPr>
          <w:rFonts w:ascii="Arial" w:hAnsi="Arial" w:cs="Arial"/>
        </w:rPr>
      </w:pPr>
    </w:p>
    <w:p w14:paraId="0DA5EA2A" w14:textId="77777777" w:rsidR="000541D2" w:rsidRDefault="000541D2" w:rsidP="000541D2">
      <w:pPr>
        <w:ind w:firstLine="720"/>
        <w:jc w:val="both"/>
        <w:rPr>
          <w:rFonts w:ascii="Arial" w:hAnsi="Arial" w:cs="Arial"/>
        </w:rPr>
      </w:pPr>
    </w:p>
    <w:p w14:paraId="65E11A88"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Comparative Effectiveness of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and </w:t>
      </w:r>
      <w:proofErr w:type="gramStart"/>
      <w:r w:rsidRPr="000541D2">
        <w:rPr>
          <w:rFonts w:ascii="Arial" w:hAnsi="Arial" w:cs="Arial"/>
          <w:b/>
          <w:bCs/>
          <w:color w:val="auto"/>
          <w:sz w:val="20"/>
          <w:szCs w:val="20"/>
        </w:rPr>
        <w:t>I:T</w:t>
      </w:r>
      <w:proofErr w:type="gramEnd"/>
      <w:r w:rsidRPr="000541D2">
        <w:rPr>
          <w:rFonts w:ascii="Arial" w:hAnsi="Arial" w:cs="Arial"/>
          <w:b/>
          <w:bCs/>
          <w:color w:val="auto"/>
          <w:sz w:val="20"/>
          <w:szCs w:val="20"/>
        </w:rPr>
        <w:t xml:space="preserve"> Ratio in Neonatal Sepsis Diagnosis</w:t>
      </w:r>
    </w:p>
    <w:p w14:paraId="07C3CBD2" w14:textId="77777777" w:rsidR="000541D2" w:rsidRPr="000541D2" w:rsidRDefault="000541D2" w:rsidP="000541D2">
      <w:pPr>
        <w:ind w:firstLine="720"/>
        <w:jc w:val="both"/>
        <w:rPr>
          <w:rFonts w:ascii="Arial" w:hAnsi="Arial" w:cs="Arial"/>
        </w:rPr>
      </w:pPr>
      <w:r w:rsidRPr="000541D2">
        <w:rPr>
          <w:rFonts w:ascii="Arial" w:hAnsi="Arial" w:cs="Arial"/>
        </w:rPr>
        <w:t xml:space="preserve">A study by Zayed et al. demonstrated that </w:t>
      </w:r>
      <w:proofErr w:type="spellStart"/>
      <w:r w:rsidRPr="000541D2">
        <w:rPr>
          <w:rFonts w:ascii="Arial" w:hAnsi="Arial" w:cs="Arial"/>
        </w:rPr>
        <w:t>presepsin</w:t>
      </w:r>
      <w:proofErr w:type="spellEnd"/>
      <w:r w:rsidRPr="000541D2">
        <w:rPr>
          <w:rFonts w:ascii="Arial" w:hAnsi="Arial" w:cs="Arial"/>
        </w:rPr>
        <w:t xml:space="preserve"> and the immature to total neutrophil (</w:t>
      </w:r>
      <w:proofErr w:type="gramStart"/>
      <w:r w:rsidRPr="000541D2">
        <w:rPr>
          <w:rFonts w:ascii="Arial" w:hAnsi="Arial" w:cs="Arial"/>
        </w:rPr>
        <w:t>I:T</w:t>
      </w:r>
      <w:proofErr w:type="gramEnd"/>
      <w:r w:rsidRPr="000541D2">
        <w:rPr>
          <w:rFonts w:ascii="Arial" w:hAnsi="Arial" w:cs="Arial"/>
        </w:rPr>
        <w:t xml:space="preserve">) ratio have similar effectiveness in diagnosing neonatal sepsis. The study found a statistically significant correlation between </w:t>
      </w:r>
      <w:proofErr w:type="spellStart"/>
      <w:r w:rsidRPr="000541D2">
        <w:rPr>
          <w:rFonts w:ascii="Arial" w:hAnsi="Arial" w:cs="Arial"/>
        </w:rPr>
        <w:t>presepsin</w:t>
      </w:r>
      <w:proofErr w:type="spellEnd"/>
      <w:r w:rsidRPr="000541D2">
        <w:rPr>
          <w:rFonts w:ascii="Arial" w:hAnsi="Arial" w:cs="Arial"/>
        </w:rPr>
        <w:t xml:space="preserve"> levels and hematological parameters, including the I:T ratio (p &lt; 0.001). </w:t>
      </w:r>
      <w:proofErr w:type="spellStart"/>
      <w:r w:rsidRPr="000541D2">
        <w:rPr>
          <w:rFonts w:ascii="Arial" w:hAnsi="Arial" w:cs="Arial"/>
        </w:rPr>
        <w:t>Presepsin</w:t>
      </w:r>
      <w:proofErr w:type="spellEnd"/>
      <w:r w:rsidRPr="000541D2">
        <w:rPr>
          <w:rFonts w:ascii="Arial" w:hAnsi="Arial" w:cs="Arial"/>
        </w:rPr>
        <w:t xml:space="preserve"> levels were significantly higher in neonates suspected of sepsis compared to healthy controls. A </w:t>
      </w:r>
      <w:proofErr w:type="spellStart"/>
      <w:r w:rsidRPr="000541D2">
        <w:rPr>
          <w:rFonts w:ascii="Arial" w:hAnsi="Arial" w:cs="Arial"/>
        </w:rPr>
        <w:t>presepsin</w:t>
      </w:r>
      <w:proofErr w:type="spellEnd"/>
      <w:r w:rsidRPr="000541D2">
        <w:rPr>
          <w:rFonts w:ascii="Arial" w:hAnsi="Arial" w:cs="Arial"/>
        </w:rPr>
        <w:t xml:space="preserve"> cutoff value of 0.64 ng/dL was established using receiver operating characteristic (ROC) curve analysis, yielding 88% sensitivity and 100% specificity for sepsis diagnosis. Similarly, the I:T ratio showed significant differences between control and septic neonates (p &lt; 0.001), confirming its diagnostic value. </w:t>
      </w:r>
    </w:p>
    <w:p w14:paraId="7D6EE6CA" w14:textId="77777777" w:rsidR="000541D2" w:rsidRPr="000541D2" w:rsidRDefault="000541D2" w:rsidP="000541D2">
      <w:pPr>
        <w:ind w:firstLine="720"/>
        <w:jc w:val="both"/>
        <w:rPr>
          <w:rFonts w:ascii="Arial" w:hAnsi="Arial" w:cs="Arial"/>
        </w:rPr>
      </w:pPr>
      <w:r w:rsidRPr="000541D2">
        <w:rPr>
          <w:rFonts w:ascii="Arial" w:hAnsi="Arial" w:cs="Arial"/>
        </w:rPr>
        <w:t xml:space="preserve">Although the study did not directly compare the two markers, it emphasized that both </w:t>
      </w:r>
      <w:proofErr w:type="spellStart"/>
      <w:r w:rsidRPr="000541D2">
        <w:rPr>
          <w:rFonts w:ascii="Arial" w:hAnsi="Arial" w:cs="Arial"/>
        </w:rPr>
        <w:t>presepsin</w:t>
      </w:r>
      <w:proofErr w:type="spellEnd"/>
      <w:r w:rsidRPr="000541D2">
        <w:rPr>
          <w:rFonts w:ascii="Arial" w:hAnsi="Arial" w:cs="Arial"/>
        </w:rPr>
        <w:t xml:space="preserve"> and the I:T ratio are beneficial for early neonatal sepsis diagnosis. Combining I:T </w:t>
      </w:r>
      <w:r w:rsidRPr="000541D2">
        <w:rPr>
          <w:rFonts w:ascii="Arial" w:hAnsi="Arial" w:cs="Arial"/>
        </w:rPr>
        <w:lastRenderedPageBreak/>
        <w:t xml:space="preserve">ratio assessment with </w:t>
      </w:r>
      <w:proofErr w:type="spellStart"/>
      <w:r w:rsidRPr="000541D2">
        <w:rPr>
          <w:rFonts w:ascii="Arial" w:hAnsi="Arial" w:cs="Arial"/>
        </w:rPr>
        <w:t>presepsin</w:t>
      </w:r>
      <w:proofErr w:type="spellEnd"/>
      <w:r w:rsidRPr="000541D2">
        <w:rPr>
          <w:rFonts w:ascii="Arial" w:hAnsi="Arial" w:cs="Arial"/>
        </w:rPr>
        <w:t xml:space="preserve"> measurement may enhance diagnostic confidence and accuracy </w:t>
      </w:r>
      <w:hyperlink r:id="rId37" w:history="1">
        <w:r w:rsidRPr="000541D2">
          <w:rPr>
            <w:rStyle w:val="Hyperlink"/>
            <w:rFonts w:ascii="Arial" w:hAnsi="Arial" w:cs="Arial"/>
            <w:color w:val="auto"/>
            <w:u w:val="none"/>
          </w:rPr>
          <w:t>(Mahmoud Zayed et al., 2020)</w:t>
        </w:r>
      </w:hyperlink>
      <w:r w:rsidRPr="000541D2">
        <w:rPr>
          <w:rFonts w:ascii="Arial" w:hAnsi="Arial" w:cs="Arial"/>
        </w:rPr>
        <w:t>.</w:t>
      </w:r>
    </w:p>
    <w:p w14:paraId="2298D9BB" w14:textId="77777777" w:rsidR="000541D2" w:rsidRPr="000541D2" w:rsidRDefault="000541D2" w:rsidP="000541D2">
      <w:pPr>
        <w:ind w:firstLine="720"/>
        <w:jc w:val="both"/>
        <w:rPr>
          <w:rFonts w:ascii="Arial" w:hAnsi="Arial" w:cs="Arial"/>
        </w:rPr>
      </w:pPr>
    </w:p>
    <w:p w14:paraId="5CE5A8A2"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Pre-Analytical Factors Affecting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Measurement</w:t>
      </w:r>
    </w:p>
    <w:p w14:paraId="7183368D" w14:textId="77777777" w:rsidR="000541D2" w:rsidRPr="000541D2" w:rsidRDefault="000541D2" w:rsidP="000541D2">
      <w:pPr>
        <w:ind w:firstLine="720"/>
        <w:jc w:val="both"/>
        <w:rPr>
          <w:rFonts w:ascii="Arial" w:hAnsi="Arial" w:cs="Arial"/>
        </w:rPr>
      </w:pPr>
      <w:r w:rsidRPr="000541D2">
        <w:rPr>
          <w:rFonts w:ascii="Arial" w:hAnsi="Arial" w:cs="Arial"/>
        </w:rPr>
        <w:t xml:space="preserve">Pre-analytical factors significantly influence the accuracy of </w:t>
      </w:r>
      <w:proofErr w:type="spellStart"/>
      <w:r w:rsidRPr="000541D2">
        <w:rPr>
          <w:rFonts w:ascii="Arial" w:hAnsi="Arial" w:cs="Arial"/>
        </w:rPr>
        <w:t>presepsin</w:t>
      </w:r>
      <w:proofErr w:type="spellEnd"/>
      <w:r w:rsidRPr="000541D2">
        <w:rPr>
          <w:rFonts w:ascii="Arial" w:hAnsi="Arial" w:cs="Arial"/>
        </w:rPr>
        <w:t xml:space="preserve"> measurement in sepsis diagnosis. Sample mixing methods, as highlighted by Ham et al., can cause variability in point-of-care testing (POCT) results using whole blood. Their study showed that vigorous mixing, such as during automated complete blood count (CBC) testing, significantly increased </w:t>
      </w:r>
      <w:proofErr w:type="spellStart"/>
      <w:r w:rsidRPr="000541D2">
        <w:rPr>
          <w:rFonts w:ascii="Arial" w:hAnsi="Arial" w:cs="Arial"/>
        </w:rPr>
        <w:t>presepsin</w:t>
      </w:r>
      <w:proofErr w:type="spellEnd"/>
      <w:r w:rsidRPr="000541D2">
        <w:rPr>
          <w:rFonts w:ascii="Arial" w:hAnsi="Arial" w:cs="Arial"/>
        </w:rPr>
        <w:t xml:space="preserve"> levels compared to gentle inversion. This difference may be due to mechanical damage to blood cells, artificially elevating </w:t>
      </w:r>
      <w:proofErr w:type="spellStart"/>
      <w:r w:rsidRPr="000541D2">
        <w:rPr>
          <w:rFonts w:ascii="Arial" w:hAnsi="Arial" w:cs="Arial"/>
        </w:rPr>
        <w:t>presepsin</w:t>
      </w:r>
      <w:proofErr w:type="spellEnd"/>
      <w:r w:rsidRPr="000541D2">
        <w:rPr>
          <w:rFonts w:ascii="Arial" w:hAnsi="Arial" w:cs="Arial"/>
        </w:rPr>
        <w:t xml:space="preserve"> concentrations. Although gentle mixing is recommended, standardization across different hematology analyzers is crucial due to variations in built-in mixing platforms. </w:t>
      </w:r>
    </w:p>
    <w:p w14:paraId="4E2FDEDC" w14:textId="6E8EF146" w:rsidR="000541D2" w:rsidRPr="000541D2" w:rsidRDefault="000541D2" w:rsidP="000541D2">
      <w:pPr>
        <w:pStyle w:val="AbstHead"/>
        <w:spacing w:after="0"/>
        <w:ind w:firstLine="720"/>
        <w:jc w:val="both"/>
        <w:rPr>
          <w:rFonts w:ascii="Arial" w:hAnsi="Arial" w:cs="Arial"/>
          <w:b w:val="0"/>
          <w:bCs/>
          <w:sz w:val="20"/>
        </w:rPr>
      </w:pPr>
      <w:r w:rsidRPr="000541D2">
        <w:rPr>
          <w:rFonts w:ascii="Arial" w:hAnsi="Arial" w:cs="Arial"/>
          <w:b w:val="0"/>
          <w:bCs/>
          <w:caps w:val="0"/>
          <w:sz w:val="20"/>
        </w:rPr>
        <w:t xml:space="preserve">Additionally, storage time affects </w:t>
      </w:r>
      <w:proofErr w:type="spellStart"/>
      <w:r w:rsidRPr="000541D2">
        <w:rPr>
          <w:rFonts w:ascii="Arial" w:hAnsi="Arial" w:cs="Arial"/>
          <w:b w:val="0"/>
          <w:bCs/>
          <w:caps w:val="0"/>
          <w:sz w:val="20"/>
        </w:rPr>
        <w:t>presepsin</w:t>
      </w:r>
      <w:proofErr w:type="spellEnd"/>
      <w:r w:rsidRPr="000541D2">
        <w:rPr>
          <w:rFonts w:ascii="Arial" w:hAnsi="Arial" w:cs="Arial"/>
          <w:b w:val="0"/>
          <w:bCs/>
          <w:caps w:val="0"/>
          <w:sz w:val="20"/>
        </w:rPr>
        <w:t xml:space="preserve"> levels, which may decrease after prolonged storage (e.g., 5 hours post-</w:t>
      </w:r>
      <w:proofErr w:type="spellStart"/>
      <w:r w:rsidRPr="000541D2">
        <w:rPr>
          <w:rFonts w:ascii="Arial" w:hAnsi="Arial" w:cs="Arial"/>
          <w:b w:val="0"/>
          <w:bCs/>
          <w:caps w:val="0"/>
          <w:sz w:val="20"/>
        </w:rPr>
        <w:t>cbc</w:t>
      </w:r>
      <w:proofErr w:type="spellEnd"/>
      <w:r w:rsidRPr="000541D2">
        <w:rPr>
          <w:rFonts w:ascii="Arial" w:hAnsi="Arial" w:cs="Arial"/>
          <w:b w:val="0"/>
          <w:bCs/>
          <w:caps w:val="0"/>
          <w:sz w:val="20"/>
        </w:rPr>
        <w:t xml:space="preserve"> testing), although this effect is less pronounced with gentle mixing. These pre-analytical considerations underscore the importance of careful sample handling to ensure reliable </w:t>
      </w:r>
      <w:proofErr w:type="spellStart"/>
      <w:r w:rsidRPr="000541D2">
        <w:rPr>
          <w:rFonts w:ascii="Arial" w:hAnsi="Arial" w:cs="Arial"/>
          <w:b w:val="0"/>
          <w:bCs/>
          <w:caps w:val="0"/>
          <w:sz w:val="20"/>
        </w:rPr>
        <w:t>presepsin</w:t>
      </w:r>
      <w:proofErr w:type="spellEnd"/>
      <w:r w:rsidRPr="000541D2">
        <w:rPr>
          <w:rFonts w:ascii="Arial" w:hAnsi="Arial" w:cs="Arial"/>
          <w:b w:val="0"/>
          <w:bCs/>
          <w:caps w:val="0"/>
          <w:sz w:val="20"/>
        </w:rPr>
        <w:t xml:space="preserve"> measurement for accurate sepsis diagnosis and monitoring </w:t>
      </w:r>
      <w:hyperlink r:id="rId38" w:history="1">
        <w:r w:rsidRPr="000541D2">
          <w:rPr>
            <w:rStyle w:val="Hyperlink"/>
            <w:rFonts w:ascii="Arial" w:hAnsi="Arial" w:cs="Arial"/>
            <w:b w:val="0"/>
            <w:bCs/>
            <w:caps w:val="0"/>
            <w:color w:val="auto"/>
            <w:sz w:val="20"/>
            <w:u w:val="none"/>
          </w:rPr>
          <w:t>(ham &amp; song, 2016)</w:t>
        </w:r>
      </w:hyperlink>
      <w:r w:rsidRPr="000541D2">
        <w:rPr>
          <w:rFonts w:ascii="Arial" w:hAnsi="Arial" w:cs="Arial"/>
          <w:b w:val="0"/>
          <w:bCs/>
          <w:sz w:val="20"/>
        </w:rPr>
        <w:t>.</w:t>
      </w:r>
    </w:p>
    <w:p w14:paraId="2F026B43" w14:textId="77777777" w:rsidR="000541D2" w:rsidRDefault="000541D2" w:rsidP="00441B6F">
      <w:pPr>
        <w:pStyle w:val="AbstHead"/>
        <w:spacing w:after="0"/>
        <w:jc w:val="both"/>
        <w:rPr>
          <w:rFonts w:ascii="Arial" w:hAnsi="Arial" w:cs="Arial"/>
        </w:rPr>
      </w:pPr>
    </w:p>
    <w:p w14:paraId="3F6B63C1" w14:textId="77777777" w:rsidR="000541D2" w:rsidRPr="000541D2" w:rsidRDefault="000541D2" w:rsidP="00441B6F">
      <w:pPr>
        <w:pStyle w:val="AbstHead"/>
        <w:spacing w:after="0"/>
        <w:jc w:val="both"/>
        <w:rPr>
          <w:rFonts w:ascii="Arial" w:hAnsi="Arial" w:cs="Arial"/>
        </w:rPr>
      </w:pPr>
    </w:p>
    <w:p w14:paraId="50D54A91" w14:textId="77777777" w:rsidR="00902823" w:rsidRPr="000541D2" w:rsidRDefault="00000F8F" w:rsidP="00441B6F">
      <w:pPr>
        <w:pStyle w:val="Head1"/>
        <w:spacing w:after="0"/>
        <w:jc w:val="both"/>
        <w:rPr>
          <w:rFonts w:ascii="Arial" w:hAnsi="Arial" w:cs="Arial"/>
        </w:rPr>
      </w:pPr>
      <w:r w:rsidRPr="000541D2">
        <w:rPr>
          <w:rFonts w:ascii="Arial" w:hAnsi="Arial" w:cs="Arial"/>
        </w:rPr>
        <w:t>3</w:t>
      </w:r>
      <w:r w:rsidR="00902823" w:rsidRPr="000541D2">
        <w:rPr>
          <w:rFonts w:ascii="Arial" w:hAnsi="Arial" w:cs="Arial"/>
        </w:rPr>
        <w:t xml:space="preserve">. </w:t>
      </w:r>
      <w:r w:rsidRPr="000541D2">
        <w:rPr>
          <w:rFonts w:ascii="Arial" w:hAnsi="Arial" w:cs="Arial"/>
        </w:rPr>
        <w:t>results and discussion</w:t>
      </w:r>
    </w:p>
    <w:p w14:paraId="5CFCA0E6" w14:textId="77777777" w:rsidR="00CA5B6E" w:rsidRPr="00CA5B6E" w:rsidRDefault="00CA5B6E" w:rsidP="00CA5B6E">
      <w:pPr>
        <w:ind w:firstLine="720"/>
        <w:jc w:val="both"/>
        <w:rPr>
          <w:rFonts w:ascii="Arial" w:hAnsi="Arial" w:cs="Arial"/>
        </w:rPr>
      </w:pPr>
      <w:r w:rsidRPr="00CA5B6E">
        <w:rPr>
          <w:rFonts w:ascii="Arial" w:hAnsi="Arial" w:cs="Arial"/>
        </w:rPr>
        <w:t xml:space="preserve">The findings from this literature review underscore the complex interplay of various factors influencing the measurement and clinical utility of </w:t>
      </w:r>
      <w:proofErr w:type="spellStart"/>
      <w:r w:rsidRPr="00CA5B6E">
        <w:rPr>
          <w:rFonts w:ascii="Arial" w:hAnsi="Arial" w:cs="Arial"/>
        </w:rPr>
        <w:t>presepsin</w:t>
      </w:r>
      <w:proofErr w:type="spellEnd"/>
      <w:r w:rsidRPr="00CA5B6E">
        <w:rPr>
          <w:rFonts w:ascii="Arial" w:hAnsi="Arial" w:cs="Arial"/>
        </w:rPr>
        <w:t xml:space="preserve"> as a biomarker in medical diagnostics. One of the most critical aspects highlighted is the significant impact of pre-analytical variables on </w:t>
      </w:r>
      <w:proofErr w:type="spellStart"/>
      <w:r w:rsidRPr="00CA5B6E">
        <w:rPr>
          <w:rFonts w:ascii="Arial" w:hAnsi="Arial" w:cs="Arial"/>
        </w:rPr>
        <w:t>presepsin</w:t>
      </w:r>
      <w:proofErr w:type="spellEnd"/>
      <w:r w:rsidRPr="00CA5B6E">
        <w:rPr>
          <w:rFonts w:ascii="Arial" w:hAnsi="Arial" w:cs="Arial"/>
        </w:rPr>
        <w:t xml:space="preserve"> levels. These factors include sample collection methods, handling, storage conditions, and timing, all of which can introduce variability and potentially confound the interpretation of results. The sensitivity of </w:t>
      </w:r>
      <w:proofErr w:type="spellStart"/>
      <w:r w:rsidRPr="00CA5B6E">
        <w:rPr>
          <w:rFonts w:ascii="Arial" w:hAnsi="Arial" w:cs="Arial"/>
        </w:rPr>
        <w:t>presepsin</w:t>
      </w:r>
      <w:proofErr w:type="spellEnd"/>
      <w:r w:rsidRPr="00CA5B6E">
        <w:rPr>
          <w:rFonts w:ascii="Arial" w:hAnsi="Arial" w:cs="Arial"/>
        </w:rPr>
        <w:t xml:space="preserve"> to such pre-analytical conditions necessitates stringent standardization of protocols to ensure reproducibility and reliability across different clinical settings. Without such standardization, the comparability of study outcomes remains limited, thereby impeding the establishment of universally accepted clinical guidelines for </w:t>
      </w:r>
      <w:proofErr w:type="spellStart"/>
      <w:r w:rsidRPr="00CA5B6E">
        <w:rPr>
          <w:rFonts w:ascii="Arial" w:hAnsi="Arial" w:cs="Arial"/>
        </w:rPr>
        <w:t>presepsin</w:t>
      </w:r>
      <w:proofErr w:type="spellEnd"/>
      <w:r w:rsidRPr="00CA5B6E">
        <w:rPr>
          <w:rFonts w:ascii="Arial" w:hAnsi="Arial" w:cs="Arial"/>
        </w:rPr>
        <w:t xml:space="preserve"> use </w:t>
      </w:r>
      <w:hyperlink r:id="rId39" w:history="1">
        <w:r w:rsidRPr="00CA5B6E">
          <w:rPr>
            <w:rStyle w:val="Hyperlink"/>
            <w:rFonts w:ascii="Arial" w:hAnsi="Arial" w:cs="Arial"/>
            <w:color w:val="auto"/>
            <w:u w:val="none"/>
          </w:rPr>
          <w:t>(Higgins &amp; Green, 2011)</w:t>
        </w:r>
      </w:hyperlink>
      <w:r w:rsidRPr="00CA5B6E">
        <w:rPr>
          <w:rFonts w:ascii="Arial" w:hAnsi="Arial" w:cs="Arial"/>
        </w:rPr>
        <w:t>.</w:t>
      </w:r>
    </w:p>
    <w:p w14:paraId="268D19F9" w14:textId="77777777" w:rsidR="00CA5B6E" w:rsidRDefault="00CA5B6E" w:rsidP="00CA5B6E">
      <w:pPr>
        <w:ind w:firstLine="720"/>
        <w:jc w:val="both"/>
        <w:rPr>
          <w:rFonts w:ascii="Arial" w:hAnsi="Arial" w:cs="Arial"/>
        </w:rPr>
      </w:pPr>
      <w:r w:rsidRPr="00CA5B6E">
        <w:rPr>
          <w:rFonts w:ascii="Arial" w:hAnsi="Arial" w:cs="Arial"/>
        </w:rPr>
        <w:t xml:space="preserve">Comparative analyses within the reviewed studies reveal that </w:t>
      </w:r>
      <w:proofErr w:type="spellStart"/>
      <w:r w:rsidRPr="00CA5B6E">
        <w:rPr>
          <w:rFonts w:ascii="Arial" w:hAnsi="Arial" w:cs="Arial"/>
        </w:rPr>
        <w:t>presepsin</w:t>
      </w:r>
      <w:proofErr w:type="spellEnd"/>
      <w:r w:rsidRPr="00CA5B6E">
        <w:rPr>
          <w:rFonts w:ascii="Arial" w:hAnsi="Arial" w:cs="Arial"/>
        </w:rPr>
        <w:t xml:space="preserve"> demonstrates promising sensitivity and specificity in detecting sepsis and related inflammatory conditions. However, its superiority over traditional biomarkers such as the immature to total neutrophil (</w:t>
      </w:r>
      <w:proofErr w:type="gramStart"/>
      <w:r w:rsidRPr="00CA5B6E">
        <w:rPr>
          <w:rFonts w:ascii="Arial" w:hAnsi="Arial" w:cs="Arial"/>
        </w:rPr>
        <w:t>I:T</w:t>
      </w:r>
      <w:proofErr w:type="gramEnd"/>
      <w:r w:rsidRPr="00CA5B6E">
        <w:rPr>
          <w:rFonts w:ascii="Arial" w:hAnsi="Arial" w:cs="Arial"/>
        </w:rPr>
        <w:t xml:space="preserve">) ratio and neutrophil-to-lymphocyte ratio (NLR) remains inconclusive. While some studies suggest that </w:t>
      </w:r>
      <w:proofErr w:type="spellStart"/>
      <w:r w:rsidRPr="00CA5B6E">
        <w:rPr>
          <w:rFonts w:ascii="Arial" w:hAnsi="Arial" w:cs="Arial"/>
        </w:rPr>
        <w:t>presepsin</w:t>
      </w:r>
      <w:proofErr w:type="spellEnd"/>
      <w:r w:rsidRPr="00CA5B6E">
        <w:rPr>
          <w:rFonts w:ascii="Arial" w:hAnsi="Arial" w:cs="Arial"/>
        </w:rPr>
        <w:t xml:space="preserve"> may offer earlier detection and better prognostic value, others report overlapping diagnostic performance with established markers. This inconsistency is partly attributable to heterogeneity in study designs, patient populations, and outcome measures. </w:t>
      </w:r>
    </w:p>
    <w:p w14:paraId="4E033A2E" w14:textId="77777777" w:rsidR="00CA5B6E" w:rsidRDefault="00CA5B6E" w:rsidP="00CA5B6E">
      <w:pPr>
        <w:ind w:firstLine="720"/>
        <w:jc w:val="both"/>
        <w:rPr>
          <w:rFonts w:ascii="Arial" w:hAnsi="Arial" w:cs="Arial"/>
        </w:rPr>
      </w:pPr>
    </w:p>
    <w:p w14:paraId="4FC0E38D" w14:textId="77777777" w:rsidR="00CA5B6E" w:rsidRDefault="00CA5B6E" w:rsidP="00CA5B6E">
      <w:pPr>
        <w:ind w:firstLine="720"/>
        <w:jc w:val="both"/>
        <w:rPr>
          <w:rFonts w:ascii="Arial" w:hAnsi="Arial" w:cs="Arial"/>
        </w:rPr>
      </w:pPr>
    </w:p>
    <w:p w14:paraId="26C2711C" w14:textId="77777777" w:rsidR="00CA5B6E" w:rsidRDefault="00CA5B6E" w:rsidP="00CA5B6E">
      <w:pPr>
        <w:ind w:firstLine="720"/>
        <w:jc w:val="both"/>
        <w:rPr>
          <w:rFonts w:ascii="Arial" w:hAnsi="Arial" w:cs="Arial"/>
        </w:rPr>
      </w:pPr>
    </w:p>
    <w:p w14:paraId="0FE98BEB" w14:textId="77777777" w:rsidR="00CA5B6E" w:rsidRDefault="00CA5B6E" w:rsidP="00CA5B6E">
      <w:pPr>
        <w:ind w:firstLine="720"/>
        <w:jc w:val="both"/>
        <w:rPr>
          <w:rFonts w:ascii="Arial" w:hAnsi="Arial" w:cs="Arial"/>
        </w:rPr>
      </w:pPr>
    </w:p>
    <w:p w14:paraId="66BA96A1" w14:textId="57BD74EC" w:rsidR="00CA5B6E" w:rsidRPr="00CA5B6E" w:rsidRDefault="00CA5B6E" w:rsidP="00CA5B6E">
      <w:pPr>
        <w:ind w:firstLine="720"/>
        <w:jc w:val="both"/>
        <w:rPr>
          <w:rFonts w:ascii="Arial" w:hAnsi="Arial" w:cs="Arial"/>
        </w:rPr>
      </w:pPr>
      <w:r w:rsidRPr="00CA5B6E">
        <w:rPr>
          <w:rFonts w:ascii="Arial" w:hAnsi="Arial" w:cs="Arial"/>
        </w:rPr>
        <w:t xml:space="preserve">For instance, variations in inclusion criteria, disease severity, and comorbidities contribute to divergent findings, complicating efforts to draw definitive conclusions about </w:t>
      </w:r>
      <w:proofErr w:type="spellStart"/>
      <w:r w:rsidRPr="00CA5B6E">
        <w:rPr>
          <w:rFonts w:ascii="Arial" w:hAnsi="Arial" w:cs="Arial"/>
        </w:rPr>
        <w:t>presepsin’s</w:t>
      </w:r>
      <w:proofErr w:type="spellEnd"/>
      <w:r w:rsidRPr="00CA5B6E">
        <w:rPr>
          <w:rFonts w:ascii="Arial" w:hAnsi="Arial" w:cs="Arial"/>
        </w:rPr>
        <w:t xml:space="preserve"> clinical advantage </w:t>
      </w:r>
      <w:hyperlink r:id="rId40" w:history="1">
        <w:r w:rsidRPr="00CA5B6E">
          <w:rPr>
            <w:rStyle w:val="Hyperlink"/>
            <w:rFonts w:ascii="Arial" w:hAnsi="Arial" w:cs="Arial"/>
            <w:color w:val="auto"/>
            <w:u w:val="none"/>
          </w:rPr>
          <w:t>(Moher et al., 2009)</w:t>
        </w:r>
      </w:hyperlink>
      <w:r>
        <w:rPr>
          <w:rFonts w:ascii="Arial" w:hAnsi="Arial" w:cs="Arial"/>
        </w:rPr>
        <w:t xml:space="preserve">. </w:t>
      </w:r>
      <w:r w:rsidRPr="00CA5B6E">
        <w:rPr>
          <w:rFonts w:ascii="Arial" w:hAnsi="Arial" w:cs="Arial"/>
        </w:rPr>
        <w:t xml:space="preserve">The methodological diversity observed across studies further challenges the synthesis of evidence. Differences in assay techniques, calibration standards, and cut-off values for </w:t>
      </w:r>
      <w:proofErr w:type="spellStart"/>
      <w:r w:rsidRPr="00CA5B6E">
        <w:rPr>
          <w:rFonts w:ascii="Arial" w:hAnsi="Arial" w:cs="Arial"/>
        </w:rPr>
        <w:t>presepsin</w:t>
      </w:r>
      <w:proofErr w:type="spellEnd"/>
      <w:r w:rsidRPr="00CA5B6E">
        <w:rPr>
          <w:rFonts w:ascii="Arial" w:hAnsi="Arial" w:cs="Arial"/>
        </w:rPr>
        <w:t xml:space="preserve"> significantly affect reported diagnostic accuracy. Small sample sizes in several investigations limit statistical power and generalizability, while potential publication bias favoring positive results may skew the overall impression of </w:t>
      </w:r>
      <w:proofErr w:type="spellStart"/>
      <w:r w:rsidRPr="00CA5B6E">
        <w:rPr>
          <w:rFonts w:ascii="Arial" w:hAnsi="Arial" w:cs="Arial"/>
        </w:rPr>
        <w:t>presepsin’s</w:t>
      </w:r>
      <w:proofErr w:type="spellEnd"/>
      <w:r w:rsidRPr="00CA5B6E">
        <w:rPr>
          <w:rFonts w:ascii="Arial" w:hAnsi="Arial" w:cs="Arial"/>
        </w:rPr>
        <w:t xml:space="preserve"> efficacy. Moreover, the lack of long-term follow-up data restricts understanding of </w:t>
      </w:r>
      <w:proofErr w:type="spellStart"/>
      <w:r w:rsidRPr="00CA5B6E">
        <w:rPr>
          <w:rFonts w:ascii="Arial" w:hAnsi="Arial" w:cs="Arial"/>
        </w:rPr>
        <w:t>presepsin’s</w:t>
      </w:r>
      <w:proofErr w:type="spellEnd"/>
      <w:r w:rsidRPr="00CA5B6E">
        <w:rPr>
          <w:rFonts w:ascii="Arial" w:hAnsi="Arial" w:cs="Arial"/>
        </w:rPr>
        <w:t xml:space="preserve"> role in monitoring disease progression and treatment response. These limitations highlight the urgent need for large-scale, multicenter prospective studies employing standardized methodologies to validate </w:t>
      </w:r>
      <w:proofErr w:type="spellStart"/>
      <w:r w:rsidRPr="00CA5B6E">
        <w:rPr>
          <w:rFonts w:ascii="Arial" w:hAnsi="Arial" w:cs="Arial"/>
        </w:rPr>
        <w:t>presepsin’s</w:t>
      </w:r>
      <w:proofErr w:type="spellEnd"/>
      <w:r w:rsidRPr="00CA5B6E">
        <w:rPr>
          <w:rFonts w:ascii="Arial" w:hAnsi="Arial" w:cs="Arial"/>
        </w:rPr>
        <w:t xml:space="preserve"> diagnostic and prognostic utility comprehensively </w:t>
      </w:r>
      <w:hyperlink r:id="rId41" w:history="1">
        <w:r w:rsidRPr="00CA5B6E">
          <w:rPr>
            <w:rStyle w:val="Hyperlink"/>
            <w:rFonts w:ascii="Arial" w:hAnsi="Arial" w:cs="Arial"/>
            <w:color w:val="auto"/>
            <w:u w:val="none"/>
          </w:rPr>
          <w:t>(Grant &amp; Booth, 2009)</w:t>
        </w:r>
      </w:hyperlink>
      <w:r w:rsidRPr="00CA5B6E">
        <w:rPr>
          <w:rFonts w:ascii="Arial" w:hAnsi="Arial" w:cs="Arial"/>
        </w:rPr>
        <w:t>.</w:t>
      </w:r>
    </w:p>
    <w:p w14:paraId="1F317B1A" w14:textId="77777777" w:rsidR="00CA5B6E" w:rsidRPr="00CA5B6E" w:rsidRDefault="00CA5B6E" w:rsidP="00CA5B6E">
      <w:pPr>
        <w:ind w:firstLine="720"/>
        <w:jc w:val="both"/>
        <w:rPr>
          <w:rFonts w:ascii="Arial" w:hAnsi="Arial" w:cs="Arial"/>
        </w:rPr>
      </w:pPr>
      <w:r w:rsidRPr="00CA5B6E">
        <w:rPr>
          <w:rFonts w:ascii="Arial" w:hAnsi="Arial" w:cs="Arial"/>
        </w:rPr>
        <w:lastRenderedPageBreak/>
        <w:t xml:space="preserve">Clinically, the integration of </w:t>
      </w:r>
      <w:proofErr w:type="spellStart"/>
      <w:r w:rsidRPr="00CA5B6E">
        <w:rPr>
          <w:rFonts w:ascii="Arial" w:hAnsi="Arial" w:cs="Arial"/>
        </w:rPr>
        <w:t>presepsin</w:t>
      </w:r>
      <w:proofErr w:type="spellEnd"/>
      <w:r w:rsidRPr="00CA5B6E">
        <w:rPr>
          <w:rFonts w:ascii="Arial" w:hAnsi="Arial" w:cs="Arial"/>
        </w:rPr>
        <w:t xml:space="preserve"> measurement into routine practice offers potential benefits, particularly in enhancing early sepsis detection and guiding therapeutic decisions. However, the variability in pre-analytical handling and assay performance necessitates cautious interpretation of results. The development of consensus guidelines addressing sample processing, assay standardization, and reporting criteria is essential to optimize </w:t>
      </w:r>
      <w:proofErr w:type="spellStart"/>
      <w:r w:rsidRPr="00CA5B6E">
        <w:rPr>
          <w:rFonts w:ascii="Arial" w:hAnsi="Arial" w:cs="Arial"/>
        </w:rPr>
        <w:t>presepsin’s</w:t>
      </w:r>
      <w:proofErr w:type="spellEnd"/>
      <w:r w:rsidRPr="00CA5B6E">
        <w:rPr>
          <w:rFonts w:ascii="Arial" w:hAnsi="Arial" w:cs="Arial"/>
        </w:rPr>
        <w:t xml:space="preserve"> clinical application. Additionally, exploring </w:t>
      </w:r>
      <w:proofErr w:type="spellStart"/>
      <w:r w:rsidRPr="00CA5B6E">
        <w:rPr>
          <w:rFonts w:ascii="Arial" w:hAnsi="Arial" w:cs="Arial"/>
        </w:rPr>
        <w:t>presepsin’s</w:t>
      </w:r>
      <w:proofErr w:type="spellEnd"/>
      <w:r w:rsidRPr="00CA5B6E">
        <w:rPr>
          <w:rFonts w:ascii="Arial" w:hAnsi="Arial" w:cs="Arial"/>
        </w:rPr>
        <w:t xml:space="preserve"> utility in diverse patient subgroups, including pediatric, immunocompromised, and critically ill populations, remains a critical research priority to ensure broad applicability </w:t>
      </w:r>
      <w:hyperlink r:id="rId42" w:history="1">
        <w:r w:rsidRPr="00CA5B6E">
          <w:rPr>
            <w:rStyle w:val="Hyperlink"/>
            <w:rFonts w:ascii="Arial" w:hAnsi="Arial" w:cs="Arial"/>
            <w:color w:val="auto"/>
            <w:u w:val="none"/>
          </w:rPr>
          <w:t>(Greenhalgh, 2019)</w:t>
        </w:r>
      </w:hyperlink>
      <w:r w:rsidRPr="00CA5B6E">
        <w:rPr>
          <w:rFonts w:ascii="Arial" w:hAnsi="Arial" w:cs="Arial"/>
        </w:rPr>
        <w:t>.</w:t>
      </w:r>
    </w:p>
    <w:p w14:paraId="484C5B67" w14:textId="77777777" w:rsidR="00CA5B6E" w:rsidRDefault="00CA5B6E" w:rsidP="00CA5B6E">
      <w:pPr>
        <w:ind w:firstLine="720"/>
        <w:jc w:val="both"/>
        <w:rPr>
          <w:rFonts w:ascii="Arial" w:hAnsi="Arial" w:cs="Arial"/>
        </w:rPr>
      </w:pPr>
      <w:r w:rsidRPr="00CA5B6E">
        <w:rPr>
          <w:rFonts w:ascii="Arial" w:hAnsi="Arial" w:cs="Arial"/>
        </w:rPr>
        <w:t xml:space="preserve">In summary, while </w:t>
      </w:r>
      <w:proofErr w:type="spellStart"/>
      <w:r w:rsidRPr="00CA5B6E">
        <w:rPr>
          <w:rFonts w:ascii="Arial" w:hAnsi="Arial" w:cs="Arial"/>
        </w:rPr>
        <w:t>presepsin</w:t>
      </w:r>
      <w:proofErr w:type="spellEnd"/>
      <w:r w:rsidRPr="00CA5B6E">
        <w:rPr>
          <w:rFonts w:ascii="Arial" w:hAnsi="Arial" w:cs="Arial"/>
        </w:rPr>
        <w:t xml:space="preserve"> emerges as a promising biomarker with potential to improve diagnostic accuracy in sepsis and inflammatory conditions, current evidence is tempered by methodological heterogeneity, pre-analytical variability, and limited high-quality data. Addressing these challenges through rigorous research and standardization efforts will be pivotal in translating </w:t>
      </w:r>
      <w:proofErr w:type="spellStart"/>
      <w:r w:rsidRPr="00CA5B6E">
        <w:rPr>
          <w:rFonts w:ascii="Arial" w:hAnsi="Arial" w:cs="Arial"/>
        </w:rPr>
        <w:t>presepsin’s</w:t>
      </w:r>
      <w:proofErr w:type="spellEnd"/>
      <w:r w:rsidRPr="00CA5B6E">
        <w:rPr>
          <w:rFonts w:ascii="Arial" w:hAnsi="Arial" w:cs="Arial"/>
        </w:rPr>
        <w:t xml:space="preserve"> promise into clinical practice, ultimately enhancing patient outcomes and advancing evidence-based medicine.</w:t>
      </w:r>
    </w:p>
    <w:p w14:paraId="4D082B36" w14:textId="77777777" w:rsidR="00CA5B6E" w:rsidRPr="00CA5B6E" w:rsidRDefault="00CA5B6E" w:rsidP="00CA5B6E">
      <w:pPr>
        <w:ind w:firstLine="720"/>
        <w:jc w:val="both"/>
        <w:rPr>
          <w:rFonts w:ascii="Arial" w:hAnsi="Arial" w:cs="Arial"/>
        </w:rPr>
      </w:pPr>
    </w:p>
    <w:p w14:paraId="489A6F64" w14:textId="77777777" w:rsidR="00B01FCD" w:rsidRPr="000541D2" w:rsidRDefault="00000F8F" w:rsidP="00441B6F">
      <w:pPr>
        <w:pStyle w:val="ConcHead"/>
        <w:spacing w:after="0"/>
        <w:jc w:val="both"/>
        <w:rPr>
          <w:rFonts w:ascii="Arial" w:hAnsi="Arial" w:cs="Arial"/>
        </w:rPr>
      </w:pPr>
      <w:r w:rsidRPr="000541D2">
        <w:rPr>
          <w:rFonts w:ascii="Arial" w:hAnsi="Arial" w:cs="Arial"/>
        </w:rPr>
        <w:t xml:space="preserve">4. </w:t>
      </w:r>
      <w:r w:rsidR="00B01FCD" w:rsidRPr="000541D2">
        <w:rPr>
          <w:rFonts w:ascii="Arial" w:hAnsi="Arial" w:cs="Arial"/>
        </w:rPr>
        <w:t>Conclusion</w:t>
      </w:r>
    </w:p>
    <w:p w14:paraId="2CAA88D8" w14:textId="77777777" w:rsidR="00CA5B6E" w:rsidRPr="00CA5B6E" w:rsidRDefault="00CA5B6E" w:rsidP="00CA5B6E">
      <w:pPr>
        <w:ind w:firstLine="720"/>
        <w:jc w:val="both"/>
        <w:rPr>
          <w:rFonts w:ascii="Arial" w:hAnsi="Arial" w:cs="Arial"/>
        </w:rPr>
      </w:pPr>
      <w:r w:rsidRPr="00CA5B6E">
        <w:rPr>
          <w:rFonts w:ascii="Arial" w:hAnsi="Arial" w:cs="Arial"/>
        </w:rPr>
        <w:t xml:space="preserve">This literature review highlights </w:t>
      </w:r>
      <w:proofErr w:type="spellStart"/>
      <w:r w:rsidRPr="00CA5B6E">
        <w:rPr>
          <w:rFonts w:ascii="Arial" w:hAnsi="Arial" w:cs="Arial"/>
        </w:rPr>
        <w:t>presepsin</w:t>
      </w:r>
      <w:proofErr w:type="spellEnd"/>
      <w:r w:rsidRPr="00CA5B6E">
        <w:rPr>
          <w:rFonts w:ascii="Arial" w:hAnsi="Arial" w:cs="Arial"/>
        </w:rPr>
        <w:t xml:space="preserve"> as a promising biomarker with notable sensitivity and specificity for the detection and management of sepsis and related inflammatory conditions. The evidence suggests that </w:t>
      </w:r>
      <w:proofErr w:type="spellStart"/>
      <w:r w:rsidRPr="00CA5B6E">
        <w:rPr>
          <w:rFonts w:ascii="Arial" w:hAnsi="Arial" w:cs="Arial"/>
        </w:rPr>
        <w:t>presepsin</w:t>
      </w:r>
      <w:proofErr w:type="spellEnd"/>
      <w:r w:rsidRPr="00CA5B6E">
        <w:rPr>
          <w:rFonts w:ascii="Arial" w:hAnsi="Arial" w:cs="Arial"/>
        </w:rPr>
        <w:t xml:space="preserve"> may offer advantages in early diagnosis and prognostication; however, its superiority over traditional biomarkers such as the immature to total neutrophil ratio and neutrophil-to-lymphocyte ratio remains inconclusive. The variability in study designs, patient populations, assay methods, and pre-analytical factors contributes to inconsistent findings, underscoring the need for caution in interpreting current data.</w:t>
      </w:r>
    </w:p>
    <w:p w14:paraId="25509FA3" w14:textId="77777777" w:rsidR="00CA5B6E" w:rsidRPr="00CA5B6E" w:rsidRDefault="00CA5B6E" w:rsidP="00CA5B6E">
      <w:pPr>
        <w:ind w:firstLine="720"/>
        <w:jc w:val="both"/>
        <w:rPr>
          <w:rFonts w:ascii="Arial" w:hAnsi="Arial" w:cs="Arial"/>
        </w:rPr>
      </w:pPr>
      <w:r w:rsidRPr="00CA5B6E">
        <w:rPr>
          <w:rFonts w:ascii="Arial" w:hAnsi="Arial" w:cs="Arial"/>
        </w:rPr>
        <w:t xml:space="preserve">A critical conclusion from this review is the imperative for standardized protocols encompassing sample collection, handling, storage, and assay calibration to minimize variability and enhance reproducibility across clinical settings. Without such standardization, the clinical utility of </w:t>
      </w:r>
      <w:proofErr w:type="spellStart"/>
      <w:r w:rsidRPr="00CA5B6E">
        <w:rPr>
          <w:rFonts w:ascii="Arial" w:hAnsi="Arial" w:cs="Arial"/>
        </w:rPr>
        <w:t>presepsin</w:t>
      </w:r>
      <w:proofErr w:type="spellEnd"/>
      <w:r w:rsidRPr="00CA5B6E">
        <w:rPr>
          <w:rFonts w:ascii="Arial" w:hAnsi="Arial" w:cs="Arial"/>
        </w:rPr>
        <w:t xml:space="preserve"> cannot be reliably established or compared across studies. Furthermore, many existing studies suffer from small sample sizes, limited follow-up, and potential publication bias, which collectively restrict the generalizability and strength of conclusions.</w:t>
      </w:r>
    </w:p>
    <w:p w14:paraId="2108E98A" w14:textId="77777777" w:rsidR="00CA5B6E" w:rsidRPr="00CA5B6E" w:rsidRDefault="00CA5B6E" w:rsidP="00CA5B6E">
      <w:pPr>
        <w:ind w:firstLine="720"/>
        <w:jc w:val="both"/>
        <w:rPr>
          <w:rFonts w:ascii="Arial" w:hAnsi="Arial" w:cs="Arial"/>
        </w:rPr>
      </w:pPr>
      <w:r w:rsidRPr="00CA5B6E">
        <w:rPr>
          <w:rFonts w:ascii="Arial" w:hAnsi="Arial" w:cs="Arial"/>
        </w:rPr>
        <w:t xml:space="preserve">Future research should prioritize large-scale, multicenter prospective studies with rigorous methodological frameworks to validate </w:t>
      </w:r>
      <w:proofErr w:type="spellStart"/>
      <w:r w:rsidRPr="00CA5B6E">
        <w:rPr>
          <w:rFonts w:ascii="Arial" w:hAnsi="Arial" w:cs="Arial"/>
        </w:rPr>
        <w:t>presepsin’s</w:t>
      </w:r>
      <w:proofErr w:type="spellEnd"/>
      <w:r w:rsidRPr="00CA5B6E">
        <w:rPr>
          <w:rFonts w:ascii="Arial" w:hAnsi="Arial" w:cs="Arial"/>
        </w:rPr>
        <w:t xml:space="preserve"> diagnostic and prognostic roles. Investigations into its performance across diverse patient populations, including pediatric, immunocompromised, and critically ill groups, are essential to broaden its applicability. Additionally, exploring long-term outcomes and treatment monitoring capabilities will provide deeper insights into its clinical value.</w:t>
      </w:r>
    </w:p>
    <w:p w14:paraId="6DF404E2" w14:textId="2214645E" w:rsidR="00CA5B6E" w:rsidRPr="00CA5B6E" w:rsidRDefault="00CA5B6E" w:rsidP="00CA5B6E">
      <w:pPr>
        <w:ind w:firstLine="720"/>
        <w:jc w:val="both"/>
        <w:rPr>
          <w:rFonts w:ascii="Arial" w:hAnsi="Arial" w:cs="Arial"/>
        </w:rPr>
      </w:pPr>
      <w:r w:rsidRPr="00CA5B6E">
        <w:rPr>
          <w:rFonts w:ascii="Arial" w:hAnsi="Arial" w:cs="Arial"/>
        </w:rPr>
        <w:t xml:space="preserve">In conclusion, </w:t>
      </w:r>
      <w:proofErr w:type="spellStart"/>
      <w:r w:rsidRPr="00CA5B6E">
        <w:rPr>
          <w:rFonts w:ascii="Arial" w:hAnsi="Arial" w:cs="Arial"/>
        </w:rPr>
        <w:t>presepsin</w:t>
      </w:r>
      <w:proofErr w:type="spellEnd"/>
      <w:r w:rsidRPr="00CA5B6E">
        <w:rPr>
          <w:rFonts w:ascii="Arial" w:hAnsi="Arial" w:cs="Arial"/>
        </w:rPr>
        <w:t xml:space="preserve"> holds significant potential as a biomarker in sepsis and inflammatory disease management, but its integration into routine clinical practice awaits further validation through standardized, high-quality research. Addressing current gaps will facilitate evidence-based adoption, ultimately improving patient care and outcomes </w:t>
      </w:r>
    </w:p>
    <w:p w14:paraId="114DBBC8" w14:textId="77777777" w:rsidR="002B685A" w:rsidRPr="000541D2" w:rsidRDefault="002B685A" w:rsidP="00441B6F">
      <w:pPr>
        <w:pStyle w:val="ReferHead"/>
        <w:spacing w:after="0"/>
        <w:jc w:val="both"/>
        <w:rPr>
          <w:rFonts w:ascii="Arial" w:hAnsi="Arial" w:cs="Arial"/>
          <w:b w:val="0"/>
          <w:caps w:val="0"/>
          <w:sz w:val="20"/>
        </w:rPr>
      </w:pPr>
    </w:p>
    <w:p w14:paraId="6E299E20" w14:textId="77777777" w:rsidR="002B685A" w:rsidRPr="000541D2" w:rsidRDefault="002B685A" w:rsidP="00441B6F">
      <w:pPr>
        <w:pStyle w:val="ReferHead"/>
        <w:spacing w:after="0"/>
        <w:jc w:val="both"/>
        <w:rPr>
          <w:rFonts w:ascii="Arial" w:hAnsi="Arial" w:cs="Arial"/>
          <w:bCs/>
        </w:rPr>
      </w:pPr>
      <w:r w:rsidRPr="000541D2">
        <w:rPr>
          <w:rFonts w:ascii="Arial" w:hAnsi="Arial" w:cs="Arial"/>
          <w:bCs/>
        </w:rPr>
        <w:t>Consent (where</w:t>
      </w:r>
      <w:r w:rsidR="007369E6" w:rsidRPr="000541D2">
        <w:rPr>
          <w:rFonts w:ascii="Arial" w:hAnsi="Arial" w:cs="Arial"/>
          <w:bCs/>
        </w:rPr>
        <w:t xml:space="preserve"> </w:t>
      </w:r>
      <w:r w:rsidRPr="000541D2">
        <w:rPr>
          <w:rFonts w:ascii="Arial" w:hAnsi="Arial" w:cs="Arial"/>
          <w:bCs/>
        </w:rPr>
        <w:t>ever applicable)</w:t>
      </w:r>
    </w:p>
    <w:p w14:paraId="611655A8" w14:textId="77777777" w:rsidR="00CA5B6E" w:rsidRPr="00CA5B6E" w:rsidRDefault="00CA5B6E" w:rsidP="00CA5B6E">
      <w:pPr>
        <w:jc w:val="both"/>
        <w:rPr>
          <w:rFonts w:ascii="Arial" w:hAnsi="Arial" w:cs="Arial"/>
        </w:rPr>
      </w:pPr>
      <w:r w:rsidRPr="00CA5B6E">
        <w:rPr>
          <w:rFonts w:ascii="Arial" w:hAnsi="Arial" w:cs="Arial"/>
        </w:rPr>
        <w:t>As this study is a literature review that synthesizes and analyzes previously published data, no primary data collection involving human participants was conducted. Therefore, obtaining informed consent from individuals was not applicable. This review complies with ethical standards by exclusively utilizing publicly available information without direct involvement of human subjects or personal data.</w:t>
      </w:r>
    </w:p>
    <w:p w14:paraId="0D50E846" w14:textId="77777777" w:rsidR="001A29D8" w:rsidRPr="000541D2" w:rsidRDefault="001A29D8" w:rsidP="00441B6F">
      <w:pPr>
        <w:pStyle w:val="ReferHead"/>
        <w:spacing w:after="0"/>
        <w:jc w:val="both"/>
        <w:rPr>
          <w:rFonts w:ascii="Arial" w:hAnsi="Arial" w:cs="Arial"/>
          <w:b w:val="0"/>
          <w:caps w:val="0"/>
          <w:sz w:val="20"/>
        </w:rPr>
      </w:pPr>
    </w:p>
    <w:p w14:paraId="2DA695A4" w14:textId="77777777" w:rsidR="005C784C" w:rsidRPr="000541D2" w:rsidRDefault="005C784C" w:rsidP="00441B6F">
      <w:pPr>
        <w:pStyle w:val="ReferHead"/>
        <w:spacing w:after="0"/>
        <w:jc w:val="both"/>
        <w:rPr>
          <w:rFonts w:ascii="Arial" w:hAnsi="Arial" w:cs="Arial"/>
          <w:bCs/>
        </w:rPr>
      </w:pPr>
      <w:r w:rsidRPr="000541D2">
        <w:rPr>
          <w:rFonts w:ascii="Arial" w:hAnsi="Arial" w:cs="Arial"/>
          <w:bCs/>
        </w:rPr>
        <w:t>Ethical approval (where</w:t>
      </w:r>
      <w:r w:rsidR="007369E6" w:rsidRPr="000541D2">
        <w:rPr>
          <w:rFonts w:ascii="Arial" w:hAnsi="Arial" w:cs="Arial"/>
          <w:bCs/>
        </w:rPr>
        <w:t xml:space="preserve"> </w:t>
      </w:r>
      <w:r w:rsidRPr="000541D2">
        <w:rPr>
          <w:rFonts w:ascii="Arial" w:hAnsi="Arial" w:cs="Arial"/>
          <w:bCs/>
        </w:rPr>
        <w:t>ever applicable)</w:t>
      </w:r>
    </w:p>
    <w:p w14:paraId="11735E41" w14:textId="77777777" w:rsidR="00CA5B6E" w:rsidRPr="00CA5B6E" w:rsidRDefault="00CA5B6E" w:rsidP="00CA5B6E">
      <w:pPr>
        <w:jc w:val="both"/>
        <w:rPr>
          <w:rFonts w:ascii="Arial" w:hAnsi="Arial" w:cs="Arial"/>
        </w:rPr>
      </w:pPr>
      <w:r w:rsidRPr="00CA5B6E">
        <w:rPr>
          <w:rFonts w:ascii="Arial" w:hAnsi="Arial" w:cs="Arial"/>
        </w:rPr>
        <w:t xml:space="preserve">This literature review involved the analysis and synthesis of previously published studies and did not include any direct research involving human participants or animals. Therefore, ethical approval was not required for this work. The study adhered to ethical standards by exclusively </w:t>
      </w:r>
      <w:r w:rsidRPr="00CA5B6E">
        <w:rPr>
          <w:rFonts w:ascii="Arial" w:hAnsi="Arial" w:cs="Arial"/>
        </w:rPr>
        <w:lastRenderedPageBreak/>
        <w:t>utilizing publicly accessible data, ensuring no ethical concerns related to participant consent or welfare arose during the review process.</w:t>
      </w:r>
    </w:p>
    <w:p w14:paraId="6511E8AE" w14:textId="77777777" w:rsidR="00860000" w:rsidRPr="000541D2" w:rsidRDefault="00860000" w:rsidP="00441B6F">
      <w:pPr>
        <w:pStyle w:val="ReferHead"/>
        <w:spacing w:after="0"/>
        <w:jc w:val="both"/>
        <w:rPr>
          <w:rFonts w:ascii="Arial" w:hAnsi="Arial" w:cs="Arial"/>
        </w:rPr>
      </w:pPr>
    </w:p>
    <w:p w14:paraId="7B1839C4" w14:textId="77777777" w:rsidR="00B01FCD" w:rsidRPr="000541D2" w:rsidRDefault="00B01FCD" w:rsidP="00441B6F">
      <w:pPr>
        <w:pStyle w:val="ReferHead"/>
        <w:spacing w:after="0"/>
        <w:jc w:val="both"/>
        <w:rPr>
          <w:rFonts w:ascii="Arial" w:hAnsi="Arial" w:cs="Arial"/>
        </w:rPr>
      </w:pPr>
      <w:r w:rsidRPr="000541D2">
        <w:rPr>
          <w:rFonts w:ascii="Arial" w:hAnsi="Arial" w:cs="Arial"/>
        </w:rPr>
        <w:t>References</w:t>
      </w:r>
    </w:p>
    <w:p w14:paraId="18958D3A" w14:textId="77777777" w:rsidR="00CA5B6E" w:rsidRPr="00CA5B6E" w:rsidRDefault="00CA5B6E" w:rsidP="00CA5B6E">
      <w:pPr>
        <w:ind w:left="505" w:hanging="505"/>
        <w:jc w:val="both"/>
        <w:rPr>
          <w:rFonts w:ascii="Arial" w:hAnsi="Arial" w:cs="Arial"/>
        </w:rPr>
      </w:pPr>
      <w:hyperlink r:id="rId43">
        <w:r w:rsidRPr="00CA5B6E">
          <w:rPr>
            <w:rFonts w:ascii="Arial" w:hAnsi="Arial" w:cs="Arial"/>
          </w:rPr>
          <w:t xml:space="preserve">1. </w:t>
        </w:r>
        <w:r w:rsidRPr="00CA5B6E">
          <w:rPr>
            <w:rFonts w:ascii="Arial" w:hAnsi="Arial" w:cs="Arial"/>
          </w:rPr>
          <w:tab/>
          <w:t xml:space="preserve">Attia Hussein Mahmoud H, Parekh R, </w:t>
        </w:r>
        <w:proofErr w:type="spellStart"/>
        <w:r w:rsidRPr="00CA5B6E">
          <w:rPr>
            <w:rFonts w:ascii="Arial" w:hAnsi="Arial" w:cs="Arial"/>
          </w:rPr>
          <w:t>Dhandibhotla</w:t>
        </w:r>
        <w:proofErr w:type="spellEnd"/>
        <w:r w:rsidRPr="00CA5B6E">
          <w:rPr>
            <w:rFonts w:ascii="Arial" w:hAnsi="Arial" w:cs="Arial"/>
          </w:rPr>
          <w:t xml:space="preserve"> S, Sai T, Pradhan A, </w:t>
        </w:r>
        <w:proofErr w:type="spellStart"/>
        <w:r w:rsidRPr="00CA5B6E">
          <w:rPr>
            <w:rFonts w:ascii="Arial" w:hAnsi="Arial" w:cs="Arial"/>
          </w:rPr>
          <w:t>Alugula</w:t>
        </w:r>
        <w:proofErr w:type="spellEnd"/>
        <w:r w:rsidRPr="00CA5B6E">
          <w:rPr>
            <w:rFonts w:ascii="Arial" w:hAnsi="Arial" w:cs="Arial"/>
          </w:rPr>
          <w:t xml:space="preserve"> S, et al. Insight </w:t>
        </w:r>
        <w:proofErr w:type="gramStart"/>
        <w:r w:rsidRPr="00CA5B6E">
          <w:rPr>
            <w:rFonts w:ascii="Arial" w:hAnsi="Arial" w:cs="Arial"/>
          </w:rPr>
          <w:t>Into</w:t>
        </w:r>
        <w:proofErr w:type="gramEnd"/>
        <w:r w:rsidRPr="00CA5B6E">
          <w:rPr>
            <w:rFonts w:ascii="Arial" w:hAnsi="Arial" w:cs="Arial"/>
          </w:rPr>
          <w:t xml:space="preserve"> Neonatal Sepsis: An Overview. Cureus. 15(9</w:t>
        </w:r>
        <w:proofErr w:type="gramStart"/>
        <w:r w:rsidRPr="00CA5B6E">
          <w:rPr>
            <w:rFonts w:ascii="Arial" w:hAnsi="Arial" w:cs="Arial"/>
          </w:rPr>
          <w:t>):e</w:t>
        </w:r>
        <w:proofErr w:type="gramEnd"/>
        <w:r w:rsidRPr="00CA5B6E">
          <w:rPr>
            <w:rFonts w:ascii="Arial" w:hAnsi="Arial" w:cs="Arial"/>
          </w:rPr>
          <w:t>45530.</w:t>
        </w:r>
      </w:hyperlink>
    </w:p>
    <w:p w14:paraId="3C579A2D"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4">
        <w:r w:rsidRPr="00CA5B6E">
          <w:rPr>
            <w:rFonts w:ascii="Arial" w:hAnsi="Arial" w:cs="Arial"/>
          </w:rPr>
          <w:t xml:space="preserve">2. </w:t>
        </w:r>
        <w:r w:rsidRPr="00CA5B6E">
          <w:rPr>
            <w:rFonts w:ascii="Arial" w:hAnsi="Arial" w:cs="Arial"/>
          </w:rPr>
          <w:tab/>
          <w:t xml:space="preserve">Ershad M, Mostafa A, Dela Cruz M, </w:t>
        </w:r>
        <w:proofErr w:type="spellStart"/>
        <w:r w:rsidRPr="00CA5B6E">
          <w:rPr>
            <w:rFonts w:ascii="Arial" w:hAnsi="Arial" w:cs="Arial"/>
          </w:rPr>
          <w:t>Vearrier</w:t>
        </w:r>
        <w:proofErr w:type="spellEnd"/>
        <w:r w:rsidRPr="00CA5B6E">
          <w:rPr>
            <w:rFonts w:ascii="Arial" w:hAnsi="Arial" w:cs="Arial"/>
          </w:rPr>
          <w:t xml:space="preserve"> D. Neonatal Sepsis. Curr Emerg Hosp Med Rep. 2019;7(3):83–90.</w:t>
        </w:r>
      </w:hyperlink>
    </w:p>
    <w:p w14:paraId="07C27B5B"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5">
        <w:r w:rsidRPr="00CA5B6E">
          <w:rPr>
            <w:rFonts w:ascii="Arial" w:hAnsi="Arial" w:cs="Arial"/>
          </w:rPr>
          <w:t xml:space="preserve">3. </w:t>
        </w:r>
        <w:r w:rsidRPr="00CA5B6E">
          <w:rPr>
            <w:rFonts w:ascii="Arial" w:hAnsi="Arial" w:cs="Arial"/>
          </w:rPr>
          <w:tab/>
          <w:t>Zhou B, Liu X, Wu JB, Jin B, Zhang YY. Clinical and microbiological profile of babies born with risk of neonatal sepsis. Exp Ther Med. 2016 Dec;12(6):3621–5.</w:t>
        </w:r>
      </w:hyperlink>
    </w:p>
    <w:p w14:paraId="4B02FEB7"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6">
        <w:r w:rsidRPr="00CA5B6E">
          <w:rPr>
            <w:rFonts w:ascii="Arial" w:hAnsi="Arial" w:cs="Arial"/>
          </w:rPr>
          <w:t xml:space="preserve">4. </w:t>
        </w:r>
        <w:r w:rsidRPr="00CA5B6E">
          <w:rPr>
            <w:rFonts w:ascii="Arial" w:hAnsi="Arial" w:cs="Arial"/>
          </w:rPr>
          <w:tab/>
          <w:t>Fleischmann C, Reichert F, Cassini A, Horner R, Harder T, Markwart R, et al. Global incidence and mortality of neonatal sepsis: a systematic review and meta-analysis. Arch Dis Child. 2021 Aug;106(8):745–52.</w:t>
        </w:r>
      </w:hyperlink>
    </w:p>
    <w:p w14:paraId="4CF29636"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7">
        <w:r w:rsidRPr="00CA5B6E">
          <w:rPr>
            <w:rFonts w:ascii="Arial" w:hAnsi="Arial" w:cs="Arial"/>
          </w:rPr>
          <w:t xml:space="preserve">5. </w:t>
        </w:r>
        <w:r w:rsidRPr="00CA5B6E">
          <w:rPr>
            <w:rFonts w:ascii="Arial" w:hAnsi="Arial" w:cs="Arial"/>
          </w:rPr>
          <w:tab/>
          <w:t xml:space="preserve">Wynn JL, Polin RA. Progress in the management of neonatal sepsis: the importance of a consensus definition. </w:t>
        </w:r>
        <w:proofErr w:type="spellStart"/>
        <w:r w:rsidRPr="00CA5B6E">
          <w:rPr>
            <w:rFonts w:ascii="Arial" w:hAnsi="Arial" w:cs="Arial"/>
          </w:rPr>
          <w:t>Pediatr</w:t>
        </w:r>
        <w:proofErr w:type="spellEnd"/>
        <w:r w:rsidRPr="00CA5B6E">
          <w:rPr>
            <w:rFonts w:ascii="Arial" w:hAnsi="Arial" w:cs="Arial"/>
          </w:rPr>
          <w:t xml:space="preserve"> Res. 2018 Jan;83(1–1):13–5.</w:t>
        </w:r>
      </w:hyperlink>
    </w:p>
    <w:p w14:paraId="11796665"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8">
        <w:r w:rsidRPr="00CA5B6E">
          <w:rPr>
            <w:rFonts w:ascii="Arial" w:hAnsi="Arial" w:cs="Arial"/>
          </w:rPr>
          <w:t xml:space="preserve">6. </w:t>
        </w:r>
        <w:r w:rsidRPr="00CA5B6E">
          <w:rPr>
            <w:rFonts w:ascii="Arial" w:hAnsi="Arial" w:cs="Arial"/>
          </w:rPr>
          <w:tab/>
          <w:t>Kim F, Polin RA, Hooven TA. Neonatal sepsis. BMJ. 2020 Oct 1;371:m3672.</w:t>
        </w:r>
      </w:hyperlink>
    </w:p>
    <w:p w14:paraId="7959DCD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9">
        <w:r w:rsidRPr="00CA5B6E">
          <w:rPr>
            <w:rFonts w:ascii="Arial" w:hAnsi="Arial" w:cs="Arial"/>
          </w:rPr>
          <w:t xml:space="preserve">7. </w:t>
        </w:r>
        <w:r w:rsidRPr="00CA5B6E">
          <w:rPr>
            <w:rFonts w:ascii="Arial" w:hAnsi="Arial" w:cs="Arial"/>
          </w:rPr>
          <w:tab/>
        </w:r>
        <w:proofErr w:type="spellStart"/>
        <w:r w:rsidRPr="00CA5B6E">
          <w:rPr>
            <w:rFonts w:ascii="Arial" w:hAnsi="Arial" w:cs="Arial"/>
          </w:rPr>
          <w:t>Nyenga</w:t>
        </w:r>
        <w:proofErr w:type="spellEnd"/>
        <w:r w:rsidRPr="00CA5B6E">
          <w:rPr>
            <w:rFonts w:ascii="Arial" w:hAnsi="Arial" w:cs="Arial"/>
          </w:rPr>
          <w:t xml:space="preserve"> AM, </w:t>
        </w:r>
        <w:proofErr w:type="spellStart"/>
        <w:r w:rsidRPr="00CA5B6E">
          <w:rPr>
            <w:rFonts w:ascii="Arial" w:hAnsi="Arial" w:cs="Arial"/>
          </w:rPr>
          <w:t>Mukuku</w:t>
        </w:r>
        <w:proofErr w:type="spellEnd"/>
        <w:r w:rsidRPr="00CA5B6E">
          <w:rPr>
            <w:rFonts w:ascii="Arial" w:hAnsi="Arial" w:cs="Arial"/>
          </w:rPr>
          <w:t xml:space="preserve"> O, </w:t>
        </w:r>
        <w:proofErr w:type="spellStart"/>
        <w:r w:rsidRPr="00CA5B6E">
          <w:rPr>
            <w:rFonts w:ascii="Arial" w:hAnsi="Arial" w:cs="Arial"/>
          </w:rPr>
          <w:t>Wembonyama</w:t>
        </w:r>
        <w:proofErr w:type="spellEnd"/>
        <w:r w:rsidRPr="00CA5B6E">
          <w:rPr>
            <w:rFonts w:ascii="Arial" w:hAnsi="Arial" w:cs="Arial"/>
          </w:rPr>
          <w:t xml:space="preserve"> SO. Neonatal sepsis: A review of the literature. Theory Clin </w:t>
        </w:r>
        <w:proofErr w:type="spellStart"/>
        <w:r w:rsidRPr="00CA5B6E">
          <w:rPr>
            <w:rFonts w:ascii="Arial" w:hAnsi="Arial" w:cs="Arial"/>
          </w:rPr>
          <w:t>Pract</w:t>
        </w:r>
        <w:proofErr w:type="spellEnd"/>
        <w:r w:rsidRPr="00CA5B6E">
          <w:rPr>
            <w:rFonts w:ascii="Arial" w:hAnsi="Arial" w:cs="Arial"/>
          </w:rPr>
          <w:t xml:space="preserve"> </w:t>
        </w:r>
        <w:proofErr w:type="spellStart"/>
        <w:r w:rsidRPr="00CA5B6E">
          <w:rPr>
            <w:rFonts w:ascii="Arial" w:hAnsi="Arial" w:cs="Arial"/>
          </w:rPr>
          <w:t>Pediatr</w:t>
        </w:r>
        <w:proofErr w:type="spellEnd"/>
        <w:r w:rsidRPr="00CA5B6E">
          <w:rPr>
            <w:rFonts w:ascii="Arial" w:hAnsi="Arial" w:cs="Arial"/>
          </w:rPr>
          <w:t xml:space="preserve">. 2021 Nov </w:t>
        </w:r>
        <w:proofErr w:type="gramStart"/>
        <w:r w:rsidRPr="00CA5B6E">
          <w:rPr>
            <w:rFonts w:ascii="Arial" w:hAnsi="Arial" w:cs="Arial"/>
          </w:rPr>
          <w:t>22;3:94</w:t>
        </w:r>
        <w:proofErr w:type="gramEnd"/>
        <w:r w:rsidRPr="00CA5B6E">
          <w:rPr>
            <w:rFonts w:ascii="Arial" w:hAnsi="Arial" w:cs="Arial"/>
          </w:rPr>
          <w:t>–101.</w:t>
        </w:r>
      </w:hyperlink>
    </w:p>
    <w:p w14:paraId="077963F8"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0">
        <w:r w:rsidRPr="00CA5B6E">
          <w:rPr>
            <w:rFonts w:ascii="Arial" w:hAnsi="Arial" w:cs="Arial"/>
          </w:rPr>
          <w:t xml:space="preserve">8. </w:t>
        </w:r>
        <w:r w:rsidRPr="00CA5B6E">
          <w:rPr>
            <w:rFonts w:ascii="Arial" w:hAnsi="Arial" w:cs="Arial"/>
          </w:rPr>
          <w:tab/>
          <w:t xml:space="preserve">Fleiss N, Coggins SA, Lewis AN, Zeigler A, Cooksey KE, Walker LA, et al. Evaluation of the Neonatal Sequential Organ Failure Assessment and Mortality Risk in Preterm Infants </w:t>
        </w:r>
        <w:proofErr w:type="gramStart"/>
        <w:r w:rsidRPr="00CA5B6E">
          <w:rPr>
            <w:rFonts w:ascii="Arial" w:hAnsi="Arial" w:cs="Arial"/>
          </w:rPr>
          <w:t>With</w:t>
        </w:r>
        <w:proofErr w:type="gramEnd"/>
        <w:r w:rsidRPr="00CA5B6E">
          <w:rPr>
            <w:rFonts w:ascii="Arial" w:hAnsi="Arial" w:cs="Arial"/>
          </w:rPr>
          <w:t xml:space="preserve"> Late-Onset Infection. JAMA </w:t>
        </w:r>
        <w:proofErr w:type="spellStart"/>
        <w:r w:rsidRPr="00CA5B6E">
          <w:rPr>
            <w:rFonts w:ascii="Arial" w:hAnsi="Arial" w:cs="Arial"/>
          </w:rPr>
          <w:t>Netw</w:t>
        </w:r>
        <w:proofErr w:type="spellEnd"/>
        <w:r w:rsidRPr="00CA5B6E">
          <w:rPr>
            <w:rFonts w:ascii="Arial" w:hAnsi="Arial" w:cs="Arial"/>
          </w:rPr>
          <w:t xml:space="preserve"> Open. 2021 Feb 4;4(2</w:t>
        </w:r>
        <w:proofErr w:type="gramStart"/>
        <w:r w:rsidRPr="00CA5B6E">
          <w:rPr>
            <w:rFonts w:ascii="Arial" w:hAnsi="Arial" w:cs="Arial"/>
          </w:rPr>
          <w:t>):e</w:t>
        </w:r>
        <w:proofErr w:type="gramEnd"/>
        <w:r w:rsidRPr="00CA5B6E">
          <w:rPr>
            <w:rFonts w:ascii="Arial" w:hAnsi="Arial" w:cs="Arial"/>
          </w:rPr>
          <w:t>2036518.</w:t>
        </w:r>
      </w:hyperlink>
    </w:p>
    <w:p w14:paraId="56FCE85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1">
        <w:r w:rsidRPr="00CA5B6E">
          <w:rPr>
            <w:rFonts w:ascii="Arial" w:hAnsi="Arial" w:cs="Arial"/>
          </w:rPr>
          <w:t xml:space="preserve">9. </w:t>
        </w:r>
        <w:r w:rsidRPr="00CA5B6E">
          <w:rPr>
            <w:rFonts w:ascii="Arial" w:hAnsi="Arial" w:cs="Arial"/>
          </w:rPr>
          <w:tab/>
          <w:t xml:space="preserve">Poggi C, </w:t>
        </w:r>
        <w:proofErr w:type="spellStart"/>
        <w:r w:rsidRPr="00CA5B6E">
          <w:rPr>
            <w:rFonts w:ascii="Arial" w:hAnsi="Arial" w:cs="Arial"/>
          </w:rPr>
          <w:t>Ciarcià</w:t>
        </w:r>
        <w:proofErr w:type="spellEnd"/>
        <w:r w:rsidRPr="00CA5B6E">
          <w:rPr>
            <w:rFonts w:ascii="Arial" w:hAnsi="Arial" w:cs="Arial"/>
          </w:rPr>
          <w:t xml:space="preserve"> M, </w:t>
        </w:r>
        <w:proofErr w:type="spellStart"/>
        <w:r w:rsidRPr="00CA5B6E">
          <w:rPr>
            <w:rFonts w:ascii="Arial" w:hAnsi="Arial" w:cs="Arial"/>
          </w:rPr>
          <w:t>Miselli</w:t>
        </w:r>
        <w:proofErr w:type="spellEnd"/>
        <w:r w:rsidRPr="00CA5B6E">
          <w:rPr>
            <w:rFonts w:ascii="Arial" w:hAnsi="Arial" w:cs="Arial"/>
          </w:rPr>
          <w:t xml:space="preserve"> F, Dani C. Prognostic accuracy of Neonatal SOFA score versus SIRS criteria in preterm infants with late-onset sepsis. </w:t>
        </w:r>
        <w:proofErr w:type="spellStart"/>
        <w:r w:rsidRPr="00CA5B6E">
          <w:rPr>
            <w:rFonts w:ascii="Arial" w:hAnsi="Arial" w:cs="Arial"/>
          </w:rPr>
          <w:t>Eur</w:t>
        </w:r>
        <w:proofErr w:type="spellEnd"/>
        <w:r w:rsidRPr="00CA5B6E">
          <w:rPr>
            <w:rFonts w:ascii="Arial" w:hAnsi="Arial" w:cs="Arial"/>
          </w:rPr>
          <w:t xml:space="preserve"> J </w:t>
        </w:r>
        <w:proofErr w:type="spellStart"/>
        <w:r w:rsidRPr="00CA5B6E">
          <w:rPr>
            <w:rFonts w:ascii="Arial" w:hAnsi="Arial" w:cs="Arial"/>
          </w:rPr>
          <w:t>Pediatr</w:t>
        </w:r>
        <w:proofErr w:type="spellEnd"/>
        <w:r w:rsidRPr="00CA5B6E">
          <w:rPr>
            <w:rFonts w:ascii="Arial" w:hAnsi="Arial" w:cs="Arial"/>
          </w:rPr>
          <w:t>. 2023 Oct 1;182(10):4731–9.</w:t>
        </w:r>
      </w:hyperlink>
    </w:p>
    <w:p w14:paraId="3F6A949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2">
        <w:r w:rsidRPr="00CA5B6E">
          <w:rPr>
            <w:rFonts w:ascii="Arial" w:hAnsi="Arial" w:cs="Arial"/>
          </w:rPr>
          <w:t xml:space="preserve">10. </w:t>
        </w:r>
        <w:r w:rsidRPr="00CA5B6E">
          <w:rPr>
            <w:rFonts w:ascii="Arial" w:hAnsi="Arial" w:cs="Arial"/>
          </w:rPr>
          <w:tab/>
          <w:t xml:space="preserve">Russell NJ, Stöhr W, </w:t>
        </w:r>
        <w:proofErr w:type="spellStart"/>
        <w:r w:rsidRPr="00CA5B6E">
          <w:rPr>
            <w:rFonts w:ascii="Arial" w:hAnsi="Arial" w:cs="Arial"/>
          </w:rPr>
          <w:t>Plakkal</w:t>
        </w:r>
        <w:proofErr w:type="spellEnd"/>
        <w:r w:rsidRPr="00CA5B6E">
          <w:rPr>
            <w:rFonts w:ascii="Arial" w:hAnsi="Arial" w:cs="Arial"/>
          </w:rPr>
          <w:t xml:space="preserve"> N, Cook A, Berkley JA, </w:t>
        </w:r>
        <w:proofErr w:type="spellStart"/>
        <w:r w:rsidRPr="00CA5B6E">
          <w:rPr>
            <w:rFonts w:ascii="Arial" w:hAnsi="Arial" w:cs="Arial"/>
          </w:rPr>
          <w:t>Adhisivam</w:t>
        </w:r>
        <w:proofErr w:type="spellEnd"/>
        <w:r w:rsidRPr="00CA5B6E">
          <w:rPr>
            <w:rFonts w:ascii="Arial" w:hAnsi="Arial" w:cs="Arial"/>
          </w:rPr>
          <w:t xml:space="preserve"> B, et al. Patterns of antibiotic use, pathogens, and prediction of mortality in hospitalized neonates and young infants with sepsis: A global neonatal sepsis observational cohort study (</w:t>
        </w:r>
        <w:proofErr w:type="spellStart"/>
        <w:r w:rsidRPr="00CA5B6E">
          <w:rPr>
            <w:rFonts w:ascii="Arial" w:hAnsi="Arial" w:cs="Arial"/>
          </w:rPr>
          <w:t>NeoOBS</w:t>
        </w:r>
        <w:proofErr w:type="spellEnd"/>
        <w:r w:rsidRPr="00CA5B6E">
          <w:rPr>
            <w:rFonts w:ascii="Arial" w:hAnsi="Arial" w:cs="Arial"/>
          </w:rPr>
          <w:t xml:space="preserve">). </w:t>
        </w:r>
        <w:proofErr w:type="spellStart"/>
        <w:r w:rsidRPr="00CA5B6E">
          <w:rPr>
            <w:rFonts w:ascii="Arial" w:hAnsi="Arial" w:cs="Arial"/>
          </w:rPr>
          <w:t>PLoS</w:t>
        </w:r>
        <w:proofErr w:type="spellEnd"/>
        <w:r w:rsidRPr="00CA5B6E">
          <w:rPr>
            <w:rFonts w:ascii="Arial" w:hAnsi="Arial" w:cs="Arial"/>
          </w:rPr>
          <w:t xml:space="preserve"> Med. 2023 Jun;20(6</w:t>
        </w:r>
        <w:proofErr w:type="gramStart"/>
        <w:r w:rsidRPr="00CA5B6E">
          <w:rPr>
            <w:rFonts w:ascii="Arial" w:hAnsi="Arial" w:cs="Arial"/>
          </w:rPr>
          <w:t>):e</w:t>
        </w:r>
        <w:proofErr w:type="gramEnd"/>
        <w:r w:rsidRPr="00CA5B6E">
          <w:rPr>
            <w:rFonts w:ascii="Arial" w:hAnsi="Arial" w:cs="Arial"/>
          </w:rPr>
          <w:t>1004179.</w:t>
        </w:r>
      </w:hyperlink>
    </w:p>
    <w:p w14:paraId="76D270A4"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3">
        <w:r w:rsidRPr="00CA5B6E">
          <w:rPr>
            <w:rFonts w:ascii="Arial" w:hAnsi="Arial" w:cs="Arial"/>
          </w:rPr>
          <w:t xml:space="preserve">11. </w:t>
        </w:r>
        <w:r w:rsidRPr="00CA5B6E">
          <w:rPr>
            <w:rFonts w:ascii="Arial" w:hAnsi="Arial" w:cs="Arial"/>
          </w:rPr>
          <w:tab/>
          <w:t xml:space="preserve">Celik IH, Hanna M, Canpolat FE, Pammi M. Diagnosis of Neonatal Sepsis: The Past, Present and Future. </w:t>
        </w:r>
        <w:proofErr w:type="spellStart"/>
        <w:r w:rsidRPr="00CA5B6E">
          <w:rPr>
            <w:rFonts w:ascii="Arial" w:hAnsi="Arial" w:cs="Arial"/>
          </w:rPr>
          <w:t>Pediatr</w:t>
        </w:r>
        <w:proofErr w:type="spellEnd"/>
        <w:r w:rsidRPr="00CA5B6E">
          <w:rPr>
            <w:rFonts w:ascii="Arial" w:hAnsi="Arial" w:cs="Arial"/>
          </w:rPr>
          <w:t xml:space="preserve"> Res. 2022 Jan;91(2):337–50.</w:t>
        </w:r>
      </w:hyperlink>
    </w:p>
    <w:p w14:paraId="023827FC"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4">
        <w:r w:rsidRPr="00CA5B6E">
          <w:rPr>
            <w:rFonts w:ascii="Arial" w:hAnsi="Arial" w:cs="Arial"/>
          </w:rPr>
          <w:t xml:space="preserve">12. </w:t>
        </w:r>
        <w:r w:rsidRPr="00CA5B6E">
          <w:rPr>
            <w:rFonts w:ascii="Arial" w:hAnsi="Arial" w:cs="Arial"/>
          </w:rPr>
          <w:tab/>
          <w:t xml:space="preserve">Iroh Tam PY, Bendel CM. Diagnostics for neonatal sepsis: current approaches and future directions. </w:t>
        </w:r>
        <w:proofErr w:type="spellStart"/>
        <w:r w:rsidRPr="00CA5B6E">
          <w:rPr>
            <w:rFonts w:ascii="Arial" w:hAnsi="Arial" w:cs="Arial"/>
          </w:rPr>
          <w:t>Pediatr</w:t>
        </w:r>
        <w:proofErr w:type="spellEnd"/>
        <w:r w:rsidRPr="00CA5B6E">
          <w:rPr>
            <w:rFonts w:ascii="Arial" w:hAnsi="Arial" w:cs="Arial"/>
          </w:rPr>
          <w:t xml:space="preserve"> Res. 2017 Oct;82(4):574–83.</w:t>
        </w:r>
      </w:hyperlink>
    </w:p>
    <w:p w14:paraId="3F62B14F"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5">
        <w:r w:rsidRPr="00CA5B6E">
          <w:rPr>
            <w:rFonts w:ascii="Arial" w:hAnsi="Arial" w:cs="Arial"/>
          </w:rPr>
          <w:t xml:space="preserve">13. </w:t>
        </w:r>
        <w:r w:rsidRPr="00CA5B6E">
          <w:rPr>
            <w:rFonts w:ascii="Arial" w:hAnsi="Arial" w:cs="Arial"/>
          </w:rPr>
          <w:tab/>
        </w:r>
        <w:proofErr w:type="spellStart"/>
        <w:r w:rsidRPr="00CA5B6E">
          <w:rPr>
            <w:rFonts w:ascii="Arial" w:hAnsi="Arial" w:cs="Arial"/>
          </w:rPr>
          <w:t>Procianoy</w:t>
        </w:r>
        <w:proofErr w:type="spellEnd"/>
        <w:r w:rsidRPr="00CA5B6E">
          <w:rPr>
            <w:rFonts w:ascii="Arial" w:hAnsi="Arial" w:cs="Arial"/>
          </w:rPr>
          <w:t xml:space="preserve"> RS, Silveira RC. The challenges of neonatal sepsis management. J </w:t>
        </w:r>
        <w:proofErr w:type="spellStart"/>
        <w:r w:rsidRPr="00CA5B6E">
          <w:rPr>
            <w:rFonts w:ascii="Arial" w:hAnsi="Arial" w:cs="Arial"/>
          </w:rPr>
          <w:t>Pediatr</w:t>
        </w:r>
        <w:proofErr w:type="spellEnd"/>
        <w:r w:rsidRPr="00CA5B6E">
          <w:rPr>
            <w:rFonts w:ascii="Arial" w:hAnsi="Arial" w:cs="Arial"/>
          </w:rPr>
          <w:t xml:space="preserve"> (Rio J). 2019 Nov 17;96(Suppl 1):80–6.</w:t>
        </w:r>
      </w:hyperlink>
    </w:p>
    <w:p w14:paraId="4838F77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6">
        <w:r w:rsidRPr="00CA5B6E">
          <w:rPr>
            <w:rFonts w:ascii="Arial" w:hAnsi="Arial" w:cs="Arial"/>
          </w:rPr>
          <w:t xml:space="preserve">14. </w:t>
        </w:r>
        <w:r w:rsidRPr="00CA5B6E">
          <w:rPr>
            <w:rFonts w:ascii="Arial" w:hAnsi="Arial" w:cs="Arial"/>
          </w:rPr>
          <w:tab/>
          <w:t xml:space="preserve">Ganesan P, Shanmugam P, Sattar SBA, Shankar SL. Evaluation of IL-6, CRP and </w:t>
        </w:r>
        <w:proofErr w:type="spellStart"/>
        <w:r w:rsidRPr="00CA5B6E">
          <w:rPr>
            <w:rFonts w:ascii="Arial" w:hAnsi="Arial" w:cs="Arial"/>
          </w:rPr>
          <w:t>hs</w:t>
        </w:r>
        <w:proofErr w:type="spellEnd"/>
        <w:r w:rsidRPr="00CA5B6E">
          <w:rPr>
            <w:rFonts w:ascii="Arial" w:hAnsi="Arial" w:cs="Arial"/>
          </w:rPr>
          <w:t xml:space="preserve">-CRP as Early Markers of Neonatal Sepsis. J Clin </w:t>
        </w:r>
        <w:proofErr w:type="spellStart"/>
        <w:r w:rsidRPr="00CA5B6E">
          <w:rPr>
            <w:rFonts w:ascii="Arial" w:hAnsi="Arial" w:cs="Arial"/>
          </w:rPr>
          <w:t>Diagn</w:t>
        </w:r>
        <w:proofErr w:type="spellEnd"/>
        <w:r w:rsidRPr="00CA5B6E">
          <w:rPr>
            <w:rFonts w:ascii="Arial" w:hAnsi="Arial" w:cs="Arial"/>
          </w:rPr>
          <w:t xml:space="preserve"> Res JCDR. 2016 May;10(5</w:t>
        </w:r>
        <w:proofErr w:type="gramStart"/>
        <w:r w:rsidRPr="00CA5B6E">
          <w:rPr>
            <w:rFonts w:ascii="Arial" w:hAnsi="Arial" w:cs="Arial"/>
          </w:rPr>
          <w:t>):DC</w:t>
        </w:r>
        <w:proofErr w:type="gramEnd"/>
        <w:r w:rsidRPr="00CA5B6E">
          <w:rPr>
            <w:rFonts w:ascii="Arial" w:hAnsi="Arial" w:cs="Arial"/>
          </w:rPr>
          <w:t>13–7.</w:t>
        </w:r>
      </w:hyperlink>
    </w:p>
    <w:p w14:paraId="4C7AAA48"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7">
        <w:r w:rsidRPr="00CA5B6E">
          <w:rPr>
            <w:rFonts w:ascii="Arial" w:hAnsi="Arial" w:cs="Arial"/>
          </w:rPr>
          <w:t xml:space="preserve">15. </w:t>
        </w:r>
        <w:r w:rsidRPr="00CA5B6E">
          <w:rPr>
            <w:rFonts w:ascii="Arial" w:hAnsi="Arial" w:cs="Arial"/>
          </w:rPr>
          <w:tab/>
          <w:t>Wang J, Wang Z, Zhang M, Lou Z, Deng J, Li Q. Diagnostic value of mean platelet volume for neonatal sepsis: A systematic review and meta-analysis. Medicine (Baltimore). 2020 Aug 7;99(32</w:t>
        </w:r>
        <w:proofErr w:type="gramStart"/>
        <w:r w:rsidRPr="00CA5B6E">
          <w:rPr>
            <w:rFonts w:ascii="Arial" w:hAnsi="Arial" w:cs="Arial"/>
          </w:rPr>
          <w:t>):e</w:t>
        </w:r>
        <w:proofErr w:type="gramEnd"/>
        <w:r w:rsidRPr="00CA5B6E">
          <w:rPr>
            <w:rFonts w:ascii="Arial" w:hAnsi="Arial" w:cs="Arial"/>
          </w:rPr>
          <w:t>21649.</w:t>
        </w:r>
      </w:hyperlink>
    </w:p>
    <w:p w14:paraId="18E3776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8">
        <w:r w:rsidRPr="00CA5B6E">
          <w:rPr>
            <w:rFonts w:ascii="Arial" w:hAnsi="Arial" w:cs="Arial"/>
          </w:rPr>
          <w:t xml:space="preserve">16. </w:t>
        </w:r>
        <w:r w:rsidRPr="00CA5B6E">
          <w:rPr>
            <w:rFonts w:ascii="Arial" w:hAnsi="Arial" w:cs="Arial"/>
          </w:rPr>
          <w:tab/>
          <w:t xml:space="preserve">Martins EC, Silveira L da F, Viegas K, Beck AD, </w:t>
        </w:r>
        <w:proofErr w:type="spellStart"/>
        <w:r w:rsidRPr="00CA5B6E">
          <w:rPr>
            <w:rFonts w:ascii="Arial" w:hAnsi="Arial" w:cs="Arial"/>
          </w:rPr>
          <w:t>Fioravantti</w:t>
        </w:r>
        <w:proofErr w:type="spellEnd"/>
        <w:r w:rsidRPr="00CA5B6E">
          <w:rPr>
            <w:rFonts w:ascii="Arial" w:hAnsi="Arial" w:cs="Arial"/>
          </w:rPr>
          <w:t xml:space="preserve"> Júnior G, Cremonese RV, et al. Neutrophil-lymphocyte ratio in the early diagnosis of sepsis in an intensive care unit: a case-control study. Rev Bras Ter </w:t>
        </w:r>
        <w:proofErr w:type="spellStart"/>
        <w:r w:rsidRPr="00CA5B6E">
          <w:rPr>
            <w:rFonts w:ascii="Arial" w:hAnsi="Arial" w:cs="Arial"/>
          </w:rPr>
          <w:t>Intensiva</w:t>
        </w:r>
        <w:proofErr w:type="spellEnd"/>
        <w:r w:rsidRPr="00CA5B6E">
          <w:rPr>
            <w:rFonts w:ascii="Arial" w:hAnsi="Arial" w:cs="Arial"/>
          </w:rPr>
          <w:t>. 2019;31(1):63–70.</w:t>
        </w:r>
      </w:hyperlink>
    </w:p>
    <w:p w14:paraId="69679B4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9">
        <w:r w:rsidRPr="00CA5B6E">
          <w:rPr>
            <w:rFonts w:ascii="Arial" w:hAnsi="Arial" w:cs="Arial"/>
          </w:rPr>
          <w:t xml:space="preserve">17. </w:t>
        </w:r>
        <w:r w:rsidRPr="00CA5B6E">
          <w:rPr>
            <w:rFonts w:ascii="Arial" w:hAnsi="Arial" w:cs="Arial"/>
          </w:rPr>
          <w:tab/>
          <w:t xml:space="preserve">Parri N, </w:t>
        </w:r>
        <w:proofErr w:type="spellStart"/>
        <w:r w:rsidRPr="00CA5B6E">
          <w:rPr>
            <w:rFonts w:ascii="Arial" w:hAnsi="Arial" w:cs="Arial"/>
          </w:rPr>
          <w:t>Trippella</w:t>
        </w:r>
        <w:proofErr w:type="spellEnd"/>
        <w:r w:rsidRPr="00CA5B6E">
          <w:rPr>
            <w:rFonts w:ascii="Arial" w:hAnsi="Arial" w:cs="Arial"/>
          </w:rPr>
          <w:t xml:space="preserve"> G, Lisi C, De Martino M, Galli L, Chiappini E. Accuracy of </w:t>
        </w:r>
        <w:proofErr w:type="spellStart"/>
        <w:r w:rsidRPr="00CA5B6E">
          <w:rPr>
            <w:rFonts w:ascii="Arial" w:hAnsi="Arial" w:cs="Arial"/>
          </w:rPr>
          <w:t>presepsin</w:t>
        </w:r>
        <w:proofErr w:type="spellEnd"/>
        <w:r w:rsidRPr="00CA5B6E">
          <w:rPr>
            <w:rFonts w:ascii="Arial" w:hAnsi="Arial" w:cs="Arial"/>
          </w:rPr>
          <w:t xml:space="preserve"> in neonatal sepsis: systematic review and meta-analysis. Expert Rev Anti Infect Ther. 2019 Apr;17(4):223–32.</w:t>
        </w:r>
      </w:hyperlink>
    </w:p>
    <w:p w14:paraId="46BDDBB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0">
        <w:r w:rsidRPr="00CA5B6E">
          <w:rPr>
            <w:rFonts w:ascii="Arial" w:hAnsi="Arial" w:cs="Arial"/>
          </w:rPr>
          <w:t xml:space="preserve">18. </w:t>
        </w:r>
        <w:r w:rsidRPr="00CA5B6E">
          <w:rPr>
            <w:rFonts w:ascii="Arial" w:hAnsi="Arial" w:cs="Arial"/>
          </w:rPr>
          <w:tab/>
          <w:t xml:space="preserve">Marazzi MG, </w:t>
        </w:r>
        <w:proofErr w:type="spellStart"/>
        <w:r w:rsidRPr="00CA5B6E">
          <w:rPr>
            <w:rFonts w:ascii="Arial" w:hAnsi="Arial" w:cs="Arial"/>
          </w:rPr>
          <w:t>Randelli</w:t>
        </w:r>
        <w:proofErr w:type="spellEnd"/>
        <w:r w:rsidRPr="00CA5B6E">
          <w:rPr>
            <w:rFonts w:ascii="Arial" w:hAnsi="Arial" w:cs="Arial"/>
          </w:rPr>
          <w:t xml:space="preserve"> F, Brioschi M, Drago L, </w:t>
        </w:r>
        <w:proofErr w:type="spellStart"/>
        <w:r w:rsidRPr="00CA5B6E">
          <w:rPr>
            <w:rFonts w:ascii="Arial" w:hAnsi="Arial" w:cs="Arial"/>
          </w:rPr>
          <w:t>Romanò</w:t>
        </w:r>
        <w:proofErr w:type="spellEnd"/>
        <w:r w:rsidRPr="00CA5B6E">
          <w:rPr>
            <w:rFonts w:ascii="Arial" w:hAnsi="Arial" w:cs="Arial"/>
          </w:rPr>
          <w:t xml:space="preserve"> CL, Banfi G, et al. </w:t>
        </w:r>
        <w:proofErr w:type="spellStart"/>
        <w:r w:rsidRPr="00CA5B6E">
          <w:rPr>
            <w:rFonts w:ascii="Arial" w:hAnsi="Arial" w:cs="Arial"/>
          </w:rPr>
          <w:t>Presepsin</w:t>
        </w:r>
        <w:proofErr w:type="spellEnd"/>
        <w:r w:rsidRPr="00CA5B6E">
          <w:rPr>
            <w:rFonts w:ascii="Arial" w:hAnsi="Arial" w:cs="Arial"/>
          </w:rPr>
          <w:t xml:space="preserve">: A potential biomarker of PJI? A comparative analysis with known and new infection biomarkers. Int J </w:t>
        </w:r>
        <w:proofErr w:type="spellStart"/>
        <w:r w:rsidRPr="00CA5B6E">
          <w:rPr>
            <w:rFonts w:ascii="Arial" w:hAnsi="Arial" w:cs="Arial"/>
          </w:rPr>
          <w:t>Immunopathol</w:t>
        </w:r>
        <w:proofErr w:type="spellEnd"/>
        <w:r w:rsidRPr="00CA5B6E">
          <w:rPr>
            <w:rFonts w:ascii="Arial" w:hAnsi="Arial" w:cs="Arial"/>
          </w:rPr>
          <w:t xml:space="preserve"> </w:t>
        </w:r>
        <w:proofErr w:type="spellStart"/>
        <w:r w:rsidRPr="00CA5B6E">
          <w:rPr>
            <w:rFonts w:ascii="Arial" w:hAnsi="Arial" w:cs="Arial"/>
          </w:rPr>
          <w:t>Pharmacol</w:t>
        </w:r>
        <w:proofErr w:type="spellEnd"/>
        <w:r w:rsidRPr="00CA5B6E">
          <w:rPr>
            <w:rFonts w:ascii="Arial" w:hAnsi="Arial" w:cs="Arial"/>
          </w:rPr>
          <w:t xml:space="preserve">. 2017 Dec </w:t>
        </w:r>
        <w:proofErr w:type="gramStart"/>
        <w:r w:rsidRPr="00CA5B6E">
          <w:rPr>
            <w:rFonts w:ascii="Arial" w:hAnsi="Arial" w:cs="Arial"/>
          </w:rPr>
          <w:t>18;31:0394632017749356</w:t>
        </w:r>
        <w:proofErr w:type="gramEnd"/>
        <w:r w:rsidRPr="00CA5B6E">
          <w:rPr>
            <w:rFonts w:ascii="Arial" w:hAnsi="Arial" w:cs="Arial"/>
          </w:rPr>
          <w:t>.</w:t>
        </w:r>
      </w:hyperlink>
    </w:p>
    <w:p w14:paraId="7CA3209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1">
        <w:r w:rsidRPr="00CA5B6E">
          <w:rPr>
            <w:rFonts w:ascii="Arial" w:hAnsi="Arial" w:cs="Arial"/>
          </w:rPr>
          <w:t xml:space="preserve">19. </w:t>
        </w:r>
        <w:r w:rsidRPr="00CA5B6E">
          <w:rPr>
            <w:rFonts w:ascii="Arial" w:hAnsi="Arial" w:cs="Arial"/>
          </w:rPr>
          <w:tab/>
          <w:t xml:space="preserve">Juneja D, Jain N, Singh O, Goel A, Arora S. Comparison between </w:t>
        </w:r>
        <w:proofErr w:type="spellStart"/>
        <w:r w:rsidRPr="00CA5B6E">
          <w:rPr>
            <w:rFonts w:ascii="Arial" w:hAnsi="Arial" w:cs="Arial"/>
          </w:rPr>
          <w:t>presepsin</w:t>
        </w:r>
        <w:proofErr w:type="spellEnd"/>
        <w:r w:rsidRPr="00CA5B6E">
          <w:rPr>
            <w:rFonts w:ascii="Arial" w:hAnsi="Arial" w:cs="Arial"/>
          </w:rPr>
          <w:t xml:space="preserve">, procalcitonin, and CRP as biomarkers to diagnose sepsis in critically ill patients. J </w:t>
        </w:r>
        <w:proofErr w:type="spellStart"/>
        <w:r w:rsidRPr="00CA5B6E">
          <w:rPr>
            <w:rFonts w:ascii="Arial" w:hAnsi="Arial" w:cs="Arial"/>
          </w:rPr>
          <w:t>Anaesthesiol</w:t>
        </w:r>
        <w:proofErr w:type="spellEnd"/>
        <w:r w:rsidRPr="00CA5B6E">
          <w:rPr>
            <w:rFonts w:ascii="Arial" w:hAnsi="Arial" w:cs="Arial"/>
          </w:rPr>
          <w:t xml:space="preserve"> Clin </w:t>
        </w:r>
        <w:proofErr w:type="spellStart"/>
        <w:r w:rsidRPr="00CA5B6E">
          <w:rPr>
            <w:rFonts w:ascii="Arial" w:hAnsi="Arial" w:cs="Arial"/>
          </w:rPr>
          <w:t>Pharmacol</w:t>
        </w:r>
        <w:proofErr w:type="spellEnd"/>
        <w:r w:rsidRPr="00CA5B6E">
          <w:rPr>
            <w:rFonts w:ascii="Arial" w:hAnsi="Arial" w:cs="Arial"/>
          </w:rPr>
          <w:t>. 2023;39(3):458–62.</w:t>
        </w:r>
      </w:hyperlink>
    </w:p>
    <w:p w14:paraId="19275A7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2">
        <w:r w:rsidRPr="00CA5B6E">
          <w:rPr>
            <w:rFonts w:ascii="Arial" w:hAnsi="Arial" w:cs="Arial"/>
          </w:rPr>
          <w:t xml:space="preserve">20. </w:t>
        </w:r>
        <w:r w:rsidRPr="00CA5B6E">
          <w:rPr>
            <w:rFonts w:ascii="Arial" w:hAnsi="Arial" w:cs="Arial"/>
          </w:rPr>
          <w:tab/>
          <w:t xml:space="preserve">El Said AM, </w:t>
        </w:r>
        <w:proofErr w:type="gramStart"/>
        <w:r w:rsidRPr="00CA5B6E">
          <w:rPr>
            <w:rFonts w:ascii="Arial" w:hAnsi="Arial" w:cs="Arial"/>
          </w:rPr>
          <w:t>Fayed ,Akram</w:t>
        </w:r>
        <w:proofErr w:type="gramEnd"/>
        <w:r w:rsidRPr="00CA5B6E">
          <w:rPr>
            <w:rFonts w:ascii="Arial" w:hAnsi="Arial" w:cs="Arial"/>
          </w:rPr>
          <w:t xml:space="preserve"> M., and El-</w:t>
        </w:r>
        <w:proofErr w:type="spellStart"/>
        <w:r w:rsidRPr="00CA5B6E">
          <w:rPr>
            <w:rFonts w:ascii="Arial" w:hAnsi="Arial" w:cs="Arial"/>
          </w:rPr>
          <w:t>Reweny</w:t>
        </w:r>
        <w:proofErr w:type="spellEnd"/>
        <w:r w:rsidRPr="00CA5B6E">
          <w:rPr>
            <w:rFonts w:ascii="Arial" w:hAnsi="Arial" w:cs="Arial"/>
          </w:rPr>
          <w:t xml:space="preserve"> EM. Comparative study between </w:t>
        </w:r>
        <w:r w:rsidRPr="00CA5B6E">
          <w:rPr>
            <w:rFonts w:ascii="Arial" w:hAnsi="Arial" w:cs="Arial"/>
          </w:rPr>
          <w:lastRenderedPageBreak/>
          <w:t xml:space="preserve">complete blood picture indices and </w:t>
        </w:r>
        <w:proofErr w:type="spellStart"/>
        <w:r w:rsidRPr="00CA5B6E">
          <w:rPr>
            <w:rFonts w:ascii="Arial" w:hAnsi="Arial" w:cs="Arial"/>
          </w:rPr>
          <w:t>presepsin</w:t>
        </w:r>
        <w:proofErr w:type="spellEnd"/>
        <w:r w:rsidRPr="00CA5B6E">
          <w:rPr>
            <w:rFonts w:ascii="Arial" w:hAnsi="Arial" w:cs="Arial"/>
          </w:rPr>
          <w:t xml:space="preserve"> as early prognostic markers in septic shock patients. Egypt J </w:t>
        </w:r>
        <w:proofErr w:type="spellStart"/>
        <w:r w:rsidRPr="00CA5B6E">
          <w:rPr>
            <w:rFonts w:ascii="Arial" w:hAnsi="Arial" w:cs="Arial"/>
          </w:rPr>
          <w:t>Anaesth</w:t>
        </w:r>
        <w:proofErr w:type="spellEnd"/>
        <w:r w:rsidRPr="00CA5B6E">
          <w:rPr>
            <w:rFonts w:ascii="Arial" w:hAnsi="Arial" w:cs="Arial"/>
          </w:rPr>
          <w:t>. 2020 Jan 1;36(1):118–25.</w:t>
        </w:r>
      </w:hyperlink>
    </w:p>
    <w:p w14:paraId="15C74873" w14:textId="43B5B7FC"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3">
        <w:r w:rsidRPr="00CA5B6E">
          <w:rPr>
            <w:rFonts w:ascii="Arial" w:hAnsi="Arial" w:cs="Arial"/>
          </w:rPr>
          <w:t xml:space="preserve">21. </w:t>
        </w:r>
        <w:r w:rsidRPr="00CA5B6E">
          <w:rPr>
            <w:rFonts w:ascii="Arial" w:hAnsi="Arial" w:cs="Arial"/>
          </w:rPr>
          <w:tab/>
          <w:t xml:space="preserve">Mahmoud Zayed K, Abd </w:t>
        </w:r>
        <w:proofErr w:type="spellStart"/>
        <w:r w:rsidRPr="00CA5B6E">
          <w:rPr>
            <w:rFonts w:ascii="Arial" w:hAnsi="Arial" w:cs="Arial"/>
          </w:rPr>
          <w:t>ELmoez</w:t>
        </w:r>
        <w:proofErr w:type="spellEnd"/>
        <w:r w:rsidRPr="00CA5B6E">
          <w:rPr>
            <w:rFonts w:ascii="Arial" w:hAnsi="Arial" w:cs="Arial"/>
          </w:rPr>
          <w:t xml:space="preserve"> Ali Saad A, Mohamed Amin W, Gamal Abo El-Nasr M. Diagnostic value of </w:t>
        </w:r>
        <w:proofErr w:type="spellStart"/>
        <w:r w:rsidRPr="00CA5B6E">
          <w:rPr>
            <w:rFonts w:ascii="Arial" w:hAnsi="Arial" w:cs="Arial"/>
          </w:rPr>
          <w:t>presepsin</w:t>
        </w:r>
        <w:proofErr w:type="spellEnd"/>
        <w:r w:rsidRPr="00CA5B6E">
          <w:rPr>
            <w:rFonts w:ascii="Arial" w:hAnsi="Arial" w:cs="Arial"/>
          </w:rPr>
          <w:t xml:space="preserve"> in detection of early-onset neonatal sepsis. Al-Azhar J </w:t>
        </w:r>
        <w:proofErr w:type="spellStart"/>
        <w:r w:rsidRPr="00CA5B6E">
          <w:rPr>
            <w:rFonts w:ascii="Arial" w:hAnsi="Arial" w:cs="Arial"/>
          </w:rPr>
          <w:t>Pediatr</w:t>
        </w:r>
        <w:proofErr w:type="spellEnd"/>
        <w:r w:rsidRPr="00CA5B6E">
          <w:rPr>
            <w:rFonts w:ascii="Arial" w:hAnsi="Arial" w:cs="Arial"/>
          </w:rPr>
          <w:t>. 2020 Apr 1;23(2):825–51.</w:t>
        </w:r>
      </w:hyperlink>
    </w:p>
    <w:p w14:paraId="193331DB"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4">
        <w:r w:rsidRPr="00CA5B6E">
          <w:rPr>
            <w:rFonts w:ascii="Arial" w:hAnsi="Arial" w:cs="Arial"/>
          </w:rPr>
          <w:t xml:space="preserve">22. </w:t>
        </w:r>
        <w:r w:rsidRPr="00CA5B6E">
          <w:rPr>
            <w:rFonts w:ascii="Arial" w:hAnsi="Arial" w:cs="Arial"/>
          </w:rPr>
          <w:tab/>
          <w:t xml:space="preserve">Ham JY, Song KE. Impact of specimen mixing methods on </w:t>
        </w:r>
        <w:proofErr w:type="spellStart"/>
        <w:r w:rsidRPr="00CA5B6E">
          <w:rPr>
            <w:rFonts w:ascii="Arial" w:hAnsi="Arial" w:cs="Arial"/>
          </w:rPr>
          <w:t>presepsin</w:t>
        </w:r>
        <w:proofErr w:type="spellEnd"/>
        <w:r w:rsidRPr="00CA5B6E">
          <w:rPr>
            <w:rFonts w:ascii="Arial" w:hAnsi="Arial" w:cs="Arial"/>
          </w:rPr>
          <w:t xml:space="preserve"> point-of-care test results using whole blood. Clin Chem Lab Med. 2016 May;54(5</w:t>
        </w:r>
        <w:proofErr w:type="gramStart"/>
        <w:r w:rsidRPr="00CA5B6E">
          <w:rPr>
            <w:rFonts w:ascii="Arial" w:hAnsi="Arial" w:cs="Arial"/>
          </w:rPr>
          <w:t>):e</w:t>
        </w:r>
        <w:proofErr w:type="gramEnd"/>
        <w:r w:rsidRPr="00CA5B6E">
          <w:rPr>
            <w:rFonts w:ascii="Arial" w:hAnsi="Arial" w:cs="Arial"/>
          </w:rPr>
          <w:t>151-154.</w:t>
        </w:r>
      </w:hyperlink>
    </w:p>
    <w:sectPr w:rsidR="00CA5B6E" w:rsidRPr="00CA5B6E" w:rsidSect="00D67BD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8BC0" w14:textId="77777777" w:rsidR="008C1B5E" w:rsidRDefault="008C1B5E" w:rsidP="00C37E61">
      <w:r>
        <w:separator/>
      </w:r>
    </w:p>
  </w:endnote>
  <w:endnote w:type="continuationSeparator" w:id="0">
    <w:p w14:paraId="190CF92D" w14:textId="77777777" w:rsidR="008C1B5E" w:rsidRDefault="008C1B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FA52" w14:textId="77777777" w:rsidR="00D67BDB" w:rsidRDefault="00D6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793" w14:textId="77777777" w:rsidR="00D67BDB" w:rsidRDefault="00D67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804" w14:textId="5A0E74C1" w:rsidR="00754C9A" w:rsidRPr="00D67BDB" w:rsidRDefault="00754C9A" w:rsidP="00D6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F709" w14:textId="77777777" w:rsidR="008C1B5E" w:rsidRDefault="008C1B5E" w:rsidP="00C37E61">
      <w:r>
        <w:separator/>
      </w:r>
    </w:p>
  </w:footnote>
  <w:footnote w:type="continuationSeparator" w:id="0">
    <w:p w14:paraId="6D99DB27" w14:textId="77777777" w:rsidR="008C1B5E" w:rsidRDefault="008C1B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CA3E" w14:textId="45009648" w:rsidR="00D67BDB" w:rsidRDefault="00D67BDB">
    <w:pPr>
      <w:pStyle w:val="Header"/>
    </w:pPr>
    <w:r>
      <w:rPr>
        <w:noProof/>
      </w:rPr>
      <w:pict w14:anchorId="6FE87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4647" w14:textId="23D9152F" w:rsidR="00D67BDB" w:rsidRDefault="00D67BDB">
    <w:pPr>
      <w:pStyle w:val="Header"/>
    </w:pPr>
    <w:r>
      <w:rPr>
        <w:noProof/>
      </w:rPr>
      <w:pict w14:anchorId="4412E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0B73" w14:textId="50628A99" w:rsidR="00296529" w:rsidRPr="00296529" w:rsidRDefault="00D67BDB" w:rsidP="00296529">
    <w:pPr>
      <w:ind w:left="2160"/>
      <w:jc w:val="center"/>
      <w:rPr>
        <w:rFonts w:ascii="Times New Roman" w:eastAsia="Calibri" w:hAnsi="Times New Roman"/>
        <w:i/>
        <w:sz w:val="18"/>
        <w:szCs w:val="22"/>
      </w:rPr>
    </w:pPr>
    <w:r>
      <w:rPr>
        <w:noProof/>
      </w:rPr>
      <w:pict w14:anchorId="6138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5EE8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06CF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4E57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7D3B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F59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BE07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4953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1585706">
    <w:abstractNumId w:val="15"/>
  </w:num>
  <w:num w:numId="3" w16cid:durableId="1397822328">
    <w:abstractNumId w:val="23"/>
  </w:num>
  <w:num w:numId="4" w16cid:durableId="15296347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28286876">
    <w:abstractNumId w:val="7"/>
  </w:num>
  <w:num w:numId="6" w16cid:durableId="1420908551">
    <w:abstractNumId w:val="6"/>
  </w:num>
  <w:num w:numId="7" w16cid:durableId="933587165">
    <w:abstractNumId w:val="1"/>
  </w:num>
  <w:num w:numId="8" w16cid:durableId="1764187335">
    <w:abstractNumId w:val="12"/>
  </w:num>
  <w:num w:numId="9" w16cid:durableId="507064554">
    <w:abstractNumId w:val="25"/>
  </w:num>
  <w:num w:numId="10" w16cid:durableId="1539779119">
    <w:abstractNumId w:val="2"/>
  </w:num>
  <w:num w:numId="11" w16cid:durableId="1443037531">
    <w:abstractNumId w:val="18"/>
  </w:num>
  <w:num w:numId="12" w16cid:durableId="333998469">
    <w:abstractNumId w:val="3"/>
  </w:num>
  <w:num w:numId="13" w16cid:durableId="2129010115">
    <w:abstractNumId w:val="17"/>
  </w:num>
  <w:num w:numId="14" w16cid:durableId="1463578536">
    <w:abstractNumId w:val="8"/>
  </w:num>
  <w:num w:numId="15" w16cid:durableId="993995099">
    <w:abstractNumId w:val="21"/>
  </w:num>
  <w:num w:numId="16" w16cid:durableId="882520312">
    <w:abstractNumId w:val="5"/>
  </w:num>
  <w:num w:numId="17" w16cid:durableId="1404837799">
    <w:abstractNumId w:val="22"/>
  </w:num>
  <w:num w:numId="18" w16cid:durableId="1567453277">
    <w:abstractNumId w:val="14"/>
  </w:num>
  <w:num w:numId="19" w16cid:durableId="1304000963">
    <w:abstractNumId w:val="28"/>
  </w:num>
  <w:num w:numId="20" w16cid:durableId="1022978940">
    <w:abstractNumId w:val="11"/>
  </w:num>
  <w:num w:numId="21" w16cid:durableId="1027215107">
    <w:abstractNumId w:val="9"/>
  </w:num>
  <w:num w:numId="22" w16cid:durableId="2052920667">
    <w:abstractNumId w:val="13"/>
  </w:num>
  <w:num w:numId="23" w16cid:durableId="1598825987">
    <w:abstractNumId w:val="19"/>
  </w:num>
  <w:num w:numId="24" w16cid:durableId="1730572834">
    <w:abstractNumId w:val="26"/>
  </w:num>
  <w:num w:numId="25" w16cid:durableId="1470902496">
    <w:abstractNumId w:val="4"/>
  </w:num>
  <w:num w:numId="26" w16cid:durableId="874124301">
    <w:abstractNumId w:val="16"/>
  </w:num>
  <w:num w:numId="27" w16cid:durableId="247926118">
    <w:abstractNumId w:val="20"/>
  </w:num>
  <w:num w:numId="28" w16cid:durableId="213322857">
    <w:abstractNumId w:val="27"/>
  </w:num>
  <w:num w:numId="29" w16cid:durableId="326523232">
    <w:abstractNumId w:val="24"/>
  </w:num>
  <w:num w:numId="30" w16cid:durableId="1451045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1D2"/>
    <w:rsid w:val="0006458A"/>
    <w:rsid w:val="000737F5"/>
    <w:rsid w:val="000A47FA"/>
    <w:rsid w:val="000A65D3"/>
    <w:rsid w:val="000B1E33"/>
    <w:rsid w:val="000D689F"/>
    <w:rsid w:val="000E41C0"/>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11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5D7"/>
    <w:rsid w:val="005C784C"/>
    <w:rsid w:val="005D17F6"/>
    <w:rsid w:val="005E5539"/>
    <w:rsid w:val="00602BF5"/>
    <w:rsid w:val="0060743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B5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4AF5"/>
    <w:rsid w:val="00AB703F"/>
    <w:rsid w:val="00AC6BB8"/>
    <w:rsid w:val="00AE008F"/>
    <w:rsid w:val="00AF51DA"/>
    <w:rsid w:val="00B01FCD"/>
    <w:rsid w:val="00B1776C"/>
    <w:rsid w:val="00B52583"/>
    <w:rsid w:val="00B52896"/>
    <w:rsid w:val="00B95236"/>
    <w:rsid w:val="00B96BD9"/>
    <w:rsid w:val="00BA1B01"/>
    <w:rsid w:val="00BA2641"/>
    <w:rsid w:val="00BB37AA"/>
    <w:rsid w:val="00BB54F6"/>
    <w:rsid w:val="00BC53A0"/>
    <w:rsid w:val="00BE62AD"/>
    <w:rsid w:val="00BF121F"/>
    <w:rsid w:val="00BF1F80"/>
    <w:rsid w:val="00C166EF"/>
    <w:rsid w:val="00C17EB0"/>
    <w:rsid w:val="00C27F5F"/>
    <w:rsid w:val="00C30A0F"/>
    <w:rsid w:val="00C37E61"/>
    <w:rsid w:val="00C70F1B"/>
    <w:rsid w:val="00C71A47"/>
    <w:rsid w:val="00C7464C"/>
    <w:rsid w:val="00C76F7C"/>
    <w:rsid w:val="00C824F3"/>
    <w:rsid w:val="00C85588"/>
    <w:rsid w:val="00CA5B6E"/>
    <w:rsid w:val="00CD6755"/>
    <w:rsid w:val="00CD6856"/>
    <w:rsid w:val="00CE0089"/>
    <w:rsid w:val="00CE793C"/>
    <w:rsid w:val="00CF193C"/>
    <w:rsid w:val="00D10C13"/>
    <w:rsid w:val="00D173F1"/>
    <w:rsid w:val="00D67BDB"/>
    <w:rsid w:val="00D74CB0"/>
    <w:rsid w:val="00D8295D"/>
    <w:rsid w:val="00DC2A65"/>
    <w:rsid w:val="00DE15F0"/>
    <w:rsid w:val="00DE3BD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0D8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759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541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41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541D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41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pr.2017.244" TargetMode="External"/><Relationship Id="rId26" Type="http://schemas.openxmlformats.org/officeDocument/2006/relationships/hyperlink" Target="https://doi.org/10.1097/MD.0000000000021649" TargetMode="External"/><Relationship Id="rId39" Type="http://schemas.openxmlformats.org/officeDocument/2006/relationships/hyperlink" Target="https://training.cochrane.org/handbook" TargetMode="External"/><Relationship Id="rId21" Type="http://schemas.openxmlformats.org/officeDocument/2006/relationships/hyperlink" Target="https://doi.org/10.1007/s00431-023-04990-3" TargetMode="External"/><Relationship Id="rId34" Type="http://schemas.openxmlformats.org/officeDocument/2006/relationships/hyperlink" Target="https://doi.org/10.1177/0394632017749356" TargetMode="External"/><Relationship Id="rId42" Type="http://schemas.openxmlformats.org/officeDocument/2006/relationships/hyperlink" Target="https://www.bmj.com/content/364/bmj.l1077" TargetMode="External"/><Relationship Id="rId47" Type="http://schemas.openxmlformats.org/officeDocument/2006/relationships/hyperlink" Target="https://www.zotero.org/google-docs/?Sa4iRI" TargetMode="External"/><Relationship Id="rId50" Type="http://schemas.openxmlformats.org/officeDocument/2006/relationships/hyperlink" Target="https://www.zotero.org/google-docs/?Sa4iRI" TargetMode="External"/><Relationship Id="rId55" Type="http://schemas.openxmlformats.org/officeDocument/2006/relationships/hyperlink" Target="https://www.zotero.org/google-docs/?Sa4iRI" TargetMode="External"/><Relationship Id="rId63" Type="http://schemas.openxmlformats.org/officeDocument/2006/relationships/hyperlink" Target="https://www.zotero.org/google-docs/?Sa4i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92/etm.2016.3863" TargetMode="External"/><Relationship Id="rId20" Type="http://schemas.openxmlformats.org/officeDocument/2006/relationships/hyperlink" Target="https://doi.org/10.1001/jamanetworkopen.2020.36518" TargetMode="External"/><Relationship Id="rId29" Type="http://schemas.openxmlformats.org/officeDocument/2006/relationships/hyperlink" Target="https://doi.org/10.1007/s40138-019-00210-3" TargetMode="External"/><Relationship Id="rId41" Type="http://schemas.openxmlformats.org/officeDocument/2006/relationships/hyperlink" Target="https://doi.org/10.1186/1471-2288-9-7" TargetMode="External"/><Relationship Id="rId54" Type="http://schemas.openxmlformats.org/officeDocument/2006/relationships/hyperlink" Target="https://www.zotero.org/google-docs/?Sa4iRI" TargetMode="External"/><Relationship Id="rId62" Type="http://schemas.openxmlformats.org/officeDocument/2006/relationships/hyperlink" Target="https://www.zotero.org/google-docs/?Sa4i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pr.2017.244" TargetMode="External"/><Relationship Id="rId32" Type="http://schemas.openxmlformats.org/officeDocument/2006/relationships/hyperlink" Target="https://doi.org/10.1080/14787210.2019.1580153" TargetMode="External"/><Relationship Id="rId37" Type="http://schemas.openxmlformats.org/officeDocument/2006/relationships/hyperlink" Target="https://doi.org/10.21608/ajpediatrics.2020.26394" TargetMode="External"/><Relationship Id="rId40" Type="http://schemas.openxmlformats.org/officeDocument/2006/relationships/hyperlink" Target="https://doi.org/10.1371/journal.pmed.1000097" TargetMode="External"/><Relationship Id="rId45" Type="http://schemas.openxmlformats.org/officeDocument/2006/relationships/hyperlink" Target="https://www.zotero.org/google-docs/?Sa4iRI" TargetMode="External"/><Relationship Id="rId53" Type="http://schemas.openxmlformats.org/officeDocument/2006/relationships/hyperlink" Target="https://www.zotero.org/google-docs/?Sa4iRI" TargetMode="External"/><Relationship Id="rId58" Type="http://schemas.openxmlformats.org/officeDocument/2006/relationships/hyperlink" Target="https://www.zotero.org/google-docs/?Sa4iRI"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0138-019-00210-3" TargetMode="External"/><Relationship Id="rId23" Type="http://schemas.openxmlformats.org/officeDocument/2006/relationships/hyperlink" Target="https://doi.org/10.1038/s41390-021-01888-4" TargetMode="External"/><Relationship Id="rId28" Type="http://schemas.openxmlformats.org/officeDocument/2006/relationships/hyperlink" Target="https://doi.org/10.5935/0103-507X.20190012" TargetMode="External"/><Relationship Id="rId36" Type="http://schemas.openxmlformats.org/officeDocument/2006/relationships/hyperlink" Target="https://doi.org/10.1016/j.egja.2019.11.002" TargetMode="External"/><Relationship Id="rId49" Type="http://schemas.openxmlformats.org/officeDocument/2006/relationships/hyperlink" Target="https://www.zotero.org/google-docs/?Sa4iRI" TargetMode="External"/><Relationship Id="rId57" Type="http://schemas.openxmlformats.org/officeDocument/2006/relationships/hyperlink" Target="https://www.zotero.org/google-docs/?Sa4iRI" TargetMode="External"/><Relationship Id="rId61" Type="http://schemas.openxmlformats.org/officeDocument/2006/relationships/hyperlink" Target="https://www.zotero.org/google-docs/?Sa4iRI" TargetMode="External"/><Relationship Id="rId10" Type="http://schemas.openxmlformats.org/officeDocument/2006/relationships/footer" Target="footer1.xml"/><Relationship Id="rId19" Type="http://schemas.openxmlformats.org/officeDocument/2006/relationships/hyperlink" Target="https://doi.org/10.1016/j.tcped.2021.11.002" TargetMode="External"/><Relationship Id="rId31" Type="http://schemas.openxmlformats.org/officeDocument/2006/relationships/hyperlink" Target="https://doi.org/10.1038/s41390-021-01888-4" TargetMode="External"/><Relationship Id="rId44" Type="http://schemas.openxmlformats.org/officeDocument/2006/relationships/hyperlink" Target="https://www.zotero.org/google-docs/?Sa4iRI" TargetMode="External"/><Relationship Id="rId52" Type="http://schemas.openxmlformats.org/officeDocument/2006/relationships/hyperlink" Target="https://www.zotero.org/google-docs/?Sa4iRI" TargetMode="External"/><Relationship Id="rId60" Type="http://schemas.openxmlformats.org/officeDocument/2006/relationships/hyperlink" Target="https://www.zotero.org/google-docs/?Sa4iR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759/cureus.45530" TargetMode="External"/><Relationship Id="rId22" Type="http://schemas.openxmlformats.org/officeDocument/2006/relationships/hyperlink" Target="https://doi.org/10.1371/journal.pmed.1004179" TargetMode="External"/><Relationship Id="rId27" Type="http://schemas.openxmlformats.org/officeDocument/2006/relationships/hyperlink" Target="https://doi.org/10.5935/0103-507X.20190012" TargetMode="External"/><Relationship Id="rId30" Type="http://schemas.openxmlformats.org/officeDocument/2006/relationships/hyperlink" Target="https://doi.org/10.1007/s40138-019-00210-3" TargetMode="External"/><Relationship Id="rId35" Type="http://schemas.openxmlformats.org/officeDocument/2006/relationships/hyperlink" Target="https://doi.org/10.4103/joacp.joacp_438_22" TargetMode="External"/><Relationship Id="rId43" Type="http://schemas.openxmlformats.org/officeDocument/2006/relationships/hyperlink" Target="https://www.zotero.org/google-docs/?Sa4iRI" TargetMode="External"/><Relationship Id="rId48" Type="http://schemas.openxmlformats.org/officeDocument/2006/relationships/hyperlink" Target="https://www.zotero.org/google-docs/?Sa4iRI" TargetMode="External"/><Relationship Id="rId56" Type="http://schemas.openxmlformats.org/officeDocument/2006/relationships/hyperlink" Target="https://www.zotero.org/google-docs/?Sa4iRI" TargetMode="External"/><Relationship Id="rId64" Type="http://schemas.openxmlformats.org/officeDocument/2006/relationships/hyperlink" Target="https://www.zotero.org/google-docs/?Sa4iRI" TargetMode="External"/><Relationship Id="rId8" Type="http://schemas.openxmlformats.org/officeDocument/2006/relationships/header" Target="header1.xml"/><Relationship Id="rId51" Type="http://schemas.openxmlformats.org/officeDocument/2006/relationships/hyperlink" Target="https://www.zotero.org/google-docs/?Sa4iRI"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36/archdischild-2020-320217" TargetMode="External"/><Relationship Id="rId25" Type="http://schemas.openxmlformats.org/officeDocument/2006/relationships/hyperlink" Target="https://doi.org/10.7860/JCDR/2016/19688.7743" TargetMode="External"/><Relationship Id="rId33" Type="http://schemas.openxmlformats.org/officeDocument/2006/relationships/hyperlink" Target="https://doi.org/10.1080/14787210.2019.1580153" TargetMode="External"/><Relationship Id="rId38" Type="http://schemas.openxmlformats.org/officeDocument/2006/relationships/hyperlink" Target="https://doi.org/10.1515/cclm-2015-1033" TargetMode="External"/><Relationship Id="rId46" Type="http://schemas.openxmlformats.org/officeDocument/2006/relationships/hyperlink" Target="https://www.zotero.org/google-docs/?Sa4iRI" TargetMode="External"/><Relationship Id="rId59" Type="http://schemas.openxmlformats.org/officeDocument/2006/relationships/hyperlink" Target="https://www.zotero.org/google-docs/?Sa4i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10</Pages>
  <Words>5284</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cp:revision>
  <cp:lastPrinted>1999-07-06T11:00:00Z</cp:lastPrinted>
  <dcterms:created xsi:type="dcterms:W3CDTF">2025-05-09T03:03:00Z</dcterms:created>
  <dcterms:modified xsi:type="dcterms:W3CDTF">2025-05-09T09:30:00Z</dcterms:modified>
</cp:coreProperties>
</file>