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07EA" w14:textId="5EF658BA" w:rsidR="005963A4" w:rsidRPr="00D775C2" w:rsidRDefault="004C34F3" w:rsidP="00EB4E3E">
      <w:pPr>
        <w:spacing w:line="240" w:lineRule="auto"/>
        <w:jc w:val="right"/>
        <w:rPr>
          <w:rFonts w:ascii="Arial" w:hAnsi="Arial" w:cs="Arial"/>
          <w:b/>
          <w:bCs/>
          <w:szCs w:val="28"/>
        </w:rPr>
      </w:pPr>
      <w:r w:rsidRPr="00D775C2">
        <w:rPr>
          <w:rFonts w:ascii="Arial" w:hAnsi="Arial" w:cs="Arial"/>
          <w:b/>
          <w:bCs/>
          <w:szCs w:val="28"/>
        </w:rPr>
        <w:t>Impact of</w:t>
      </w:r>
      <w:r w:rsidR="005C479C" w:rsidRPr="00D775C2">
        <w:rPr>
          <w:rFonts w:ascii="Arial" w:hAnsi="Arial" w:cs="Arial"/>
          <w:b/>
          <w:bCs/>
          <w:szCs w:val="28"/>
        </w:rPr>
        <w:t xml:space="preserve"> </w:t>
      </w:r>
      <w:r w:rsidRPr="00D775C2">
        <w:rPr>
          <w:rFonts w:ascii="Arial" w:hAnsi="Arial" w:cs="Arial"/>
          <w:b/>
          <w:bCs/>
          <w:szCs w:val="28"/>
        </w:rPr>
        <w:t>Lifestyle Habits on the Nutritional Status of Patients with Type II Diabetes</w:t>
      </w:r>
    </w:p>
    <w:p w14:paraId="46ACF911" w14:textId="77777777" w:rsidR="00DC4E00" w:rsidRDefault="00DC4E00" w:rsidP="00DC4E00">
      <w:pPr>
        <w:spacing w:after="0" w:line="240" w:lineRule="auto"/>
        <w:jc w:val="right"/>
        <w:rPr>
          <w:rFonts w:ascii="Arial" w:hAnsi="Arial" w:cs="Arial"/>
          <w:b/>
          <w:bCs/>
          <w:sz w:val="20"/>
          <w:szCs w:val="20"/>
        </w:rPr>
      </w:pPr>
    </w:p>
    <w:p w14:paraId="5800C7C8" w14:textId="77777777" w:rsidR="00874EB8" w:rsidRPr="00D775C2" w:rsidRDefault="00874EB8" w:rsidP="00DC4E00">
      <w:pPr>
        <w:spacing w:after="0" w:line="240" w:lineRule="auto"/>
        <w:jc w:val="right"/>
        <w:rPr>
          <w:rFonts w:ascii="Arial" w:hAnsi="Arial" w:cs="Arial"/>
          <w:b/>
          <w:bCs/>
          <w:sz w:val="20"/>
          <w:szCs w:val="20"/>
        </w:rPr>
      </w:pPr>
    </w:p>
    <w:p w14:paraId="2124E548" w14:textId="77777777" w:rsidR="00060D81" w:rsidRPr="00D775C2" w:rsidRDefault="00060D81" w:rsidP="00EB4E3E">
      <w:pPr>
        <w:spacing w:after="0" w:line="240" w:lineRule="auto"/>
        <w:jc w:val="both"/>
        <w:rPr>
          <w:rFonts w:ascii="Arial" w:hAnsi="Arial" w:cs="Arial"/>
          <w:b/>
          <w:bCs/>
          <w:sz w:val="20"/>
          <w:szCs w:val="20"/>
        </w:rPr>
      </w:pPr>
    </w:p>
    <w:p w14:paraId="008A2C85" w14:textId="15695F99" w:rsidR="00222D7C" w:rsidRPr="00D775C2" w:rsidRDefault="00222D7C" w:rsidP="00EB4E3E">
      <w:pPr>
        <w:spacing w:line="240" w:lineRule="auto"/>
        <w:rPr>
          <w:rFonts w:ascii="Arial" w:hAnsi="Arial" w:cs="Arial"/>
          <w:b/>
          <w:bCs/>
          <w:sz w:val="22"/>
        </w:rPr>
      </w:pPr>
      <w:r w:rsidRPr="00D775C2">
        <w:rPr>
          <w:rFonts w:ascii="Arial" w:hAnsi="Arial" w:cs="Arial"/>
          <w:b/>
          <w:bCs/>
          <w:sz w:val="22"/>
        </w:rPr>
        <w:t>ABSTRACT</w:t>
      </w:r>
    </w:p>
    <w:p w14:paraId="516B2C0F" w14:textId="77777777" w:rsidR="007A0C26" w:rsidRDefault="004C34F3" w:rsidP="00EB4E3E">
      <w:pPr>
        <w:spacing w:line="240" w:lineRule="auto"/>
        <w:jc w:val="both"/>
        <w:rPr>
          <w:rFonts w:ascii="Arial" w:hAnsi="Arial" w:cs="Arial"/>
          <w:sz w:val="20"/>
          <w:szCs w:val="20"/>
        </w:rPr>
      </w:pPr>
      <w:r w:rsidRPr="00D775C2">
        <w:rPr>
          <w:rFonts w:ascii="Arial" w:hAnsi="Arial" w:cs="Arial"/>
          <w:b/>
          <w:bCs/>
          <w:sz w:val="20"/>
          <w:szCs w:val="20"/>
        </w:rPr>
        <w:t>Background</w:t>
      </w:r>
      <w:r w:rsidR="009A0516" w:rsidRPr="00D775C2">
        <w:rPr>
          <w:rFonts w:ascii="Arial" w:hAnsi="Arial" w:cs="Arial"/>
          <w:b/>
          <w:bCs/>
          <w:sz w:val="20"/>
          <w:szCs w:val="20"/>
        </w:rPr>
        <w:t xml:space="preserve">: </w:t>
      </w:r>
      <w:r w:rsidR="009A0516" w:rsidRPr="00D775C2">
        <w:rPr>
          <w:rFonts w:ascii="Arial" w:hAnsi="Arial" w:cs="Arial"/>
          <w:sz w:val="20"/>
          <w:szCs w:val="20"/>
        </w:rPr>
        <w:t xml:space="preserve">Diabetes is known as a metabolic disorder </w:t>
      </w:r>
      <w:r w:rsidR="003A1589" w:rsidRPr="00D775C2">
        <w:rPr>
          <w:rFonts w:ascii="Arial" w:hAnsi="Arial" w:cs="Arial"/>
          <w:sz w:val="20"/>
          <w:szCs w:val="20"/>
        </w:rPr>
        <w:t>that</w:t>
      </w:r>
      <w:r w:rsidR="009A0516" w:rsidRPr="00D775C2">
        <w:rPr>
          <w:rFonts w:ascii="Arial" w:hAnsi="Arial" w:cs="Arial"/>
          <w:sz w:val="20"/>
          <w:szCs w:val="20"/>
        </w:rPr>
        <w:t xml:space="preserve"> can be managed by healthy dietary interventions. </w:t>
      </w:r>
      <w:r w:rsidR="009A0516" w:rsidRPr="00D775C2">
        <w:rPr>
          <w:rFonts w:ascii="Arial" w:eastAsia="Times New Roman" w:hAnsi="Arial" w:cs="Arial"/>
          <w:kern w:val="0"/>
          <w:sz w:val="20"/>
          <w:szCs w:val="20"/>
          <w:lang w:eastAsia="en-IN"/>
          <w14:ligatures w14:val="none"/>
        </w:rPr>
        <w:t>Type 2 diabetes (T2DM) is one of the most prevalent chronic illnesses in the world.</w:t>
      </w:r>
      <w:r w:rsidR="006E48EC" w:rsidRPr="00D775C2">
        <w:rPr>
          <w:rFonts w:ascii="Arial" w:eastAsia="Times New Roman" w:hAnsi="Arial" w:cs="Arial"/>
          <w:kern w:val="0"/>
          <w:sz w:val="20"/>
          <w:szCs w:val="20"/>
          <w:lang w:eastAsia="en-IN"/>
          <w14:ligatures w14:val="none"/>
        </w:rPr>
        <w:t xml:space="preserve"> </w:t>
      </w:r>
      <w:r w:rsidR="006E48EC" w:rsidRPr="00D775C2">
        <w:rPr>
          <w:rFonts w:ascii="Arial" w:hAnsi="Arial" w:cs="Arial"/>
          <w:sz w:val="20"/>
          <w:szCs w:val="20"/>
        </w:rPr>
        <w:t xml:space="preserve">The diabetic patients are very prone to </w:t>
      </w:r>
      <w:r w:rsidR="00540DED" w:rsidRPr="00D775C2">
        <w:rPr>
          <w:rFonts w:ascii="Arial" w:hAnsi="Arial" w:cs="Arial"/>
          <w:sz w:val="20"/>
          <w:szCs w:val="20"/>
        </w:rPr>
        <w:t>having</w:t>
      </w:r>
      <w:r w:rsidR="006E48EC" w:rsidRPr="00D775C2">
        <w:rPr>
          <w:rFonts w:ascii="Arial" w:hAnsi="Arial" w:cs="Arial"/>
          <w:sz w:val="20"/>
          <w:szCs w:val="20"/>
        </w:rPr>
        <w:t xml:space="preserve"> the chronic complications such as </w:t>
      </w:r>
      <w:r w:rsidR="00540DED" w:rsidRPr="00D775C2">
        <w:rPr>
          <w:rFonts w:ascii="Arial" w:hAnsi="Arial" w:cs="Arial"/>
          <w:sz w:val="20"/>
          <w:szCs w:val="20"/>
        </w:rPr>
        <w:t>nephropathy</w:t>
      </w:r>
      <w:r w:rsidR="006E48EC" w:rsidRPr="00D775C2">
        <w:rPr>
          <w:rFonts w:ascii="Arial" w:hAnsi="Arial" w:cs="Arial"/>
          <w:sz w:val="20"/>
          <w:szCs w:val="20"/>
        </w:rPr>
        <w:t xml:space="preserve">, </w:t>
      </w:r>
      <w:r w:rsidR="00540DED" w:rsidRPr="00D775C2">
        <w:rPr>
          <w:rFonts w:ascii="Arial" w:hAnsi="Arial" w:cs="Arial"/>
          <w:sz w:val="20"/>
          <w:szCs w:val="20"/>
        </w:rPr>
        <w:t>retinopathy</w:t>
      </w:r>
      <w:r w:rsidR="006E48EC" w:rsidRPr="00D775C2">
        <w:rPr>
          <w:rFonts w:ascii="Arial" w:hAnsi="Arial" w:cs="Arial"/>
          <w:sz w:val="20"/>
          <w:szCs w:val="20"/>
        </w:rPr>
        <w:t xml:space="preserve">, </w:t>
      </w:r>
      <w:r w:rsidR="00540DED" w:rsidRPr="00D775C2">
        <w:rPr>
          <w:rFonts w:ascii="Arial" w:hAnsi="Arial" w:cs="Arial"/>
          <w:sz w:val="20"/>
          <w:szCs w:val="20"/>
        </w:rPr>
        <w:t>cardiovascular</w:t>
      </w:r>
      <w:r w:rsidR="006E48EC" w:rsidRPr="00D775C2">
        <w:rPr>
          <w:rFonts w:ascii="Arial" w:hAnsi="Arial" w:cs="Arial"/>
          <w:sz w:val="20"/>
          <w:szCs w:val="20"/>
        </w:rPr>
        <w:t xml:space="preserve"> disease, </w:t>
      </w:r>
      <w:r w:rsidR="00540DED" w:rsidRPr="00D775C2">
        <w:rPr>
          <w:rFonts w:ascii="Arial" w:hAnsi="Arial" w:cs="Arial"/>
          <w:sz w:val="20"/>
          <w:szCs w:val="20"/>
        </w:rPr>
        <w:t>neuropathy,</w:t>
      </w:r>
      <w:r w:rsidR="006E48EC" w:rsidRPr="00D775C2">
        <w:rPr>
          <w:rFonts w:ascii="Arial" w:hAnsi="Arial" w:cs="Arial"/>
          <w:sz w:val="20"/>
          <w:szCs w:val="20"/>
        </w:rPr>
        <w:t xml:space="preserve"> and sepsis</w:t>
      </w:r>
      <w:r w:rsidR="0089478E" w:rsidRPr="00D775C2">
        <w:rPr>
          <w:rFonts w:ascii="Arial" w:hAnsi="Arial" w:cs="Arial"/>
          <w:sz w:val="20"/>
          <w:szCs w:val="20"/>
        </w:rPr>
        <w:t xml:space="preserve"> (Mohan et al., 2007)</w:t>
      </w:r>
      <w:r w:rsidR="006E48EC" w:rsidRPr="00D775C2">
        <w:rPr>
          <w:rFonts w:ascii="Arial" w:hAnsi="Arial" w:cs="Arial"/>
          <w:sz w:val="20"/>
          <w:szCs w:val="20"/>
        </w:rPr>
        <w:t>.</w:t>
      </w:r>
      <w:r w:rsidR="009A0516" w:rsidRPr="00D775C2">
        <w:rPr>
          <w:rFonts w:ascii="Arial" w:eastAsia="Times New Roman" w:hAnsi="Arial" w:cs="Arial"/>
          <w:kern w:val="0"/>
          <w:sz w:val="20"/>
          <w:szCs w:val="20"/>
          <w:lang w:eastAsia="en-IN"/>
          <w14:ligatures w14:val="none"/>
        </w:rPr>
        <w:t xml:space="preserve"> It is largely responsible for cardiovascular illnesses and other chronic problems, which are the main causes of disability and early mortality</w:t>
      </w:r>
      <w:r w:rsidR="00CD1E29" w:rsidRPr="00D775C2">
        <w:rPr>
          <w:rFonts w:ascii="Arial" w:hAnsi="Arial" w:cs="Arial"/>
          <w:sz w:val="20"/>
          <w:szCs w:val="20"/>
        </w:rPr>
        <w:t xml:space="preserve"> </w:t>
      </w:r>
      <w:r w:rsidR="00CD1E29" w:rsidRPr="00D775C2">
        <w:rPr>
          <w:rFonts w:ascii="Arial" w:eastAsia="Times New Roman" w:hAnsi="Arial" w:cs="Arial"/>
          <w:kern w:val="0"/>
          <w:sz w:val="20"/>
          <w:szCs w:val="20"/>
          <w:lang w:eastAsia="en-IN"/>
          <w14:ligatures w14:val="none"/>
        </w:rPr>
        <w:t>(Ashwell &amp; Gibson, 2016)</w:t>
      </w:r>
      <w:r w:rsidR="009A0516" w:rsidRPr="00D775C2">
        <w:rPr>
          <w:rFonts w:ascii="Arial" w:eastAsia="Times New Roman" w:hAnsi="Arial" w:cs="Arial"/>
          <w:kern w:val="0"/>
          <w:sz w:val="20"/>
          <w:szCs w:val="20"/>
          <w:lang w:eastAsia="en-IN"/>
          <w14:ligatures w14:val="none"/>
        </w:rPr>
        <w:t>.</w:t>
      </w:r>
      <w:r w:rsidR="009A0516" w:rsidRPr="00D775C2">
        <w:rPr>
          <w:rFonts w:ascii="Arial" w:hAnsi="Arial" w:cs="Arial"/>
          <w:sz w:val="20"/>
          <w:szCs w:val="20"/>
        </w:rPr>
        <w:t xml:space="preserve"> </w:t>
      </w:r>
      <w:r w:rsidR="00FD5F79" w:rsidRPr="00D775C2">
        <w:rPr>
          <w:rFonts w:ascii="Arial" w:hAnsi="Arial" w:cs="Arial"/>
          <w:sz w:val="20"/>
          <w:szCs w:val="20"/>
        </w:rPr>
        <w:t>Lifestyle choices are a significant component among the many variables affecting the course and treatment of this illness</w:t>
      </w:r>
      <w:r w:rsidR="00BC445B" w:rsidRPr="00D775C2">
        <w:rPr>
          <w:rFonts w:ascii="Arial" w:hAnsi="Arial" w:cs="Arial"/>
          <w:sz w:val="20"/>
          <w:szCs w:val="20"/>
        </w:rPr>
        <w:t xml:space="preserve"> (Krishnan et al., 2015)</w:t>
      </w:r>
      <w:r w:rsidR="00FD5F79" w:rsidRPr="00D775C2">
        <w:rPr>
          <w:rFonts w:ascii="Arial" w:hAnsi="Arial" w:cs="Arial"/>
          <w:sz w:val="20"/>
          <w:szCs w:val="20"/>
        </w:rPr>
        <w:t xml:space="preserve">. Adopting a balanced diet rich in fibre, lean proteins, and healthy fats, along with regular physical </w:t>
      </w:r>
      <w:r w:rsidR="003E7B86" w:rsidRPr="00D775C2">
        <w:rPr>
          <w:rFonts w:ascii="Arial" w:hAnsi="Arial" w:cs="Arial"/>
          <w:sz w:val="20"/>
          <w:szCs w:val="20"/>
        </w:rPr>
        <w:t>activity,</w:t>
      </w:r>
      <w:r w:rsidR="00FD5F79" w:rsidRPr="00D775C2">
        <w:rPr>
          <w:rFonts w:ascii="Arial" w:hAnsi="Arial" w:cs="Arial"/>
          <w:sz w:val="20"/>
          <w:szCs w:val="20"/>
        </w:rPr>
        <w:t xml:space="preserve"> proper sleep hygiene, and other lifestyle </w:t>
      </w:r>
      <w:r w:rsidR="003E7B86" w:rsidRPr="00D775C2">
        <w:rPr>
          <w:rFonts w:ascii="Arial" w:hAnsi="Arial" w:cs="Arial"/>
          <w:sz w:val="20"/>
          <w:szCs w:val="20"/>
        </w:rPr>
        <w:t>choices,</w:t>
      </w:r>
      <w:r w:rsidR="00FD5F79" w:rsidRPr="00D775C2">
        <w:rPr>
          <w:rFonts w:ascii="Arial" w:hAnsi="Arial" w:cs="Arial"/>
          <w:sz w:val="20"/>
          <w:szCs w:val="20"/>
        </w:rPr>
        <w:t xml:space="preserve"> </w:t>
      </w:r>
      <w:r w:rsidR="00540DED" w:rsidRPr="00D775C2">
        <w:rPr>
          <w:rFonts w:ascii="Arial" w:hAnsi="Arial" w:cs="Arial"/>
          <w:sz w:val="20"/>
          <w:szCs w:val="20"/>
        </w:rPr>
        <w:t>has</w:t>
      </w:r>
      <w:r w:rsidR="00FD5F79" w:rsidRPr="00D775C2">
        <w:rPr>
          <w:rFonts w:ascii="Arial" w:hAnsi="Arial" w:cs="Arial"/>
          <w:sz w:val="20"/>
          <w:szCs w:val="20"/>
        </w:rPr>
        <w:t xml:space="preserve"> a big influence on the nutritional status of people with Type II diabetes</w:t>
      </w:r>
      <w:r w:rsidR="007802EF" w:rsidRPr="00D775C2">
        <w:rPr>
          <w:rFonts w:ascii="Arial" w:hAnsi="Arial" w:cs="Arial"/>
          <w:sz w:val="20"/>
          <w:szCs w:val="20"/>
        </w:rPr>
        <w:t xml:space="preserve"> (Lee et al., 2012)</w:t>
      </w:r>
      <w:r w:rsidR="00FD5F79" w:rsidRPr="00D775C2">
        <w:rPr>
          <w:rFonts w:ascii="Arial" w:hAnsi="Arial" w:cs="Arial"/>
          <w:sz w:val="20"/>
          <w:szCs w:val="20"/>
        </w:rPr>
        <w:t xml:space="preserve">. </w:t>
      </w:r>
      <w:r w:rsidR="009A0516" w:rsidRPr="00D775C2">
        <w:rPr>
          <w:rFonts w:ascii="Arial" w:hAnsi="Arial" w:cs="Arial"/>
          <w:sz w:val="20"/>
          <w:szCs w:val="20"/>
        </w:rPr>
        <w:t xml:space="preserve"> </w:t>
      </w:r>
    </w:p>
    <w:p w14:paraId="78283139" w14:textId="77777777" w:rsidR="007A0C26" w:rsidRDefault="004C34F3" w:rsidP="00EB4E3E">
      <w:pPr>
        <w:spacing w:line="240" w:lineRule="auto"/>
        <w:jc w:val="both"/>
        <w:rPr>
          <w:rFonts w:ascii="Arial" w:hAnsi="Arial" w:cs="Arial"/>
          <w:sz w:val="20"/>
          <w:szCs w:val="20"/>
        </w:rPr>
      </w:pPr>
      <w:r w:rsidRPr="00D775C2">
        <w:rPr>
          <w:rFonts w:ascii="Arial" w:hAnsi="Arial" w:cs="Arial"/>
          <w:b/>
          <w:bCs/>
          <w:sz w:val="20"/>
          <w:szCs w:val="20"/>
        </w:rPr>
        <w:t>Objective</w:t>
      </w:r>
      <w:r w:rsidR="009A0516" w:rsidRPr="00D775C2">
        <w:rPr>
          <w:rFonts w:ascii="Arial" w:hAnsi="Arial" w:cs="Arial"/>
          <w:b/>
          <w:bCs/>
          <w:sz w:val="20"/>
          <w:szCs w:val="20"/>
        </w:rPr>
        <w:t>:</w:t>
      </w:r>
      <w:r w:rsidR="00225936" w:rsidRPr="00D775C2">
        <w:rPr>
          <w:rFonts w:ascii="Arial" w:hAnsi="Arial" w:cs="Arial"/>
          <w:b/>
          <w:bCs/>
          <w:sz w:val="20"/>
          <w:szCs w:val="20"/>
        </w:rPr>
        <w:t xml:space="preserve"> </w:t>
      </w:r>
      <w:r w:rsidR="00225936" w:rsidRPr="00D775C2">
        <w:rPr>
          <w:rFonts w:ascii="Arial" w:hAnsi="Arial" w:cs="Arial"/>
          <w:sz w:val="20"/>
          <w:szCs w:val="20"/>
        </w:rPr>
        <w:t>The present study aims to assess the impact of lifestyle habits on the nutritional status of patients with type 2 diabetes.</w:t>
      </w:r>
      <w:r w:rsidR="00A944F6" w:rsidRPr="00D775C2">
        <w:rPr>
          <w:rFonts w:ascii="Arial" w:hAnsi="Arial" w:cs="Arial"/>
          <w:sz w:val="20"/>
          <w:szCs w:val="20"/>
        </w:rPr>
        <w:t xml:space="preserve"> </w:t>
      </w:r>
    </w:p>
    <w:p w14:paraId="5DCC8577" w14:textId="77777777" w:rsidR="007A0C26" w:rsidRDefault="004C34F3" w:rsidP="00EB4E3E">
      <w:pPr>
        <w:spacing w:line="240" w:lineRule="auto"/>
        <w:jc w:val="both"/>
        <w:rPr>
          <w:rFonts w:ascii="Arial" w:hAnsi="Arial" w:cs="Arial"/>
          <w:sz w:val="20"/>
          <w:szCs w:val="20"/>
        </w:rPr>
      </w:pPr>
      <w:r w:rsidRPr="00D775C2">
        <w:rPr>
          <w:rFonts w:ascii="Arial" w:hAnsi="Arial" w:cs="Arial"/>
          <w:b/>
          <w:bCs/>
          <w:sz w:val="20"/>
          <w:szCs w:val="20"/>
        </w:rPr>
        <w:t>Method and Materials</w:t>
      </w:r>
      <w:r w:rsidR="00A944F6" w:rsidRPr="00D775C2">
        <w:rPr>
          <w:rFonts w:ascii="Arial" w:hAnsi="Arial" w:cs="Arial"/>
          <w:b/>
          <w:bCs/>
          <w:sz w:val="20"/>
          <w:szCs w:val="20"/>
        </w:rPr>
        <w:t xml:space="preserve">: </w:t>
      </w:r>
      <w:r w:rsidR="003E13C5" w:rsidRPr="00D775C2">
        <w:rPr>
          <w:rFonts w:ascii="Arial" w:hAnsi="Arial" w:cs="Arial"/>
          <w:sz w:val="20"/>
          <w:szCs w:val="20"/>
        </w:rPr>
        <w:t xml:space="preserve">A total of </w:t>
      </w:r>
      <w:r w:rsidR="00B1188E" w:rsidRPr="00D775C2">
        <w:rPr>
          <w:rFonts w:ascii="Arial" w:hAnsi="Arial" w:cs="Arial"/>
          <w:sz w:val="20"/>
          <w:szCs w:val="20"/>
        </w:rPr>
        <w:t>250</w:t>
      </w:r>
      <w:r w:rsidR="003E13C5" w:rsidRPr="00D775C2">
        <w:rPr>
          <w:rFonts w:ascii="Arial" w:hAnsi="Arial" w:cs="Arial"/>
          <w:sz w:val="20"/>
          <w:szCs w:val="20"/>
        </w:rPr>
        <w:t xml:space="preserve"> </w:t>
      </w:r>
      <w:r w:rsidR="00A5554C" w:rsidRPr="00D775C2">
        <w:rPr>
          <w:rFonts w:ascii="Arial" w:hAnsi="Arial" w:cs="Arial"/>
          <w:sz w:val="20"/>
          <w:szCs w:val="20"/>
        </w:rPr>
        <w:t>outpatients with</w:t>
      </w:r>
      <w:r w:rsidR="005118B5" w:rsidRPr="00D775C2">
        <w:rPr>
          <w:rFonts w:ascii="Arial" w:hAnsi="Arial" w:cs="Arial"/>
          <w:sz w:val="20"/>
          <w:szCs w:val="20"/>
        </w:rPr>
        <w:t xml:space="preserve"> type 2 </w:t>
      </w:r>
      <w:r w:rsidR="00A5554C" w:rsidRPr="00D775C2">
        <w:rPr>
          <w:rFonts w:ascii="Arial" w:hAnsi="Arial" w:cs="Arial"/>
          <w:sz w:val="20"/>
          <w:szCs w:val="20"/>
        </w:rPr>
        <w:t>diabetes</w:t>
      </w:r>
      <w:r w:rsidR="005118B5" w:rsidRPr="00D775C2">
        <w:rPr>
          <w:rFonts w:ascii="Arial" w:hAnsi="Arial" w:cs="Arial"/>
          <w:sz w:val="20"/>
          <w:szCs w:val="20"/>
        </w:rPr>
        <w:t xml:space="preserve"> were selected based on </w:t>
      </w:r>
      <w:r w:rsidR="00A5554C" w:rsidRPr="00D775C2">
        <w:rPr>
          <w:rFonts w:ascii="Arial" w:hAnsi="Arial" w:cs="Arial"/>
          <w:sz w:val="20"/>
          <w:szCs w:val="20"/>
        </w:rPr>
        <w:t>a purposive</w:t>
      </w:r>
      <w:r w:rsidR="001D50A3" w:rsidRPr="00D775C2">
        <w:rPr>
          <w:rFonts w:ascii="Arial" w:hAnsi="Arial" w:cs="Arial"/>
          <w:sz w:val="20"/>
          <w:szCs w:val="20"/>
        </w:rPr>
        <w:t xml:space="preserve"> </w:t>
      </w:r>
      <w:r w:rsidR="00A5554C" w:rsidRPr="00D775C2">
        <w:rPr>
          <w:rFonts w:ascii="Arial" w:hAnsi="Arial" w:cs="Arial"/>
          <w:sz w:val="20"/>
          <w:szCs w:val="20"/>
        </w:rPr>
        <w:t>non-</w:t>
      </w:r>
      <w:r w:rsidR="001D50A3" w:rsidRPr="00D775C2">
        <w:rPr>
          <w:rFonts w:ascii="Arial" w:hAnsi="Arial" w:cs="Arial"/>
          <w:sz w:val="20"/>
          <w:szCs w:val="20"/>
        </w:rPr>
        <w:t>random sampling technique.</w:t>
      </w:r>
      <w:r w:rsidR="004C090B" w:rsidRPr="00D775C2">
        <w:rPr>
          <w:rFonts w:ascii="Arial" w:hAnsi="Arial" w:cs="Arial"/>
          <w:sz w:val="20"/>
          <w:szCs w:val="20"/>
        </w:rPr>
        <w:t xml:space="preserve"> </w:t>
      </w:r>
      <w:r w:rsidR="008F436D" w:rsidRPr="00D775C2">
        <w:rPr>
          <w:rFonts w:ascii="Arial" w:hAnsi="Arial" w:cs="Arial"/>
          <w:sz w:val="20"/>
          <w:szCs w:val="20"/>
        </w:rPr>
        <w:t xml:space="preserve">The data </w:t>
      </w:r>
      <w:r w:rsidR="000B6BF4" w:rsidRPr="00D775C2">
        <w:rPr>
          <w:rFonts w:ascii="Arial" w:hAnsi="Arial" w:cs="Arial"/>
          <w:sz w:val="20"/>
          <w:szCs w:val="20"/>
        </w:rPr>
        <w:t>was collected</w:t>
      </w:r>
      <w:r w:rsidR="0075509A" w:rsidRPr="00D775C2">
        <w:rPr>
          <w:rFonts w:ascii="Arial" w:hAnsi="Arial" w:cs="Arial"/>
          <w:sz w:val="20"/>
          <w:szCs w:val="20"/>
        </w:rPr>
        <w:t xml:space="preserve"> from </w:t>
      </w:r>
      <w:r w:rsidR="002177EB" w:rsidRPr="00D775C2">
        <w:rPr>
          <w:rFonts w:ascii="Arial" w:hAnsi="Arial" w:cs="Arial"/>
          <w:sz w:val="20"/>
          <w:szCs w:val="20"/>
        </w:rPr>
        <w:t>Sir Sunder</w:t>
      </w:r>
      <w:r w:rsidR="001A59FE" w:rsidRPr="00D775C2">
        <w:rPr>
          <w:rFonts w:ascii="Arial" w:hAnsi="Arial" w:cs="Arial"/>
          <w:sz w:val="20"/>
          <w:szCs w:val="20"/>
        </w:rPr>
        <w:t xml:space="preserve"> Lal</w:t>
      </w:r>
      <w:r w:rsidR="002177EB" w:rsidRPr="00D775C2">
        <w:rPr>
          <w:rFonts w:ascii="Arial" w:hAnsi="Arial" w:cs="Arial"/>
          <w:sz w:val="20"/>
          <w:szCs w:val="20"/>
        </w:rPr>
        <w:t xml:space="preserve"> Hospital, BHU</w:t>
      </w:r>
      <w:r w:rsidR="00CC0236" w:rsidRPr="00D775C2">
        <w:rPr>
          <w:rFonts w:ascii="Arial" w:hAnsi="Arial" w:cs="Arial"/>
          <w:sz w:val="20"/>
          <w:szCs w:val="20"/>
        </w:rPr>
        <w:t>, Varanasi, U</w:t>
      </w:r>
      <w:r w:rsidR="00D54F95" w:rsidRPr="00D775C2">
        <w:rPr>
          <w:rFonts w:ascii="Arial" w:hAnsi="Arial" w:cs="Arial"/>
          <w:sz w:val="20"/>
          <w:szCs w:val="20"/>
        </w:rPr>
        <w:t xml:space="preserve">ttar Pradesh. The CTRI registration has been done and the ethical </w:t>
      </w:r>
      <w:r w:rsidR="00306F5B" w:rsidRPr="00D775C2">
        <w:rPr>
          <w:rFonts w:ascii="Arial" w:hAnsi="Arial" w:cs="Arial"/>
          <w:sz w:val="20"/>
          <w:szCs w:val="20"/>
        </w:rPr>
        <w:t xml:space="preserve">approval </w:t>
      </w:r>
      <w:r w:rsidR="004F037C" w:rsidRPr="00D775C2">
        <w:rPr>
          <w:rFonts w:ascii="Arial" w:hAnsi="Arial" w:cs="Arial"/>
          <w:sz w:val="20"/>
          <w:szCs w:val="20"/>
        </w:rPr>
        <w:t xml:space="preserve">taken from the </w:t>
      </w:r>
      <w:r w:rsidR="004B1630" w:rsidRPr="00D775C2">
        <w:rPr>
          <w:rFonts w:ascii="Arial" w:hAnsi="Arial" w:cs="Arial"/>
          <w:sz w:val="20"/>
          <w:szCs w:val="20"/>
        </w:rPr>
        <w:t>Ethics Committee, Institute of Science</w:t>
      </w:r>
      <w:r w:rsidR="001A59FE" w:rsidRPr="00D775C2">
        <w:rPr>
          <w:rFonts w:ascii="Arial" w:hAnsi="Arial" w:cs="Arial"/>
          <w:sz w:val="20"/>
          <w:szCs w:val="20"/>
        </w:rPr>
        <w:t>.</w:t>
      </w:r>
      <w:r w:rsidR="00C44179" w:rsidRPr="00D775C2">
        <w:rPr>
          <w:rFonts w:ascii="Arial" w:hAnsi="Arial" w:cs="Arial"/>
          <w:sz w:val="20"/>
          <w:szCs w:val="20"/>
        </w:rPr>
        <w:t xml:space="preserve"> </w:t>
      </w:r>
      <w:r w:rsidR="00B24959" w:rsidRPr="00D775C2">
        <w:rPr>
          <w:rFonts w:ascii="Arial" w:hAnsi="Arial" w:cs="Arial"/>
          <w:sz w:val="20"/>
          <w:szCs w:val="20"/>
        </w:rPr>
        <w:t>Socio-</w:t>
      </w:r>
      <w:r w:rsidR="00C44179" w:rsidRPr="00D775C2">
        <w:rPr>
          <w:rFonts w:ascii="Arial" w:hAnsi="Arial" w:cs="Arial"/>
          <w:sz w:val="20"/>
          <w:szCs w:val="20"/>
        </w:rPr>
        <w:t xml:space="preserve">demographic profile, </w:t>
      </w:r>
      <w:r w:rsidR="00B24959" w:rsidRPr="00D775C2">
        <w:rPr>
          <w:rFonts w:ascii="Arial" w:hAnsi="Arial" w:cs="Arial"/>
          <w:sz w:val="20"/>
          <w:szCs w:val="20"/>
        </w:rPr>
        <w:t>biochemical</w:t>
      </w:r>
      <w:r w:rsidR="009F2AC8" w:rsidRPr="00D775C2">
        <w:rPr>
          <w:rFonts w:ascii="Arial" w:hAnsi="Arial" w:cs="Arial"/>
          <w:sz w:val="20"/>
          <w:szCs w:val="20"/>
        </w:rPr>
        <w:t xml:space="preserve"> profile, </w:t>
      </w:r>
      <w:r w:rsidR="00B24959" w:rsidRPr="00D775C2">
        <w:rPr>
          <w:rFonts w:ascii="Arial" w:hAnsi="Arial" w:cs="Arial"/>
          <w:sz w:val="20"/>
          <w:szCs w:val="20"/>
        </w:rPr>
        <w:t>nutritional profile,</w:t>
      </w:r>
      <w:r w:rsidR="007E2802" w:rsidRPr="00D775C2">
        <w:rPr>
          <w:rFonts w:ascii="Arial" w:hAnsi="Arial" w:cs="Arial"/>
          <w:sz w:val="20"/>
          <w:szCs w:val="20"/>
        </w:rPr>
        <w:t xml:space="preserve"> </w:t>
      </w:r>
      <w:r w:rsidR="005820F0" w:rsidRPr="00D775C2">
        <w:rPr>
          <w:rFonts w:ascii="Arial" w:hAnsi="Arial" w:cs="Arial"/>
          <w:sz w:val="20"/>
          <w:szCs w:val="20"/>
        </w:rPr>
        <w:t xml:space="preserve">and </w:t>
      </w:r>
      <w:r w:rsidR="000D4288" w:rsidRPr="00D775C2">
        <w:rPr>
          <w:rFonts w:ascii="Arial" w:hAnsi="Arial" w:cs="Arial"/>
          <w:sz w:val="20"/>
          <w:szCs w:val="20"/>
        </w:rPr>
        <w:t>lifestyle</w:t>
      </w:r>
      <w:r w:rsidR="00D46B0B" w:rsidRPr="00D775C2">
        <w:rPr>
          <w:rFonts w:ascii="Arial" w:hAnsi="Arial" w:cs="Arial"/>
          <w:sz w:val="20"/>
          <w:szCs w:val="20"/>
        </w:rPr>
        <w:t xml:space="preserve"> </w:t>
      </w:r>
      <w:r w:rsidR="00DB799A" w:rsidRPr="00D775C2">
        <w:rPr>
          <w:rFonts w:ascii="Arial" w:hAnsi="Arial" w:cs="Arial"/>
          <w:sz w:val="20"/>
          <w:szCs w:val="20"/>
        </w:rPr>
        <w:t xml:space="preserve">habits </w:t>
      </w:r>
      <w:r w:rsidR="00D96938" w:rsidRPr="00D775C2">
        <w:rPr>
          <w:rFonts w:ascii="Arial" w:hAnsi="Arial" w:cs="Arial"/>
          <w:sz w:val="20"/>
          <w:szCs w:val="20"/>
        </w:rPr>
        <w:t xml:space="preserve">assessed through </w:t>
      </w:r>
      <w:r w:rsidR="002D63BC" w:rsidRPr="00D775C2">
        <w:rPr>
          <w:rFonts w:ascii="Arial" w:hAnsi="Arial" w:cs="Arial"/>
          <w:sz w:val="20"/>
          <w:szCs w:val="20"/>
        </w:rPr>
        <w:t>interview,</w:t>
      </w:r>
      <w:r w:rsidR="00593591" w:rsidRPr="00D775C2">
        <w:rPr>
          <w:rFonts w:ascii="Arial" w:hAnsi="Arial" w:cs="Arial"/>
          <w:sz w:val="20"/>
          <w:szCs w:val="20"/>
        </w:rPr>
        <w:t xml:space="preserve"> </w:t>
      </w:r>
      <w:r w:rsidR="00102064" w:rsidRPr="00D775C2">
        <w:rPr>
          <w:rFonts w:ascii="Arial" w:hAnsi="Arial" w:cs="Arial"/>
          <w:sz w:val="20"/>
          <w:szCs w:val="20"/>
        </w:rPr>
        <w:t xml:space="preserve">self-structured </w:t>
      </w:r>
      <w:r w:rsidR="002D63BC" w:rsidRPr="00D775C2">
        <w:rPr>
          <w:rFonts w:ascii="Arial" w:hAnsi="Arial" w:cs="Arial"/>
          <w:sz w:val="20"/>
          <w:szCs w:val="20"/>
        </w:rPr>
        <w:t>questionnaire,</w:t>
      </w:r>
      <w:r w:rsidR="00102064" w:rsidRPr="00D775C2">
        <w:rPr>
          <w:rFonts w:ascii="Arial" w:hAnsi="Arial" w:cs="Arial"/>
          <w:sz w:val="20"/>
          <w:szCs w:val="20"/>
        </w:rPr>
        <w:t xml:space="preserve"> </w:t>
      </w:r>
      <w:r w:rsidR="00593591" w:rsidRPr="00D775C2">
        <w:rPr>
          <w:rFonts w:ascii="Arial" w:hAnsi="Arial" w:cs="Arial"/>
          <w:sz w:val="20"/>
          <w:szCs w:val="20"/>
        </w:rPr>
        <w:t xml:space="preserve">and </w:t>
      </w:r>
      <w:r w:rsidR="007833A8" w:rsidRPr="00D775C2">
        <w:rPr>
          <w:rFonts w:ascii="Arial" w:hAnsi="Arial" w:cs="Arial"/>
          <w:sz w:val="20"/>
          <w:szCs w:val="20"/>
        </w:rPr>
        <w:t>tools.</w:t>
      </w:r>
      <w:r w:rsidR="0026118E" w:rsidRPr="00D775C2">
        <w:rPr>
          <w:rFonts w:ascii="Arial" w:hAnsi="Arial" w:cs="Arial"/>
          <w:sz w:val="20"/>
          <w:szCs w:val="20"/>
        </w:rPr>
        <w:t xml:space="preserve"> (SPSS 25.0)</w:t>
      </w:r>
      <w:r w:rsidR="00CF110B" w:rsidRPr="00D775C2">
        <w:rPr>
          <w:rFonts w:ascii="Arial" w:hAnsi="Arial" w:cs="Arial"/>
          <w:sz w:val="20"/>
          <w:szCs w:val="20"/>
        </w:rPr>
        <w:t xml:space="preserve"> version used for the analysis of the data.</w:t>
      </w:r>
    </w:p>
    <w:p w14:paraId="1AEFD894" w14:textId="77777777" w:rsidR="007A0C26" w:rsidRDefault="004C34F3" w:rsidP="00EB4E3E">
      <w:pPr>
        <w:spacing w:line="240" w:lineRule="auto"/>
        <w:jc w:val="both"/>
        <w:rPr>
          <w:rFonts w:ascii="Arial" w:hAnsi="Arial" w:cs="Arial"/>
          <w:sz w:val="20"/>
          <w:szCs w:val="20"/>
        </w:rPr>
      </w:pPr>
      <w:r w:rsidRPr="00D775C2">
        <w:rPr>
          <w:rFonts w:ascii="Arial" w:hAnsi="Arial" w:cs="Arial"/>
          <w:b/>
          <w:bCs/>
          <w:sz w:val="20"/>
          <w:szCs w:val="20"/>
        </w:rPr>
        <w:t>Result</w:t>
      </w:r>
      <w:r w:rsidR="00811951" w:rsidRPr="00D775C2">
        <w:rPr>
          <w:rFonts w:ascii="Arial" w:hAnsi="Arial" w:cs="Arial"/>
          <w:b/>
          <w:bCs/>
          <w:sz w:val="20"/>
          <w:szCs w:val="20"/>
        </w:rPr>
        <w:t xml:space="preserve">: </w:t>
      </w:r>
      <w:r w:rsidR="00EE73D0" w:rsidRPr="00D775C2">
        <w:rPr>
          <w:rFonts w:ascii="Arial" w:hAnsi="Arial" w:cs="Arial"/>
          <w:sz w:val="20"/>
          <w:szCs w:val="20"/>
        </w:rPr>
        <w:t>The results of the present study indicate that 52% of the participants were male and 48% were female. The female</w:t>
      </w:r>
      <w:r w:rsidR="001E6CFD" w:rsidRPr="00D775C2">
        <w:rPr>
          <w:rFonts w:ascii="Arial" w:hAnsi="Arial" w:cs="Arial"/>
          <w:sz w:val="20"/>
          <w:szCs w:val="20"/>
        </w:rPr>
        <w:t xml:space="preserve"> patients</w:t>
      </w:r>
      <w:r w:rsidR="00EE73D0" w:rsidRPr="00D775C2">
        <w:rPr>
          <w:rFonts w:ascii="Arial" w:hAnsi="Arial" w:cs="Arial"/>
          <w:sz w:val="20"/>
          <w:szCs w:val="20"/>
        </w:rPr>
        <w:t xml:space="preserve"> </w:t>
      </w:r>
      <w:r w:rsidR="002D63BC" w:rsidRPr="00D775C2">
        <w:rPr>
          <w:rFonts w:ascii="Arial" w:hAnsi="Arial" w:cs="Arial"/>
          <w:sz w:val="20"/>
          <w:szCs w:val="20"/>
        </w:rPr>
        <w:t>had</w:t>
      </w:r>
      <w:r w:rsidR="00EE73D0" w:rsidRPr="00D775C2">
        <w:rPr>
          <w:rFonts w:ascii="Arial" w:hAnsi="Arial" w:cs="Arial"/>
          <w:sz w:val="20"/>
          <w:szCs w:val="20"/>
        </w:rPr>
        <w:t xml:space="preserve"> a higher </w:t>
      </w:r>
      <w:r w:rsidR="001E6CFD" w:rsidRPr="00D775C2">
        <w:rPr>
          <w:rFonts w:ascii="Arial" w:hAnsi="Arial" w:cs="Arial"/>
          <w:sz w:val="20"/>
          <w:szCs w:val="20"/>
        </w:rPr>
        <w:t>mean</w:t>
      </w:r>
      <w:r w:rsidR="00EE73D0" w:rsidRPr="00D775C2">
        <w:rPr>
          <w:rFonts w:ascii="Arial" w:hAnsi="Arial" w:cs="Arial"/>
          <w:sz w:val="20"/>
          <w:szCs w:val="20"/>
        </w:rPr>
        <w:t xml:space="preserve"> BMI (27.8 ± 6.04) compared to males (26.3 ± 3.3), a difference that was statistically significant. Similarly, the waist-to-hip ratio (WHR) was slightly higher in females (1.02 ± 0.08) than in males (1.0 ± 0.54), and this difference was also statistically significant. Further analysis revealed that physical activity, gender, and WHR were significantly associated with BMI.</w:t>
      </w:r>
      <w:r w:rsidR="002D20CB" w:rsidRPr="00D775C2">
        <w:rPr>
          <w:rFonts w:ascii="Arial" w:eastAsia="Times New Roman" w:hAnsi="Arial" w:cs="Arial"/>
          <w:kern w:val="0"/>
          <w:sz w:val="20"/>
          <w:szCs w:val="20"/>
          <w:lang w:eastAsia="en-IN"/>
          <w14:ligatures w14:val="none"/>
        </w:rPr>
        <w:t xml:space="preserve"> </w:t>
      </w:r>
      <w:r w:rsidR="0013745E" w:rsidRPr="00D775C2">
        <w:rPr>
          <w:rFonts w:ascii="Arial" w:eastAsia="Times New Roman" w:hAnsi="Arial" w:cs="Arial"/>
          <w:kern w:val="0"/>
          <w:sz w:val="20"/>
          <w:szCs w:val="20"/>
          <w:lang w:eastAsia="en-IN"/>
          <w14:ligatures w14:val="none"/>
        </w:rPr>
        <w:t xml:space="preserve">The </w:t>
      </w:r>
      <w:r w:rsidR="0013745E" w:rsidRPr="00D775C2">
        <w:rPr>
          <w:rFonts w:ascii="Arial" w:hAnsi="Arial" w:cs="Arial"/>
          <w:sz w:val="20"/>
          <w:szCs w:val="20"/>
        </w:rPr>
        <w:t xml:space="preserve">other </w:t>
      </w:r>
      <w:r w:rsidR="002D63BC" w:rsidRPr="00D775C2">
        <w:rPr>
          <w:rFonts w:ascii="Arial" w:hAnsi="Arial" w:cs="Arial"/>
          <w:sz w:val="20"/>
          <w:szCs w:val="20"/>
        </w:rPr>
        <w:t>variables,</w:t>
      </w:r>
      <w:r w:rsidR="0013745E" w:rsidRPr="00D775C2">
        <w:rPr>
          <w:rFonts w:ascii="Arial" w:hAnsi="Arial" w:cs="Arial"/>
          <w:sz w:val="20"/>
          <w:szCs w:val="20"/>
        </w:rPr>
        <w:t xml:space="preserve"> such as smoking, tobacco use, alcohol consumption, food habits, age, marital status, and </w:t>
      </w:r>
      <w:r w:rsidR="002D63BC" w:rsidRPr="00D775C2">
        <w:rPr>
          <w:rFonts w:ascii="Arial" w:hAnsi="Arial" w:cs="Arial"/>
          <w:sz w:val="20"/>
          <w:szCs w:val="20"/>
        </w:rPr>
        <w:t>socioeconomic status,</w:t>
      </w:r>
      <w:r w:rsidR="0013745E" w:rsidRPr="00D775C2">
        <w:rPr>
          <w:rFonts w:ascii="Arial" w:hAnsi="Arial" w:cs="Arial"/>
          <w:sz w:val="20"/>
          <w:szCs w:val="20"/>
        </w:rPr>
        <w:t xml:space="preserve"> did not show significant associations with </w:t>
      </w:r>
      <w:r w:rsidR="002D63BC" w:rsidRPr="00D775C2">
        <w:rPr>
          <w:rFonts w:ascii="Arial" w:hAnsi="Arial" w:cs="Arial"/>
          <w:sz w:val="20"/>
          <w:szCs w:val="20"/>
        </w:rPr>
        <w:t>the BMI</w:t>
      </w:r>
      <w:r w:rsidR="0013745E" w:rsidRPr="00D775C2">
        <w:rPr>
          <w:rFonts w:ascii="Arial" w:hAnsi="Arial" w:cs="Arial"/>
          <w:sz w:val="20"/>
          <w:szCs w:val="20"/>
        </w:rPr>
        <w:t xml:space="preserve"> (p &gt; 0.05)</w:t>
      </w:r>
      <w:r w:rsidR="00FA0B5F" w:rsidRPr="00D775C2">
        <w:rPr>
          <w:rFonts w:ascii="Arial" w:hAnsi="Arial" w:cs="Arial"/>
          <w:sz w:val="20"/>
          <w:szCs w:val="20"/>
        </w:rPr>
        <w:t xml:space="preserve"> of the patients</w:t>
      </w:r>
      <w:r w:rsidR="0013745E" w:rsidRPr="00D775C2">
        <w:rPr>
          <w:rFonts w:ascii="Arial" w:hAnsi="Arial" w:cs="Arial"/>
          <w:sz w:val="20"/>
          <w:szCs w:val="20"/>
        </w:rPr>
        <w:t>.</w:t>
      </w:r>
    </w:p>
    <w:p w14:paraId="7D6876D4" w14:textId="28B3F5F7" w:rsidR="00BE0FF8" w:rsidRPr="00D775C2" w:rsidRDefault="004C34F3" w:rsidP="00EB4E3E">
      <w:pPr>
        <w:spacing w:line="240" w:lineRule="auto"/>
        <w:jc w:val="both"/>
        <w:rPr>
          <w:rFonts w:ascii="Arial" w:hAnsi="Arial" w:cs="Arial"/>
          <w:sz w:val="20"/>
          <w:szCs w:val="20"/>
        </w:rPr>
      </w:pPr>
      <w:r w:rsidRPr="00D775C2">
        <w:rPr>
          <w:rFonts w:ascii="Arial" w:hAnsi="Arial" w:cs="Arial"/>
          <w:b/>
          <w:bCs/>
          <w:sz w:val="20"/>
          <w:szCs w:val="20"/>
        </w:rPr>
        <w:t>Conclusion</w:t>
      </w:r>
      <w:r w:rsidR="004112A7" w:rsidRPr="00D775C2">
        <w:rPr>
          <w:rFonts w:ascii="Arial" w:hAnsi="Arial" w:cs="Arial"/>
          <w:b/>
          <w:bCs/>
          <w:sz w:val="20"/>
          <w:szCs w:val="20"/>
        </w:rPr>
        <w:t>:</w:t>
      </w:r>
      <w:r w:rsidR="00164B4C" w:rsidRPr="00D775C2">
        <w:rPr>
          <w:rFonts w:ascii="Arial" w:hAnsi="Arial" w:cs="Arial"/>
          <w:sz w:val="20"/>
          <w:szCs w:val="20"/>
        </w:rPr>
        <w:t xml:space="preserve"> This study underscores the significant impact of lifestyle and </w:t>
      </w:r>
      <w:r w:rsidR="002D63BC" w:rsidRPr="00D775C2">
        <w:rPr>
          <w:rFonts w:ascii="Arial" w:hAnsi="Arial" w:cs="Arial"/>
          <w:sz w:val="20"/>
          <w:szCs w:val="20"/>
        </w:rPr>
        <w:t>sociodemographic</w:t>
      </w:r>
      <w:r w:rsidR="00164B4C" w:rsidRPr="00D775C2">
        <w:rPr>
          <w:rFonts w:ascii="Arial" w:hAnsi="Arial" w:cs="Arial"/>
          <w:sz w:val="20"/>
          <w:szCs w:val="20"/>
        </w:rPr>
        <w:t xml:space="preserve"> factors on Body Mass Index (BMI). </w:t>
      </w:r>
      <w:r w:rsidR="00912E61" w:rsidRPr="00D775C2">
        <w:rPr>
          <w:rFonts w:ascii="Arial" w:hAnsi="Arial" w:cs="Arial"/>
          <w:sz w:val="20"/>
          <w:szCs w:val="20"/>
        </w:rPr>
        <w:t xml:space="preserve">Among </w:t>
      </w:r>
      <w:r w:rsidR="006E6395" w:rsidRPr="00D775C2">
        <w:rPr>
          <w:rFonts w:ascii="Arial" w:hAnsi="Arial" w:cs="Arial"/>
          <w:sz w:val="20"/>
          <w:szCs w:val="20"/>
        </w:rPr>
        <w:t>that</w:t>
      </w:r>
      <w:r w:rsidR="00BE0FF8" w:rsidRPr="00D775C2">
        <w:rPr>
          <w:rFonts w:ascii="Arial" w:hAnsi="Arial" w:cs="Arial"/>
          <w:sz w:val="20"/>
          <w:szCs w:val="20"/>
        </w:rPr>
        <w:t xml:space="preserve"> physical activity, gender, and WHR </w:t>
      </w:r>
      <w:r w:rsidR="002D63BC" w:rsidRPr="00D775C2">
        <w:rPr>
          <w:rFonts w:ascii="Arial" w:hAnsi="Arial" w:cs="Arial"/>
          <w:sz w:val="20"/>
          <w:szCs w:val="20"/>
        </w:rPr>
        <w:t>are</w:t>
      </w:r>
      <w:r w:rsidR="00BE0FF8" w:rsidRPr="00D775C2">
        <w:rPr>
          <w:rFonts w:ascii="Arial" w:hAnsi="Arial" w:cs="Arial"/>
          <w:sz w:val="20"/>
          <w:szCs w:val="20"/>
        </w:rPr>
        <w:t xml:space="preserve"> key factors influencing BMI. Promoting active lifestyles and addressing these variables can play a crucial role in </w:t>
      </w:r>
      <w:r w:rsidR="002D63BC" w:rsidRPr="00D775C2">
        <w:rPr>
          <w:rFonts w:ascii="Arial" w:hAnsi="Arial" w:cs="Arial"/>
          <w:sz w:val="20"/>
          <w:szCs w:val="20"/>
        </w:rPr>
        <w:t>the effective</w:t>
      </w:r>
      <w:r w:rsidR="00BE0FF8" w:rsidRPr="00D775C2">
        <w:rPr>
          <w:rFonts w:ascii="Arial" w:hAnsi="Arial" w:cs="Arial"/>
          <w:sz w:val="20"/>
          <w:szCs w:val="20"/>
        </w:rPr>
        <w:t xml:space="preserve"> prevention and management</w:t>
      </w:r>
      <w:r w:rsidR="00495543" w:rsidRPr="00D775C2">
        <w:rPr>
          <w:rFonts w:ascii="Arial" w:hAnsi="Arial" w:cs="Arial"/>
          <w:sz w:val="20"/>
          <w:szCs w:val="20"/>
        </w:rPr>
        <w:t xml:space="preserve"> of type 2 diabetes</w:t>
      </w:r>
      <w:r w:rsidR="00BE0FF8" w:rsidRPr="00D775C2">
        <w:rPr>
          <w:rFonts w:ascii="Arial" w:hAnsi="Arial" w:cs="Arial"/>
          <w:sz w:val="20"/>
          <w:szCs w:val="20"/>
        </w:rPr>
        <w:t>.</w:t>
      </w:r>
    </w:p>
    <w:p w14:paraId="3051C53A" w14:textId="5B0EF215" w:rsidR="00C926E2" w:rsidRPr="00D775C2" w:rsidRDefault="00C926E2" w:rsidP="00EB4E3E">
      <w:pPr>
        <w:spacing w:line="240" w:lineRule="auto"/>
        <w:jc w:val="both"/>
        <w:rPr>
          <w:rFonts w:ascii="Arial" w:hAnsi="Arial" w:cs="Arial"/>
          <w:i/>
          <w:iCs/>
          <w:sz w:val="20"/>
          <w:szCs w:val="20"/>
        </w:rPr>
      </w:pPr>
      <w:r w:rsidRPr="00D775C2">
        <w:rPr>
          <w:rFonts w:ascii="Arial" w:hAnsi="Arial" w:cs="Arial"/>
          <w:b/>
          <w:bCs/>
          <w:i/>
          <w:iCs/>
          <w:sz w:val="20"/>
          <w:szCs w:val="20"/>
        </w:rPr>
        <w:t>K</w:t>
      </w:r>
      <w:r w:rsidR="00D775C2" w:rsidRPr="00D775C2">
        <w:rPr>
          <w:rFonts w:ascii="Arial" w:hAnsi="Arial" w:cs="Arial"/>
          <w:b/>
          <w:bCs/>
          <w:i/>
          <w:iCs/>
          <w:sz w:val="20"/>
          <w:szCs w:val="20"/>
        </w:rPr>
        <w:t>eywords</w:t>
      </w:r>
      <w:r w:rsidRPr="00D775C2">
        <w:rPr>
          <w:rFonts w:ascii="Arial" w:hAnsi="Arial" w:cs="Arial"/>
          <w:b/>
          <w:bCs/>
          <w:i/>
          <w:iCs/>
          <w:sz w:val="20"/>
          <w:szCs w:val="20"/>
        </w:rPr>
        <w:t xml:space="preserve">: </w:t>
      </w:r>
      <w:r w:rsidR="00073E68" w:rsidRPr="00D775C2">
        <w:rPr>
          <w:rFonts w:ascii="Arial" w:hAnsi="Arial" w:cs="Arial"/>
          <w:i/>
          <w:iCs/>
          <w:sz w:val="20"/>
          <w:szCs w:val="20"/>
        </w:rPr>
        <w:t>T2DM, Lifestyle Habits, Body Mass Index, Physical Activity.</w:t>
      </w:r>
    </w:p>
    <w:p w14:paraId="3312D664" w14:textId="65D5DD70" w:rsidR="00F5757E" w:rsidRPr="00D775C2" w:rsidRDefault="00A56247" w:rsidP="00D775C2">
      <w:pPr>
        <w:pStyle w:val="ListParagraph"/>
        <w:numPr>
          <w:ilvl w:val="0"/>
          <w:numId w:val="22"/>
        </w:numPr>
        <w:spacing w:line="240" w:lineRule="auto"/>
        <w:ind w:left="284"/>
        <w:jc w:val="both"/>
        <w:rPr>
          <w:rFonts w:ascii="Arial" w:hAnsi="Arial" w:cs="Arial"/>
          <w:b/>
          <w:bCs/>
          <w:sz w:val="22"/>
        </w:rPr>
      </w:pPr>
      <w:r w:rsidRPr="00D775C2">
        <w:rPr>
          <w:rFonts w:ascii="Arial" w:hAnsi="Arial" w:cs="Arial"/>
          <w:b/>
          <w:bCs/>
          <w:sz w:val="22"/>
        </w:rPr>
        <w:t>INTRODUCTION</w:t>
      </w:r>
    </w:p>
    <w:p w14:paraId="729DA077" w14:textId="0AF3D473" w:rsidR="001D2344" w:rsidRPr="00D775C2" w:rsidRDefault="001D11CE" w:rsidP="00EB4E3E">
      <w:pPr>
        <w:spacing w:line="240" w:lineRule="auto"/>
        <w:jc w:val="both"/>
        <w:rPr>
          <w:rFonts w:ascii="Arial" w:hAnsi="Arial" w:cs="Arial"/>
          <w:sz w:val="20"/>
          <w:szCs w:val="20"/>
        </w:rPr>
      </w:pPr>
      <w:r w:rsidRPr="00D775C2">
        <w:rPr>
          <w:rFonts w:ascii="Arial" w:hAnsi="Arial" w:cs="Arial"/>
          <w:sz w:val="20"/>
          <w:szCs w:val="20"/>
        </w:rPr>
        <w:t xml:space="preserve">Diabetes mellitus is a chronic condition that impacts the </w:t>
      </w:r>
      <w:r w:rsidR="002579FA" w:rsidRPr="00D775C2">
        <w:rPr>
          <w:rFonts w:ascii="Arial" w:hAnsi="Arial" w:cs="Arial"/>
          <w:sz w:val="20"/>
          <w:szCs w:val="20"/>
        </w:rPr>
        <w:t>body’s</w:t>
      </w:r>
      <w:r w:rsidRPr="00D775C2">
        <w:rPr>
          <w:rFonts w:ascii="Arial" w:hAnsi="Arial" w:cs="Arial"/>
          <w:sz w:val="20"/>
          <w:szCs w:val="20"/>
        </w:rPr>
        <w:t xml:space="preserve"> </w:t>
      </w:r>
      <w:r w:rsidR="002579FA" w:rsidRPr="00D775C2">
        <w:rPr>
          <w:rFonts w:ascii="Arial" w:hAnsi="Arial" w:cs="Arial"/>
          <w:sz w:val="20"/>
          <w:szCs w:val="20"/>
        </w:rPr>
        <w:t>processes of</w:t>
      </w:r>
      <w:r w:rsidRPr="00D775C2">
        <w:rPr>
          <w:rFonts w:ascii="Arial" w:hAnsi="Arial" w:cs="Arial"/>
          <w:sz w:val="20"/>
          <w:szCs w:val="20"/>
        </w:rPr>
        <w:t xml:space="preserve"> glucose, leading to significant health issues</w:t>
      </w:r>
      <w:r w:rsidR="005B1B41" w:rsidRPr="00D775C2">
        <w:rPr>
          <w:rFonts w:ascii="Arial" w:hAnsi="Arial" w:cs="Arial"/>
          <w:sz w:val="20"/>
          <w:szCs w:val="20"/>
        </w:rPr>
        <w:t>.</w:t>
      </w:r>
      <w:r w:rsidR="00984E65" w:rsidRPr="00D775C2">
        <w:rPr>
          <w:rFonts w:ascii="Arial" w:hAnsi="Arial" w:cs="Arial"/>
          <w:sz w:val="20"/>
          <w:szCs w:val="20"/>
        </w:rPr>
        <w:t xml:space="preserve"> Diabetes often presents with noticeable symptoms such as excessive urination, intense thirst, unintentional weight loss—sometimes along with increased appetite—and blurry vision. When high blood sugar levels persist over time, </w:t>
      </w:r>
      <w:r w:rsidR="00F07070" w:rsidRPr="00D775C2">
        <w:rPr>
          <w:rFonts w:ascii="Arial" w:hAnsi="Arial" w:cs="Arial"/>
          <w:sz w:val="20"/>
          <w:szCs w:val="20"/>
        </w:rPr>
        <w:t>they</w:t>
      </w:r>
      <w:r w:rsidR="00984E65" w:rsidRPr="00D775C2">
        <w:rPr>
          <w:rFonts w:ascii="Arial" w:hAnsi="Arial" w:cs="Arial"/>
          <w:sz w:val="20"/>
          <w:szCs w:val="20"/>
        </w:rPr>
        <w:t xml:space="preserve"> may also lead to slowed growth and a higher risk of specific infections. In more serious cases, acute complications like diabetic ketoacidosis or a hyperosmolar non-</w:t>
      </w:r>
      <w:proofErr w:type="spellStart"/>
      <w:r w:rsidR="00984E65" w:rsidRPr="00D775C2">
        <w:rPr>
          <w:rFonts w:ascii="Arial" w:hAnsi="Arial" w:cs="Arial"/>
          <w:sz w:val="20"/>
          <w:szCs w:val="20"/>
        </w:rPr>
        <w:t>ketotic</w:t>
      </w:r>
      <w:proofErr w:type="spellEnd"/>
      <w:r w:rsidR="00984E65" w:rsidRPr="00D775C2">
        <w:rPr>
          <w:rFonts w:ascii="Arial" w:hAnsi="Arial" w:cs="Arial"/>
          <w:sz w:val="20"/>
          <w:szCs w:val="20"/>
        </w:rPr>
        <w:t xml:space="preserve"> state can occur, both of which are potentially life-threatening (</w:t>
      </w:r>
      <w:proofErr w:type="spellStart"/>
      <w:r w:rsidR="00984E65" w:rsidRPr="00D775C2">
        <w:rPr>
          <w:rFonts w:ascii="Arial" w:hAnsi="Arial" w:cs="Arial"/>
          <w:sz w:val="20"/>
          <w:szCs w:val="20"/>
        </w:rPr>
        <w:t>JakJervell</w:t>
      </w:r>
      <w:proofErr w:type="spellEnd"/>
      <w:r w:rsidR="00984E65" w:rsidRPr="00D775C2">
        <w:rPr>
          <w:rFonts w:ascii="Arial" w:hAnsi="Arial" w:cs="Arial"/>
          <w:sz w:val="20"/>
          <w:szCs w:val="20"/>
        </w:rPr>
        <w:t>, 2000)</w:t>
      </w:r>
      <w:r w:rsidR="00314A64" w:rsidRPr="00D775C2">
        <w:rPr>
          <w:rFonts w:ascii="Arial" w:hAnsi="Arial" w:cs="Arial"/>
          <w:sz w:val="20"/>
          <w:szCs w:val="20"/>
        </w:rPr>
        <w:t>.</w:t>
      </w:r>
      <w:r w:rsidR="00CF5765" w:rsidRPr="00D775C2">
        <w:rPr>
          <w:rFonts w:ascii="Arial" w:hAnsi="Arial" w:cs="Arial"/>
          <w:sz w:val="20"/>
          <w:szCs w:val="20"/>
        </w:rPr>
        <w:t xml:space="preserve"> </w:t>
      </w:r>
      <w:r w:rsidR="00D75929" w:rsidRPr="00D775C2">
        <w:rPr>
          <w:rFonts w:ascii="Arial" w:hAnsi="Arial" w:cs="Arial"/>
          <w:sz w:val="20"/>
          <w:szCs w:val="20"/>
        </w:rPr>
        <w:t xml:space="preserve">Severe untreated diabetes, which includes </w:t>
      </w:r>
      <w:proofErr w:type="spellStart"/>
      <w:r w:rsidR="005903ED" w:rsidRPr="00D775C2">
        <w:rPr>
          <w:rFonts w:ascii="Arial" w:hAnsi="Arial" w:cs="Arial"/>
          <w:sz w:val="20"/>
          <w:szCs w:val="20"/>
        </w:rPr>
        <w:t>hyperglycemia</w:t>
      </w:r>
      <w:proofErr w:type="spellEnd"/>
      <w:r w:rsidR="00D75929" w:rsidRPr="00D775C2">
        <w:rPr>
          <w:rFonts w:ascii="Arial" w:hAnsi="Arial" w:cs="Arial"/>
          <w:sz w:val="20"/>
          <w:szCs w:val="20"/>
        </w:rPr>
        <w:t xml:space="preserve"> as a symptom of metabolic disturbance, can lead to various macrovascular complications such as ischemic heart disease, stroke, and peripheral vascular disease, as well as microvascular complications like retinopathy, nephropathy, and neuropathy</w:t>
      </w:r>
      <w:r w:rsidR="00D21720" w:rsidRPr="00D775C2">
        <w:rPr>
          <w:rFonts w:ascii="Arial" w:hAnsi="Arial" w:cs="Arial"/>
          <w:sz w:val="20"/>
          <w:szCs w:val="20"/>
        </w:rPr>
        <w:t xml:space="preserve"> (</w:t>
      </w:r>
      <w:r w:rsidR="00C63303" w:rsidRPr="00D775C2">
        <w:rPr>
          <w:rFonts w:ascii="Arial" w:hAnsi="Arial" w:cs="Arial"/>
          <w:sz w:val="20"/>
          <w:szCs w:val="20"/>
        </w:rPr>
        <w:t>Krishnan et al., 2015</w:t>
      </w:r>
      <w:r w:rsidR="00D21720" w:rsidRPr="00D775C2">
        <w:rPr>
          <w:rFonts w:ascii="Arial" w:hAnsi="Arial" w:cs="Arial"/>
          <w:sz w:val="20"/>
          <w:szCs w:val="20"/>
        </w:rPr>
        <w:t>)</w:t>
      </w:r>
      <w:r w:rsidR="00D75929" w:rsidRPr="00D775C2">
        <w:rPr>
          <w:rFonts w:ascii="Arial" w:hAnsi="Arial" w:cs="Arial"/>
          <w:sz w:val="20"/>
          <w:szCs w:val="20"/>
        </w:rPr>
        <w:t xml:space="preserve">. </w:t>
      </w:r>
    </w:p>
    <w:p w14:paraId="3F6446F4" w14:textId="285FCDF4" w:rsidR="00A56247" w:rsidRPr="00D775C2" w:rsidRDefault="007E67BD" w:rsidP="00EB4E3E">
      <w:pPr>
        <w:spacing w:line="240" w:lineRule="auto"/>
        <w:jc w:val="both"/>
        <w:rPr>
          <w:rFonts w:ascii="Arial" w:hAnsi="Arial" w:cs="Arial"/>
          <w:sz w:val="20"/>
          <w:szCs w:val="20"/>
        </w:rPr>
      </w:pPr>
      <w:r w:rsidRPr="00D775C2">
        <w:rPr>
          <w:rFonts w:ascii="Arial" w:hAnsi="Arial" w:cs="Arial"/>
          <w:sz w:val="20"/>
          <w:szCs w:val="20"/>
        </w:rPr>
        <w:t xml:space="preserve">The </w:t>
      </w:r>
      <w:r w:rsidR="00AF225C" w:rsidRPr="00D775C2">
        <w:rPr>
          <w:rFonts w:ascii="Arial" w:hAnsi="Arial" w:cs="Arial"/>
          <w:sz w:val="20"/>
          <w:szCs w:val="20"/>
        </w:rPr>
        <w:t>etiological</w:t>
      </w:r>
      <w:r w:rsidRPr="00D775C2">
        <w:rPr>
          <w:rFonts w:ascii="Arial" w:hAnsi="Arial" w:cs="Arial"/>
          <w:sz w:val="20"/>
          <w:szCs w:val="20"/>
        </w:rPr>
        <w:t xml:space="preserve"> classification of diabetes </w:t>
      </w:r>
      <w:r w:rsidR="00AF225C" w:rsidRPr="00D775C2">
        <w:rPr>
          <w:rFonts w:ascii="Arial" w:hAnsi="Arial" w:cs="Arial"/>
          <w:sz w:val="20"/>
          <w:szCs w:val="20"/>
        </w:rPr>
        <w:t>includes</w:t>
      </w:r>
      <w:r w:rsidRPr="00D775C2">
        <w:rPr>
          <w:rFonts w:ascii="Arial" w:hAnsi="Arial" w:cs="Arial"/>
          <w:sz w:val="20"/>
          <w:szCs w:val="20"/>
        </w:rPr>
        <w:t xml:space="preserve"> gestational diabetes, type 1 diabetes, type 2 diabetes, pre-diabetes, and MRDM.</w:t>
      </w:r>
      <w:r w:rsidR="00563F5A" w:rsidRPr="00D775C2">
        <w:rPr>
          <w:rFonts w:ascii="Arial" w:hAnsi="Arial" w:cs="Arial"/>
          <w:sz w:val="20"/>
          <w:szCs w:val="20"/>
        </w:rPr>
        <w:t xml:space="preserve"> It's crucial to note the distinction between Type </w:t>
      </w:r>
      <w:r w:rsidR="00354EEE" w:rsidRPr="00D775C2">
        <w:rPr>
          <w:rFonts w:ascii="Arial" w:hAnsi="Arial" w:cs="Arial"/>
          <w:sz w:val="20"/>
          <w:szCs w:val="20"/>
        </w:rPr>
        <w:t>1</w:t>
      </w:r>
      <w:r w:rsidR="00563F5A" w:rsidRPr="00D775C2">
        <w:rPr>
          <w:rFonts w:ascii="Arial" w:hAnsi="Arial" w:cs="Arial"/>
          <w:sz w:val="20"/>
          <w:szCs w:val="20"/>
        </w:rPr>
        <w:t xml:space="preserve"> Diabetes Mellitus (T1DM) and </w:t>
      </w:r>
      <w:r w:rsidR="00563F5A" w:rsidRPr="00D775C2">
        <w:rPr>
          <w:rFonts w:ascii="Arial" w:hAnsi="Arial" w:cs="Arial"/>
          <w:sz w:val="20"/>
          <w:szCs w:val="20"/>
        </w:rPr>
        <w:lastRenderedPageBreak/>
        <w:t xml:space="preserve">Type </w:t>
      </w:r>
      <w:r w:rsidR="00354EEE" w:rsidRPr="00D775C2">
        <w:rPr>
          <w:rFonts w:ascii="Arial" w:hAnsi="Arial" w:cs="Arial"/>
          <w:sz w:val="20"/>
          <w:szCs w:val="20"/>
        </w:rPr>
        <w:t>2</w:t>
      </w:r>
      <w:r w:rsidR="00563F5A" w:rsidRPr="00D775C2">
        <w:rPr>
          <w:rFonts w:ascii="Arial" w:hAnsi="Arial" w:cs="Arial"/>
          <w:sz w:val="20"/>
          <w:szCs w:val="20"/>
        </w:rPr>
        <w:t xml:space="preserve"> Diabetes Mellitus (T2DM). T1DM is an autoimmune disease, whereas T2DM is an acquired chronic condition marked by reduced insulin secretion and increased insulin resistance. While diet influences both, it has a more significant role in managing T2DM</w:t>
      </w:r>
      <w:r w:rsidR="00134D45" w:rsidRPr="00D775C2">
        <w:rPr>
          <w:rFonts w:ascii="Arial" w:hAnsi="Arial" w:cs="Arial"/>
          <w:sz w:val="20"/>
          <w:szCs w:val="20"/>
        </w:rPr>
        <w:t xml:space="preserve"> </w:t>
      </w:r>
      <w:r w:rsidR="008A2867" w:rsidRPr="00D775C2">
        <w:rPr>
          <w:rFonts w:ascii="Arial" w:hAnsi="Arial" w:cs="Arial"/>
          <w:sz w:val="20"/>
          <w:szCs w:val="20"/>
        </w:rPr>
        <w:t>(Krishnan et al., 2015).</w:t>
      </w:r>
      <w:r w:rsidR="00D56096" w:rsidRPr="00D775C2">
        <w:rPr>
          <w:rFonts w:ascii="Arial" w:hAnsi="Arial" w:cs="Arial"/>
          <w:sz w:val="20"/>
          <w:szCs w:val="20"/>
        </w:rPr>
        <w:t xml:space="preserve"> For individuals with diabetes and </w:t>
      </w:r>
      <w:proofErr w:type="spellStart"/>
      <w:r w:rsidR="00D56096" w:rsidRPr="00D775C2">
        <w:rPr>
          <w:rFonts w:ascii="Arial" w:hAnsi="Arial" w:cs="Arial"/>
          <w:sz w:val="20"/>
          <w:szCs w:val="20"/>
        </w:rPr>
        <w:t>dyslipidemia</w:t>
      </w:r>
      <w:proofErr w:type="spellEnd"/>
      <w:r w:rsidR="00D56096" w:rsidRPr="00D775C2">
        <w:rPr>
          <w:rFonts w:ascii="Arial" w:hAnsi="Arial" w:cs="Arial"/>
          <w:sz w:val="20"/>
          <w:szCs w:val="20"/>
        </w:rPr>
        <w:t xml:space="preserve">, it is recommended to limit the consumption of trans-fatty acids and </w:t>
      </w:r>
      <w:r w:rsidR="00F93973" w:rsidRPr="00D775C2">
        <w:rPr>
          <w:rFonts w:ascii="Arial" w:hAnsi="Arial" w:cs="Arial"/>
          <w:sz w:val="20"/>
          <w:szCs w:val="20"/>
        </w:rPr>
        <w:t xml:space="preserve">cholesterol </w:t>
      </w:r>
      <w:r w:rsidR="00D56096" w:rsidRPr="00D775C2">
        <w:rPr>
          <w:rFonts w:ascii="Arial" w:hAnsi="Arial" w:cs="Arial"/>
          <w:sz w:val="20"/>
          <w:szCs w:val="20"/>
        </w:rPr>
        <w:t xml:space="preserve">while entirely avoiding alcohol. Protein should comprise approximately 15-20% of the total energy intake. Foods rich in </w:t>
      </w:r>
      <w:r w:rsidR="00455BB7" w:rsidRPr="00D775C2">
        <w:rPr>
          <w:rFonts w:ascii="Arial" w:hAnsi="Arial" w:cs="Arial"/>
          <w:sz w:val="20"/>
          <w:szCs w:val="20"/>
        </w:rPr>
        <w:t>fibre</w:t>
      </w:r>
      <w:r w:rsidR="00D56096" w:rsidRPr="00D775C2">
        <w:rPr>
          <w:rFonts w:ascii="Arial" w:hAnsi="Arial" w:cs="Arial"/>
          <w:sz w:val="20"/>
          <w:szCs w:val="20"/>
        </w:rPr>
        <w:t xml:space="preserve"> and complex carbohydrates are preferable to refined sugars. The diet should be balanced, ensuring it meets the necessary dietary allowances for all vitamins and minerals</w:t>
      </w:r>
      <w:r w:rsidR="00417F01" w:rsidRPr="00D775C2">
        <w:rPr>
          <w:rFonts w:ascii="Arial" w:hAnsi="Arial" w:cs="Arial"/>
          <w:sz w:val="20"/>
          <w:szCs w:val="20"/>
        </w:rPr>
        <w:t>.</w:t>
      </w:r>
      <w:r w:rsidR="004D1213" w:rsidRPr="00D775C2">
        <w:rPr>
          <w:rFonts w:ascii="Arial" w:hAnsi="Arial" w:cs="Arial"/>
          <w:sz w:val="20"/>
          <w:szCs w:val="20"/>
        </w:rPr>
        <w:t xml:space="preserve"> The most common predisposing factors for diabetes include advancing age, obesity, higher economic status, sedentary lifestyle, and a family history of the disease.</w:t>
      </w:r>
      <w:r w:rsidR="000D7AE5" w:rsidRPr="00D775C2">
        <w:rPr>
          <w:rFonts w:ascii="Arial" w:hAnsi="Arial" w:cs="Arial"/>
          <w:sz w:val="20"/>
          <w:szCs w:val="20"/>
        </w:rPr>
        <w:t xml:space="preserve"> Poor dietary habits, sedentary lifestyles, and micronutrient deficiencies can exacerbate insulin resistance and increase the risk of diabetes-related complications.</w:t>
      </w:r>
      <w:r w:rsidR="00546E85" w:rsidRPr="00D775C2">
        <w:rPr>
          <w:rFonts w:ascii="Arial" w:hAnsi="Arial" w:cs="Arial"/>
          <w:sz w:val="20"/>
          <w:szCs w:val="20"/>
        </w:rPr>
        <w:t xml:space="preserve"> People from the Indian subcontinent tend to have a higher prevalence of Type 2 Diabetes Mellitus (T2DM) compared to the host populations</w:t>
      </w:r>
      <w:r w:rsidR="000F6A4E" w:rsidRPr="00D775C2">
        <w:rPr>
          <w:rFonts w:ascii="Arial" w:hAnsi="Arial" w:cs="Arial"/>
          <w:sz w:val="20"/>
          <w:szCs w:val="20"/>
        </w:rPr>
        <w:t xml:space="preserve"> (</w:t>
      </w:r>
      <w:r w:rsidR="001969ED" w:rsidRPr="00D775C2">
        <w:rPr>
          <w:rFonts w:ascii="Arial" w:hAnsi="Arial" w:cs="Arial"/>
          <w:sz w:val="20"/>
          <w:szCs w:val="20"/>
        </w:rPr>
        <w:t>Ramachandran</w:t>
      </w:r>
      <w:r w:rsidR="00DD1DCD" w:rsidRPr="00D775C2">
        <w:rPr>
          <w:rFonts w:ascii="Arial" w:hAnsi="Arial" w:cs="Arial"/>
          <w:sz w:val="20"/>
          <w:szCs w:val="20"/>
        </w:rPr>
        <w:t>, 2002</w:t>
      </w:r>
      <w:r w:rsidR="000F6A4E" w:rsidRPr="00D775C2">
        <w:rPr>
          <w:rFonts w:ascii="Arial" w:hAnsi="Arial" w:cs="Arial"/>
          <w:sz w:val="20"/>
          <w:szCs w:val="20"/>
        </w:rPr>
        <w:t>)</w:t>
      </w:r>
      <w:r w:rsidR="00546E85" w:rsidRPr="00D775C2">
        <w:rPr>
          <w:rFonts w:ascii="Arial" w:hAnsi="Arial" w:cs="Arial"/>
          <w:sz w:val="20"/>
          <w:szCs w:val="20"/>
        </w:rPr>
        <w:t>.</w:t>
      </w:r>
      <w:r w:rsidR="00781D2F" w:rsidRPr="00D775C2">
        <w:rPr>
          <w:rFonts w:ascii="Arial" w:hAnsi="Arial" w:cs="Arial"/>
          <w:sz w:val="20"/>
          <w:szCs w:val="20"/>
        </w:rPr>
        <w:t xml:space="preserve"> However, the most concerning trend is the notable shift in the age of onset of T2DM, now affecting a younger demographic. This shift could have prolonged negative impacts on the nation's overall health and economy, significantly increasing the healthcare burden</w:t>
      </w:r>
      <w:r w:rsidR="000F6A4E" w:rsidRPr="00D775C2">
        <w:rPr>
          <w:rFonts w:ascii="Arial" w:hAnsi="Arial" w:cs="Arial"/>
          <w:sz w:val="20"/>
          <w:szCs w:val="20"/>
        </w:rPr>
        <w:t xml:space="preserve"> (</w:t>
      </w:r>
      <w:r w:rsidR="00DD1DCD" w:rsidRPr="00D775C2">
        <w:rPr>
          <w:rFonts w:ascii="Arial" w:hAnsi="Arial" w:cs="Arial"/>
          <w:sz w:val="20"/>
          <w:szCs w:val="20"/>
        </w:rPr>
        <w:t>Mohan et al., 2007</w:t>
      </w:r>
      <w:r w:rsidR="000F6A4E" w:rsidRPr="00D775C2">
        <w:rPr>
          <w:rFonts w:ascii="Arial" w:hAnsi="Arial" w:cs="Arial"/>
          <w:sz w:val="20"/>
          <w:szCs w:val="20"/>
        </w:rPr>
        <w:t>)</w:t>
      </w:r>
      <w:r w:rsidR="00781D2F" w:rsidRPr="00D775C2">
        <w:rPr>
          <w:rFonts w:ascii="Arial" w:hAnsi="Arial" w:cs="Arial"/>
          <w:sz w:val="20"/>
          <w:szCs w:val="20"/>
        </w:rPr>
        <w:t>.</w:t>
      </w:r>
    </w:p>
    <w:p w14:paraId="362A6F39" w14:textId="77777777" w:rsidR="007A0C26" w:rsidRDefault="0020611D" w:rsidP="00EB4E3E">
      <w:pPr>
        <w:spacing w:line="240" w:lineRule="auto"/>
        <w:jc w:val="both"/>
        <w:rPr>
          <w:rFonts w:ascii="Arial" w:hAnsi="Arial" w:cs="Arial"/>
          <w:sz w:val="20"/>
          <w:szCs w:val="20"/>
        </w:rPr>
      </w:pPr>
      <w:r w:rsidRPr="00D775C2">
        <w:rPr>
          <w:rFonts w:ascii="Arial" w:hAnsi="Arial" w:cs="Arial"/>
          <w:sz w:val="20"/>
          <w:szCs w:val="20"/>
        </w:rPr>
        <w:t xml:space="preserve">Lifestyle choices play a crucial role in both the progression and management of </w:t>
      </w:r>
      <w:r w:rsidR="00AF225C" w:rsidRPr="00D775C2">
        <w:rPr>
          <w:rFonts w:ascii="Arial" w:hAnsi="Arial" w:cs="Arial"/>
          <w:sz w:val="20"/>
          <w:szCs w:val="20"/>
        </w:rPr>
        <w:t>type</w:t>
      </w:r>
      <w:r w:rsidRPr="00D775C2">
        <w:rPr>
          <w:rFonts w:ascii="Arial" w:hAnsi="Arial" w:cs="Arial"/>
          <w:sz w:val="20"/>
          <w:szCs w:val="20"/>
        </w:rPr>
        <w:t xml:space="preserve"> II diabetes. Among the various contributing factors, daily habits such as diet, physical activity, and sleep patterns significantly affect an individual's nutritional status and overall </w:t>
      </w:r>
      <w:proofErr w:type="spellStart"/>
      <w:r w:rsidRPr="00D775C2">
        <w:rPr>
          <w:rFonts w:ascii="Arial" w:hAnsi="Arial" w:cs="Arial"/>
          <w:sz w:val="20"/>
          <w:szCs w:val="20"/>
        </w:rPr>
        <w:t>glycemic</w:t>
      </w:r>
      <w:proofErr w:type="spellEnd"/>
      <w:r w:rsidRPr="00D775C2">
        <w:rPr>
          <w:rFonts w:ascii="Arial" w:hAnsi="Arial" w:cs="Arial"/>
          <w:sz w:val="20"/>
          <w:szCs w:val="20"/>
        </w:rPr>
        <w:t xml:space="preserve"> control. A well-balanced diet that includes high-</w:t>
      </w:r>
      <w:proofErr w:type="spellStart"/>
      <w:r w:rsidRPr="00D775C2">
        <w:rPr>
          <w:rFonts w:ascii="Arial" w:hAnsi="Arial" w:cs="Arial"/>
          <w:sz w:val="20"/>
          <w:szCs w:val="20"/>
        </w:rPr>
        <w:t>fiber</w:t>
      </w:r>
      <w:proofErr w:type="spellEnd"/>
      <w:r w:rsidRPr="00D775C2">
        <w:rPr>
          <w:rFonts w:ascii="Arial" w:hAnsi="Arial" w:cs="Arial"/>
          <w:sz w:val="20"/>
          <w:szCs w:val="20"/>
        </w:rPr>
        <w:t xml:space="preserve"> foods, lean sources of protein, and healthy fats can help regulate blood sugar levels and improve insulin sensitivity. Additionally, engaging in consistent physical activity enhances glucose uptake by muscles and supports weight management, which is vital for diabetes control</w:t>
      </w:r>
      <w:r w:rsidR="00E60DFD" w:rsidRPr="00D775C2">
        <w:rPr>
          <w:rFonts w:ascii="Arial" w:hAnsi="Arial" w:cs="Arial"/>
          <w:sz w:val="20"/>
          <w:szCs w:val="20"/>
        </w:rPr>
        <w:t xml:space="preserve"> (Lee et al., 2012</w:t>
      </w:r>
      <w:r w:rsidR="00B41B04" w:rsidRPr="00D775C2">
        <w:rPr>
          <w:rFonts w:ascii="Arial" w:hAnsi="Arial" w:cs="Arial"/>
          <w:sz w:val="20"/>
          <w:szCs w:val="20"/>
        </w:rPr>
        <w:t xml:space="preserve">, </w:t>
      </w:r>
      <w:r w:rsidR="00B41B04" w:rsidRPr="00D775C2">
        <w:rPr>
          <w:rFonts w:ascii="Arial" w:hAnsi="Arial" w:cs="Arial"/>
          <w:color w:val="000000" w:themeColor="text1"/>
          <w:sz w:val="20"/>
          <w:szCs w:val="20"/>
        </w:rPr>
        <w:t>Warburton et al., 2006</w:t>
      </w:r>
      <w:r w:rsidR="00E60DFD" w:rsidRPr="00D775C2">
        <w:rPr>
          <w:rFonts w:ascii="Arial" w:hAnsi="Arial" w:cs="Arial"/>
          <w:sz w:val="20"/>
          <w:szCs w:val="20"/>
        </w:rPr>
        <w:t>)</w:t>
      </w:r>
      <w:r w:rsidRPr="00D775C2">
        <w:rPr>
          <w:rFonts w:ascii="Arial" w:hAnsi="Arial" w:cs="Arial"/>
          <w:sz w:val="20"/>
          <w:szCs w:val="20"/>
        </w:rPr>
        <w:t xml:space="preserve">. </w:t>
      </w:r>
    </w:p>
    <w:p w14:paraId="73BB7629" w14:textId="77777777" w:rsidR="007A0C26" w:rsidRDefault="0020611D" w:rsidP="00EB4E3E">
      <w:pPr>
        <w:spacing w:line="240" w:lineRule="auto"/>
        <w:jc w:val="both"/>
        <w:rPr>
          <w:rFonts w:ascii="Arial" w:hAnsi="Arial" w:cs="Arial"/>
          <w:sz w:val="20"/>
          <w:szCs w:val="20"/>
        </w:rPr>
      </w:pPr>
      <w:r w:rsidRPr="00D775C2">
        <w:rPr>
          <w:rFonts w:ascii="Arial" w:hAnsi="Arial" w:cs="Arial"/>
          <w:sz w:val="20"/>
          <w:szCs w:val="20"/>
        </w:rPr>
        <w:t>Proper sleep hygiene is equally important, as poor sleep is associated with increased insulin resistance and hormonal imbalances that can worsen diabetic conditions. When these lifestyle modifications are implemented together, they form a comprehensive approach to improving health outcomes in individuals with Type II diabetes (American Diabetes Association, 2023).</w:t>
      </w:r>
      <w:r w:rsidR="00DF5E6C" w:rsidRPr="00D775C2">
        <w:rPr>
          <w:rFonts w:ascii="Arial" w:hAnsi="Arial" w:cs="Arial"/>
          <w:sz w:val="20"/>
          <w:szCs w:val="20"/>
        </w:rPr>
        <w:t xml:space="preserve"> The</w:t>
      </w:r>
      <w:r w:rsidR="004E36A3" w:rsidRPr="00D775C2">
        <w:rPr>
          <w:rFonts w:ascii="Arial" w:hAnsi="Arial" w:cs="Arial"/>
          <w:sz w:val="20"/>
          <w:szCs w:val="20"/>
        </w:rPr>
        <w:t xml:space="preserve"> </w:t>
      </w:r>
      <w:r w:rsidR="00DF5E6C" w:rsidRPr="00D775C2">
        <w:rPr>
          <w:rFonts w:ascii="Arial" w:hAnsi="Arial" w:cs="Arial"/>
          <w:sz w:val="20"/>
          <w:szCs w:val="20"/>
        </w:rPr>
        <w:t xml:space="preserve">factors </w:t>
      </w:r>
      <w:r w:rsidR="00AE08D2" w:rsidRPr="00D775C2">
        <w:rPr>
          <w:rFonts w:ascii="Arial" w:hAnsi="Arial" w:cs="Arial"/>
          <w:sz w:val="20"/>
          <w:szCs w:val="20"/>
        </w:rPr>
        <w:t xml:space="preserve">included in the balanced diet </w:t>
      </w:r>
      <w:r w:rsidR="00DF5E6C" w:rsidRPr="00D775C2">
        <w:rPr>
          <w:rFonts w:ascii="Arial" w:hAnsi="Arial" w:cs="Arial"/>
          <w:sz w:val="20"/>
          <w:szCs w:val="20"/>
        </w:rPr>
        <w:t xml:space="preserve">affect body weight, </w:t>
      </w:r>
      <w:proofErr w:type="spellStart"/>
      <w:r w:rsidR="00DF5E6C" w:rsidRPr="00D775C2">
        <w:rPr>
          <w:rFonts w:ascii="Arial" w:hAnsi="Arial" w:cs="Arial"/>
          <w:sz w:val="20"/>
          <w:szCs w:val="20"/>
        </w:rPr>
        <w:t>glycemic</w:t>
      </w:r>
      <w:proofErr w:type="spellEnd"/>
      <w:r w:rsidR="00DF5E6C" w:rsidRPr="00D775C2">
        <w:rPr>
          <w:rFonts w:ascii="Arial" w:hAnsi="Arial" w:cs="Arial"/>
          <w:sz w:val="20"/>
          <w:szCs w:val="20"/>
        </w:rPr>
        <w:t xml:space="preserve"> management, and general health.</w:t>
      </w:r>
      <w:r w:rsidR="00986E55" w:rsidRPr="00D775C2">
        <w:rPr>
          <w:rFonts w:ascii="Arial" w:eastAsia="Times New Roman" w:hAnsi="Arial" w:cs="Arial"/>
          <w:kern w:val="0"/>
          <w:sz w:val="20"/>
          <w:szCs w:val="20"/>
          <w:lang w:eastAsia="en-IN"/>
          <w14:ligatures w14:val="none"/>
        </w:rPr>
        <w:t xml:space="preserve"> </w:t>
      </w:r>
      <w:r w:rsidR="003F792C" w:rsidRPr="00D775C2">
        <w:rPr>
          <w:rFonts w:ascii="Arial" w:eastAsia="Times New Roman" w:hAnsi="Arial" w:cs="Arial"/>
          <w:kern w:val="0"/>
          <w:sz w:val="20"/>
          <w:szCs w:val="20"/>
          <w:lang w:eastAsia="en-IN"/>
          <w14:ligatures w14:val="none"/>
        </w:rPr>
        <w:t>An assessment of nutritional status should highlight the connection between food, nutrients, their utilization in the body, and overall health. The nutritional status can be categorized as good, fair, or poor, based on the body's capacity to effectively use these nutrients</w:t>
      </w:r>
      <w:r w:rsidR="00986E55" w:rsidRPr="00D775C2">
        <w:rPr>
          <w:rFonts w:ascii="Arial" w:hAnsi="Arial" w:cs="Arial"/>
          <w:sz w:val="20"/>
          <w:szCs w:val="20"/>
        </w:rPr>
        <w:t>. Anthropometric measurements, clinical exams to identify nutritional deficits, and biochemical evaluation are frequently used to determine nutritional status</w:t>
      </w:r>
      <w:r w:rsidR="00B84AD0" w:rsidRPr="00D775C2">
        <w:rPr>
          <w:rFonts w:ascii="Arial" w:hAnsi="Arial" w:cs="Arial"/>
          <w:sz w:val="20"/>
          <w:szCs w:val="20"/>
        </w:rPr>
        <w:t xml:space="preserve"> (Visscher et al., 2001)</w:t>
      </w:r>
      <w:r w:rsidR="00986E55" w:rsidRPr="00D775C2">
        <w:rPr>
          <w:rFonts w:ascii="Arial" w:hAnsi="Arial" w:cs="Arial"/>
          <w:sz w:val="20"/>
          <w:szCs w:val="20"/>
        </w:rPr>
        <w:t xml:space="preserve">. </w:t>
      </w:r>
    </w:p>
    <w:p w14:paraId="12A60BE6" w14:textId="6FE3081F" w:rsidR="00DF5E6C" w:rsidRPr="00D775C2" w:rsidRDefault="00671F06" w:rsidP="00EB4E3E">
      <w:pPr>
        <w:spacing w:line="240" w:lineRule="auto"/>
        <w:jc w:val="both"/>
        <w:rPr>
          <w:rFonts w:ascii="Arial" w:hAnsi="Arial" w:cs="Arial"/>
          <w:sz w:val="20"/>
          <w:szCs w:val="20"/>
        </w:rPr>
      </w:pPr>
      <w:r w:rsidRPr="00D775C2">
        <w:rPr>
          <w:rFonts w:ascii="Arial" w:hAnsi="Arial" w:cs="Arial"/>
          <w:sz w:val="20"/>
          <w:szCs w:val="20"/>
        </w:rPr>
        <w:t>This paper explores the impact of</w:t>
      </w:r>
      <w:r w:rsidR="003829FF" w:rsidRPr="00D775C2">
        <w:rPr>
          <w:rFonts w:ascii="Arial" w:hAnsi="Arial" w:cs="Arial"/>
          <w:sz w:val="20"/>
          <w:szCs w:val="20"/>
        </w:rPr>
        <w:t xml:space="preserve"> socioeconomic </w:t>
      </w:r>
      <w:r w:rsidR="00933BC0" w:rsidRPr="00D775C2">
        <w:rPr>
          <w:rFonts w:ascii="Arial" w:hAnsi="Arial" w:cs="Arial"/>
          <w:sz w:val="20"/>
          <w:szCs w:val="20"/>
        </w:rPr>
        <w:t>status and</w:t>
      </w:r>
      <w:r w:rsidRPr="00D775C2">
        <w:rPr>
          <w:rFonts w:ascii="Arial" w:hAnsi="Arial" w:cs="Arial"/>
          <w:sz w:val="20"/>
          <w:szCs w:val="20"/>
        </w:rPr>
        <w:t xml:space="preserve"> lifestyle habits on the nutritional status of patients with Type II diabetes, highlighting the importance of dietary interventions, exercise, and other modifiable factors in disease management. Understanding these relationships can help healthcare professionals develop targeted strategies to promote healthier lifestyles and improve patient outcomes</w:t>
      </w:r>
      <w:r w:rsidR="00D27F27" w:rsidRPr="00D775C2">
        <w:rPr>
          <w:rFonts w:ascii="Arial" w:hAnsi="Arial" w:cs="Arial"/>
          <w:sz w:val="20"/>
          <w:szCs w:val="20"/>
        </w:rPr>
        <w:t xml:space="preserve"> (Bhurosy &amp; Jeewon, 2014)</w:t>
      </w:r>
      <w:r w:rsidRPr="00D775C2">
        <w:rPr>
          <w:rFonts w:ascii="Arial" w:hAnsi="Arial" w:cs="Arial"/>
          <w:sz w:val="20"/>
          <w:szCs w:val="20"/>
        </w:rPr>
        <w:t>.</w:t>
      </w:r>
      <w:r w:rsidR="00981CD2" w:rsidRPr="00D775C2">
        <w:rPr>
          <w:rFonts w:ascii="Arial" w:hAnsi="Arial" w:cs="Arial"/>
          <w:sz w:val="20"/>
          <w:szCs w:val="20"/>
        </w:rPr>
        <w:t xml:space="preserve"> </w:t>
      </w:r>
    </w:p>
    <w:p w14:paraId="4D1254A9" w14:textId="56D2806D" w:rsidR="000F6A4E" w:rsidRDefault="00C62EEF" w:rsidP="00D775C2">
      <w:pPr>
        <w:pStyle w:val="ListParagraph"/>
        <w:numPr>
          <w:ilvl w:val="0"/>
          <w:numId w:val="22"/>
        </w:numPr>
        <w:spacing w:line="240" w:lineRule="auto"/>
        <w:ind w:left="426"/>
        <w:jc w:val="both"/>
        <w:rPr>
          <w:rFonts w:ascii="Arial" w:hAnsi="Arial" w:cs="Arial"/>
          <w:b/>
          <w:bCs/>
          <w:sz w:val="22"/>
        </w:rPr>
      </w:pPr>
      <w:r w:rsidRPr="00D775C2">
        <w:rPr>
          <w:rFonts w:ascii="Arial" w:hAnsi="Arial" w:cs="Arial"/>
          <w:b/>
          <w:bCs/>
          <w:sz w:val="22"/>
        </w:rPr>
        <w:t>O</w:t>
      </w:r>
      <w:r w:rsidR="00B94D84" w:rsidRPr="00D775C2">
        <w:rPr>
          <w:rFonts w:ascii="Arial" w:hAnsi="Arial" w:cs="Arial"/>
          <w:b/>
          <w:bCs/>
          <w:sz w:val="22"/>
        </w:rPr>
        <w:t>BJECTIVES</w:t>
      </w:r>
    </w:p>
    <w:p w14:paraId="031CF513" w14:textId="77777777" w:rsidR="00D775C2" w:rsidRPr="00D775C2" w:rsidRDefault="00D775C2" w:rsidP="00D775C2">
      <w:pPr>
        <w:pStyle w:val="ListParagraph"/>
        <w:spacing w:line="240" w:lineRule="auto"/>
        <w:ind w:left="426"/>
        <w:jc w:val="both"/>
        <w:rPr>
          <w:rFonts w:ascii="Arial" w:hAnsi="Arial" w:cs="Arial"/>
          <w:b/>
          <w:bCs/>
          <w:sz w:val="22"/>
        </w:rPr>
      </w:pPr>
    </w:p>
    <w:p w14:paraId="752F743C" w14:textId="6319BF55" w:rsidR="00B94D84" w:rsidRPr="00053D5C" w:rsidRDefault="00B94D84" w:rsidP="00053D5C">
      <w:pPr>
        <w:pStyle w:val="ListParagraph"/>
        <w:numPr>
          <w:ilvl w:val="1"/>
          <w:numId w:val="22"/>
        </w:numPr>
        <w:spacing w:line="240" w:lineRule="auto"/>
        <w:jc w:val="both"/>
        <w:rPr>
          <w:rFonts w:ascii="Arial" w:hAnsi="Arial" w:cs="Arial"/>
          <w:sz w:val="20"/>
          <w:szCs w:val="20"/>
        </w:rPr>
      </w:pPr>
      <w:r w:rsidRPr="00053D5C">
        <w:rPr>
          <w:rFonts w:ascii="Arial" w:hAnsi="Arial" w:cs="Arial"/>
          <w:sz w:val="20"/>
          <w:szCs w:val="20"/>
        </w:rPr>
        <w:t xml:space="preserve">To study the </w:t>
      </w:r>
      <w:r w:rsidR="00703F8B" w:rsidRPr="00053D5C">
        <w:rPr>
          <w:rFonts w:ascii="Arial" w:hAnsi="Arial" w:cs="Arial"/>
          <w:sz w:val="20"/>
          <w:szCs w:val="20"/>
        </w:rPr>
        <w:t>lifestyle habits of type 2 diabetes patients.</w:t>
      </w:r>
    </w:p>
    <w:p w14:paraId="2AECBEF1" w14:textId="17BEAECA" w:rsidR="00703F8B" w:rsidRPr="00053D5C" w:rsidRDefault="00703F8B" w:rsidP="00053D5C">
      <w:pPr>
        <w:pStyle w:val="ListParagraph"/>
        <w:numPr>
          <w:ilvl w:val="1"/>
          <w:numId w:val="22"/>
        </w:numPr>
        <w:spacing w:line="240" w:lineRule="auto"/>
        <w:jc w:val="both"/>
        <w:rPr>
          <w:rFonts w:ascii="Arial" w:hAnsi="Arial" w:cs="Arial"/>
          <w:sz w:val="20"/>
          <w:szCs w:val="20"/>
        </w:rPr>
      </w:pPr>
      <w:r w:rsidRPr="00053D5C">
        <w:rPr>
          <w:rFonts w:ascii="Arial" w:hAnsi="Arial" w:cs="Arial"/>
          <w:sz w:val="20"/>
          <w:szCs w:val="20"/>
        </w:rPr>
        <w:t xml:space="preserve">To assess the nutritional status </w:t>
      </w:r>
      <w:r w:rsidR="002063E8" w:rsidRPr="00053D5C">
        <w:rPr>
          <w:rFonts w:ascii="Arial" w:hAnsi="Arial" w:cs="Arial"/>
          <w:sz w:val="20"/>
          <w:szCs w:val="20"/>
        </w:rPr>
        <w:t>of the type 2 diabetes patients.</w:t>
      </w:r>
    </w:p>
    <w:p w14:paraId="49FC2CDC" w14:textId="1B72E80C" w:rsidR="00D775C2" w:rsidRPr="007A0C26" w:rsidRDefault="002063E8" w:rsidP="00D775C2">
      <w:pPr>
        <w:pStyle w:val="ListParagraph"/>
        <w:numPr>
          <w:ilvl w:val="1"/>
          <w:numId w:val="22"/>
        </w:numPr>
        <w:spacing w:line="240" w:lineRule="auto"/>
        <w:jc w:val="both"/>
        <w:rPr>
          <w:rFonts w:ascii="Arial" w:hAnsi="Arial" w:cs="Arial"/>
          <w:sz w:val="20"/>
          <w:szCs w:val="20"/>
        </w:rPr>
      </w:pPr>
      <w:r w:rsidRPr="00D775C2">
        <w:rPr>
          <w:rFonts w:ascii="Arial" w:hAnsi="Arial" w:cs="Arial"/>
          <w:sz w:val="20"/>
          <w:szCs w:val="20"/>
        </w:rPr>
        <w:t xml:space="preserve">To </w:t>
      </w:r>
      <w:proofErr w:type="spellStart"/>
      <w:r w:rsidR="00040E38" w:rsidRPr="00D775C2">
        <w:rPr>
          <w:rFonts w:ascii="Arial" w:hAnsi="Arial" w:cs="Arial"/>
          <w:sz w:val="20"/>
          <w:szCs w:val="20"/>
        </w:rPr>
        <w:t>analyze</w:t>
      </w:r>
      <w:proofErr w:type="spellEnd"/>
      <w:r w:rsidRPr="00D775C2">
        <w:rPr>
          <w:rFonts w:ascii="Arial" w:hAnsi="Arial" w:cs="Arial"/>
          <w:sz w:val="20"/>
          <w:szCs w:val="20"/>
        </w:rPr>
        <w:t xml:space="preserve"> the impact of lifestyle </w:t>
      </w:r>
      <w:r w:rsidR="00F958CE" w:rsidRPr="00D775C2">
        <w:rPr>
          <w:rFonts w:ascii="Arial" w:hAnsi="Arial" w:cs="Arial"/>
          <w:sz w:val="20"/>
          <w:szCs w:val="20"/>
        </w:rPr>
        <w:t>habits on the nutritional status of the patients</w:t>
      </w:r>
    </w:p>
    <w:p w14:paraId="5D15FCDE" w14:textId="1CFE8554" w:rsidR="00AD32D9" w:rsidRPr="00D775C2" w:rsidRDefault="00D775C2" w:rsidP="00D775C2">
      <w:pPr>
        <w:spacing w:line="240" w:lineRule="auto"/>
        <w:jc w:val="both"/>
        <w:rPr>
          <w:rFonts w:ascii="Arial" w:hAnsi="Arial" w:cs="Arial"/>
          <w:b/>
          <w:bCs/>
          <w:sz w:val="22"/>
        </w:rPr>
      </w:pPr>
      <w:r w:rsidRPr="00D775C2">
        <w:rPr>
          <w:rFonts w:ascii="Arial" w:hAnsi="Arial" w:cs="Arial"/>
          <w:b/>
          <w:bCs/>
          <w:sz w:val="22"/>
        </w:rPr>
        <w:t xml:space="preserve">3. </w:t>
      </w:r>
      <w:r w:rsidR="005D6B48" w:rsidRPr="00D775C2">
        <w:rPr>
          <w:rFonts w:ascii="Arial" w:hAnsi="Arial" w:cs="Arial"/>
          <w:b/>
          <w:bCs/>
          <w:sz w:val="22"/>
        </w:rPr>
        <w:t>RESEARCH M</w:t>
      </w:r>
      <w:r w:rsidR="00F500D4" w:rsidRPr="00D775C2">
        <w:rPr>
          <w:rFonts w:ascii="Arial" w:hAnsi="Arial" w:cs="Arial"/>
          <w:b/>
          <w:bCs/>
          <w:sz w:val="22"/>
        </w:rPr>
        <w:t>E</w:t>
      </w:r>
      <w:r w:rsidR="005D6B48" w:rsidRPr="00D775C2">
        <w:rPr>
          <w:rFonts w:ascii="Arial" w:hAnsi="Arial" w:cs="Arial"/>
          <w:b/>
          <w:bCs/>
          <w:sz w:val="22"/>
        </w:rPr>
        <w:t>THODOLOGY</w:t>
      </w:r>
    </w:p>
    <w:p w14:paraId="31D59A25" w14:textId="4D893342" w:rsidR="00F25D91" w:rsidRPr="00D775C2" w:rsidRDefault="00654176" w:rsidP="00EB4E3E">
      <w:pPr>
        <w:spacing w:line="240" w:lineRule="auto"/>
        <w:jc w:val="both"/>
        <w:rPr>
          <w:rFonts w:ascii="Arial" w:hAnsi="Arial" w:cs="Arial"/>
          <w:sz w:val="20"/>
          <w:szCs w:val="20"/>
        </w:rPr>
      </w:pPr>
      <w:r w:rsidRPr="00D775C2">
        <w:rPr>
          <w:rFonts w:ascii="Arial" w:hAnsi="Arial" w:cs="Arial"/>
          <w:sz w:val="20"/>
          <w:szCs w:val="20"/>
        </w:rPr>
        <w:t xml:space="preserve">The present </w:t>
      </w:r>
      <w:r w:rsidR="00040E38" w:rsidRPr="00D775C2">
        <w:rPr>
          <w:rFonts w:ascii="Arial" w:hAnsi="Arial" w:cs="Arial"/>
          <w:sz w:val="20"/>
          <w:szCs w:val="20"/>
        </w:rPr>
        <w:t>study,</w:t>
      </w:r>
      <w:r w:rsidR="00F20E90" w:rsidRPr="00D775C2">
        <w:rPr>
          <w:rFonts w:ascii="Arial" w:hAnsi="Arial" w:cs="Arial"/>
          <w:sz w:val="20"/>
          <w:szCs w:val="20"/>
        </w:rPr>
        <w:t xml:space="preserve"> entitled “Impact of Lifestyle </w:t>
      </w:r>
      <w:r w:rsidR="00C450E5" w:rsidRPr="00D775C2">
        <w:rPr>
          <w:rFonts w:ascii="Arial" w:hAnsi="Arial" w:cs="Arial"/>
          <w:sz w:val="20"/>
          <w:szCs w:val="20"/>
        </w:rPr>
        <w:t xml:space="preserve">Habits on the Nutritional Status of </w:t>
      </w:r>
      <w:r w:rsidR="006F0FCE" w:rsidRPr="00D775C2">
        <w:rPr>
          <w:rFonts w:ascii="Arial" w:hAnsi="Arial" w:cs="Arial"/>
          <w:sz w:val="20"/>
          <w:szCs w:val="20"/>
        </w:rPr>
        <w:t>Patients</w:t>
      </w:r>
      <w:r w:rsidR="00C450E5" w:rsidRPr="00D775C2">
        <w:rPr>
          <w:rFonts w:ascii="Arial" w:hAnsi="Arial" w:cs="Arial"/>
          <w:sz w:val="20"/>
          <w:szCs w:val="20"/>
        </w:rPr>
        <w:t xml:space="preserve"> with Type 2 </w:t>
      </w:r>
      <w:r w:rsidR="00040E38" w:rsidRPr="00D775C2">
        <w:rPr>
          <w:rFonts w:ascii="Arial" w:hAnsi="Arial" w:cs="Arial"/>
          <w:sz w:val="20"/>
          <w:szCs w:val="20"/>
        </w:rPr>
        <w:t>Diabetes,</w:t>
      </w:r>
      <w:r w:rsidR="00F20E90" w:rsidRPr="00D775C2">
        <w:rPr>
          <w:rFonts w:ascii="Arial" w:hAnsi="Arial" w:cs="Arial"/>
          <w:sz w:val="20"/>
          <w:szCs w:val="20"/>
        </w:rPr>
        <w:t>”</w:t>
      </w:r>
      <w:r w:rsidR="007D66D0" w:rsidRPr="00D775C2">
        <w:rPr>
          <w:rFonts w:ascii="Arial" w:hAnsi="Arial" w:cs="Arial"/>
          <w:sz w:val="20"/>
          <w:szCs w:val="20"/>
        </w:rPr>
        <w:t xml:space="preserve"> was carried out in </w:t>
      </w:r>
      <w:r w:rsidR="00855121" w:rsidRPr="00D775C2">
        <w:rPr>
          <w:rFonts w:ascii="Arial" w:hAnsi="Arial" w:cs="Arial"/>
          <w:sz w:val="20"/>
          <w:szCs w:val="20"/>
        </w:rPr>
        <w:t xml:space="preserve">a </w:t>
      </w:r>
      <w:r w:rsidR="00040E38" w:rsidRPr="00D775C2">
        <w:rPr>
          <w:rFonts w:ascii="Arial" w:hAnsi="Arial" w:cs="Arial"/>
          <w:sz w:val="20"/>
          <w:szCs w:val="20"/>
        </w:rPr>
        <w:t>hospital in</w:t>
      </w:r>
      <w:r w:rsidR="00855121" w:rsidRPr="00D775C2">
        <w:rPr>
          <w:rFonts w:ascii="Arial" w:hAnsi="Arial" w:cs="Arial"/>
          <w:sz w:val="20"/>
          <w:szCs w:val="20"/>
        </w:rPr>
        <w:t xml:space="preserve"> </w:t>
      </w:r>
      <w:r w:rsidR="007D66D0" w:rsidRPr="00D775C2">
        <w:rPr>
          <w:rFonts w:ascii="Arial" w:hAnsi="Arial" w:cs="Arial"/>
          <w:sz w:val="20"/>
          <w:szCs w:val="20"/>
        </w:rPr>
        <w:t xml:space="preserve">Varanasi </w:t>
      </w:r>
      <w:r w:rsidR="0002055F" w:rsidRPr="00D775C2">
        <w:rPr>
          <w:rFonts w:ascii="Arial" w:hAnsi="Arial" w:cs="Arial"/>
          <w:sz w:val="20"/>
          <w:szCs w:val="20"/>
        </w:rPr>
        <w:t>district</w:t>
      </w:r>
      <w:r w:rsidR="001070CB" w:rsidRPr="00D775C2">
        <w:rPr>
          <w:rFonts w:ascii="Arial" w:hAnsi="Arial" w:cs="Arial"/>
          <w:sz w:val="20"/>
          <w:szCs w:val="20"/>
        </w:rPr>
        <w:t xml:space="preserve">. </w:t>
      </w:r>
      <w:r w:rsidR="008578F8" w:rsidRPr="00D775C2">
        <w:rPr>
          <w:rFonts w:ascii="Arial" w:hAnsi="Arial" w:cs="Arial"/>
          <w:sz w:val="20"/>
          <w:szCs w:val="20"/>
        </w:rPr>
        <w:t xml:space="preserve">The assessment utilized various </w:t>
      </w:r>
      <w:r w:rsidR="00224A21" w:rsidRPr="00D775C2">
        <w:rPr>
          <w:rFonts w:ascii="Arial" w:hAnsi="Arial" w:cs="Arial"/>
          <w:sz w:val="20"/>
          <w:szCs w:val="20"/>
        </w:rPr>
        <w:t xml:space="preserve">tools </w:t>
      </w:r>
      <w:r w:rsidR="008578F8" w:rsidRPr="00D775C2">
        <w:rPr>
          <w:rFonts w:ascii="Arial" w:hAnsi="Arial" w:cs="Arial"/>
          <w:sz w:val="20"/>
          <w:szCs w:val="20"/>
        </w:rPr>
        <w:t>and techniques to derive the results</w:t>
      </w:r>
      <w:r w:rsidR="00224A21" w:rsidRPr="00D775C2">
        <w:rPr>
          <w:rFonts w:ascii="Arial" w:hAnsi="Arial" w:cs="Arial"/>
          <w:sz w:val="20"/>
          <w:szCs w:val="20"/>
        </w:rPr>
        <w:t xml:space="preserve"> </w:t>
      </w:r>
      <w:r w:rsidR="000D467B" w:rsidRPr="00D775C2">
        <w:rPr>
          <w:rFonts w:ascii="Arial" w:hAnsi="Arial" w:cs="Arial"/>
          <w:sz w:val="20"/>
          <w:szCs w:val="20"/>
        </w:rPr>
        <w:t xml:space="preserve">and a </w:t>
      </w:r>
      <w:r w:rsidR="00BC3CE7" w:rsidRPr="00D775C2">
        <w:rPr>
          <w:rFonts w:ascii="Arial" w:hAnsi="Arial" w:cs="Arial"/>
          <w:sz w:val="20"/>
          <w:szCs w:val="20"/>
        </w:rPr>
        <w:t>scientific research methodology</w:t>
      </w:r>
      <w:r w:rsidR="00F25D91" w:rsidRPr="00D775C2">
        <w:rPr>
          <w:rFonts w:ascii="Arial" w:hAnsi="Arial" w:cs="Arial"/>
          <w:sz w:val="20"/>
          <w:szCs w:val="20"/>
        </w:rPr>
        <w:t>.</w:t>
      </w:r>
      <w:r w:rsidR="001B1DB6" w:rsidRPr="00D775C2">
        <w:rPr>
          <w:rFonts w:ascii="Arial" w:hAnsi="Arial" w:cs="Arial"/>
          <w:sz w:val="20"/>
          <w:szCs w:val="20"/>
        </w:rPr>
        <w:t xml:space="preserve"> The sequential investigation steps are distinctly outlined under the following headings:</w:t>
      </w:r>
    </w:p>
    <w:p w14:paraId="38F932BE" w14:textId="2FB820C0" w:rsidR="00737253" w:rsidRPr="00053D5C" w:rsidRDefault="00737253" w:rsidP="00053D5C">
      <w:pPr>
        <w:pStyle w:val="ListParagraph"/>
        <w:numPr>
          <w:ilvl w:val="1"/>
          <w:numId w:val="23"/>
        </w:numPr>
        <w:spacing w:after="0" w:line="240" w:lineRule="auto"/>
        <w:jc w:val="both"/>
        <w:rPr>
          <w:rFonts w:ascii="Arial" w:hAnsi="Arial" w:cs="Arial"/>
          <w:b/>
          <w:bCs/>
          <w:sz w:val="20"/>
          <w:szCs w:val="20"/>
        </w:rPr>
      </w:pPr>
      <w:r w:rsidRPr="00053D5C">
        <w:rPr>
          <w:rFonts w:ascii="Arial" w:hAnsi="Arial" w:cs="Arial"/>
          <w:b/>
          <w:bCs/>
          <w:sz w:val="20"/>
          <w:szCs w:val="20"/>
        </w:rPr>
        <w:t>Domain of the study</w:t>
      </w:r>
    </w:p>
    <w:p w14:paraId="037E7763" w14:textId="4E704140" w:rsidR="00952980" w:rsidRPr="00D775C2" w:rsidRDefault="00952980" w:rsidP="00EB4E3E">
      <w:pPr>
        <w:spacing w:line="240" w:lineRule="auto"/>
        <w:jc w:val="both"/>
        <w:rPr>
          <w:rFonts w:ascii="Arial" w:hAnsi="Arial" w:cs="Arial"/>
          <w:sz w:val="20"/>
          <w:szCs w:val="20"/>
        </w:rPr>
      </w:pPr>
      <w:r w:rsidRPr="00D775C2">
        <w:rPr>
          <w:rFonts w:ascii="Arial" w:hAnsi="Arial" w:cs="Arial"/>
          <w:sz w:val="20"/>
          <w:szCs w:val="20"/>
        </w:rPr>
        <w:t>The current study was conducted in the OPD of Kaya Chikitsha, Department of Ayurveda, IMS, Banaras Hindu University, Varanasi</w:t>
      </w:r>
      <w:r w:rsidR="00E62767" w:rsidRPr="00D775C2">
        <w:rPr>
          <w:rFonts w:ascii="Arial" w:hAnsi="Arial" w:cs="Arial"/>
          <w:sz w:val="20"/>
          <w:szCs w:val="20"/>
        </w:rPr>
        <w:t xml:space="preserve">, Uttar </w:t>
      </w:r>
      <w:r w:rsidR="00284FE4" w:rsidRPr="00D775C2">
        <w:rPr>
          <w:rFonts w:ascii="Arial" w:hAnsi="Arial" w:cs="Arial"/>
          <w:sz w:val="20"/>
          <w:szCs w:val="20"/>
        </w:rPr>
        <w:t>Pradesh.</w:t>
      </w:r>
      <w:r w:rsidR="00685922" w:rsidRPr="00D775C2">
        <w:rPr>
          <w:rFonts w:ascii="Arial" w:hAnsi="Arial" w:cs="Arial"/>
          <w:sz w:val="20"/>
          <w:szCs w:val="20"/>
        </w:rPr>
        <w:t xml:space="preserve"> This </w:t>
      </w:r>
      <w:r w:rsidR="00CD2FFA" w:rsidRPr="00D775C2">
        <w:rPr>
          <w:rFonts w:ascii="Arial" w:hAnsi="Arial" w:cs="Arial"/>
          <w:sz w:val="20"/>
          <w:szCs w:val="20"/>
        </w:rPr>
        <w:t>cross-sectional</w:t>
      </w:r>
      <w:r w:rsidR="00685922" w:rsidRPr="00D775C2">
        <w:rPr>
          <w:rFonts w:ascii="Arial" w:hAnsi="Arial" w:cs="Arial"/>
          <w:sz w:val="20"/>
          <w:szCs w:val="20"/>
        </w:rPr>
        <w:t xml:space="preserve"> study </w:t>
      </w:r>
      <w:r w:rsidR="00313EBD" w:rsidRPr="00D775C2">
        <w:rPr>
          <w:rFonts w:ascii="Arial" w:hAnsi="Arial" w:cs="Arial"/>
          <w:sz w:val="20"/>
          <w:szCs w:val="20"/>
        </w:rPr>
        <w:t xml:space="preserve">was carried out to assess the </w:t>
      </w:r>
      <w:r w:rsidR="00402671" w:rsidRPr="00D775C2">
        <w:rPr>
          <w:rFonts w:ascii="Arial" w:hAnsi="Arial" w:cs="Arial"/>
          <w:sz w:val="20"/>
          <w:szCs w:val="20"/>
        </w:rPr>
        <w:t>impact of</w:t>
      </w:r>
      <w:r w:rsidR="00313EBD" w:rsidRPr="00D775C2">
        <w:rPr>
          <w:rFonts w:ascii="Arial" w:hAnsi="Arial" w:cs="Arial"/>
          <w:sz w:val="20"/>
          <w:szCs w:val="20"/>
        </w:rPr>
        <w:t xml:space="preserve"> lifestyle habits </w:t>
      </w:r>
      <w:r w:rsidR="00402671" w:rsidRPr="00D775C2">
        <w:rPr>
          <w:rFonts w:ascii="Arial" w:hAnsi="Arial" w:cs="Arial"/>
          <w:sz w:val="20"/>
          <w:szCs w:val="20"/>
        </w:rPr>
        <w:t>on the</w:t>
      </w:r>
      <w:r w:rsidR="00313EBD" w:rsidRPr="00D775C2">
        <w:rPr>
          <w:rFonts w:ascii="Arial" w:hAnsi="Arial" w:cs="Arial"/>
          <w:sz w:val="20"/>
          <w:szCs w:val="20"/>
        </w:rPr>
        <w:t xml:space="preserve"> nutritional status of </w:t>
      </w:r>
      <w:r w:rsidR="00855415" w:rsidRPr="00D775C2">
        <w:rPr>
          <w:rFonts w:ascii="Arial" w:hAnsi="Arial" w:cs="Arial"/>
          <w:sz w:val="20"/>
          <w:szCs w:val="20"/>
        </w:rPr>
        <w:t>type 2 diabetic patients</w:t>
      </w:r>
      <w:r w:rsidR="00791EC8" w:rsidRPr="00D775C2">
        <w:rPr>
          <w:rFonts w:ascii="Arial" w:hAnsi="Arial" w:cs="Arial"/>
          <w:sz w:val="20"/>
          <w:szCs w:val="20"/>
        </w:rPr>
        <w:t>.</w:t>
      </w:r>
    </w:p>
    <w:p w14:paraId="44ECD99C" w14:textId="05E3B1DD" w:rsidR="00042216" w:rsidRPr="00D775C2" w:rsidRDefault="00737253" w:rsidP="00053D5C">
      <w:pPr>
        <w:pStyle w:val="ListParagraph"/>
        <w:numPr>
          <w:ilvl w:val="1"/>
          <w:numId w:val="23"/>
        </w:numPr>
        <w:spacing w:after="0" w:line="240" w:lineRule="auto"/>
        <w:jc w:val="both"/>
        <w:rPr>
          <w:rFonts w:ascii="Arial" w:hAnsi="Arial" w:cs="Arial"/>
          <w:b/>
          <w:bCs/>
          <w:sz w:val="20"/>
          <w:szCs w:val="20"/>
        </w:rPr>
      </w:pPr>
      <w:r w:rsidRPr="00D775C2">
        <w:rPr>
          <w:rFonts w:ascii="Arial" w:hAnsi="Arial" w:cs="Arial"/>
          <w:b/>
          <w:bCs/>
          <w:sz w:val="20"/>
          <w:szCs w:val="20"/>
        </w:rPr>
        <w:lastRenderedPageBreak/>
        <w:t>Sampling procedure</w:t>
      </w:r>
    </w:p>
    <w:p w14:paraId="5714EBB3" w14:textId="39044527" w:rsidR="00284FE4" w:rsidRPr="00D775C2" w:rsidRDefault="00B910B7" w:rsidP="00EB4E3E">
      <w:pPr>
        <w:spacing w:line="240" w:lineRule="auto"/>
        <w:jc w:val="both"/>
        <w:rPr>
          <w:rFonts w:ascii="Arial" w:hAnsi="Arial" w:cs="Arial"/>
          <w:sz w:val="20"/>
          <w:szCs w:val="20"/>
        </w:rPr>
      </w:pPr>
      <w:r w:rsidRPr="00D775C2">
        <w:rPr>
          <w:rFonts w:ascii="Arial" w:hAnsi="Arial" w:cs="Arial"/>
          <w:sz w:val="20"/>
          <w:szCs w:val="20"/>
        </w:rPr>
        <w:t xml:space="preserve">The present study was conducted </w:t>
      </w:r>
      <w:r w:rsidR="00A26EFC" w:rsidRPr="00D775C2">
        <w:rPr>
          <w:rFonts w:ascii="Arial" w:hAnsi="Arial" w:cs="Arial"/>
          <w:sz w:val="20"/>
          <w:szCs w:val="20"/>
        </w:rPr>
        <w:t xml:space="preserve">on a total of </w:t>
      </w:r>
      <w:r w:rsidR="00CD2FFA" w:rsidRPr="00D775C2">
        <w:rPr>
          <w:rFonts w:ascii="Arial" w:hAnsi="Arial" w:cs="Arial"/>
          <w:sz w:val="20"/>
          <w:szCs w:val="20"/>
        </w:rPr>
        <w:t>250</w:t>
      </w:r>
      <w:r w:rsidR="00A26EFC" w:rsidRPr="00D775C2">
        <w:rPr>
          <w:rFonts w:ascii="Arial" w:hAnsi="Arial" w:cs="Arial"/>
          <w:sz w:val="20"/>
          <w:szCs w:val="20"/>
        </w:rPr>
        <w:t xml:space="preserve"> diagnosed diabetic patients selected </w:t>
      </w:r>
      <w:r w:rsidR="00ED2E22" w:rsidRPr="00D775C2">
        <w:rPr>
          <w:rFonts w:ascii="Arial" w:hAnsi="Arial" w:cs="Arial"/>
          <w:sz w:val="20"/>
          <w:szCs w:val="20"/>
        </w:rPr>
        <w:t xml:space="preserve">by </w:t>
      </w:r>
      <w:r w:rsidR="00B30346" w:rsidRPr="00D775C2">
        <w:rPr>
          <w:rFonts w:ascii="Arial" w:hAnsi="Arial" w:cs="Arial"/>
          <w:sz w:val="20"/>
          <w:szCs w:val="20"/>
        </w:rPr>
        <w:t xml:space="preserve">purposive sampling technique </w:t>
      </w:r>
      <w:r w:rsidR="00F649DF" w:rsidRPr="00D775C2">
        <w:rPr>
          <w:rFonts w:ascii="Arial" w:hAnsi="Arial" w:cs="Arial"/>
          <w:sz w:val="20"/>
          <w:szCs w:val="20"/>
        </w:rPr>
        <w:t xml:space="preserve">from </w:t>
      </w:r>
      <w:r w:rsidR="004846FB" w:rsidRPr="00D775C2">
        <w:rPr>
          <w:rFonts w:ascii="Arial" w:hAnsi="Arial" w:cs="Arial"/>
          <w:sz w:val="20"/>
          <w:szCs w:val="20"/>
        </w:rPr>
        <w:t xml:space="preserve">the </w:t>
      </w:r>
      <w:r w:rsidR="00F649DF" w:rsidRPr="00D775C2">
        <w:rPr>
          <w:rFonts w:ascii="Arial" w:hAnsi="Arial" w:cs="Arial"/>
          <w:sz w:val="20"/>
          <w:szCs w:val="20"/>
        </w:rPr>
        <w:t>OPD of Kaya Chikitsha, Department of Ayurveda, IMS, Banaras Hindu University</w:t>
      </w:r>
      <w:r w:rsidR="00603222" w:rsidRPr="00D775C2">
        <w:rPr>
          <w:rFonts w:ascii="Arial" w:hAnsi="Arial" w:cs="Arial"/>
          <w:sz w:val="20"/>
          <w:szCs w:val="20"/>
        </w:rPr>
        <w:t>.</w:t>
      </w:r>
    </w:p>
    <w:p w14:paraId="7AF80F51" w14:textId="69BF5392" w:rsidR="008A26A6" w:rsidRPr="00D775C2" w:rsidRDefault="008A26A6" w:rsidP="00053D5C">
      <w:pPr>
        <w:pStyle w:val="ListParagraph"/>
        <w:numPr>
          <w:ilvl w:val="1"/>
          <w:numId w:val="23"/>
        </w:numPr>
        <w:spacing w:line="240" w:lineRule="auto"/>
        <w:jc w:val="both"/>
        <w:rPr>
          <w:rFonts w:ascii="Arial" w:hAnsi="Arial" w:cs="Arial"/>
          <w:sz w:val="20"/>
          <w:szCs w:val="20"/>
        </w:rPr>
      </w:pPr>
      <w:r w:rsidRPr="00D775C2">
        <w:rPr>
          <w:rFonts w:ascii="Arial" w:hAnsi="Arial" w:cs="Arial"/>
          <w:b/>
          <w:sz w:val="20"/>
          <w:szCs w:val="20"/>
          <w:shd w:val="clear" w:color="auto" w:fill="FFFFFF"/>
        </w:rPr>
        <w:t xml:space="preserve">Inclusion Criteria </w:t>
      </w:r>
    </w:p>
    <w:p w14:paraId="197084A6" w14:textId="228375F5" w:rsidR="008A26A6" w:rsidRPr="000B48EA" w:rsidRDefault="008A26A6" w:rsidP="000B48EA">
      <w:pPr>
        <w:pStyle w:val="ListParagraph"/>
        <w:numPr>
          <w:ilvl w:val="2"/>
          <w:numId w:val="23"/>
        </w:numPr>
        <w:spacing w:after="200" w:line="240" w:lineRule="auto"/>
        <w:rPr>
          <w:rFonts w:ascii="Arial" w:hAnsi="Arial" w:cs="Arial"/>
          <w:sz w:val="20"/>
          <w:szCs w:val="20"/>
          <w:shd w:val="clear" w:color="auto" w:fill="FFFFFF"/>
        </w:rPr>
      </w:pPr>
      <w:r w:rsidRPr="000B48EA">
        <w:rPr>
          <w:rFonts w:ascii="Arial" w:hAnsi="Arial" w:cs="Arial"/>
          <w:sz w:val="20"/>
          <w:szCs w:val="20"/>
          <w:shd w:val="clear" w:color="auto" w:fill="FFFFFF"/>
        </w:rPr>
        <w:t xml:space="preserve">Patient with Type 2 Diabetes Mellitus (Age group: </w:t>
      </w:r>
      <w:r w:rsidR="00E065AC" w:rsidRPr="000B48EA">
        <w:rPr>
          <w:rFonts w:ascii="Arial" w:hAnsi="Arial" w:cs="Arial"/>
          <w:sz w:val="20"/>
          <w:szCs w:val="20"/>
          <w:shd w:val="clear" w:color="auto" w:fill="FFFFFF"/>
        </w:rPr>
        <w:t>35-75 yrs.</w:t>
      </w:r>
      <w:r w:rsidRPr="000B48EA">
        <w:rPr>
          <w:rFonts w:ascii="Arial" w:hAnsi="Arial" w:cs="Arial"/>
          <w:sz w:val="20"/>
          <w:szCs w:val="20"/>
          <w:shd w:val="clear" w:color="auto" w:fill="FFFFFF"/>
        </w:rPr>
        <w:t>).</w:t>
      </w:r>
    </w:p>
    <w:p w14:paraId="53DF7CCB" w14:textId="316026E7" w:rsidR="00042216" w:rsidRPr="000B48EA" w:rsidRDefault="008A26A6" w:rsidP="000B48EA">
      <w:pPr>
        <w:pStyle w:val="ListParagraph"/>
        <w:numPr>
          <w:ilvl w:val="2"/>
          <w:numId w:val="23"/>
        </w:numPr>
        <w:spacing w:after="200" w:line="240" w:lineRule="auto"/>
        <w:rPr>
          <w:rFonts w:ascii="Arial" w:hAnsi="Arial" w:cs="Arial"/>
          <w:sz w:val="20"/>
          <w:szCs w:val="20"/>
          <w:shd w:val="clear" w:color="auto" w:fill="FFFFFF"/>
        </w:rPr>
      </w:pPr>
      <w:r w:rsidRPr="000B48EA">
        <w:rPr>
          <w:rFonts w:ascii="Arial" w:hAnsi="Arial" w:cs="Arial"/>
          <w:sz w:val="20"/>
          <w:szCs w:val="20"/>
          <w:shd w:val="clear" w:color="auto" w:fill="FFFFFF"/>
        </w:rPr>
        <w:t xml:space="preserve">Patient </w:t>
      </w:r>
      <w:r w:rsidR="00E065AC" w:rsidRPr="000B48EA">
        <w:rPr>
          <w:rFonts w:ascii="Arial" w:hAnsi="Arial" w:cs="Arial"/>
          <w:sz w:val="20"/>
          <w:szCs w:val="20"/>
          <w:shd w:val="clear" w:color="auto" w:fill="FFFFFF"/>
        </w:rPr>
        <w:t>has had</w:t>
      </w:r>
      <w:r w:rsidRPr="000B48EA">
        <w:rPr>
          <w:rFonts w:ascii="Arial" w:hAnsi="Arial" w:cs="Arial"/>
          <w:sz w:val="20"/>
          <w:szCs w:val="20"/>
          <w:shd w:val="clear" w:color="auto" w:fill="FFFFFF"/>
        </w:rPr>
        <w:t xml:space="preserve"> </w:t>
      </w:r>
      <w:r w:rsidR="00E065AC" w:rsidRPr="000B48EA">
        <w:rPr>
          <w:rFonts w:ascii="Arial" w:hAnsi="Arial" w:cs="Arial"/>
          <w:sz w:val="20"/>
          <w:szCs w:val="20"/>
          <w:shd w:val="clear" w:color="auto" w:fill="FFFFFF"/>
        </w:rPr>
        <w:t>diabetes for</w:t>
      </w:r>
      <w:r w:rsidRPr="000B48EA">
        <w:rPr>
          <w:rFonts w:ascii="Arial" w:hAnsi="Arial" w:cs="Arial"/>
          <w:sz w:val="20"/>
          <w:szCs w:val="20"/>
          <w:shd w:val="clear" w:color="auto" w:fill="FFFFFF"/>
        </w:rPr>
        <w:t xml:space="preserve"> &gt;6 months.</w:t>
      </w:r>
    </w:p>
    <w:p w14:paraId="138E4866" w14:textId="2EA6F727" w:rsidR="008A26A6" w:rsidRPr="00053D5C" w:rsidRDefault="008A26A6" w:rsidP="00053D5C">
      <w:pPr>
        <w:pStyle w:val="ListParagraph"/>
        <w:numPr>
          <w:ilvl w:val="1"/>
          <w:numId w:val="23"/>
        </w:numPr>
        <w:spacing w:after="200" w:line="240" w:lineRule="auto"/>
        <w:rPr>
          <w:rFonts w:ascii="Arial" w:hAnsi="Arial" w:cs="Arial"/>
          <w:sz w:val="20"/>
          <w:szCs w:val="20"/>
          <w:shd w:val="clear" w:color="auto" w:fill="FFFFFF"/>
        </w:rPr>
      </w:pPr>
      <w:r w:rsidRPr="00053D5C">
        <w:rPr>
          <w:rFonts w:ascii="Arial" w:hAnsi="Arial" w:cs="Arial"/>
          <w:b/>
          <w:sz w:val="20"/>
          <w:szCs w:val="20"/>
          <w:shd w:val="clear" w:color="auto" w:fill="FFFFFF"/>
        </w:rPr>
        <w:t>Exclusion criteria</w:t>
      </w:r>
    </w:p>
    <w:p w14:paraId="547C2DF8" w14:textId="4DD39246" w:rsidR="008A26A6" w:rsidRPr="000B48EA" w:rsidRDefault="008A26A6" w:rsidP="000B48EA">
      <w:pPr>
        <w:pStyle w:val="ListParagraph"/>
        <w:numPr>
          <w:ilvl w:val="2"/>
          <w:numId w:val="23"/>
        </w:numPr>
        <w:spacing w:after="200" w:line="240" w:lineRule="auto"/>
        <w:rPr>
          <w:rFonts w:ascii="Arial" w:hAnsi="Arial" w:cs="Arial"/>
          <w:sz w:val="20"/>
          <w:szCs w:val="20"/>
          <w:shd w:val="clear" w:color="auto" w:fill="FFFFFF"/>
        </w:rPr>
      </w:pPr>
      <w:r w:rsidRPr="000B48EA">
        <w:rPr>
          <w:rFonts w:ascii="Arial" w:hAnsi="Arial" w:cs="Arial"/>
          <w:sz w:val="20"/>
          <w:szCs w:val="20"/>
          <w:shd w:val="clear" w:color="auto" w:fill="FFFFFF"/>
        </w:rPr>
        <w:t xml:space="preserve">Pregnant, </w:t>
      </w:r>
      <w:r w:rsidR="00040E38" w:rsidRPr="000B48EA">
        <w:rPr>
          <w:rFonts w:ascii="Arial" w:hAnsi="Arial" w:cs="Arial"/>
          <w:sz w:val="20"/>
          <w:szCs w:val="20"/>
          <w:shd w:val="clear" w:color="auto" w:fill="FFFFFF"/>
        </w:rPr>
        <w:t>type 1</w:t>
      </w:r>
      <w:r w:rsidRPr="000B48EA">
        <w:rPr>
          <w:rFonts w:ascii="Arial" w:hAnsi="Arial" w:cs="Arial"/>
          <w:sz w:val="20"/>
          <w:szCs w:val="20"/>
          <w:shd w:val="clear" w:color="auto" w:fill="FFFFFF"/>
        </w:rPr>
        <w:t xml:space="preserve"> diabetic patients, </w:t>
      </w:r>
      <w:r w:rsidR="00040E38" w:rsidRPr="000B48EA">
        <w:rPr>
          <w:rFonts w:ascii="Arial" w:hAnsi="Arial" w:cs="Arial"/>
          <w:sz w:val="20"/>
          <w:szCs w:val="20"/>
          <w:shd w:val="clear" w:color="auto" w:fill="FFFFFF"/>
        </w:rPr>
        <w:t>alcoholics</w:t>
      </w:r>
      <w:r w:rsidRPr="000B48EA">
        <w:rPr>
          <w:rFonts w:ascii="Arial" w:hAnsi="Arial" w:cs="Arial"/>
          <w:sz w:val="20"/>
          <w:szCs w:val="20"/>
          <w:shd w:val="clear" w:color="auto" w:fill="FFFFFF"/>
        </w:rPr>
        <w:t>.</w:t>
      </w:r>
    </w:p>
    <w:p w14:paraId="3AFC76C9" w14:textId="07D6D504" w:rsidR="008A26A6" w:rsidRPr="00D775C2" w:rsidRDefault="008A26A6" w:rsidP="000B48EA">
      <w:pPr>
        <w:pStyle w:val="ListParagraph"/>
        <w:numPr>
          <w:ilvl w:val="2"/>
          <w:numId w:val="23"/>
        </w:numPr>
        <w:spacing w:after="200" w:line="240" w:lineRule="auto"/>
        <w:rPr>
          <w:rFonts w:ascii="Arial" w:hAnsi="Arial" w:cs="Arial"/>
          <w:sz w:val="20"/>
          <w:szCs w:val="20"/>
          <w:shd w:val="clear" w:color="auto" w:fill="FFFFFF"/>
        </w:rPr>
      </w:pPr>
      <w:r w:rsidRPr="00D775C2">
        <w:rPr>
          <w:rFonts w:ascii="Arial" w:hAnsi="Arial" w:cs="Arial"/>
          <w:sz w:val="20"/>
          <w:szCs w:val="20"/>
          <w:shd w:val="clear" w:color="auto" w:fill="FFFFFF"/>
        </w:rPr>
        <w:t xml:space="preserve">Respondents with lactose intolerance, severe </w:t>
      </w:r>
      <w:r w:rsidR="00040E38" w:rsidRPr="00D775C2">
        <w:rPr>
          <w:rFonts w:ascii="Arial" w:hAnsi="Arial" w:cs="Arial"/>
          <w:sz w:val="20"/>
          <w:szCs w:val="20"/>
          <w:shd w:val="clear" w:color="auto" w:fill="FFFFFF"/>
        </w:rPr>
        <w:t>hepatic or</w:t>
      </w:r>
      <w:r w:rsidRPr="00D775C2">
        <w:rPr>
          <w:rFonts w:ascii="Arial" w:hAnsi="Arial" w:cs="Arial"/>
          <w:sz w:val="20"/>
          <w:szCs w:val="20"/>
          <w:shd w:val="clear" w:color="auto" w:fill="FFFFFF"/>
        </w:rPr>
        <w:t xml:space="preserve"> renal </w:t>
      </w:r>
      <w:r w:rsidR="00040E38" w:rsidRPr="00D775C2">
        <w:rPr>
          <w:rFonts w:ascii="Arial" w:hAnsi="Arial" w:cs="Arial"/>
          <w:sz w:val="20"/>
          <w:szCs w:val="20"/>
          <w:shd w:val="clear" w:color="auto" w:fill="FFFFFF"/>
        </w:rPr>
        <w:t>disorder,</w:t>
      </w:r>
      <w:r w:rsidRPr="00D775C2">
        <w:rPr>
          <w:rFonts w:ascii="Arial" w:hAnsi="Arial" w:cs="Arial"/>
          <w:sz w:val="20"/>
          <w:szCs w:val="20"/>
          <w:shd w:val="clear" w:color="auto" w:fill="FFFFFF"/>
        </w:rPr>
        <w:t xml:space="preserve"> and other chronic complications. </w:t>
      </w:r>
    </w:p>
    <w:p w14:paraId="1525A1F0" w14:textId="1E2F74DE" w:rsidR="007F4BDC" w:rsidRPr="00D775C2" w:rsidRDefault="008A26A6" w:rsidP="000B48EA">
      <w:pPr>
        <w:pStyle w:val="ListParagraph"/>
        <w:numPr>
          <w:ilvl w:val="2"/>
          <w:numId w:val="23"/>
        </w:numPr>
        <w:spacing w:after="0" w:line="240" w:lineRule="auto"/>
        <w:rPr>
          <w:rFonts w:ascii="Arial" w:hAnsi="Arial" w:cs="Arial"/>
          <w:sz w:val="20"/>
          <w:szCs w:val="20"/>
          <w:shd w:val="clear" w:color="auto" w:fill="FFFFFF"/>
        </w:rPr>
      </w:pPr>
      <w:r w:rsidRPr="00D775C2">
        <w:rPr>
          <w:rFonts w:ascii="Arial" w:hAnsi="Arial" w:cs="Arial"/>
          <w:sz w:val="20"/>
          <w:szCs w:val="20"/>
          <w:shd w:val="clear" w:color="auto" w:fill="FFFFFF"/>
        </w:rPr>
        <w:t>Respondent having any supplement or other experimental medicine.</w:t>
      </w:r>
    </w:p>
    <w:p w14:paraId="09ABDE85" w14:textId="77777777" w:rsidR="00B34E13" w:rsidRPr="00D775C2" w:rsidRDefault="008A26A6" w:rsidP="00053D5C">
      <w:pPr>
        <w:pStyle w:val="ListParagraph"/>
        <w:numPr>
          <w:ilvl w:val="0"/>
          <w:numId w:val="23"/>
        </w:numPr>
        <w:spacing w:before="240" w:after="0" w:line="240" w:lineRule="auto"/>
        <w:jc w:val="both"/>
        <w:rPr>
          <w:rFonts w:ascii="Arial" w:hAnsi="Arial" w:cs="Arial"/>
          <w:b/>
          <w:bCs/>
          <w:sz w:val="20"/>
          <w:szCs w:val="20"/>
        </w:rPr>
      </w:pPr>
      <w:r w:rsidRPr="00D775C2">
        <w:rPr>
          <w:rFonts w:ascii="Arial" w:hAnsi="Arial" w:cs="Arial"/>
          <w:b/>
          <w:bCs/>
          <w:sz w:val="20"/>
          <w:szCs w:val="20"/>
        </w:rPr>
        <w:t>Tools and Techniques</w:t>
      </w:r>
    </w:p>
    <w:p w14:paraId="0624D944" w14:textId="447B3CDE" w:rsidR="00D20754" w:rsidRPr="00D775C2" w:rsidRDefault="00267275" w:rsidP="00EB4E3E">
      <w:pPr>
        <w:spacing w:line="240" w:lineRule="auto"/>
        <w:jc w:val="both"/>
        <w:rPr>
          <w:rFonts w:ascii="Arial" w:eastAsia="Times New Roman" w:hAnsi="Arial" w:cs="Arial"/>
          <w:kern w:val="0"/>
          <w:sz w:val="20"/>
          <w:szCs w:val="20"/>
          <w:lang w:eastAsia="en-IN"/>
          <w14:ligatures w14:val="none"/>
        </w:rPr>
      </w:pPr>
      <w:r w:rsidRPr="00D775C2">
        <w:rPr>
          <w:rFonts w:ascii="Arial" w:hAnsi="Arial" w:cs="Arial"/>
          <w:sz w:val="20"/>
          <w:szCs w:val="20"/>
        </w:rPr>
        <w:t xml:space="preserve">The data was collected through </w:t>
      </w:r>
      <w:r w:rsidR="006F0FCE" w:rsidRPr="00D775C2">
        <w:rPr>
          <w:rFonts w:ascii="Arial" w:hAnsi="Arial" w:cs="Arial"/>
          <w:sz w:val="20"/>
          <w:szCs w:val="20"/>
        </w:rPr>
        <w:t>the personal</w:t>
      </w:r>
      <w:r w:rsidRPr="00D775C2">
        <w:rPr>
          <w:rFonts w:ascii="Arial" w:hAnsi="Arial" w:cs="Arial"/>
          <w:sz w:val="20"/>
          <w:szCs w:val="20"/>
        </w:rPr>
        <w:t xml:space="preserve"> interview </w:t>
      </w:r>
      <w:r w:rsidR="006F0FCE" w:rsidRPr="00D775C2">
        <w:rPr>
          <w:rFonts w:ascii="Arial" w:hAnsi="Arial" w:cs="Arial"/>
          <w:sz w:val="20"/>
          <w:szCs w:val="20"/>
        </w:rPr>
        <w:t>method,</w:t>
      </w:r>
      <w:r w:rsidR="00E4289A" w:rsidRPr="00D775C2">
        <w:rPr>
          <w:rFonts w:ascii="Arial" w:hAnsi="Arial" w:cs="Arial"/>
          <w:sz w:val="20"/>
          <w:szCs w:val="20"/>
        </w:rPr>
        <w:t xml:space="preserve"> </w:t>
      </w:r>
      <w:r w:rsidR="006F0FCE" w:rsidRPr="00D775C2">
        <w:rPr>
          <w:rFonts w:ascii="Arial" w:hAnsi="Arial" w:cs="Arial"/>
          <w:sz w:val="20"/>
          <w:szCs w:val="20"/>
        </w:rPr>
        <w:t>and the questionnaire</w:t>
      </w:r>
      <w:r w:rsidR="0078538C" w:rsidRPr="00D775C2">
        <w:rPr>
          <w:rFonts w:ascii="Arial" w:hAnsi="Arial" w:cs="Arial"/>
          <w:sz w:val="20"/>
          <w:szCs w:val="20"/>
        </w:rPr>
        <w:t xml:space="preserve"> was formulated specifically keeping in mind the objectives of the study. The questionnaire was prepared after </w:t>
      </w:r>
      <w:r w:rsidR="006F0FCE" w:rsidRPr="00D775C2">
        <w:rPr>
          <w:rFonts w:ascii="Arial" w:hAnsi="Arial" w:cs="Arial"/>
          <w:sz w:val="20"/>
          <w:szCs w:val="20"/>
        </w:rPr>
        <w:t>referring to</w:t>
      </w:r>
      <w:r w:rsidR="0078538C" w:rsidRPr="00D775C2">
        <w:rPr>
          <w:rFonts w:ascii="Arial" w:hAnsi="Arial" w:cs="Arial"/>
          <w:sz w:val="20"/>
          <w:szCs w:val="20"/>
        </w:rPr>
        <w:t xml:space="preserve"> literature on the subject and other relevant information (Internet and </w:t>
      </w:r>
      <w:r w:rsidR="006F0FCE" w:rsidRPr="00D775C2">
        <w:rPr>
          <w:rFonts w:ascii="Arial" w:hAnsi="Arial" w:cs="Arial"/>
          <w:sz w:val="20"/>
          <w:szCs w:val="20"/>
        </w:rPr>
        <w:t>journals</w:t>
      </w:r>
      <w:r w:rsidR="0078538C" w:rsidRPr="00D775C2">
        <w:rPr>
          <w:rFonts w:ascii="Arial" w:hAnsi="Arial" w:cs="Arial"/>
          <w:sz w:val="20"/>
          <w:szCs w:val="20"/>
        </w:rPr>
        <w:t>).</w:t>
      </w:r>
      <w:r w:rsidR="008A26A6" w:rsidRPr="00D775C2">
        <w:rPr>
          <w:rFonts w:ascii="Arial" w:hAnsi="Arial" w:cs="Arial"/>
          <w:b/>
          <w:bCs/>
          <w:sz w:val="20"/>
          <w:szCs w:val="20"/>
        </w:rPr>
        <w:t xml:space="preserve"> </w:t>
      </w:r>
      <w:r w:rsidR="003F7A61" w:rsidRPr="00D775C2">
        <w:rPr>
          <w:rFonts w:ascii="Arial" w:eastAsia="Times New Roman" w:hAnsi="Arial" w:cs="Arial"/>
          <w:kern w:val="0"/>
          <w:sz w:val="20"/>
          <w:szCs w:val="20"/>
          <w:lang w:eastAsia="en-IN"/>
          <w14:ligatures w14:val="none"/>
        </w:rPr>
        <w:t xml:space="preserve">Patients </w:t>
      </w:r>
      <w:r w:rsidR="00860799" w:rsidRPr="00D775C2">
        <w:rPr>
          <w:rFonts w:ascii="Arial" w:eastAsia="Times New Roman" w:hAnsi="Arial" w:cs="Arial"/>
          <w:kern w:val="0"/>
          <w:sz w:val="20"/>
          <w:szCs w:val="20"/>
          <w:lang w:eastAsia="en-IN"/>
          <w14:ligatures w14:val="none"/>
        </w:rPr>
        <w:t xml:space="preserve">were interviewed </w:t>
      </w:r>
      <w:r w:rsidR="005D7681" w:rsidRPr="00D775C2">
        <w:rPr>
          <w:rFonts w:ascii="Arial" w:eastAsia="Times New Roman" w:hAnsi="Arial" w:cs="Arial"/>
          <w:kern w:val="0"/>
          <w:sz w:val="20"/>
          <w:szCs w:val="20"/>
          <w:lang w:eastAsia="en-IN"/>
          <w14:ligatures w14:val="none"/>
        </w:rPr>
        <w:t xml:space="preserve">by </w:t>
      </w:r>
      <w:r w:rsidR="006F0FCE" w:rsidRPr="00D775C2">
        <w:rPr>
          <w:rFonts w:ascii="Arial" w:eastAsia="Times New Roman" w:hAnsi="Arial" w:cs="Arial"/>
          <w:kern w:val="0"/>
          <w:sz w:val="20"/>
          <w:szCs w:val="20"/>
          <w:lang w:eastAsia="en-IN"/>
          <w14:ligatures w14:val="none"/>
        </w:rPr>
        <w:t>researchers</w:t>
      </w:r>
      <w:r w:rsidR="005D7681" w:rsidRPr="00D775C2">
        <w:rPr>
          <w:rFonts w:ascii="Arial" w:eastAsia="Times New Roman" w:hAnsi="Arial" w:cs="Arial"/>
          <w:kern w:val="0"/>
          <w:sz w:val="20"/>
          <w:szCs w:val="20"/>
          <w:lang w:eastAsia="en-IN"/>
          <w14:ligatures w14:val="none"/>
        </w:rPr>
        <w:t xml:space="preserve"> </w:t>
      </w:r>
      <w:r w:rsidR="003F7A61" w:rsidRPr="00D775C2">
        <w:rPr>
          <w:rFonts w:ascii="Arial" w:eastAsia="Times New Roman" w:hAnsi="Arial" w:cs="Arial"/>
          <w:kern w:val="0"/>
          <w:sz w:val="20"/>
          <w:szCs w:val="20"/>
          <w:lang w:eastAsia="en-IN"/>
          <w14:ligatures w14:val="none"/>
        </w:rPr>
        <w:t>in order to learn more about their eating habits</w:t>
      </w:r>
      <w:r w:rsidR="005D7681" w:rsidRPr="00D775C2">
        <w:rPr>
          <w:rFonts w:ascii="Arial" w:eastAsia="Times New Roman" w:hAnsi="Arial" w:cs="Arial"/>
          <w:kern w:val="0"/>
          <w:sz w:val="20"/>
          <w:szCs w:val="20"/>
          <w:lang w:eastAsia="en-IN"/>
          <w14:ligatures w14:val="none"/>
        </w:rPr>
        <w:t>, blood parameters</w:t>
      </w:r>
      <w:r w:rsidR="00F20BED" w:rsidRPr="00D775C2">
        <w:rPr>
          <w:rFonts w:ascii="Arial" w:eastAsia="Times New Roman" w:hAnsi="Arial" w:cs="Arial"/>
          <w:kern w:val="0"/>
          <w:sz w:val="20"/>
          <w:szCs w:val="20"/>
          <w:lang w:eastAsia="en-IN"/>
          <w14:ligatures w14:val="none"/>
        </w:rPr>
        <w:t>, and anthropometric measurements</w:t>
      </w:r>
      <w:r w:rsidR="003F7A61" w:rsidRPr="00D775C2">
        <w:rPr>
          <w:rFonts w:ascii="Arial" w:eastAsia="Times New Roman" w:hAnsi="Arial" w:cs="Arial"/>
          <w:kern w:val="0"/>
          <w:sz w:val="20"/>
          <w:szCs w:val="20"/>
          <w:lang w:eastAsia="en-IN"/>
          <w14:ligatures w14:val="none"/>
        </w:rPr>
        <w:t xml:space="preserve"> to gather data.</w:t>
      </w:r>
      <w:r w:rsidR="00003974" w:rsidRPr="00D775C2">
        <w:rPr>
          <w:rFonts w:ascii="Arial" w:eastAsia="Times New Roman" w:hAnsi="Arial" w:cs="Arial"/>
          <w:kern w:val="0"/>
          <w:sz w:val="20"/>
          <w:szCs w:val="20"/>
          <w:lang w:eastAsia="en-IN"/>
          <w14:ligatures w14:val="none"/>
        </w:rPr>
        <w:t xml:space="preserve"> </w:t>
      </w:r>
      <w:r w:rsidR="006F0FCE" w:rsidRPr="00D775C2">
        <w:rPr>
          <w:rFonts w:ascii="Arial" w:eastAsia="Times New Roman" w:hAnsi="Arial" w:cs="Arial"/>
          <w:kern w:val="0"/>
          <w:sz w:val="20"/>
          <w:szCs w:val="20"/>
          <w:lang w:eastAsia="en-IN"/>
          <w14:ligatures w14:val="none"/>
        </w:rPr>
        <w:t>Socioeconomic</w:t>
      </w:r>
      <w:r w:rsidR="00003974" w:rsidRPr="00D775C2">
        <w:rPr>
          <w:rFonts w:ascii="Arial" w:eastAsia="Times New Roman" w:hAnsi="Arial" w:cs="Arial"/>
          <w:kern w:val="0"/>
          <w:sz w:val="20"/>
          <w:szCs w:val="20"/>
          <w:lang w:eastAsia="en-IN"/>
          <w14:ligatures w14:val="none"/>
        </w:rPr>
        <w:t xml:space="preserve"> status was </w:t>
      </w:r>
      <w:r w:rsidR="00644FD0" w:rsidRPr="00D775C2">
        <w:rPr>
          <w:rFonts w:ascii="Arial" w:eastAsia="Times New Roman" w:hAnsi="Arial" w:cs="Arial"/>
          <w:kern w:val="0"/>
          <w:sz w:val="20"/>
          <w:szCs w:val="20"/>
          <w:lang w:eastAsia="en-IN"/>
          <w14:ligatures w14:val="none"/>
        </w:rPr>
        <w:t xml:space="preserve">calculated according to the Modified BG Prasad classification for </w:t>
      </w:r>
      <w:r w:rsidR="006F0FCE" w:rsidRPr="00D775C2">
        <w:rPr>
          <w:rFonts w:ascii="Arial" w:eastAsia="Times New Roman" w:hAnsi="Arial" w:cs="Arial"/>
          <w:kern w:val="0"/>
          <w:sz w:val="20"/>
          <w:szCs w:val="20"/>
          <w:lang w:eastAsia="en-IN"/>
          <w14:ligatures w14:val="none"/>
        </w:rPr>
        <w:t>the Oct</w:t>
      </w:r>
      <w:r w:rsidR="00644FD0" w:rsidRPr="00D775C2">
        <w:rPr>
          <w:rFonts w:ascii="Arial" w:eastAsia="Times New Roman" w:hAnsi="Arial" w:cs="Arial"/>
          <w:kern w:val="0"/>
          <w:sz w:val="20"/>
          <w:szCs w:val="20"/>
          <w:lang w:eastAsia="en-IN"/>
          <w14:ligatures w14:val="none"/>
        </w:rPr>
        <w:t xml:space="preserve"> 2023</w:t>
      </w:r>
      <w:r w:rsidR="00BB4352" w:rsidRPr="00D775C2">
        <w:rPr>
          <w:rFonts w:ascii="Arial" w:eastAsia="Times New Roman" w:hAnsi="Arial" w:cs="Arial"/>
          <w:kern w:val="0"/>
          <w:sz w:val="20"/>
          <w:szCs w:val="20"/>
          <w:lang w:eastAsia="en-IN"/>
          <w14:ligatures w14:val="none"/>
        </w:rPr>
        <w:t xml:space="preserve"> scale.</w:t>
      </w:r>
      <w:r w:rsidR="00243C41" w:rsidRPr="00D775C2">
        <w:rPr>
          <w:rFonts w:ascii="Arial" w:eastAsia="Times New Roman" w:hAnsi="Arial" w:cs="Arial"/>
          <w:kern w:val="0"/>
          <w:sz w:val="20"/>
          <w:szCs w:val="20"/>
          <w:lang w:eastAsia="en-IN"/>
          <w14:ligatures w14:val="none"/>
        </w:rPr>
        <w:t xml:space="preserve"> </w:t>
      </w:r>
    </w:p>
    <w:p w14:paraId="10D5F0EF" w14:textId="4C5C25D9" w:rsidR="00737253" w:rsidRPr="00D775C2" w:rsidRDefault="00737253" w:rsidP="00EB4E3E">
      <w:pPr>
        <w:spacing w:after="0" w:line="240" w:lineRule="auto"/>
        <w:jc w:val="both"/>
        <w:rPr>
          <w:rFonts w:ascii="Arial" w:hAnsi="Arial" w:cs="Arial"/>
          <w:b/>
          <w:bCs/>
          <w:sz w:val="20"/>
          <w:szCs w:val="20"/>
        </w:rPr>
      </w:pPr>
      <w:r w:rsidRPr="00D775C2">
        <w:rPr>
          <w:rFonts w:ascii="Arial" w:hAnsi="Arial" w:cs="Arial"/>
          <w:b/>
          <w:bCs/>
          <w:sz w:val="20"/>
          <w:szCs w:val="20"/>
        </w:rPr>
        <w:t>Collection of data</w:t>
      </w:r>
    </w:p>
    <w:p w14:paraId="7D3004FA" w14:textId="77777777" w:rsidR="007A3033" w:rsidRDefault="00391786" w:rsidP="00EB4E3E">
      <w:pPr>
        <w:spacing w:line="240" w:lineRule="auto"/>
        <w:jc w:val="both"/>
        <w:rPr>
          <w:rFonts w:ascii="Arial" w:hAnsi="Arial" w:cs="Arial"/>
          <w:sz w:val="20"/>
          <w:szCs w:val="20"/>
        </w:rPr>
      </w:pPr>
      <w:r w:rsidRPr="00D775C2">
        <w:rPr>
          <w:rFonts w:ascii="Arial" w:hAnsi="Arial" w:cs="Arial"/>
          <w:sz w:val="20"/>
          <w:szCs w:val="20"/>
        </w:rPr>
        <w:t xml:space="preserve">The </w:t>
      </w:r>
      <w:r w:rsidR="00084BE0" w:rsidRPr="00D775C2">
        <w:rPr>
          <w:rFonts w:ascii="Arial" w:hAnsi="Arial" w:cs="Arial"/>
          <w:sz w:val="20"/>
          <w:szCs w:val="20"/>
        </w:rPr>
        <w:t>data</w:t>
      </w:r>
      <w:r w:rsidRPr="00D775C2">
        <w:rPr>
          <w:rFonts w:ascii="Arial" w:hAnsi="Arial" w:cs="Arial"/>
          <w:sz w:val="20"/>
          <w:szCs w:val="20"/>
        </w:rPr>
        <w:t xml:space="preserve"> collection started after the </w:t>
      </w:r>
      <w:r w:rsidR="009E1B8F" w:rsidRPr="00D775C2">
        <w:rPr>
          <w:rFonts w:ascii="Arial" w:hAnsi="Arial" w:cs="Arial"/>
          <w:sz w:val="20"/>
          <w:szCs w:val="20"/>
        </w:rPr>
        <w:t xml:space="preserve">consent of patients </w:t>
      </w:r>
      <w:r w:rsidR="000B6B4D" w:rsidRPr="00D775C2">
        <w:rPr>
          <w:rFonts w:ascii="Arial" w:hAnsi="Arial" w:cs="Arial"/>
          <w:sz w:val="20"/>
          <w:szCs w:val="20"/>
        </w:rPr>
        <w:t xml:space="preserve">and </w:t>
      </w:r>
      <w:r w:rsidR="00084BE0" w:rsidRPr="00D775C2">
        <w:rPr>
          <w:rFonts w:ascii="Arial" w:hAnsi="Arial" w:cs="Arial"/>
          <w:sz w:val="20"/>
          <w:szCs w:val="20"/>
        </w:rPr>
        <w:t>ethical approval,</w:t>
      </w:r>
      <w:r w:rsidR="0034610D" w:rsidRPr="00D775C2">
        <w:rPr>
          <w:rFonts w:ascii="Arial" w:hAnsi="Arial" w:cs="Arial"/>
          <w:sz w:val="20"/>
          <w:szCs w:val="20"/>
        </w:rPr>
        <w:t xml:space="preserve"> which</w:t>
      </w:r>
      <w:r w:rsidR="00B21CEA" w:rsidRPr="00D775C2">
        <w:rPr>
          <w:rFonts w:ascii="Arial" w:hAnsi="Arial" w:cs="Arial"/>
          <w:sz w:val="20"/>
          <w:szCs w:val="20"/>
        </w:rPr>
        <w:t xml:space="preserve"> was granted </w:t>
      </w:r>
      <w:r w:rsidR="004C6A56" w:rsidRPr="00D775C2">
        <w:rPr>
          <w:rFonts w:ascii="Arial" w:hAnsi="Arial" w:cs="Arial"/>
          <w:sz w:val="20"/>
          <w:szCs w:val="20"/>
        </w:rPr>
        <w:t>by the Ethics Committee of the Institute of Science, Centre for Genetic Disorders, BHU, Varanasi. The committee's registration number is ECR/226/</w:t>
      </w:r>
      <w:proofErr w:type="spellStart"/>
      <w:r w:rsidR="004C6A56" w:rsidRPr="00D775C2">
        <w:rPr>
          <w:rFonts w:ascii="Arial" w:hAnsi="Arial" w:cs="Arial"/>
          <w:sz w:val="20"/>
          <w:szCs w:val="20"/>
        </w:rPr>
        <w:t>Indt</w:t>
      </w:r>
      <w:proofErr w:type="spellEnd"/>
      <w:r w:rsidR="004C6A56" w:rsidRPr="00D775C2">
        <w:rPr>
          <w:rFonts w:ascii="Arial" w:hAnsi="Arial" w:cs="Arial"/>
          <w:sz w:val="20"/>
          <w:szCs w:val="20"/>
        </w:rPr>
        <w:t xml:space="preserve">/UP/2014/RR-22, dated January 4, 2022, and it is registered under Rule 122DD of the Drugs &amp; Cosmetics Rule 1945. The Ethics Committee at the Centre for Genetic Disorders, Institute of Science, Banaras Hindu University (BHU), follows the ethical standards of Good Clinical Practice (GCP). Good Clinical Practice (GCP) is a recognized ethical and scientific benchmark for planning, conducting, and documenting clinical trials involving human participants. Adhering to GCP assures the public rights, safety, and well-being are safeguarded in accordance with the principles of the Declaration of Helsinki, while also ensuring the reliability and integrity of the trial data. </w:t>
      </w:r>
      <w:r w:rsidR="00B21CEA" w:rsidRPr="00D775C2">
        <w:rPr>
          <w:rFonts w:ascii="Arial" w:hAnsi="Arial" w:cs="Arial"/>
          <w:sz w:val="20"/>
          <w:szCs w:val="20"/>
        </w:rPr>
        <w:t>Additionally, the study has been registered with the CTRI under registration number CTRI/2023/07/055208.</w:t>
      </w:r>
      <w:r w:rsidR="00605223" w:rsidRPr="00D775C2">
        <w:rPr>
          <w:rFonts w:ascii="Arial" w:hAnsi="Arial" w:cs="Arial"/>
          <w:sz w:val="20"/>
          <w:szCs w:val="20"/>
        </w:rPr>
        <w:t xml:space="preserve"> </w:t>
      </w:r>
    </w:p>
    <w:p w14:paraId="6AF6A1A6" w14:textId="55F3988C" w:rsidR="00185DBA" w:rsidRPr="00D775C2" w:rsidRDefault="006578D9" w:rsidP="00EB4E3E">
      <w:pPr>
        <w:spacing w:line="240" w:lineRule="auto"/>
        <w:jc w:val="both"/>
        <w:rPr>
          <w:rFonts w:ascii="Arial" w:hAnsi="Arial" w:cs="Arial"/>
          <w:sz w:val="20"/>
          <w:szCs w:val="20"/>
        </w:rPr>
      </w:pPr>
      <w:r w:rsidRPr="00D775C2">
        <w:rPr>
          <w:rFonts w:ascii="Arial" w:hAnsi="Arial" w:cs="Arial"/>
          <w:sz w:val="20"/>
          <w:szCs w:val="20"/>
        </w:rPr>
        <w:t>The researcher conducted interviews with the subjects to gather information on their anthropometric measurements, socioeconomic status, and lifestyle choices, including physical activity, sleep quality, alcohol consumption, and tobacco and smoking.</w:t>
      </w:r>
      <w:r w:rsidR="00A655C2" w:rsidRPr="00D775C2">
        <w:rPr>
          <w:rFonts w:ascii="Arial" w:hAnsi="Arial" w:cs="Arial"/>
          <w:sz w:val="20"/>
          <w:szCs w:val="20"/>
        </w:rPr>
        <w:t xml:space="preserve"> </w:t>
      </w:r>
      <w:r w:rsidR="0000104E" w:rsidRPr="00D775C2">
        <w:rPr>
          <w:rFonts w:ascii="Arial" w:hAnsi="Arial" w:cs="Arial"/>
          <w:sz w:val="20"/>
          <w:szCs w:val="20"/>
        </w:rPr>
        <w:t xml:space="preserve">The WHO anthropometric techniques were used to measure weight and height. A measuring scale in inches was used to determine height. A digital </w:t>
      </w:r>
      <w:r w:rsidR="00084BE0" w:rsidRPr="00D775C2">
        <w:rPr>
          <w:rFonts w:ascii="Arial" w:hAnsi="Arial" w:cs="Arial"/>
          <w:sz w:val="20"/>
          <w:szCs w:val="20"/>
        </w:rPr>
        <w:t>weighing</w:t>
      </w:r>
      <w:r w:rsidR="0000104E" w:rsidRPr="00D775C2">
        <w:rPr>
          <w:rFonts w:ascii="Arial" w:hAnsi="Arial" w:cs="Arial"/>
          <w:sz w:val="20"/>
          <w:szCs w:val="20"/>
        </w:rPr>
        <w:t xml:space="preserve"> machine was used to measure body weight in kilograms. Weight in kilograms divided by height in meters results in the patient's body mass index (BMI) in kilograms per </w:t>
      </w:r>
      <w:r w:rsidR="00084BE0" w:rsidRPr="00D775C2">
        <w:rPr>
          <w:rFonts w:ascii="Arial" w:hAnsi="Arial" w:cs="Arial"/>
          <w:sz w:val="20"/>
          <w:szCs w:val="20"/>
        </w:rPr>
        <w:t>meter squared</w:t>
      </w:r>
      <w:r w:rsidR="0000104E" w:rsidRPr="00D775C2">
        <w:rPr>
          <w:rFonts w:ascii="Arial" w:hAnsi="Arial" w:cs="Arial"/>
          <w:sz w:val="20"/>
          <w:szCs w:val="20"/>
        </w:rPr>
        <w:t>.</w:t>
      </w:r>
      <w:r w:rsidR="00DC454F" w:rsidRPr="00D775C2">
        <w:rPr>
          <w:rFonts w:ascii="Arial" w:eastAsia="Times New Roman" w:hAnsi="Arial" w:cs="Arial"/>
          <w:kern w:val="0"/>
          <w:sz w:val="20"/>
          <w:szCs w:val="20"/>
          <w:lang w:eastAsia="en-IN"/>
          <w14:ligatures w14:val="none"/>
        </w:rPr>
        <w:t xml:space="preserve"> </w:t>
      </w:r>
      <w:r w:rsidR="00DC454F" w:rsidRPr="00D775C2">
        <w:rPr>
          <w:rFonts w:ascii="Arial" w:hAnsi="Arial" w:cs="Arial"/>
          <w:sz w:val="20"/>
          <w:szCs w:val="20"/>
        </w:rPr>
        <w:t>Biochemical measurements of the patient, such as glycosylated</w:t>
      </w:r>
      <w:r w:rsidR="00085A99" w:rsidRPr="00D775C2">
        <w:rPr>
          <w:rFonts w:ascii="Arial" w:hAnsi="Arial" w:cs="Arial"/>
          <w:sz w:val="20"/>
          <w:szCs w:val="20"/>
        </w:rPr>
        <w:t xml:space="preserve"> </w:t>
      </w:r>
      <w:proofErr w:type="spellStart"/>
      <w:r w:rsidR="00DC454F" w:rsidRPr="00D775C2">
        <w:rPr>
          <w:rFonts w:ascii="Arial" w:hAnsi="Arial" w:cs="Arial"/>
          <w:sz w:val="20"/>
          <w:szCs w:val="20"/>
        </w:rPr>
        <w:t>hemoglobin</w:t>
      </w:r>
      <w:proofErr w:type="spellEnd"/>
      <w:r w:rsidR="00DC454F" w:rsidRPr="00D775C2">
        <w:rPr>
          <w:rFonts w:ascii="Arial" w:hAnsi="Arial" w:cs="Arial"/>
          <w:sz w:val="20"/>
          <w:szCs w:val="20"/>
        </w:rPr>
        <w:t>, postprandial blood glucose, and fasting blood glucose, were collected from the pathology report.</w:t>
      </w:r>
      <w:r w:rsidR="00E7072B" w:rsidRPr="00D775C2">
        <w:rPr>
          <w:rFonts w:ascii="Arial" w:hAnsi="Arial" w:cs="Arial"/>
          <w:sz w:val="20"/>
          <w:szCs w:val="20"/>
        </w:rPr>
        <w:t xml:space="preserve"> Nutritional </w:t>
      </w:r>
      <w:r w:rsidR="00084BE0" w:rsidRPr="00D775C2">
        <w:rPr>
          <w:rFonts w:ascii="Arial" w:hAnsi="Arial" w:cs="Arial"/>
          <w:sz w:val="20"/>
          <w:szCs w:val="20"/>
        </w:rPr>
        <w:t>status is</w:t>
      </w:r>
      <w:r w:rsidR="00E7072B" w:rsidRPr="00D775C2">
        <w:rPr>
          <w:rFonts w:ascii="Arial" w:hAnsi="Arial" w:cs="Arial"/>
          <w:sz w:val="20"/>
          <w:szCs w:val="20"/>
        </w:rPr>
        <w:t xml:space="preserve"> </w:t>
      </w:r>
      <w:r w:rsidR="00774263" w:rsidRPr="00D775C2">
        <w:rPr>
          <w:rFonts w:ascii="Arial" w:hAnsi="Arial" w:cs="Arial"/>
          <w:sz w:val="20"/>
          <w:szCs w:val="20"/>
        </w:rPr>
        <w:t xml:space="preserve">assessed by the BMI </w:t>
      </w:r>
      <w:r w:rsidR="00726849" w:rsidRPr="00D775C2">
        <w:rPr>
          <w:rFonts w:ascii="Arial" w:hAnsi="Arial" w:cs="Arial"/>
          <w:sz w:val="20"/>
          <w:szCs w:val="20"/>
        </w:rPr>
        <w:t xml:space="preserve">method. </w:t>
      </w:r>
      <w:r w:rsidR="00185DBA" w:rsidRPr="00D775C2">
        <w:rPr>
          <w:rFonts w:ascii="Arial" w:hAnsi="Arial" w:cs="Arial"/>
          <w:sz w:val="20"/>
          <w:szCs w:val="20"/>
        </w:rPr>
        <w:t>The following weight categories were used to classify the respondents: underweight (BMI ˂ 18.5), normal weight (BMI 18.5-24.9), overweight (BMI 25.0-29.9), and obese (BMI ˃ 30).</w:t>
      </w:r>
    </w:p>
    <w:p w14:paraId="0448637E" w14:textId="77777777" w:rsidR="003A49A7" w:rsidRPr="00D775C2" w:rsidRDefault="00FE4109" w:rsidP="00EB4E3E">
      <w:pPr>
        <w:spacing w:after="0" w:line="240" w:lineRule="auto"/>
        <w:jc w:val="both"/>
        <w:rPr>
          <w:rFonts w:ascii="Arial" w:hAnsi="Arial" w:cs="Arial"/>
          <w:b/>
          <w:bCs/>
          <w:sz w:val="20"/>
          <w:szCs w:val="20"/>
        </w:rPr>
      </w:pPr>
      <w:r w:rsidRPr="00D775C2">
        <w:rPr>
          <w:rFonts w:ascii="Arial" w:hAnsi="Arial" w:cs="Arial"/>
          <w:b/>
          <w:bCs/>
          <w:sz w:val="20"/>
          <w:szCs w:val="20"/>
        </w:rPr>
        <w:t>Statistical</w:t>
      </w:r>
      <w:r w:rsidR="00737253" w:rsidRPr="00D775C2">
        <w:rPr>
          <w:rFonts w:ascii="Arial" w:hAnsi="Arial" w:cs="Arial"/>
          <w:b/>
          <w:bCs/>
          <w:sz w:val="20"/>
          <w:szCs w:val="20"/>
        </w:rPr>
        <w:t xml:space="preserve"> analysis</w:t>
      </w:r>
    </w:p>
    <w:p w14:paraId="09844E64" w14:textId="1B07EE7E" w:rsidR="003E0B7D" w:rsidRPr="00D775C2" w:rsidRDefault="00604662" w:rsidP="00EB4E3E">
      <w:pPr>
        <w:spacing w:line="240" w:lineRule="auto"/>
        <w:jc w:val="both"/>
        <w:rPr>
          <w:rFonts w:ascii="Arial" w:hAnsi="Arial" w:cs="Arial"/>
          <w:sz w:val="20"/>
          <w:szCs w:val="20"/>
        </w:rPr>
      </w:pPr>
      <w:r w:rsidRPr="00D775C2">
        <w:rPr>
          <w:rFonts w:ascii="Arial" w:hAnsi="Arial" w:cs="Arial"/>
          <w:sz w:val="20"/>
          <w:szCs w:val="20"/>
        </w:rPr>
        <w:t xml:space="preserve">The data was organized into tables and </w:t>
      </w:r>
      <w:proofErr w:type="spellStart"/>
      <w:r w:rsidRPr="00D775C2">
        <w:rPr>
          <w:rFonts w:ascii="Arial" w:hAnsi="Arial" w:cs="Arial"/>
          <w:sz w:val="20"/>
          <w:szCs w:val="20"/>
        </w:rPr>
        <w:t>analyzed</w:t>
      </w:r>
      <w:proofErr w:type="spellEnd"/>
      <w:r w:rsidRPr="00D775C2">
        <w:rPr>
          <w:rFonts w:ascii="Arial" w:hAnsi="Arial" w:cs="Arial"/>
          <w:sz w:val="20"/>
          <w:szCs w:val="20"/>
        </w:rPr>
        <w:t xml:space="preserve"> statistically using version 25 of the Statistical Package for Social Sciences (SPSS)</w:t>
      </w:r>
      <w:r w:rsidR="00C444A2" w:rsidRPr="00D775C2">
        <w:rPr>
          <w:rFonts w:ascii="Arial" w:hAnsi="Arial" w:cs="Arial"/>
          <w:sz w:val="20"/>
          <w:szCs w:val="20"/>
        </w:rPr>
        <w:t>.</w:t>
      </w:r>
      <w:r w:rsidR="0045729B" w:rsidRPr="00D775C2">
        <w:rPr>
          <w:rFonts w:ascii="Arial" w:hAnsi="Arial" w:cs="Arial"/>
          <w:sz w:val="20"/>
          <w:szCs w:val="20"/>
        </w:rPr>
        <w:t xml:space="preserve"> </w:t>
      </w:r>
      <w:r w:rsidR="007C5F28" w:rsidRPr="00D775C2">
        <w:rPr>
          <w:rFonts w:ascii="Arial" w:hAnsi="Arial" w:cs="Arial"/>
          <w:sz w:val="20"/>
          <w:szCs w:val="20"/>
        </w:rPr>
        <w:t xml:space="preserve">The statistical analysis involved calculating the mean and standard deviation for continuous variables and determining percentages for categorical variables. Statistical significance was established using the Fisher exact test, with a </w:t>
      </w:r>
      <w:r w:rsidR="00A14C16">
        <w:rPr>
          <w:rFonts w:ascii="Arial" w:hAnsi="Arial" w:cs="Arial"/>
          <w:sz w:val="20"/>
          <w:szCs w:val="20"/>
        </w:rPr>
        <w:t>P</w:t>
      </w:r>
      <w:r w:rsidR="007C5F28" w:rsidRPr="00D775C2">
        <w:rPr>
          <w:rFonts w:ascii="Arial" w:hAnsi="Arial" w:cs="Arial"/>
          <w:sz w:val="20"/>
          <w:szCs w:val="20"/>
        </w:rPr>
        <w:t xml:space="preserve">-value of </w:t>
      </w:r>
      <w:r w:rsidR="00A14C16">
        <w:rPr>
          <w:rFonts w:ascii="Arial" w:hAnsi="Arial" w:cs="Arial"/>
          <w:sz w:val="20"/>
          <w:szCs w:val="20"/>
        </w:rPr>
        <w:t>less than or equal</w:t>
      </w:r>
      <w:r w:rsidR="007C5F28" w:rsidRPr="00D775C2">
        <w:rPr>
          <w:rFonts w:ascii="Arial" w:hAnsi="Arial" w:cs="Arial"/>
          <w:sz w:val="20"/>
          <w:szCs w:val="20"/>
        </w:rPr>
        <w:t xml:space="preserve"> t</w:t>
      </w:r>
      <w:r w:rsidR="00A14C16">
        <w:rPr>
          <w:rFonts w:ascii="Arial" w:hAnsi="Arial" w:cs="Arial"/>
          <w:sz w:val="20"/>
          <w:szCs w:val="20"/>
        </w:rPr>
        <w:t>o</w:t>
      </w:r>
      <w:r w:rsidR="007C5F28" w:rsidRPr="00D775C2">
        <w:rPr>
          <w:rFonts w:ascii="Arial" w:hAnsi="Arial" w:cs="Arial"/>
          <w:sz w:val="20"/>
          <w:szCs w:val="20"/>
        </w:rPr>
        <w:t xml:space="preserve"> 0.05.</w:t>
      </w:r>
    </w:p>
    <w:p w14:paraId="63A66B18" w14:textId="028ECF2A" w:rsidR="00B11958" w:rsidRPr="00D775C2" w:rsidRDefault="00B11958" w:rsidP="000B48EA">
      <w:pPr>
        <w:pStyle w:val="ListParagraph"/>
        <w:numPr>
          <w:ilvl w:val="0"/>
          <w:numId w:val="23"/>
        </w:numPr>
        <w:spacing w:after="0" w:line="240" w:lineRule="auto"/>
        <w:ind w:left="426"/>
        <w:jc w:val="both"/>
        <w:rPr>
          <w:rFonts w:ascii="Arial" w:hAnsi="Arial" w:cs="Arial"/>
          <w:b/>
          <w:bCs/>
          <w:sz w:val="20"/>
          <w:szCs w:val="20"/>
        </w:rPr>
      </w:pPr>
      <w:r w:rsidRPr="00D775C2">
        <w:rPr>
          <w:rFonts w:ascii="Arial" w:hAnsi="Arial" w:cs="Arial"/>
          <w:b/>
          <w:bCs/>
          <w:sz w:val="20"/>
          <w:szCs w:val="20"/>
        </w:rPr>
        <w:t>Results and Discussion</w:t>
      </w:r>
    </w:p>
    <w:p w14:paraId="5793A33A" w14:textId="2B2FBD6D" w:rsidR="00915449" w:rsidRDefault="002528D0" w:rsidP="00EB4E3E">
      <w:pPr>
        <w:spacing w:line="240" w:lineRule="auto"/>
        <w:jc w:val="both"/>
        <w:rPr>
          <w:rFonts w:ascii="Arial" w:hAnsi="Arial" w:cs="Arial"/>
          <w:sz w:val="20"/>
          <w:szCs w:val="20"/>
        </w:rPr>
      </w:pPr>
      <w:r w:rsidRPr="00D775C2">
        <w:rPr>
          <w:rFonts w:ascii="Arial" w:hAnsi="Arial" w:cs="Arial"/>
          <w:sz w:val="20"/>
          <w:szCs w:val="20"/>
        </w:rPr>
        <w:t xml:space="preserve">This section presents the key findings of the study and interprets their significance in relation to existing literature. The analysis focuses on the associations between nutritional status and various lifestyle and </w:t>
      </w:r>
      <w:r w:rsidR="00D775C2">
        <w:rPr>
          <w:rFonts w:ascii="Arial" w:hAnsi="Arial" w:cs="Arial"/>
          <w:sz w:val="20"/>
          <w:szCs w:val="20"/>
        </w:rPr>
        <w:t>sociodemographic</w:t>
      </w:r>
      <w:r w:rsidRPr="00D775C2">
        <w:rPr>
          <w:rFonts w:ascii="Arial" w:hAnsi="Arial" w:cs="Arial"/>
          <w:sz w:val="20"/>
          <w:szCs w:val="20"/>
        </w:rPr>
        <w:t xml:space="preserve"> factors.</w:t>
      </w:r>
    </w:p>
    <w:p w14:paraId="1E4A4B7E" w14:textId="19E885D3" w:rsidR="00B1746E" w:rsidRPr="007A3033" w:rsidRDefault="004E6094" w:rsidP="00EB4E3E">
      <w:pPr>
        <w:spacing w:line="240" w:lineRule="auto"/>
        <w:jc w:val="both"/>
        <w:rPr>
          <w:rFonts w:ascii="Arial" w:hAnsi="Arial" w:cs="Arial"/>
          <w:sz w:val="20"/>
          <w:szCs w:val="20"/>
        </w:rPr>
      </w:pPr>
      <w:r w:rsidRPr="00D775C2">
        <w:rPr>
          <w:rFonts w:ascii="Arial" w:hAnsi="Arial" w:cs="Arial"/>
          <w:b/>
          <w:bCs/>
          <w:sz w:val="20"/>
          <w:szCs w:val="20"/>
        </w:rPr>
        <w:t xml:space="preserve">Table 1: </w:t>
      </w:r>
      <w:r w:rsidR="00AB71C1" w:rsidRPr="00D775C2">
        <w:rPr>
          <w:rFonts w:ascii="Arial" w:hAnsi="Arial" w:cs="Arial"/>
          <w:b/>
          <w:bCs/>
          <w:sz w:val="20"/>
          <w:szCs w:val="20"/>
        </w:rPr>
        <w:t>Distribution of socio-demographi</w:t>
      </w:r>
      <w:r w:rsidR="0066586D" w:rsidRPr="00D775C2">
        <w:rPr>
          <w:rFonts w:ascii="Arial" w:hAnsi="Arial" w:cs="Arial"/>
          <w:b/>
          <w:bCs/>
          <w:sz w:val="20"/>
          <w:szCs w:val="20"/>
        </w:rPr>
        <w:t>c</w:t>
      </w:r>
      <w:r w:rsidR="00AB71C1" w:rsidRPr="00D775C2">
        <w:rPr>
          <w:rFonts w:ascii="Arial" w:hAnsi="Arial" w:cs="Arial"/>
          <w:b/>
          <w:bCs/>
          <w:sz w:val="20"/>
          <w:szCs w:val="20"/>
        </w:rPr>
        <w:t xml:space="preserve"> characteristics</w:t>
      </w:r>
      <w:r w:rsidR="0066586D" w:rsidRPr="00D775C2">
        <w:rPr>
          <w:rFonts w:ascii="Arial" w:hAnsi="Arial" w:cs="Arial"/>
          <w:b/>
          <w:bCs/>
          <w:sz w:val="20"/>
          <w:szCs w:val="20"/>
        </w:rPr>
        <w:t xml:space="preserve"> and food habit</w:t>
      </w:r>
      <w:r w:rsidR="007F0FF1" w:rsidRPr="00D775C2">
        <w:rPr>
          <w:rFonts w:ascii="Arial" w:hAnsi="Arial" w:cs="Arial"/>
          <w:b/>
          <w:bCs/>
          <w:sz w:val="20"/>
          <w:szCs w:val="20"/>
        </w:rPr>
        <w:t xml:space="preserve">s </w:t>
      </w:r>
      <w:r w:rsidR="00AB71C1" w:rsidRPr="00D775C2">
        <w:rPr>
          <w:rFonts w:ascii="Arial" w:hAnsi="Arial" w:cs="Arial"/>
          <w:b/>
          <w:bCs/>
          <w:sz w:val="20"/>
          <w:szCs w:val="20"/>
        </w:rPr>
        <w:t xml:space="preserve">of the </w:t>
      </w:r>
      <w:r w:rsidR="006126EE" w:rsidRPr="00D775C2">
        <w:rPr>
          <w:rFonts w:ascii="Arial" w:hAnsi="Arial" w:cs="Arial"/>
          <w:b/>
          <w:bCs/>
          <w:sz w:val="20"/>
          <w:szCs w:val="20"/>
        </w:rPr>
        <w:t>diabetic patients</w:t>
      </w:r>
      <w:r w:rsidR="00AB71C1" w:rsidRPr="00D775C2">
        <w:rPr>
          <w:rFonts w:ascii="Arial" w:hAnsi="Arial" w:cs="Arial"/>
          <w:b/>
          <w:bCs/>
          <w:sz w:val="20"/>
          <w:szCs w:val="20"/>
        </w:rPr>
        <w:t>.</w:t>
      </w:r>
    </w:p>
    <w:tbl>
      <w:tblPr>
        <w:tblStyle w:val="TableGrid"/>
        <w:tblW w:w="9351" w:type="dxa"/>
        <w:tblLook w:val="04A0" w:firstRow="1" w:lastRow="0" w:firstColumn="1" w:lastColumn="0" w:noHBand="0" w:noVBand="1"/>
      </w:tblPr>
      <w:tblGrid>
        <w:gridCol w:w="2872"/>
        <w:gridCol w:w="1745"/>
        <w:gridCol w:w="1927"/>
        <w:gridCol w:w="2807"/>
      </w:tblGrid>
      <w:tr w:rsidR="00416063" w:rsidRPr="00D775C2" w14:paraId="4F992C16" w14:textId="77777777" w:rsidTr="007C5FE9">
        <w:tc>
          <w:tcPr>
            <w:tcW w:w="2872" w:type="dxa"/>
            <w:vAlign w:val="center"/>
          </w:tcPr>
          <w:p w14:paraId="6C59C33B"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lastRenderedPageBreak/>
              <w:t>VARIABLES</w:t>
            </w:r>
          </w:p>
        </w:tc>
        <w:tc>
          <w:tcPr>
            <w:tcW w:w="1745" w:type="dxa"/>
            <w:vAlign w:val="center"/>
          </w:tcPr>
          <w:p w14:paraId="4AA3A711"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 xml:space="preserve">MALE </w:t>
            </w:r>
            <w:proofErr w:type="spellStart"/>
            <w:r w:rsidRPr="00D775C2">
              <w:rPr>
                <w:rFonts w:ascii="Arial" w:hAnsi="Arial" w:cs="Arial"/>
                <w:b/>
                <w:bCs/>
                <w:sz w:val="20"/>
                <w:szCs w:val="20"/>
              </w:rPr>
              <w:t>Mean</w:t>
            </w:r>
            <w:r w:rsidRPr="00D775C2">
              <w:rPr>
                <w:rFonts w:ascii="Arial" w:hAnsi="Arial" w:cs="Arial"/>
                <w:b/>
                <w:bCs/>
                <w:sz w:val="20"/>
                <w:szCs w:val="20"/>
                <w:u w:val="single"/>
              </w:rPr>
              <w:t>+</w:t>
            </w:r>
            <w:r w:rsidRPr="00D775C2">
              <w:rPr>
                <w:rFonts w:ascii="Arial" w:hAnsi="Arial" w:cs="Arial"/>
                <w:b/>
                <w:bCs/>
                <w:sz w:val="20"/>
                <w:szCs w:val="20"/>
              </w:rPr>
              <w:t>SD</w:t>
            </w:r>
            <w:proofErr w:type="spellEnd"/>
            <w:r w:rsidRPr="00D775C2">
              <w:rPr>
                <w:rFonts w:ascii="Arial" w:hAnsi="Arial" w:cs="Arial"/>
                <w:b/>
                <w:bCs/>
                <w:sz w:val="20"/>
                <w:szCs w:val="20"/>
              </w:rPr>
              <w:t>/%</w:t>
            </w:r>
          </w:p>
        </w:tc>
        <w:tc>
          <w:tcPr>
            <w:tcW w:w="1927" w:type="dxa"/>
            <w:vAlign w:val="center"/>
          </w:tcPr>
          <w:p w14:paraId="034D221A"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 xml:space="preserve">FEMALE </w:t>
            </w:r>
            <w:proofErr w:type="spellStart"/>
            <w:r w:rsidRPr="00D775C2">
              <w:rPr>
                <w:rFonts w:ascii="Arial" w:hAnsi="Arial" w:cs="Arial"/>
                <w:b/>
                <w:bCs/>
                <w:sz w:val="20"/>
                <w:szCs w:val="20"/>
              </w:rPr>
              <w:t>Mean</w:t>
            </w:r>
            <w:r w:rsidRPr="00D775C2">
              <w:rPr>
                <w:rFonts w:ascii="Arial" w:hAnsi="Arial" w:cs="Arial"/>
                <w:b/>
                <w:bCs/>
                <w:sz w:val="20"/>
                <w:szCs w:val="20"/>
                <w:u w:val="single"/>
              </w:rPr>
              <w:t>+</w:t>
            </w:r>
            <w:r w:rsidRPr="00D775C2">
              <w:rPr>
                <w:rFonts w:ascii="Arial" w:hAnsi="Arial" w:cs="Arial"/>
                <w:b/>
                <w:bCs/>
                <w:sz w:val="20"/>
                <w:szCs w:val="20"/>
              </w:rPr>
              <w:t>SD</w:t>
            </w:r>
            <w:proofErr w:type="spellEnd"/>
            <w:r w:rsidRPr="00D775C2">
              <w:rPr>
                <w:rFonts w:ascii="Arial" w:hAnsi="Arial" w:cs="Arial"/>
                <w:b/>
                <w:bCs/>
                <w:sz w:val="20"/>
                <w:szCs w:val="20"/>
              </w:rPr>
              <w:t>/%</w:t>
            </w:r>
          </w:p>
        </w:tc>
        <w:tc>
          <w:tcPr>
            <w:tcW w:w="2807" w:type="dxa"/>
            <w:vAlign w:val="center"/>
          </w:tcPr>
          <w:p w14:paraId="4121FAA4"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 xml:space="preserve">TOTAL        </w:t>
            </w:r>
            <w:proofErr w:type="spellStart"/>
            <w:r w:rsidRPr="00D775C2">
              <w:rPr>
                <w:rFonts w:ascii="Arial" w:hAnsi="Arial" w:cs="Arial"/>
                <w:b/>
                <w:bCs/>
                <w:sz w:val="20"/>
                <w:szCs w:val="20"/>
              </w:rPr>
              <w:t>Mean</w:t>
            </w:r>
            <w:r w:rsidRPr="00D775C2">
              <w:rPr>
                <w:rFonts w:ascii="Arial" w:hAnsi="Arial" w:cs="Arial"/>
                <w:b/>
                <w:bCs/>
                <w:sz w:val="20"/>
                <w:szCs w:val="20"/>
                <w:u w:val="single"/>
              </w:rPr>
              <w:t>+</w:t>
            </w:r>
            <w:r w:rsidRPr="00D775C2">
              <w:rPr>
                <w:rFonts w:ascii="Arial" w:hAnsi="Arial" w:cs="Arial"/>
                <w:b/>
                <w:bCs/>
                <w:sz w:val="20"/>
                <w:szCs w:val="20"/>
              </w:rPr>
              <w:t>SD</w:t>
            </w:r>
            <w:proofErr w:type="spellEnd"/>
            <w:r w:rsidRPr="00D775C2">
              <w:rPr>
                <w:rFonts w:ascii="Arial" w:hAnsi="Arial" w:cs="Arial"/>
                <w:b/>
                <w:bCs/>
                <w:sz w:val="20"/>
                <w:szCs w:val="20"/>
              </w:rPr>
              <w:t>/%</w:t>
            </w:r>
          </w:p>
        </w:tc>
      </w:tr>
      <w:tr w:rsidR="00416063" w:rsidRPr="00D775C2" w14:paraId="5A5B177B" w14:textId="77777777" w:rsidTr="007C5FE9">
        <w:tc>
          <w:tcPr>
            <w:tcW w:w="2872" w:type="dxa"/>
            <w:vAlign w:val="center"/>
          </w:tcPr>
          <w:p w14:paraId="423D35EA"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 xml:space="preserve">AGE (Years) </w:t>
            </w:r>
          </w:p>
        </w:tc>
        <w:tc>
          <w:tcPr>
            <w:tcW w:w="1745" w:type="dxa"/>
            <w:vAlign w:val="center"/>
          </w:tcPr>
          <w:p w14:paraId="414A1764"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 xml:space="preserve">51.5 </w:t>
            </w:r>
            <w:r w:rsidRPr="00D775C2">
              <w:rPr>
                <w:rFonts w:ascii="Arial" w:hAnsi="Arial" w:cs="Arial"/>
                <w:sz w:val="20"/>
                <w:szCs w:val="20"/>
                <w:u w:val="single"/>
              </w:rPr>
              <w:t>+</w:t>
            </w:r>
            <w:r w:rsidRPr="00D775C2">
              <w:rPr>
                <w:rFonts w:ascii="Arial" w:hAnsi="Arial" w:cs="Arial"/>
                <w:sz w:val="20"/>
                <w:szCs w:val="20"/>
              </w:rPr>
              <w:t>11.82</w:t>
            </w:r>
          </w:p>
        </w:tc>
        <w:tc>
          <w:tcPr>
            <w:tcW w:w="1927" w:type="dxa"/>
            <w:vAlign w:val="center"/>
          </w:tcPr>
          <w:p w14:paraId="527038CF"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46.6</w:t>
            </w:r>
            <w:r w:rsidRPr="00D775C2">
              <w:rPr>
                <w:rFonts w:ascii="Arial" w:hAnsi="Arial" w:cs="Arial"/>
                <w:sz w:val="20"/>
                <w:szCs w:val="20"/>
                <w:u w:val="single"/>
              </w:rPr>
              <w:t>+</w:t>
            </w:r>
            <w:r w:rsidRPr="00D775C2">
              <w:rPr>
                <w:rFonts w:ascii="Arial" w:hAnsi="Arial" w:cs="Arial"/>
                <w:sz w:val="20"/>
                <w:szCs w:val="20"/>
              </w:rPr>
              <w:t>6.79</w:t>
            </w:r>
          </w:p>
        </w:tc>
        <w:tc>
          <w:tcPr>
            <w:tcW w:w="2807" w:type="dxa"/>
            <w:vAlign w:val="center"/>
          </w:tcPr>
          <w:p w14:paraId="3640431A"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49.17</w:t>
            </w:r>
            <w:r w:rsidRPr="00D775C2">
              <w:rPr>
                <w:rFonts w:ascii="Arial" w:hAnsi="Arial" w:cs="Arial"/>
                <w:sz w:val="20"/>
                <w:szCs w:val="20"/>
                <w:u w:val="single"/>
              </w:rPr>
              <w:t>+</w:t>
            </w:r>
            <w:r w:rsidRPr="00D775C2">
              <w:rPr>
                <w:rFonts w:ascii="Arial" w:hAnsi="Arial" w:cs="Arial"/>
                <w:sz w:val="20"/>
                <w:szCs w:val="20"/>
              </w:rPr>
              <w:t>9.99</w:t>
            </w:r>
          </w:p>
        </w:tc>
      </w:tr>
      <w:tr w:rsidR="00416063" w:rsidRPr="00D775C2" w14:paraId="0B58AADB" w14:textId="77777777" w:rsidTr="007C5FE9">
        <w:tc>
          <w:tcPr>
            <w:tcW w:w="2872" w:type="dxa"/>
            <w:vAlign w:val="center"/>
          </w:tcPr>
          <w:p w14:paraId="73A0BE1F"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GENDER (%)</w:t>
            </w:r>
          </w:p>
        </w:tc>
        <w:tc>
          <w:tcPr>
            <w:tcW w:w="1745" w:type="dxa"/>
            <w:vAlign w:val="center"/>
          </w:tcPr>
          <w:p w14:paraId="78AA8F70"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(130) 52%</w:t>
            </w:r>
          </w:p>
        </w:tc>
        <w:tc>
          <w:tcPr>
            <w:tcW w:w="1927" w:type="dxa"/>
            <w:vAlign w:val="center"/>
          </w:tcPr>
          <w:p w14:paraId="424DB658"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(120) 48%</w:t>
            </w:r>
          </w:p>
        </w:tc>
        <w:tc>
          <w:tcPr>
            <w:tcW w:w="2807" w:type="dxa"/>
            <w:vAlign w:val="center"/>
          </w:tcPr>
          <w:p w14:paraId="3A593525"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 xml:space="preserve">(250)100% </w:t>
            </w:r>
          </w:p>
        </w:tc>
      </w:tr>
      <w:tr w:rsidR="00416063" w:rsidRPr="00D775C2" w14:paraId="6FB17EBC" w14:textId="77777777" w:rsidTr="007C5FE9">
        <w:tc>
          <w:tcPr>
            <w:tcW w:w="9351" w:type="dxa"/>
            <w:gridSpan w:val="4"/>
            <w:vAlign w:val="center"/>
          </w:tcPr>
          <w:p w14:paraId="639F41F0"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MARITAL STATUS (n) %</w:t>
            </w:r>
          </w:p>
        </w:tc>
      </w:tr>
      <w:tr w:rsidR="00416063" w:rsidRPr="00D775C2" w14:paraId="358E8DD3" w14:textId="77777777" w:rsidTr="007C5FE9">
        <w:tc>
          <w:tcPr>
            <w:tcW w:w="2872" w:type="dxa"/>
            <w:vAlign w:val="center"/>
          </w:tcPr>
          <w:p w14:paraId="0757D761"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MARRIED</w:t>
            </w:r>
          </w:p>
        </w:tc>
        <w:tc>
          <w:tcPr>
            <w:tcW w:w="1745" w:type="dxa"/>
            <w:vAlign w:val="center"/>
          </w:tcPr>
          <w:p w14:paraId="4FEE5910"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(122) 93.9%</w:t>
            </w:r>
          </w:p>
        </w:tc>
        <w:tc>
          <w:tcPr>
            <w:tcW w:w="1927" w:type="dxa"/>
            <w:vAlign w:val="center"/>
          </w:tcPr>
          <w:p w14:paraId="05DB96D4"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(120) 100%</w:t>
            </w:r>
          </w:p>
        </w:tc>
        <w:tc>
          <w:tcPr>
            <w:tcW w:w="2807" w:type="dxa"/>
            <w:vAlign w:val="center"/>
          </w:tcPr>
          <w:p w14:paraId="5435F897"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(242) 96.8%</w:t>
            </w:r>
          </w:p>
        </w:tc>
      </w:tr>
      <w:tr w:rsidR="00416063" w:rsidRPr="00D775C2" w14:paraId="2B197EE0" w14:textId="77777777" w:rsidTr="007C5FE9">
        <w:tc>
          <w:tcPr>
            <w:tcW w:w="2872" w:type="dxa"/>
            <w:vAlign w:val="center"/>
          </w:tcPr>
          <w:p w14:paraId="38E3B0BE"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UNMARRIED</w:t>
            </w:r>
          </w:p>
        </w:tc>
        <w:tc>
          <w:tcPr>
            <w:tcW w:w="1745" w:type="dxa"/>
            <w:vAlign w:val="center"/>
          </w:tcPr>
          <w:p w14:paraId="120041BE"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c>
          <w:tcPr>
            <w:tcW w:w="1927" w:type="dxa"/>
            <w:vAlign w:val="center"/>
          </w:tcPr>
          <w:p w14:paraId="2EE6CBE6"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c>
          <w:tcPr>
            <w:tcW w:w="2807" w:type="dxa"/>
            <w:vAlign w:val="center"/>
          </w:tcPr>
          <w:p w14:paraId="67290108"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r>
      <w:tr w:rsidR="00416063" w:rsidRPr="00D775C2" w14:paraId="0D02D273" w14:textId="77777777" w:rsidTr="007C5FE9">
        <w:tc>
          <w:tcPr>
            <w:tcW w:w="2872" w:type="dxa"/>
            <w:vAlign w:val="center"/>
          </w:tcPr>
          <w:p w14:paraId="0C253198"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DIVORCED</w:t>
            </w:r>
          </w:p>
        </w:tc>
        <w:tc>
          <w:tcPr>
            <w:tcW w:w="1745" w:type="dxa"/>
            <w:vAlign w:val="center"/>
          </w:tcPr>
          <w:p w14:paraId="09EC3C02"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c>
          <w:tcPr>
            <w:tcW w:w="1927" w:type="dxa"/>
            <w:vAlign w:val="center"/>
          </w:tcPr>
          <w:p w14:paraId="46C6DD83"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c>
          <w:tcPr>
            <w:tcW w:w="2807" w:type="dxa"/>
            <w:vAlign w:val="center"/>
          </w:tcPr>
          <w:p w14:paraId="562CBAB0"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r>
      <w:tr w:rsidR="00416063" w:rsidRPr="00D775C2" w14:paraId="2A6802E9" w14:textId="77777777" w:rsidTr="007C5FE9">
        <w:tc>
          <w:tcPr>
            <w:tcW w:w="2872" w:type="dxa"/>
            <w:vAlign w:val="center"/>
          </w:tcPr>
          <w:p w14:paraId="40503775"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WIDOW/ WIDOWER</w:t>
            </w:r>
          </w:p>
        </w:tc>
        <w:tc>
          <w:tcPr>
            <w:tcW w:w="1745" w:type="dxa"/>
            <w:vAlign w:val="center"/>
          </w:tcPr>
          <w:p w14:paraId="606C4763"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(8) 6.2%</w:t>
            </w:r>
          </w:p>
        </w:tc>
        <w:tc>
          <w:tcPr>
            <w:tcW w:w="1927" w:type="dxa"/>
            <w:vAlign w:val="center"/>
          </w:tcPr>
          <w:p w14:paraId="34FB9089"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c>
          <w:tcPr>
            <w:tcW w:w="2807" w:type="dxa"/>
            <w:vAlign w:val="center"/>
          </w:tcPr>
          <w:p w14:paraId="31E49D01"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(8) 3.2%</w:t>
            </w:r>
          </w:p>
        </w:tc>
      </w:tr>
      <w:tr w:rsidR="00416063" w:rsidRPr="00D775C2" w14:paraId="23006BE3" w14:textId="77777777" w:rsidTr="00290FE4">
        <w:trPr>
          <w:trHeight w:val="268"/>
        </w:trPr>
        <w:tc>
          <w:tcPr>
            <w:tcW w:w="9351" w:type="dxa"/>
            <w:gridSpan w:val="4"/>
            <w:vAlign w:val="center"/>
          </w:tcPr>
          <w:p w14:paraId="73446C6C"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 xml:space="preserve">FOOD HABITS (n)% </w:t>
            </w:r>
          </w:p>
        </w:tc>
      </w:tr>
      <w:tr w:rsidR="00416063" w:rsidRPr="00D775C2" w14:paraId="42CC1480" w14:textId="77777777" w:rsidTr="007C5FE9">
        <w:tc>
          <w:tcPr>
            <w:tcW w:w="2872" w:type="dxa"/>
            <w:vAlign w:val="center"/>
          </w:tcPr>
          <w:p w14:paraId="6237B8A8"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VEGETARIAN</w:t>
            </w:r>
          </w:p>
        </w:tc>
        <w:tc>
          <w:tcPr>
            <w:tcW w:w="1745" w:type="dxa"/>
            <w:vAlign w:val="center"/>
          </w:tcPr>
          <w:p w14:paraId="0EB3F308"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(62) 47.7%</w:t>
            </w:r>
          </w:p>
        </w:tc>
        <w:tc>
          <w:tcPr>
            <w:tcW w:w="1927" w:type="dxa"/>
            <w:vAlign w:val="center"/>
          </w:tcPr>
          <w:p w14:paraId="287F1FE6"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(67) 55.9%</w:t>
            </w:r>
          </w:p>
        </w:tc>
        <w:tc>
          <w:tcPr>
            <w:tcW w:w="2807" w:type="dxa"/>
            <w:vAlign w:val="center"/>
          </w:tcPr>
          <w:p w14:paraId="2FF7718E"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(129) 51.6%</w:t>
            </w:r>
          </w:p>
        </w:tc>
      </w:tr>
      <w:tr w:rsidR="00416063" w:rsidRPr="00D775C2" w14:paraId="075A8E4A" w14:textId="77777777" w:rsidTr="007C5FE9">
        <w:tc>
          <w:tcPr>
            <w:tcW w:w="2872" w:type="dxa"/>
            <w:vAlign w:val="center"/>
          </w:tcPr>
          <w:p w14:paraId="2A3B4A05"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EGGETARIAN</w:t>
            </w:r>
          </w:p>
        </w:tc>
        <w:tc>
          <w:tcPr>
            <w:tcW w:w="1745" w:type="dxa"/>
            <w:vAlign w:val="center"/>
          </w:tcPr>
          <w:p w14:paraId="3F935B49"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(17) 13.08%</w:t>
            </w:r>
          </w:p>
        </w:tc>
        <w:tc>
          <w:tcPr>
            <w:tcW w:w="1927" w:type="dxa"/>
            <w:vAlign w:val="center"/>
          </w:tcPr>
          <w:p w14:paraId="1321E593"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(12) 10%</w:t>
            </w:r>
          </w:p>
        </w:tc>
        <w:tc>
          <w:tcPr>
            <w:tcW w:w="2807" w:type="dxa"/>
            <w:vAlign w:val="center"/>
          </w:tcPr>
          <w:p w14:paraId="1670FB04"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(29) 11.6%</w:t>
            </w:r>
          </w:p>
        </w:tc>
      </w:tr>
      <w:tr w:rsidR="00416063" w:rsidRPr="00D775C2" w14:paraId="12C5806C" w14:textId="77777777" w:rsidTr="007C5FE9">
        <w:trPr>
          <w:trHeight w:val="108"/>
        </w:trPr>
        <w:tc>
          <w:tcPr>
            <w:tcW w:w="2872" w:type="dxa"/>
            <w:vAlign w:val="center"/>
          </w:tcPr>
          <w:p w14:paraId="38116B73"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NON-VEGETARIAN</w:t>
            </w:r>
          </w:p>
        </w:tc>
        <w:tc>
          <w:tcPr>
            <w:tcW w:w="1745" w:type="dxa"/>
            <w:vAlign w:val="center"/>
          </w:tcPr>
          <w:p w14:paraId="0F53E7F5"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(51) 39.3%</w:t>
            </w:r>
          </w:p>
        </w:tc>
        <w:tc>
          <w:tcPr>
            <w:tcW w:w="1927" w:type="dxa"/>
            <w:vAlign w:val="center"/>
          </w:tcPr>
          <w:p w14:paraId="20F658EE"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(41) 34.2%</w:t>
            </w:r>
          </w:p>
        </w:tc>
        <w:tc>
          <w:tcPr>
            <w:tcW w:w="2807" w:type="dxa"/>
            <w:vAlign w:val="center"/>
          </w:tcPr>
          <w:p w14:paraId="25BE5B69"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 xml:space="preserve">(92) 36.8% </w:t>
            </w:r>
          </w:p>
        </w:tc>
      </w:tr>
    </w:tbl>
    <w:p w14:paraId="2C2B5D21" w14:textId="0D54ECB6" w:rsidR="00AD50E8" w:rsidRPr="00D775C2" w:rsidRDefault="00AD50E8" w:rsidP="00EB4E3E">
      <w:pPr>
        <w:spacing w:line="240" w:lineRule="auto"/>
        <w:jc w:val="both"/>
        <w:rPr>
          <w:rFonts w:ascii="Arial" w:hAnsi="Arial" w:cs="Arial"/>
          <w:sz w:val="20"/>
          <w:szCs w:val="20"/>
        </w:rPr>
      </w:pPr>
      <w:r w:rsidRPr="00D775C2">
        <w:rPr>
          <w:rFonts w:ascii="Arial" w:hAnsi="Arial" w:cs="Arial"/>
          <w:sz w:val="20"/>
          <w:szCs w:val="20"/>
        </w:rPr>
        <w:t>The demographic data</w:t>
      </w:r>
      <w:r w:rsidR="008639F2" w:rsidRPr="00D775C2">
        <w:rPr>
          <w:rFonts w:ascii="Arial" w:hAnsi="Arial" w:cs="Arial"/>
          <w:sz w:val="20"/>
          <w:szCs w:val="20"/>
        </w:rPr>
        <w:t xml:space="preserve"> in table 1</w:t>
      </w:r>
      <w:r w:rsidRPr="00D775C2">
        <w:rPr>
          <w:rFonts w:ascii="Arial" w:hAnsi="Arial" w:cs="Arial"/>
          <w:sz w:val="20"/>
          <w:szCs w:val="20"/>
        </w:rPr>
        <w:t xml:space="preserve"> provides insights into the age, gender distribution, marital status, and food habits of the population studied. The </w:t>
      </w:r>
      <w:proofErr w:type="spellStart"/>
      <w:r w:rsidRPr="00D775C2">
        <w:rPr>
          <w:rFonts w:ascii="Arial" w:hAnsi="Arial" w:cs="Arial"/>
          <w:sz w:val="20"/>
          <w:szCs w:val="20"/>
        </w:rPr>
        <w:t>mean</w:t>
      </w:r>
      <w:r w:rsidR="00085A99" w:rsidRPr="00D775C2">
        <w:rPr>
          <w:rFonts w:ascii="Arial" w:hAnsi="Arial" w:cs="Arial"/>
          <w:sz w:val="20"/>
          <w:szCs w:val="20"/>
          <w:u w:val="single"/>
        </w:rPr>
        <w:t>+</w:t>
      </w:r>
      <w:r w:rsidR="00085A99" w:rsidRPr="00D775C2">
        <w:rPr>
          <w:rFonts w:ascii="Arial" w:hAnsi="Arial" w:cs="Arial"/>
          <w:sz w:val="20"/>
          <w:szCs w:val="20"/>
        </w:rPr>
        <w:t>SD</w:t>
      </w:r>
      <w:proofErr w:type="spellEnd"/>
      <w:r w:rsidRPr="00D775C2">
        <w:rPr>
          <w:rFonts w:ascii="Arial" w:hAnsi="Arial" w:cs="Arial"/>
          <w:sz w:val="20"/>
          <w:szCs w:val="20"/>
        </w:rPr>
        <w:t xml:space="preserve"> age of participants is approximately 49.17</w:t>
      </w:r>
      <w:r w:rsidR="00F43262" w:rsidRPr="00D775C2">
        <w:rPr>
          <w:rFonts w:ascii="Arial" w:hAnsi="Arial" w:cs="Arial"/>
          <w:sz w:val="20"/>
          <w:szCs w:val="20"/>
          <w:u w:val="single"/>
        </w:rPr>
        <w:t>+</w:t>
      </w:r>
      <w:r w:rsidR="00F43262" w:rsidRPr="00D775C2">
        <w:rPr>
          <w:rFonts w:ascii="Arial" w:hAnsi="Arial" w:cs="Arial"/>
          <w:sz w:val="20"/>
          <w:szCs w:val="20"/>
        </w:rPr>
        <w:t>9.99</w:t>
      </w:r>
      <w:r w:rsidRPr="00D775C2">
        <w:rPr>
          <w:rFonts w:ascii="Arial" w:hAnsi="Arial" w:cs="Arial"/>
          <w:sz w:val="20"/>
          <w:szCs w:val="20"/>
        </w:rPr>
        <w:t xml:space="preserve"> years, with males being slightly older (51.5</w:t>
      </w:r>
      <w:r w:rsidR="007D1535" w:rsidRPr="00D775C2">
        <w:rPr>
          <w:rFonts w:ascii="Arial" w:hAnsi="Arial" w:cs="Arial"/>
          <w:sz w:val="20"/>
          <w:szCs w:val="20"/>
          <w:u w:val="single"/>
        </w:rPr>
        <w:t>+</w:t>
      </w:r>
      <w:r w:rsidR="007D1535" w:rsidRPr="00D775C2">
        <w:rPr>
          <w:rFonts w:ascii="Arial" w:hAnsi="Arial" w:cs="Arial"/>
          <w:sz w:val="20"/>
          <w:szCs w:val="20"/>
        </w:rPr>
        <w:t>11.82</w:t>
      </w:r>
      <w:r w:rsidRPr="00D775C2">
        <w:rPr>
          <w:rFonts w:ascii="Arial" w:hAnsi="Arial" w:cs="Arial"/>
          <w:sz w:val="20"/>
          <w:szCs w:val="20"/>
        </w:rPr>
        <w:t xml:space="preserve"> years) than females (46.6</w:t>
      </w:r>
      <w:r w:rsidR="007D1535" w:rsidRPr="00D775C2">
        <w:rPr>
          <w:rFonts w:ascii="Arial" w:hAnsi="Arial" w:cs="Arial"/>
          <w:sz w:val="20"/>
          <w:szCs w:val="20"/>
          <w:u w:val="single"/>
        </w:rPr>
        <w:t>+</w:t>
      </w:r>
      <w:r w:rsidR="007D1535" w:rsidRPr="00D775C2">
        <w:rPr>
          <w:rFonts w:ascii="Arial" w:hAnsi="Arial" w:cs="Arial"/>
          <w:sz w:val="20"/>
          <w:szCs w:val="20"/>
        </w:rPr>
        <w:t>6.79</w:t>
      </w:r>
      <w:r w:rsidRPr="00D775C2">
        <w:rPr>
          <w:rFonts w:ascii="Arial" w:hAnsi="Arial" w:cs="Arial"/>
          <w:sz w:val="20"/>
          <w:szCs w:val="20"/>
        </w:rPr>
        <w:t xml:space="preserve"> years), and a wider age variation observed among males. In terms of gender distribution, the sample consists of </w:t>
      </w:r>
      <w:r w:rsidR="004A3AE1" w:rsidRPr="00D775C2">
        <w:rPr>
          <w:rFonts w:ascii="Arial" w:hAnsi="Arial" w:cs="Arial"/>
          <w:sz w:val="20"/>
          <w:szCs w:val="20"/>
        </w:rPr>
        <w:t>52</w:t>
      </w:r>
      <w:r w:rsidRPr="00D775C2">
        <w:rPr>
          <w:rFonts w:ascii="Arial" w:hAnsi="Arial" w:cs="Arial"/>
          <w:sz w:val="20"/>
          <w:szCs w:val="20"/>
        </w:rPr>
        <w:t xml:space="preserve">% males and </w:t>
      </w:r>
      <w:r w:rsidR="005771C7" w:rsidRPr="00D775C2">
        <w:rPr>
          <w:rFonts w:ascii="Arial" w:hAnsi="Arial" w:cs="Arial"/>
          <w:sz w:val="20"/>
          <w:szCs w:val="20"/>
        </w:rPr>
        <w:t>48</w:t>
      </w:r>
      <w:r w:rsidRPr="00D775C2">
        <w:rPr>
          <w:rFonts w:ascii="Arial" w:hAnsi="Arial" w:cs="Arial"/>
          <w:sz w:val="20"/>
          <w:szCs w:val="20"/>
        </w:rPr>
        <w:t>% females, indicating a fairly balanced representation. Marital status data shows that an overwhelming majority of the participants are married—9</w:t>
      </w:r>
      <w:r w:rsidR="005771C7" w:rsidRPr="00D775C2">
        <w:rPr>
          <w:rFonts w:ascii="Arial" w:hAnsi="Arial" w:cs="Arial"/>
          <w:sz w:val="20"/>
          <w:szCs w:val="20"/>
        </w:rPr>
        <w:t>3.8</w:t>
      </w:r>
      <w:r w:rsidRPr="00D775C2">
        <w:rPr>
          <w:rFonts w:ascii="Arial" w:hAnsi="Arial" w:cs="Arial"/>
          <w:sz w:val="20"/>
          <w:szCs w:val="20"/>
        </w:rPr>
        <w:t>% of males and 100% of females—with no individuals reported as unmarried or divorced. A small proportion of males (</w:t>
      </w:r>
      <w:r w:rsidR="00D53C46" w:rsidRPr="00D775C2">
        <w:rPr>
          <w:rFonts w:ascii="Arial" w:hAnsi="Arial" w:cs="Arial"/>
          <w:sz w:val="20"/>
          <w:szCs w:val="20"/>
        </w:rPr>
        <w:t>6.2</w:t>
      </w:r>
      <w:r w:rsidRPr="00D775C2">
        <w:rPr>
          <w:rFonts w:ascii="Arial" w:hAnsi="Arial" w:cs="Arial"/>
          <w:sz w:val="20"/>
          <w:szCs w:val="20"/>
        </w:rPr>
        <w:t>%) are widowers, while no females are widowed, suggesting a slight gender difference in widowhood within the sample.</w:t>
      </w:r>
    </w:p>
    <w:p w14:paraId="4ECC0206" w14:textId="29863827" w:rsidR="009C6B51" w:rsidRPr="00D775C2" w:rsidRDefault="00AD50E8" w:rsidP="00EB4E3E">
      <w:pPr>
        <w:spacing w:line="240" w:lineRule="auto"/>
        <w:jc w:val="both"/>
        <w:rPr>
          <w:rFonts w:ascii="Arial" w:hAnsi="Arial" w:cs="Arial"/>
          <w:sz w:val="20"/>
          <w:szCs w:val="20"/>
        </w:rPr>
      </w:pPr>
      <w:r w:rsidRPr="00D775C2">
        <w:rPr>
          <w:rFonts w:ascii="Arial" w:hAnsi="Arial" w:cs="Arial"/>
          <w:sz w:val="20"/>
          <w:szCs w:val="20"/>
        </w:rPr>
        <w:t>Regarding food habits, dietary preferences vary across the group. A little over half of the population (51.</w:t>
      </w:r>
      <w:r w:rsidR="00D53C46" w:rsidRPr="00D775C2">
        <w:rPr>
          <w:rFonts w:ascii="Arial" w:hAnsi="Arial" w:cs="Arial"/>
          <w:sz w:val="20"/>
          <w:szCs w:val="20"/>
        </w:rPr>
        <w:t>6</w:t>
      </w:r>
      <w:r w:rsidRPr="00D775C2">
        <w:rPr>
          <w:rFonts w:ascii="Arial" w:hAnsi="Arial" w:cs="Arial"/>
          <w:sz w:val="20"/>
          <w:szCs w:val="20"/>
        </w:rPr>
        <w:t>%) follows a vegetarian diet, with females (5</w:t>
      </w:r>
      <w:r w:rsidR="0016283B" w:rsidRPr="00D775C2">
        <w:rPr>
          <w:rFonts w:ascii="Arial" w:hAnsi="Arial" w:cs="Arial"/>
          <w:sz w:val="20"/>
          <w:szCs w:val="20"/>
        </w:rPr>
        <w:t>5.8</w:t>
      </w:r>
      <w:r w:rsidRPr="00D775C2">
        <w:rPr>
          <w:rFonts w:ascii="Arial" w:hAnsi="Arial" w:cs="Arial"/>
          <w:sz w:val="20"/>
          <w:szCs w:val="20"/>
        </w:rPr>
        <w:t>%) slightly more likely to be vegetarian than males (4</w:t>
      </w:r>
      <w:r w:rsidR="0016283B" w:rsidRPr="00D775C2">
        <w:rPr>
          <w:rFonts w:ascii="Arial" w:hAnsi="Arial" w:cs="Arial"/>
          <w:sz w:val="20"/>
          <w:szCs w:val="20"/>
        </w:rPr>
        <w:t>7.7</w:t>
      </w:r>
      <w:r w:rsidRPr="00D775C2">
        <w:rPr>
          <w:rFonts w:ascii="Arial" w:hAnsi="Arial" w:cs="Arial"/>
          <w:sz w:val="20"/>
          <w:szCs w:val="20"/>
        </w:rPr>
        <w:t>%). Eggetarians make up 11.6% of the sample, with similar proportions among males (13</w:t>
      </w:r>
      <w:r w:rsidR="0016283B" w:rsidRPr="00D775C2">
        <w:rPr>
          <w:rFonts w:ascii="Arial" w:hAnsi="Arial" w:cs="Arial"/>
          <w:sz w:val="20"/>
          <w:szCs w:val="20"/>
        </w:rPr>
        <w:t>.08</w:t>
      </w:r>
      <w:r w:rsidRPr="00D775C2">
        <w:rPr>
          <w:rFonts w:ascii="Arial" w:hAnsi="Arial" w:cs="Arial"/>
          <w:sz w:val="20"/>
          <w:szCs w:val="20"/>
        </w:rPr>
        <w:t>%) and females (10%). Non-vegetarian diets are followed by 36.</w:t>
      </w:r>
      <w:r w:rsidR="00E66A89" w:rsidRPr="00D775C2">
        <w:rPr>
          <w:rFonts w:ascii="Arial" w:hAnsi="Arial" w:cs="Arial"/>
          <w:sz w:val="20"/>
          <w:szCs w:val="20"/>
        </w:rPr>
        <w:t>8</w:t>
      </w:r>
      <w:r w:rsidRPr="00D775C2">
        <w:rPr>
          <w:rFonts w:ascii="Arial" w:hAnsi="Arial" w:cs="Arial"/>
          <w:sz w:val="20"/>
          <w:szCs w:val="20"/>
        </w:rPr>
        <w:t>% of participants, with a slightly higher proportion of males (3</w:t>
      </w:r>
      <w:r w:rsidR="00E66A89" w:rsidRPr="00D775C2">
        <w:rPr>
          <w:rFonts w:ascii="Arial" w:hAnsi="Arial" w:cs="Arial"/>
          <w:sz w:val="20"/>
          <w:szCs w:val="20"/>
        </w:rPr>
        <w:t>9.2</w:t>
      </w:r>
      <w:r w:rsidRPr="00D775C2">
        <w:rPr>
          <w:rFonts w:ascii="Arial" w:hAnsi="Arial" w:cs="Arial"/>
          <w:sz w:val="20"/>
          <w:szCs w:val="20"/>
        </w:rPr>
        <w:t>%) compared to females (34</w:t>
      </w:r>
      <w:r w:rsidR="00E66A89" w:rsidRPr="00D775C2">
        <w:rPr>
          <w:rFonts w:ascii="Arial" w:hAnsi="Arial" w:cs="Arial"/>
          <w:sz w:val="20"/>
          <w:szCs w:val="20"/>
        </w:rPr>
        <w:t>.2</w:t>
      </w:r>
      <w:r w:rsidRPr="00D775C2">
        <w:rPr>
          <w:rFonts w:ascii="Arial" w:hAnsi="Arial" w:cs="Arial"/>
          <w:sz w:val="20"/>
          <w:szCs w:val="20"/>
        </w:rPr>
        <w:t>%). Overall, the data indicates a predominantly middle-aged, married population with diverse dietary practices.</w:t>
      </w:r>
    </w:p>
    <w:p w14:paraId="721A3029" w14:textId="1906A8E9" w:rsidR="009C6B51" w:rsidRPr="00D775C2" w:rsidRDefault="006665D4" w:rsidP="00EB4E3E">
      <w:pPr>
        <w:spacing w:line="240" w:lineRule="auto"/>
        <w:jc w:val="both"/>
        <w:rPr>
          <w:rFonts w:ascii="Arial" w:hAnsi="Arial" w:cs="Arial"/>
          <w:b/>
          <w:bCs/>
          <w:sz w:val="20"/>
          <w:szCs w:val="20"/>
        </w:rPr>
      </w:pPr>
      <w:r w:rsidRPr="00D775C2">
        <w:rPr>
          <w:rFonts w:ascii="Arial" w:hAnsi="Arial" w:cs="Arial"/>
          <w:b/>
          <w:bCs/>
          <w:sz w:val="20"/>
          <w:szCs w:val="20"/>
        </w:rPr>
        <w:t xml:space="preserve">Table 2: </w:t>
      </w:r>
      <w:r w:rsidR="00D73D49" w:rsidRPr="00D775C2">
        <w:rPr>
          <w:rFonts w:ascii="Arial" w:hAnsi="Arial" w:cs="Arial"/>
          <w:b/>
          <w:bCs/>
          <w:sz w:val="20"/>
          <w:szCs w:val="20"/>
        </w:rPr>
        <w:t xml:space="preserve">Percentage Distribution of </w:t>
      </w:r>
      <w:r w:rsidR="00190AFE" w:rsidRPr="00D775C2">
        <w:rPr>
          <w:rFonts w:ascii="Arial" w:hAnsi="Arial" w:cs="Arial"/>
          <w:b/>
          <w:bCs/>
          <w:sz w:val="20"/>
          <w:szCs w:val="20"/>
        </w:rPr>
        <w:t>Socioeconomic Status</w:t>
      </w:r>
      <w:r w:rsidR="00BB0B9A" w:rsidRPr="00D775C2">
        <w:rPr>
          <w:rFonts w:ascii="Arial" w:hAnsi="Arial" w:cs="Arial"/>
          <w:b/>
          <w:bCs/>
          <w:sz w:val="20"/>
          <w:szCs w:val="20"/>
        </w:rPr>
        <w:t xml:space="preserve"> </w:t>
      </w:r>
      <w:r w:rsidR="0053414D" w:rsidRPr="00D775C2">
        <w:rPr>
          <w:rFonts w:ascii="Arial" w:hAnsi="Arial" w:cs="Arial"/>
          <w:b/>
          <w:bCs/>
          <w:sz w:val="20"/>
          <w:szCs w:val="20"/>
        </w:rPr>
        <w:t xml:space="preserve">of </w:t>
      </w:r>
      <w:r w:rsidR="003B0EDD" w:rsidRPr="00D775C2">
        <w:rPr>
          <w:rFonts w:ascii="Arial" w:hAnsi="Arial" w:cs="Arial"/>
          <w:b/>
          <w:bCs/>
          <w:sz w:val="20"/>
          <w:szCs w:val="20"/>
        </w:rPr>
        <w:t xml:space="preserve">the </w:t>
      </w:r>
      <w:r w:rsidR="00190AFE" w:rsidRPr="00D775C2">
        <w:rPr>
          <w:rFonts w:ascii="Arial" w:hAnsi="Arial" w:cs="Arial"/>
          <w:b/>
          <w:bCs/>
          <w:sz w:val="20"/>
          <w:szCs w:val="20"/>
        </w:rPr>
        <w:t>Patients</w:t>
      </w:r>
      <w:r w:rsidR="003B0EDD" w:rsidRPr="00D775C2">
        <w:rPr>
          <w:rFonts w:ascii="Arial" w:hAnsi="Arial" w:cs="Arial"/>
          <w:b/>
          <w:bCs/>
          <w:sz w:val="20"/>
          <w:szCs w:val="20"/>
        </w:rPr>
        <w:t>.</w:t>
      </w:r>
    </w:p>
    <w:tbl>
      <w:tblPr>
        <w:tblStyle w:val="TableGrid"/>
        <w:tblW w:w="0" w:type="auto"/>
        <w:jc w:val="center"/>
        <w:tblLook w:val="04A0" w:firstRow="1" w:lastRow="0" w:firstColumn="1" w:lastColumn="0" w:noHBand="0" w:noVBand="1"/>
      </w:tblPr>
      <w:tblGrid>
        <w:gridCol w:w="3051"/>
        <w:gridCol w:w="2118"/>
        <w:gridCol w:w="2100"/>
        <w:gridCol w:w="1747"/>
      </w:tblGrid>
      <w:tr w:rsidR="003C2336" w:rsidRPr="00D775C2" w14:paraId="7BBFF637" w14:textId="77777777" w:rsidTr="007C5FE9">
        <w:trPr>
          <w:jc w:val="center"/>
        </w:trPr>
        <w:tc>
          <w:tcPr>
            <w:tcW w:w="3051" w:type="dxa"/>
            <w:vAlign w:val="center"/>
          </w:tcPr>
          <w:p w14:paraId="4606420A"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 xml:space="preserve">SOCIOECONOMIC STATUS </w:t>
            </w:r>
          </w:p>
        </w:tc>
        <w:tc>
          <w:tcPr>
            <w:tcW w:w="2118" w:type="dxa"/>
            <w:vAlign w:val="center"/>
          </w:tcPr>
          <w:p w14:paraId="79204828"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MALE (n) %</w:t>
            </w:r>
          </w:p>
        </w:tc>
        <w:tc>
          <w:tcPr>
            <w:tcW w:w="2100" w:type="dxa"/>
            <w:vAlign w:val="center"/>
          </w:tcPr>
          <w:p w14:paraId="667D0E28"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FEMALE (n) %</w:t>
            </w:r>
          </w:p>
        </w:tc>
        <w:tc>
          <w:tcPr>
            <w:tcW w:w="1747" w:type="dxa"/>
            <w:vAlign w:val="center"/>
          </w:tcPr>
          <w:p w14:paraId="6694F676"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TOTAL (n) %</w:t>
            </w:r>
          </w:p>
        </w:tc>
      </w:tr>
      <w:tr w:rsidR="003C2336" w:rsidRPr="00D775C2" w14:paraId="2D73F769" w14:textId="77777777" w:rsidTr="007C5FE9">
        <w:trPr>
          <w:jc w:val="center"/>
        </w:trPr>
        <w:tc>
          <w:tcPr>
            <w:tcW w:w="3051" w:type="dxa"/>
            <w:vAlign w:val="center"/>
          </w:tcPr>
          <w:p w14:paraId="0E5584A9"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UPPER CLASS</w:t>
            </w:r>
          </w:p>
        </w:tc>
        <w:tc>
          <w:tcPr>
            <w:tcW w:w="2118" w:type="dxa"/>
            <w:vAlign w:val="center"/>
          </w:tcPr>
          <w:p w14:paraId="01CEF16F"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(12)9.2%</w:t>
            </w:r>
          </w:p>
        </w:tc>
        <w:tc>
          <w:tcPr>
            <w:tcW w:w="2100" w:type="dxa"/>
            <w:vAlign w:val="center"/>
          </w:tcPr>
          <w:p w14:paraId="7B10DEFA"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(10)8.4%</w:t>
            </w:r>
          </w:p>
        </w:tc>
        <w:tc>
          <w:tcPr>
            <w:tcW w:w="1747" w:type="dxa"/>
            <w:vAlign w:val="center"/>
          </w:tcPr>
          <w:p w14:paraId="51470ABE"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(22)8.8%</w:t>
            </w:r>
          </w:p>
        </w:tc>
      </w:tr>
      <w:tr w:rsidR="003C2336" w:rsidRPr="00D775C2" w14:paraId="4252D47F" w14:textId="77777777" w:rsidTr="007C5FE9">
        <w:trPr>
          <w:jc w:val="center"/>
        </w:trPr>
        <w:tc>
          <w:tcPr>
            <w:tcW w:w="3051" w:type="dxa"/>
            <w:vAlign w:val="center"/>
          </w:tcPr>
          <w:p w14:paraId="54E74F8F"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UPPER MIDDLE CLASS</w:t>
            </w:r>
          </w:p>
        </w:tc>
        <w:tc>
          <w:tcPr>
            <w:tcW w:w="2118" w:type="dxa"/>
            <w:vAlign w:val="center"/>
          </w:tcPr>
          <w:p w14:paraId="48E407AD"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(29)22.3%</w:t>
            </w:r>
          </w:p>
        </w:tc>
        <w:tc>
          <w:tcPr>
            <w:tcW w:w="2100" w:type="dxa"/>
            <w:vAlign w:val="center"/>
          </w:tcPr>
          <w:p w14:paraId="6F0752CF"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(17)14.2%</w:t>
            </w:r>
          </w:p>
        </w:tc>
        <w:tc>
          <w:tcPr>
            <w:tcW w:w="1747" w:type="dxa"/>
            <w:vAlign w:val="center"/>
          </w:tcPr>
          <w:p w14:paraId="0700BCAC"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(46)18.4%</w:t>
            </w:r>
          </w:p>
        </w:tc>
      </w:tr>
      <w:tr w:rsidR="003C2336" w:rsidRPr="00D775C2" w14:paraId="5C56FFA3" w14:textId="77777777" w:rsidTr="007C5FE9">
        <w:trPr>
          <w:jc w:val="center"/>
        </w:trPr>
        <w:tc>
          <w:tcPr>
            <w:tcW w:w="3051" w:type="dxa"/>
            <w:vAlign w:val="center"/>
          </w:tcPr>
          <w:p w14:paraId="7EAEE6F2"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MIDDLE CLASS</w:t>
            </w:r>
          </w:p>
        </w:tc>
        <w:tc>
          <w:tcPr>
            <w:tcW w:w="2118" w:type="dxa"/>
            <w:vAlign w:val="center"/>
          </w:tcPr>
          <w:p w14:paraId="16DED7D0"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(55)42.3%</w:t>
            </w:r>
          </w:p>
        </w:tc>
        <w:tc>
          <w:tcPr>
            <w:tcW w:w="2100" w:type="dxa"/>
            <w:vAlign w:val="center"/>
          </w:tcPr>
          <w:p w14:paraId="7E0A10D0"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(43)35.9%</w:t>
            </w:r>
          </w:p>
        </w:tc>
        <w:tc>
          <w:tcPr>
            <w:tcW w:w="1747" w:type="dxa"/>
            <w:vAlign w:val="center"/>
          </w:tcPr>
          <w:p w14:paraId="6333FBFD"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(98)39.2%</w:t>
            </w:r>
          </w:p>
        </w:tc>
      </w:tr>
      <w:tr w:rsidR="003C2336" w:rsidRPr="00D775C2" w14:paraId="1754A4AA" w14:textId="77777777" w:rsidTr="007C5FE9">
        <w:trPr>
          <w:jc w:val="center"/>
        </w:trPr>
        <w:tc>
          <w:tcPr>
            <w:tcW w:w="3051" w:type="dxa"/>
            <w:vAlign w:val="center"/>
          </w:tcPr>
          <w:p w14:paraId="1099EB2E"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UPPER LOWER CLASS</w:t>
            </w:r>
          </w:p>
        </w:tc>
        <w:tc>
          <w:tcPr>
            <w:tcW w:w="2118" w:type="dxa"/>
            <w:vAlign w:val="center"/>
          </w:tcPr>
          <w:p w14:paraId="7BE00AD1"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(34)26.2%</w:t>
            </w:r>
          </w:p>
        </w:tc>
        <w:tc>
          <w:tcPr>
            <w:tcW w:w="2100" w:type="dxa"/>
            <w:vAlign w:val="center"/>
          </w:tcPr>
          <w:p w14:paraId="5D0BDC39"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(45)37.5%</w:t>
            </w:r>
          </w:p>
        </w:tc>
        <w:tc>
          <w:tcPr>
            <w:tcW w:w="1747" w:type="dxa"/>
            <w:vAlign w:val="center"/>
          </w:tcPr>
          <w:p w14:paraId="2B0C70EB"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(79)31.6%</w:t>
            </w:r>
          </w:p>
        </w:tc>
      </w:tr>
      <w:tr w:rsidR="003C2336" w:rsidRPr="00D775C2" w14:paraId="7D38E8A4" w14:textId="77777777" w:rsidTr="007C5FE9">
        <w:trPr>
          <w:jc w:val="center"/>
        </w:trPr>
        <w:tc>
          <w:tcPr>
            <w:tcW w:w="3051" w:type="dxa"/>
            <w:vAlign w:val="center"/>
          </w:tcPr>
          <w:p w14:paraId="253DD790"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 xml:space="preserve">LOWER CLASS </w:t>
            </w:r>
          </w:p>
        </w:tc>
        <w:tc>
          <w:tcPr>
            <w:tcW w:w="2118" w:type="dxa"/>
            <w:vAlign w:val="center"/>
          </w:tcPr>
          <w:p w14:paraId="508385EE"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0</w:t>
            </w:r>
          </w:p>
        </w:tc>
        <w:tc>
          <w:tcPr>
            <w:tcW w:w="2100" w:type="dxa"/>
            <w:vAlign w:val="center"/>
          </w:tcPr>
          <w:p w14:paraId="60B5D466"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(5)4.2%</w:t>
            </w:r>
          </w:p>
        </w:tc>
        <w:tc>
          <w:tcPr>
            <w:tcW w:w="1747" w:type="dxa"/>
            <w:vAlign w:val="center"/>
          </w:tcPr>
          <w:p w14:paraId="3AA23E32"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(5)2%</w:t>
            </w:r>
          </w:p>
        </w:tc>
      </w:tr>
      <w:tr w:rsidR="003C2336" w:rsidRPr="00D775C2" w14:paraId="5C771463" w14:textId="77777777" w:rsidTr="007C5FE9">
        <w:trPr>
          <w:jc w:val="center"/>
        </w:trPr>
        <w:tc>
          <w:tcPr>
            <w:tcW w:w="3051" w:type="dxa"/>
            <w:vAlign w:val="center"/>
          </w:tcPr>
          <w:p w14:paraId="0B41CBAD"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TOTAL</w:t>
            </w:r>
          </w:p>
        </w:tc>
        <w:tc>
          <w:tcPr>
            <w:tcW w:w="2118" w:type="dxa"/>
            <w:vAlign w:val="center"/>
          </w:tcPr>
          <w:p w14:paraId="762F5521"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(130)100%</w:t>
            </w:r>
          </w:p>
        </w:tc>
        <w:tc>
          <w:tcPr>
            <w:tcW w:w="2100" w:type="dxa"/>
            <w:vAlign w:val="center"/>
          </w:tcPr>
          <w:p w14:paraId="10E1D66A"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(120)100%</w:t>
            </w:r>
          </w:p>
        </w:tc>
        <w:tc>
          <w:tcPr>
            <w:tcW w:w="1747" w:type="dxa"/>
            <w:vAlign w:val="center"/>
          </w:tcPr>
          <w:p w14:paraId="42EB6B10"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100%</w:t>
            </w:r>
          </w:p>
        </w:tc>
      </w:tr>
    </w:tbl>
    <w:p w14:paraId="4792EF29" w14:textId="77777777" w:rsidR="007A3033" w:rsidRDefault="007A3033" w:rsidP="00EB4E3E">
      <w:pPr>
        <w:spacing w:line="240" w:lineRule="auto"/>
        <w:jc w:val="both"/>
        <w:rPr>
          <w:rFonts w:ascii="Arial" w:hAnsi="Arial" w:cs="Arial"/>
          <w:sz w:val="20"/>
          <w:szCs w:val="20"/>
        </w:rPr>
      </w:pPr>
    </w:p>
    <w:p w14:paraId="1C951377" w14:textId="4FCB5BF0" w:rsidR="00BC2F37" w:rsidRPr="00D775C2" w:rsidRDefault="008639F2" w:rsidP="00EB4E3E">
      <w:pPr>
        <w:spacing w:line="240" w:lineRule="auto"/>
        <w:jc w:val="both"/>
        <w:rPr>
          <w:rFonts w:ascii="Arial" w:hAnsi="Arial" w:cs="Arial"/>
          <w:sz w:val="20"/>
          <w:szCs w:val="20"/>
        </w:rPr>
      </w:pPr>
      <w:r w:rsidRPr="00D775C2">
        <w:rPr>
          <w:rFonts w:ascii="Arial" w:hAnsi="Arial" w:cs="Arial"/>
          <w:sz w:val="20"/>
          <w:szCs w:val="20"/>
        </w:rPr>
        <w:t>T</w:t>
      </w:r>
      <w:r w:rsidR="00BC2F37" w:rsidRPr="00D775C2">
        <w:rPr>
          <w:rFonts w:ascii="Arial" w:hAnsi="Arial" w:cs="Arial"/>
          <w:sz w:val="20"/>
          <w:szCs w:val="20"/>
        </w:rPr>
        <w:t>he data</w:t>
      </w:r>
      <w:r w:rsidR="00DF0742" w:rsidRPr="00D775C2">
        <w:rPr>
          <w:rFonts w:ascii="Arial" w:hAnsi="Arial" w:cs="Arial"/>
          <w:sz w:val="20"/>
          <w:szCs w:val="20"/>
        </w:rPr>
        <w:t xml:space="preserve"> in table 2 </w:t>
      </w:r>
      <w:r w:rsidR="00BC2F37" w:rsidRPr="00D775C2">
        <w:rPr>
          <w:rFonts w:ascii="Arial" w:hAnsi="Arial" w:cs="Arial"/>
          <w:sz w:val="20"/>
          <w:szCs w:val="20"/>
        </w:rPr>
        <w:t>reflects a balanced distribution of socioeconomic status (SES) between males and females, though gender disparities still exist. The middle class remains the largest group for both genders, comprising 42.</w:t>
      </w:r>
      <w:r w:rsidR="006C159A" w:rsidRPr="00D775C2">
        <w:rPr>
          <w:rFonts w:ascii="Arial" w:hAnsi="Arial" w:cs="Arial"/>
          <w:sz w:val="20"/>
          <w:szCs w:val="20"/>
        </w:rPr>
        <w:t>3</w:t>
      </w:r>
      <w:r w:rsidR="00BC2F37" w:rsidRPr="00D775C2">
        <w:rPr>
          <w:rFonts w:ascii="Arial" w:hAnsi="Arial" w:cs="Arial"/>
          <w:sz w:val="20"/>
          <w:szCs w:val="20"/>
        </w:rPr>
        <w:t>% of males and 3</w:t>
      </w:r>
      <w:r w:rsidR="000E1EC3" w:rsidRPr="00D775C2">
        <w:rPr>
          <w:rFonts w:ascii="Arial" w:hAnsi="Arial" w:cs="Arial"/>
          <w:sz w:val="20"/>
          <w:szCs w:val="20"/>
        </w:rPr>
        <w:t>5.9</w:t>
      </w:r>
      <w:r w:rsidR="00BC2F37" w:rsidRPr="00D775C2">
        <w:rPr>
          <w:rFonts w:ascii="Arial" w:hAnsi="Arial" w:cs="Arial"/>
          <w:sz w:val="20"/>
          <w:szCs w:val="20"/>
        </w:rPr>
        <w:t>% of females, indicating that a significant portion of both populations falls into this category. Males are more concentrated in the upper and upper-middle classes, with 9.</w:t>
      </w:r>
      <w:r w:rsidR="000E1EC3" w:rsidRPr="00D775C2">
        <w:rPr>
          <w:rFonts w:ascii="Arial" w:hAnsi="Arial" w:cs="Arial"/>
          <w:sz w:val="20"/>
          <w:szCs w:val="20"/>
        </w:rPr>
        <w:t>2</w:t>
      </w:r>
      <w:r w:rsidR="00BC2F37" w:rsidRPr="00D775C2">
        <w:rPr>
          <w:rFonts w:ascii="Arial" w:hAnsi="Arial" w:cs="Arial"/>
          <w:sz w:val="20"/>
          <w:szCs w:val="20"/>
        </w:rPr>
        <w:t>% in the upper class and a notable 22.</w:t>
      </w:r>
      <w:r w:rsidR="000E1EC3" w:rsidRPr="00D775C2">
        <w:rPr>
          <w:rFonts w:ascii="Arial" w:hAnsi="Arial" w:cs="Arial"/>
          <w:sz w:val="20"/>
          <w:szCs w:val="20"/>
        </w:rPr>
        <w:t>3</w:t>
      </w:r>
      <w:r w:rsidR="00BC2F37" w:rsidRPr="00D775C2">
        <w:rPr>
          <w:rFonts w:ascii="Arial" w:hAnsi="Arial" w:cs="Arial"/>
          <w:sz w:val="20"/>
          <w:szCs w:val="20"/>
        </w:rPr>
        <w:t>% in the upper-middle class, compared to 8</w:t>
      </w:r>
      <w:r w:rsidR="000E1EC3" w:rsidRPr="00D775C2">
        <w:rPr>
          <w:rFonts w:ascii="Arial" w:hAnsi="Arial" w:cs="Arial"/>
          <w:sz w:val="20"/>
          <w:szCs w:val="20"/>
        </w:rPr>
        <w:t>.4</w:t>
      </w:r>
      <w:r w:rsidR="00BC2F37" w:rsidRPr="00D775C2">
        <w:rPr>
          <w:rFonts w:ascii="Arial" w:hAnsi="Arial" w:cs="Arial"/>
          <w:sz w:val="20"/>
          <w:szCs w:val="20"/>
        </w:rPr>
        <w:t>% and 14</w:t>
      </w:r>
      <w:r w:rsidR="000E1EC3" w:rsidRPr="00D775C2">
        <w:rPr>
          <w:rFonts w:ascii="Arial" w:hAnsi="Arial" w:cs="Arial"/>
          <w:sz w:val="20"/>
          <w:szCs w:val="20"/>
        </w:rPr>
        <w:t>.2</w:t>
      </w:r>
      <w:r w:rsidR="00BC2F37" w:rsidRPr="00D775C2">
        <w:rPr>
          <w:rFonts w:ascii="Arial" w:hAnsi="Arial" w:cs="Arial"/>
          <w:sz w:val="20"/>
          <w:szCs w:val="20"/>
        </w:rPr>
        <w:t>% of females, respectively. This suggests that men are more likely to belong to higher SES tiers. Conversely, females are more prevalent in the upper-lower and lower classes, with 3</w:t>
      </w:r>
      <w:r w:rsidR="00A20D2F" w:rsidRPr="00D775C2">
        <w:rPr>
          <w:rFonts w:ascii="Arial" w:hAnsi="Arial" w:cs="Arial"/>
          <w:sz w:val="20"/>
          <w:szCs w:val="20"/>
        </w:rPr>
        <w:t>7.5</w:t>
      </w:r>
      <w:r w:rsidR="00BC2F37" w:rsidRPr="00D775C2">
        <w:rPr>
          <w:rFonts w:ascii="Arial" w:hAnsi="Arial" w:cs="Arial"/>
          <w:sz w:val="20"/>
          <w:szCs w:val="20"/>
        </w:rPr>
        <w:t>% in the upper-lower class and 4</w:t>
      </w:r>
      <w:r w:rsidR="00A20D2F" w:rsidRPr="00D775C2">
        <w:rPr>
          <w:rFonts w:ascii="Arial" w:hAnsi="Arial" w:cs="Arial"/>
          <w:sz w:val="20"/>
          <w:szCs w:val="20"/>
        </w:rPr>
        <w:t>.2</w:t>
      </w:r>
      <w:r w:rsidR="00BC2F37" w:rsidRPr="00D775C2">
        <w:rPr>
          <w:rFonts w:ascii="Arial" w:hAnsi="Arial" w:cs="Arial"/>
          <w:sz w:val="20"/>
          <w:szCs w:val="20"/>
        </w:rPr>
        <w:t>% in the lower class, compared to 2</w:t>
      </w:r>
      <w:r w:rsidR="00D7302B" w:rsidRPr="00D775C2">
        <w:rPr>
          <w:rFonts w:ascii="Arial" w:hAnsi="Arial" w:cs="Arial"/>
          <w:sz w:val="20"/>
          <w:szCs w:val="20"/>
        </w:rPr>
        <w:t>6.2</w:t>
      </w:r>
      <w:r w:rsidR="00BC2F37" w:rsidRPr="00D775C2">
        <w:rPr>
          <w:rFonts w:ascii="Arial" w:hAnsi="Arial" w:cs="Arial"/>
          <w:sz w:val="20"/>
          <w:szCs w:val="20"/>
        </w:rPr>
        <w:t xml:space="preserve">% and 0% of males, respectively. This indicates that women are more likely to experience socioeconomic disadvantage. </w:t>
      </w:r>
    </w:p>
    <w:p w14:paraId="47720A21" w14:textId="769D3D78" w:rsidR="00D73D49" w:rsidRPr="00D775C2" w:rsidRDefault="00D73D49" w:rsidP="00EB4E3E">
      <w:pPr>
        <w:spacing w:line="240" w:lineRule="auto"/>
        <w:jc w:val="both"/>
        <w:rPr>
          <w:rFonts w:ascii="Arial" w:hAnsi="Arial" w:cs="Arial"/>
          <w:b/>
          <w:bCs/>
          <w:sz w:val="20"/>
          <w:szCs w:val="20"/>
        </w:rPr>
      </w:pPr>
      <w:r w:rsidRPr="00D775C2">
        <w:rPr>
          <w:rFonts w:ascii="Arial" w:hAnsi="Arial" w:cs="Arial"/>
          <w:b/>
          <w:bCs/>
          <w:sz w:val="20"/>
          <w:szCs w:val="20"/>
        </w:rPr>
        <w:lastRenderedPageBreak/>
        <w:t>Table</w:t>
      </w:r>
      <w:r w:rsidR="00797221" w:rsidRPr="00D775C2">
        <w:rPr>
          <w:rFonts w:ascii="Arial" w:hAnsi="Arial" w:cs="Arial"/>
          <w:b/>
          <w:bCs/>
          <w:sz w:val="20"/>
          <w:szCs w:val="20"/>
        </w:rPr>
        <w:t xml:space="preserve"> </w:t>
      </w:r>
      <w:r w:rsidRPr="00D775C2">
        <w:rPr>
          <w:rFonts w:ascii="Arial" w:hAnsi="Arial" w:cs="Arial"/>
          <w:b/>
          <w:bCs/>
          <w:sz w:val="20"/>
          <w:szCs w:val="20"/>
        </w:rPr>
        <w:t xml:space="preserve">3: </w:t>
      </w:r>
      <w:r w:rsidR="003D7930" w:rsidRPr="00D775C2">
        <w:rPr>
          <w:rFonts w:ascii="Arial" w:hAnsi="Arial" w:cs="Arial"/>
          <w:b/>
          <w:bCs/>
          <w:sz w:val="20"/>
          <w:szCs w:val="20"/>
        </w:rPr>
        <w:t>Mean and Standard Deviation of Anthro</w:t>
      </w:r>
      <w:r w:rsidR="00A93BCE" w:rsidRPr="00D775C2">
        <w:rPr>
          <w:rFonts w:ascii="Arial" w:hAnsi="Arial" w:cs="Arial"/>
          <w:b/>
          <w:bCs/>
          <w:sz w:val="20"/>
          <w:szCs w:val="20"/>
        </w:rPr>
        <w:t xml:space="preserve">pometric </w:t>
      </w:r>
      <w:r w:rsidR="002A5A94" w:rsidRPr="00D775C2">
        <w:rPr>
          <w:rFonts w:ascii="Arial" w:hAnsi="Arial" w:cs="Arial"/>
          <w:b/>
          <w:bCs/>
          <w:sz w:val="20"/>
          <w:szCs w:val="20"/>
        </w:rPr>
        <w:t>Measurements</w:t>
      </w:r>
      <w:r w:rsidR="00A93BCE" w:rsidRPr="00D775C2">
        <w:rPr>
          <w:rFonts w:ascii="Arial" w:hAnsi="Arial" w:cs="Arial"/>
          <w:b/>
          <w:bCs/>
          <w:sz w:val="20"/>
          <w:szCs w:val="20"/>
        </w:rPr>
        <w:t xml:space="preserve"> and Biochemical Parameters.</w:t>
      </w:r>
    </w:p>
    <w:tbl>
      <w:tblPr>
        <w:tblStyle w:val="TableGrid"/>
        <w:tblW w:w="0" w:type="auto"/>
        <w:jc w:val="center"/>
        <w:tblLook w:val="04A0" w:firstRow="1" w:lastRow="0" w:firstColumn="1" w:lastColumn="0" w:noHBand="0" w:noVBand="1"/>
      </w:tblPr>
      <w:tblGrid>
        <w:gridCol w:w="1793"/>
        <w:gridCol w:w="1951"/>
        <w:gridCol w:w="1906"/>
        <w:gridCol w:w="1862"/>
        <w:gridCol w:w="988"/>
      </w:tblGrid>
      <w:tr w:rsidR="008B384D" w:rsidRPr="00D775C2" w14:paraId="4A50F55E" w14:textId="77777777" w:rsidTr="007A3033">
        <w:trPr>
          <w:jc w:val="center"/>
        </w:trPr>
        <w:tc>
          <w:tcPr>
            <w:tcW w:w="1793" w:type="dxa"/>
            <w:vAlign w:val="center"/>
          </w:tcPr>
          <w:p w14:paraId="26258050" w14:textId="2B3384F8" w:rsidR="008B384D" w:rsidRPr="00D775C2" w:rsidRDefault="002A5A94" w:rsidP="007A3033">
            <w:pPr>
              <w:spacing w:line="276" w:lineRule="auto"/>
              <w:jc w:val="both"/>
              <w:rPr>
                <w:rFonts w:ascii="Arial" w:hAnsi="Arial" w:cs="Arial"/>
                <w:b/>
                <w:bCs/>
                <w:sz w:val="20"/>
                <w:szCs w:val="20"/>
              </w:rPr>
            </w:pPr>
            <w:r w:rsidRPr="00D775C2">
              <w:rPr>
                <w:rFonts w:ascii="Arial" w:hAnsi="Arial" w:cs="Arial"/>
                <w:b/>
                <w:bCs/>
                <w:sz w:val="20"/>
                <w:szCs w:val="20"/>
              </w:rPr>
              <w:t xml:space="preserve">VARIABLES </w:t>
            </w:r>
          </w:p>
        </w:tc>
        <w:tc>
          <w:tcPr>
            <w:tcW w:w="1951" w:type="dxa"/>
            <w:vAlign w:val="center"/>
          </w:tcPr>
          <w:p w14:paraId="07B854A8" w14:textId="522FBE25" w:rsidR="008B384D" w:rsidRPr="00D775C2" w:rsidRDefault="007C3495" w:rsidP="007A3033">
            <w:pPr>
              <w:spacing w:line="276" w:lineRule="auto"/>
              <w:jc w:val="both"/>
              <w:rPr>
                <w:rFonts w:ascii="Arial" w:hAnsi="Arial" w:cs="Arial"/>
                <w:b/>
                <w:bCs/>
                <w:sz w:val="20"/>
                <w:szCs w:val="20"/>
              </w:rPr>
            </w:pPr>
            <w:r w:rsidRPr="00D775C2">
              <w:rPr>
                <w:rFonts w:ascii="Arial" w:hAnsi="Arial" w:cs="Arial"/>
                <w:b/>
                <w:bCs/>
                <w:sz w:val="20"/>
                <w:szCs w:val="20"/>
              </w:rPr>
              <w:t>MALE</w:t>
            </w:r>
          </w:p>
        </w:tc>
        <w:tc>
          <w:tcPr>
            <w:tcW w:w="1906" w:type="dxa"/>
            <w:vAlign w:val="center"/>
          </w:tcPr>
          <w:p w14:paraId="45947178" w14:textId="3AE73AD5" w:rsidR="008B384D" w:rsidRPr="00D775C2" w:rsidRDefault="007C3495" w:rsidP="007A3033">
            <w:pPr>
              <w:spacing w:line="276" w:lineRule="auto"/>
              <w:jc w:val="both"/>
              <w:rPr>
                <w:rFonts w:ascii="Arial" w:hAnsi="Arial" w:cs="Arial"/>
                <w:b/>
                <w:bCs/>
                <w:sz w:val="20"/>
                <w:szCs w:val="20"/>
              </w:rPr>
            </w:pPr>
            <w:r w:rsidRPr="00D775C2">
              <w:rPr>
                <w:rFonts w:ascii="Arial" w:hAnsi="Arial" w:cs="Arial"/>
                <w:b/>
                <w:bCs/>
                <w:sz w:val="20"/>
                <w:szCs w:val="20"/>
              </w:rPr>
              <w:t>FEMALE</w:t>
            </w:r>
          </w:p>
        </w:tc>
        <w:tc>
          <w:tcPr>
            <w:tcW w:w="1862" w:type="dxa"/>
            <w:vAlign w:val="center"/>
          </w:tcPr>
          <w:p w14:paraId="6AD1EA86" w14:textId="41D704E4" w:rsidR="008B384D" w:rsidRPr="00D775C2" w:rsidRDefault="007C3495" w:rsidP="007A3033">
            <w:pPr>
              <w:spacing w:line="276" w:lineRule="auto"/>
              <w:jc w:val="both"/>
              <w:rPr>
                <w:rFonts w:ascii="Arial" w:hAnsi="Arial" w:cs="Arial"/>
                <w:b/>
                <w:bCs/>
                <w:sz w:val="20"/>
                <w:szCs w:val="20"/>
              </w:rPr>
            </w:pPr>
            <w:r w:rsidRPr="00D775C2">
              <w:rPr>
                <w:rFonts w:ascii="Arial" w:hAnsi="Arial" w:cs="Arial"/>
                <w:b/>
                <w:bCs/>
                <w:sz w:val="20"/>
                <w:szCs w:val="20"/>
              </w:rPr>
              <w:t>TOTAL</w:t>
            </w:r>
          </w:p>
        </w:tc>
        <w:tc>
          <w:tcPr>
            <w:tcW w:w="988" w:type="dxa"/>
          </w:tcPr>
          <w:p w14:paraId="121F0008" w14:textId="340FA4AA" w:rsidR="008B384D" w:rsidRPr="00D775C2" w:rsidRDefault="00555ABC" w:rsidP="007A3033">
            <w:pPr>
              <w:spacing w:line="276" w:lineRule="auto"/>
              <w:jc w:val="both"/>
              <w:rPr>
                <w:rFonts w:ascii="Arial" w:hAnsi="Arial" w:cs="Arial"/>
                <w:b/>
                <w:bCs/>
                <w:sz w:val="20"/>
                <w:szCs w:val="20"/>
              </w:rPr>
            </w:pPr>
            <w:r>
              <w:rPr>
                <w:rFonts w:ascii="Arial" w:hAnsi="Arial" w:cs="Arial"/>
                <w:b/>
                <w:bCs/>
                <w:sz w:val="20"/>
                <w:szCs w:val="20"/>
              </w:rPr>
              <w:t>P</w:t>
            </w:r>
            <w:r w:rsidR="00B8022B" w:rsidRPr="00D775C2">
              <w:rPr>
                <w:rFonts w:ascii="Arial" w:hAnsi="Arial" w:cs="Arial"/>
                <w:b/>
                <w:bCs/>
                <w:sz w:val="20"/>
                <w:szCs w:val="20"/>
              </w:rPr>
              <w:t>-</w:t>
            </w:r>
            <w:r w:rsidR="007C3495" w:rsidRPr="00D775C2">
              <w:rPr>
                <w:rFonts w:ascii="Arial" w:hAnsi="Arial" w:cs="Arial"/>
                <w:b/>
                <w:bCs/>
                <w:sz w:val="20"/>
                <w:szCs w:val="20"/>
              </w:rPr>
              <w:t>value</w:t>
            </w:r>
          </w:p>
        </w:tc>
      </w:tr>
      <w:tr w:rsidR="00522401" w:rsidRPr="00D775C2" w14:paraId="3C5DB969" w14:textId="77777777" w:rsidTr="007A3033">
        <w:trPr>
          <w:jc w:val="center"/>
        </w:trPr>
        <w:tc>
          <w:tcPr>
            <w:tcW w:w="7512" w:type="dxa"/>
            <w:gridSpan w:val="4"/>
            <w:vAlign w:val="center"/>
          </w:tcPr>
          <w:p w14:paraId="2115A395" w14:textId="0BA854AE" w:rsidR="00522401" w:rsidRPr="00D775C2" w:rsidRDefault="00522401" w:rsidP="007A3033">
            <w:pPr>
              <w:spacing w:line="276" w:lineRule="auto"/>
              <w:jc w:val="both"/>
              <w:rPr>
                <w:rFonts w:ascii="Arial" w:hAnsi="Arial" w:cs="Arial"/>
                <w:sz w:val="20"/>
                <w:szCs w:val="20"/>
              </w:rPr>
            </w:pPr>
            <w:r w:rsidRPr="00D775C2">
              <w:rPr>
                <w:rFonts w:ascii="Arial" w:hAnsi="Arial" w:cs="Arial"/>
                <w:b/>
                <w:bCs/>
                <w:sz w:val="20"/>
                <w:szCs w:val="20"/>
              </w:rPr>
              <w:t>ANTHROPOMETRIC MEASUREMENT</w:t>
            </w:r>
            <w:r w:rsidR="00B8022B" w:rsidRPr="00D775C2">
              <w:rPr>
                <w:rFonts w:ascii="Arial" w:hAnsi="Arial" w:cs="Arial"/>
                <w:b/>
                <w:bCs/>
                <w:sz w:val="20"/>
                <w:szCs w:val="20"/>
              </w:rPr>
              <w:t>S</w:t>
            </w:r>
          </w:p>
        </w:tc>
        <w:tc>
          <w:tcPr>
            <w:tcW w:w="988" w:type="dxa"/>
          </w:tcPr>
          <w:p w14:paraId="56314CD7" w14:textId="77777777" w:rsidR="00522401" w:rsidRPr="00D775C2" w:rsidRDefault="00522401" w:rsidP="007A3033">
            <w:pPr>
              <w:spacing w:line="276" w:lineRule="auto"/>
              <w:jc w:val="both"/>
              <w:rPr>
                <w:rFonts w:ascii="Arial" w:hAnsi="Arial" w:cs="Arial"/>
                <w:sz w:val="20"/>
                <w:szCs w:val="20"/>
              </w:rPr>
            </w:pPr>
          </w:p>
        </w:tc>
      </w:tr>
      <w:tr w:rsidR="00D73D49" w:rsidRPr="00D775C2" w14:paraId="77B1D905" w14:textId="77777777" w:rsidTr="007A3033">
        <w:trPr>
          <w:jc w:val="center"/>
        </w:trPr>
        <w:tc>
          <w:tcPr>
            <w:tcW w:w="1793" w:type="dxa"/>
            <w:vAlign w:val="center"/>
          </w:tcPr>
          <w:p w14:paraId="16EC0120" w14:textId="5393BDB5"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BMI</w:t>
            </w:r>
            <w:r w:rsidR="00C35035" w:rsidRPr="00D775C2">
              <w:rPr>
                <w:rFonts w:ascii="Arial" w:hAnsi="Arial" w:cs="Arial"/>
                <w:b/>
                <w:bCs/>
                <w:sz w:val="20"/>
                <w:szCs w:val="20"/>
              </w:rPr>
              <w:t xml:space="preserve"> (kg/m</w:t>
            </w:r>
            <w:r w:rsidR="00C35035" w:rsidRPr="00D775C2">
              <w:rPr>
                <w:rFonts w:ascii="Arial" w:hAnsi="Arial" w:cs="Arial"/>
                <w:b/>
                <w:bCs/>
                <w:sz w:val="20"/>
                <w:szCs w:val="20"/>
                <w:vertAlign w:val="superscript"/>
              </w:rPr>
              <w:t>2</w:t>
            </w:r>
            <w:r w:rsidR="00C35035" w:rsidRPr="00D775C2">
              <w:rPr>
                <w:rFonts w:ascii="Arial" w:hAnsi="Arial" w:cs="Arial"/>
                <w:b/>
                <w:bCs/>
                <w:sz w:val="20"/>
                <w:szCs w:val="20"/>
              </w:rPr>
              <w:t>)</w:t>
            </w:r>
          </w:p>
        </w:tc>
        <w:tc>
          <w:tcPr>
            <w:tcW w:w="1951" w:type="dxa"/>
            <w:vAlign w:val="center"/>
          </w:tcPr>
          <w:p w14:paraId="76F3F114"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26.3</w:t>
            </w:r>
            <w:r w:rsidRPr="00D775C2">
              <w:rPr>
                <w:rFonts w:ascii="Arial" w:hAnsi="Arial" w:cs="Arial"/>
                <w:sz w:val="20"/>
                <w:szCs w:val="20"/>
                <w:u w:val="single"/>
              </w:rPr>
              <w:t>+</w:t>
            </w:r>
            <w:r w:rsidRPr="00D775C2">
              <w:rPr>
                <w:rFonts w:ascii="Arial" w:hAnsi="Arial" w:cs="Arial"/>
                <w:sz w:val="20"/>
                <w:szCs w:val="20"/>
              </w:rPr>
              <w:t>3.3</w:t>
            </w:r>
          </w:p>
        </w:tc>
        <w:tc>
          <w:tcPr>
            <w:tcW w:w="1906" w:type="dxa"/>
            <w:vAlign w:val="center"/>
          </w:tcPr>
          <w:p w14:paraId="07747EE9"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27.8</w:t>
            </w:r>
            <w:r w:rsidRPr="00D775C2">
              <w:rPr>
                <w:rFonts w:ascii="Arial" w:hAnsi="Arial" w:cs="Arial"/>
                <w:sz w:val="20"/>
                <w:szCs w:val="20"/>
                <w:u w:val="single"/>
              </w:rPr>
              <w:t>+</w:t>
            </w:r>
            <w:r w:rsidRPr="00D775C2">
              <w:rPr>
                <w:rFonts w:ascii="Arial" w:hAnsi="Arial" w:cs="Arial"/>
                <w:sz w:val="20"/>
                <w:szCs w:val="20"/>
              </w:rPr>
              <w:t>6.04</w:t>
            </w:r>
          </w:p>
        </w:tc>
        <w:tc>
          <w:tcPr>
            <w:tcW w:w="1862" w:type="dxa"/>
            <w:vAlign w:val="center"/>
          </w:tcPr>
          <w:p w14:paraId="1B3560D3"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27</w:t>
            </w:r>
            <w:r w:rsidRPr="00D775C2">
              <w:rPr>
                <w:rFonts w:ascii="Arial" w:hAnsi="Arial" w:cs="Arial"/>
                <w:sz w:val="20"/>
                <w:szCs w:val="20"/>
                <w:u w:val="single"/>
              </w:rPr>
              <w:t>+4.9</w:t>
            </w:r>
          </w:p>
        </w:tc>
        <w:tc>
          <w:tcPr>
            <w:tcW w:w="988" w:type="dxa"/>
          </w:tcPr>
          <w:p w14:paraId="69D0509F" w14:textId="748BBB75" w:rsidR="00D73D49" w:rsidRPr="00D775C2" w:rsidRDefault="007D052B" w:rsidP="007A3033">
            <w:pPr>
              <w:spacing w:line="276" w:lineRule="auto"/>
              <w:jc w:val="both"/>
              <w:rPr>
                <w:rFonts w:ascii="Arial" w:hAnsi="Arial" w:cs="Arial"/>
                <w:sz w:val="20"/>
                <w:szCs w:val="20"/>
              </w:rPr>
            </w:pPr>
            <w:r w:rsidRPr="00D775C2">
              <w:rPr>
                <w:rFonts w:ascii="Arial" w:hAnsi="Arial" w:cs="Arial"/>
                <w:sz w:val="20"/>
                <w:szCs w:val="20"/>
              </w:rPr>
              <w:t>0.000</w:t>
            </w:r>
          </w:p>
        </w:tc>
      </w:tr>
      <w:tr w:rsidR="00D73D49" w:rsidRPr="00D775C2" w14:paraId="7A34B504" w14:textId="77777777" w:rsidTr="007A3033">
        <w:trPr>
          <w:jc w:val="center"/>
        </w:trPr>
        <w:tc>
          <w:tcPr>
            <w:tcW w:w="1793" w:type="dxa"/>
            <w:vAlign w:val="center"/>
          </w:tcPr>
          <w:p w14:paraId="7CDF9F48" w14:textId="65E1BE04"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WHR</w:t>
            </w:r>
            <w:r w:rsidR="00C35035" w:rsidRPr="00D775C2">
              <w:rPr>
                <w:rFonts w:ascii="Arial" w:hAnsi="Arial" w:cs="Arial"/>
                <w:b/>
                <w:bCs/>
                <w:sz w:val="20"/>
                <w:szCs w:val="20"/>
              </w:rPr>
              <w:t xml:space="preserve"> </w:t>
            </w:r>
          </w:p>
        </w:tc>
        <w:tc>
          <w:tcPr>
            <w:tcW w:w="1951" w:type="dxa"/>
            <w:vAlign w:val="center"/>
          </w:tcPr>
          <w:p w14:paraId="29EE80C6" w14:textId="1B44D311"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1.0</w:t>
            </w:r>
            <w:r w:rsidRPr="00D775C2">
              <w:rPr>
                <w:rFonts w:ascii="Arial" w:hAnsi="Arial" w:cs="Arial"/>
                <w:sz w:val="20"/>
                <w:szCs w:val="20"/>
                <w:u w:val="single"/>
              </w:rPr>
              <w:t>+</w:t>
            </w:r>
            <w:r w:rsidRPr="00D775C2">
              <w:rPr>
                <w:rFonts w:ascii="Arial" w:hAnsi="Arial" w:cs="Arial"/>
                <w:sz w:val="20"/>
                <w:szCs w:val="20"/>
              </w:rPr>
              <w:t>0.54</w:t>
            </w:r>
          </w:p>
        </w:tc>
        <w:tc>
          <w:tcPr>
            <w:tcW w:w="1906" w:type="dxa"/>
            <w:vAlign w:val="center"/>
          </w:tcPr>
          <w:p w14:paraId="3DCEE9E5"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1.02</w:t>
            </w:r>
            <w:r w:rsidRPr="00D775C2">
              <w:rPr>
                <w:rFonts w:ascii="Arial" w:hAnsi="Arial" w:cs="Arial"/>
                <w:sz w:val="20"/>
                <w:szCs w:val="20"/>
                <w:u w:val="single"/>
              </w:rPr>
              <w:t>+</w:t>
            </w:r>
            <w:r w:rsidRPr="00D775C2">
              <w:rPr>
                <w:rFonts w:ascii="Arial" w:hAnsi="Arial" w:cs="Arial"/>
                <w:sz w:val="20"/>
                <w:szCs w:val="20"/>
              </w:rPr>
              <w:t>0.08</w:t>
            </w:r>
          </w:p>
        </w:tc>
        <w:tc>
          <w:tcPr>
            <w:tcW w:w="1862" w:type="dxa"/>
            <w:vAlign w:val="center"/>
          </w:tcPr>
          <w:p w14:paraId="45EFD859"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1.01</w:t>
            </w:r>
            <w:r w:rsidRPr="00D775C2">
              <w:rPr>
                <w:rFonts w:ascii="Arial" w:hAnsi="Arial" w:cs="Arial"/>
                <w:sz w:val="20"/>
                <w:szCs w:val="20"/>
                <w:u w:val="single"/>
              </w:rPr>
              <w:t>+</w:t>
            </w:r>
            <w:r w:rsidRPr="00D775C2">
              <w:rPr>
                <w:rFonts w:ascii="Arial" w:hAnsi="Arial" w:cs="Arial"/>
                <w:sz w:val="20"/>
                <w:szCs w:val="20"/>
              </w:rPr>
              <w:t>0.07</w:t>
            </w:r>
          </w:p>
        </w:tc>
        <w:tc>
          <w:tcPr>
            <w:tcW w:w="988" w:type="dxa"/>
          </w:tcPr>
          <w:p w14:paraId="1D4BA63A" w14:textId="496742AE" w:rsidR="00D73D49" w:rsidRPr="00D775C2" w:rsidRDefault="00504F70" w:rsidP="007A3033">
            <w:pPr>
              <w:spacing w:line="276" w:lineRule="auto"/>
              <w:jc w:val="both"/>
              <w:rPr>
                <w:rFonts w:ascii="Arial" w:hAnsi="Arial" w:cs="Arial"/>
                <w:sz w:val="20"/>
                <w:szCs w:val="20"/>
              </w:rPr>
            </w:pPr>
            <w:r w:rsidRPr="00D775C2">
              <w:rPr>
                <w:rFonts w:ascii="Arial" w:hAnsi="Arial" w:cs="Arial"/>
                <w:sz w:val="20"/>
                <w:szCs w:val="20"/>
              </w:rPr>
              <w:t>0.000</w:t>
            </w:r>
          </w:p>
        </w:tc>
      </w:tr>
      <w:tr w:rsidR="00D73D49" w:rsidRPr="00D775C2" w14:paraId="0AEF4EE6" w14:textId="77777777" w:rsidTr="007A3033">
        <w:trPr>
          <w:jc w:val="center"/>
        </w:trPr>
        <w:tc>
          <w:tcPr>
            <w:tcW w:w="7512" w:type="dxa"/>
            <w:gridSpan w:val="4"/>
            <w:vAlign w:val="center"/>
          </w:tcPr>
          <w:p w14:paraId="53115243"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BIOCHEMICAL PARAMETERS</w:t>
            </w:r>
          </w:p>
        </w:tc>
        <w:tc>
          <w:tcPr>
            <w:tcW w:w="988" w:type="dxa"/>
          </w:tcPr>
          <w:p w14:paraId="5A8DBF43" w14:textId="77777777" w:rsidR="00D73D49" w:rsidRPr="00D775C2" w:rsidRDefault="00D73D49" w:rsidP="007A3033">
            <w:pPr>
              <w:spacing w:line="276" w:lineRule="auto"/>
              <w:jc w:val="both"/>
              <w:rPr>
                <w:rFonts w:ascii="Arial" w:hAnsi="Arial" w:cs="Arial"/>
                <w:b/>
                <w:bCs/>
                <w:sz w:val="20"/>
                <w:szCs w:val="20"/>
              </w:rPr>
            </w:pPr>
          </w:p>
        </w:tc>
      </w:tr>
      <w:tr w:rsidR="00D73D49" w:rsidRPr="00D775C2" w14:paraId="3D8C158A" w14:textId="77777777" w:rsidTr="007A3033">
        <w:trPr>
          <w:jc w:val="center"/>
        </w:trPr>
        <w:tc>
          <w:tcPr>
            <w:tcW w:w="1793" w:type="dxa"/>
            <w:vAlign w:val="center"/>
          </w:tcPr>
          <w:p w14:paraId="19B29411"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FBG</w:t>
            </w:r>
          </w:p>
        </w:tc>
        <w:tc>
          <w:tcPr>
            <w:tcW w:w="1951" w:type="dxa"/>
            <w:vAlign w:val="center"/>
          </w:tcPr>
          <w:p w14:paraId="72E700BA"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177.6</w:t>
            </w:r>
            <w:r w:rsidRPr="00D775C2">
              <w:rPr>
                <w:rFonts w:ascii="Arial" w:hAnsi="Arial" w:cs="Arial"/>
                <w:sz w:val="20"/>
                <w:szCs w:val="20"/>
                <w:u w:val="single"/>
              </w:rPr>
              <w:t>+</w:t>
            </w:r>
            <w:r w:rsidRPr="00D775C2">
              <w:rPr>
                <w:rFonts w:ascii="Arial" w:hAnsi="Arial" w:cs="Arial"/>
                <w:sz w:val="20"/>
                <w:szCs w:val="20"/>
              </w:rPr>
              <w:t>35.4</w:t>
            </w:r>
          </w:p>
        </w:tc>
        <w:tc>
          <w:tcPr>
            <w:tcW w:w="1906" w:type="dxa"/>
            <w:vAlign w:val="center"/>
          </w:tcPr>
          <w:p w14:paraId="2313D463"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198.9</w:t>
            </w:r>
            <w:r w:rsidRPr="00D775C2">
              <w:rPr>
                <w:rFonts w:ascii="Arial" w:hAnsi="Arial" w:cs="Arial"/>
                <w:sz w:val="20"/>
                <w:szCs w:val="20"/>
                <w:u w:val="single"/>
              </w:rPr>
              <w:t>+</w:t>
            </w:r>
            <w:r w:rsidRPr="00D775C2">
              <w:rPr>
                <w:rFonts w:ascii="Arial" w:hAnsi="Arial" w:cs="Arial"/>
                <w:sz w:val="20"/>
                <w:szCs w:val="20"/>
              </w:rPr>
              <w:t>64</w:t>
            </w:r>
          </w:p>
        </w:tc>
        <w:tc>
          <w:tcPr>
            <w:tcW w:w="1862" w:type="dxa"/>
            <w:vAlign w:val="center"/>
          </w:tcPr>
          <w:p w14:paraId="4AC79455"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187.8</w:t>
            </w:r>
            <w:r w:rsidRPr="00D775C2">
              <w:rPr>
                <w:rFonts w:ascii="Arial" w:hAnsi="Arial" w:cs="Arial"/>
                <w:sz w:val="20"/>
                <w:szCs w:val="20"/>
                <w:u w:val="single"/>
              </w:rPr>
              <w:t>+</w:t>
            </w:r>
            <w:r w:rsidRPr="00D775C2">
              <w:rPr>
                <w:rFonts w:ascii="Arial" w:hAnsi="Arial" w:cs="Arial"/>
                <w:sz w:val="20"/>
                <w:szCs w:val="20"/>
              </w:rPr>
              <w:t>52</w:t>
            </w:r>
          </w:p>
        </w:tc>
        <w:tc>
          <w:tcPr>
            <w:tcW w:w="988" w:type="dxa"/>
          </w:tcPr>
          <w:p w14:paraId="65926DD3" w14:textId="207E2A96" w:rsidR="00D73D49" w:rsidRPr="00D775C2" w:rsidRDefault="007E35FC" w:rsidP="007A3033">
            <w:pPr>
              <w:spacing w:line="276" w:lineRule="auto"/>
              <w:jc w:val="both"/>
              <w:rPr>
                <w:rFonts w:ascii="Arial" w:hAnsi="Arial" w:cs="Arial"/>
                <w:sz w:val="20"/>
                <w:szCs w:val="20"/>
              </w:rPr>
            </w:pPr>
            <w:r w:rsidRPr="00D775C2">
              <w:rPr>
                <w:rFonts w:ascii="Arial" w:hAnsi="Arial" w:cs="Arial"/>
                <w:sz w:val="20"/>
                <w:szCs w:val="20"/>
              </w:rPr>
              <w:t>0.034</w:t>
            </w:r>
          </w:p>
        </w:tc>
      </w:tr>
      <w:tr w:rsidR="00D73D49" w:rsidRPr="00D775C2" w14:paraId="719085C2" w14:textId="77777777" w:rsidTr="007A3033">
        <w:trPr>
          <w:jc w:val="center"/>
        </w:trPr>
        <w:tc>
          <w:tcPr>
            <w:tcW w:w="1793" w:type="dxa"/>
            <w:vAlign w:val="center"/>
          </w:tcPr>
          <w:p w14:paraId="42231976"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PPBG</w:t>
            </w:r>
          </w:p>
        </w:tc>
        <w:tc>
          <w:tcPr>
            <w:tcW w:w="1951" w:type="dxa"/>
            <w:vAlign w:val="center"/>
          </w:tcPr>
          <w:p w14:paraId="5794A4E6"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256</w:t>
            </w:r>
            <w:r w:rsidRPr="00D775C2">
              <w:rPr>
                <w:rFonts w:ascii="Arial" w:hAnsi="Arial" w:cs="Arial"/>
                <w:sz w:val="20"/>
                <w:szCs w:val="20"/>
                <w:u w:val="single"/>
              </w:rPr>
              <w:t>+</w:t>
            </w:r>
            <w:r w:rsidRPr="00D775C2">
              <w:rPr>
                <w:rFonts w:ascii="Arial" w:hAnsi="Arial" w:cs="Arial"/>
                <w:sz w:val="20"/>
                <w:szCs w:val="20"/>
              </w:rPr>
              <w:t>60.1</w:t>
            </w:r>
          </w:p>
        </w:tc>
        <w:tc>
          <w:tcPr>
            <w:tcW w:w="1906" w:type="dxa"/>
            <w:vAlign w:val="center"/>
          </w:tcPr>
          <w:p w14:paraId="7C86EE02"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276.6</w:t>
            </w:r>
            <w:r w:rsidRPr="00D775C2">
              <w:rPr>
                <w:rFonts w:ascii="Arial" w:hAnsi="Arial" w:cs="Arial"/>
                <w:sz w:val="20"/>
                <w:szCs w:val="20"/>
                <w:u w:val="single"/>
              </w:rPr>
              <w:t>+</w:t>
            </w:r>
            <w:r w:rsidRPr="00D775C2">
              <w:rPr>
                <w:rFonts w:ascii="Arial" w:hAnsi="Arial" w:cs="Arial"/>
                <w:sz w:val="20"/>
                <w:szCs w:val="20"/>
              </w:rPr>
              <w:t>62.8</w:t>
            </w:r>
          </w:p>
        </w:tc>
        <w:tc>
          <w:tcPr>
            <w:tcW w:w="1862" w:type="dxa"/>
            <w:vAlign w:val="center"/>
          </w:tcPr>
          <w:p w14:paraId="5F65B67D"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265.9</w:t>
            </w:r>
            <w:r w:rsidRPr="00D775C2">
              <w:rPr>
                <w:rFonts w:ascii="Arial" w:hAnsi="Arial" w:cs="Arial"/>
                <w:sz w:val="20"/>
                <w:szCs w:val="20"/>
                <w:u w:val="single"/>
              </w:rPr>
              <w:t>+</w:t>
            </w:r>
            <w:r w:rsidRPr="00D775C2">
              <w:rPr>
                <w:rFonts w:ascii="Arial" w:hAnsi="Arial" w:cs="Arial"/>
                <w:sz w:val="20"/>
                <w:szCs w:val="20"/>
              </w:rPr>
              <w:t>62</w:t>
            </w:r>
          </w:p>
        </w:tc>
        <w:tc>
          <w:tcPr>
            <w:tcW w:w="988" w:type="dxa"/>
          </w:tcPr>
          <w:p w14:paraId="5C16CBAD" w14:textId="00DD847B" w:rsidR="00D73D49" w:rsidRPr="00D775C2" w:rsidRDefault="00DD4DDD" w:rsidP="007A3033">
            <w:pPr>
              <w:spacing w:line="276" w:lineRule="auto"/>
              <w:jc w:val="both"/>
              <w:rPr>
                <w:rFonts w:ascii="Arial" w:hAnsi="Arial" w:cs="Arial"/>
                <w:sz w:val="20"/>
                <w:szCs w:val="20"/>
              </w:rPr>
            </w:pPr>
            <w:r w:rsidRPr="00D775C2">
              <w:rPr>
                <w:rFonts w:ascii="Arial" w:hAnsi="Arial" w:cs="Arial"/>
                <w:sz w:val="20"/>
                <w:szCs w:val="20"/>
              </w:rPr>
              <w:t>0.904</w:t>
            </w:r>
          </w:p>
        </w:tc>
      </w:tr>
      <w:tr w:rsidR="00D73D49" w:rsidRPr="00D775C2" w14:paraId="65B4ADF5" w14:textId="77777777" w:rsidTr="007A3033">
        <w:trPr>
          <w:jc w:val="center"/>
        </w:trPr>
        <w:tc>
          <w:tcPr>
            <w:tcW w:w="1793" w:type="dxa"/>
            <w:vAlign w:val="center"/>
          </w:tcPr>
          <w:p w14:paraId="5068627B"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HbA1C</w:t>
            </w:r>
          </w:p>
        </w:tc>
        <w:tc>
          <w:tcPr>
            <w:tcW w:w="1951" w:type="dxa"/>
            <w:vAlign w:val="center"/>
          </w:tcPr>
          <w:p w14:paraId="4F96DE07"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9.1</w:t>
            </w:r>
            <w:r w:rsidRPr="00D775C2">
              <w:rPr>
                <w:rFonts w:ascii="Arial" w:hAnsi="Arial" w:cs="Arial"/>
                <w:sz w:val="20"/>
                <w:szCs w:val="20"/>
                <w:u w:val="single"/>
              </w:rPr>
              <w:t>+</w:t>
            </w:r>
            <w:r w:rsidRPr="00D775C2">
              <w:rPr>
                <w:rFonts w:ascii="Arial" w:hAnsi="Arial" w:cs="Arial"/>
                <w:sz w:val="20"/>
                <w:szCs w:val="20"/>
              </w:rPr>
              <w:t>1.3</w:t>
            </w:r>
          </w:p>
        </w:tc>
        <w:tc>
          <w:tcPr>
            <w:tcW w:w="1906" w:type="dxa"/>
            <w:vAlign w:val="center"/>
          </w:tcPr>
          <w:p w14:paraId="69D0881C"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9.7</w:t>
            </w:r>
            <w:r w:rsidRPr="00D775C2">
              <w:rPr>
                <w:rFonts w:ascii="Arial" w:hAnsi="Arial" w:cs="Arial"/>
                <w:sz w:val="20"/>
                <w:szCs w:val="20"/>
                <w:u w:val="single"/>
              </w:rPr>
              <w:t>+</w:t>
            </w:r>
            <w:r w:rsidRPr="00D775C2">
              <w:rPr>
                <w:rFonts w:ascii="Arial" w:hAnsi="Arial" w:cs="Arial"/>
                <w:sz w:val="20"/>
                <w:szCs w:val="20"/>
              </w:rPr>
              <w:t>1.6</w:t>
            </w:r>
          </w:p>
        </w:tc>
        <w:tc>
          <w:tcPr>
            <w:tcW w:w="1862" w:type="dxa"/>
            <w:vAlign w:val="center"/>
          </w:tcPr>
          <w:p w14:paraId="000284A6"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9.4</w:t>
            </w:r>
            <w:r w:rsidRPr="00D775C2">
              <w:rPr>
                <w:rFonts w:ascii="Arial" w:hAnsi="Arial" w:cs="Arial"/>
                <w:sz w:val="20"/>
                <w:szCs w:val="20"/>
                <w:u w:val="single"/>
              </w:rPr>
              <w:t>+</w:t>
            </w:r>
            <w:r w:rsidRPr="00D775C2">
              <w:rPr>
                <w:rFonts w:ascii="Arial" w:hAnsi="Arial" w:cs="Arial"/>
                <w:sz w:val="20"/>
                <w:szCs w:val="20"/>
              </w:rPr>
              <w:t>1.5</w:t>
            </w:r>
          </w:p>
        </w:tc>
        <w:tc>
          <w:tcPr>
            <w:tcW w:w="988" w:type="dxa"/>
          </w:tcPr>
          <w:p w14:paraId="7BA78C0C" w14:textId="020B0CF2" w:rsidR="00D73D49" w:rsidRPr="00D775C2" w:rsidRDefault="009E7F55" w:rsidP="007A3033">
            <w:pPr>
              <w:spacing w:line="276" w:lineRule="auto"/>
              <w:jc w:val="both"/>
              <w:rPr>
                <w:rFonts w:ascii="Arial" w:hAnsi="Arial" w:cs="Arial"/>
                <w:sz w:val="20"/>
                <w:szCs w:val="20"/>
              </w:rPr>
            </w:pPr>
            <w:r w:rsidRPr="00D775C2">
              <w:rPr>
                <w:rFonts w:ascii="Arial" w:hAnsi="Arial" w:cs="Arial"/>
                <w:sz w:val="20"/>
                <w:szCs w:val="20"/>
              </w:rPr>
              <w:t>0.325</w:t>
            </w:r>
          </w:p>
        </w:tc>
      </w:tr>
    </w:tbl>
    <w:p w14:paraId="4E8D30F8" w14:textId="1622EB60" w:rsidR="004E6094" w:rsidRPr="00D775C2" w:rsidRDefault="00EC4671" w:rsidP="00EB4E3E">
      <w:pPr>
        <w:spacing w:line="240" w:lineRule="auto"/>
        <w:jc w:val="both"/>
        <w:rPr>
          <w:rFonts w:ascii="Arial" w:hAnsi="Arial" w:cs="Arial"/>
          <w:sz w:val="20"/>
          <w:szCs w:val="20"/>
        </w:rPr>
      </w:pPr>
      <w:r w:rsidRPr="00D775C2">
        <w:rPr>
          <w:rFonts w:ascii="Arial" w:hAnsi="Arial" w:cs="Arial"/>
          <w:sz w:val="20"/>
          <w:szCs w:val="20"/>
        </w:rPr>
        <w:t xml:space="preserve">The data presented in Table 3 highlights notable differences between male and female respondents across various anthropometric and biochemical parameters. The mean BMI for all participants was 27 ± 4.9 kg/m², with females (27.8 ± 6.04) having a higher average than males (26.3 ± 3.3), a difference that was statistically significant (p = 0.000). Similarly, the waist-to-hip ratio (WHR) was slightly higher in females (1.02 ± 0.08) compared to males (1.0 ± 0.54), and this difference was also statistically significant (p = 0.000). In terms of biochemical parameters, fasting blood glucose (FBG) levels were significantly higher among females (198.9 ± 64 mg/dL) than males (177.6 ± 35.4 mg/dL), with a </w:t>
      </w:r>
      <w:r w:rsidR="00555ABC">
        <w:rPr>
          <w:rFonts w:ascii="Arial" w:hAnsi="Arial" w:cs="Arial"/>
          <w:sz w:val="20"/>
          <w:szCs w:val="20"/>
        </w:rPr>
        <w:t>P</w:t>
      </w:r>
      <w:r w:rsidRPr="00D775C2">
        <w:rPr>
          <w:rFonts w:ascii="Arial" w:hAnsi="Arial" w:cs="Arial"/>
          <w:sz w:val="20"/>
          <w:szCs w:val="20"/>
        </w:rPr>
        <w:t xml:space="preserve">-value of 0.034 indicating statistical significance. However, no significant gender differences were observed in postprandial blood glucose (PPBG) and HbA1c levels, despite females having slightly higher averages in both. The </w:t>
      </w:r>
      <w:r w:rsidR="00555ABC">
        <w:rPr>
          <w:rFonts w:ascii="Arial" w:hAnsi="Arial" w:cs="Arial"/>
          <w:sz w:val="20"/>
          <w:szCs w:val="20"/>
        </w:rPr>
        <w:t>P</w:t>
      </w:r>
      <w:r w:rsidRPr="00D775C2">
        <w:rPr>
          <w:rFonts w:ascii="Arial" w:hAnsi="Arial" w:cs="Arial"/>
          <w:sz w:val="20"/>
          <w:szCs w:val="20"/>
        </w:rPr>
        <w:t>-values for PPBG and HbA1c were 0.904 and 0.325, respectively, indicating that the variations were not statistically significant.</w:t>
      </w:r>
    </w:p>
    <w:p w14:paraId="6C5A4BEC" w14:textId="0D16A073" w:rsidR="00952D2F" w:rsidRPr="00D775C2" w:rsidRDefault="00952D2F" w:rsidP="00EB4E3E">
      <w:pPr>
        <w:spacing w:line="240" w:lineRule="auto"/>
        <w:jc w:val="both"/>
        <w:rPr>
          <w:rFonts w:ascii="Arial" w:hAnsi="Arial" w:cs="Arial"/>
          <w:b/>
          <w:bCs/>
          <w:sz w:val="20"/>
          <w:szCs w:val="20"/>
        </w:rPr>
      </w:pPr>
      <w:r w:rsidRPr="00D775C2">
        <w:rPr>
          <w:rFonts w:ascii="Arial" w:hAnsi="Arial" w:cs="Arial"/>
          <w:b/>
          <w:bCs/>
          <w:sz w:val="20"/>
          <w:szCs w:val="20"/>
        </w:rPr>
        <w:t xml:space="preserve">Figure </w:t>
      </w:r>
      <w:r w:rsidR="00053D5C">
        <w:rPr>
          <w:rFonts w:ascii="Arial" w:hAnsi="Arial" w:cs="Arial"/>
          <w:b/>
          <w:bCs/>
          <w:sz w:val="20"/>
          <w:szCs w:val="20"/>
        </w:rPr>
        <w:t>1</w:t>
      </w:r>
      <w:r w:rsidR="007B7C62" w:rsidRPr="00D775C2">
        <w:rPr>
          <w:rFonts w:ascii="Arial" w:hAnsi="Arial" w:cs="Arial"/>
          <w:b/>
          <w:bCs/>
          <w:sz w:val="20"/>
          <w:szCs w:val="20"/>
        </w:rPr>
        <w:t>:</w:t>
      </w:r>
      <w:r w:rsidRPr="00D775C2">
        <w:rPr>
          <w:rFonts w:ascii="Arial" w:hAnsi="Arial" w:cs="Arial"/>
          <w:b/>
          <w:bCs/>
          <w:sz w:val="20"/>
          <w:szCs w:val="20"/>
        </w:rPr>
        <w:t xml:space="preserve"> </w:t>
      </w:r>
      <w:r w:rsidR="008A0208" w:rsidRPr="00D775C2">
        <w:rPr>
          <w:rFonts w:ascii="Arial" w:hAnsi="Arial" w:cs="Arial"/>
          <w:b/>
          <w:bCs/>
          <w:sz w:val="20"/>
          <w:szCs w:val="20"/>
        </w:rPr>
        <w:t xml:space="preserve">Percentage distribution of </w:t>
      </w:r>
      <w:r w:rsidRPr="00D775C2">
        <w:rPr>
          <w:rFonts w:ascii="Arial" w:hAnsi="Arial" w:cs="Arial"/>
          <w:b/>
          <w:bCs/>
          <w:sz w:val="20"/>
          <w:szCs w:val="20"/>
        </w:rPr>
        <w:t>BMI of the patients</w:t>
      </w:r>
    </w:p>
    <w:p w14:paraId="7C332E40" w14:textId="4DF14415" w:rsidR="00952D2F" w:rsidRPr="00D775C2" w:rsidRDefault="00952D2F" w:rsidP="00EB4E3E">
      <w:pPr>
        <w:spacing w:line="240" w:lineRule="auto"/>
        <w:jc w:val="center"/>
        <w:rPr>
          <w:rFonts w:ascii="Arial" w:hAnsi="Arial" w:cs="Arial"/>
          <w:b/>
          <w:bCs/>
          <w:sz w:val="20"/>
          <w:szCs w:val="20"/>
        </w:rPr>
      </w:pPr>
      <w:r w:rsidRPr="00D775C2">
        <w:rPr>
          <w:rFonts w:ascii="Arial" w:hAnsi="Arial" w:cs="Arial"/>
          <w:noProof/>
          <w:sz w:val="20"/>
          <w:szCs w:val="20"/>
        </w:rPr>
        <w:drawing>
          <wp:inline distT="0" distB="0" distL="0" distR="0" wp14:anchorId="3BCDB39E" wp14:editId="3448A8EE">
            <wp:extent cx="5834202" cy="2820112"/>
            <wp:effectExtent l="0" t="0" r="14605" b="18415"/>
            <wp:docPr id="57626017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ED43B2" w14:textId="053E9D68" w:rsidR="00CF3E8D" w:rsidRPr="00D775C2" w:rsidRDefault="00CF3E8D" w:rsidP="00EB4E3E">
      <w:pPr>
        <w:spacing w:line="240" w:lineRule="auto"/>
        <w:jc w:val="both"/>
        <w:rPr>
          <w:rFonts w:ascii="Arial" w:hAnsi="Arial" w:cs="Arial"/>
          <w:sz w:val="20"/>
          <w:szCs w:val="20"/>
        </w:rPr>
      </w:pPr>
      <w:r w:rsidRPr="00D775C2">
        <w:rPr>
          <w:rFonts w:ascii="Arial" w:hAnsi="Arial" w:cs="Arial"/>
          <w:sz w:val="20"/>
          <w:szCs w:val="20"/>
        </w:rPr>
        <w:t xml:space="preserve">The data on Body Mass Index (BMI) </w:t>
      </w:r>
      <w:r w:rsidR="00735B86" w:rsidRPr="00D775C2">
        <w:rPr>
          <w:rFonts w:ascii="Arial" w:hAnsi="Arial" w:cs="Arial"/>
          <w:sz w:val="20"/>
          <w:szCs w:val="20"/>
        </w:rPr>
        <w:t xml:space="preserve">in </w:t>
      </w:r>
      <w:r w:rsidR="009D0E23" w:rsidRPr="00D775C2">
        <w:rPr>
          <w:rFonts w:ascii="Arial" w:hAnsi="Arial" w:cs="Arial"/>
          <w:sz w:val="20"/>
          <w:szCs w:val="20"/>
        </w:rPr>
        <w:t>figure</w:t>
      </w:r>
      <w:r w:rsidR="00735B86" w:rsidRPr="00D775C2">
        <w:rPr>
          <w:rFonts w:ascii="Arial" w:hAnsi="Arial" w:cs="Arial"/>
          <w:sz w:val="20"/>
          <w:szCs w:val="20"/>
        </w:rPr>
        <w:t xml:space="preserve"> </w:t>
      </w:r>
      <w:r w:rsidR="00053D5C">
        <w:rPr>
          <w:rFonts w:ascii="Arial" w:hAnsi="Arial" w:cs="Arial"/>
          <w:sz w:val="20"/>
          <w:szCs w:val="20"/>
        </w:rPr>
        <w:t>1</w:t>
      </w:r>
      <w:r w:rsidR="00735B86" w:rsidRPr="00D775C2">
        <w:rPr>
          <w:rFonts w:ascii="Arial" w:hAnsi="Arial" w:cs="Arial"/>
          <w:sz w:val="20"/>
          <w:szCs w:val="20"/>
        </w:rPr>
        <w:t xml:space="preserve"> </w:t>
      </w:r>
      <w:r w:rsidRPr="00D775C2">
        <w:rPr>
          <w:rFonts w:ascii="Arial" w:hAnsi="Arial" w:cs="Arial"/>
          <w:sz w:val="20"/>
          <w:szCs w:val="20"/>
        </w:rPr>
        <w:t>reveals notable differences in weight categories between males and females. A very small portion of the total population (</w:t>
      </w:r>
      <w:r w:rsidR="00012820" w:rsidRPr="00D775C2">
        <w:rPr>
          <w:rFonts w:ascii="Arial" w:hAnsi="Arial" w:cs="Arial"/>
          <w:sz w:val="20"/>
          <w:szCs w:val="20"/>
        </w:rPr>
        <w:t>4</w:t>
      </w:r>
      <w:r w:rsidRPr="00D775C2">
        <w:rPr>
          <w:rFonts w:ascii="Arial" w:hAnsi="Arial" w:cs="Arial"/>
          <w:sz w:val="20"/>
          <w:szCs w:val="20"/>
        </w:rPr>
        <w:t xml:space="preserve">%) falls under the underweight category (BMI </w:t>
      </w:r>
      <w:r w:rsidR="009F1330" w:rsidRPr="00D775C2">
        <w:rPr>
          <w:rFonts w:ascii="Arial" w:hAnsi="Arial" w:cs="Arial"/>
          <w:sz w:val="20"/>
          <w:szCs w:val="20"/>
        </w:rPr>
        <w:t>&lt; 18.5),</w:t>
      </w:r>
      <w:r w:rsidRPr="00D775C2">
        <w:rPr>
          <w:rFonts w:ascii="Arial" w:hAnsi="Arial" w:cs="Arial"/>
          <w:sz w:val="20"/>
          <w:szCs w:val="20"/>
        </w:rPr>
        <w:t xml:space="preserve"> with all of them being female (8</w:t>
      </w:r>
      <w:r w:rsidR="00012820" w:rsidRPr="00D775C2">
        <w:rPr>
          <w:rFonts w:ascii="Arial" w:hAnsi="Arial" w:cs="Arial"/>
          <w:sz w:val="20"/>
          <w:szCs w:val="20"/>
        </w:rPr>
        <w:t>.4</w:t>
      </w:r>
      <w:r w:rsidRPr="00D775C2">
        <w:rPr>
          <w:rFonts w:ascii="Arial" w:hAnsi="Arial" w:cs="Arial"/>
          <w:sz w:val="20"/>
          <w:szCs w:val="20"/>
        </w:rPr>
        <w:t>%) and none male. The normal BMI range (18.5–24.9) includes 28.8% of the total population, with similar representation from both males (29.</w:t>
      </w:r>
      <w:r w:rsidR="00012820" w:rsidRPr="00D775C2">
        <w:rPr>
          <w:rFonts w:ascii="Arial" w:hAnsi="Arial" w:cs="Arial"/>
          <w:sz w:val="20"/>
          <w:szCs w:val="20"/>
        </w:rPr>
        <w:t>2</w:t>
      </w:r>
      <w:r w:rsidRPr="00D775C2">
        <w:rPr>
          <w:rFonts w:ascii="Arial" w:hAnsi="Arial" w:cs="Arial"/>
          <w:sz w:val="20"/>
          <w:szCs w:val="20"/>
        </w:rPr>
        <w:t>%) and females (28</w:t>
      </w:r>
      <w:r w:rsidR="00012820" w:rsidRPr="00D775C2">
        <w:rPr>
          <w:rFonts w:ascii="Arial" w:hAnsi="Arial" w:cs="Arial"/>
          <w:sz w:val="20"/>
          <w:szCs w:val="20"/>
        </w:rPr>
        <w:t>.4</w:t>
      </w:r>
      <w:r w:rsidRPr="00D775C2">
        <w:rPr>
          <w:rFonts w:ascii="Arial" w:hAnsi="Arial" w:cs="Arial"/>
          <w:sz w:val="20"/>
          <w:szCs w:val="20"/>
        </w:rPr>
        <w:t>%). However, significant gender differences emerge in the overweight and obese categories.</w:t>
      </w:r>
    </w:p>
    <w:p w14:paraId="189395E0" w14:textId="6EDDF11C" w:rsidR="00CF3E8D" w:rsidRPr="00D775C2" w:rsidRDefault="00CF3E8D" w:rsidP="00EB4E3E">
      <w:pPr>
        <w:spacing w:line="240" w:lineRule="auto"/>
        <w:jc w:val="both"/>
        <w:rPr>
          <w:rFonts w:ascii="Arial" w:hAnsi="Arial" w:cs="Arial"/>
          <w:sz w:val="20"/>
          <w:szCs w:val="20"/>
        </w:rPr>
      </w:pPr>
      <w:r w:rsidRPr="00D775C2">
        <w:rPr>
          <w:rFonts w:ascii="Arial" w:hAnsi="Arial" w:cs="Arial"/>
          <w:sz w:val="20"/>
          <w:szCs w:val="20"/>
        </w:rPr>
        <w:t>A majority of males (63</w:t>
      </w:r>
      <w:r w:rsidR="0024728A" w:rsidRPr="00D775C2">
        <w:rPr>
          <w:rFonts w:ascii="Arial" w:hAnsi="Arial" w:cs="Arial"/>
          <w:sz w:val="20"/>
          <w:szCs w:val="20"/>
        </w:rPr>
        <w:t>.8</w:t>
      </w:r>
      <w:r w:rsidRPr="00D775C2">
        <w:rPr>
          <w:rFonts w:ascii="Arial" w:hAnsi="Arial" w:cs="Arial"/>
          <w:sz w:val="20"/>
          <w:szCs w:val="20"/>
        </w:rPr>
        <w:t>%) fall into the overweight range (BMI 25–29.9), compared to just 3</w:t>
      </w:r>
      <w:r w:rsidR="0024728A" w:rsidRPr="00D775C2">
        <w:rPr>
          <w:rFonts w:ascii="Arial" w:hAnsi="Arial" w:cs="Arial"/>
          <w:sz w:val="20"/>
          <w:szCs w:val="20"/>
        </w:rPr>
        <w:t>1.7</w:t>
      </w:r>
      <w:r w:rsidRPr="00D775C2">
        <w:rPr>
          <w:rFonts w:ascii="Arial" w:hAnsi="Arial" w:cs="Arial"/>
          <w:sz w:val="20"/>
          <w:szCs w:val="20"/>
        </w:rPr>
        <w:t xml:space="preserve">% of females. Conversely, obesity </w:t>
      </w:r>
      <w:r w:rsidR="00926F24" w:rsidRPr="00D775C2">
        <w:rPr>
          <w:rFonts w:ascii="Arial" w:hAnsi="Arial" w:cs="Arial"/>
          <w:sz w:val="20"/>
          <w:szCs w:val="20"/>
        </w:rPr>
        <w:t xml:space="preserve">(BMI &gt; </w:t>
      </w:r>
      <w:r w:rsidRPr="00D775C2">
        <w:rPr>
          <w:rFonts w:ascii="Arial" w:hAnsi="Arial" w:cs="Arial"/>
          <w:sz w:val="20"/>
          <w:szCs w:val="20"/>
        </w:rPr>
        <w:t>30) is much more common among females (3</w:t>
      </w:r>
      <w:r w:rsidR="00491916" w:rsidRPr="00D775C2">
        <w:rPr>
          <w:rFonts w:ascii="Arial" w:hAnsi="Arial" w:cs="Arial"/>
          <w:sz w:val="20"/>
          <w:szCs w:val="20"/>
        </w:rPr>
        <w:t>1.7</w:t>
      </w:r>
      <w:r w:rsidRPr="00D775C2">
        <w:rPr>
          <w:rFonts w:ascii="Arial" w:hAnsi="Arial" w:cs="Arial"/>
          <w:sz w:val="20"/>
          <w:szCs w:val="20"/>
        </w:rPr>
        <w:t>%) than males (7.</w:t>
      </w:r>
      <w:r w:rsidR="00491916" w:rsidRPr="00D775C2">
        <w:rPr>
          <w:rFonts w:ascii="Arial" w:hAnsi="Arial" w:cs="Arial"/>
          <w:sz w:val="20"/>
          <w:szCs w:val="20"/>
        </w:rPr>
        <w:t>7</w:t>
      </w:r>
      <w:r w:rsidRPr="00D775C2">
        <w:rPr>
          <w:rFonts w:ascii="Arial" w:hAnsi="Arial" w:cs="Arial"/>
          <w:sz w:val="20"/>
          <w:szCs w:val="20"/>
        </w:rPr>
        <w:t>%). This indicates that while men are more likely to be overweight, women have a higher tendency toward obesity or being underweight.</w:t>
      </w:r>
      <w:r w:rsidR="007A3033">
        <w:rPr>
          <w:rFonts w:ascii="Arial" w:hAnsi="Arial" w:cs="Arial"/>
          <w:sz w:val="20"/>
          <w:szCs w:val="20"/>
        </w:rPr>
        <w:t xml:space="preserve"> </w:t>
      </w:r>
      <w:r w:rsidRPr="00D775C2">
        <w:rPr>
          <w:rFonts w:ascii="Arial" w:hAnsi="Arial" w:cs="Arial"/>
          <w:sz w:val="20"/>
          <w:szCs w:val="20"/>
        </w:rPr>
        <w:t xml:space="preserve">Overall, the data shows that while normal BMI is fairly balanced across genders, males are predominantly overweight, and females exhibit a wider spread across the BMI </w:t>
      </w:r>
      <w:r w:rsidRPr="00D775C2">
        <w:rPr>
          <w:rFonts w:ascii="Arial" w:hAnsi="Arial" w:cs="Arial"/>
          <w:sz w:val="20"/>
          <w:szCs w:val="20"/>
        </w:rPr>
        <w:lastRenderedPageBreak/>
        <w:t>spectrum—from underweight to obese—highlighting gender-specific trends in body weight and potentially differing health risks.</w:t>
      </w:r>
    </w:p>
    <w:p w14:paraId="32C3F61E" w14:textId="0C2C9679" w:rsidR="006E43A6" w:rsidRPr="00D775C2" w:rsidRDefault="00E66609" w:rsidP="00EB4E3E">
      <w:pPr>
        <w:spacing w:line="240" w:lineRule="auto"/>
        <w:jc w:val="both"/>
        <w:rPr>
          <w:rFonts w:ascii="Arial" w:hAnsi="Arial" w:cs="Arial"/>
          <w:b/>
          <w:bCs/>
          <w:sz w:val="20"/>
          <w:szCs w:val="20"/>
        </w:rPr>
      </w:pPr>
      <w:r w:rsidRPr="00D775C2">
        <w:rPr>
          <w:rFonts w:ascii="Arial" w:hAnsi="Arial" w:cs="Arial"/>
          <w:b/>
          <w:bCs/>
          <w:sz w:val="20"/>
          <w:szCs w:val="20"/>
        </w:rPr>
        <w:t xml:space="preserve">Figure </w:t>
      </w:r>
      <w:r w:rsidR="00053D5C">
        <w:rPr>
          <w:rFonts w:ascii="Arial" w:hAnsi="Arial" w:cs="Arial"/>
          <w:b/>
          <w:bCs/>
          <w:sz w:val="20"/>
          <w:szCs w:val="20"/>
        </w:rPr>
        <w:t>2</w:t>
      </w:r>
      <w:r w:rsidRPr="00D775C2">
        <w:rPr>
          <w:rFonts w:ascii="Arial" w:hAnsi="Arial" w:cs="Arial"/>
          <w:b/>
          <w:bCs/>
          <w:sz w:val="20"/>
          <w:szCs w:val="20"/>
        </w:rPr>
        <w:t xml:space="preserve">: Percentage distribution of </w:t>
      </w:r>
      <w:r w:rsidR="00926F24" w:rsidRPr="00D775C2">
        <w:rPr>
          <w:rFonts w:ascii="Arial" w:hAnsi="Arial" w:cs="Arial"/>
          <w:b/>
          <w:bCs/>
          <w:sz w:val="20"/>
          <w:szCs w:val="20"/>
        </w:rPr>
        <w:t>smoking</w:t>
      </w:r>
      <w:r w:rsidR="004E4D14" w:rsidRPr="00D775C2">
        <w:rPr>
          <w:rFonts w:ascii="Arial" w:hAnsi="Arial" w:cs="Arial"/>
          <w:b/>
          <w:bCs/>
          <w:sz w:val="20"/>
          <w:szCs w:val="20"/>
        </w:rPr>
        <w:t xml:space="preserve"> and </w:t>
      </w:r>
      <w:r w:rsidR="00926F24" w:rsidRPr="00D775C2">
        <w:rPr>
          <w:rFonts w:ascii="Arial" w:hAnsi="Arial" w:cs="Arial"/>
          <w:b/>
          <w:bCs/>
          <w:sz w:val="20"/>
          <w:szCs w:val="20"/>
        </w:rPr>
        <w:t>consumption</w:t>
      </w:r>
      <w:r w:rsidRPr="00D775C2">
        <w:rPr>
          <w:rFonts w:ascii="Arial" w:hAnsi="Arial" w:cs="Arial"/>
          <w:b/>
          <w:bCs/>
          <w:sz w:val="20"/>
          <w:szCs w:val="20"/>
        </w:rPr>
        <w:t xml:space="preserve"> of tobacco</w:t>
      </w:r>
      <w:r w:rsidR="004E4D14" w:rsidRPr="00D775C2">
        <w:rPr>
          <w:rFonts w:ascii="Arial" w:hAnsi="Arial" w:cs="Arial"/>
          <w:b/>
          <w:bCs/>
          <w:sz w:val="20"/>
          <w:szCs w:val="20"/>
        </w:rPr>
        <w:t xml:space="preserve"> and </w:t>
      </w:r>
      <w:r w:rsidR="00926F24" w:rsidRPr="00D775C2">
        <w:rPr>
          <w:rFonts w:ascii="Arial" w:hAnsi="Arial" w:cs="Arial"/>
          <w:b/>
          <w:bCs/>
          <w:sz w:val="20"/>
          <w:szCs w:val="20"/>
        </w:rPr>
        <w:t>alcohol</w:t>
      </w:r>
      <w:r w:rsidRPr="00D775C2">
        <w:rPr>
          <w:rFonts w:ascii="Arial" w:hAnsi="Arial" w:cs="Arial"/>
          <w:b/>
          <w:bCs/>
          <w:sz w:val="20"/>
          <w:szCs w:val="20"/>
        </w:rPr>
        <w:t xml:space="preserve"> of the patients</w:t>
      </w:r>
    </w:p>
    <w:p w14:paraId="20329F5B" w14:textId="6298946C" w:rsidR="004E6094" w:rsidRPr="00D775C2" w:rsidRDefault="008B031F" w:rsidP="00EB4E3E">
      <w:pPr>
        <w:spacing w:line="240" w:lineRule="auto"/>
        <w:jc w:val="center"/>
        <w:rPr>
          <w:rFonts w:ascii="Arial" w:hAnsi="Arial" w:cs="Arial"/>
          <w:sz w:val="20"/>
          <w:szCs w:val="20"/>
        </w:rPr>
      </w:pPr>
      <w:r w:rsidRPr="00D775C2">
        <w:rPr>
          <w:rFonts w:ascii="Arial" w:hAnsi="Arial" w:cs="Arial"/>
          <w:noProof/>
          <w:sz w:val="20"/>
          <w:szCs w:val="20"/>
        </w:rPr>
        <w:drawing>
          <wp:inline distT="0" distB="0" distL="0" distR="0" wp14:anchorId="1282F012" wp14:editId="43C761E5">
            <wp:extent cx="5700044" cy="3469593"/>
            <wp:effectExtent l="0" t="0" r="15240" b="17145"/>
            <wp:docPr id="34420238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F3DE2E" w14:textId="7B972170" w:rsidR="00F82A92" w:rsidRPr="00D775C2" w:rsidRDefault="00DE69FE" w:rsidP="00EB4E3E">
      <w:pPr>
        <w:spacing w:line="240" w:lineRule="auto"/>
        <w:jc w:val="both"/>
        <w:rPr>
          <w:rFonts w:ascii="Arial" w:hAnsi="Arial" w:cs="Arial"/>
          <w:sz w:val="20"/>
          <w:szCs w:val="20"/>
        </w:rPr>
      </w:pPr>
      <w:r w:rsidRPr="00D775C2">
        <w:rPr>
          <w:rFonts w:ascii="Arial" w:hAnsi="Arial" w:cs="Arial"/>
          <w:sz w:val="20"/>
          <w:szCs w:val="20"/>
        </w:rPr>
        <w:t xml:space="preserve">Figure </w:t>
      </w:r>
      <w:r w:rsidR="00053D5C">
        <w:rPr>
          <w:rFonts w:ascii="Arial" w:hAnsi="Arial" w:cs="Arial"/>
          <w:sz w:val="20"/>
          <w:szCs w:val="20"/>
        </w:rPr>
        <w:t>2</w:t>
      </w:r>
      <w:r w:rsidR="00F82A92" w:rsidRPr="00D775C2">
        <w:rPr>
          <w:rFonts w:ascii="Arial" w:hAnsi="Arial" w:cs="Arial"/>
          <w:sz w:val="20"/>
          <w:szCs w:val="20"/>
        </w:rPr>
        <w:t xml:space="preserve"> presents data on the prevalence of smoking, tobacco use, and occasional alcohol consumption among males and females</w:t>
      </w:r>
      <w:r w:rsidR="006521B4" w:rsidRPr="00D775C2">
        <w:rPr>
          <w:rFonts w:ascii="Arial" w:hAnsi="Arial" w:cs="Arial"/>
          <w:sz w:val="20"/>
          <w:szCs w:val="20"/>
        </w:rPr>
        <w:t xml:space="preserve"> in the present study</w:t>
      </w:r>
      <w:r w:rsidR="00F82A92" w:rsidRPr="00D775C2">
        <w:rPr>
          <w:rFonts w:ascii="Arial" w:hAnsi="Arial" w:cs="Arial"/>
          <w:sz w:val="20"/>
          <w:szCs w:val="20"/>
        </w:rPr>
        <w:t>. It reveals a clear gender disparity in all three habits.</w:t>
      </w:r>
    </w:p>
    <w:p w14:paraId="50882AE7" w14:textId="2BB1CC2A" w:rsidR="00F82A92" w:rsidRDefault="00F82A92" w:rsidP="00EB4E3E">
      <w:pPr>
        <w:spacing w:line="240" w:lineRule="auto"/>
        <w:jc w:val="both"/>
        <w:rPr>
          <w:rFonts w:ascii="Arial" w:hAnsi="Arial" w:cs="Arial"/>
          <w:sz w:val="20"/>
          <w:szCs w:val="20"/>
        </w:rPr>
      </w:pPr>
      <w:r w:rsidRPr="00D775C2">
        <w:rPr>
          <w:rFonts w:ascii="Arial" w:hAnsi="Arial" w:cs="Arial"/>
          <w:sz w:val="20"/>
          <w:szCs w:val="20"/>
        </w:rPr>
        <w:t>Smoking is reported only among males (3.9%), with no females recorded as smokers. The total smoking prevalence across the population is 2%. Tobacco use is significantly more common among males (18.5%) than females (4%), resulting in a combined total of 11.6%. Similarly, occasional alcohol consumption is reported exclusively among males (18.5%), while no females reported this habit, bringing the total to 9.6%.</w:t>
      </w:r>
      <w:r w:rsidR="007A3033">
        <w:rPr>
          <w:rFonts w:ascii="Arial" w:hAnsi="Arial" w:cs="Arial"/>
          <w:sz w:val="20"/>
          <w:szCs w:val="20"/>
        </w:rPr>
        <w:t xml:space="preserve"> </w:t>
      </w:r>
      <w:r w:rsidRPr="00D775C2">
        <w:rPr>
          <w:rFonts w:ascii="Arial" w:hAnsi="Arial" w:cs="Arial"/>
          <w:sz w:val="20"/>
          <w:szCs w:val="20"/>
        </w:rPr>
        <w:t xml:space="preserve">Overall, the data highlights that males engage more frequently in smoking, tobacco use, and alcohol consumption compared to females. These findings suggest that substance use </w:t>
      </w:r>
      <w:proofErr w:type="spellStart"/>
      <w:r w:rsidR="00926F24" w:rsidRPr="00D775C2">
        <w:rPr>
          <w:rFonts w:ascii="Arial" w:hAnsi="Arial" w:cs="Arial"/>
          <w:sz w:val="20"/>
          <w:szCs w:val="20"/>
        </w:rPr>
        <w:t>behaviors</w:t>
      </w:r>
      <w:proofErr w:type="spellEnd"/>
      <w:r w:rsidRPr="00D775C2">
        <w:rPr>
          <w:rFonts w:ascii="Arial" w:hAnsi="Arial" w:cs="Arial"/>
          <w:sz w:val="20"/>
          <w:szCs w:val="20"/>
        </w:rPr>
        <w:t xml:space="preserve"> are predominantly male-associated within the sample population.</w:t>
      </w:r>
    </w:p>
    <w:p w14:paraId="17FACBFA" w14:textId="77777777" w:rsidR="007A0C26" w:rsidRDefault="007A0C26" w:rsidP="00EB4E3E">
      <w:pPr>
        <w:spacing w:line="240" w:lineRule="auto"/>
        <w:jc w:val="both"/>
        <w:rPr>
          <w:rFonts w:ascii="Arial" w:hAnsi="Arial" w:cs="Arial"/>
          <w:sz w:val="20"/>
          <w:szCs w:val="20"/>
        </w:rPr>
      </w:pPr>
    </w:p>
    <w:p w14:paraId="6F02FED7" w14:textId="77777777" w:rsidR="007A0C26" w:rsidRDefault="007A0C26" w:rsidP="00EB4E3E">
      <w:pPr>
        <w:spacing w:line="240" w:lineRule="auto"/>
        <w:jc w:val="both"/>
        <w:rPr>
          <w:rFonts w:ascii="Arial" w:hAnsi="Arial" w:cs="Arial"/>
          <w:sz w:val="20"/>
          <w:szCs w:val="20"/>
        </w:rPr>
      </w:pPr>
    </w:p>
    <w:p w14:paraId="613D3393" w14:textId="031C4801" w:rsidR="00E66609" w:rsidRPr="00D775C2" w:rsidRDefault="00E66609" w:rsidP="00EB4E3E">
      <w:pPr>
        <w:spacing w:line="240" w:lineRule="auto"/>
        <w:jc w:val="both"/>
        <w:rPr>
          <w:rFonts w:ascii="Arial" w:hAnsi="Arial" w:cs="Arial"/>
          <w:b/>
          <w:bCs/>
          <w:sz w:val="20"/>
          <w:szCs w:val="20"/>
        </w:rPr>
      </w:pPr>
      <w:r w:rsidRPr="00D775C2">
        <w:rPr>
          <w:rFonts w:ascii="Arial" w:hAnsi="Arial" w:cs="Arial"/>
          <w:b/>
          <w:bCs/>
          <w:sz w:val="20"/>
          <w:szCs w:val="20"/>
        </w:rPr>
        <w:t xml:space="preserve">Figure </w:t>
      </w:r>
      <w:r w:rsidR="00053D5C">
        <w:rPr>
          <w:rFonts w:ascii="Arial" w:hAnsi="Arial" w:cs="Arial"/>
          <w:b/>
          <w:bCs/>
          <w:sz w:val="20"/>
          <w:szCs w:val="20"/>
        </w:rPr>
        <w:t>3</w:t>
      </w:r>
      <w:r w:rsidRPr="00D775C2">
        <w:rPr>
          <w:rFonts w:ascii="Arial" w:hAnsi="Arial" w:cs="Arial"/>
          <w:b/>
          <w:bCs/>
          <w:sz w:val="20"/>
          <w:szCs w:val="20"/>
        </w:rPr>
        <w:t xml:space="preserve">: Percentage distribution of </w:t>
      </w:r>
      <w:r w:rsidR="00926F24" w:rsidRPr="00D775C2">
        <w:rPr>
          <w:rFonts w:ascii="Arial" w:hAnsi="Arial" w:cs="Arial"/>
          <w:b/>
          <w:bCs/>
          <w:sz w:val="20"/>
          <w:szCs w:val="20"/>
        </w:rPr>
        <w:t>physical activity</w:t>
      </w:r>
      <w:r w:rsidRPr="00D775C2">
        <w:rPr>
          <w:rFonts w:ascii="Arial" w:hAnsi="Arial" w:cs="Arial"/>
          <w:b/>
          <w:bCs/>
          <w:sz w:val="20"/>
          <w:szCs w:val="20"/>
        </w:rPr>
        <w:t xml:space="preserve"> of the patients</w:t>
      </w:r>
    </w:p>
    <w:p w14:paraId="256A4501" w14:textId="540CDEF4" w:rsidR="004E6094" w:rsidRPr="00D775C2" w:rsidRDefault="00B91797" w:rsidP="00EB4E3E">
      <w:pPr>
        <w:spacing w:line="240" w:lineRule="auto"/>
        <w:jc w:val="center"/>
        <w:rPr>
          <w:rFonts w:ascii="Arial" w:hAnsi="Arial" w:cs="Arial"/>
          <w:sz w:val="20"/>
          <w:szCs w:val="20"/>
        </w:rPr>
      </w:pPr>
      <w:r w:rsidRPr="00D775C2">
        <w:rPr>
          <w:rFonts w:ascii="Arial" w:hAnsi="Arial" w:cs="Arial"/>
          <w:noProof/>
          <w:sz w:val="20"/>
          <w:szCs w:val="20"/>
        </w:rPr>
        <w:lastRenderedPageBreak/>
        <w:drawing>
          <wp:inline distT="0" distB="0" distL="0" distR="0" wp14:anchorId="0CD21F52" wp14:editId="436BD69C">
            <wp:extent cx="4693920" cy="2308860"/>
            <wp:effectExtent l="0" t="0" r="11430" b="15240"/>
            <wp:docPr id="133355240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3BDC63" w14:textId="688507FF" w:rsidR="00AE3892" w:rsidRPr="00D775C2" w:rsidRDefault="00E66609" w:rsidP="00EB4E3E">
      <w:pPr>
        <w:spacing w:line="240" w:lineRule="auto"/>
        <w:jc w:val="both"/>
        <w:rPr>
          <w:rFonts w:ascii="Arial" w:hAnsi="Arial" w:cs="Arial"/>
          <w:sz w:val="20"/>
          <w:szCs w:val="20"/>
        </w:rPr>
      </w:pPr>
      <w:r w:rsidRPr="00D775C2">
        <w:rPr>
          <w:rFonts w:ascii="Arial" w:hAnsi="Arial" w:cs="Arial"/>
          <w:sz w:val="20"/>
          <w:szCs w:val="20"/>
        </w:rPr>
        <w:t xml:space="preserve">Figure </w:t>
      </w:r>
      <w:r w:rsidR="00053D5C">
        <w:rPr>
          <w:rFonts w:ascii="Arial" w:hAnsi="Arial" w:cs="Arial"/>
          <w:sz w:val="20"/>
          <w:szCs w:val="20"/>
        </w:rPr>
        <w:t>3</w:t>
      </w:r>
      <w:r w:rsidRPr="00D775C2">
        <w:rPr>
          <w:rFonts w:ascii="Arial" w:hAnsi="Arial" w:cs="Arial"/>
          <w:sz w:val="20"/>
          <w:szCs w:val="20"/>
        </w:rPr>
        <w:t xml:space="preserve"> </w:t>
      </w:r>
      <w:r w:rsidR="00A1075A" w:rsidRPr="00D775C2">
        <w:rPr>
          <w:rFonts w:ascii="Arial" w:hAnsi="Arial" w:cs="Arial"/>
          <w:sz w:val="20"/>
          <w:szCs w:val="20"/>
        </w:rPr>
        <w:t xml:space="preserve">of </w:t>
      </w:r>
      <w:r w:rsidR="008821BD" w:rsidRPr="00D775C2">
        <w:rPr>
          <w:rFonts w:ascii="Arial" w:hAnsi="Arial" w:cs="Arial"/>
          <w:sz w:val="20"/>
          <w:szCs w:val="20"/>
        </w:rPr>
        <w:t>the Physical</w:t>
      </w:r>
      <w:r w:rsidR="00AE3892" w:rsidRPr="00D775C2">
        <w:rPr>
          <w:rFonts w:ascii="Arial" w:hAnsi="Arial" w:cs="Arial"/>
          <w:sz w:val="20"/>
          <w:szCs w:val="20"/>
        </w:rPr>
        <w:t xml:space="preserve"> Activity illustrates the distribution of physical activity levels—</w:t>
      </w:r>
      <w:r w:rsidR="00B24959" w:rsidRPr="00D775C2">
        <w:rPr>
          <w:rFonts w:ascii="Arial" w:hAnsi="Arial" w:cs="Arial"/>
          <w:sz w:val="20"/>
          <w:szCs w:val="20"/>
        </w:rPr>
        <w:t>sedentary</w:t>
      </w:r>
      <w:r w:rsidR="00E35601" w:rsidRPr="00D775C2">
        <w:rPr>
          <w:rFonts w:ascii="Arial" w:hAnsi="Arial" w:cs="Arial"/>
          <w:sz w:val="20"/>
          <w:szCs w:val="20"/>
        </w:rPr>
        <w:t xml:space="preserve">, </w:t>
      </w:r>
      <w:r w:rsidR="00B24959" w:rsidRPr="00D775C2">
        <w:rPr>
          <w:rFonts w:ascii="Arial" w:hAnsi="Arial" w:cs="Arial"/>
          <w:sz w:val="20"/>
          <w:szCs w:val="20"/>
        </w:rPr>
        <w:t>moderate,</w:t>
      </w:r>
      <w:r w:rsidR="00E35601" w:rsidRPr="00D775C2">
        <w:rPr>
          <w:rFonts w:ascii="Arial" w:hAnsi="Arial" w:cs="Arial"/>
          <w:sz w:val="20"/>
          <w:szCs w:val="20"/>
        </w:rPr>
        <w:t xml:space="preserve"> and </w:t>
      </w:r>
      <w:r w:rsidR="00B24959" w:rsidRPr="00D775C2">
        <w:rPr>
          <w:rFonts w:ascii="Arial" w:hAnsi="Arial" w:cs="Arial"/>
          <w:sz w:val="20"/>
          <w:szCs w:val="20"/>
        </w:rPr>
        <w:t>heavy</w:t>
      </w:r>
      <w:r w:rsidR="00E35601" w:rsidRPr="00D775C2">
        <w:rPr>
          <w:rFonts w:ascii="Arial" w:hAnsi="Arial" w:cs="Arial"/>
          <w:sz w:val="20"/>
          <w:szCs w:val="20"/>
        </w:rPr>
        <w:t xml:space="preserve"> worker</w:t>
      </w:r>
      <w:r w:rsidR="00AE3892" w:rsidRPr="00D775C2">
        <w:rPr>
          <w:rFonts w:ascii="Arial" w:hAnsi="Arial" w:cs="Arial"/>
          <w:sz w:val="20"/>
          <w:szCs w:val="20"/>
        </w:rPr>
        <w:t xml:space="preserve">—among </w:t>
      </w:r>
      <w:r w:rsidR="00B24959" w:rsidRPr="00D775C2">
        <w:rPr>
          <w:rFonts w:ascii="Arial" w:hAnsi="Arial" w:cs="Arial"/>
          <w:sz w:val="20"/>
          <w:szCs w:val="20"/>
        </w:rPr>
        <w:t>males and</w:t>
      </w:r>
      <w:r w:rsidR="00AE3892" w:rsidRPr="00D775C2">
        <w:rPr>
          <w:rFonts w:ascii="Arial" w:hAnsi="Arial" w:cs="Arial"/>
          <w:sz w:val="20"/>
          <w:szCs w:val="20"/>
        </w:rPr>
        <w:t xml:space="preserve"> females</w:t>
      </w:r>
      <w:r w:rsidR="00E35601" w:rsidRPr="00D775C2">
        <w:rPr>
          <w:rFonts w:ascii="Arial" w:hAnsi="Arial" w:cs="Arial"/>
          <w:sz w:val="20"/>
          <w:szCs w:val="20"/>
        </w:rPr>
        <w:t>.</w:t>
      </w:r>
    </w:p>
    <w:p w14:paraId="7082816D" w14:textId="371FFD40" w:rsidR="00AE3892" w:rsidRPr="00D775C2" w:rsidRDefault="00AE3892" w:rsidP="00EB4E3E">
      <w:pPr>
        <w:spacing w:line="240" w:lineRule="auto"/>
        <w:jc w:val="both"/>
        <w:rPr>
          <w:rFonts w:ascii="Arial" w:hAnsi="Arial" w:cs="Arial"/>
          <w:sz w:val="20"/>
          <w:szCs w:val="20"/>
        </w:rPr>
      </w:pPr>
      <w:r w:rsidRPr="00D775C2">
        <w:rPr>
          <w:rFonts w:ascii="Arial" w:hAnsi="Arial" w:cs="Arial"/>
          <w:sz w:val="20"/>
          <w:szCs w:val="20"/>
        </w:rPr>
        <w:t xml:space="preserve">In the </w:t>
      </w:r>
      <w:r w:rsidR="00344122" w:rsidRPr="00D775C2">
        <w:rPr>
          <w:rFonts w:ascii="Arial" w:hAnsi="Arial" w:cs="Arial"/>
          <w:sz w:val="20"/>
          <w:szCs w:val="20"/>
        </w:rPr>
        <w:t>sedentary</w:t>
      </w:r>
      <w:r w:rsidRPr="00D775C2">
        <w:rPr>
          <w:rFonts w:ascii="Arial" w:hAnsi="Arial" w:cs="Arial"/>
          <w:sz w:val="20"/>
          <w:szCs w:val="20"/>
        </w:rPr>
        <w:t xml:space="preserve"> activity category, 30% of males and 27.5% of females fall into this group, resulting in an overall total of 28.8%. The </w:t>
      </w:r>
      <w:r w:rsidR="00B24959" w:rsidRPr="00D775C2">
        <w:rPr>
          <w:rFonts w:ascii="Arial" w:hAnsi="Arial" w:cs="Arial"/>
          <w:sz w:val="20"/>
          <w:szCs w:val="20"/>
        </w:rPr>
        <w:t>moderate</w:t>
      </w:r>
      <w:r w:rsidRPr="00D775C2">
        <w:rPr>
          <w:rFonts w:ascii="Arial" w:hAnsi="Arial" w:cs="Arial"/>
          <w:sz w:val="20"/>
          <w:szCs w:val="20"/>
        </w:rPr>
        <w:t xml:space="preserve"> activity level is the most prevalent among all groups, with 55.4% of males, 54.2% of females, and a total of 54.8% of the population engaging at this level. Lastly, the </w:t>
      </w:r>
      <w:r w:rsidR="00B24959" w:rsidRPr="00D775C2">
        <w:rPr>
          <w:rFonts w:ascii="Arial" w:hAnsi="Arial" w:cs="Arial"/>
          <w:sz w:val="20"/>
          <w:szCs w:val="20"/>
        </w:rPr>
        <w:t>heavy</w:t>
      </w:r>
      <w:r w:rsidRPr="00D775C2">
        <w:rPr>
          <w:rFonts w:ascii="Arial" w:hAnsi="Arial" w:cs="Arial"/>
          <w:sz w:val="20"/>
          <w:szCs w:val="20"/>
        </w:rPr>
        <w:t xml:space="preserve"> activity level is the least common, accounting for only 14.6% of males and 18.3% of females, leading to a total of 16.4%.</w:t>
      </w:r>
    </w:p>
    <w:p w14:paraId="59AC2D08" w14:textId="1C361063" w:rsidR="00AE3892" w:rsidRPr="00D775C2" w:rsidRDefault="00AE3892" w:rsidP="00EB4E3E">
      <w:pPr>
        <w:spacing w:line="240" w:lineRule="auto"/>
        <w:jc w:val="both"/>
        <w:rPr>
          <w:rFonts w:ascii="Arial" w:hAnsi="Arial" w:cs="Arial"/>
          <w:sz w:val="20"/>
          <w:szCs w:val="20"/>
        </w:rPr>
      </w:pPr>
      <w:r w:rsidRPr="00D775C2">
        <w:rPr>
          <w:rFonts w:ascii="Arial" w:hAnsi="Arial" w:cs="Arial"/>
          <w:sz w:val="20"/>
          <w:szCs w:val="20"/>
        </w:rPr>
        <w:t>Overall, the chart indicates that the majority of both males and females engage in m</w:t>
      </w:r>
      <w:r w:rsidR="0019429E" w:rsidRPr="00D775C2">
        <w:rPr>
          <w:rFonts w:ascii="Arial" w:hAnsi="Arial" w:cs="Arial"/>
          <w:sz w:val="20"/>
          <w:szCs w:val="20"/>
        </w:rPr>
        <w:t>oderate</w:t>
      </w:r>
      <w:r w:rsidRPr="00D775C2">
        <w:rPr>
          <w:rFonts w:ascii="Arial" w:hAnsi="Arial" w:cs="Arial"/>
          <w:sz w:val="20"/>
          <w:szCs w:val="20"/>
        </w:rPr>
        <w:t xml:space="preserve"> levels of physical activity, with fewer individuals at either </w:t>
      </w:r>
      <w:r w:rsidR="00D647A4" w:rsidRPr="00D775C2">
        <w:rPr>
          <w:rFonts w:ascii="Arial" w:hAnsi="Arial" w:cs="Arial"/>
          <w:sz w:val="20"/>
          <w:szCs w:val="20"/>
        </w:rPr>
        <w:t xml:space="preserve">extreme </w:t>
      </w:r>
      <w:r w:rsidRPr="00D775C2">
        <w:rPr>
          <w:rFonts w:ascii="Arial" w:hAnsi="Arial" w:cs="Arial"/>
          <w:sz w:val="20"/>
          <w:szCs w:val="20"/>
        </w:rPr>
        <w:t>and a slightly higher percentage of females participating in h</w:t>
      </w:r>
      <w:r w:rsidR="0019429E" w:rsidRPr="00D775C2">
        <w:rPr>
          <w:rFonts w:ascii="Arial" w:hAnsi="Arial" w:cs="Arial"/>
          <w:sz w:val="20"/>
          <w:szCs w:val="20"/>
        </w:rPr>
        <w:t>eavy</w:t>
      </w:r>
      <w:r w:rsidRPr="00D775C2">
        <w:rPr>
          <w:rFonts w:ascii="Arial" w:hAnsi="Arial" w:cs="Arial"/>
          <w:sz w:val="20"/>
          <w:szCs w:val="20"/>
        </w:rPr>
        <w:t xml:space="preserve"> levels of activity compared to males</w:t>
      </w:r>
      <w:r w:rsidR="00A1075A" w:rsidRPr="00D775C2">
        <w:rPr>
          <w:rFonts w:ascii="Arial" w:hAnsi="Arial" w:cs="Arial"/>
          <w:sz w:val="20"/>
          <w:szCs w:val="20"/>
        </w:rPr>
        <w:t>.</w:t>
      </w:r>
    </w:p>
    <w:p w14:paraId="10B5240A" w14:textId="4272D9F5" w:rsidR="005B3BA0" w:rsidRPr="00D775C2" w:rsidRDefault="0071250E" w:rsidP="00EB4E3E">
      <w:pPr>
        <w:spacing w:line="240" w:lineRule="auto"/>
        <w:jc w:val="both"/>
        <w:rPr>
          <w:rFonts w:ascii="Arial" w:hAnsi="Arial" w:cs="Arial"/>
          <w:b/>
          <w:bCs/>
          <w:sz w:val="20"/>
          <w:szCs w:val="20"/>
        </w:rPr>
      </w:pPr>
      <w:r w:rsidRPr="00D775C2">
        <w:rPr>
          <w:rFonts w:ascii="Arial" w:hAnsi="Arial" w:cs="Arial"/>
          <w:b/>
          <w:bCs/>
          <w:sz w:val="20"/>
          <w:szCs w:val="20"/>
        </w:rPr>
        <w:t xml:space="preserve">Table 4: </w:t>
      </w:r>
      <w:r w:rsidR="00F77A58" w:rsidRPr="00D775C2">
        <w:rPr>
          <w:rFonts w:ascii="Arial" w:hAnsi="Arial" w:cs="Arial"/>
          <w:b/>
          <w:bCs/>
          <w:sz w:val="20"/>
          <w:szCs w:val="20"/>
        </w:rPr>
        <w:t>Cross Tabulation of</w:t>
      </w:r>
      <w:r w:rsidRPr="00D775C2">
        <w:rPr>
          <w:rFonts w:ascii="Arial" w:hAnsi="Arial" w:cs="Arial"/>
          <w:b/>
          <w:bCs/>
          <w:sz w:val="20"/>
          <w:szCs w:val="20"/>
        </w:rPr>
        <w:t xml:space="preserve"> </w:t>
      </w:r>
      <w:r w:rsidR="00BC62A0" w:rsidRPr="00D775C2">
        <w:rPr>
          <w:rFonts w:ascii="Arial" w:hAnsi="Arial" w:cs="Arial"/>
          <w:b/>
          <w:bCs/>
          <w:sz w:val="20"/>
          <w:szCs w:val="20"/>
        </w:rPr>
        <w:t xml:space="preserve">Lifestyle </w:t>
      </w:r>
      <w:r w:rsidR="006521B4" w:rsidRPr="00D775C2">
        <w:rPr>
          <w:rFonts w:ascii="Arial" w:hAnsi="Arial" w:cs="Arial"/>
          <w:b/>
          <w:bCs/>
          <w:sz w:val="20"/>
          <w:szCs w:val="20"/>
        </w:rPr>
        <w:t>Habits</w:t>
      </w:r>
      <w:r w:rsidR="00BC62A0" w:rsidRPr="00D775C2">
        <w:rPr>
          <w:rFonts w:ascii="Arial" w:hAnsi="Arial" w:cs="Arial"/>
          <w:b/>
          <w:bCs/>
          <w:sz w:val="20"/>
          <w:szCs w:val="20"/>
        </w:rPr>
        <w:t xml:space="preserve">, </w:t>
      </w:r>
      <w:r w:rsidR="00D647A4" w:rsidRPr="00D775C2">
        <w:rPr>
          <w:rFonts w:ascii="Arial" w:hAnsi="Arial" w:cs="Arial"/>
          <w:b/>
          <w:bCs/>
          <w:sz w:val="20"/>
          <w:szCs w:val="20"/>
        </w:rPr>
        <w:t>Sociodemographic</w:t>
      </w:r>
      <w:r w:rsidR="00C14ACE" w:rsidRPr="00D775C2">
        <w:rPr>
          <w:rFonts w:ascii="Arial" w:hAnsi="Arial" w:cs="Arial"/>
          <w:b/>
          <w:bCs/>
          <w:sz w:val="20"/>
          <w:szCs w:val="20"/>
        </w:rPr>
        <w:t xml:space="preserve"> </w:t>
      </w:r>
      <w:r w:rsidR="00D647A4" w:rsidRPr="00D775C2">
        <w:rPr>
          <w:rFonts w:ascii="Arial" w:hAnsi="Arial" w:cs="Arial"/>
          <w:b/>
          <w:bCs/>
          <w:sz w:val="20"/>
          <w:szCs w:val="20"/>
        </w:rPr>
        <w:t>Characteristics</w:t>
      </w:r>
      <w:r w:rsidR="00C14ACE" w:rsidRPr="00D775C2">
        <w:rPr>
          <w:rFonts w:ascii="Arial" w:hAnsi="Arial" w:cs="Arial"/>
          <w:b/>
          <w:bCs/>
          <w:sz w:val="20"/>
          <w:szCs w:val="20"/>
        </w:rPr>
        <w:t>,</w:t>
      </w:r>
      <w:r w:rsidR="005C3AB3" w:rsidRPr="00D775C2">
        <w:rPr>
          <w:rFonts w:ascii="Arial" w:hAnsi="Arial" w:cs="Arial"/>
          <w:b/>
          <w:bCs/>
          <w:sz w:val="20"/>
          <w:szCs w:val="20"/>
        </w:rPr>
        <w:t xml:space="preserve"> WHR,</w:t>
      </w:r>
      <w:r w:rsidR="00C14ACE" w:rsidRPr="00D775C2">
        <w:rPr>
          <w:rFonts w:ascii="Arial" w:hAnsi="Arial" w:cs="Arial"/>
          <w:b/>
          <w:bCs/>
          <w:sz w:val="20"/>
          <w:szCs w:val="20"/>
        </w:rPr>
        <w:t xml:space="preserve"> and </w:t>
      </w:r>
      <w:r w:rsidR="00D647A4" w:rsidRPr="00D775C2">
        <w:rPr>
          <w:rFonts w:ascii="Arial" w:hAnsi="Arial" w:cs="Arial"/>
          <w:b/>
          <w:bCs/>
          <w:sz w:val="20"/>
          <w:szCs w:val="20"/>
        </w:rPr>
        <w:t>Socioeconomic Status</w:t>
      </w:r>
      <w:r w:rsidR="00C14ACE" w:rsidRPr="00D775C2">
        <w:rPr>
          <w:rFonts w:ascii="Arial" w:hAnsi="Arial" w:cs="Arial"/>
          <w:b/>
          <w:bCs/>
          <w:sz w:val="20"/>
          <w:szCs w:val="20"/>
        </w:rPr>
        <w:t xml:space="preserve"> </w:t>
      </w:r>
      <w:r w:rsidR="001C279A" w:rsidRPr="00D775C2">
        <w:rPr>
          <w:rFonts w:ascii="Arial" w:hAnsi="Arial" w:cs="Arial"/>
          <w:b/>
          <w:bCs/>
          <w:sz w:val="20"/>
          <w:szCs w:val="20"/>
        </w:rPr>
        <w:t>with BMI</w:t>
      </w:r>
      <w:r w:rsidR="00D512FD" w:rsidRPr="00D775C2">
        <w:rPr>
          <w:rFonts w:ascii="Arial" w:hAnsi="Arial" w:cs="Arial"/>
          <w:b/>
          <w:bCs/>
          <w:sz w:val="20"/>
          <w:szCs w:val="20"/>
        </w:rPr>
        <w:t xml:space="preserve"> of the Diabetic </w:t>
      </w:r>
      <w:r w:rsidR="00D647A4" w:rsidRPr="00D775C2">
        <w:rPr>
          <w:rFonts w:ascii="Arial" w:hAnsi="Arial" w:cs="Arial"/>
          <w:b/>
          <w:bCs/>
          <w:sz w:val="20"/>
          <w:szCs w:val="20"/>
        </w:rPr>
        <w:t>Patients</w:t>
      </w:r>
      <w:r w:rsidR="00082A80" w:rsidRPr="00D775C2">
        <w:rPr>
          <w:rFonts w:ascii="Arial" w:hAnsi="Arial" w:cs="Arial"/>
          <w:b/>
          <w:bCs/>
          <w:sz w:val="20"/>
          <w:szCs w:val="20"/>
        </w:rPr>
        <w:t>.</w:t>
      </w:r>
    </w:p>
    <w:tbl>
      <w:tblPr>
        <w:tblStyle w:val="GridTable6Colorful"/>
        <w:tblW w:w="0" w:type="auto"/>
        <w:jc w:val="center"/>
        <w:tblLook w:val="04A0" w:firstRow="1" w:lastRow="0" w:firstColumn="1" w:lastColumn="0" w:noHBand="0" w:noVBand="1"/>
      </w:tblPr>
      <w:tblGrid>
        <w:gridCol w:w="3539"/>
        <w:gridCol w:w="2471"/>
      </w:tblGrid>
      <w:tr w:rsidR="008D3635" w:rsidRPr="00D775C2" w14:paraId="2F64681B" w14:textId="77777777" w:rsidTr="00FD2A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4A2D5FD4" w14:textId="0B1AF41B" w:rsidR="008D3635" w:rsidRPr="00D775C2" w:rsidRDefault="008D3635" w:rsidP="00EB4E3E">
            <w:pPr>
              <w:jc w:val="center"/>
              <w:rPr>
                <w:rFonts w:ascii="Arial" w:hAnsi="Arial" w:cs="Arial"/>
                <w:b w:val="0"/>
                <w:bCs w:val="0"/>
                <w:sz w:val="20"/>
                <w:szCs w:val="20"/>
              </w:rPr>
            </w:pPr>
            <w:r w:rsidRPr="00D775C2">
              <w:rPr>
                <w:rFonts w:ascii="Arial" w:hAnsi="Arial" w:cs="Arial"/>
                <w:sz w:val="20"/>
                <w:szCs w:val="20"/>
              </w:rPr>
              <w:t>VARIABLES</w:t>
            </w:r>
          </w:p>
        </w:tc>
        <w:tc>
          <w:tcPr>
            <w:tcW w:w="2471" w:type="dxa"/>
          </w:tcPr>
          <w:p w14:paraId="49C21F9B" w14:textId="00AA290C" w:rsidR="008D3635" w:rsidRPr="00D775C2" w:rsidRDefault="00AD7EF0" w:rsidP="00EB4E3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P</w:t>
            </w:r>
            <w:r w:rsidR="008D3635" w:rsidRPr="00D775C2">
              <w:rPr>
                <w:rFonts w:ascii="Arial" w:hAnsi="Arial" w:cs="Arial"/>
                <w:sz w:val="20"/>
                <w:szCs w:val="20"/>
              </w:rPr>
              <w:t>-value</w:t>
            </w:r>
          </w:p>
        </w:tc>
      </w:tr>
      <w:tr w:rsidR="008D3635" w:rsidRPr="00D775C2" w14:paraId="500A6F76"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70834678" w14:textId="5B05EC04"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LIFESTYLE HABITS</w:t>
            </w:r>
          </w:p>
        </w:tc>
        <w:tc>
          <w:tcPr>
            <w:tcW w:w="2471" w:type="dxa"/>
          </w:tcPr>
          <w:p w14:paraId="77335424" w14:textId="77777777"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8D3635" w:rsidRPr="00D775C2" w14:paraId="41CA8DB6" w14:textId="77777777" w:rsidTr="00FD2A75">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3B62D5A3" w14:textId="5E4923B9"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SMOKING</w:t>
            </w:r>
          </w:p>
        </w:tc>
        <w:tc>
          <w:tcPr>
            <w:tcW w:w="2471" w:type="dxa"/>
          </w:tcPr>
          <w:p w14:paraId="59AAAAE6" w14:textId="2D2BAB2E" w:rsidR="008D3635" w:rsidRPr="00D775C2" w:rsidRDefault="008D3635" w:rsidP="00EB4E3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5C2">
              <w:rPr>
                <w:rFonts w:ascii="Arial" w:hAnsi="Arial" w:cs="Arial"/>
                <w:sz w:val="20"/>
                <w:szCs w:val="20"/>
              </w:rPr>
              <w:t>0.720</w:t>
            </w:r>
          </w:p>
        </w:tc>
      </w:tr>
      <w:tr w:rsidR="008D3635" w:rsidRPr="00D775C2" w14:paraId="5263577B"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12AB5B95" w14:textId="3AF6F64F"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TOBACCO</w:t>
            </w:r>
          </w:p>
        </w:tc>
        <w:tc>
          <w:tcPr>
            <w:tcW w:w="2471" w:type="dxa"/>
          </w:tcPr>
          <w:p w14:paraId="52E51C26" w14:textId="51A27F22"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5C2">
              <w:rPr>
                <w:rFonts w:ascii="Arial" w:hAnsi="Arial" w:cs="Arial"/>
                <w:sz w:val="20"/>
                <w:szCs w:val="20"/>
              </w:rPr>
              <w:t>0.679</w:t>
            </w:r>
          </w:p>
        </w:tc>
      </w:tr>
      <w:tr w:rsidR="008D3635" w:rsidRPr="00D775C2" w14:paraId="3D16B8D0" w14:textId="77777777" w:rsidTr="00FD2A75">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481FF3A2" w14:textId="3F14D6A8"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ALCOHAL</w:t>
            </w:r>
          </w:p>
        </w:tc>
        <w:tc>
          <w:tcPr>
            <w:tcW w:w="2471" w:type="dxa"/>
          </w:tcPr>
          <w:p w14:paraId="0CD2618D" w14:textId="6E01B5B4" w:rsidR="008D3635" w:rsidRPr="00D775C2" w:rsidRDefault="008D3635" w:rsidP="00EB4E3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5C2">
              <w:rPr>
                <w:rFonts w:ascii="Arial" w:hAnsi="Arial" w:cs="Arial"/>
                <w:sz w:val="20"/>
                <w:szCs w:val="20"/>
              </w:rPr>
              <w:t>0.208</w:t>
            </w:r>
          </w:p>
        </w:tc>
      </w:tr>
      <w:tr w:rsidR="008D3635" w:rsidRPr="00D775C2" w14:paraId="623ABC11"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2BBCD982" w14:textId="410B1449"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FOOD HABITS</w:t>
            </w:r>
          </w:p>
        </w:tc>
        <w:tc>
          <w:tcPr>
            <w:tcW w:w="2471" w:type="dxa"/>
          </w:tcPr>
          <w:p w14:paraId="06F110D2" w14:textId="39010E01"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5C2">
              <w:rPr>
                <w:rFonts w:ascii="Arial" w:hAnsi="Arial" w:cs="Arial"/>
                <w:sz w:val="20"/>
                <w:szCs w:val="20"/>
              </w:rPr>
              <w:t>0.122</w:t>
            </w:r>
          </w:p>
        </w:tc>
      </w:tr>
      <w:tr w:rsidR="008D3635" w:rsidRPr="00D775C2" w14:paraId="5855AB37" w14:textId="77777777" w:rsidTr="00FD2A75">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46E73E20" w14:textId="0E924EF3"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PHYSICAL ACTIVITY</w:t>
            </w:r>
          </w:p>
        </w:tc>
        <w:tc>
          <w:tcPr>
            <w:tcW w:w="2471" w:type="dxa"/>
          </w:tcPr>
          <w:p w14:paraId="30472C37" w14:textId="5A034EF0" w:rsidR="008D3635" w:rsidRPr="00D775C2" w:rsidRDefault="008D3635" w:rsidP="00EB4E3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5C2">
              <w:rPr>
                <w:rFonts w:ascii="Arial" w:hAnsi="Arial" w:cs="Arial"/>
                <w:sz w:val="20"/>
                <w:szCs w:val="20"/>
              </w:rPr>
              <w:t>0.002</w:t>
            </w:r>
          </w:p>
        </w:tc>
      </w:tr>
      <w:tr w:rsidR="008D3635" w:rsidRPr="00D775C2" w14:paraId="5FA5F25A"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6DB97869" w14:textId="20239C34"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AGE</w:t>
            </w:r>
          </w:p>
        </w:tc>
        <w:tc>
          <w:tcPr>
            <w:tcW w:w="2471" w:type="dxa"/>
          </w:tcPr>
          <w:p w14:paraId="7F4D3865" w14:textId="33644137"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5C2">
              <w:rPr>
                <w:rFonts w:ascii="Arial" w:hAnsi="Arial" w:cs="Arial"/>
                <w:sz w:val="20"/>
                <w:szCs w:val="20"/>
              </w:rPr>
              <w:t>0.092</w:t>
            </w:r>
          </w:p>
        </w:tc>
      </w:tr>
      <w:tr w:rsidR="008D3635" w:rsidRPr="00D775C2" w14:paraId="3B2436FD" w14:textId="77777777" w:rsidTr="00FD2A75">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6F59D860" w14:textId="12F1B29A"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GENDER</w:t>
            </w:r>
          </w:p>
        </w:tc>
        <w:tc>
          <w:tcPr>
            <w:tcW w:w="2471" w:type="dxa"/>
          </w:tcPr>
          <w:p w14:paraId="64CEC87F" w14:textId="06F34E58" w:rsidR="008D3635" w:rsidRPr="00D775C2" w:rsidRDefault="008D3635" w:rsidP="00EB4E3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5C2">
              <w:rPr>
                <w:rFonts w:ascii="Arial" w:hAnsi="Arial" w:cs="Arial"/>
                <w:sz w:val="20"/>
                <w:szCs w:val="20"/>
              </w:rPr>
              <w:t>0.001</w:t>
            </w:r>
          </w:p>
        </w:tc>
      </w:tr>
      <w:tr w:rsidR="008D3635" w:rsidRPr="00D775C2" w14:paraId="711C6A3A"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6DF882FC" w14:textId="29D5658B"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MARITAL STATUS</w:t>
            </w:r>
          </w:p>
        </w:tc>
        <w:tc>
          <w:tcPr>
            <w:tcW w:w="2471" w:type="dxa"/>
          </w:tcPr>
          <w:p w14:paraId="71C5F02F" w14:textId="527FD725"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5C2">
              <w:rPr>
                <w:rFonts w:ascii="Arial" w:hAnsi="Arial" w:cs="Arial"/>
                <w:sz w:val="20"/>
                <w:szCs w:val="20"/>
              </w:rPr>
              <w:t>0.798</w:t>
            </w:r>
          </w:p>
        </w:tc>
      </w:tr>
      <w:tr w:rsidR="008D3635" w:rsidRPr="00D775C2" w14:paraId="73E3A7B5" w14:textId="77777777" w:rsidTr="00FD2A75">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69632500" w14:textId="4E2041A9"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WHR</w:t>
            </w:r>
          </w:p>
        </w:tc>
        <w:tc>
          <w:tcPr>
            <w:tcW w:w="2471" w:type="dxa"/>
          </w:tcPr>
          <w:p w14:paraId="1B8F5EB3" w14:textId="53521242" w:rsidR="008D3635" w:rsidRPr="00D775C2" w:rsidRDefault="008D3635" w:rsidP="00EB4E3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5C2">
              <w:rPr>
                <w:rFonts w:ascii="Arial" w:hAnsi="Arial" w:cs="Arial"/>
                <w:sz w:val="20"/>
                <w:szCs w:val="20"/>
              </w:rPr>
              <w:t>0.000</w:t>
            </w:r>
          </w:p>
        </w:tc>
      </w:tr>
      <w:tr w:rsidR="008D3635" w:rsidRPr="00D775C2" w14:paraId="1C62EDE0"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118EA64B" w14:textId="4AF80A8A"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SOCIO-ECONOMIC STATUS</w:t>
            </w:r>
          </w:p>
        </w:tc>
        <w:tc>
          <w:tcPr>
            <w:tcW w:w="2471" w:type="dxa"/>
          </w:tcPr>
          <w:p w14:paraId="288E5008" w14:textId="1A546947"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5C2">
              <w:rPr>
                <w:rFonts w:ascii="Arial" w:hAnsi="Arial" w:cs="Arial"/>
                <w:sz w:val="20"/>
                <w:szCs w:val="20"/>
              </w:rPr>
              <w:t>0.619</w:t>
            </w:r>
          </w:p>
        </w:tc>
      </w:tr>
    </w:tbl>
    <w:p w14:paraId="454111E0" w14:textId="0A0EEA1C" w:rsidR="007711A4" w:rsidRPr="00D775C2" w:rsidRDefault="00DE69FE" w:rsidP="00EB4E3E">
      <w:pPr>
        <w:spacing w:line="240" w:lineRule="auto"/>
        <w:jc w:val="both"/>
        <w:rPr>
          <w:rFonts w:ascii="Arial" w:hAnsi="Arial" w:cs="Arial"/>
          <w:sz w:val="20"/>
          <w:szCs w:val="20"/>
        </w:rPr>
      </w:pPr>
      <w:r w:rsidRPr="00D775C2">
        <w:rPr>
          <w:rFonts w:ascii="Arial" w:hAnsi="Arial" w:cs="Arial"/>
          <w:sz w:val="20"/>
          <w:szCs w:val="20"/>
        </w:rPr>
        <w:t>Table 4 shows the</w:t>
      </w:r>
      <w:r w:rsidR="007711A4" w:rsidRPr="00D775C2">
        <w:rPr>
          <w:rFonts w:ascii="Arial" w:hAnsi="Arial" w:cs="Arial"/>
          <w:sz w:val="20"/>
          <w:szCs w:val="20"/>
        </w:rPr>
        <w:t xml:space="preserve"> analysis of variables associated with Body Mass Index (BMI) revealed that physical activity (</w:t>
      </w:r>
      <w:r w:rsidR="00AD7EF0">
        <w:rPr>
          <w:rFonts w:ascii="Arial" w:hAnsi="Arial" w:cs="Arial"/>
          <w:sz w:val="20"/>
          <w:szCs w:val="20"/>
        </w:rPr>
        <w:t>P</w:t>
      </w:r>
      <w:r w:rsidR="007711A4" w:rsidRPr="00D775C2">
        <w:rPr>
          <w:rFonts w:ascii="Arial" w:hAnsi="Arial" w:cs="Arial"/>
          <w:sz w:val="20"/>
          <w:szCs w:val="20"/>
        </w:rPr>
        <w:t xml:space="preserve"> = 0.002), gender (</w:t>
      </w:r>
      <w:r w:rsidR="00AD7EF0">
        <w:rPr>
          <w:rFonts w:ascii="Arial" w:hAnsi="Arial" w:cs="Arial"/>
          <w:sz w:val="20"/>
          <w:szCs w:val="20"/>
        </w:rPr>
        <w:t>P</w:t>
      </w:r>
      <w:r w:rsidR="007711A4" w:rsidRPr="00D775C2">
        <w:rPr>
          <w:rFonts w:ascii="Arial" w:hAnsi="Arial" w:cs="Arial"/>
          <w:sz w:val="20"/>
          <w:szCs w:val="20"/>
        </w:rPr>
        <w:t xml:space="preserve"> = 0.001), and waist-hip ratio (WHR) (</w:t>
      </w:r>
      <w:r w:rsidR="00AD7EF0">
        <w:rPr>
          <w:rFonts w:ascii="Arial" w:hAnsi="Arial" w:cs="Arial"/>
          <w:sz w:val="20"/>
          <w:szCs w:val="20"/>
        </w:rPr>
        <w:t>P</w:t>
      </w:r>
      <w:r w:rsidR="007711A4" w:rsidRPr="00D775C2">
        <w:rPr>
          <w:rFonts w:ascii="Arial" w:hAnsi="Arial" w:cs="Arial"/>
          <w:sz w:val="20"/>
          <w:szCs w:val="20"/>
        </w:rPr>
        <w:t xml:space="preserve"> = 0.000) showed statistically significant associations with BMI. These findings suggest that individuals' engagement in physical activity, </w:t>
      </w:r>
      <w:r w:rsidR="00227939" w:rsidRPr="00D775C2">
        <w:rPr>
          <w:rFonts w:ascii="Arial" w:hAnsi="Arial" w:cs="Arial"/>
          <w:sz w:val="20"/>
          <w:szCs w:val="20"/>
        </w:rPr>
        <w:t>gender</w:t>
      </w:r>
      <w:r w:rsidR="007711A4" w:rsidRPr="00D775C2">
        <w:rPr>
          <w:rFonts w:ascii="Arial" w:hAnsi="Arial" w:cs="Arial"/>
          <w:sz w:val="20"/>
          <w:szCs w:val="20"/>
        </w:rPr>
        <w:t xml:space="preserve">, and body fat distribution are important determinants of BMI. In contrast, other variables such as smoking, tobacco use, alcohol consumption, food habits, age, marital status, and </w:t>
      </w:r>
      <w:r w:rsidR="00B24959" w:rsidRPr="00D775C2">
        <w:rPr>
          <w:rFonts w:ascii="Arial" w:hAnsi="Arial" w:cs="Arial"/>
          <w:sz w:val="20"/>
          <w:szCs w:val="20"/>
        </w:rPr>
        <w:t>socioeconomic</w:t>
      </w:r>
      <w:r w:rsidR="007711A4" w:rsidRPr="00D775C2">
        <w:rPr>
          <w:rFonts w:ascii="Arial" w:hAnsi="Arial" w:cs="Arial"/>
          <w:sz w:val="20"/>
          <w:szCs w:val="20"/>
        </w:rPr>
        <w:t xml:space="preserve"> status did not show significant associations with BMI (</w:t>
      </w:r>
      <w:r w:rsidR="00AD7EF0">
        <w:rPr>
          <w:rFonts w:ascii="Arial" w:hAnsi="Arial" w:cs="Arial"/>
          <w:sz w:val="20"/>
          <w:szCs w:val="20"/>
        </w:rPr>
        <w:t>P</w:t>
      </w:r>
      <w:r w:rsidR="005B42DC" w:rsidRPr="008276B8">
        <w:rPr>
          <w:rFonts w:ascii="Arial" w:hAnsi="Arial" w:cs="Arial"/>
          <w:sz w:val="20"/>
          <w:szCs w:val="20"/>
          <w:u w:val="single"/>
        </w:rPr>
        <w:t>&gt;</w:t>
      </w:r>
      <w:r w:rsidR="007711A4" w:rsidRPr="008276B8">
        <w:rPr>
          <w:rFonts w:ascii="Arial" w:hAnsi="Arial" w:cs="Arial"/>
          <w:sz w:val="20"/>
          <w:szCs w:val="20"/>
        </w:rPr>
        <w:t xml:space="preserve"> </w:t>
      </w:r>
      <w:r w:rsidR="007711A4" w:rsidRPr="00D775C2">
        <w:rPr>
          <w:rFonts w:ascii="Arial" w:hAnsi="Arial" w:cs="Arial"/>
          <w:sz w:val="20"/>
          <w:szCs w:val="20"/>
        </w:rPr>
        <w:t>0.05).</w:t>
      </w:r>
    </w:p>
    <w:p w14:paraId="65782F7A" w14:textId="2D48C824" w:rsidR="00FD2A75" w:rsidRPr="00D775C2" w:rsidRDefault="007711A4" w:rsidP="00EB4E3E">
      <w:pPr>
        <w:spacing w:line="240" w:lineRule="auto"/>
        <w:jc w:val="both"/>
        <w:rPr>
          <w:rFonts w:ascii="Arial" w:hAnsi="Arial" w:cs="Arial"/>
          <w:sz w:val="20"/>
          <w:szCs w:val="20"/>
        </w:rPr>
      </w:pPr>
      <w:r w:rsidRPr="00D775C2">
        <w:rPr>
          <w:rFonts w:ascii="Arial" w:hAnsi="Arial" w:cs="Arial"/>
          <w:sz w:val="20"/>
          <w:szCs w:val="20"/>
        </w:rPr>
        <w:t>For instance, a study published in BMC Public Health confirmed that low levels of physical activity are significantly associated with higher BMI, especially in adults, reinforcing the role of exercise in weight management</w:t>
      </w:r>
      <w:r w:rsidR="0095752F" w:rsidRPr="00D775C2">
        <w:rPr>
          <w:rFonts w:ascii="Arial" w:hAnsi="Arial" w:cs="Arial"/>
          <w:sz w:val="20"/>
          <w:szCs w:val="20"/>
        </w:rPr>
        <w:t xml:space="preserve"> (</w:t>
      </w:r>
      <w:r w:rsidR="0095752F" w:rsidRPr="00D775C2">
        <w:rPr>
          <w:rFonts w:ascii="Arial" w:hAnsi="Arial" w:cs="Arial"/>
          <w:color w:val="000000" w:themeColor="text1"/>
          <w:sz w:val="20"/>
          <w:szCs w:val="20"/>
        </w:rPr>
        <w:t>Gebremariam</w:t>
      </w:r>
      <w:r w:rsidR="00066EAD" w:rsidRPr="00D775C2">
        <w:rPr>
          <w:rFonts w:ascii="Arial" w:hAnsi="Arial" w:cs="Arial"/>
          <w:color w:val="000000" w:themeColor="text1"/>
          <w:sz w:val="20"/>
          <w:szCs w:val="20"/>
        </w:rPr>
        <w:t xml:space="preserve"> et al., 2020</w:t>
      </w:r>
      <w:r w:rsidR="0095752F" w:rsidRPr="00D775C2">
        <w:rPr>
          <w:rFonts w:ascii="Arial" w:hAnsi="Arial" w:cs="Arial"/>
          <w:sz w:val="20"/>
          <w:szCs w:val="20"/>
        </w:rPr>
        <w:t>)</w:t>
      </w:r>
      <w:r w:rsidRPr="00D775C2">
        <w:rPr>
          <w:rFonts w:ascii="Arial" w:hAnsi="Arial" w:cs="Arial"/>
          <w:sz w:val="20"/>
          <w:szCs w:val="20"/>
        </w:rPr>
        <w:t>. Regarding gender, research indicates that males and females differ in fat distribution and muscle mass, which directly influences BMI and its interpretation; for example, women tend to have a higher percentage of body fat at the same BMI compared to men (</w:t>
      </w:r>
      <w:hyperlink r:id="rId10" w:tgtFrame="_new" w:history="1">
        <w:r w:rsidRPr="00D775C2">
          <w:rPr>
            <w:rStyle w:val="Hyperlink"/>
            <w:rFonts w:ascii="Arial" w:hAnsi="Arial" w:cs="Arial"/>
            <w:color w:val="000000" w:themeColor="text1"/>
            <w:sz w:val="20"/>
            <w:szCs w:val="20"/>
            <w:u w:val="none"/>
          </w:rPr>
          <w:t>WHO, 2021</w:t>
        </w:r>
      </w:hyperlink>
      <w:r w:rsidRPr="00D775C2">
        <w:rPr>
          <w:rFonts w:ascii="Arial" w:hAnsi="Arial" w:cs="Arial"/>
          <w:sz w:val="20"/>
          <w:szCs w:val="20"/>
        </w:rPr>
        <w:t>).</w:t>
      </w:r>
    </w:p>
    <w:p w14:paraId="4573FF75" w14:textId="77777777" w:rsidR="00FD2A75" w:rsidRPr="00D775C2" w:rsidRDefault="007711A4" w:rsidP="00EB4E3E">
      <w:pPr>
        <w:spacing w:line="240" w:lineRule="auto"/>
        <w:jc w:val="both"/>
        <w:rPr>
          <w:rFonts w:ascii="Arial" w:hAnsi="Arial" w:cs="Arial"/>
          <w:sz w:val="20"/>
          <w:szCs w:val="20"/>
        </w:rPr>
      </w:pPr>
      <w:r w:rsidRPr="00D775C2">
        <w:rPr>
          <w:rFonts w:ascii="Arial" w:hAnsi="Arial" w:cs="Arial"/>
          <w:sz w:val="20"/>
          <w:szCs w:val="20"/>
        </w:rPr>
        <w:lastRenderedPageBreak/>
        <w:t>Waist-hip ratio (WHR), a measure of central obesity, has been shown to be a more accurate predictor of health risks than BMI. A study in the Journal of Clinical Endocrinology &amp; Metabolism highlighted that WHR is strongly linked to increased cardiometabolic risks and is often more predictive of such outcomes than BMI, underlining its importance in assessing obesity and related conditions (</w:t>
      </w:r>
      <w:r w:rsidR="00BD725E" w:rsidRPr="00D775C2">
        <w:rPr>
          <w:rFonts w:ascii="Arial" w:hAnsi="Arial" w:cs="Arial"/>
          <w:color w:val="000000" w:themeColor="text1"/>
          <w:sz w:val="20"/>
          <w:szCs w:val="20"/>
        </w:rPr>
        <w:t>Ashwell</w:t>
      </w:r>
      <w:r w:rsidRPr="00D775C2">
        <w:rPr>
          <w:rFonts w:ascii="Arial" w:hAnsi="Arial" w:cs="Arial"/>
          <w:sz w:val="20"/>
          <w:szCs w:val="20"/>
        </w:rPr>
        <w:t>, 201</w:t>
      </w:r>
      <w:r w:rsidR="00BD725E" w:rsidRPr="00D775C2">
        <w:rPr>
          <w:rFonts w:ascii="Arial" w:hAnsi="Arial" w:cs="Arial"/>
          <w:sz w:val="20"/>
          <w:szCs w:val="20"/>
        </w:rPr>
        <w:t>6</w:t>
      </w:r>
      <w:r w:rsidRPr="00D775C2">
        <w:rPr>
          <w:rFonts w:ascii="Arial" w:hAnsi="Arial" w:cs="Arial"/>
          <w:sz w:val="20"/>
          <w:szCs w:val="20"/>
        </w:rPr>
        <w:t>).</w:t>
      </w:r>
      <w:r w:rsidR="00DA64E7" w:rsidRPr="00D775C2">
        <w:rPr>
          <w:rFonts w:ascii="Arial" w:hAnsi="Arial" w:cs="Arial"/>
          <w:sz w:val="20"/>
          <w:szCs w:val="20"/>
        </w:rPr>
        <w:t xml:space="preserve"> </w:t>
      </w:r>
    </w:p>
    <w:p w14:paraId="3C16AEA5" w14:textId="6659E5A7" w:rsidR="007711A4" w:rsidRPr="00D775C2" w:rsidRDefault="00650434" w:rsidP="00EB4E3E">
      <w:pPr>
        <w:spacing w:line="240" w:lineRule="auto"/>
        <w:jc w:val="both"/>
        <w:rPr>
          <w:rFonts w:ascii="Arial" w:hAnsi="Arial" w:cs="Arial"/>
          <w:sz w:val="20"/>
          <w:szCs w:val="20"/>
        </w:rPr>
      </w:pPr>
      <w:r w:rsidRPr="00D775C2">
        <w:rPr>
          <w:rFonts w:ascii="Arial" w:hAnsi="Arial" w:cs="Arial"/>
          <w:sz w:val="20"/>
          <w:szCs w:val="20"/>
        </w:rPr>
        <w:t xml:space="preserve">The findings of this analysis are consistent with existing scientific evidence highlighting the significant roles that physical activity, gender, and waist-hip ratio (WHR) play in influencing </w:t>
      </w:r>
      <w:r w:rsidR="00B24959" w:rsidRPr="00D775C2">
        <w:rPr>
          <w:rFonts w:ascii="Arial" w:hAnsi="Arial" w:cs="Arial"/>
          <w:sz w:val="20"/>
          <w:szCs w:val="20"/>
        </w:rPr>
        <w:t>body mass index</w:t>
      </w:r>
      <w:r w:rsidRPr="00D775C2">
        <w:rPr>
          <w:rFonts w:ascii="Arial" w:hAnsi="Arial" w:cs="Arial"/>
          <w:sz w:val="20"/>
          <w:szCs w:val="20"/>
        </w:rPr>
        <w:t xml:space="preserve"> (BMI). These variables are not only statistically significant in this study but are also widely acknowledged in the literature as key determinants of body composition and weight status.</w:t>
      </w:r>
    </w:p>
    <w:p w14:paraId="61151841" w14:textId="0A72F356" w:rsidR="00ED2FC2" w:rsidRPr="00D775C2" w:rsidRDefault="00F57A53" w:rsidP="000B48EA">
      <w:pPr>
        <w:pStyle w:val="ListParagraph"/>
        <w:numPr>
          <w:ilvl w:val="0"/>
          <w:numId w:val="23"/>
        </w:numPr>
        <w:spacing w:line="240" w:lineRule="auto"/>
        <w:ind w:left="426"/>
        <w:jc w:val="both"/>
        <w:rPr>
          <w:rFonts w:ascii="Arial" w:hAnsi="Arial" w:cs="Arial"/>
          <w:b/>
          <w:bCs/>
          <w:sz w:val="22"/>
        </w:rPr>
      </w:pPr>
      <w:r w:rsidRPr="00D775C2">
        <w:rPr>
          <w:rFonts w:ascii="Arial" w:hAnsi="Arial" w:cs="Arial"/>
          <w:b/>
          <w:bCs/>
          <w:sz w:val="22"/>
        </w:rPr>
        <w:t>CONCLUSION</w:t>
      </w:r>
    </w:p>
    <w:p w14:paraId="1F67E4DE" w14:textId="53BA8D83" w:rsidR="00ED2FC2" w:rsidRPr="00D775C2" w:rsidRDefault="00686ABA" w:rsidP="00EB4E3E">
      <w:pPr>
        <w:spacing w:line="240" w:lineRule="auto"/>
        <w:jc w:val="both"/>
        <w:rPr>
          <w:rFonts w:ascii="Arial" w:hAnsi="Arial" w:cs="Arial"/>
          <w:sz w:val="20"/>
          <w:szCs w:val="20"/>
        </w:rPr>
      </w:pPr>
      <w:r w:rsidRPr="00D775C2">
        <w:rPr>
          <w:rFonts w:ascii="Arial" w:hAnsi="Arial" w:cs="Arial"/>
          <w:sz w:val="20"/>
          <w:szCs w:val="20"/>
        </w:rPr>
        <w:t xml:space="preserve">The present study highlights the significant influence of lifestyle and </w:t>
      </w:r>
      <w:r w:rsidR="00B24959" w:rsidRPr="00D775C2">
        <w:rPr>
          <w:rFonts w:ascii="Arial" w:hAnsi="Arial" w:cs="Arial"/>
          <w:sz w:val="20"/>
          <w:szCs w:val="20"/>
        </w:rPr>
        <w:t>sociodemographic</w:t>
      </w:r>
      <w:r w:rsidRPr="00D775C2">
        <w:rPr>
          <w:rFonts w:ascii="Arial" w:hAnsi="Arial" w:cs="Arial"/>
          <w:sz w:val="20"/>
          <w:szCs w:val="20"/>
        </w:rPr>
        <w:t xml:space="preserve"> factors on Body Mass Index (BMI), particularly emphasizing the roles of physical activity, gender, and waist-hip ratio (WHR). </w:t>
      </w:r>
      <w:r w:rsidR="00893D87" w:rsidRPr="00D775C2">
        <w:rPr>
          <w:rFonts w:ascii="Arial" w:hAnsi="Arial" w:cs="Arial"/>
          <w:sz w:val="20"/>
          <w:szCs w:val="20"/>
        </w:rPr>
        <w:t>T</w:t>
      </w:r>
      <w:r w:rsidRPr="00D775C2">
        <w:rPr>
          <w:rFonts w:ascii="Arial" w:hAnsi="Arial" w:cs="Arial"/>
          <w:sz w:val="20"/>
          <w:szCs w:val="20"/>
        </w:rPr>
        <w:t xml:space="preserve">hese three showed statistically significant associations with BMI, suggesting that they are key determinants in the development and management of obesity and related metabolic conditions. </w:t>
      </w:r>
      <w:r w:rsidR="00ED2FC2" w:rsidRPr="00D775C2">
        <w:rPr>
          <w:rFonts w:ascii="Arial" w:hAnsi="Arial" w:cs="Arial"/>
          <w:sz w:val="20"/>
          <w:szCs w:val="20"/>
        </w:rPr>
        <w:t>Physical activity is one of the most modifiable lifestyle factors affecting BMI. Regular engagement in moderate to vigorous physical activity helps to regulate energy balance, promote fat loss, and maintain lean body mass. Studies have consistently shown that sedentary individuals are more likely to have higher BMI and increased risk of obesity. For example, research published in BMC Public Health demonstrates that increased physical activity significantly correlates with lower BMI values and better metabolic health outcomes. This highlights the critical need to promote active lifestyles as part of obesity prevention and management programs</w:t>
      </w:r>
      <w:r w:rsidR="006D2FF0" w:rsidRPr="00D775C2">
        <w:rPr>
          <w:rFonts w:ascii="Arial" w:hAnsi="Arial" w:cs="Arial"/>
          <w:sz w:val="20"/>
          <w:szCs w:val="20"/>
        </w:rPr>
        <w:t xml:space="preserve"> (Warburton et al., 2006)</w:t>
      </w:r>
      <w:r w:rsidR="00ED2FC2" w:rsidRPr="00D775C2">
        <w:rPr>
          <w:rFonts w:ascii="Arial" w:hAnsi="Arial" w:cs="Arial"/>
          <w:sz w:val="20"/>
          <w:szCs w:val="20"/>
        </w:rPr>
        <w:t>.</w:t>
      </w:r>
    </w:p>
    <w:p w14:paraId="6FC3CFDE" w14:textId="37D171EA" w:rsidR="00ED2FC2" w:rsidRPr="00D775C2" w:rsidRDefault="00ED2FC2" w:rsidP="00EB4E3E">
      <w:pPr>
        <w:spacing w:line="240" w:lineRule="auto"/>
        <w:jc w:val="both"/>
        <w:rPr>
          <w:rFonts w:ascii="Arial" w:hAnsi="Arial" w:cs="Arial"/>
          <w:sz w:val="20"/>
          <w:szCs w:val="20"/>
        </w:rPr>
      </w:pPr>
      <w:r w:rsidRPr="00D775C2">
        <w:rPr>
          <w:rFonts w:ascii="Arial" w:hAnsi="Arial" w:cs="Arial"/>
          <w:sz w:val="20"/>
          <w:szCs w:val="20"/>
        </w:rPr>
        <w:t>Gender differences also play a vital role in BMI variation. Biological and hormonal differences between males and females influence fat distribution, muscle mass, and metabolic rate, which in turn affect BMI. Women, for instance, tend to have higher body fat percentages than men at the same BMI, often accumulating fat around the hips and thighs, whereas men are more prone to central (abdominal) fat accumulation. These differences can impact how BMI is interpreted and its implications for health. Hence, gender-specific strategies may be required when designing interventions for weight management</w:t>
      </w:r>
      <w:r w:rsidR="00AC0564" w:rsidRPr="00D775C2">
        <w:rPr>
          <w:rFonts w:ascii="Arial" w:hAnsi="Arial" w:cs="Arial"/>
          <w:sz w:val="20"/>
          <w:szCs w:val="20"/>
        </w:rPr>
        <w:t xml:space="preserve"> (Bhurosy &amp; Jeewon, 2014)</w:t>
      </w:r>
      <w:r w:rsidRPr="00D775C2">
        <w:rPr>
          <w:rFonts w:ascii="Arial" w:hAnsi="Arial" w:cs="Arial"/>
          <w:sz w:val="20"/>
          <w:szCs w:val="20"/>
        </w:rPr>
        <w:t>.</w:t>
      </w:r>
    </w:p>
    <w:p w14:paraId="460A72D5" w14:textId="77777777" w:rsidR="00ED2FC2" w:rsidRPr="00D775C2" w:rsidRDefault="00ED2FC2" w:rsidP="00EB4E3E">
      <w:pPr>
        <w:spacing w:line="240" w:lineRule="auto"/>
        <w:jc w:val="both"/>
        <w:rPr>
          <w:rFonts w:ascii="Arial" w:hAnsi="Arial" w:cs="Arial"/>
          <w:sz w:val="20"/>
          <w:szCs w:val="20"/>
        </w:rPr>
      </w:pPr>
      <w:r w:rsidRPr="00D775C2">
        <w:rPr>
          <w:rFonts w:ascii="Arial" w:hAnsi="Arial" w:cs="Arial"/>
          <w:sz w:val="20"/>
          <w:szCs w:val="20"/>
        </w:rPr>
        <w:t>Waist-Hip Ratio (WHR), a measure of fat distribution, particularly central or abdominal obesity, has been found to be a more accurate predictor of metabolic and cardiovascular risks than BMI alone. Central obesity is closely linked to insulin resistance, type 2 diabetes, and cardiovascular diseases. The significant association between WHR and BMI in this study underlines the importance of using WHR as a complementary measure in obesity assessments. A high WHR indicates greater visceral fat, which is metabolically more active and detrimental compared to subcutaneous fat.</w:t>
      </w:r>
    </w:p>
    <w:p w14:paraId="67AF2EDB" w14:textId="164E27CB" w:rsidR="00ED2FC2" w:rsidRPr="00D775C2" w:rsidRDefault="00ED2FC2" w:rsidP="00EB4E3E">
      <w:pPr>
        <w:spacing w:line="240" w:lineRule="auto"/>
        <w:jc w:val="both"/>
        <w:rPr>
          <w:rFonts w:ascii="Arial" w:hAnsi="Arial" w:cs="Arial"/>
          <w:sz w:val="20"/>
          <w:szCs w:val="20"/>
        </w:rPr>
      </w:pPr>
      <w:r w:rsidRPr="00D775C2">
        <w:rPr>
          <w:rFonts w:ascii="Arial" w:hAnsi="Arial" w:cs="Arial"/>
          <w:sz w:val="20"/>
          <w:szCs w:val="20"/>
        </w:rPr>
        <w:t>In</w:t>
      </w:r>
      <w:r w:rsidR="00836D27" w:rsidRPr="00D775C2">
        <w:rPr>
          <w:rFonts w:ascii="Arial" w:hAnsi="Arial" w:cs="Arial"/>
          <w:sz w:val="20"/>
          <w:szCs w:val="20"/>
        </w:rPr>
        <w:t xml:space="preserve"> </w:t>
      </w:r>
      <w:r w:rsidR="00F21076" w:rsidRPr="00D775C2">
        <w:rPr>
          <w:rFonts w:ascii="Arial" w:hAnsi="Arial" w:cs="Arial"/>
          <w:sz w:val="20"/>
          <w:szCs w:val="20"/>
        </w:rPr>
        <w:t>c</w:t>
      </w:r>
      <w:r w:rsidR="00836D27" w:rsidRPr="00D775C2">
        <w:rPr>
          <w:rFonts w:ascii="Arial" w:hAnsi="Arial" w:cs="Arial"/>
          <w:sz w:val="20"/>
          <w:szCs w:val="20"/>
        </w:rPr>
        <w:t>onclusion</w:t>
      </w:r>
      <w:r w:rsidRPr="00D775C2">
        <w:rPr>
          <w:rFonts w:ascii="Arial" w:hAnsi="Arial" w:cs="Arial"/>
          <w:sz w:val="20"/>
          <w:szCs w:val="20"/>
        </w:rPr>
        <w:t xml:space="preserve">, these findings reinforce the importance of integrating physical activity promotion, gender-sensitive approaches, and central obesity screening (via WHR) into public health strategies aimed at combating obesity and related metabolic disorders. </w:t>
      </w:r>
      <w:r w:rsidR="00F21076" w:rsidRPr="00D775C2">
        <w:rPr>
          <w:rFonts w:ascii="Arial" w:hAnsi="Arial" w:cs="Arial"/>
          <w:sz w:val="20"/>
          <w:szCs w:val="20"/>
        </w:rPr>
        <w:t>Public health strategies should therefore prioritize promoting active lifestyles, incorporating gender-sensitive approaches, and monitoring abdominal fat distribution to effectively combat rising obesity rates and prevent associated chronic diseases, including type 2 diabetes and cardiovascular disorders.</w:t>
      </w:r>
    </w:p>
    <w:p w14:paraId="0019CE88" w14:textId="52E88417" w:rsidR="00602379" w:rsidRPr="00D775C2" w:rsidRDefault="00602379" w:rsidP="00EB4E3E">
      <w:pPr>
        <w:spacing w:line="240" w:lineRule="auto"/>
        <w:jc w:val="both"/>
        <w:rPr>
          <w:rFonts w:ascii="Arial" w:hAnsi="Arial" w:cs="Arial"/>
          <w:b/>
          <w:bCs/>
          <w:sz w:val="22"/>
        </w:rPr>
      </w:pPr>
      <w:r w:rsidRPr="00D775C2">
        <w:rPr>
          <w:rFonts w:ascii="Arial" w:hAnsi="Arial" w:cs="Arial"/>
          <w:b/>
          <w:bCs/>
          <w:sz w:val="22"/>
        </w:rPr>
        <w:t>DECLARATIONS</w:t>
      </w:r>
    </w:p>
    <w:p w14:paraId="3047AB83" w14:textId="148760C2" w:rsidR="00602379" w:rsidRPr="00D775C2" w:rsidRDefault="00602379" w:rsidP="00EB4E3E">
      <w:pPr>
        <w:spacing w:line="240" w:lineRule="auto"/>
        <w:jc w:val="both"/>
        <w:rPr>
          <w:rFonts w:ascii="Arial" w:hAnsi="Arial" w:cs="Arial"/>
          <w:sz w:val="20"/>
          <w:szCs w:val="20"/>
        </w:rPr>
      </w:pPr>
      <w:r w:rsidRPr="00D775C2">
        <w:rPr>
          <w:rFonts w:ascii="Arial" w:hAnsi="Arial" w:cs="Arial"/>
          <w:b/>
          <w:bCs/>
          <w:sz w:val="20"/>
          <w:szCs w:val="20"/>
        </w:rPr>
        <w:t>Ethics approval and consent to participate</w:t>
      </w:r>
      <w:r w:rsidR="00A03486" w:rsidRPr="00D775C2">
        <w:rPr>
          <w:rFonts w:ascii="Arial" w:hAnsi="Arial" w:cs="Arial"/>
          <w:sz w:val="20"/>
          <w:szCs w:val="20"/>
        </w:rPr>
        <w:t xml:space="preserve">: The </w:t>
      </w:r>
      <w:r w:rsidR="00BF2441" w:rsidRPr="00D775C2">
        <w:rPr>
          <w:rFonts w:ascii="Arial" w:hAnsi="Arial" w:cs="Arial"/>
          <w:sz w:val="20"/>
          <w:szCs w:val="20"/>
        </w:rPr>
        <w:t>data</w:t>
      </w:r>
      <w:r w:rsidR="00A03486" w:rsidRPr="00D775C2">
        <w:rPr>
          <w:rFonts w:ascii="Arial" w:hAnsi="Arial" w:cs="Arial"/>
          <w:sz w:val="20"/>
          <w:szCs w:val="20"/>
        </w:rPr>
        <w:t xml:space="preserve"> collection started after the consent of patients </w:t>
      </w:r>
      <w:r w:rsidR="004D4EB2" w:rsidRPr="00D775C2">
        <w:rPr>
          <w:rFonts w:ascii="Arial" w:hAnsi="Arial" w:cs="Arial"/>
          <w:sz w:val="20"/>
          <w:szCs w:val="20"/>
        </w:rPr>
        <w:t xml:space="preserve">to participate in the study </w:t>
      </w:r>
      <w:r w:rsidR="00A03486" w:rsidRPr="00D775C2">
        <w:rPr>
          <w:rFonts w:ascii="Arial" w:hAnsi="Arial" w:cs="Arial"/>
          <w:sz w:val="20"/>
          <w:szCs w:val="20"/>
        </w:rPr>
        <w:t xml:space="preserve">and </w:t>
      </w:r>
      <w:r w:rsidR="004D4EB2" w:rsidRPr="00D775C2">
        <w:rPr>
          <w:rFonts w:ascii="Arial" w:hAnsi="Arial" w:cs="Arial"/>
          <w:sz w:val="20"/>
          <w:szCs w:val="20"/>
        </w:rPr>
        <w:t>the ethical approval</w:t>
      </w:r>
      <w:r w:rsidR="00A03486" w:rsidRPr="00D775C2">
        <w:rPr>
          <w:rFonts w:ascii="Arial" w:hAnsi="Arial" w:cs="Arial"/>
          <w:sz w:val="20"/>
          <w:szCs w:val="20"/>
        </w:rPr>
        <w:t xml:space="preserve"> was granted by the Ethics Committee of the Institute of Science, BHU, Varanasi. The committee's registration number is ECR/226/</w:t>
      </w:r>
      <w:proofErr w:type="spellStart"/>
      <w:r w:rsidR="00A03486" w:rsidRPr="00D775C2">
        <w:rPr>
          <w:rFonts w:ascii="Arial" w:hAnsi="Arial" w:cs="Arial"/>
          <w:sz w:val="20"/>
          <w:szCs w:val="20"/>
        </w:rPr>
        <w:t>Indt</w:t>
      </w:r>
      <w:proofErr w:type="spellEnd"/>
      <w:r w:rsidR="00A03486" w:rsidRPr="00D775C2">
        <w:rPr>
          <w:rFonts w:ascii="Arial" w:hAnsi="Arial" w:cs="Arial"/>
          <w:sz w:val="20"/>
          <w:szCs w:val="20"/>
        </w:rPr>
        <w:t>/UP/2014/RR-22, dated January 4, 2022, and it is registered under Rule 122DD of the Drugs &amp; Cosmetics Rule 1945.</w:t>
      </w:r>
    </w:p>
    <w:p w14:paraId="785BCE93" w14:textId="77777777" w:rsidR="00874EB8" w:rsidRDefault="00874EB8" w:rsidP="00EB4E3E">
      <w:pPr>
        <w:spacing w:before="100" w:beforeAutospacing="1" w:after="100" w:afterAutospacing="1" w:line="240" w:lineRule="auto"/>
        <w:jc w:val="both"/>
        <w:rPr>
          <w:rFonts w:ascii="Arial" w:hAnsi="Arial" w:cs="Arial"/>
          <w:b/>
          <w:bCs/>
          <w:sz w:val="22"/>
        </w:rPr>
      </w:pPr>
    </w:p>
    <w:p w14:paraId="6BA26165" w14:textId="30FD16AE" w:rsidR="00C42DA7" w:rsidRPr="00D775C2" w:rsidRDefault="00C42DA7" w:rsidP="00EB4E3E">
      <w:pPr>
        <w:spacing w:before="100" w:beforeAutospacing="1" w:after="100" w:afterAutospacing="1" w:line="240" w:lineRule="auto"/>
        <w:jc w:val="both"/>
        <w:rPr>
          <w:rFonts w:ascii="Arial" w:hAnsi="Arial" w:cs="Arial"/>
          <w:b/>
          <w:bCs/>
          <w:color w:val="000000" w:themeColor="text1"/>
          <w:sz w:val="22"/>
        </w:rPr>
      </w:pPr>
      <w:r w:rsidRPr="00D775C2">
        <w:rPr>
          <w:rFonts w:ascii="Arial" w:hAnsi="Arial" w:cs="Arial"/>
          <w:b/>
          <w:bCs/>
          <w:sz w:val="22"/>
        </w:rPr>
        <w:t>REFERENCE</w:t>
      </w:r>
    </w:p>
    <w:p w14:paraId="5849DA9E" w14:textId="393761AA"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lastRenderedPageBreak/>
        <w:t>Ashwell, M., &amp; Gibson, S. Waist-to-height ratio as an indicator of ‘early health risk’: Simpler and more predictive than using a ‘matrix’ based on BMI and waist circumference. BMJ Open,</w:t>
      </w:r>
      <w:r w:rsidR="00475BE9" w:rsidRPr="00475BE9">
        <w:rPr>
          <w:rFonts w:ascii="Arial" w:hAnsi="Arial" w:cs="Arial"/>
          <w:color w:val="000000" w:themeColor="text1"/>
          <w:sz w:val="20"/>
          <w:szCs w:val="20"/>
        </w:rPr>
        <w:t xml:space="preserve"> </w:t>
      </w:r>
      <w:r w:rsidR="00475BE9" w:rsidRPr="00D775C2">
        <w:rPr>
          <w:rFonts w:ascii="Arial" w:hAnsi="Arial" w:cs="Arial"/>
          <w:color w:val="000000" w:themeColor="text1"/>
          <w:sz w:val="20"/>
          <w:szCs w:val="20"/>
        </w:rPr>
        <w:t>(2016)</w:t>
      </w:r>
      <w:r w:rsidRPr="00D775C2">
        <w:rPr>
          <w:rFonts w:ascii="Arial" w:hAnsi="Arial" w:cs="Arial"/>
          <w:color w:val="000000" w:themeColor="text1"/>
          <w:sz w:val="20"/>
          <w:szCs w:val="20"/>
        </w:rPr>
        <w:t xml:space="preserve"> 6(3), e010159. </w:t>
      </w:r>
      <w:hyperlink r:id="rId11" w:tgtFrame="_new" w:history="1">
        <w:r w:rsidRPr="00D775C2">
          <w:rPr>
            <w:rStyle w:val="Hyperlink"/>
            <w:rFonts w:ascii="Arial" w:hAnsi="Arial" w:cs="Arial"/>
            <w:color w:val="000000" w:themeColor="text1"/>
            <w:sz w:val="20"/>
            <w:szCs w:val="20"/>
            <w:u w:val="none"/>
          </w:rPr>
          <w:t>https://doi.org/10.1136/bmjopen-2015-010159</w:t>
        </w:r>
      </w:hyperlink>
    </w:p>
    <w:p w14:paraId="4648C7DF" w14:textId="3559C934"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t xml:space="preserve">Bhurosy, T., &amp; Jeewon, R. Overweight and obesity epidemic in developing countries: A problem with diet, physical activity, or socioeconomic status? </w:t>
      </w:r>
      <w:r w:rsidRPr="00D775C2">
        <w:rPr>
          <w:rStyle w:val="Emphasis"/>
          <w:rFonts w:ascii="Arial" w:hAnsi="Arial" w:cs="Arial"/>
          <w:i w:val="0"/>
          <w:iCs w:val="0"/>
          <w:color w:val="000000" w:themeColor="text1"/>
          <w:sz w:val="20"/>
          <w:szCs w:val="20"/>
        </w:rPr>
        <w:t>The Scientific World Journal, 2014</w:t>
      </w:r>
      <w:r w:rsidRPr="00D775C2">
        <w:rPr>
          <w:rFonts w:ascii="Arial" w:hAnsi="Arial" w:cs="Arial"/>
          <w:color w:val="000000" w:themeColor="text1"/>
          <w:sz w:val="20"/>
          <w:szCs w:val="20"/>
        </w:rPr>
        <w:t xml:space="preserve">, Article ID 964236. </w:t>
      </w:r>
      <w:hyperlink r:id="rId12" w:tgtFrame="_new" w:history="1">
        <w:r w:rsidRPr="00D775C2">
          <w:rPr>
            <w:rStyle w:val="Hyperlink"/>
            <w:rFonts w:ascii="Arial" w:hAnsi="Arial" w:cs="Arial"/>
            <w:color w:val="000000" w:themeColor="text1"/>
            <w:sz w:val="20"/>
            <w:szCs w:val="20"/>
            <w:u w:val="none"/>
          </w:rPr>
          <w:t>https://doi.org/10.1155/2014/964236</w:t>
        </w:r>
      </w:hyperlink>
    </w:p>
    <w:p w14:paraId="3076BB9E" w14:textId="15FE9F57" w:rsidR="001B324A" w:rsidRPr="00D775C2" w:rsidRDefault="001B324A"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t xml:space="preserve">Gebremariam, M. K., Chiang, C., &amp; </w:t>
      </w:r>
      <w:proofErr w:type="spellStart"/>
      <w:r w:rsidRPr="00D775C2">
        <w:rPr>
          <w:rFonts w:ascii="Arial" w:hAnsi="Arial" w:cs="Arial"/>
          <w:color w:val="000000" w:themeColor="text1"/>
          <w:sz w:val="20"/>
          <w:szCs w:val="20"/>
        </w:rPr>
        <w:t>Bjertness</w:t>
      </w:r>
      <w:proofErr w:type="spellEnd"/>
      <w:r w:rsidRPr="00D775C2">
        <w:rPr>
          <w:rFonts w:ascii="Arial" w:hAnsi="Arial" w:cs="Arial"/>
          <w:color w:val="000000" w:themeColor="text1"/>
          <w:sz w:val="20"/>
          <w:szCs w:val="20"/>
        </w:rPr>
        <w:t xml:space="preserve">, E. Physical activity and sedentary </w:t>
      </w:r>
      <w:proofErr w:type="spellStart"/>
      <w:r w:rsidRPr="00D775C2">
        <w:rPr>
          <w:rFonts w:ascii="Arial" w:hAnsi="Arial" w:cs="Arial"/>
          <w:color w:val="000000" w:themeColor="text1"/>
          <w:sz w:val="20"/>
          <w:szCs w:val="20"/>
        </w:rPr>
        <w:t>behavior</w:t>
      </w:r>
      <w:proofErr w:type="spellEnd"/>
      <w:r w:rsidRPr="00D775C2">
        <w:rPr>
          <w:rFonts w:ascii="Arial" w:hAnsi="Arial" w:cs="Arial"/>
          <w:color w:val="000000" w:themeColor="text1"/>
          <w:sz w:val="20"/>
          <w:szCs w:val="20"/>
        </w:rPr>
        <w:t xml:space="preserve"> in relation to BMI in adults: A cross-sectional study. BMC Public Health, </w:t>
      </w:r>
      <w:r w:rsidR="00761E16" w:rsidRPr="00D775C2">
        <w:rPr>
          <w:rFonts w:ascii="Arial" w:hAnsi="Arial" w:cs="Arial"/>
          <w:color w:val="000000" w:themeColor="text1"/>
          <w:sz w:val="20"/>
          <w:szCs w:val="20"/>
        </w:rPr>
        <w:t xml:space="preserve">(2020) </w:t>
      </w:r>
      <w:r w:rsidRPr="00D775C2">
        <w:rPr>
          <w:rFonts w:ascii="Arial" w:hAnsi="Arial" w:cs="Arial"/>
          <w:color w:val="000000" w:themeColor="text1"/>
          <w:sz w:val="20"/>
          <w:szCs w:val="20"/>
        </w:rPr>
        <w:t xml:space="preserve">20, 1102. </w:t>
      </w:r>
      <w:hyperlink r:id="rId13" w:history="1">
        <w:r w:rsidRPr="00D775C2">
          <w:rPr>
            <w:rStyle w:val="Hyperlink"/>
            <w:rFonts w:ascii="Arial" w:hAnsi="Arial" w:cs="Arial"/>
            <w:color w:val="000000" w:themeColor="text1"/>
            <w:sz w:val="20"/>
            <w:szCs w:val="20"/>
            <w:u w:val="none"/>
          </w:rPr>
          <w:t>https://doi.org/10.1186/s12889-020-8283-x</w:t>
        </w:r>
      </w:hyperlink>
    </w:p>
    <w:p w14:paraId="3CB60946" w14:textId="6B034520"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proofErr w:type="spellStart"/>
      <w:proofErr w:type="gramStart"/>
      <w:r w:rsidRPr="00D775C2">
        <w:rPr>
          <w:rFonts w:ascii="Arial" w:hAnsi="Arial" w:cs="Arial"/>
          <w:color w:val="000000" w:themeColor="text1"/>
          <w:sz w:val="20"/>
          <w:szCs w:val="20"/>
        </w:rPr>
        <w:t>JakJervell</w:t>
      </w:r>
      <w:proofErr w:type="spellEnd"/>
      <w:r w:rsidRPr="00D775C2">
        <w:rPr>
          <w:rFonts w:ascii="Arial" w:hAnsi="Arial" w:cs="Arial"/>
          <w:color w:val="000000" w:themeColor="text1"/>
          <w:sz w:val="20"/>
          <w:szCs w:val="20"/>
        </w:rPr>
        <w:t>,.</w:t>
      </w:r>
      <w:proofErr w:type="gramEnd"/>
      <w:r w:rsidRPr="00D775C2">
        <w:rPr>
          <w:rFonts w:ascii="Arial" w:hAnsi="Arial" w:cs="Arial"/>
          <w:color w:val="000000" w:themeColor="text1"/>
          <w:sz w:val="20"/>
          <w:szCs w:val="20"/>
        </w:rPr>
        <w:t xml:space="preserve"> An update on Diabetes, including HbA1c and micro albumin, First edition August 2000.</w:t>
      </w:r>
    </w:p>
    <w:p w14:paraId="2E8E898A" w14:textId="602AC483" w:rsidR="000E25C1" w:rsidRPr="00D775C2" w:rsidRDefault="000E25C1" w:rsidP="00EB4E3E">
      <w:pPr>
        <w:pStyle w:val="ListParagraph"/>
        <w:numPr>
          <w:ilvl w:val="0"/>
          <w:numId w:val="1"/>
        </w:numPr>
        <w:spacing w:line="240" w:lineRule="auto"/>
        <w:jc w:val="both"/>
        <w:rPr>
          <w:rFonts w:ascii="Arial" w:hAnsi="Arial" w:cs="Arial"/>
          <w:sz w:val="20"/>
          <w:szCs w:val="20"/>
        </w:rPr>
      </w:pPr>
      <w:r w:rsidRPr="00D775C2">
        <w:rPr>
          <w:rFonts w:ascii="Arial" w:hAnsi="Arial" w:cs="Arial"/>
          <w:sz w:val="20"/>
          <w:szCs w:val="20"/>
        </w:rPr>
        <w:t xml:space="preserve">Krishnan D, Gururajan R, Baig AH, </w:t>
      </w:r>
      <w:proofErr w:type="spellStart"/>
      <w:r w:rsidRPr="00D775C2">
        <w:rPr>
          <w:rFonts w:ascii="Arial" w:hAnsi="Arial" w:cs="Arial"/>
          <w:sz w:val="20"/>
          <w:szCs w:val="20"/>
        </w:rPr>
        <w:t>Chennakesavan</w:t>
      </w:r>
      <w:proofErr w:type="spellEnd"/>
      <w:r w:rsidRPr="00D775C2">
        <w:rPr>
          <w:rFonts w:ascii="Arial" w:hAnsi="Arial" w:cs="Arial"/>
          <w:sz w:val="20"/>
          <w:szCs w:val="20"/>
        </w:rPr>
        <w:t xml:space="preserve"> SK, Wickramasinghe N, et al. The Impact of Diet Counselling on Type 2 Diabetes Mellitus: An Indian Case Study. J Diabetes </w:t>
      </w:r>
      <w:proofErr w:type="spellStart"/>
      <w:r w:rsidRPr="00D775C2">
        <w:rPr>
          <w:rFonts w:ascii="Arial" w:hAnsi="Arial" w:cs="Arial"/>
          <w:sz w:val="20"/>
          <w:szCs w:val="20"/>
        </w:rPr>
        <w:t>Metab</w:t>
      </w:r>
      <w:proofErr w:type="spellEnd"/>
      <w:r w:rsidR="00E45A0A">
        <w:rPr>
          <w:rFonts w:ascii="Arial" w:hAnsi="Arial" w:cs="Arial"/>
          <w:sz w:val="20"/>
          <w:szCs w:val="20"/>
        </w:rPr>
        <w:t xml:space="preserve"> </w:t>
      </w:r>
      <w:r w:rsidR="00E45A0A" w:rsidRPr="00D775C2">
        <w:rPr>
          <w:rFonts w:ascii="Arial" w:hAnsi="Arial" w:cs="Arial"/>
          <w:sz w:val="20"/>
          <w:szCs w:val="20"/>
        </w:rPr>
        <w:t>(2015</w:t>
      </w:r>
      <w:proofErr w:type="gramStart"/>
      <w:r w:rsidR="00E45A0A" w:rsidRPr="00D775C2">
        <w:rPr>
          <w:rFonts w:ascii="Arial" w:hAnsi="Arial" w:cs="Arial"/>
          <w:sz w:val="20"/>
          <w:szCs w:val="20"/>
        </w:rPr>
        <w:t xml:space="preserve">) </w:t>
      </w:r>
      <w:r w:rsidRPr="00D775C2">
        <w:rPr>
          <w:rFonts w:ascii="Arial" w:hAnsi="Arial" w:cs="Arial"/>
          <w:sz w:val="20"/>
          <w:szCs w:val="20"/>
        </w:rPr>
        <w:t xml:space="preserve"> 6</w:t>
      </w:r>
      <w:proofErr w:type="gramEnd"/>
      <w:r w:rsidRPr="00D775C2">
        <w:rPr>
          <w:rFonts w:ascii="Arial" w:hAnsi="Arial" w:cs="Arial"/>
          <w:sz w:val="20"/>
          <w:szCs w:val="20"/>
        </w:rPr>
        <w:t>: 610. doi:10.4172/2155-6156.1000610</w:t>
      </w:r>
    </w:p>
    <w:p w14:paraId="2D3F3512" w14:textId="18D96A0D"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sz w:val="20"/>
          <w:szCs w:val="20"/>
        </w:rPr>
      </w:pPr>
      <w:r w:rsidRPr="00D775C2">
        <w:rPr>
          <w:rFonts w:ascii="Arial" w:hAnsi="Arial" w:cs="Arial"/>
          <w:sz w:val="20"/>
          <w:szCs w:val="20"/>
        </w:rPr>
        <w:t xml:space="preserve">Lee I. M., Shiroma E. J., Lobelo F., Puska P., Blair S. N., &amp; Katzmarzyk P. T. Effect of physical inactivity on major non-communicable diseases worldwide: An analysis of burden of disease and life expectancy. </w:t>
      </w:r>
      <w:r w:rsidRPr="00D775C2">
        <w:rPr>
          <w:rStyle w:val="Emphasis"/>
          <w:rFonts w:ascii="Arial" w:hAnsi="Arial" w:cs="Arial"/>
          <w:i w:val="0"/>
          <w:iCs w:val="0"/>
          <w:sz w:val="20"/>
          <w:szCs w:val="20"/>
        </w:rPr>
        <w:t xml:space="preserve">The Lancet, </w:t>
      </w:r>
      <w:r w:rsidR="00E45A0A" w:rsidRPr="00D775C2">
        <w:rPr>
          <w:rFonts w:ascii="Arial" w:hAnsi="Arial" w:cs="Arial"/>
          <w:sz w:val="20"/>
          <w:szCs w:val="20"/>
        </w:rPr>
        <w:t>(2012)</w:t>
      </w:r>
      <w:r w:rsidR="00E45A0A">
        <w:rPr>
          <w:rFonts w:ascii="Arial" w:hAnsi="Arial" w:cs="Arial"/>
          <w:sz w:val="20"/>
          <w:szCs w:val="20"/>
        </w:rPr>
        <w:t xml:space="preserve"> </w:t>
      </w:r>
      <w:r w:rsidRPr="00D775C2">
        <w:rPr>
          <w:rStyle w:val="Emphasis"/>
          <w:rFonts w:ascii="Arial" w:hAnsi="Arial" w:cs="Arial"/>
          <w:i w:val="0"/>
          <w:iCs w:val="0"/>
          <w:sz w:val="20"/>
          <w:szCs w:val="20"/>
        </w:rPr>
        <w:t>380</w:t>
      </w:r>
      <w:r w:rsidRPr="00D775C2">
        <w:rPr>
          <w:rFonts w:ascii="Arial" w:hAnsi="Arial" w:cs="Arial"/>
          <w:sz w:val="20"/>
          <w:szCs w:val="20"/>
        </w:rPr>
        <w:t>(9838), 219–229. https://doi.org/10.1016/S0140-6736(12)61031-9</w:t>
      </w:r>
    </w:p>
    <w:p w14:paraId="6CE3C762" w14:textId="5F29F14A" w:rsidR="000E25C1" w:rsidRPr="00D775C2" w:rsidRDefault="000E25C1" w:rsidP="00EB4E3E">
      <w:pPr>
        <w:pStyle w:val="ListParagraph"/>
        <w:numPr>
          <w:ilvl w:val="0"/>
          <w:numId w:val="1"/>
        </w:numPr>
        <w:spacing w:line="240" w:lineRule="auto"/>
        <w:jc w:val="both"/>
        <w:rPr>
          <w:rFonts w:ascii="Arial" w:hAnsi="Arial" w:cs="Arial"/>
          <w:sz w:val="20"/>
          <w:szCs w:val="20"/>
        </w:rPr>
      </w:pPr>
      <w:r w:rsidRPr="00D775C2">
        <w:rPr>
          <w:rFonts w:ascii="Arial" w:hAnsi="Arial" w:cs="Arial"/>
          <w:sz w:val="20"/>
          <w:szCs w:val="20"/>
        </w:rPr>
        <w:t xml:space="preserve">Mohan V, Sandeep S, Deepa R, Shah B, Varghese C Epidemiology of type 2 diabetes: Indian scenario. Indian J Med Res </w:t>
      </w:r>
      <w:r w:rsidR="00E45A0A" w:rsidRPr="00D775C2">
        <w:rPr>
          <w:rFonts w:ascii="Arial" w:hAnsi="Arial" w:cs="Arial"/>
          <w:sz w:val="20"/>
          <w:szCs w:val="20"/>
        </w:rPr>
        <w:t xml:space="preserve">(2007) </w:t>
      </w:r>
      <w:r w:rsidRPr="00D775C2">
        <w:rPr>
          <w:rFonts w:ascii="Arial" w:hAnsi="Arial" w:cs="Arial"/>
          <w:sz w:val="20"/>
          <w:szCs w:val="20"/>
        </w:rPr>
        <w:t>125: 217-230.</w:t>
      </w:r>
    </w:p>
    <w:p w14:paraId="7964DE41" w14:textId="585FBA22" w:rsidR="000E25C1" w:rsidRPr="00D775C2" w:rsidRDefault="000E25C1" w:rsidP="00EB4E3E">
      <w:pPr>
        <w:pStyle w:val="ListParagraph"/>
        <w:numPr>
          <w:ilvl w:val="0"/>
          <w:numId w:val="1"/>
        </w:numPr>
        <w:spacing w:line="240" w:lineRule="auto"/>
        <w:jc w:val="both"/>
        <w:rPr>
          <w:rFonts w:ascii="Arial" w:hAnsi="Arial" w:cs="Arial"/>
          <w:sz w:val="20"/>
          <w:szCs w:val="20"/>
        </w:rPr>
      </w:pPr>
      <w:r w:rsidRPr="00D775C2">
        <w:rPr>
          <w:rFonts w:ascii="Arial" w:hAnsi="Arial" w:cs="Arial"/>
          <w:sz w:val="20"/>
          <w:szCs w:val="20"/>
        </w:rPr>
        <w:t xml:space="preserve">Ramachandran A Urban India </w:t>
      </w:r>
      <w:r w:rsidR="00B24959" w:rsidRPr="00D775C2">
        <w:rPr>
          <w:rFonts w:ascii="Arial" w:hAnsi="Arial" w:cs="Arial"/>
          <w:sz w:val="20"/>
          <w:szCs w:val="20"/>
        </w:rPr>
        <w:t>A Breeding</w:t>
      </w:r>
      <w:r w:rsidRPr="00D775C2">
        <w:rPr>
          <w:rFonts w:ascii="Arial" w:hAnsi="Arial" w:cs="Arial"/>
          <w:sz w:val="20"/>
          <w:szCs w:val="20"/>
        </w:rPr>
        <w:t xml:space="preserve"> </w:t>
      </w:r>
      <w:r w:rsidR="00B24959" w:rsidRPr="00D775C2">
        <w:rPr>
          <w:rFonts w:ascii="Arial" w:hAnsi="Arial" w:cs="Arial"/>
          <w:sz w:val="20"/>
          <w:szCs w:val="20"/>
        </w:rPr>
        <w:t>Ground</w:t>
      </w:r>
      <w:r w:rsidRPr="00D775C2">
        <w:rPr>
          <w:rFonts w:ascii="Arial" w:hAnsi="Arial" w:cs="Arial"/>
          <w:sz w:val="20"/>
          <w:szCs w:val="20"/>
        </w:rPr>
        <w:t xml:space="preserve"> for Diabetes. Diabetes Voice</w:t>
      </w:r>
      <w:r w:rsidR="00E45A0A">
        <w:rPr>
          <w:rFonts w:ascii="Arial" w:hAnsi="Arial" w:cs="Arial"/>
          <w:sz w:val="20"/>
          <w:szCs w:val="20"/>
        </w:rPr>
        <w:t xml:space="preserve"> </w:t>
      </w:r>
      <w:r w:rsidR="00E45A0A" w:rsidRPr="00D775C2">
        <w:rPr>
          <w:rFonts w:ascii="Arial" w:hAnsi="Arial" w:cs="Arial"/>
          <w:sz w:val="20"/>
          <w:szCs w:val="20"/>
        </w:rPr>
        <w:t>(2002</w:t>
      </w:r>
      <w:proofErr w:type="gramStart"/>
      <w:r w:rsidR="00E45A0A" w:rsidRPr="00D775C2">
        <w:rPr>
          <w:rFonts w:ascii="Arial" w:hAnsi="Arial" w:cs="Arial"/>
          <w:sz w:val="20"/>
          <w:szCs w:val="20"/>
        </w:rPr>
        <w:t xml:space="preserve">) </w:t>
      </w:r>
      <w:r w:rsidRPr="00D775C2">
        <w:rPr>
          <w:rFonts w:ascii="Arial" w:hAnsi="Arial" w:cs="Arial"/>
          <w:sz w:val="20"/>
          <w:szCs w:val="20"/>
        </w:rPr>
        <w:t xml:space="preserve"> 47</w:t>
      </w:r>
      <w:proofErr w:type="gramEnd"/>
      <w:r w:rsidRPr="00D775C2">
        <w:rPr>
          <w:rFonts w:ascii="Arial" w:hAnsi="Arial" w:cs="Arial"/>
          <w:sz w:val="20"/>
          <w:szCs w:val="20"/>
        </w:rPr>
        <w:t>: 18-20.</w:t>
      </w:r>
    </w:p>
    <w:p w14:paraId="2DAF53EF" w14:textId="536BAB67"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t xml:space="preserve">Visscher T. L, Seidell J. C., </w:t>
      </w:r>
      <w:proofErr w:type="spellStart"/>
      <w:r w:rsidRPr="00D775C2">
        <w:rPr>
          <w:rFonts w:ascii="Arial" w:hAnsi="Arial" w:cs="Arial"/>
          <w:color w:val="000000" w:themeColor="text1"/>
          <w:sz w:val="20"/>
          <w:szCs w:val="20"/>
        </w:rPr>
        <w:t>Molarius</w:t>
      </w:r>
      <w:proofErr w:type="spellEnd"/>
      <w:r w:rsidRPr="00D775C2">
        <w:rPr>
          <w:rFonts w:ascii="Arial" w:hAnsi="Arial" w:cs="Arial"/>
          <w:color w:val="000000" w:themeColor="text1"/>
          <w:sz w:val="20"/>
          <w:szCs w:val="20"/>
        </w:rPr>
        <w:t xml:space="preserve"> A, van der Kuip D., Hofman A., &amp; Witteman J. C. M. A comparison of body mass index, waist-hip ratio and waist circumference as predictors of all-cause mortality among the elderly: The Rotterdam Study. </w:t>
      </w:r>
      <w:r w:rsidRPr="00D775C2">
        <w:rPr>
          <w:rStyle w:val="Emphasis"/>
          <w:rFonts w:ascii="Arial" w:hAnsi="Arial" w:cs="Arial"/>
          <w:i w:val="0"/>
          <w:iCs w:val="0"/>
          <w:color w:val="000000" w:themeColor="text1"/>
          <w:sz w:val="20"/>
          <w:szCs w:val="20"/>
        </w:rPr>
        <w:t>International Journal of Obesity</w:t>
      </w:r>
      <w:r w:rsidR="00E45A0A" w:rsidRPr="00E45A0A">
        <w:rPr>
          <w:rFonts w:ascii="Arial" w:hAnsi="Arial" w:cs="Arial"/>
          <w:color w:val="000000" w:themeColor="text1"/>
          <w:sz w:val="20"/>
          <w:szCs w:val="20"/>
        </w:rPr>
        <w:t xml:space="preserve"> </w:t>
      </w:r>
      <w:r w:rsidR="00E45A0A" w:rsidRPr="00D775C2">
        <w:rPr>
          <w:rFonts w:ascii="Arial" w:hAnsi="Arial" w:cs="Arial"/>
          <w:color w:val="000000" w:themeColor="text1"/>
          <w:sz w:val="20"/>
          <w:szCs w:val="20"/>
        </w:rPr>
        <w:t xml:space="preserve">(2001). </w:t>
      </w:r>
      <w:r w:rsidRPr="00D775C2">
        <w:rPr>
          <w:rStyle w:val="Emphasis"/>
          <w:rFonts w:ascii="Arial" w:hAnsi="Arial" w:cs="Arial"/>
          <w:i w:val="0"/>
          <w:iCs w:val="0"/>
          <w:color w:val="000000" w:themeColor="text1"/>
          <w:sz w:val="20"/>
          <w:szCs w:val="20"/>
        </w:rPr>
        <w:t xml:space="preserve"> 25</w:t>
      </w:r>
      <w:r w:rsidRPr="00D775C2">
        <w:rPr>
          <w:rFonts w:ascii="Arial" w:hAnsi="Arial" w:cs="Arial"/>
          <w:color w:val="000000" w:themeColor="text1"/>
          <w:sz w:val="20"/>
          <w:szCs w:val="20"/>
        </w:rPr>
        <w:t>(11), 1730–1735.</w:t>
      </w:r>
    </w:p>
    <w:p w14:paraId="3A33B617" w14:textId="17F518EC"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t xml:space="preserve">Warburton, D. E. R., Nicol, C. W., &amp; Bredin, S. S. D. Health benefits of physical activity: The evidence. </w:t>
      </w:r>
      <w:r w:rsidRPr="00D775C2">
        <w:rPr>
          <w:rStyle w:val="Emphasis"/>
          <w:rFonts w:ascii="Arial" w:hAnsi="Arial" w:cs="Arial"/>
          <w:i w:val="0"/>
          <w:iCs w:val="0"/>
          <w:color w:val="000000" w:themeColor="text1"/>
          <w:sz w:val="20"/>
          <w:szCs w:val="20"/>
        </w:rPr>
        <w:t xml:space="preserve">CMAJ, </w:t>
      </w:r>
      <w:r w:rsidR="00E45A0A" w:rsidRPr="00D775C2">
        <w:rPr>
          <w:rFonts w:ascii="Arial" w:hAnsi="Arial" w:cs="Arial"/>
          <w:color w:val="000000" w:themeColor="text1"/>
          <w:sz w:val="20"/>
          <w:szCs w:val="20"/>
        </w:rPr>
        <w:t xml:space="preserve">(2006). </w:t>
      </w:r>
      <w:r w:rsidRPr="00D775C2">
        <w:rPr>
          <w:rStyle w:val="Emphasis"/>
          <w:rFonts w:ascii="Arial" w:hAnsi="Arial" w:cs="Arial"/>
          <w:i w:val="0"/>
          <w:iCs w:val="0"/>
          <w:color w:val="000000" w:themeColor="text1"/>
          <w:sz w:val="20"/>
          <w:szCs w:val="20"/>
        </w:rPr>
        <w:t>174</w:t>
      </w:r>
      <w:r w:rsidRPr="00D775C2">
        <w:rPr>
          <w:rFonts w:ascii="Arial" w:hAnsi="Arial" w:cs="Arial"/>
          <w:color w:val="000000" w:themeColor="text1"/>
          <w:sz w:val="20"/>
          <w:szCs w:val="20"/>
        </w:rPr>
        <w:t xml:space="preserve">(6), 801–809. </w:t>
      </w:r>
      <w:hyperlink r:id="rId14" w:tgtFrame="_new" w:history="1">
        <w:r w:rsidRPr="00D775C2">
          <w:rPr>
            <w:rStyle w:val="Hyperlink"/>
            <w:rFonts w:ascii="Arial" w:hAnsi="Arial" w:cs="Arial"/>
            <w:color w:val="000000" w:themeColor="text1"/>
            <w:sz w:val="20"/>
            <w:szCs w:val="20"/>
            <w:u w:val="none"/>
          </w:rPr>
          <w:t>https://doi.org/10.1503/cmaj.051351</w:t>
        </w:r>
      </w:hyperlink>
    </w:p>
    <w:p w14:paraId="733CCF8B" w14:textId="4973DE63" w:rsidR="004A19D3" w:rsidRPr="007A3033"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t xml:space="preserve">World Health Organization. </w:t>
      </w:r>
      <w:r w:rsidRPr="00D775C2">
        <w:rPr>
          <w:rStyle w:val="Emphasis"/>
          <w:rFonts w:ascii="Arial" w:hAnsi="Arial" w:cs="Arial"/>
          <w:i w:val="0"/>
          <w:iCs w:val="0"/>
          <w:color w:val="000000" w:themeColor="text1"/>
          <w:sz w:val="20"/>
          <w:szCs w:val="20"/>
        </w:rPr>
        <w:t xml:space="preserve">Obesity and overweight: </w:t>
      </w:r>
      <w:r w:rsidR="00EC43F4" w:rsidRPr="00D775C2">
        <w:rPr>
          <w:rFonts w:ascii="Arial" w:hAnsi="Arial" w:cs="Arial"/>
          <w:color w:val="000000" w:themeColor="text1"/>
          <w:sz w:val="20"/>
          <w:szCs w:val="20"/>
        </w:rPr>
        <w:t xml:space="preserve">(2021). </w:t>
      </w:r>
      <w:r w:rsidRPr="00D775C2">
        <w:rPr>
          <w:rStyle w:val="Emphasis"/>
          <w:rFonts w:ascii="Arial" w:hAnsi="Arial" w:cs="Arial"/>
          <w:i w:val="0"/>
          <w:iCs w:val="0"/>
          <w:color w:val="000000" w:themeColor="text1"/>
          <w:sz w:val="20"/>
          <w:szCs w:val="20"/>
        </w:rPr>
        <w:t>Key facts</w:t>
      </w:r>
      <w:r w:rsidRPr="00D775C2">
        <w:rPr>
          <w:rFonts w:ascii="Arial" w:hAnsi="Arial" w:cs="Arial"/>
          <w:color w:val="000000" w:themeColor="text1"/>
          <w:sz w:val="20"/>
          <w:szCs w:val="20"/>
        </w:rPr>
        <w:t xml:space="preserve">. </w:t>
      </w:r>
      <w:hyperlink r:id="rId15" w:tgtFrame="_new" w:history="1">
        <w:r w:rsidRPr="00D775C2">
          <w:rPr>
            <w:rStyle w:val="Hyperlink"/>
            <w:rFonts w:ascii="Arial" w:hAnsi="Arial" w:cs="Arial"/>
            <w:color w:val="000000" w:themeColor="text1"/>
            <w:sz w:val="20"/>
            <w:szCs w:val="20"/>
            <w:u w:val="none"/>
          </w:rPr>
          <w:t>https://www.who.int/news-room/fact-sheets/detail/obesity-and-overweight</w:t>
        </w:r>
      </w:hyperlink>
    </w:p>
    <w:sectPr w:rsidR="004A19D3" w:rsidRPr="007A3033" w:rsidSect="00874EB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6F50" w14:textId="77777777" w:rsidR="000C3581" w:rsidRDefault="000C3581" w:rsidP="00B34E2C">
      <w:pPr>
        <w:spacing w:after="0" w:line="240" w:lineRule="auto"/>
      </w:pPr>
      <w:r>
        <w:separator/>
      </w:r>
    </w:p>
  </w:endnote>
  <w:endnote w:type="continuationSeparator" w:id="0">
    <w:p w14:paraId="2EE34716" w14:textId="77777777" w:rsidR="000C3581" w:rsidRDefault="000C3581" w:rsidP="00B3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BD7C" w14:textId="77777777" w:rsidR="00874EB8" w:rsidRDefault="00874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553110"/>
      <w:docPartObj>
        <w:docPartGallery w:val="Page Numbers (Bottom of Page)"/>
        <w:docPartUnique/>
      </w:docPartObj>
    </w:sdtPr>
    <w:sdtEndPr>
      <w:rPr>
        <w:noProof/>
      </w:rPr>
    </w:sdtEndPr>
    <w:sdtContent>
      <w:p w14:paraId="36220F79" w14:textId="64F55FFD" w:rsidR="007B7C62" w:rsidRDefault="007B7C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2447" w14:textId="77777777" w:rsidR="00874EB8" w:rsidRDefault="00874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30B5" w14:textId="77777777" w:rsidR="000C3581" w:rsidRDefault="000C3581" w:rsidP="00B34E2C">
      <w:pPr>
        <w:spacing w:after="0" w:line="240" w:lineRule="auto"/>
      </w:pPr>
      <w:r>
        <w:separator/>
      </w:r>
    </w:p>
  </w:footnote>
  <w:footnote w:type="continuationSeparator" w:id="0">
    <w:p w14:paraId="17D2E87B" w14:textId="77777777" w:rsidR="000C3581" w:rsidRDefault="000C3581" w:rsidP="00B34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0D5F" w14:textId="0F1A9EB0" w:rsidR="00874EB8" w:rsidRDefault="00874EB8">
    <w:pPr>
      <w:pStyle w:val="Header"/>
    </w:pPr>
    <w:r>
      <w:rPr>
        <w:noProof/>
      </w:rPr>
      <w:pict w14:anchorId="3759E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80661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55BB" w14:textId="7271FB7C" w:rsidR="00B34E2C" w:rsidRDefault="00874EB8" w:rsidP="007B7C62">
    <w:pPr>
      <w:pStyle w:val="Header"/>
      <w:jc w:val="center"/>
    </w:pPr>
    <w:r>
      <w:rPr>
        <w:noProof/>
      </w:rPr>
      <w:pict w14:anchorId="351B4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806611"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FE84" w14:textId="79C89274" w:rsidR="00874EB8" w:rsidRDefault="00874EB8">
    <w:pPr>
      <w:pStyle w:val="Header"/>
    </w:pPr>
    <w:r>
      <w:rPr>
        <w:noProof/>
      </w:rPr>
      <w:pict w14:anchorId="04E5A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80660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E51"/>
    <w:multiLevelType w:val="hybridMultilevel"/>
    <w:tmpl w:val="FA2CF7F0"/>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8735848"/>
    <w:multiLevelType w:val="multilevel"/>
    <w:tmpl w:val="70806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26301"/>
    <w:multiLevelType w:val="hybridMultilevel"/>
    <w:tmpl w:val="94E0FB86"/>
    <w:lvl w:ilvl="0" w:tplc="40090019">
      <w:start w:val="1"/>
      <w:numFmt w:val="lowerLetter"/>
      <w:lvlText w:val="%1."/>
      <w:lvlJc w:val="left"/>
      <w:pPr>
        <w:ind w:left="142" w:hanging="360"/>
      </w:pPr>
      <w:rPr>
        <w:rFonts w:hint="default"/>
      </w:rPr>
    </w:lvl>
    <w:lvl w:ilvl="1" w:tplc="40090019" w:tentative="1">
      <w:start w:val="1"/>
      <w:numFmt w:val="lowerLetter"/>
      <w:lvlText w:val="%2."/>
      <w:lvlJc w:val="left"/>
      <w:pPr>
        <w:ind w:left="862" w:hanging="360"/>
      </w:pPr>
    </w:lvl>
    <w:lvl w:ilvl="2" w:tplc="4009001B" w:tentative="1">
      <w:start w:val="1"/>
      <w:numFmt w:val="lowerRoman"/>
      <w:lvlText w:val="%3."/>
      <w:lvlJc w:val="right"/>
      <w:pPr>
        <w:ind w:left="1582" w:hanging="180"/>
      </w:pPr>
    </w:lvl>
    <w:lvl w:ilvl="3" w:tplc="4009000F" w:tentative="1">
      <w:start w:val="1"/>
      <w:numFmt w:val="decimal"/>
      <w:lvlText w:val="%4."/>
      <w:lvlJc w:val="left"/>
      <w:pPr>
        <w:ind w:left="2302" w:hanging="360"/>
      </w:pPr>
    </w:lvl>
    <w:lvl w:ilvl="4" w:tplc="40090019" w:tentative="1">
      <w:start w:val="1"/>
      <w:numFmt w:val="lowerLetter"/>
      <w:lvlText w:val="%5."/>
      <w:lvlJc w:val="left"/>
      <w:pPr>
        <w:ind w:left="3022" w:hanging="360"/>
      </w:pPr>
    </w:lvl>
    <w:lvl w:ilvl="5" w:tplc="4009001B" w:tentative="1">
      <w:start w:val="1"/>
      <w:numFmt w:val="lowerRoman"/>
      <w:lvlText w:val="%6."/>
      <w:lvlJc w:val="right"/>
      <w:pPr>
        <w:ind w:left="3742" w:hanging="180"/>
      </w:pPr>
    </w:lvl>
    <w:lvl w:ilvl="6" w:tplc="4009000F" w:tentative="1">
      <w:start w:val="1"/>
      <w:numFmt w:val="decimal"/>
      <w:lvlText w:val="%7."/>
      <w:lvlJc w:val="left"/>
      <w:pPr>
        <w:ind w:left="4462" w:hanging="360"/>
      </w:pPr>
    </w:lvl>
    <w:lvl w:ilvl="7" w:tplc="40090019" w:tentative="1">
      <w:start w:val="1"/>
      <w:numFmt w:val="lowerLetter"/>
      <w:lvlText w:val="%8."/>
      <w:lvlJc w:val="left"/>
      <w:pPr>
        <w:ind w:left="5182" w:hanging="360"/>
      </w:pPr>
    </w:lvl>
    <w:lvl w:ilvl="8" w:tplc="4009001B" w:tentative="1">
      <w:start w:val="1"/>
      <w:numFmt w:val="lowerRoman"/>
      <w:lvlText w:val="%9."/>
      <w:lvlJc w:val="right"/>
      <w:pPr>
        <w:ind w:left="5902" w:hanging="180"/>
      </w:pPr>
    </w:lvl>
  </w:abstractNum>
  <w:abstractNum w:abstractNumId="3" w15:restartNumberingAfterBreak="0">
    <w:nsid w:val="123477F8"/>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A73F93"/>
    <w:multiLevelType w:val="multilevel"/>
    <w:tmpl w:val="67B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81A61"/>
    <w:multiLevelType w:val="multilevel"/>
    <w:tmpl w:val="CA9655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45607C"/>
    <w:multiLevelType w:val="hybridMultilevel"/>
    <w:tmpl w:val="373A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2027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673E48"/>
    <w:multiLevelType w:val="hybridMultilevel"/>
    <w:tmpl w:val="31D4E87A"/>
    <w:lvl w:ilvl="0" w:tplc="D4D449D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0B4187F"/>
    <w:multiLevelType w:val="hybridMultilevel"/>
    <w:tmpl w:val="E7589A4A"/>
    <w:lvl w:ilvl="0" w:tplc="4C32833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15:restartNumberingAfterBreak="0">
    <w:nsid w:val="351A7162"/>
    <w:multiLevelType w:val="multilevel"/>
    <w:tmpl w:val="4580D12E"/>
    <w:lvl w:ilvl="0">
      <w:start w:val="1"/>
      <w:numFmt w:val="decimal"/>
      <w:lvlText w:val="%1."/>
      <w:lvlJc w:val="left"/>
      <w:pPr>
        <w:ind w:left="720" w:hanging="360"/>
      </w:pPr>
    </w:lvl>
    <w:lvl w:ilvl="1">
      <w:start w:val="1"/>
      <w:numFmt w:val="decimal"/>
      <w:lvlText w:val="%2."/>
      <w:lvlJc w:val="left"/>
      <w:pPr>
        <w:ind w:left="72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E2029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050935"/>
    <w:multiLevelType w:val="hybridMultilevel"/>
    <w:tmpl w:val="CA4C54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C231C07"/>
    <w:multiLevelType w:val="multilevel"/>
    <w:tmpl w:val="02ACFCBE"/>
    <w:lvl w:ilvl="0">
      <w:start w:val="1"/>
      <w:numFmt w:val="lowerRoman"/>
      <w:lvlText w:val="%1."/>
      <w:lvlJc w:val="righ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53DFA"/>
    <w:multiLevelType w:val="multilevel"/>
    <w:tmpl w:val="CEC0576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AC718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4B1F9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4872D9"/>
    <w:multiLevelType w:val="hybridMultilevel"/>
    <w:tmpl w:val="B4D4C4CC"/>
    <w:lvl w:ilvl="0" w:tplc="24D43F7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15:restartNumberingAfterBreak="0">
    <w:nsid w:val="6F125BB8"/>
    <w:multiLevelType w:val="hybridMultilevel"/>
    <w:tmpl w:val="D99CBD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16F083E"/>
    <w:multiLevelType w:val="hybridMultilevel"/>
    <w:tmpl w:val="A6E05F2C"/>
    <w:lvl w:ilvl="0" w:tplc="FAE82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9A1AD9"/>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AE04AA"/>
    <w:multiLevelType w:val="multilevel"/>
    <w:tmpl w:val="CEC0576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F33D59"/>
    <w:multiLevelType w:val="multilevel"/>
    <w:tmpl w:val="740EC27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C0698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10509">
    <w:abstractNumId w:val="12"/>
  </w:num>
  <w:num w:numId="2" w16cid:durableId="1816137873">
    <w:abstractNumId w:val="21"/>
  </w:num>
  <w:num w:numId="3" w16cid:durableId="712539576">
    <w:abstractNumId w:val="2"/>
  </w:num>
  <w:num w:numId="4" w16cid:durableId="1049381080">
    <w:abstractNumId w:val="18"/>
  </w:num>
  <w:num w:numId="5" w16cid:durableId="692414598">
    <w:abstractNumId w:val="14"/>
  </w:num>
  <w:num w:numId="6" w16cid:durableId="1197737876">
    <w:abstractNumId w:val="10"/>
  </w:num>
  <w:num w:numId="7" w16cid:durableId="1547642832">
    <w:abstractNumId w:val="7"/>
  </w:num>
  <w:num w:numId="8" w16cid:durableId="979186580">
    <w:abstractNumId w:val="15"/>
  </w:num>
  <w:num w:numId="9" w16cid:durableId="1154028769">
    <w:abstractNumId w:val="3"/>
  </w:num>
  <w:num w:numId="10" w16cid:durableId="1018389299">
    <w:abstractNumId w:val="22"/>
  </w:num>
  <w:num w:numId="11" w16cid:durableId="844974933">
    <w:abstractNumId w:val="16"/>
  </w:num>
  <w:num w:numId="12" w16cid:durableId="1883399796">
    <w:abstractNumId w:val="23"/>
  </w:num>
  <w:num w:numId="13" w16cid:durableId="1631666503">
    <w:abstractNumId w:val="6"/>
  </w:num>
  <w:num w:numId="14" w16cid:durableId="590815655">
    <w:abstractNumId w:val="19"/>
  </w:num>
  <w:num w:numId="15" w16cid:durableId="743840742">
    <w:abstractNumId w:val="11"/>
  </w:num>
  <w:num w:numId="16" w16cid:durableId="712656737">
    <w:abstractNumId w:val="13"/>
  </w:num>
  <w:num w:numId="17" w16cid:durableId="1357386546">
    <w:abstractNumId w:val="20"/>
  </w:num>
  <w:num w:numId="18" w16cid:durableId="1675721928">
    <w:abstractNumId w:val="9"/>
  </w:num>
  <w:num w:numId="19" w16cid:durableId="872305759">
    <w:abstractNumId w:val="17"/>
  </w:num>
  <w:num w:numId="20" w16cid:durableId="576019222">
    <w:abstractNumId w:val="8"/>
  </w:num>
  <w:num w:numId="21" w16cid:durableId="1915820949">
    <w:abstractNumId w:val="4"/>
  </w:num>
  <w:num w:numId="22" w16cid:durableId="1467745403">
    <w:abstractNumId w:val="5"/>
  </w:num>
  <w:num w:numId="23" w16cid:durableId="400567281">
    <w:abstractNumId w:val="1"/>
  </w:num>
  <w:num w:numId="24" w16cid:durableId="462387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F3"/>
    <w:rsid w:val="0000104E"/>
    <w:rsid w:val="00003974"/>
    <w:rsid w:val="00012820"/>
    <w:rsid w:val="00014523"/>
    <w:rsid w:val="00014664"/>
    <w:rsid w:val="00017429"/>
    <w:rsid w:val="00017C9F"/>
    <w:rsid w:val="0002055F"/>
    <w:rsid w:val="0002088D"/>
    <w:rsid w:val="00021B9E"/>
    <w:rsid w:val="0002244B"/>
    <w:rsid w:val="0002452D"/>
    <w:rsid w:val="00024978"/>
    <w:rsid w:val="000272A0"/>
    <w:rsid w:val="00031390"/>
    <w:rsid w:val="000313FE"/>
    <w:rsid w:val="0003514D"/>
    <w:rsid w:val="00040E38"/>
    <w:rsid w:val="00042216"/>
    <w:rsid w:val="00044049"/>
    <w:rsid w:val="00050640"/>
    <w:rsid w:val="00050ED7"/>
    <w:rsid w:val="00051A9E"/>
    <w:rsid w:val="00053D5C"/>
    <w:rsid w:val="000562E9"/>
    <w:rsid w:val="00060D81"/>
    <w:rsid w:val="00061F53"/>
    <w:rsid w:val="00066EAD"/>
    <w:rsid w:val="000721CE"/>
    <w:rsid w:val="00073E68"/>
    <w:rsid w:val="00074A56"/>
    <w:rsid w:val="00075E8A"/>
    <w:rsid w:val="00077B75"/>
    <w:rsid w:val="0008224C"/>
    <w:rsid w:val="00082A80"/>
    <w:rsid w:val="00084BE0"/>
    <w:rsid w:val="000854F6"/>
    <w:rsid w:val="0008581A"/>
    <w:rsid w:val="00085A99"/>
    <w:rsid w:val="00087662"/>
    <w:rsid w:val="000A08D2"/>
    <w:rsid w:val="000A3C92"/>
    <w:rsid w:val="000A67E5"/>
    <w:rsid w:val="000B1127"/>
    <w:rsid w:val="000B1EB9"/>
    <w:rsid w:val="000B278D"/>
    <w:rsid w:val="000B3933"/>
    <w:rsid w:val="000B48EA"/>
    <w:rsid w:val="000B6B4D"/>
    <w:rsid w:val="000B6BF4"/>
    <w:rsid w:val="000C3581"/>
    <w:rsid w:val="000C6680"/>
    <w:rsid w:val="000C6D66"/>
    <w:rsid w:val="000C7AA9"/>
    <w:rsid w:val="000D2CEC"/>
    <w:rsid w:val="000D35DB"/>
    <w:rsid w:val="000D4288"/>
    <w:rsid w:val="000D467B"/>
    <w:rsid w:val="000D6D9A"/>
    <w:rsid w:val="000D7AE5"/>
    <w:rsid w:val="000E1EC3"/>
    <w:rsid w:val="000E25C1"/>
    <w:rsid w:val="000E4DF7"/>
    <w:rsid w:val="000E672B"/>
    <w:rsid w:val="000F258C"/>
    <w:rsid w:val="000F5081"/>
    <w:rsid w:val="000F6A4E"/>
    <w:rsid w:val="00102064"/>
    <w:rsid w:val="00103F6F"/>
    <w:rsid w:val="0010459A"/>
    <w:rsid w:val="001070CB"/>
    <w:rsid w:val="00110ABA"/>
    <w:rsid w:val="0011153F"/>
    <w:rsid w:val="001133D0"/>
    <w:rsid w:val="00116453"/>
    <w:rsid w:val="001168B3"/>
    <w:rsid w:val="00121572"/>
    <w:rsid w:val="0012356F"/>
    <w:rsid w:val="0012531B"/>
    <w:rsid w:val="00125A31"/>
    <w:rsid w:val="00134D45"/>
    <w:rsid w:val="0013745E"/>
    <w:rsid w:val="001405A8"/>
    <w:rsid w:val="00142D3B"/>
    <w:rsid w:val="00143C75"/>
    <w:rsid w:val="001462CB"/>
    <w:rsid w:val="00146F78"/>
    <w:rsid w:val="001548B4"/>
    <w:rsid w:val="001548D1"/>
    <w:rsid w:val="0016283B"/>
    <w:rsid w:val="00163793"/>
    <w:rsid w:val="001637C1"/>
    <w:rsid w:val="001645C3"/>
    <w:rsid w:val="00164B4C"/>
    <w:rsid w:val="00165623"/>
    <w:rsid w:val="00172158"/>
    <w:rsid w:val="00173AB2"/>
    <w:rsid w:val="00174C03"/>
    <w:rsid w:val="00174F39"/>
    <w:rsid w:val="0018197A"/>
    <w:rsid w:val="00182795"/>
    <w:rsid w:val="00185DBA"/>
    <w:rsid w:val="00187507"/>
    <w:rsid w:val="00190AFE"/>
    <w:rsid w:val="00193355"/>
    <w:rsid w:val="0019429E"/>
    <w:rsid w:val="0019530C"/>
    <w:rsid w:val="00195F7D"/>
    <w:rsid w:val="00196305"/>
    <w:rsid w:val="001969ED"/>
    <w:rsid w:val="00197481"/>
    <w:rsid w:val="001A15F5"/>
    <w:rsid w:val="001A2601"/>
    <w:rsid w:val="001A59FE"/>
    <w:rsid w:val="001A7477"/>
    <w:rsid w:val="001B020A"/>
    <w:rsid w:val="001B0F49"/>
    <w:rsid w:val="001B1DB6"/>
    <w:rsid w:val="001B324A"/>
    <w:rsid w:val="001B3DA6"/>
    <w:rsid w:val="001C16B9"/>
    <w:rsid w:val="001C170C"/>
    <w:rsid w:val="001C279A"/>
    <w:rsid w:val="001C6FAA"/>
    <w:rsid w:val="001D11CE"/>
    <w:rsid w:val="001D2344"/>
    <w:rsid w:val="001D50A3"/>
    <w:rsid w:val="001E5553"/>
    <w:rsid w:val="001E579B"/>
    <w:rsid w:val="001E6CFD"/>
    <w:rsid w:val="001E6FF4"/>
    <w:rsid w:val="001F0C5E"/>
    <w:rsid w:val="001F43DA"/>
    <w:rsid w:val="001F4A79"/>
    <w:rsid w:val="001F60E0"/>
    <w:rsid w:val="0020232E"/>
    <w:rsid w:val="0020611D"/>
    <w:rsid w:val="002063E8"/>
    <w:rsid w:val="00213C32"/>
    <w:rsid w:val="00217005"/>
    <w:rsid w:val="002177EB"/>
    <w:rsid w:val="00221C66"/>
    <w:rsid w:val="00222D7C"/>
    <w:rsid w:val="00224A21"/>
    <w:rsid w:val="00225936"/>
    <w:rsid w:val="002271A6"/>
    <w:rsid w:val="00227939"/>
    <w:rsid w:val="002311B6"/>
    <w:rsid w:val="002315F9"/>
    <w:rsid w:val="002327F2"/>
    <w:rsid w:val="00233551"/>
    <w:rsid w:val="0023436F"/>
    <w:rsid w:val="002355C8"/>
    <w:rsid w:val="0023605F"/>
    <w:rsid w:val="002432CF"/>
    <w:rsid w:val="00243C41"/>
    <w:rsid w:val="0024486B"/>
    <w:rsid w:val="00246515"/>
    <w:rsid w:val="0024728A"/>
    <w:rsid w:val="00250545"/>
    <w:rsid w:val="00251567"/>
    <w:rsid w:val="002528D0"/>
    <w:rsid w:val="002539A8"/>
    <w:rsid w:val="0025455C"/>
    <w:rsid w:val="002579FA"/>
    <w:rsid w:val="0026091D"/>
    <w:rsid w:val="0026118E"/>
    <w:rsid w:val="0026290A"/>
    <w:rsid w:val="00267275"/>
    <w:rsid w:val="00271B2F"/>
    <w:rsid w:val="00274E75"/>
    <w:rsid w:val="00275133"/>
    <w:rsid w:val="0027717C"/>
    <w:rsid w:val="00280BB9"/>
    <w:rsid w:val="002816B5"/>
    <w:rsid w:val="002828E1"/>
    <w:rsid w:val="00284FE4"/>
    <w:rsid w:val="0028745E"/>
    <w:rsid w:val="00290EB5"/>
    <w:rsid w:val="00290FE4"/>
    <w:rsid w:val="0029127F"/>
    <w:rsid w:val="002931B6"/>
    <w:rsid w:val="002A5A94"/>
    <w:rsid w:val="002B334F"/>
    <w:rsid w:val="002B63F3"/>
    <w:rsid w:val="002B77A8"/>
    <w:rsid w:val="002D20CB"/>
    <w:rsid w:val="002D2AD4"/>
    <w:rsid w:val="002D2DF4"/>
    <w:rsid w:val="002D3699"/>
    <w:rsid w:val="002D5928"/>
    <w:rsid w:val="002D62B7"/>
    <w:rsid w:val="002D63BC"/>
    <w:rsid w:val="002D710A"/>
    <w:rsid w:val="002E1CA0"/>
    <w:rsid w:val="002E264C"/>
    <w:rsid w:val="002E6C3C"/>
    <w:rsid w:val="002F4D61"/>
    <w:rsid w:val="002F558E"/>
    <w:rsid w:val="0030232C"/>
    <w:rsid w:val="0030359F"/>
    <w:rsid w:val="00306F5B"/>
    <w:rsid w:val="003123A0"/>
    <w:rsid w:val="003130FE"/>
    <w:rsid w:val="0031387D"/>
    <w:rsid w:val="00313EBD"/>
    <w:rsid w:val="00314A64"/>
    <w:rsid w:val="003156F4"/>
    <w:rsid w:val="00322C69"/>
    <w:rsid w:val="00322EFB"/>
    <w:rsid w:val="00325A6B"/>
    <w:rsid w:val="00325F42"/>
    <w:rsid w:val="00326439"/>
    <w:rsid w:val="00337337"/>
    <w:rsid w:val="00344122"/>
    <w:rsid w:val="00344F39"/>
    <w:rsid w:val="0034610D"/>
    <w:rsid w:val="0034649B"/>
    <w:rsid w:val="0035018E"/>
    <w:rsid w:val="0035147C"/>
    <w:rsid w:val="00352589"/>
    <w:rsid w:val="00352C5B"/>
    <w:rsid w:val="00353EB5"/>
    <w:rsid w:val="00354AC9"/>
    <w:rsid w:val="00354EEE"/>
    <w:rsid w:val="00356EA5"/>
    <w:rsid w:val="00360644"/>
    <w:rsid w:val="00361686"/>
    <w:rsid w:val="00363287"/>
    <w:rsid w:val="00364541"/>
    <w:rsid w:val="003754B9"/>
    <w:rsid w:val="003829FF"/>
    <w:rsid w:val="00384211"/>
    <w:rsid w:val="00391422"/>
    <w:rsid w:val="00391786"/>
    <w:rsid w:val="003A1589"/>
    <w:rsid w:val="003A49A7"/>
    <w:rsid w:val="003B0EDD"/>
    <w:rsid w:val="003B128B"/>
    <w:rsid w:val="003B51C2"/>
    <w:rsid w:val="003C0CB3"/>
    <w:rsid w:val="003C1EC8"/>
    <w:rsid w:val="003C2336"/>
    <w:rsid w:val="003D329F"/>
    <w:rsid w:val="003D7930"/>
    <w:rsid w:val="003E0B7D"/>
    <w:rsid w:val="003E13C5"/>
    <w:rsid w:val="003E5AB3"/>
    <w:rsid w:val="003E7B86"/>
    <w:rsid w:val="003F792C"/>
    <w:rsid w:val="003F7A61"/>
    <w:rsid w:val="00402671"/>
    <w:rsid w:val="00406E07"/>
    <w:rsid w:val="004101A2"/>
    <w:rsid w:val="004112A7"/>
    <w:rsid w:val="00415C5E"/>
    <w:rsid w:val="00415DD2"/>
    <w:rsid w:val="00416063"/>
    <w:rsid w:val="00417F01"/>
    <w:rsid w:val="00421C4A"/>
    <w:rsid w:val="004226FA"/>
    <w:rsid w:val="00424D5D"/>
    <w:rsid w:val="004315FE"/>
    <w:rsid w:val="00436556"/>
    <w:rsid w:val="0043793D"/>
    <w:rsid w:val="00442D62"/>
    <w:rsid w:val="004479EB"/>
    <w:rsid w:val="00453525"/>
    <w:rsid w:val="00455751"/>
    <w:rsid w:val="00455BB7"/>
    <w:rsid w:val="00456FC9"/>
    <w:rsid w:val="0045729B"/>
    <w:rsid w:val="00457A68"/>
    <w:rsid w:val="00463E00"/>
    <w:rsid w:val="00466CD4"/>
    <w:rsid w:val="00467C4B"/>
    <w:rsid w:val="00475BE9"/>
    <w:rsid w:val="004767B6"/>
    <w:rsid w:val="00481A9B"/>
    <w:rsid w:val="00482724"/>
    <w:rsid w:val="004846FB"/>
    <w:rsid w:val="0048524B"/>
    <w:rsid w:val="00486B39"/>
    <w:rsid w:val="00491916"/>
    <w:rsid w:val="00492536"/>
    <w:rsid w:val="00495543"/>
    <w:rsid w:val="004A19D3"/>
    <w:rsid w:val="004A1DCF"/>
    <w:rsid w:val="004A3AE1"/>
    <w:rsid w:val="004A3CD8"/>
    <w:rsid w:val="004A630B"/>
    <w:rsid w:val="004B11CA"/>
    <w:rsid w:val="004B1630"/>
    <w:rsid w:val="004B6799"/>
    <w:rsid w:val="004C090B"/>
    <w:rsid w:val="004C0C8E"/>
    <w:rsid w:val="004C34F3"/>
    <w:rsid w:val="004C6421"/>
    <w:rsid w:val="004C6A56"/>
    <w:rsid w:val="004D1213"/>
    <w:rsid w:val="004D2AA2"/>
    <w:rsid w:val="004D30F6"/>
    <w:rsid w:val="004D4EB2"/>
    <w:rsid w:val="004D5A06"/>
    <w:rsid w:val="004D619A"/>
    <w:rsid w:val="004D62F0"/>
    <w:rsid w:val="004E269C"/>
    <w:rsid w:val="004E36A3"/>
    <w:rsid w:val="004E4D14"/>
    <w:rsid w:val="004E6094"/>
    <w:rsid w:val="004F00E9"/>
    <w:rsid w:val="004F037C"/>
    <w:rsid w:val="004F2756"/>
    <w:rsid w:val="004F3ECE"/>
    <w:rsid w:val="004F7ABB"/>
    <w:rsid w:val="0050143B"/>
    <w:rsid w:val="00503F26"/>
    <w:rsid w:val="00504F70"/>
    <w:rsid w:val="0050535F"/>
    <w:rsid w:val="005060C4"/>
    <w:rsid w:val="00510D4B"/>
    <w:rsid w:val="00510EE7"/>
    <w:rsid w:val="005118B5"/>
    <w:rsid w:val="00522401"/>
    <w:rsid w:val="0053414D"/>
    <w:rsid w:val="00540DED"/>
    <w:rsid w:val="005463CD"/>
    <w:rsid w:val="00546E85"/>
    <w:rsid w:val="00547387"/>
    <w:rsid w:val="0054764D"/>
    <w:rsid w:val="005539C7"/>
    <w:rsid w:val="005550A1"/>
    <w:rsid w:val="00555ABC"/>
    <w:rsid w:val="00556B44"/>
    <w:rsid w:val="00557282"/>
    <w:rsid w:val="00557CCB"/>
    <w:rsid w:val="00563F5A"/>
    <w:rsid w:val="005735FF"/>
    <w:rsid w:val="00574E63"/>
    <w:rsid w:val="005751C2"/>
    <w:rsid w:val="00575DEA"/>
    <w:rsid w:val="005771C7"/>
    <w:rsid w:val="005806F0"/>
    <w:rsid w:val="005820F0"/>
    <w:rsid w:val="0058758F"/>
    <w:rsid w:val="005903ED"/>
    <w:rsid w:val="00593591"/>
    <w:rsid w:val="005963A4"/>
    <w:rsid w:val="005970C2"/>
    <w:rsid w:val="0059745A"/>
    <w:rsid w:val="005A4EE3"/>
    <w:rsid w:val="005B138C"/>
    <w:rsid w:val="005B1B41"/>
    <w:rsid w:val="005B3BA0"/>
    <w:rsid w:val="005B42DC"/>
    <w:rsid w:val="005B51ED"/>
    <w:rsid w:val="005B6DFA"/>
    <w:rsid w:val="005B7BB0"/>
    <w:rsid w:val="005C3AB3"/>
    <w:rsid w:val="005C479C"/>
    <w:rsid w:val="005D02B3"/>
    <w:rsid w:val="005D05E9"/>
    <w:rsid w:val="005D6B48"/>
    <w:rsid w:val="005D7681"/>
    <w:rsid w:val="005E29A3"/>
    <w:rsid w:val="005E7B39"/>
    <w:rsid w:val="005E7BC0"/>
    <w:rsid w:val="005F31C6"/>
    <w:rsid w:val="005F7360"/>
    <w:rsid w:val="006005F6"/>
    <w:rsid w:val="00602379"/>
    <w:rsid w:val="00602D80"/>
    <w:rsid w:val="00603222"/>
    <w:rsid w:val="00604662"/>
    <w:rsid w:val="00604B94"/>
    <w:rsid w:val="00605223"/>
    <w:rsid w:val="00605843"/>
    <w:rsid w:val="006126EE"/>
    <w:rsid w:val="00626C4F"/>
    <w:rsid w:val="00632404"/>
    <w:rsid w:val="006332F4"/>
    <w:rsid w:val="00642B49"/>
    <w:rsid w:val="00644FD0"/>
    <w:rsid w:val="00646426"/>
    <w:rsid w:val="0064764B"/>
    <w:rsid w:val="00650434"/>
    <w:rsid w:val="00651EC9"/>
    <w:rsid w:val="006521B4"/>
    <w:rsid w:val="00654176"/>
    <w:rsid w:val="0065591E"/>
    <w:rsid w:val="006578D9"/>
    <w:rsid w:val="006631DC"/>
    <w:rsid w:val="0066586D"/>
    <w:rsid w:val="006665D4"/>
    <w:rsid w:val="00671F06"/>
    <w:rsid w:val="00676950"/>
    <w:rsid w:val="00677C5E"/>
    <w:rsid w:val="00681D60"/>
    <w:rsid w:val="006850F3"/>
    <w:rsid w:val="00685922"/>
    <w:rsid w:val="00686ABA"/>
    <w:rsid w:val="00686BCF"/>
    <w:rsid w:val="00690ED1"/>
    <w:rsid w:val="00693C2C"/>
    <w:rsid w:val="00697778"/>
    <w:rsid w:val="006A0D13"/>
    <w:rsid w:val="006A1DD1"/>
    <w:rsid w:val="006A3A0E"/>
    <w:rsid w:val="006A444F"/>
    <w:rsid w:val="006B0936"/>
    <w:rsid w:val="006B206F"/>
    <w:rsid w:val="006C0661"/>
    <w:rsid w:val="006C159A"/>
    <w:rsid w:val="006C25CF"/>
    <w:rsid w:val="006C2C9C"/>
    <w:rsid w:val="006D2FF0"/>
    <w:rsid w:val="006D5750"/>
    <w:rsid w:val="006E43A6"/>
    <w:rsid w:val="006E4524"/>
    <w:rsid w:val="006E48EC"/>
    <w:rsid w:val="006E6395"/>
    <w:rsid w:val="006E7D71"/>
    <w:rsid w:val="006F0FCE"/>
    <w:rsid w:val="006F4AAA"/>
    <w:rsid w:val="006F4BFD"/>
    <w:rsid w:val="007003BC"/>
    <w:rsid w:val="00702F88"/>
    <w:rsid w:val="0070335D"/>
    <w:rsid w:val="00703F8B"/>
    <w:rsid w:val="0071250E"/>
    <w:rsid w:val="0071265A"/>
    <w:rsid w:val="00715AE7"/>
    <w:rsid w:val="00726849"/>
    <w:rsid w:val="00731147"/>
    <w:rsid w:val="007313AE"/>
    <w:rsid w:val="007319CF"/>
    <w:rsid w:val="00735B86"/>
    <w:rsid w:val="0073612D"/>
    <w:rsid w:val="00737253"/>
    <w:rsid w:val="007404A2"/>
    <w:rsid w:val="00740787"/>
    <w:rsid w:val="00752F15"/>
    <w:rsid w:val="0075509A"/>
    <w:rsid w:val="00755CD8"/>
    <w:rsid w:val="007607FF"/>
    <w:rsid w:val="00761E16"/>
    <w:rsid w:val="007620C6"/>
    <w:rsid w:val="0076689D"/>
    <w:rsid w:val="007711A4"/>
    <w:rsid w:val="00774263"/>
    <w:rsid w:val="007802EF"/>
    <w:rsid w:val="00781D2F"/>
    <w:rsid w:val="007833A8"/>
    <w:rsid w:val="0078538C"/>
    <w:rsid w:val="007877F3"/>
    <w:rsid w:val="007879A8"/>
    <w:rsid w:val="00790F1E"/>
    <w:rsid w:val="00791EC8"/>
    <w:rsid w:val="007942E8"/>
    <w:rsid w:val="0079482C"/>
    <w:rsid w:val="00797221"/>
    <w:rsid w:val="00797876"/>
    <w:rsid w:val="007A0C26"/>
    <w:rsid w:val="007A3033"/>
    <w:rsid w:val="007A6CF8"/>
    <w:rsid w:val="007A79CD"/>
    <w:rsid w:val="007B3239"/>
    <w:rsid w:val="007B6B3B"/>
    <w:rsid w:val="007B7C62"/>
    <w:rsid w:val="007C0E00"/>
    <w:rsid w:val="007C1BB9"/>
    <w:rsid w:val="007C283B"/>
    <w:rsid w:val="007C3495"/>
    <w:rsid w:val="007C4B7D"/>
    <w:rsid w:val="007C5F28"/>
    <w:rsid w:val="007D052B"/>
    <w:rsid w:val="007D12D7"/>
    <w:rsid w:val="007D1535"/>
    <w:rsid w:val="007D1B07"/>
    <w:rsid w:val="007D66D0"/>
    <w:rsid w:val="007E0D4E"/>
    <w:rsid w:val="007E1CA1"/>
    <w:rsid w:val="007E2802"/>
    <w:rsid w:val="007E35FC"/>
    <w:rsid w:val="007E67BD"/>
    <w:rsid w:val="007E7945"/>
    <w:rsid w:val="007F0FF1"/>
    <w:rsid w:val="007F40DF"/>
    <w:rsid w:val="007F4BDC"/>
    <w:rsid w:val="008005B5"/>
    <w:rsid w:val="0080345A"/>
    <w:rsid w:val="00810173"/>
    <w:rsid w:val="00811951"/>
    <w:rsid w:val="00813279"/>
    <w:rsid w:val="00815DE9"/>
    <w:rsid w:val="00817993"/>
    <w:rsid w:val="0082068F"/>
    <w:rsid w:val="00821062"/>
    <w:rsid w:val="00824B61"/>
    <w:rsid w:val="008258BD"/>
    <w:rsid w:val="00825E15"/>
    <w:rsid w:val="008276B8"/>
    <w:rsid w:val="008277FD"/>
    <w:rsid w:val="00827955"/>
    <w:rsid w:val="00830A36"/>
    <w:rsid w:val="008357EC"/>
    <w:rsid w:val="00836D27"/>
    <w:rsid w:val="00836E5F"/>
    <w:rsid w:val="00842C30"/>
    <w:rsid w:val="00851079"/>
    <w:rsid w:val="008513BD"/>
    <w:rsid w:val="00853C22"/>
    <w:rsid w:val="00855121"/>
    <w:rsid w:val="008553E4"/>
    <w:rsid w:val="00855415"/>
    <w:rsid w:val="00855989"/>
    <w:rsid w:val="008564A8"/>
    <w:rsid w:val="00856AA3"/>
    <w:rsid w:val="008578F8"/>
    <w:rsid w:val="00857A78"/>
    <w:rsid w:val="00860799"/>
    <w:rsid w:val="008639F2"/>
    <w:rsid w:val="008646CE"/>
    <w:rsid w:val="00874061"/>
    <w:rsid w:val="00874EB8"/>
    <w:rsid w:val="008773BD"/>
    <w:rsid w:val="0088210F"/>
    <w:rsid w:val="008821BD"/>
    <w:rsid w:val="00885606"/>
    <w:rsid w:val="00887D8C"/>
    <w:rsid w:val="008917D4"/>
    <w:rsid w:val="00893D87"/>
    <w:rsid w:val="0089478E"/>
    <w:rsid w:val="008A0208"/>
    <w:rsid w:val="008A26A6"/>
    <w:rsid w:val="008A2867"/>
    <w:rsid w:val="008B031F"/>
    <w:rsid w:val="008B121B"/>
    <w:rsid w:val="008B1CEB"/>
    <w:rsid w:val="008B241E"/>
    <w:rsid w:val="008B384D"/>
    <w:rsid w:val="008B3CC2"/>
    <w:rsid w:val="008C32A0"/>
    <w:rsid w:val="008C3361"/>
    <w:rsid w:val="008C7313"/>
    <w:rsid w:val="008D1D04"/>
    <w:rsid w:val="008D3635"/>
    <w:rsid w:val="008D481E"/>
    <w:rsid w:val="008D5A70"/>
    <w:rsid w:val="008D6C9A"/>
    <w:rsid w:val="008E2229"/>
    <w:rsid w:val="008E2FA6"/>
    <w:rsid w:val="008E5456"/>
    <w:rsid w:val="008F2117"/>
    <w:rsid w:val="008F3FF2"/>
    <w:rsid w:val="008F436D"/>
    <w:rsid w:val="008F43DB"/>
    <w:rsid w:val="008F58D8"/>
    <w:rsid w:val="008F6974"/>
    <w:rsid w:val="00912E61"/>
    <w:rsid w:val="00915449"/>
    <w:rsid w:val="0092174D"/>
    <w:rsid w:val="00926F24"/>
    <w:rsid w:val="00933BC0"/>
    <w:rsid w:val="00937843"/>
    <w:rsid w:val="0094322A"/>
    <w:rsid w:val="009436E1"/>
    <w:rsid w:val="0094448C"/>
    <w:rsid w:val="009445CD"/>
    <w:rsid w:val="0094742D"/>
    <w:rsid w:val="00952980"/>
    <w:rsid w:val="00952D2F"/>
    <w:rsid w:val="0095752F"/>
    <w:rsid w:val="00962CAB"/>
    <w:rsid w:val="00963EA0"/>
    <w:rsid w:val="00967B2C"/>
    <w:rsid w:val="00970058"/>
    <w:rsid w:val="009716BF"/>
    <w:rsid w:val="00973EC2"/>
    <w:rsid w:val="00981CD2"/>
    <w:rsid w:val="00984E65"/>
    <w:rsid w:val="00986E55"/>
    <w:rsid w:val="0098708C"/>
    <w:rsid w:val="00990662"/>
    <w:rsid w:val="00994ACE"/>
    <w:rsid w:val="009A0516"/>
    <w:rsid w:val="009A1405"/>
    <w:rsid w:val="009A23ED"/>
    <w:rsid w:val="009A65DE"/>
    <w:rsid w:val="009B0218"/>
    <w:rsid w:val="009B356D"/>
    <w:rsid w:val="009B3747"/>
    <w:rsid w:val="009C4AB1"/>
    <w:rsid w:val="009C6B51"/>
    <w:rsid w:val="009D0E23"/>
    <w:rsid w:val="009E1B8F"/>
    <w:rsid w:val="009E6DD4"/>
    <w:rsid w:val="009E7F55"/>
    <w:rsid w:val="009F0E91"/>
    <w:rsid w:val="009F1330"/>
    <w:rsid w:val="009F2AC8"/>
    <w:rsid w:val="009F3359"/>
    <w:rsid w:val="009F75B5"/>
    <w:rsid w:val="00A01B29"/>
    <w:rsid w:val="00A03486"/>
    <w:rsid w:val="00A05E43"/>
    <w:rsid w:val="00A1075A"/>
    <w:rsid w:val="00A114B6"/>
    <w:rsid w:val="00A12B8F"/>
    <w:rsid w:val="00A13C22"/>
    <w:rsid w:val="00A14031"/>
    <w:rsid w:val="00A14C16"/>
    <w:rsid w:val="00A20D2F"/>
    <w:rsid w:val="00A24775"/>
    <w:rsid w:val="00A2505E"/>
    <w:rsid w:val="00A26EFC"/>
    <w:rsid w:val="00A27D31"/>
    <w:rsid w:val="00A30723"/>
    <w:rsid w:val="00A30C3B"/>
    <w:rsid w:val="00A32620"/>
    <w:rsid w:val="00A33DE7"/>
    <w:rsid w:val="00A37920"/>
    <w:rsid w:val="00A4183A"/>
    <w:rsid w:val="00A41AA3"/>
    <w:rsid w:val="00A43F1D"/>
    <w:rsid w:val="00A45F10"/>
    <w:rsid w:val="00A50BFF"/>
    <w:rsid w:val="00A51E20"/>
    <w:rsid w:val="00A5554C"/>
    <w:rsid w:val="00A56247"/>
    <w:rsid w:val="00A64CD4"/>
    <w:rsid w:val="00A655C2"/>
    <w:rsid w:val="00A71D1E"/>
    <w:rsid w:val="00A73B97"/>
    <w:rsid w:val="00A73F25"/>
    <w:rsid w:val="00A74C82"/>
    <w:rsid w:val="00A80AA4"/>
    <w:rsid w:val="00A8509B"/>
    <w:rsid w:val="00A93AF7"/>
    <w:rsid w:val="00A93BCE"/>
    <w:rsid w:val="00A944F6"/>
    <w:rsid w:val="00AA44C0"/>
    <w:rsid w:val="00AB2DFA"/>
    <w:rsid w:val="00AB43A0"/>
    <w:rsid w:val="00AB607F"/>
    <w:rsid w:val="00AB6C36"/>
    <w:rsid w:val="00AB71C1"/>
    <w:rsid w:val="00AC0564"/>
    <w:rsid w:val="00AC4298"/>
    <w:rsid w:val="00AC76ED"/>
    <w:rsid w:val="00AD1AB8"/>
    <w:rsid w:val="00AD32D9"/>
    <w:rsid w:val="00AD50E8"/>
    <w:rsid w:val="00AD7EF0"/>
    <w:rsid w:val="00AE0349"/>
    <w:rsid w:val="00AE08D2"/>
    <w:rsid w:val="00AE12B7"/>
    <w:rsid w:val="00AE3892"/>
    <w:rsid w:val="00AE3B2C"/>
    <w:rsid w:val="00AE3E72"/>
    <w:rsid w:val="00AE59A8"/>
    <w:rsid w:val="00AE7396"/>
    <w:rsid w:val="00AF0373"/>
    <w:rsid w:val="00AF225C"/>
    <w:rsid w:val="00AF24F8"/>
    <w:rsid w:val="00AF3A4A"/>
    <w:rsid w:val="00AF5EA1"/>
    <w:rsid w:val="00B05EF8"/>
    <w:rsid w:val="00B07982"/>
    <w:rsid w:val="00B1188E"/>
    <w:rsid w:val="00B11948"/>
    <w:rsid w:val="00B11958"/>
    <w:rsid w:val="00B1746E"/>
    <w:rsid w:val="00B217BE"/>
    <w:rsid w:val="00B21CEA"/>
    <w:rsid w:val="00B23F12"/>
    <w:rsid w:val="00B2413D"/>
    <w:rsid w:val="00B24959"/>
    <w:rsid w:val="00B30346"/>
    <w:rsid w:val="00B34E13"/>
    <w:rsid w:val="00B34E2C"/>
    <w:rsid w:val="00B409FA"/>
    <w:rsid w:val="00B41B04"/>
    <w:rsid w:val="00B4303E"/>
    <w:rsid w:val="00B509DB"/>
    <w:rsid w:val="00B55350"/>
    <w:rsid w:val="00B57E04"/>
    <w:rsid w:val="00B62DDD"/>
    <w:rsid w:val="00B71770"/>
    <w:rsid w:val="00B72204"/>
    <w:rsid w:val="00B72981"/>
    <w:rsid w:val="00B8022B"/>
    <w:rsid w:val="00B84AD0"/>
    <w:rsid w:val="00B86CD9"/>
    <w:rsid w:val="00B87357"/>
    <w:rsid w:val="00B910B7"/>
    <w:rsid w:val="00B91797"/>
    <w:rsid w:val="00B92EC9"/>
    <w:rsid w:val="00B93449"/>
    <w:rsid w:val="00B94D84"/>
    <w:rsid w:val="00B94EA1"/>
    <w:rsid w:val="00B95237"/>
    <w:rsid w:val="00B96000"/>
    <w:rsid w:val="00B97375"/>
    <w:rsid w:val="00B97724"/>
    <w:rsid w:val="00BA3022"/>
    <w:rsid w:val="00BB0B9A"/>
    <w:rsid w:val="00BB25F9"/>
    <w:rsid w:val="00BB4352"/>
    <w:rsid w:val="00BC2343"/>
    <w:rsid w:val="00BC2F37"/>
    <w:rsid w:val="00BC2F99"/>
    <w:rsid w:val="00BC3CE7"/>
    <w:rsid w:val="00BC445B"/>
    <w:rsid w:val="00BC4A3F"/>
    <w:rsid w:val="00BC4ADA"/>
    <w:rsid w:val="00BC62A0"/>
    <w:rsid w:val="00BD2988"/>
    <w:rsid w:val="00BD4DDC"/>
    <w:rsid w:val="00BD69AA"/>
    <w:rsid w:val="00BD725E"/>
    <w:rsid w:val="00BE0FF8"/>
    <w:rsid w:val="00BE4020"/>
    <w:rsid w:val="00BF20C1"/>
    <w:rsid w:val="00BF2441"/>
    <w:rsid w:val="00BF5CE2"/>
    <w:rsid w:val="00BF5F90"/>
    <w:rsid w:val="00C14ACE"/>
    <w:rsid w:val="00C2092A"/>
    <w:rsid w:val="00C23C31"/>
    <w:rsid w:val="00C35035"/>
    <w:rsid w:val="00C35C83"/>
    <w:rsid w:val="00C42DA7"/>
    <w:rsid w:val="00C44179"/>
    <w:rsid w:val="00C444A2"/>
    <w:rsid w:val="00C450E5"/>
    <w:rsid w:val="00C5018F"/>
    <w:rsid w:val="00C53873"/>
    <w:rsid w:val="00C62EEF"/>
    <w:rsid w:val="00C63303"/>
    <w:rsid w:val="00C63B35"/>
    <w:rsid w:val="00C71FBF"/>
    <w:rsid w:val="00C75E33"/>
    <w:rsid w:val="00C87DD6"/>
    <w:rsid w:val="00C91702"/>
    <w:rsid w:val="00C91744"/>
    <w:rsid w:val="00C926E2"/>
    <w:rsid w:val="00C929E7"/>
    <w:rsid w:val="00C9346A"/>
    <w:rsid w:val="00CA059C"/>
    <w:rsid w:val="00CA2603"/>
    <w:rsid w:val="00CA6515"/>
    <w:rsid w:val="00CB2279"/>
    <w:rsid w:val="00CB78BE"/>
    <w:rsid w:val="00CC0236"/>
    <w:rsid w:val="00CC3EB2"/>
    <w:rsid w:val="00CC4A33"/>
    <w:rsid w:val="00CC4FC4"/>
    <w:rsid w:val="00CD1E29"/>
    <w:rsid w:val="00CD2DA7"/>
    <w:rsid w:val="00CD2FFA"/>
    <w:rsid w:val="00CD4C49"/>
    <w:rsid w:val="00CD577B"/>
    <w:rsid w:val="00CD6DBC"/>
    <w:rsid w:val="00CE0533"/>
    <w:rsid w:val="00CE0D26"/>
    <w:rsid w:val="00CE2DDB"/>
    <w:rsid w:val="00CF110B"/>
    <w:rsid w:val="00CF3E8D"/>
    <w:rsid w:val="00CF47A1"/>
    <w:rsid w:val="00CF5765"/>
    <w:rsid w:val="00CF5F04"/>
    <w:rsid w:val="00D00053"/>
    <w:rsid w:val="00D01B1E"/>
    <w:rsid w:val="00D03390"/>
    <w:rsid w:val="00D04C4E"/>
    <w:rsid w:val="00D05632"/>
    <w:rsid w:val="00D15929"/>
    <w:rsid w:val="00D1687C"/>
    <w:rsid w:val="00D16975"/>
    <w:rsid w:val="00D20754"/>
    <w:rsid w:val="00D21720"/>
    <w:rsid w:val="00D22271"/>
    <w:rsid w:val="00D2491A"/>
    <w:rsid w:val="00D266D6"/>
    <w:rsid w:val="00D279A2"/>
    <w:rsid w:val="00D27F27"/>
    <w:rsid w:val="00D3028A"/>
    <w:rsid w:val="00D320B8"/>
    <w:rsid w:val="00D46B0B"/>
    <w:rsid w:val="00D47724"/>
    <w:rsid w:val="00D512FD"/>
    <w:rsid w:val="00D53C46"/>
    <w:rsid w:val="00D544E1"/>
    <w:rsid w:val="00D54F95"/>
    <w:rsid w:val="00D56096"/>
    <w:rsid w:val="00D647A4"/>
    <w:rsid w:val="00D67814"/>
    <w:rsid w:val="00D7302B"/>
    <w:rsid w:val="00D73D49"/>
    <w:rsid w:val="00D75929"/>
    <w:rsid w:val="00D775C2"/>
    <w:rsid w:val="00D83179"/>
    <w:rsid w:val="00D834A3"/>
    <w:rsid w:val="00D907C2"/>
    <w:rsid w:val="00D93962"/>
    <w:rsid w:val="00D96938"/>
    <w:rsid w:val="00DA1CCC"/>
    <w:rsid w:val="00DA3194"/>
    <w:rsid w:val="00DA333E"/>
    <w:rsid w:val="00DA4A4D"/>
    <w:rsid w:val="00DA64E7"/>
    <w:rsid w:val="00DB2A03"/>
    <w:rsid w:val="00DB3DCA"/>
    <w:rsid w:val="00DB4AEF"/>
    <w:rsid w:val="00DB7827"/>
    <w:rsid w:val="00DB799A"/>
    <w:rsid w:val="00DC454F"/>
    <w:rsid w:val="00DC4E00"/>
    <w:rsid w:val="00DD03F9"/>
    <w:rsid w:val="00DD1DCD"/>
    <w:rsid w:val="00DD26E6"/>
    <w:rsid w:val="00DD463B"/>
    <w:rsid w:val="00DD4DDD"/>
    <w:rsid w:val="00DE69FE"/>
    <w:rsid w:val="00DF0742"/>
    <w:rsid w:val="00DF0BC8"/>
    <w:rsid w:val="00DF19D9"/>
    <w:rsid w:val="00DF2204"/>
    <w:rsid w:val="00DF5E6C"/>
    <w:rsid w:val="00E0166A"/>
    <w:rsid w:val="00E065AC"/>
    <w:rsid w:val="00E065FE"/>
    <w:rsid w:val="00E0677A"/>
    <w:rsid w:val="00E07ED1"/>
    <w:rsid w:val="00E14E5F"/>
    <w:rsid w:val="00E161C7"/>
    <w:rsid w:val="00E21A8F"/>
    <w:rsid w:val="00E23B20"/>
    <w:rsid w:val="00E35601"/>
    <w:rsid w:val="00E406F6"/>
    <w:rsid w:val="00E4289A"/>
    <w:rsid w:val="00E43DC5"/>
    <w:rsid w:val="00E44DF5"/>
    <w:rsid w:val="00E45321"/>
    <w:rsid w:val="00E45A0A"/>
    <w:rsid w:val="00E476B5"/>
    <w:rsid w:val="00E56051"/>
    <w:rsid w:val="00E56ED0"/>
    <w:rsid w:val="00E60DFD"/>
    <w:rsid w:val="00E62767"/>
    <w:rsid w:val="00E64656"/>
    <w:rsid w:val="00E656EB"/>
    <w:rsid w:val="00E66609"/>
    <w:rsid w:val="00E66A89"/>
    <w:rsid w:val="00E7072B"/>
    <w:rsid w:val="00E770AB"/>
    <w:rsid w:val="00E77E35"/>
    <w:rsid w:val="00E80FE4"/>
    <w:rsid w:val="00E86E1E"/>
    <w:rsid w:val="00E87DEE"/>
    <w:rsid w:val="00E927FB"/>
    <w:rsid w:val="00E960A0"/>
    <w:rsid w:val="00EA12C4"/>
    <w:rsid w:val="00EB4E3E"/>
    <w:rsid w:val="00EB5BD8"/>
    <w:rsid w:val="00EB5FDA"/>
    <w:rsid w:val="00EC1A49"/>
    <w:rsid w:val="00EC43F4"/>
    <w:rsid w:val="00EC4671"/>
    <w:rsid w:val="00ED2E22"/>
    <w:rsid w:val="00ED2FC2"/>
    <w:rsid w:val="00ED3576"/>
    <w:rsid w:val="00ED3C0F"/>
    <w:rsid w:val="00EE29DC"/>
    <w:rsid w:val="00EE5E3F"/>
    <w:rsid w:val="00EE73D0"/>
    <w:rsid w:val="00F008C2"/>
    <w:rsid w:val="00F05215"/>
    <w:rsid w:val="00F0681A"/>
    <w:rsid w:val="00F07070"/>
    <w:rsid w:val="00F143C4"/>
    <w:rsid w:val="00F14ACB"/>
    <w:rsid w:val="00F20BED"/>
    <w:rsid w:val="00F20E90"/>
    <w:rsid w:val="00F21076"/>
    <w:rsid w:val="00F217DC"/>
    <w:rsid w:val="00F239A9"/>
    <w:rsid w:val="00F24D12"/>
    <w:rsid w:val="00F25D91"/>
    <w:rsid w:val="00F26543"/>
    <w:rsid w:val="00F27C51"/>
    <w:rsid w:val="00F30796"/>
    <w:rsid w:val="00F323C9"/>
    <w:rsid w:val="00F33AC4"/>
    <w:rsid w:val="00F34793"/>
    <w:rsid w:val="00F4072C"/>
    <w:rsid w:val="00F42D3D"/>
    <w:rsid w:val="00F43147"/>
    <w:rsid w:val="00F43262"/>
    <w:rsid w:val="00F45409"/>
    <w:rsid w:val="00F46401"/>
    <w:rsid w:val="00F468EF"/>
    <w:rsid w:val="00F46DB5"/>
    <w:rsid w:val="00F5009F"/>
    <w:rsid w:val="00F500D4"/>
    <w:rsid w:val="00F512A8"/>
    <w:rsid w:val="00F54025"/>
    <w:rsid w:val="00F541C1"/>
    <w:rsid w:val="00F5757E"/>
    <w:rsid w:val="00F57A53"/>
    <w:rsid w:val="00F618A8"/>
    <w:rsid w:val="00F63203"/>
    <w:rsid w:val="00F649DF"/>
    <w:rsid w:val="00F64A8E"/>
    <w:rsid w:val="00F67AA6"/>
    <w:rsid w:val="00F72505"/>
    <w:rsid w:val="00F7520D"/>
    <w:rsid w:val="00F7653E"/>
    <w:rsid w:val="00F77A58"/>
    <w:rsid w:val="00F81736"/>
    <w:rsid w:val="00F82A92"/>
    <w:rsid w:val="00F8410E"/>
    <w:rsid w:val="00F8469B"/>
    <w:rsid w:val="00F85644"/>
    <w:rsid w:val="00F8653D"/>
    <w:rsid w:val="00F924F8"/>
    <w:rsid w:val="00F92EE2"/>
    <w:rsid w:val="00F93973"/>
    <w:rsid w:val="00F958CE"/>
    <w:rsid w:val="00F97C40"/>
    <w:rsid w:val="00FA0B5F"/>
    <w:rsid w:val="00FA6426"/>
    <w:rsid w:val="00FB2365"/>
    <w:rsid w:val="00FB630B"/>
    <w:rsid w:val="00FC078F"/>
    <w:rsid w:val="00FC1D32"/>
    <w:rsid w:val="00FC438B"/>
    <w:rsid w:val="00FC60DD"/>
    <w:rsid w:val="00FC689B"/>
    <w:rsid w:val="00FD2A75"/>
    <w:rsid w:val="00FD3D89"/>
    <w:rsid w:val="00FD5F79"/>
    <w:rsid w:val="00FE0090"/>
    <w:rsid w:val="00FE4030"/>
    <w:rsid w:val="00FE4109"/>
    <w:rsid w:val="00FE4703"/>
    <w:rsid w:val="00FF2E24"/>
    <w:rsid w:val="00FF40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8DCB"/>
  <w15:chartTrackingRefBased/>
  <w15:docId w15:val="{40DC4173-7657-49EF-907A-A054C5F1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4F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C34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4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34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34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34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34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4F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C34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34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34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34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34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34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3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4F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C34F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C34F3"/>
    <w:pPr>
      <w:spacing w:before="160"/>
      <w:jc w:val="center"/>
    </w:pPr>
    <w:rPr>
      <w:i/>
      <w:iCs/>
      <w:color w:val="404040" w:themeColor="text1" w:themeTint="BF"/>
    </w:rPr>
  </w:style>
  <w:style w:type="character" w:customStyle="1" w:styleId="QuoteChar">
    <w:name w:val="Quote Char"/>
    <w:basedOn w:val="DefaultParagraphFont"/>
    <w:link w:val="Quote"/>
    <w:uiPriority w:val="29"/>
    <w:rsid w:val="004C34F3"/>
    <w:rPr>
      <w:i/>
      <w:iCs/>
      <w:color w:val="404040" w:themeColor="text1" w:themeTint="BF"/>
    </w:rPr>
  </w:style>
  <w:style w:type="paragraph" w:styleId="ListParagraph">
    <w:name w:val="List Paragraph"/>
    <w:basedOn w:val="Normal"/>
    <w:uiPriority w:val="34"/>
    <w:qFormat/>
    <w:rsid w:val="004C34F3"/>
    <w:pPr>
      <w:ind w:left="720"/>
      <w:contextualSpacing/>
    </w:pPr>
  </w:style>
  <w:style w:type="character" w:styleId="IntenseEmphasis">
    <w:name w:val="Intense Emphasis"/>
    <w:basedOn w:val="DefaultParagraphFont"/>
    <w:uiPriority w:val="21"/>
    <w:qFormat/>
    <w:rsid w:val="004C34F3"/>
    <w:rPr>
      <w:i/>
      <w:iCs/>
      <w:color w:val="2F5496" w:themeColor="accent1" w:themeShade="BF"/>
    </w:rPr>
  </w:style>
  <w:style w:type="paragraph" w:styleId="IntenseQuote">
    <w:name w:val="Intense Quote"/>
    <w:basedOn w:val="Normal"/>
    <w:next w:val="Normal"/>
    <w:link w:val="IntenseQuoteChar"/>
    <w:uiPriority w:val="30"/>
    <w:qFormat/>
    <w:rsid w:val="004C3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4F3"/>
    <w:rPr>
      <w:i/>
      <w:iCs/>
      <w:color w:val="2F5496" w:themeColor="accent1" w:themeShade="BF"/>
    </w:rPr>
  </w:style>
  <w:style w:type="character" w:styleId="IntenseReference">
    <w:name w:val="Intense Reference"/>
    <w:basedOn w:val="DefaultParagraphFont"/>
    <w:uiPriority w:val="32"/>
    <w:qFormat/>
    <w:rsid w:val="004C34F3"/>
    <w:rPr>
      <w:b/>
      <w:bCs/>
      <w:smallCaps/>
      <w:color w:val="2F5496" w:themeColor="accent1" w:themeShade="BF"/>
      <w:spacing w:val="5"/>
    </w:rPr>
  </w:style>
  <w:style w:type="table" w:styleId="TableGrid">
    <w:name w:val="Table Grid"/>
    <w:basedOn w:val="TableNormal"/>
    <w:uiPriority w:val="39"/>
    <w:rsid w:val="0086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56F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4A19D3"/>
    <w:rPr>
      <w:color w:val="0563C1" w:themeColor="hyperlink"/>
      <w:u w:val="single"/>
    </w:rPr>
  </w:style>
  <w:style w:type="character" w:styleId="UnresolvedMention">
    <w:name w:val="Unresolved Mention"/>
    <w:basedOn w:val="DefaultParagraphFont"/>
    <w:uiPriority w:val="99"/>
    <w:semiHidden/>
    <w:unhideWhenUsed/>
    <w:rsid w:val="004A19D3"/>
    <w:rPr>
      <w:color w:val="605E5C"/>
      <w:shd w:val="clear" w:color="auto" w:fill="E1DFDD"/>
    </w:rPr>
  </w:style>
  <w:style w:type="character" w:styleId="Strong">
    <w:name w:val="Strong"/>
    <w:basedOn w:val="DefaultParagraphFont"/>
    <w:uiPriority w:val="22"/>
    <w:qFormat/>
    <w:rsid w:val="007B3239"/>
    <w:rPr>
      <w:b/>
      <w:bCs/>
    </w:rPr>
  </w:style>
  <w:style w:type="character" w:styleId="Emphasis">
    <w:name w:val="Emphasis"/>
    <w:basedOn w:val="DefaultParagraphFont"/>
    <w:uiPriority w:val="20"/>
    <w:qFormat/>
    <w:rsid w:val="007B3239"/>
    <w:rPr>
      <w:i/>
      <w:iCs/>
    </w:rPr>
  </w:style>
  <w:style w:type="paragraph" w:styleId="Header">
    <w:name w:val="header"/>
    <w:basedOn w:val="Normal"/>
    <w:link w:val="HeaderChar"/>
    <w:uiPriority w:val="99"/>
    <w:unhideWhenUsed/>
    <w:rsid w:val="00B34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E2C"/>
  </w:style>
  <w:style w:type="paragraph" w:styleId="Footer">
    <w:name w:val="footer"/>
    <w:basedOn w:val="Normal"/>
    <w:link w:val="FooterChar"/>
    <w:uiPriority w:val="99"/>
    <w:unhideWhenUsed/>
    <w:rsid w:val="00B34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E2C"/>
  </w:style>
  <w:style w:type="character" w:styleId="LineNumber">
    <w:name w:val="line number"/>
    <w:basedOn w:val="DefaultParagraphFont"/>
    <w:uiPriority w:val="99"/>
    <w:semiHidden/>
    <w:unhideWhenUsed/>
    <w:rsid w:val="007B7C62"/>
  </w:style>
  <w:style w:type="table" w:styleId="GridTable2">
    <w:name w:val="Grid Table 2"/>
    <w:basedOn w:val="TableNormal"/>
    <w:uiPriority w:val="47"/>
    <w:rsid w:val="00C9174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FD2A7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75">
      <w:bodyDiv w:val="1"/>
      <w:marLeft w:val="0"/>
      <w:marRight w:val="0"/>
      <w:marTop w:val="0"/>
      <w:marBottom w:val="0"/>
      <w:divBdr>
        <w:top w:val="none" w:sz="0" w:space="0" w:color="auto"/>
        <w:left w:val="none" w:sz="0" w:space="0" w:color="auto"/>
        <w:bottom w:val="none" w:sz="0" w:space="0" w:color="auto"/>
        <w:right w:val="none" w:sz="0" w:space="0" w:color="auto"/>
      </w:divBdr>
    </w:div>
    <w:div w:id="28263635">
      <w:bodyDiv w:val="1"/>
      <w:marLeft w:val="0"/>
      <w:marRight w:val="0"/>
      <w:marTop w:val="0"/>
      <w:marBottom w:val="0"/>
      <w:divBdr>
        <w:top w:val="none" w:sz="0" w:space="0" w:color="auto"/>
        <w:left w:val="none" w:sz="0" w:space="0" w:color="auto"/>
        <w:bottom w:val="none" w:sz="0" w:space="0" w:color="auto"/>
        <w:right w:val="none" w:sz="0" w:space="0" w:color="auto"/>
      </w:divBdr>
    </w:div>
    <w:div w:id="82066482">
      <w:bodyDiv w:val="1"/>
      <w:marLeft w:val="0"/>
      <w:marRight w:val="0"/>
      <w:marTop w:val="0"/>
      <w:marBottom w:val="0"/>
      <w:divBdr>
        <w:top w:val="none" w:sz="0" w:space="0" w:color="auto"/>
        <w:left w:val="none" w:sz="0" w:space="0" w:color="auto"/>
        <w:bottom w:val="none" w:sz="0" w:space="0" w:color="auto"/>
        <w:right w:val="none" w:sz="0" w:space="0" w:color="auto"/>
      </w:divBdr>
    </w:div>
    <w:div w:id="139151112">
      <w:bodyDiv w:val="1"/>
      <w:marLeft w:val="0"/>
      <w:marRight w:val="0"/>
      <w:marTop w:val="0"/>
      <w:marBottom w:val="0"/>
      <w:divBdr>
        <w:top w:val="none" w:sz="0" w:space="0" w:color="auto"/>
        <w:left w:val="none" w:sz="0" w:space="0" w:color="auto"/>
        <w:bottom w:val="none" w:sz="0" w:space="0" w:color="auto"/>
        <w:right w:val="none" w:sz="0" w:space="0" w:color="auto"/>
      </w:divBdr>
    </w:div>
    <w:div w:id="189992426">
      <w:bodyDiv w:val="1"/>
      <w:marLeft w:val="0"/>
      <w:marRight w:val="0"/>
      <w:marTop w:val="0"/>
      <w:marBottom w:val="0"/>
      <w:divBdr>
        <w:top w:val="none" w:sz="0" w:space="0" w:color="auto"/>
        <w:left w:val="none" w:sz="0" w:space="0" w:color="auto"/>
        <w:bottom w:val="none" w:sz="0" w:space="0" w:color="auto"/>
        <w:right w:val="none" w:sz="0" w:space="0" w:color="auto"/>
      </w:divBdr>
    </w:div>
    <w:div w:id="231544346">
      <w:bodyDiv w:val="1"/>
      <w:marLeft w:val="0"/>
      <w:marRight w:val="0"/>
      <w:marTop w:val="0"/>
      <w:marBottom w:val="0"/>
      <w:divBdr>
        <w:top w:val="none" w:sz="0" w:space="0" w:color="auto"/>
        <w:left w:val="none" w:sz="0" w:space="0" w:color="auto"/>
        <w:bottom w:val="none" w:sz="0" w:space="0" w:color="auto"/>
        <w:right w:val="none" w:sz="0" w:space="0" w:color="auto"/>
      </w:divBdr>
    </w:div>
    <w:div w:id="363987037">
      <w:bodyDiv w:val="1"/>
      <w:marLeft w:val="0"/>
      <w:marRight w:val="0"/>
      <w:marTop w:val="0"/>
      <w:marBottom w:val="0"/>
      <w:divBdr>
        <w:top w:val="none" w:sz="0" w:space="0" w:color="auto"/>
        <w:left w:val="none" w:sz="0" w:space="0" w:color="auto"/>
        <w:bottom w:val="none" w:sz="0" w:space="0" w:color="auto"/>
        <w:right w:val="none" w:sz="0" w:space="0" w:color="auto"/>
      </w:divBdr>
    </w:div>
    <w:div w:id="387650338">
      <w:bodyDiv w:val="1"/>
      <w:marLeft w:val="0"/>
      <w:marRight w:val="0"/>
      <w:marTop w:val="0"/>
      <w:marBottom w:val="0"/>
      <w:divBdr>
        <w:top w:val="none" w:sz="0" w:space="0" w:color="auto"/>
        <w:left w:val="none" w:sz="0" w:space="0" w:color="auto"/>
        <w:bottom w:val="none" w:sz="0" w:space="0" w:color="auto"/>
        <w:right w:val="none" w:sz="0" w:space="0" w:color="auto"/>
      </w:divBdr>
    </w:div>
    <w:div w:id="411901953">
      <w:bodyDiv w:val="1"/>
      <w:marLeft w:val="0"/>
      <w:marRight w:val="0"/>
      <w:marTop w:val="0"/>
      <w:marBottom w:val="0"/>
      <w:divBdr>
        <w:top w:val="none" w:sz="0" w:space="0" w:color="auto"/>
        <w:left w:val="none" w:sz="0" w:space="0" w:color="auto"/>
        <w:bottom w:val="none" w:sz="0" w:space="0" w:color="auto"/>
        <w:right w:val="none" w:sz="0" w:space="0" w:color="auto"/>
      </w:divBdr>
    </w:div>
    <w:div w:id="583800910">
      <w:bodyDiv w:val="1"/>
      <w:marLeft w:val="0"/>
      <w:marRight w:val="0"/>
      <w:marTop w:val="0"/>
      <w:marBottom w:val="0"/>
      <w:divBdr>
        <w:top w:val="none" w:sz="0" w:space="0" w:color="auto"/>
        <w:left w:val="none" w:sz="0" w:space="0" w:color="auto"/>
        <w:bottom w:val="none" w:sz="0" w:space="0" w:color="auto"/>
        <w:right w:val="none" w:sz="0" w:space="0" w:color="auto"/>
      </w:divBdr>
    </w:div>
    <w:div w:id="723869545">
      <w:bodyDiv w:val="1"/>
      <w:marLeft w:val="0"/>
      <w:marRight w:val="0"/>
      <w:marTop w:val="0"/>
      <w:marBottom w:val="0"/>
      <w:divBdr>
        <w:top w:val="none" w:sz="0" w:space="0" w:color="auto"/>
        <w:left w:val="none" w:sz="0" w:space="0" w:color="auto"/>
        <w:bottom w:val="none" w:sz="0" w:space="0" w:color="auto"/>
        <w:right w:val="none" w:sz="0" w:space="0" w:color="auto"/>
      </w:divBdr>
    </w:div>
    <w:div w:id="745609950">
      <w:bodyDiv w:val="1"/>
      <w:marLeft w:val="0"/>
      <w:marRight w:val="0"/>
      <w:marTop w:val="0"/>
      <w:marBottom w:val="0"/>
      <w:divBdr>
        <w:top w:val="none" w:sz="0" w:space="0" w:color="auto"/>
        <w:left w:val="none" w:sz="0" w:space="0" w:color="auto"/>
        <w:bottom w:val="none" w:sz="0" w:space="0" w:color="auto"/>
        <w:right w:val="none" w:sz="0" w:space="0" w:color="auto"/>
      </w:divBdr>
    </w:div>
    <w:div w:id="881091718">
      <w:bodyDiv w:val="1"/>
      <w:marLeft w:val="0"/>
      <w:marRight w:val="0"/>
      <w:marTop w:val="0"/>
      <w:marBottom w:val="0"/>
      <w:divBdr>
        <w:top w:val="none" w:sz="0" w:space="0" w:color="auto"/>
        <w:left w:val="none" w:sz="0" w:space="0" w:color="auto"/>
        <w:bottom w:val="none" w:sz="0" w:space="0" w:color="auto"/>
        <w:right w:val="none" w:sz="0" w:space="0" w:color="auto"/>
      </w:divBdr>
    </w:div>
    <w:div w:id="897593594">
      <w:bodyDiv w:val="1"/>
      <w:marLeft w:val="0"/>
      <w:marRight w:val="0"/>
      <w:marTop w:val="0"/>
      <w:marBottom w:val="0"/>
      <w:divBdr>
        <w:top w:val="none" w:sz="0" w:space="0" w:color="auto"/>
        <w:left w:val="none" w:sz="0" w:space="0" w:color="auto"/>
        <w:bottom w:val="none" w:sz="0" w:space="0" w:color="auto"/>
        <w:right w:val="none" w:sz="0" w:space="0" w:color="auto"/>
      </w:divBdr>
    </w:div>
    <w:div w:id="960377189">
      <w:bodyDiv w:val="1"/>
      <w:marLeft w:val="0"/>
      <w:marRight w:val="0"/>
      <w:marTop w:val="0"/>
      <w:marBottom w:val="0"/>
      <w:divBdr>
        <w:top w:val="none" w:sz="0" w:space="0" w:color="auto"/>
        <w:left w:val="none" w:sz="0" w:space="0" w:color="auto"/>
        <w:bottom w:val="none" w:sz="0" w:space="0" w:color="auto"/>
        <w:right w:val="none" w:sz="0" w:space="0" w:color="auto"/>
      </w:divBdr>
    </w:div>
    <w:div w:id="974481300">
      <w:bodyDiv w:val="1"/>
      <w:marLeft w:val="0"/>
      <w:marRight w:val="0"/>
      <w:marTop w:val="0"/>
      <w:marBottom w:val="0"/>
      <w:divBdr>
        <w:top w:val="none" w:sz="0" w:space="0" w:color="auto"/>
        <w:left w:val="none" w:sz="0" w:space="0" w:color="auto"/>
        <w:bottom w:val="none" w:sz="0" w:space="0" w:color="auto"/>
        <w:right w:val="none" w:sz="0" w:space="0" w:color="auto"/>
      </w:divBdr>
    </w:div>
    <w:div w:id="1017971162">
      <w:bodyDiv w:val="1"/>
      <w:marLeft w:val="0"/>
      <w:marRight w:val="0"/>
      <w:marTop w:val="0"/>
      <w:marBottom w:val="0"/>
      <w:divBdr>
        <w:top w:val="none" w:sz="0" w:space="0" w:color="auto"/>
        <w:left w:val="none" w:sz="0" w:space="0" w:color="auto"/>
        <w:bottom w:val="none" w:sz="0" w:space="0" w:color="auto"/>
        <w:right w:val="none" w:sz="0" w:space="0" w:color="auto"/>
      </w:divBdr>
    </w:div>
    <w:div w:id="1067533152">
      <w:bodyDiv w:val="1"/>
      <w:marLeft w:val="0"/>
      <w:marRight w:val="0"/>
      <w:marTop w:val="0"/>
      <w:marBottom w:val="0"/>
      <w:divBdr>
        <w:top w:val="none" w:sz="0" w:space="0" w:color="auto"/>
        <w:left w:val="none" w:sz="0" w:space="0" w:color="auto"/>
        <w:bottom w:val="none" w:sz="0" w:space="0" w:color="auto"/>
        <w:right w:val="none" w:sz="0" w:space="0" w:color="auto"/>
      </w:divBdr>
    </w:div>
    <w:div w:id="1106735430">
      <w:bodyDiv w:val="1"/>
      <w:marLeft w:val="0"/>
      <w:marRight w:val="0"/>
      <w:marTop w:val="0"/>
      <w:marBottom w:val="0"/>
      <w:divBdr>
        <w:top w:val="none" w:sz="0" w:space="0" w:color="auto"/>
        <w:left w:val="none" w:sz="0" w:space="0" w:color="auto"/>
        <w:bottom w:val="none" w:sz="0" w:space="0" w:color="auto"/>
        <w:right w:val="none" w:sz="0" w:space="0" w:color="auto"/>
      </w:divBdr>
    </w:div>
    <w:div w:id="1140340210">
      <w:bodyDiv w:val="1"/>
      <w:marLeft w:val="0"/>
      <w:marRight w:val="0"/>
      <w:marTop w:val="0"/>
      <w:marBottom w:val="0"/>
      <w:divBdr>
        <w:top w:val="none" w:sz="0" w:space="0" w:color="auto"/>
        <w:left w:val="none" w:sz="0" w:space="0" w:color="auto"/>
        <w:bottom w:val="none" w:sz="0" w:space="0" w:color="auto"/>
        <w:right w:val="none" w:sz="0" w:space="0" w:color="auto"/>
      </w:divBdr>
    </w:div>
    <w:div w:id="1407608321">
      <w:bodyDiv w:val="1"/>
      <w:marLeft w:val="0"/>
      <w:marRight w:val="0"/>
      <w:marTop w:val="0"/>
      <w:marBottom w:val="0"/>
      <w:divBdr>
        <w:top w:val="none" w:sz="0" w:space="0" w:color="auto"/>
        <w:left w:val="none" w:sz="0" w:space="0" w:color="auto"/>
        <w:bottom w:val="none" w:sz="0" w:space="0" w:color="auto"/>
        <w:right w:val="none" w:sz="0" w:space="0" w:color="auto"/>
      </w:divBdr>
    </w:div>
    <w:div w:id="1412385023">
      <w:bodyDiv w:val="1"/>
      <w:marLeft w:val="0"/>
      <w:marRight w:val="0"/>
      <w:marTop w:val="0"/>
      <w:marBottom w:val="0"/>
      <w:divBdr>
        <w:top w:val="none" w:sz="0" w:space="0" w:color="auto"/>
        <w:left w:val="none" w:sz="0" w:space="0" w:color="auto"/>
        <w:bottom w:val="none" w:sz="0" w:space="0" w:color="auto"/>
        <w:right w:val="none" w:sz="0" w:space="0" w:color="auto"/>
      </w:divBdr>
    </w:div>
    <w:div w:id="1481771167">
      <w:bodyDiv w:val="1"/>
      <w:marLeft w:val="0"/>
      <w:marRight w:val="0"/>
      <w:marTop w:val="0"/>
      <w:marBottom w:val="0"/>
      <w:divBdr>
        <w:top w:val="none" w:sz="0" w:space="0" w:color="auto"/>
        <w:left w:val="none" w:sz="0" w:space="0" w:color="auto"/>
        <w:bottom w:val="none" w:sz="0" w:space="0" w:color="auto"/>
        <w:right w:val="none" w:sz="0" w:space="0" w:color="auto"/>
      </w:divBdr>
    </w:div>
    <w:div w:id="1533612166">
      <w:bodyDiv w:val="1"/>
      <w:marLeft w:val="0"/>
      <w:marRight w:val="0"/>
      <w:marTop w:val="0"/>
      <w:marBottom w:val="0"/>
      <w:divBdr>
        <w:top w:val="none" w:sz="0" w:space="0" w:color="auto"/>
        <w:left w:val="none" w:sz="0" w:space="0" w:color="auto"/>
        <w:bottom w:val="none" w:sz="0" w:space="0" w:color="auto"/>
        <w:right w:val="none" w:sz="0" w:space="0" w:color="auto"/>
      </w:divBdr>
    </w:div>
    <w:div w:id="1680883513">
      <w:bodyDiv w:val="1"/>
      <w:marLeft w:val="0"/>
      <w:marRight w:val="0"/>
      <w:marTop w:val="0"/>
      <w:marBottom w:val="0"/>
      <w:divBdr>
        <w:top w:val="none" w:sz="0" w:space="0" w:color="auto"/>
        <w:left w:val="none" w:sz="0" w:space="0" w:color="auto"/>
        <w:bottom w:val="none" w:sz="0" w:space="0" w:color="auto"/>
        <w:right w:val="none" w:sz="0" w:space="0" w:color="auto"/>
      </w:divBdr>
      <w:divsChild>
        <w:div w:id="1085303631">
          <w:marLeft w:val="0"/>
          <w:marRight w:val="0"/>
          <w:marTop w:val="0"/>
          <w:marBottom w:val="0"/>
          <w:divBdr>
            <w:top w:val="none" w:sz="0" w:space="0" w:color="auto"/>
            <w:left w:val="none" w:sz="0" w:space="0" w:color="auto"/>
            <w:bottom w:val="none" w:sz="0" w:space="0" w:color="auto"/>
            <w:right w:val="none" w:sz="0" w:space="0" w:color="auto"/>
          </w:divBdr>
        </w:div>
      </w:divsChild>
    </w:div>
    <w:div w:id="1724789013">
      <w:bodyDiv w:val="1"/>
      <w:marLeft w:val="0"/>
      <w:marRight w:val="0"/>
      <w:marTop w:val="0"/>
      <w:marBottom w:val="0"/>
      <w:divBdr>
        <w:top w:val="none" w:sz="0" w:space="0" w:color="auto"/>
        <w:left w:val="none" w:sz="0" w:space="0" w:color="auto"/>
        <w:bottom w:val="none" w:sz="0" w:space="0" w:color="auto"/>
        <w:right w:val="none" w:sz="0" w:space="0" w:color="auto"/>
      </w:divBdr>
    </w:div>
    <w:div w:id="1851791065">
      <w:bodyDiv w:val="1"/>
      <w:marLeft w:val="0"/>
      <w:marRight w:val="0"/>
      <w:marTop w:val="0"/>
      <w:marBottom w:val="0"/>
      <w:divBdr>
        <w:top w:val="none" w:sz="0" w:space="0" w:color="auto"/>
        <w:left w:val="none" w:sz="0" w:space="0" w:color="auto"/>
        <w:bottom w:val="none" w:sz="0" w:space="0" w:color="auto"/>
        <w:right w:val="none" w:sz="0" w:space="0" w:color="auto"/>
      </w:divBdr>
      <w:divsChild>
        <w:div w:id="839083341">
          <w:marLeft w:val="0"/>
          <w:marRight w:val="0"/>
          <w:marTop w:val="0"/>
          <w:marBottom w:val="0"/>
          <w:divBdr>
            <w:top w:val="none" w:sz="0" w:space="0" w:color="auto"/>
            <w:left w:val="none" w:sz="0" w:space="0" w:color="auto"/>
            <w:bottom w:val="none" w:sz="0" w:space="0" w:color="auto"/>
            <w:right w:val="none" w:sz="0" w:space="0" w:color="auto"/>
          </w:divBdr>
        </w:div>
      </w:divsChild>
    </w:div>
    <w:div w:id="1907495453">
      <w:bodyDiv w:val="1"/>
      <w:marLeft w:val="0"/>
      <w:marRight w:val="0"/>
      <w:marTop w:val="0"/>
      <w:marBottom w:val="0"/>
      <w:divBdr>
        <w:top w:val="none" w:sz="0" w:space="0" w:color="auto"/>
        <w:left w:val="none" w:sz="0" w:space="0" w:color="auto"/>
        <w:bottom w:val="none" w:sz="0" w:space="0" w:color="auto"/>
        <w:right w:val="none" w:sz="0" w:space="0" w:color="auto"/>
      </w:divBdr>
    </w:div>
    <w:div w:id="2001540083">
      <w:bodyDiv w:val="1"/>
      <w:marLeft w:val="0"/>
      <w:marRight w:val="0"/>
      <w:marTop w:val="0"/>
      <w:marBottom w:val="0"/>
      <w:divBdr>
        <w:top w:val="none" w:sz="0" w:space="0" w:color="auto"/>
        <w:left w:val="none" w:sz="0" w:space="0" w:color="auto"/>
        <w:bottom w:val="none" w:sz="0" w:space="0" w:color="auto"/>
        <w:right w:val="none" w:sz="0" w:space="0" w:color="auto"/>
      </w:divBdr>
    </w:div>
    <w:div w:id="2015648872">
      <w:bodyDiv w:val="1"/>
      <w:marLeft w:val="0"/>
      <w:marRight w:val="0"/>
      <w:marTop w:val="0"/>
      <w:marBottom w:val="0"/>
      <w:divBdr>
        <w:top w:val="none" w:sz="0" w:space="0" w:color="auto"/>
        <w:left w:val="none" w:sz="0" w:space="0" w:color="auto"/>
        <w:bottom w:val="none" w:sz="0" w:space="0" w:color="auto"/>
        <w:right w:val="none" w:sz="0" w:space="0" w:color="auto"/>
      </w:divBdr>
    </w:div>
    <w:div w:id="210449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186/s12889-020-8283-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1155/2014/96423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bmjopen-2015-010159" TargetMode="External"/><Relationship Id="rId5" Type="http://schemas.openxmlformats.org/officeDocument/2006/relationships/footnotes" Target="footnotes.xml"/><Relationship Id="rId15" Type="http://schemas.openxmlformats.org/officeDocument/2006/relationships/hyperlink" Target="https://www.who.int/news-room/fact-sheets/detail/obesity-and-overweight" TargetMode="External"/><Relationship Id="rId23" Type="http://schemas.openxmlformats.org/officeDocument/2006/relationships/theme" Target="theme/theme1.xml"/><Relationship Id="rId10" Type="http://schemas.openxmlformats.org/officeDocument/2006/relationships/hyperlink" Target="https://www.who.int/news-room/fact-sheets/detail/obesity-and-overweigh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503/cmaj.05135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a:solidFill>
                  <a:schemeClr val="tx1"/>
                </a:solidFill>
                <a:latin typeface="Times New Roman" panose="02020603050405020304" pitchFamily="18" charset="0"/>
                <a:cs typeface="Times New Roman" panose="02020603050405020304" pitchFamily="18" charset="0"/>
              </a:rPr>
              <a:t>% BMI</a:t>
            </a:r>
            <a:r>
              <a:rPr lang="en-IN" baseline="0">
                <a:solidFill>
                  <a:schemeClr val="tx1"/>
                </a:solidFill>
                <a:latin typeface="Times New Roman" panose="02020603050405020304" pitchFamily="18" charset="0"/>
                <a:cs typeface="Times New Roman" panose="02020603050405020304" pitchFamily="18" charset="0"/>
              </a:rPr>
              <a:t> of the patients</a:t>
            </a:r>
            <a:endParaRPr lang="en-IN">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UNDERWEIGHT</c:v>
                </c:pt>
                <c:pt idx="1">
                  <c:v>NORMAL WEIGHT</c:v>
                </c:pt>
                <c:pt idx="2">
                  <c:v>OVERWEIGHT</c:v>
                </c:pt>
                <c:pt idx="3">
                  <c:v>OBESITY</c:v>
                </c:pt>
              </c:strCache>
            </c:strRef>
          </c:cat>
          <c:val>
            <c:numRef>
              <c:f>Sheet1!$B$2:$B$5</c:f>
              <c:numCache>
                <c:formatCode>General</c:formatCode>
                <c:ptCount val="4"/>
                <c:pt idx="0">
                  <c:v>0</c:v>
                </c:pt>
                <c:pt idx="1">
                  <c:v>29.2</c:v>
                </c:pt>
                <c:pt idx="2">
                  <c:v>63.8</c:v>
                </c:pt>
                <c:pt idx="3">
                  <c:v>7.7</c:v>
                </c:pt>
              </c:numCache>
            </c:numRef>
          </c:val>
          <c:extLst>
            <c:ext xmlns:c16="http://schemas.microsoft.com/office/drawing/2014/chart" uri="{C3380CC4-5D6E-409C-BE32-E72D297353CC}">
              <c16:uniqueId val="{00000000-147B-4E88-B4B2-36B8F4C6B3AD}"/>
            </c:ext>
          </c:extLst>
        </c:ser>
        <c:ser>
          <c:idx val="1"/>
          <c:order val="1"/>
          <c:tx>
            <c:strRef>
              <c:f>Sheet1!$C$1</c:f>
              <c:strCache>
                <c:ptCount val="1"/>
                <c:pt idx="0">
                  <c:v>FEMALE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UNDERWEIGHT</c:v>
                </c:pt>
                <c:pt idx="1">
                  <c:v>NORMAL WEIGHT</c:v>
                </c:pt>
                <c:pt idx="2">
                  <c:v>OVERWEIGHT</c:v>
                </c:pt>
                <c:pt idx="3">
                  <c:v>OBESITY</c:v>
                </c:pt>
              </c:strCache>
            </c:strRef>
          </c:cat>
          <c:val>
            <c:numRef>
              <c:f>Sheet1!$C$2:$C$5</c:f>
              <c:numCache>
                <c:formatCode>General</c:formatCode>
                <c:ptCount val="4"/>
                <c:pt idx="0">
                  <c:v>8.4</c:v>
                </c:pt>
                <c:pt idx="1">
                  <c:v>28.4</c:v>
                </c:pt>
                <c:pt idx="2">
                  <c:v>31.7</c:v>
                </c:pt>
                <c:pt idx="3">
                  <c:v>31.7</c:v>
                </c:pt>
              </c:numCache>
            </c:numRef>
          </c:val>
          <c:extLst>
            <c:ext xmlns:c16="http://schemas.microsoft.com/office/drawing/2014/chart" uri="{C3380CC4-5D6E-409C-BE32-E72D297353CC}">
              <c16:uniqueId val="{00000001-147B-4E88-B4B2-36B8F4C6B3AD}"/>
            </c:ext>
          </c:extLst>
        </c:ser>
        <c:ser>
          <c:idx val="2"/>
          <c:order val="2"/>
          <c:tx>
            <c:strRef>
              <c:f>Sheet1!$D$1</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UNDERWEIGHT</c:v>
                </c:pt>
                <c:pt idx="1">
                  <c:v>NORMAL WEIGHT</c:v>
                </c:pt>
                <c:pt idx="2">
                  <c:v>OVERWEIGHT</c:v>
                </c:pt>
                <c:pt idx="3">
                  <c:v>OBESITY</c:v>
                </c:pt>
              </c:strCache>
            </c:strRef>
          </c:cat>
          <c:val>
            <c:numRef>
              <c:f>Sheet1!$D$2:$D$5</c:f>
              <c:numCache>
                <c:formatCode>General</c:formatCode>
                <c:ptCount val="4"/>
                <c:pt idx="0">
                  <c:v>4</c:v>
                </c:pt>
                <c:pt idx="1">
                  <c:v>28.8</c:v>
                </c:pt>
                <c:pt idx="2">
                  <c:v>48</c:v>
                </c:pt>
                <c:pt idx="3">
                  <c:v>19.2</c:v>
                </c:pt>
              </c:numCache>
            </c:numRef>
          </c:val>
          <c:extLst>
            <c:ext xmlns:c16="http://schemas.microsoft.com/office/drawing/2014/chart" uri="{C3380CC4-5D6E-409C-BE32-E72D297353CC}">
              <c16:uniqueId val="{00000002-147B-4E88-B4B2-36B8F4C6B3AD}"/>
            </c:ext>
          </c:extLst>
        </c:ser>
        <c:dLbls>
          <c:showLegendKey val="0"/>
          <c:showVal val="0"/>
          <c:showCatName val="0"/>
          <c:showSerName val="0"/>
          <c:showPercent val="0"/>
          <c:showBubbleSize val="0"/>
        </c:dLbls>
        <c:gapWidth val="219"/>
        <c:overlap val="-27"/>
        <c:axId val="633637048"/>
        <c:axId val="633631648"/>
      </c:barChart>
      <c:catAx>
        <c:axId val="633637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3631648"/>
        <c:crosses val="autoZero"/>
        <c:auto val="1"/>
        <c:lblAlgn val="ctr"/>
        <c:lblOffset val="100"/>
        <c:noMultiLvlLbl val="0"/>
      </c:catAx>
      <c:valAx>
        <c:axId val="63363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3637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a:solidFill>
                  <a:schemeClr val="tx1"/>
                </a:solidFill>
                <a:latin typeface="Times New Roman" panose="02020603050405020304" pitchFamily="18" charset="0"/>
                <a:cs typeface="Times New Roman" panose="02020603050405020304" pitchFamily="18" charset="0"/>
              </a:rPr>
              <a:t>% of </a:t>
            </a:r>
            <a:r>
              <a:rPr lang="en-IN" sz="1200" b="0" i="0" u="none" strike="noStrike" kern="1200" spc="0" baseline="0">
                <a:solidFill>
                  <a:schemeClr val="tx1"/>
                </a:solidFill>
                <a:latin typeface="Times New Roman" panose="02020603050405020304" pitchFamily="18" charset="0"/>
                <a:cs typeface="Times New Roman" panose="02020603050405020304" pitchFamily="18" charset="0"/>
              </a:rPr>
              <a:t>Smoking</a:t>
            </a:r>
            <a:r>
              <a:rPr lang="en-IN" sz="1200">
                <a:solidFill>
                  <a:schemeClr val="tx1"/>
                </a:solidFill>
                <a:latin typeface="Times New Roman" panose="02020603050405020304" pitchFamily="18" charset="0"/>
                <a:cs typeface="Times New Roman" panose="02020603050405020304" pitchFamily="18" charset="0"/>
              </a:rPr>
              <a:t> Consumption</a:t>
            </a:r>
            <a:r>
              <a:rPr lang="en-IN" sz="1200" baseline="0">
                <a:solidFill>
                  <a:schemeClr val="tx1"/>
                </a:solidFill>
                <a:latin typeface="Times New Roman" panose="02020603050405020304" pitchFamily="18" charset="0"/>
                <a:cs typeface="Times New Roman" panose="02020603050405020304" pitchFamily="18" charset="0"/>
              </a:rPr>
              <a:t> of Tobacco and Alcohol</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SMOKING</c:v>
                </c:pt>
                <c:pt idx="1">
                  <c:v>TOBACCO</c:v>
                </c:pt>
                <c:pt idx="2">
                  <c:v>ALCOHAL OCCATIONALLY</c:v>
                </c:pt>
              </c:strCache>
            </c:strRef>
          </c:cat>
          <c:val>
            <c:numRef>
              <c:f>Sheet1!$B$2:$B$4</c:f>
              <c:numCache>
                <c:formatCode>General</c:formatCode>
                <c:ptCount val="3"/>
                <c:pt idx="0">
                  <c:v>3.9</c:v>
                </c:pt>
                <c:pt idx="1">
                  <c:v>18.5</c:v>
                </c:pt>
                <c:pt idx="2">
                  <c:v>18.5</c:v>
                </c:pt>
              </c:numCache>
            </c:numRef>
          </c:val>
          <c:extLst>
            <c:ext xmlns:c16="http://schemas.microsoft.com/office/drawing/2014/chart" uri="{C3380CC4-5D6E-409C-BE32-E72D297353CC}">
              <c16:uniqueId val="{00000000-3E91-4CC4-8422-7393643484ED}"/>
            </c:ext>
          </c:extLst>
        </c:ser>
        <c:ser>
          <c:idx val="1"/>
          <c:order val="1"/>
          <c:tx>
            <c:strRef>
              <c:f>Sheet1!$C$1</c:f>
              <c:strCache>
                <c:ptCount val="1"/>
                <c:pt idx="0">
                  <c:v>FEMALE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SMOKING</c:v>
                </c:pt>
                <c:pt idx="1">
                  <c:v>TOBACCO</c:v>
                </c:pt>
                <c:pt idx="2">
                  <c:v>ALCOHAL OCCATIONALLY</c:v>
                </c:pt>
              </c:strCache>
            </c:strRef>
          </c:cat>
          <c:val>
            <c:numRef>
              <c:f>Sheet1!$C$2:$C$4</c:f>
              <c:numCache>
                <c:formatCode>General</c:formatCode>
                <c:ptCount val="3"/>
                <c:pt idx="0">
                  <c:v>0</c:v>
                </c:pt>
                <c:pt idx="1">
                  <c:v>4</c:v>
                </c:pt>
                <c:pt idx="2">
                  <c:v>0</c:v>
                </c:pt>
              </c:numCache>
            </c:numRef>
          </c:val>
          <c:extLst>
            <c:ext xmlns:c16="http://schemas.microsoft.com/office/drawing/2014/chart" uri="{C3380CC4-5D6E-409C-BE32-E72D297353CC}">
              <c16:uniqueId val="{00000001-3E91-4CC4-8422-7393643484ED}"/>
            </c:ext>
          </c:extLst>
        </c:ser>
        <c:ser>
          <c:idx val="2"/>
          <c:order val="2"/>
          <c:tx>
            <c:strRef>
              <c:f>Sheet1!$D$1</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SMOKING</c:v>
                </c:pt>
                <c:pt idx="1">
                  <c:v>TOBACCO</c:v>
                </c:pt>
                <c:pt idx="2">
                  <c:v>ALCOHAL OCCATIONALLY</c:v>
                </c:pt>
              </c:strCache>
            </c:strRef>
          </c:cat>
          <c:val>
            <c:numRef>
              <c:f>Sheet1!$D$2:$D$4</c:f>
              <c:numCache>
                <c:formatCode>General</c:formatCode>
                <c:ptCount val="3"/>
                <c:pt idx="0">
                  <c:v>2</c:v>
                </c:pt>
                <c:pt idx="1">
                  <c:v>11.6</c:v>
                </c:pt>
                <c:pt idx="2">
                  <c:v>9.6</c:v>
                </c:pt>
              </c:numCache>
            </c:numRef>
          </c:val>
          <c:extLst>
            <c:ext xmlns:c16="http://schemas.microsoft.com/office/drawing/2014/chart" uri="{C3380CC4-5D6E-409C-BE32-E72D297353CC}">
              <c16:uniqueId val="{00000002-3E91-4CC4-8422-7393643484ED}"/>
            </c:ext>
          </c:extLst>
        </c:ser>
        <c:dLbls>
          <c:dLblPos val="outEnd"/>
          <c:showLegendKey val="0"/>
          <c:showVal val="1"/>
          <c:showCatName val="0"/>
          <c:showSerName val="0"/>
          <c:showPercent val="0"/>
          <c:showBubbleSize val="0"/>
        </c:dLbls>
        <c:gapWidth val="219"/>
        <c:overlap val="-27"/>
        <c:axId val="637216848"/>
        <c:axId val="637210008"/>
      </c:barChart>
      <c:catAx>
        <c:axId val="63721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210008"/>
        <c:crosses val="autoZero"/>
        <c:auto val="1"/>
        <c:lblAlgn val="ctr"/>
        <c:lblOffset val="100"/>
        <c:noMultiLvlLbl val="0"/>
      </c:catAx>
      <c:valAx>
        <c:axId val="63721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21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chemeClr val="tx1"/>
                </a:solidFill>
                <a:latin typeface="Times New Roman" panose="02020603050405020304" pitchFamily="18" charset="0"/>
                <a:cs typeface="Times New Roman" panose="02020603050405020304" pitchFamily="18" charset="0"/>
              </a:rPr>
              <a:t>% of Physical Activity</a:t>
            </a:r>
          </a:p>
        </c:rich>
      </c:tx>
      <c:layout>
        <c:manualLayout>
          <c:xMode val="edge"/>
          <c:yMode val="edge"/>
          <c:x val="0.39911453776611255"/>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Sedentary</c:v>
                </c:pt>
                <c:pt idx="1">
                  <c:v>Moderate</c:v>
                </c:pt>
                <c:pt idx="2">
                  <c:v>Heavy</c:v>
                </c:pt>
              </c:strCache>
            </c:strRef>
          </c:cat>
          <c:val>
            <c:numRef>
              <c:f>Sheet1!$B$2:$B$4</c:f>
              <c:numCache>
                <c:formatCode>General</c:formatCode>
                <c:ptCount val="3"/>
                <c:pt idx="0">
                  <c:v>30</c:v>
                </c:pt>
                <c:pt idx="1">
                  <c:v>55.4</c:v>
                </c:pt>
                <c:pt idx="2">
                  <c:v>14.6</c:v>
                </c:pt>
              </c:numCache>
            </c:numRef>
          </c:val>
          <c:extLst>
            <c:ext xmlns:c16="http://schemas.microsoft.com/office/drawing/2014/chart" uri="{C3380CC4-5D6E-409C-BE32-E72D297353CC}">
              <c16:uniqueId val="{00000000-7BBC-4B05-8572-70DB16EC0D07}"/>
            </c:ext>
          </c:extLst>
        </c:ser>
        <c:ser>
          <c:idx val="1"/>
          <c:order val="1"/>
          <c:tx>
            <c:strRef>
              <c:f>Sheet1!$C$1</c:f>
              <c:strCache>
                <c:ptCount val="1"/>
                <c:pt idx="0">
                  <c:v>FEMALE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Sedentary</c:v>
                </c:pt>
                <c:pt idx="1">
                  <c:v>Moderate</c:v>
                </c:pt>
                <c:pt idx="2">
                  <c:v>Heavy</c:v>
                </c:pt>
              </c:strCache>
            </c:strRef>
          </c:cat>
          <c:val>
            <c:numRef>
              <c:f>Sheet1!$C$2:$C$4</c:f>
              <c:numCache>
                <c:formatCode>General</c:formatCode>
                <c:ptCount val="3"/>
                <c:pt idx="0">
                  <c:v>27.5</c:v>
                </c:pt>
                <c:pt idx="1">
                  <c:v>54.2</c:v>
                </c:pt>
                <c:pt idx="2">
                  <c:v>18.3</c:v>
                </c:pt>
              </c:numCache>
            </c:numRef>
          </c:val>
          <c:extLst>
            <c:ext xmlns:c16="http://schemas.microsoft.com/office/drawing/2014/chart" uri="{C3380CC4-5D6E-409C-BE32-E72D297353CC}">
              <c16:uniqueId val="{00000001-7BBC-4B05-8572-70DB16EC0D07}"/>
            </c:ext>
          </c:extLst>
        </c:ser>
        <c:ser>
          <c:idx val="2"/>
          <c:order val="2"/>
          <c:tx>
            <c:strRef>
              <c:f>Sheet1!$D$1</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Sedentary</c:v>
                </c:pt>
                <c:pt idx="1">
                  <c:v>Moderate</c:v>
                </c:pt>
                <c:pt idx="2">
                  <c:v>Heavy</c:v>
                </c:pt>
              </c:strCache>
            </c:strRef>
          </c:cat>
          <c:val>
            <c:numRef>
              <c:f>Sheet1!$D$2:$D$4</c:f>
              <c:numCache>
                <c:formatCode>General</c:formatCode>
                <c:ptCount val="3"/>
                <c:pt idx="0">
                  <c:v>28.8</c:v>
                </c:pt>
                <c:pt idx="1">
                  <c:v>54.8</c:v>
                </c:pt>
                <c:pt idx="2">
                  <c:v>16.399999999999999</c:v>
                </c:pt>
              </c:numCache>
            </c:numRef>
          </c:val>
          <c:extLst>
            <c:ext xmlns:c16="http://schemas.microsoft.com/office/drawing/2014/chart" uri="{C3380CC4-5D6E-409C-BE32-E72D297353CC}">
              <c16:uniqueId val="{00000002-7BBC-4B05-8572-70DB16EC0D07}"/>
            </c:ext>
          </c:extLst>
        </c:ser>
        <c:dLbls>
          <c:dLblPos val="outEnd"/>
          <c:showLegendKey val="0"/>
          <c:showVal val="1"/>
          <c:showCatName val="0"/>
          <c:showSerName val="0"/>
          <c:showPercent val="0"/>
          <c:showBubbleSize val="0"/>
        </c:dLbls>
        <c:gapWidth val="219"/>
        <c:overlap val="-27"/>
        <c:axId val="547375712"/>
        <c:axId val="547380752"/>
      </c:barChart>
      <c:catAx>
        <c:axId val="54737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7380752"/>
        <c:crosses val="autoZero"/>
        <c:auto val="1"/>
        <c:lblAlgn val="ctr"/>
        <c:lblOffset val="100"/>
        <c:noMultiLvlLbl val="0"/>
      </c:catAx>
      <c:valAx>
        <c:axId val="54738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737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4216</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jahnvi sharma</dc:creator>
  <cp:keywords/>
  <dc:description/>
  <cp:lastModifiedBy>Editor-22</cp:lastModifiedBy>
  <cp:revision>13</cp:revision>
  <dcterms:created xsi:type="dcterms:W3CDTF">2025-05-10T15:28:00Z</dcterms:created>
  <dcterms:modified xsi:type="dcterms:W3CDTF">2025-05-12T11:45:00Z</dcterms:modified>
</cp:coreProperties>
</file>