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41CDF" w14:textId="77777777" w:rsidR="00082E25" w:rsidRDefault="00DA585A" w:rsidP="005B6FFA">
      <w:pPr>
        <w:spacing w:line="480" w:lineRule="auto"/>
        <w:jc w:val="both"/>
        <w:rPr>
          <w:rFonts w:ascii="Arial" w:hAnsi="Arial" w:cs="Arial"/>
          <w:b/>
          <w:sz w:val="20"/>
          <w:szCs w:val="20"/>
        </w:rPr>
      </w:pPr>
      <w:r w:rsidRPr="007A3962">
        <w:rPr>
          <w:rFonts w:ascii="Arial" w:hAnsi="Arial" w:cs="Arial"/>
          <w:b/>
          <w:sz w:val="20"/>
          <w:szCs w:val="20"/>
        </w:rPr>
        <w:t>ISOLATION AND CHARACTERISATION OF INDIGENOUS PHOSPHATE SOLUBILISING MICROBES AND THEIR PROBIOTIC POTENTIALS IN MALAWI AQUATIC ECOSYSTEMS</w:t>
      </w:r>
    </w:p>
    <w:p w14:paraId="4D73CD8A" w14:textId="77777777" w:rsidR="00CA2C5E" w:rsidRPr="007A3962" w:rsidRDefault="00CA2C5E" w:rsidP="005B6FFA">
      <w:pPr>
        <w:spacing w:line="480" w:lineRule="auto"/>
        <w:jc w:val="both"/>
        <w:rPr>
          <w:rFonts w:ascii="Arial" w:hAnsi="Arial" w:cs="Arial"/>
          <w:b/>
          <w:sz w:val="20"/>
          <w:szCs w:val="20"/>
        </w:rPr>
      </w:pPr>
    </w:p>
    <w:p w14:paraId="3D28BD54" w14:textId="77777777" w:rsidR="00FF7F6A" w:rsidRDefault="00FF7F6A" w:rsidP="005B6FFA">
      <w:pPr>
        <w:spacing w:line="480" w:lineRule="auto"/>
        <w:jc w:val="both"/>
        <w:rPr>
          <w:rFonts w:ascii="Arial" w:hAnsi="Arial" w:cs="Arial"/>
          <w:b/>
        </w:rPr>
      </w:pPr>
    </w:p>
    <w:p w14:paraId="3D52D9D7" w14:textId="47B67163" w:rsidR="00082E25" w:rsidRPr="00360DB0" w:rsidRDefault="00360DB0" w:rsidP="005B6FFA">
      <w:pPr>
        <w:spacing w:line="480" w:lineRule="auto"/>
        <w:jc w:val="both"/>
        <w:rPr>
          <w:rFonts w:ascii="Arial" w:hAnsi="Arial" w:cs="Arial"/>
          <w:b/>
        </w:rPr>
      </w:pPr>
      <w:r w:rsidRPr="00360DB0">
        <w:rPr>
          <w:rFonts w:ascii="Arial" w:hAnsi="Arial" w:cs="Arial"/>
          <w:b/>
        </w:rPr>
        <w:t>ABSTRACT</w:t>
      </w:r>
    </w:p>
    <w:p w14:paraId="2E7BD2B7" w14:textId="77777777" w:rsidR="00360DB0" w:rsidRDefault="00082E25" w:rsidP="005B6FFA">
      <w:pPr>
        <w:spacing w:line="480" w:lineRule="auto"/>
        <w:jc w:val="both"/>
        <w:rPr>
          <w:rFonts w:ascii="Arial" w:hAnsi="Arial" w:cs="Arial"/>
          <w:sz w:val="20"/>
          <w:szCs w:val="20"/>
        </w:rPr>
      </w:pPr>
      <w:r w:rsidRPr="007A3962">
        <w:rPr>
          <w:rFonts w:ascii="Arial" w:hAnsi="Arial" w:cs="Arial"/>
          <w:sz w:val="20"/>
          <w:szCs w:val="20"/>
        </w:rPr>
        <w:t xml:space="preserve">Phosphate solubilizing microbes (PSM) were isolated from the rhizosphere of different </w:t>
      </w:r>
      <w:r w:rsidR="00DA585A" w:rsidRPr="007A3962">
        <w:rPr>
          <w:rFonts w:ascii="Arial" w:hAnsi="Arial" w:cs="Arial"/>
          <w:sz w:val="20"/>
          <w:szCs w:val="20"/>
        </w:rPr>
        <w:t>aquatic plants, water and benthic soils</w:t>
      </w:r>
      <w:r w:rsidRPr="007A3962">
        <w:rPr>
          <w:rFonts w:ascii="Arial" w:hAnsi="Arial" w:cs="Arial"/>
          <w:sz w:val="20"/>
          <w:szCs w:val="20"/>
        </w:rPr>
        <w:t xml:space="preserve"> </w:t>
      </w:r>
      <w:r w:rsidR="00DA585A" w:rsidRPr="007A3962">
        <w:rPr>
          <w:rFonts w:ascii="Arial" w:hAnsi="Arial" w:cs="Arial"/>
          <w:sz w:val="20"/>
          <w:szCs w:val="20"/>
        </w:rPr>
        <w:t>of aquatic ecosystem</w:t>
      </w:r>
      <w:r w:rsidRPr="007A3962">
        <w:rPr>
          <w:rFonts w:ascii="Arial" w:hAnsi="Arial" w:cs="Arial"/>
          <w:sz w:val="20"/>
          <w:szCs w:val="20"/>
        </w:rPr>
        <w:t xml:space="preserve"> with the aim of having cheap and environmental friendly </w:t>
      </w:r>
      <w:r w:rsidR="00D57BF6" w:rsidRPr="007A3962">
        <w:rPr>
          <w:rFonts w:ascii="Arial" w:hAnsi="Arial" w:cs="Arial"/>
          <w:sz w:val="20"/>
          <w:szCs w:val="20"/>
        </w:rPr>
        <w:t xml:space="preserve">biofertiliser and probiotics. </w:t>
      </w:r>
      <w:r w:rsidRPr="007A3962">
        <w:rPr>
          <w:rFonts w:ascii="Arial" w:hAnsi="Arial" w:cs="Arial"/>
          <w:sz w:val="20"/>
          <w:szCs w:val="20"/>
        </w:rPr>
        <w:t xml:space="preserve">Extensive research has been performed with respect to PSM isolation from the rhizospheres of various plants in different locations, but little is known about the </w:t>
      </w:r>
      <w:r w:rsidR="00D57BF6" w:rsidRPr="007A3962">
        <w:rPr>
          <w:rFonts w:ascii="Arial" w:hAnsi="Arial" w:cs="Arial"/>
          <w:sz w:val="20"/>
          <w:szCs w:val="20"/>
        </w:rPr>
        <w:t>in-depth</w:t>
      </w:r>
      <w:r w:rsidRPr="007A3962">
        <w:rPr>
          <w:rFonts w:ascii="Arial" w:hAnsi="Arial" w:cs="Arial"/>
          <w:sz w:val="20"/>
          <w:szCs w:val="20"/>
        </w:rPr>
        <w:t xml:space="preserve"> of PSM </w:t>
      </w:r>
      <w:r w:rsidR="00D57BF6" w:rsidRPr="007A3962">
        <w:rPr>
          <w:rFonts w:ascii="Arial" w:hAnsi="Arial" w:cs="Arial"/>
          <w:sz w:val="20"/>
          <w:szCs w:val="20"/>
        </w:rPr>
        <w:t xml:space="preserve">and their probiotic potential </w:t>
      </w:r>
      <w:r w:rsidRPr="007A3962">
        <w:rPr>
          <w:rFonts w:ascii="Arial" w:hAnsi="Arial" w:cs="Arial"/>
          <w:sz w:val="20"/>
          <w:szCs w:val="20"/>
        </w:rPr>
        <w:t>in Malawi</w:t>
      </w:r>
      <w:r w:rsidR="00DA585A" w:rsidRPr="007A3962">
        <w:rPr>
          <w:rFonts w:ascii="Arial" w:hAnsi="Arial" w:cs="Arial"/>
          <w:sz w:val="20"/>
          <w:szCs w:val="20"/>
        </w:rPr>
        <w:t xml:space="preserve"> aquatic ecosystem</w:t>
      </w:r>
      <w:r w:rsidRPr="007A3962">
        <w:rPr>
          <w:rFonts w:ascii="Arial" w:hAnsi="Arial" w:cs="Arial"/>
          <w:sz w:val="20"/>
          <w:szCs w:val="20"/>
        </w:rPr>
        <w:t xml:space="preserve">. </w:t>
      </w:r>
    </w:p>
    <w:p w14:paraId="5F4F8681" w14:textId="77777777" w:rsidR="00360DB0" w:rsidRDefault="00082E25" w:rsidP="005B6FFA">
      <w:pPr>
        <w:spacing w:line="480" w:lineRule="auto"/>
        <w:jc w:val="both"/>
        <w:rPr>
          <w:rFonts w:ascii="Arial" w:hAnsi="Arial" w:cs="Arial"/>
          <w:sz w:val="20"/>
          <w:szCs w:val="20"/>
        </w:rPr>
      </w:pPr>
      <w:r w:rsidRPr="007A3962">
        <w:rPr>
          <w:rFonts w:ascii="Arial" w:hAnsi="Arial" w:cs="Arial"/>
          <w:sz w:val="20"/>
          <w:szCs w:val="20"/>
        </w:rPr>
        <w:t xml:space="preserve">Isolates were screened on the basis of solubilizing inorganic Phosphorous (P) </w:t>
      </w:r>
      <w:r w:rsidR="00DA585A" w:rsidRPr="007A3962">
        <w:rPr>
          <w:rFonts w:ascii="Arial" w:hAnsi="Arial" w:cs="Arial"/>
          <w:sz w:val="20"/>
          <w:szCs w:val="20"/>
        </w:rPr>
        <w:t>using</w:t>
      </w:r>
      <w:r w:rsidRPr="007A3962">
        <w:rPr>
          <w:rFonts w:ascii="Arial" w:hAnsi="Arial" w:cs="Arial"/>
          <w:sz w:val="20"/>
          <w:szCs w:val="20"/>
        </w:rPr>
        <w:t xml:space="preserve"> Pikovskaya’s media, soil and rock supplemented. </w:t>
      </w:r>
      <w:r w:rsidR="00C84D1D" w:rsidRPr="007A3962">
        <w:rPr>
          <w:rFonts w:ascii="Arial" w:hAnsi="Arial" w:cs="Arial"/>
          <w:sz w:val="20"/>
          <w:szCs w:val="20"/>
        </w:rPr>
        <w:t xml:space="preserve">Molecular </w:t>
      </w:r>
      <w:r w:rsidRPr="007A3962">
        <w:rPr>
          <w:rFonts w:ascii="Arial" w:hAnsi="Arial" w:cs="Arial"/>
          <w:sz w:val="20"/>
          <w:szCs w:val="20"/>
        </w:rPr>
        <w:t xml:space="preserve">characterization </w:t>
      </w:r>
      <w:r w:rsidR="00C84D1D" w:rsidRPr="007A3962">
        <w:rPr>
          <w:rFonts w:ascii="Arial" w:hAnsi="Arial" w:cs="Arial"/>
          <w:sz w:val="20"/>
          <w:szCs w:val="20"/>
        </w:rPr>
        <w:t xml:space="preserve">of the conserved genes (16S rRNA and 18S rRNA) </w:t>
      </w:r>
      <w:r w:rsidRPr="007A3962">
        <w:rPr>
          <w:rFonts w:ascii="Arial" w:hAnsi="Arial" w:cs="Arial"/>
          <w:sz w:val="20"/>
          <w:szCs w:val="20"/>
        </w:rPr>
        <w:t xml:space="preserve">and biochemical </w:t>
      </w:r>
      <w:r w:rsidR="00C84D1D" w:rsidRPr="007A3962">
        <w:rPr>
          <w:rFonts w:ascii="Arial" w:hAnsi="Arial" w:cs="Arial"/>
          <w:sz w:val="20"/>
          <w:szCs w:val="20"/>
        </w:rPr>
        <w:t>test were employed in taxonomic analysis</w:t>
      </w:r>
      <w:r w:rsidRPr="007A3962">
        <w:rPr>
          <w:rFonts w:ascii="Arial" w:hAnsi="Arial" w:cs="Arial"/>
          <w:sz w:val="20"/>
          <w:szCs w:val="20"/>
        </w:rPr>
        <w:t xml:space="preserve">. </w:t>
      </w:r>
      <w:r w:rsidR="001C3A59" w:rsidRPr="007A3962">
        <w:rPr>
          <w:rFonts w:ascii="Arial" w:hAnsi="Arial" w:cs="Arial"/>
          <w:sz w:val="20"/>
          <w:szCs w:val="20"/>
        </w:rPr>
        <w:t>Candidacy of strains was primarily based solubilisation</w:t>
      </w:r>
      <w:r w:rsidRPr="007A3962">
        <w:rPr>
          <w:rFonts w:ascii="Arial" w:hAnsi="Arial" w:cs="Arial"/>
          <w:sz w:val="20"/>
          <w:szCs w:val="20"/>
        </w:rPr>
        <w:t xml:space="preserve"> index of </w:t>
      </w:r>
      <w:r w:rsidR="001C3A59" w:rsidRPr="007A3962">
        <w:rPr>
          <w:rFonts w:ascii="Arial" w:hAnsi="Arial" w:cs="Arial"/>
          <w:sz w:val="20"/>
          <w:szCs w:val="20"/>
        </w:rPr>
        <w:t xml:space="preserve">more than </w:t>
      </w:r>
      <w:r w:rsidR="00555567" w:rsidRPr="007A3962">
        <w:rPr>
          <w:rFonts w:ascii="Arial" w:hAnsi="Arial" w:cs="Arial"/>
          <w:sz w:val="20"/>
          <w:szCs w:val="20"/>
        </w:rPr>
        <w:t>3</w:t>
      </w:r>
      <w:r w:rsidRPr="007A3962">
        <w:rPr>
          <w:rFonts w:ascii="Arial" w:hAnsi="Arial" w:cs="Arial"/>
          <w:sz w:val="20"/>
          <w:szCs w:val="20"/>
        </w:rPr>
        <w:t xml:space="preserve"> complimented by production </w:t>
      </w:r>
      <w:r w:rsidR="004D0CE8" w:rsidRPr="007A3962">
        <w:rPr>
          <w:rFonts w:ascii="Arial" w:hAnsi="Arial" w:cs="Arial"/>
          <w:sz w:val="20"/>
          <w:szCs w:val="20"/>
        </w:rPr>
        <w:t>of</w:t>
      </w:r>
      <w:r w:rsidR="00DA585A" w:rsidRPr="007A3962">
        <w:rPr>
          <w:rFonts w:ascii="Arial" w:hAnsi="Arial" w:cs="Arial"/>
          <w:sz w:val="20"/>
          <w:szCs w:val="20"/>
        </w:rPr>
        <w:t xml:space="preserve"> diverse </w:t>
      </w:r>
      <w:r w:rsidR="00360DB0">
        <w:rPr>
          <w:rFonts w:ascii="Arial" w:hAnsi="Arial" w:cs="Arial"/>
          <w:sz w:val="20"/>
          <w:szCs w:val="20"/>
        </w:rPr>
        <w:t xml:space="preserve">plant growth promoting, </w:t>
      </w:r>
      <w:r w:rsidR="00EA1F71" w:rsidRPr="007A3962">
        <w:rPr>
          <w:rFonts w:ascii="Arial" w:hAnsi="Arial" w:cs="Arial"/>
          <w:sz w:val="20"/>
          <w:szCs w:val="20"/>
        </w:rPr>
        <w:t xml:space="preserve">bioremediation </w:t>
      </w:r>
      <w:r w:rsidR="00DA585A" w:rsidRPr="007A3962">
        <w:rPr>
          <w:rFonts w:ascii="Arial" w:hAnsi="Arial" w:cs="Arial"/>
          <w:sz w:val="20"/>
          <w:szCs w:val="20"/>
        </w:rPr>
        <w:t>and probiotic traits</w:t>
      </w:r>
      <w:r w:rsidRPr="007A3962">
        <w:rPr>
          <w:rFonts w:ascii="Arial" w:hAnsi="Arial" w:cs="Arial"/>
          <w:sz w:val="20"/>
          <w:szCs w:val="20"/>
        </w:rPr>
        <w:t xml:space="preserve">. </w:t>
      </w:r>
    </w:p>
    <w:p w14:paraId="08E7DC68" w14:textId="77777777" w:rsidR="00360DB0" w:rsidRDefault="00082E25" w:rsidP="005B6FFA">
      <w:pPr>
        <w:spacing w:line="480" w:lineRule="auto"/>
        <w:jc w:val="both"/>
        <w:rPr>
          <w:rFonts w:ascii="Arial" w:hAnsi="Arial" w:cs="Arial"/>
          <w:sz w:val="20"/>
          <w:szCs w:val="20"/>
        </w:rPr>
      </w:pPr>
      <w:r w:rsidRPr="007A3962">
        <w:rPr>
          <w:rFonts w:ascii="Arial" w:hAnsi="Arial" w:cs="Arial"/>
          <w:sz w:val="20"/>
          <w:szCs w:val="20"/>
        </w:rPr>
        <w:t xml:space="preserve">The </w:t>
      </w:r>
      <w:r w:rsidR="00EA1F71" w:rsidRPr="007A3962">
        <w:rPr>
          <w:rFonts w:ascii="Arial" w:hAnsi="Arial" w:cs="Arial"/>
          <w:sz w:val="20"/>
          <w:szCs w:val="20"/>
        </w:rPr>
        <w:t xml:space="preserve">selected </w:t>
      </w:r>
      <w:r w:rsidRPr="007A3962">
        <w:rPr>
          <w:rFonts w:ascii="Arial" w:hAnsi="Arial" w:cs="Arial"/>
          <w:sz w:val="20"/>
          <w:szCs w:val="20"/>
        </w:rPr>
        <w:t xml:space="preserve">strains </w:t>
      </w:r>
      <w:r w:rsidR="00EA1F71" w:rsidRPr="007A3962">
        <w:rPr>
          <w:rFonts w:ascii="Arial" w:hAnsi="Arial" w:cs="Arial"/>
          <w:sz w:val="20"/>
          <w:szCs w:val="20"/>
        </w:rPr>
        <w:t xml:space="preserve">with commercial implications </w:t>
      </w:r>
      <w:r w:rsidRPr="007A3962">
        <w:rPr>
          <w:rFonts w:ascii="Arial" w:hAnsi="Arial" w:cs="Arial"/>
          <w:sz w:val="20"/>
          <w:szCs w:val="20"/>
        </w:rPr>
        <w:t>were identified as</w:t>
      </w:r>
      <w:r w:rsidR="0006492B" w:rsidRPr="007A3962">
        <w:rPr>
          <w:rFonts w:ascii="Arial" w:hAnsi="Arial" w:cs="Arial"/>
          <w:sz w:val="20"/>
          <w:szCs w:val="20"/>
        </w:rPr>
        <w:t xml:space="preserve"> </w:t>
      </w:r>
      <w:r w:rsidR="0006492B" w:rsidRPr="007A3962">
        <w:rPr>
          <w:rFonts w:ascii="Arial" w:hAnsi="Arial" w:cs="Arial"/>
          <w:i/>
          <w:sz w:val="20"/>
          <w:szCs w:val="20"/>
        </w:rPr>
        <w:t>Alcaligenes ammonioxydans, Enterococcus faecium, Citrobacter braakii, Enterobacter cancerogenus, Geotrichum sp. and Aspergillus sibiricus</w:t>
      </w:r>
      <w:r w:rsidRPr="007A3962">
        <w:rPr>
          <w:rFonts w:ascii="Arial" w:hAnsi="Arial" w:cs="Arial"/>
          <w:sz w:val="20"/>
          <w:szCs w:val="20"/>
        </w:rPr>
        <w:t xml:space="preserve">. Isolates showed </w:t>
      </w:r>
      <w:r w:rsidR="0006492B" w:rsidRPr="007A3962">
        <w:rPr>
          <w:rFonts w:ascii="Arial" w:hAnsi="Arial" w:cs="Arial"/>
          <w:sz w:val="20"/>
          <w:szCs w:val="20"/>
        </w:rPr>
        <w:t xml:space="preserve">higher </w:t>
      </w:r>
      <w:r w:rsidR="004D0CE8" w:rsidRPr="007A3962">
        <w:rPr>
          <w:rFonts w:ascii="Arial" w:hAnsi="Arial" w:cs="Arial"/>
          <w:sz w:val="20"/>
          <w:szCs w:val="20"/>
        </w:rPr>
        <w:t>solubilisation</w:t>
      </w:r>
      <w:r w:rsidRPr="007A3962">
        <w:rPr>
          <w:rFonts w:ascii="Arial" w:hAnsi="Arial" w:cs="Arial"/>
          <w:sz w:val="20"/>
          <w:szCs w:val="20"/>
        </w:rPr>
        <w:t xml:space="preserve"> </w:t>
      </w:r>
      <w:r w:rsidR="0006492B" w:rsidRPr="007A3962">
        <w:rPr>
          <w:rFonts w:ascii="Arial" w:hAnsi="Arial" w:cs="Arial"/>
          <w:sz w:val="20"/>
          <w:szCs w:val="20"/>
        </w:rPr>
        <w:t>values in</w:t>
      </w:r>
      <w:r w:rsidR="004D0CE8" w:rsidRPr="007A3962">
        <w:rPr>
          <w:rFonts w:ascii="Arial" w:hAnsi="Arial" w:cs="Arial"/>
          <w:sz w:val="20"/>
          <w:szCs w:val="20"/>
        </w:rPr>
        <w:t>-</w:t>
      </w:r>
      <w:r w:rsidR="0006492B" w:rsidRPr="007A3962">
        <w:rPr>
          <w:rFonts w:ascii="Arial" w:hAnsi="Arial" w:cs="Arial"/>
          <w:sz w:val="20"/>
          <w:szCs w:val="20"/>
        </w:rPr>
        <w:t xml:space="preserve">vitro </w:t>
      </w:r>
      <w:r w:rsidR="004D0CE8" w:rsidRPr="007A3962">
        <w:rPr>
          <w:rFonts w:ascii="Arial" w:hAnsi="Arial" w:cs="Arial"/>
          <w:sz w:val="20"/>
          <w:szCs w:val="20"/>
        </w:rPr>
        <w:t>through s</w:t>
      </w:r>
      <w:r w:rsidRPr="007A3962">
        <w:rPr>
          <w:rFonts w:ascii="Arial" w:hAnsi="Arial" w:cs="Arial"/>
          <w:sz w:val="20"/>
          <w:szCs w:val="20"/>
        </w:rPr>
        <w:t>ynerg</w:t>
      </w:r>
      <w:r w:rsidR="00360DB0">
        <w:rPr>
          <w:rFonts w:ascii="Arial" w:hAnsi="Arial" w:cs="Arial"/>
          <w:sz w:val="20"/>
          <w:szCs w:val="20"/>
        </w:rPr>
        <w:t>istic effect of co-inoculation.</w:t>
      </w:r>
    </w:p>
    <w:p w14:paraId="41FF3794" w14:textId="77777777" w:rsidR="00082E25" w:rsidRPr="007A3962" w:rsidRDefault="00082E25" w:rsidP="005B6FFA">
      <w:pPr>
        <w:spacing w:line="480" w:lineRule="auto"/>
        <w:jc w:val="both"/>
        <w:rPr>
          <w:rFonts w:ascii="Arial" w:hAnsi="Arial" w:cs="Arial"/>
          <w:sz w:val="20"/>
          <w:szCs w:val="20"/>
        </w:rPr>
      </w:pPr>
      <w:r w:rsidRPr="007A3962">
        <w:rPr>
          <w:rFonts w:ascii="Arial" w:hAnsi="Arial" w:cs="Arial"/>
          <w:sz w:val="20"/>
          <w:szCs w:val="20"/>
        </w:rPr>
        <w:t>The present compilation of these diverse diazotrophs alo</w:t>
      </w:r>
      <w:r w:rsidR="0006492B" w:rsidRPr="007A3962">
        <w:rPr>
          <w:rFonts w:ascii="Arial" w:hAnsi="Arial" w:cs="Arial"/>
          <w:sz w:val="20"/>
          <w:szCs w:val="20"/>
        </w:rPr>
        <w:t xml:space="preserve">ng with P solubilisation, probiotic and plant growth </w:t>
      </w:r>
      <w:r w:rsidR="00360DB0">
        <w:rPr>
          <w:rFonts w:ascii="Arial" w:hAnsi="Arial" w:cs="Arial"/>
          <w:sz w:val="20"/>
          <w:szCs w:val="20"/>
        </w:rPr>
        <w:t>promoting</w:t>
      </w:r>
      <w:r w:rsidRPr="007A3962">
        <w:rPr>
          <w:rFonts w:ascii="Arial" w:hAnsi="Arial" w:cs="Arial"/>
          <w:sz w:val="20"/>
          <w:szCs w:val="20"/>
        </w:rPr>
        <w:t xml:space="preserve"> traits potentially suggests that these indigenous microbes can be exploited as biofertilisers</w:t>
      </w:r>
      <w:r w:rsidR="0006492B" w:rsidRPr="007A3962">
        <w:rPr>
          <w:rFonts w:ascii="Arial" w:hAnsi="Arial" w:cs="Arial"/>
          <w:sz w:val="20"/>
          <w:szCs w:val="20"/>
        </w:rPr>
        <w:t xml:space="preserve">. </w:t>
      </w:r>
      <w:r w:rsidR="001649A9" w:rsidRPr="007A3962">
        <w:rPr>
          <w:rFonts w:ascii="Arial" w:hAnsi="Arial" w:cs="Arial"/>
          <w:sz w:val="20"/>
          <w:szCs w:val="20"/>
        </w:rPr>
        <w:t>The present study explores potentiality of indigenous microbe’s ability to solubilize insoluble phosphates like tricalcium, aluminium, and iron phosphate for development of bio</w:t>
      </w:r>
      <w:r w:rsidR="00EA1F71" w:rsidRPr="007A3962">
        <w:rPr>
          <w:rFonts w:ascii="Arial" w:hAnsi="Arial" w:cs="Arial"/>
          <w:sz w:val="20"/>
          <w:szCs w:val="20"/>
        </w:rPr>
        <w:t>fertiliser</w:t>
      </w:r>
      <w:r w:rsidR="001649A9" w:rsidRPr="007A3962">
        <w:rPr>
          <w:rFonts w:ascii="Arial" w:hAnsi="Arial" w:cs="Arial"/>
          <w:sz w:val="20"/>
          <w:szCs w:val="20"/>
        </w:rPr>
        <w:t>.</w:t>
      </w:r>
    </w:p>
    <w:p w14:paraId="770412A3" w14:textId="77777777" w:rsidR="00082E25" w:rsidRPr="00360DB0" w:rsidRDefault="00082E25" w:rsidP="005B6FFA">
      <w:pPr>
        <w:spacing w:line="480" w:lineRule="auto"/>
        <w:jc w:val="both"/>
        <w:rPr>
          <w:rFonts w:ascii="Arial" w:hAnsi="Arial" w:cs="Arial"/>
          <w:b/>
          <w:i/>
          <w:sz w:val="20"/>
          <w:szCs w:val="20"/>
        </w:rPr>
      </w:pPr>
      <w:r w:rsidRPr="00360DB0">
        <w:rPr>
          <w:rFonts w:ascii="Arial" w:hAnsi="Arial" w:cs="Arial"/>
          <w:b/>
          <w:i/>
          <w:sz w:val="20"/>
          <w:szCs w:val="20"/>
        </w:rPr>
        <w:t xml:space="preserve">Keywords: </w:t>
      </w:r>
      <w:r w:rsidR="00360DB0">
        <w:rPr>
          <w:rFonts w:ascii="Arial" w:hAnsi="Arial" w:cs="Arial"/>
          <w:i/>
          <w:sz w:val="20"/>
          <w:szCs w:val="20"/>
        </w:rPr>
        <w:t>Phosphate Solubilisation; Phosphate Solubilizing M</w:t>
      </w:r>
      <w:r w:rsidR="00360DB0" w:rsidRPr="00360DB0">
        <w:rPr>
          <w:rFonts w:ascii="Arial" w:hAnsi="Arial" w:cs="Arial"/>
          <w:i/>
          <w:sz w:val="20"/>
          <w:szCs w:val="20"/>
        </w:rPr>
        <w:t>icrobes</w:t>
      </w:r>
      <w:r w:rsidR="00360DB0">
        <w:rPr>
          <w:rFonts w:ascii="Arial" w:hAnsi="Arial" w:cs="Arial"/>
          <w:i/>
          <w:sz w:val="20"/>
          <w:szCs w:val="20"/>
        </w:rPr>
        <w:t>;</w:t>
      </w:r>
      <w:r w:rsidR="00360DB0" w:rsidRPr="00360DB0">
        <w:rPr>
          <w:rFonts w:ascii="Arial" w:hAnsi="Arial" w:cs="Arial"/>
          <w:i/>
          <w:sz w:val="20"/>
          <w:szCs w:val="20"/>
        </w:rPr>
        <w:t xml:space="preserve"> Phosphorous</w:t>
      </w:r>
      <w:r w:rsidR="00360DB0">
        <w:rPr>
          <w:rFonts w:ascii="Arial" w:hAnsi="Arial" w:cs="Arial"/>
          <w:i/>
          <w:sz w:val="20"/>
          <w:szCs w:val="20"/>
        </w:rPr>
        <w:t>;</w:t>
      </w:r>
      <w:r w:rsidR="00360DB0" w:rsidRPr="00360DB0">
        <w:rPr>
          <w:rFonts w:ascii="Arial" w:hAnsi="Arial" w:cs="Arial"/>
          <w:i/>
          <w:sz w:val="20"/>
          <w:szCs w:val="20"/>
        </w:rPr>
        <w:t xml:space="preserve"> </w:t>
      </w:r>
      <w:r w:rsidR="00360DB0">
        <w:rPr>
          <w:rFonts w:ascii="Arial" w:hAnsi="Arial" w:cs="Arial"/>
          <w:i/>
          <w:sz w:val="20"/>
          <w:szCs w:val="20"/>
        </w:rPr>
        <w:t>Plant Growth Promoting Traits; Biofertilisers;</w:t>
      </w:r>
      <w:r w:rsidR="00360DB0" w:rsidRPr="00360DB0">
        <w:rPr>
          <w:rFonts w:ascii="Arial" w:hAnsi="Arial" w:cs="Arial"/>
          <w:i/>
          <w:sz w:val="20"/>
          <w:szCs w:val="20"/>
        </w:rPr>
        <w:t xml:space="preserve"> </w:t>
      </w:r>
      <w:r w:rsidRPr="00360DB0">
        <w:rPr>
          <w:rFonts w:ascii="Arial" w:hAnsi="Arial" w:cs="Arial"/>
          <w:i/>
          <w:sz w:val="20"/>
          <w:szCs w:val="20"/>
        </w:rPr>
        <w:t>Rock Phosph</w:t>
      </w:r>
      <w:r w:rsidR="00360DB0">
        <w:rPr>
          <w:rFonts w:ascii="Arial" w:hAnsi="Arial" w:cs="Arial"/>
          <w:i/>
          <w:sz w:val="20"/>
          <w:szCs w:val="20"/>
        </w:rPr>
        <w:t>ate; Probiotics;</w:t>
      </w:r>
      <w:r w:rsidR="00360DB0" w:rsidRPr="00360DB0">
        <w:rPr>
          <w:rFonts w:ascii="Arial" w:hAnsi="Arial" w:cs="Arial"/>
          <w:i/>
          <w:sz w:val="20"/>
          <w:szCs w:val="20"/>
        </w:rPr>
        <w:t xml:space="preserve"> </w:t>
      </w:r>
      <w:r w:rsidRPr="00360DB0">
        <w:rPr>
          <w:rFonts w:ascii="Arial" w:hAnsi="Arial" w:cs="Arial"/>
          <w:i/>
          <w:sz w:val="20"/>
          <w:szCs w:val="20"/>
        </w:rPr>
        <w:t>Malawi</w:t>
      </w:r>
      <w:r w:rsidR="00360DB0">
        <w:rPr>
          <w:rFonts w:ascii="Arial" w:hAnsi="Arial" w:cs="Arial"/>
          <w:i/>
          <w:sz w:val="20"/>
          <w:szCs w:val="20"/>
        </w:rPr>
        <w:t>.</w:t>
      </w:r>
    </w:p>
    <w:p w14:paraId="724BEA4D" w14:textId="77777777" w:rsidR="00082E25" w:rsidRPr="00360DB0" w:rsidRDefault="00360DB0" w:rsidP="005B6FFA">
      <w:pPr>
        <w:pStyle w:val="Heading1"/>
        <w:numPr>
          <w:ilvl w:val="0"/>
          <w:numId w:val="38"/>
        </w:numPr>
        <w:spacing w:line="480" w:lineRule="auto"/>
        <w:jc w:val="both"/>
        <w:rPr>
          <w:rFonts w:ascii="Arial" w:hAnsi="Arial" w:cs="Arial"/>
          <w:b/>
          <w:color w:val="000000" w:themeColor="text1"/>
          <w:sz w:val="22"/>
          <w:szCs w:val="22"/>
        </w:rPr>
      </w:pPr>
      <w:r w:rsidRPr="00360DB0">
        <w:rPr>
          <w:rFonts w:ascii="Arial" w:hAnsi="Arial" w:cs="Arial"/>
          <w:b/>
          <w:color w:val="000000" w:themeColor="text1"/>
          <w:sz w:val="22"/>
          <w:szCs w:val="22"/>
        </w:rPr>
        <w:lastRenderedPageBreak/>
        <w:t>INTRODUCTION</w:t>
      </w:r>
    </w:p>
    <w:p w14:paraId="65688C2C" w14:textId="77777777" w:rsidR="003E57A6" w:rsidRPr="007A3962" w:rsidRDefault="004D0CE8" w:rsidP="005B6FFA">
      <w:pPr>
        <w:spacing w:line="480" w:lineRule="auto"/>
        <w:rPr>
          <w:rFonts w:ascii="Arial" w:hAnsi="Arial" w:cs="Arial"/>
          <w:sz w:val="20"/>
          <w:szCs w:val="20"/>
        </w:rPr>
      </w:pPr>
      <w:r w:rsidRPr="007A3962">
        <w:rPr>
          <w:rFonts w:ascii="Arial" w:hAnsi="Arial" w:cs="Arial"/>
          <w:sz w:val="20"/>
          <w:szCs w:val="20"/>
        </w:rPr>
        <w:t>Tropical soil fertility sustainable management</w:t>
      </w:r>
      <w:r w:rsidR="00082E25" w:rsidRPr="007A3962">
        <w:rPr>
          <w:rFonts w:ascii="Arial" w:hAnsi="Arial" w:cs="Arial"/>
          <w:sz w:val="20"/>
          <w:szCs w:val="20"/>
        </w:rPr>
        <w:t xml:space="preserve"> is complex due to diverse interaction of physical, chemical and biological factors. </w:t>
      </w:r>
      <w:r w:rsidR="00D57BF6" w:rsidRPr="007A3962">
        <w:rPr>
          <w:rFonts w:ascii="Arial" w:hAnsi="Arial" w:cs="Arial"/>
          <w:sz w:val="20"/>
          <w:szCs w:val="20"/>
        </w:rPr>
        <w:t>To imp</w:t>
      </w:r>
      <w:r w:rsidR="007C199C" w:rsidRPr="007A3962">
        <w:rPr>
          <w:rFonts w:ascii="Arial" w:hAnsi="Arial" w:cs="Arial"/>
          <w:sz w:val="20"/>
          <w:szCs w:val="20"/>
        </w:rPr>
        <w:t>r</w:t>
      </w:r>
      <w:r w:rsidR="00D57BF6" w:rsidRPr="007A3962">
        <w:rPr>
          <w:rFonts w:ascii="Arial" w:hAnsi="Arial" w:cs="Arial"/>
          <w:sz w:val="20"/>
          <w:szCs w:val="20"/>
        </w:rPr>
        <w:t xml:space="preserve">ove </w:t>
      </w:r>
      <w:r w:rsidR="00F12D9B" w:rsidRPr="007A3962">
        <w:rPr>
          <w:rFonts w:ascii="Arial" w:hAnsi="Arial" w:cs="Arial"/>
          <w:sz w:val="20"/>
          <w:szCs w:val="20"/>
        </w:rPr>
        <w:t xml:space="preserve">land productivity </w:t>
      </w:r>
      <w:r w:rsidR="00581ECE" w:rsidRPr="007A3962">
        <w:rPr>
          <w:rFonts w:ascii="Arial" w:hAnsi="Arial" w:cs="Arial"/>
          <w:sz w:val="20"/>
          <w:szCs w:val="20"/>
        </w:rPr>
        <w:t xml:space="preserve">commercial </w:t>
      </w:r>
      <w:r w:rsidR="007C199C" w:rsidRPr="007A3962">
        <w:rPr>
          <w:rFonts w:ascii="Arial" w:hAnsi="Arial" w:cs="Arial"/>
          <w:sz w:val="20"/>
          <w:szCs w:val="20"/>
        </w:rPr>
        <w:t>farmers have adopted</w:t>
      </w:r>
      <w:r w:rsidR="00082E25" w:rsidRPr="007A3962">
        <w:rPr>
          <w:rFonts w:ascii="Arial" w:hAnsi="Arial" w:cs="Arial"/>
          <w:sz w:val="20"/>
          <w:szCs w:val="20"/>
        </w:rPr>
        <w:t xml:space="preserve"> green revolution techniques which base on inorganic chemicals</w:t>
      </w:r>
      <w:r w:rsidR="007C199C" w:rsidRPr="007A3962">
        <w:rPr>
          <w:rFonts w:ascii="Arial" w:hAnsi="Arial" w:cs="Arial"/>
          <w:sz w:val="20"/>
          <w:szCs w:val="20"/>
        </w:rPr>
        <w:t xml:space="preserve"> while smallholder farmers have adopted low cost technologies like Mbeya </w:t>
      </w:r>
      <w:r w:rsidR="00B4030D" w:rsidRPr="007A3962">
        <w:rPr>
          <w:rFonts w:ascii="Arial" w:hAnsi="Arial" w:cs="Arial"/>
          <w:sz w:val="20"/>
          <w:szCs w:val="20"/>
        </w:rPr>
        <w:t xml:space="preserve">based organic fertiliser </w:t>
      </w:r>
      <w:r w:rsidR="00B4030D"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DOI":"10.9734/APRJ/20","author":[{"dropping-particle":"","family":"Mwafulirwa","given":"Samuel","non-dropping-particle":"","parse-names":false,"suffix":""}],"id":"ITEM-1","issue":"XX","issued":{"date-parts":[["2023"]]},"title":"Evaluation of Mbeya Based Organic Fertilizer on Maize Yield and Yield Components in Malawi","type":"article-journal","volume":"xx"},"uris":["http://www.mendeley.com/documents/?uuid=1f5a2949-93de-4f57-9b2c-831d99fe63ad"]},{"id":"ITEM-2","itemData":{"author":[{"dropping-particle":"","family":"Lunduka","given":"By Rodney","non-dropping-particle":"","parse-names":false,"suffix":""},{"dropping-particle":"","family":"Kelly","given":"Valerie","non-dropping-particle":"","parse-names":false,"suffix":""}],"id":"ITEM-2","issue":"May","issued":{"date-parts":[["2012"]]},"page":"1-4","title":"Economic benefits of integrated soil fert i lity management ( ISFM )","type":"article-journal"},"uris":["http://www.mendeley.com/documents/?uuid=bbbc03da-01e6-4f4b-97f9-246116753e6b"]},{"id":"ITEM-3","itemData":{"author":[{"dropping-particle":"","family":"Crop","given":"African","non-dropping-particle":"","parse-names":false,"suffix":""},{"dropping-particle":"","family":"Society","given":"Science","non-dropping-particle":"","parse-names":false,"suffix":""},{"dropping-particle":"","family":"Kayeke","given":"J","non-dropping-particle":"","parse-names":false,"suffix":""},{"dropping-particle":"","family":"Sibuga","given":"P K","non-dropping-particle":"","parse-names":false,"suffix":""},{"dropping-particle":"","family":"Msaky","given":"J J","non-dropping-particle":"","parse-names":false,"suffix":""},{"dropping-particle":"","family":"Mbwaga","given":"A","non-dropping-particle":"","parse-names":false,"suffix":""}],"id":"ITEM-3","issue":"4","issued":{"date-parts":[["2007"]]},"page":"161-171","title":"GREEN MANURE AND INORGANIC FERTILISER AS MANAGEMENT STRATEGIES FOR","type":"article-journal","volume":"15"},"uris":["http://www.mendeley.com/documents/?uuid=c32ea9c1-a3c9-43ee-9918-77d6d638bb35"]}],"mendeley":{"formattedCitation":"(Crop et al., 2007; Lunduka &amp; Kelly, 2012; Mwafulirwa, 2023a)","manualFormatting":"(Kayeke, 2007; Lunduka &amp; Kelly, 2012; Gupta et al., 2015;  Mwafulirwa, 2023)","plainTextFormattedCitation":"(Crop et al., 2007; Lunduka &amp; Kelly, 2012; Mwafulirwa, 2023a)","previouslyFormattedCitation":"(Crop et al., 2007; Lunduka &amp; Kelly, 2012; Mwafulirwa, 2023a)"},"properties":{"noteIndex":0},"schema":"https://github.com/citation-style-language/schema/raw/master/csl-citation.json"}</w:instrText>
      </w:r>
      <w:r w:rsidR="00B4030D" w:rsidRPr="007A3962">
        <w:rPr>
          <w:rFonts w:ascii="Arial" w:hAnsi="Arial" w:cs="Arial"/>
          <w:sz w:val="20"/>
          <w:szCs w:val="20"/>
        </w:rPr>
        <w:fldChar w:fldCharType="separate"/>
      </w:r>
      <w:r w:rsidR="00B4030D" w:rsidRPr="007A3962">
        <w:rPr>
          <w:rFonts w:ascii="Arial" w:hAnsi="Arial" w:cs="Arial"/>
          <w:noProof/>
          <w:sz w:val="20"/>
          <w:szCs w:val="20"/>
        </w:rPr>
        <w:t>(Kayeke, 2007; Lunduka &amp; Kelly, 2012; Gupta et al., 2015;  Mwafulirwa, 2023)</w:t>
      </w:r>
      <w:r w:rsidR="00B4030D" w:rsidRPr="007A3962">
        <w:rPr>
          <w:rFonts w:ascii="Arial" w:hAnsi="Arial" w:cs="Arial"/>
          <w:sz w:val="20"/>
          <w:szCs w:val="20"/>
        </w:rPr>
        <w:fldChar w:fldCharType="end"/>
      </w:r>
      <w:r w:rsidR="003E57A6" w:rsidRPr="007A3962">
        <w:rPr>
          <w:rFonts w:ascii="Arial" w:hAnsi="Arial" w:cs="Arial"/>
          <w:sz w:val="20"/>
          <w:szCs w:val="20"/>
        </w:rPr>
        <w:t>.</w:t>
      </w:r>
    </w:p>
    <w:p w14:paraId="76D66C17" w14:textId="77777777" w:rsidR="000C1A59" w:rsidRPr="007A3962" w:rsidRDefault="00B4030D" w:rsidP="005B6FFA">
      <w:pPr>
        <w:spacing w:line="480" w:lineRule="auto"/>
        <w:rPr>
          <w:rFonts w:ascii="Arial" w:hAnsi="Arial" w:cs="Arial"/>
          <w:sz w:val="20"/>
          <w:szCs w:val="20"/>
        </w:rPr>
      </w:pPr>
      <w:r w:rsidRPr="007A3962">
        <w:rPr>
          <w:rFonts w:ascii="Arial" w:hAnsi="Arial" w:cs="Arial"/>
          <w:sz w:val="20"/>
          <w:szCs w:val="20"/>
        </w:rPr>
        <w:t>Unlike organic fertilisers</w:t>
      </w:r>
      <w:r w:rsidR="00581ECE" w:rsidRPr="007A3962">
        <w:rPr>
          <w:rFonts w:ascii="Arial" w:hAnsi="Arial" w:cs="Arial"/>
          <w:sz w:val="20"/>
          <w:szCs w:val="20"/>
        </w:rPr>
        <w:t xml:space="preserve"> which make plant have access to all nutrients</w:t>
      </w:r>
      <w:r w:rsidRPr="007A3962">
        <w:rPr>
          <w:rFonts w:ascii="Arial" w:hAnsi="Arial" w:cs="Arial"/>
          <w:sz w:val="20"/>
          <w:szCs w:val="20"/>
        </w:rPr>
        <w:t xml:space="preserve">, </w:t>
      </w:r>
      <w:r w:rsidR="00082E25" w:rsidRPr="007A3962">
        <w:rPr>
          <w:rFonts w:ascii="Arial" w:hAnsi="Arial" w:cs="Arial"/>
          <w:sz w:val="20"/>
          <w:szCs w:val="20"/>
        </w:rPr>
        <w:t xml:space="preserve">inorganic fertilisers </w:t>
      </w:r>
      <w:r w:rsidR="00581ECE" w:rsidRPr="007A3962">
        <w:rPr>
          <w:rFonts w:ascii="Arial" w:hAnsi="Arial" w:cs="Arial"/>
          <w:sz w:val="20"/>
          <w:szCs w:val="20"/>
        </w:rPr>
        <w:t xml:space="preserve">supply mainly the </w:t>
      </w:r>
      <w:r w:rsidR="00082E25" w:rsidRPr="007A3962">
        <w:rPr>
          <w:rFonts w:ascii="Arial" w:hAnsi="Arial" w:cs="Arial"/>
          <w:sz w:val="20"/>
          <w:szCs w:val="20"/>
        </w:rPr>
        <w:t xml:space="preserve">macronutrients </w:t>
      </w:r>
      <w:r w:rsidR="003E57A6" w:rsidRPr="007A3962">
        <w:rPr>
          <w:rFonts w:ascii="Arial" w:hAnsi="Arial" w:cs="Arial"/>
          <w:sz w:val="20"/>
          <w:szCs w:val="20"/>
        </w:rPr>
        <w:t xml:space="preserve">and have detrimental effect to the </w:t>
      </w:r>
      <w:r w:rsidR="00581ECE" w:rsidRPr="007A3962">
        <w:rPr>
          <w:rFonts w:ascii="Arial" w:hAnsi="Arial" w:cs="Arial"/>
          <w:sz w:val="20"/>
          <w:szCs w:val="20"/>
        </w:rPr>
        <w:t>ecological footprint</w:t>
      </w:r>
      <w:r w:rsidR="003E57A6" w:rsidRPr="007A3962">
        <w:rPr>
          <w:rFonts w:ascii="Arial" w:hAnsi="Arial" w:cs="Arial"/>
          <w:sz w:val="20"/>
          <w:szCs w:val="20"/>
        </w:rPr>
        <w:t xml:space="preserve"> </w:t>
      </w:r>
      <w:r w:rsidR="003E57A6"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author":[{"dropping-particle":"","family":"Crop","given":"African","non-dropping-particle":"","parse-names":false,"suffix":""},{"dropping-particle":"","family":"Society","given":"Science","non-dropping-particle":"","parse-names":false,"suffix":""},{"dropping-particle":"","family":"Kayeke","given":"J","non-dropping-particle":"","parse-names":false,"suffix":""},{"dropping-particle":"","family":"Sibuga","given":"P K","non-dropping-particle":"","parse-names":false,"suffix":""},{"dropping-particle":"","family":"Msaky","given":"J J","non-dropping-particle":"","parse-names":false,"suffix":""},{"dropping-particle":"","family":"Mbwaga","given":"A","non-dropping-particle":"","parse-names":false,"suffix":""}],"id":"ITEM-1","issue":"4","issued":{"date-parts":[["2007"]]},"page":"161-171","title":"GREEN MANURE AND INORGANIC FERTILISER AS MANAGEMENT STRATEGIES FOR","type":"article-journal","volume":"15"},"uris":["http://www.mendeley.com/documents/?uuid=c32ea9c1-a3c9-43ee-9918-77d6d638bb35"]},{"id":"ITEM-2","itemData":{"DOI":"10.5897/AJAR2016.10952","author":[{"dropping-particle":"","family":"Kabwe","given":"Gillian","non-dropping-particle":"","parse-names":false,"suffix":""},{"dropping-particle":"","family":"Bigsby","given":"Hugh R","non-dropping-particle":"","parse-names":false,"suffix":""}],"id":"ITEM-2","issue":"November","issued":{"date-parts":[["2016"]]},"title":"Why is adoption of agroforestry stymied in Zambia ? Perspectives from the ground-up Why is adoption of agroforestry stymied in Zambia ? Perspectives from the ground-up","type":"article-journal"},"uris":["http://www.mendeley.com/documents/?uuid=59528978-1c17-4bf4-b9f9-b03048aebf38"]},{"id":"ITEM-3","itemData":{"DOI":"10.5897/AJAR2016.10952","author":[{"dropping-particle":"","family":"Kabwe","given":"Gillian","non-dropping-particle":"","parse-names":false,"suffix":""},{"dropping-particle":"","family":"Bigsby","given":"Hugh R","non-dropping-particle":"","parse-names":false,"suffix":""}],"id":"ITEM-3","issue":"November","issued":{"date-parts":[["2016"]]},"title":"Why is adoption of agroforestry stymied in Zambia ? Perspectives from the ground-up Why is adoption of agroforestry stymied in Zambia ? Perspectives from the ground-up","type":"article-journal"},"uris":["http://www.mendeley.com/documents/?uuid=ed7f98dc-e616-49c6-9ef2-a306e086a651"]},{"id":"ITEM-4","itemData":{"author":[{"dropping-particle":"","family":"Hardy","given":"Thomas","non-dropping-particle":"","parse-names":false,"suffix":""},{"dropping-particle":"","family":"Kanyama-phiri","given":"George","non-dropping-particle":"","parse-names":false,"suffix":""},{"dropping-particle":"","family":"Kumwenda","given":"John","non-dropping-particle":"","parse-names":false,"suffix":""},{"dropping-particle":"","family":"Mann","given":"Charles","non-dropping-particle":"","parse-names":false,"suffix":""},{"dropping-particle":"","family":"Mughogho","given":"Spider","non-dropping-particle":"","parse-names":false,"suffix":""},{"dropping-particle":"","family":"Phiri","given":"Alexander","non-dropping-particle":"","parse-names":false,"suffix":""},{"dropping-particle":"","family":"Blackie","given":"Malcolm","non-dropping-particle":"","parse-names":false,"suffix":""}],"id":"ITEM-4","issue":"May","issued":{"date-parts":[["1998"]]},"page":"1-55","title":"MALAWI : SOIL FERTILITY ISSUES AND OPTIONS","type":"article-journal"},"uris":["http://www.mendeley.com/documents/?uuid=481f60df-76f8-4569-970d-00664e4c8e7b"]},{"id":"ITEM-5","itemData":{"author":[{"dropping-particle":"","family":"Snapp","given":"Sieg","non-dropping-particle":"","parse-names":false,"suffix":""},{"dropping-particle":"","family":"Jayne","given":"T S","non-dropping-particle":"","parse-names":false,"suffix":""},{"dropping-particle":"","family":"Mhango","given":"Wezi","non-dropping-particle":"","parse-names":false,"suffix":""},{"dropping-particle":"","family":"Benson","given":"Todd","non-dropping-particle":"","parse-names":false,"suffix":""},{"dropping-particle":"","family":"Ricker-gilbert","given":"Jacob","non-dropping-particle":"","parse-names":false,"suffix":""}],"id":"ITEM-5","issue":"October","issued":{"date-parts":[["2014"]]},"title":"Maize Yield Response to Nitrogen in Malawi ’ s Smallholder Production Systems","type":"article-journal"},"uris":["http://www.mendeley.com/documents/?uuid=e436ba5b-e050-421d-9434-d01d1f446e01"]},{"id":"ITEM-6","itemData":{"DOI":"10.9734/APRJ/20","author":[{"dropping-particle":"","family":"Mwafulirwa","given":"Samuel","non-dropping-particle":"","parse-names":false,"suffix":""}],"id":"ITEM-6","issue":"XX","issued":{"date-parts":[["2023"]]},"title":"Evaluation of Mbeya Based Organic Fertilizer on Maize Yield and Yield Components in Malawi","type":"article-journal","volume":"xx"},"uris":["http://www.mendeley.com/documents/?uuid=1f5a2949-93de-4f57-9b2c-831d99fe63ad"]}],"mendeley":{"formattedCitation":"(Crop et al., 2007; Hardy et al., 1998; Kabwe &amp; Bigsby, 2016, 2016; Mwafulirwa, 2023a; Snapp et al., 2014)","manualFormatting":"(Kayeke et al., 2007; Hardy et al., 1998; Kabwe &amp; Bigsby, 2016; Mwafulirwa, 2023; Snapp et al., 2014)","plainTextFormattedCitation":"(Crop et al., 2007; Hardy et al., 1998; Kabwe &amp; Bigsby, 2016, 2016; Mwafulirwa, 2023a; Snapp et al., 2014)","previouslyFormattedCitation":"(Crop et al., 2007; Hardy et al., 1998; Kabwe &amp; Bigsby, 2016, 2016; Mwafulirwa, 2023a; Snapp et al., 2014)"},"properties":{"noteIndex":0},"schema":"https://github.com/citation-style-language/schema/raw/master/csl-citation.json"}</w:instrText>
      </w:r>
      <w:r w:rsidR="003E57A6" w:rsidRPr="007A3962">
        <w:rPr>
          <w:rFonts w:ascii="Arial" w:hAnsi="Arial" w:cs="Arial"/>
          <w:sz w:val="20"/>
          <w:szCs w:val="20"/>
        </w:rPr>
        <w:fldChar w:fldCharType="separate"/>
      </w:r>
      <w:r w:rsidR="003E57A6" w:rsidRPr="007A3962">
        <w:rPr>
          <w:rFonts w:ascii="Arial" w:hAnsi="Arial" w:cs="Arial"/>
          <w:noProof/>
          <w:sz w:val="20"/>
          <w:szCs w:val="20"/>
        </w:rPr>
        <w:t>(Kayeke et al., 2007; Hardy et al., 1998; Kabwe &amp; Bigsby, 2016; Mwafulirwa, 2023; Snapp et al., 2014)</w:t>
      </w:r>
      <w:r w:rsidR="003E57A6" w:rsidRPr="007A3962">
        <w:rPr>
          <w:rFonts w:ascii="Arial" w:hAnsi="Arial" w:cs="Arial"/>
          <w:sz w:val="20"/>
          <w:szCs w:val="20"/>
        </w:rPr>
        <w:fldChar w:fldCharType="end"/>
      </w:r>
      <w:r w:rsidRPr="007A3962">
        <w:rPr>
          <w:rFonts w:ascii="Arial" w:hAnsi="Arial" w:cs="Arial"/>
          <w:sz w:val="20"/>
          <w:szCs w:val="20"/>
        </w:rPr>
        <w:t xml:space="preserve">. </w:t>
      </w:r>
      <w:r w:rsidR="00D67132" w:rsidRPr="007A3962">
        <w:rPr>
          <w:rFonts w:ascii="Arial" w:hAnsi="Arial" w:cs="Arial"/>
          <w:sz w:val="20"/>
          <w:szCs w:val="20"/>
        </w:rPr>
        <w:t xml:space="preserve">Phosphorous </w:t>
      </w:r>
      <w:r w:rsidR="00082E25" w:rsidRPr="007A3962">
        <w:rPr>
          <w:rFonts w:ascii="Arial" w:hAnsi="Arial" w:cs="Arial"/>
          <w:sz w:val="20"/>
          <w:szCs w:val="20"/>
        </w:rPr>
        <w:t xml:space="preserve"> </w:t>
      </w:r>
      <w:r w:rsidR="00747539" w:rsidRPr="007A3962">
        <w:rPr>
          <w:rFonts w:ascii="Arial" w:hAnsi="Arial" w:cs="Arial"/>
          <w:sz w:val="20"/>
          <w:szCs w:val="20"/>
        </w:rPr>
        <w:t xml:space="preserve">(P) </w:t>
      </w:r>
      <w:r w:rsidR="00082E25" w:rsidRPr="007A3962">
        <w:rPr>
          <w:rFonts w:ascii="Arial" w:hAnsi="Arial" w:cs="Arial"/>
          <w:sz w:val="20"/>
          <w:szCs w:val="20"/>
        </w:rPr>
        <w:t xml:space="preserve">is </w:t>
      </w:r>
      <w:r w:rsidR="00D67132" w:rsidRPr="007A3962">
        <w:rPr>
          <w:rFonts w:ascii="Arial" w:hAnsi="Arial" w:cs="Arial"/>
          <w:sz w:val="20"/>
          <w:szCs w:val="20"/>
        </w:rPr>
        <w:t>the second</w:t>
      </w:r>
      <w:r w:rsidR="00082E25" w:rsidRPr="007A3962">
        <w:rPr>
          <w:rFonts w:ascii="Arial" w:hAnsi="Arial" w:cs="Arial"/>
          <w:sz w:val="20"/>
          <w:szCs w:val="20"/>
        </w:rPr>
        <w:t xml:space="preserve"> </w:t>
      </w:r>
      <w:r w:rsidR="00D67132" w:rsidRPr="007A3962">
        <w:rPr>
          <w:rFonts w:ascii="Arial" w:hAnsi="Arial" w:cs="Arial"/>
          <w:sz w:val="20"/>
          <w:szCs w:val="20"/>
        </w:rPr>
        <w:t xml:space="preserve">major </w:t>
      </w:r>
      <w:r w:rsidR="00082E25" w:rsidRPr="007A3962">
        <w:rPr>
          <w:rFonts w:ascii="Arial" w:hAnsi="Arial" w:cs="Arial"/>
          <w:sz w:val="20"/>
          <w:szCs w:val="20"/>
        </w:rPr>
        <w:t xml:space="preserve">element </w:t>
      </w:r>
      <w:r w:rsidR="00D67132" w:rsidRPr="007A3962">
        <w:rPr>
          <w:rFonts w:ascii="Arial" w:hAnsi="Arial" w:cs="Arial"/>
          <w:sz w:val="20"/>
          <w:szCs w:val="20"/>
        </w:rPr>
        <w:t>that limits growth after</w:t>
      </w:r>
      <w:r w:rsidR="00082E25" w:rsidRPr="007A3962">
        <w:rPr>
          <w:rFonts w:ascii="Arial" w:hAnsi="Arial" w:cs="Arial"/>
          <w:sz w:val="20"/>
          <w:szCs w:val="20"/>
        </w:rPr>
        <w:t xml:space="preserve"> nitrogen and </w:t>
      </w:r>
      <w:r w:rsidR="00360DB0" w:rsidRPr="007A3962">
        <w:rPr>
          <w:rFonts w:ascii="Arial" w:hAnsi="Arial" w:cs="Arial"/>
          <w:sz w:val="20"/>
          <w:szCs w:val="20"/>
        </w:rPr>
        <w:t>it’s</w:t>
      </w:r>
      <w:r w:rsidR="00082E25" w:rsidRPr="007A3962">
        <w:rPr>
          <w:rFonts w:ascii="Arial" w:hAnsi="Arial" w:cs="Arial"/>
          <w:sz w:val="20"/>
          <w:szCs w:val="20"/>
        </w:rPr>
        <w:t xml:space="preserve"> </w:t>
      </w:r>
      <w:r w:rsidR="00747539" w:rsidRPr="007A3962">
        <w:rPr>
          <w:rFonts w:ascii="Arial" w:hAnsi="Arial" w:cs="Arial"/>
          <w:sz w:val="20"/>
          <w:szCs w:val="20"/>
        </w:rPr>
        <w:t>in large quantities in insoluble form</w:t>
      </w:r>
      <w:r w:rsidR="003E57A6" w:rsidRPr="007A3962">
        <w:rPr>
          <w:rFonts w:ascii="Arial" w:hAnsi="Arial" w:cs="Arial"/>
          <w:sz w:val="20"/>
          <w:szCs w:val="20"/>
        </w:rPr>
        <w:t xml:space="preserve"> </w:t>
      </w:r>
      <w:r w:rsidR="003E57A6" w:rsidRPr="007A3962">
        <w:rPr>
          <w:rFonts w:ascii="Arial" w:hAnsi="Arial" w:cs="Arial"/>
          <w:sz w:val="20"/>
          <w:szCs w:val="20"/>
        </w:rPr>
        <w:fldChar w:fldCharType="begin" w:fldLock="1"/>
      </w:r>
      <w:r w:rsidR="00826835" w:rsidRPr="007A3962">
        <w:rPr>
          <w:rFonts w:ascii="Arial" w:hAnsi="Arial" w:cs="Arial"/>
          <w:sz w:val="20"/>
          <w:szCs w:val="20"/>
        </w:rPr>
        <w:instrText>ADDIN CSL_CITATION {"citationItems":[{"id":"ITEM-1","itemData":{"author":[{"dropping-particle":"","family":"Article","given":"Full Length","non-dropping-particle":"","parse-names":false,"suffix":""}],"id":"ITEM-1","issued":{"date-parts":[["2008"]]},"page":"85-88","title":"Rhizobium and Phosphate Solubilizing Bacteria Improve the Yield and Phosphorus Uptake in Wheat ( Triticum aestivum )","type":"article-journal"},"uris":["http://www.mendeley.com/documents/?uuid=1d235f94-9c1a-4629-a48b-34eaf897d52d"]},{"id":"ITEM-2","itemData":{"author":[{"dropping-particle":"","family":"Hajjam","given":"Youmna","non-dropping-particle":"","parse-names":false,"suffix":""},{"dropping-particle":"","family":"Cherkaoui","given":"Souad","non-dropping-particle":"","parse-names":false,"suffix":""}],"id":"ITEM-2","issue":"3","issued":{"date-parts":[["2017"]]},"page":"801-808","title":"The influence of phosphate solubilizing microorganisms on symbiotic nitrogen fixation : Perspectives for sustainable agriculture","type":"article-journal","volume":"8"},"uris":["http://www.mendeley.com/documents/?uuid=0e587b25-450e-424e-aefc-968f30ca498b"]},{"id":"ITEM-3","itemData":{"DOI":"10.1016/j.micres.2006.05.009","author":[{"dropping-particle":"","family":"Hameeda","given":"B","non-dropping-particle":"","parse-names":false,"suffix":""},{"dropping-particle":"","family":"Harini","given":"G","non-dropping-particle":"","parse-names":false,"suffix":""},{"dropping-particle":"","family":"Rupela","given":"O P","non-dropping-particle":"","parse-names":false,"suffix":""},{"dropping-particle":"","family":"Wani","given":"S P","non-dropping-particle":"","parse-names":false,"suffix":""},{"dropping-particle":"","family":"Reddy","given":"Gopal","non-dropping-particle":"","parse-names":false,"suffix":""}],"id":"ITEM-3","issued":{"date-parts":[["2008"]]},"page":"234-242","title":"Growth promotion of maize by phosphate- solubilizing bacteria isolated from composts and macrofauna","type":"article-journal","volume":"163"},"uris":["http://www.mendeley.com/documents/?uuid=4fe9c6ee-a64c-4297-a1fd-2971111b34b8"]}],"mendeley":{"formattedCitation":"(Article, 2008; Hajjam &amp; Cherkaoui, 2017; Hameeda et al., 2008)","manualFormatting":"(Hajjam &amp; Cherkaoui, 2017; Hameeda et al., 2008","plainTextFormattedCitation":"(Article, 2008; Hajjam &amp; Cherkaoui, 2017; Hameeda et al., 2008)","previouslyFormattedCitation":"(Article, 2008; Hajjam &amp; Cherkaoui, 2017; Hameeda et al., 2008)"},"properties":{"noteIndex":0},"schema":"https://github.com/citation-style-language/schema/raw/master/csl-citation.json"}</w:instrText>
      </w:r>
      <w:r w:rsidR="003E57A6" w:rsidRPr="007A3962">
        <w:rPr>
          <w:rFonts w:ascii="Arial" w:hAnsi="Arial" w:cs="Arial"/>
          <w:sz w:val="20"/>
          <w:szCs w:val="20"/>
        </w:rPr>
        <w:fldChar w:fldCharType="separate"/>
      </w:r>
      <w:r w:rsidR="000C1A59" w:rsidRPr="007A3962">
        <w:rPr>
          <w:rFonts w:ascii="Arial" w:hAnsi="Arial" w:cs="Arial"/>
          <w:noProof/>
          <w:sz w:val="20"/>
          <w:szCs w:val="20"/>
        </w:rPr>
        <w:t>(</w:t>
      </w:r>
      <w:r w:rsidR="003E57A6" w:rsidRPr="007A3962">
        <w:rPr>
          <w:rFonts w:ascii="Arial" w:hAnsi="Arial" w:cs="Arial"/>
          <w:noProof/>
          <w:sz w:val="20"/>
          <w:szCs w:val="20"/>
        </w:rPr>
        <w:t>Hajjam &amp; Cherkaoui, 2017; Hameeda et al., 2008</w:t>
      </w:r>
      <w:r w:rsidR="003E57A6" w:rsidRPr="007A3962">
        <w:rPr>
          <w:rFonts w:ascii="Arial" w:hAnsi="Arial" w:cs="Arial"/>
          <w:sz w:val="20"/>
          <w:szCs w:val="20"/>
        </w:rPr>
        <w:fldChar w:fldCharType="end"/>
      </w:r>
      <w:r w:rsidR="000C1A59" w:rsidRPr="007A3962">
        <w:rPr>
          <w:rFonts w:ascii="Arial" w:hAnsi="Arial" w:cs="Arial"/>
          <w:sz w:val="20"/>
          <w:szCs w:val="20"/>
        </w:rPr>
        <w:t xml:space="preserve">; </w:t>
      </w:r>
      <w:r w:rsidR="00082E25" w:rsidRPr="007A3962">
        <w:rPr>
          <w:rFonts w:ascii="Arial" w:hAnsi="Arial" w:cs="Arial"/>
          <w:sz w:val="20"/>
          <w:szCs w:val="20"/>
        </w:rPr>
        <w:fldChar w:fldCharType="begin" w:fldLock="1"/>
      </w:r>
      <w:r w:rsidR="00826835" w:rsidRPr="007A3962">
        <w:rPr>
          <w:rFonts w:ascii="Arial" w:hAnsi="Arial" w:cs="Arial"/>
          <w:sz w:val="20"/>
          <w:szCs w:val="20"/>
        </w:rPr>
        <w:instrText>ADDIN CSL_CITATION {"citationItems":[{"id":"ITEM-1","itemData":{"DOI":"10.1016/j.anres.2015.09.002","ISSN":"2452316X","abstract":"A field experiment was conducted to determine the effect of Sulfur (S) and Phosphorus (P) fertilizer on the growth, biomass production and wood quality of leucaena for use as a bioenergy crop at the Buriram Livestock Research and Testing Station, Pakham, Buriram province, Thailand during 2011???2013. The experiment was arranged in a split plot design with two rates of S fertilizer (0 and 187.5??kg/ha) as a main plot and five rates of P (0, 93.75, 187.5, 375 and 750??kg/ha) as a sub-plot, with four replications. The results showed that the plant height, stem diameter, total woody stem and biomass yield of leucaena were significantly increased by the application of S, while the leaf yield was not influenced by S addition. The total woody stem and biomass yield were also proportionately greatest with the maximum rate of P (750??kg/ha) application. The addition of S did not result in any significant differences in fuel properties, while the maximum rate of P application also showed the best fuel properties among the several rates of P, especially with low Mg and ash contents compared with the control (0??kg/ha).","author":[{"dropping-particle":"","family":"Chotchutima","given":"Songyos","non-dropping-particle":"","parse-names":false,"suffix":""},{"dropping-particle":"","family":"Tudsri","given":"Sayan","non-dropping-particle":"","parse-names":false,"suffix":""},{"dropping-particle":"","family":"Kangvansaichol","given":"Kunn","non-dropping-particle":"","parse-names":false,"suffix":""},{"dropping-particle":"","family":"Sripichitt","given":"Prapa","non-dropping-particle":"","parse-names":false,"suffix":""}],"container-title":"Agriculture and Natural Resources","id":"ITEM-1","issue":"1","issued":{"date-parts":[["2016"]]},"page":"54-59","publisher":"Elsevier Ltd","title":"Effects of sulfur and phosphorus application on the growth, biomass yield and fuel properties of leucaena (Leucaena leucocephala (Lam.) de Wit.) as bioenergy crop on sandy infertile soil","type":"article-journal","volume":"50"},"uris":["http://www.mendeley.com/documents/?uuid=ce300a97-6093-44e7-bc90-288d3b0df700"]}],"mendeley":{"formattedCitation":"(Chotchutima et al., 2016)","manualFormatting":"Chotchutima et al., 2016)","plainTextFormattedCitation":"(Chotchutima et al., 2016)","previouslyFormattedCitation":"(Chotchutima et al., 2016)"},"properties":{"noteIndex":0},"schema":"https://github.com/citation-style-language/schema/raw/master/csl-citation.json"}</w:instrText>
      </w:r>
      <w:r w:rsidR="00082E25" w:rsidRPr="007A3962">
        <w:rPr>
          <w:rFonts w:ascii="Arial" w:hAnsi="Arial" w:cs="Arial"/>
          <w:sz w:val="20"/>
          <w:szCs w:val="20"/>
        </w:rPr>
        <w:fldChar w:fldCharType="separate"/>
      </w:r>
      <w:r w:rsidRPr="007A3962">
        <w:rPr>
          <w:rFonts w:ascii="Arial" w:hAnsi="Arial" w:cs="Arial"/>
          <w:noProof/>
          <w:sz w:val="20"/>
          <w:szCs w:val="20"/>
        </w:rPr>
        <w:t>Chotchutima et al., 2016)</w:t>
      </w:r>
      <w:r w:rsidR="00082E25" w:rsidRPr="007A3962">
        <w:rPr>
          <w:rFonts w:ascii="Arial" w:hAnsi="Arial" w:cs="Arial"/>
          <w:sz w:val="20"/>
          <w:szCs w:val="20"/>
        </w:rPr>
        <w:fldChar w:fldCharType="end"/>
      </w:r>
      <w:r w:rsidR="00082E25" w:rsidRPr="007A3962">
        <w:rPr>
          <w:rFonts w:ascii="Arial" w:hAnsi="Arial" w:cs="Arial"/>
          <w:sz w:val="20"/>
          <w:szCs w:val="20"/>
        </w:rPr>
        <w:t xml:space="preserve">. </w:t>
      </w:r>
      <w:r w:rsidR="00747539" w:rsidRPr="007A3962">
        <w:rPr>
          <w:rFonts w:ascii="Arial" w:hAnsi="Arial" w:cs="Arial"/>
          <w:sz w:val="20"/>
          <w:szCs w:val="20"/>
        </w:rPr>
        <w:t xml:space="preserve">Several </w:t>
      </w:r>
      <w:r w:rsidR="00082E25" w:rsidRPr="007A3962">
        <w:rPr>
          <w:rFonts w:ascii="Arial" w:hAnsi="Arial" w:cs="Arial"/>
          <w:sz w:val="20"/>
          <w:szCs w:val="20"/>
        </w:rPr>
        <w:t xml:space="preserve">metabolic processes </w:t>
      </w:r>
      <w:r w:rsidR="00747539" w:rsidRPr="007A3962">
        <w:rPr>
          <w:rFonts w:ascii="Arial" w:hAnsi="Arial" w:cs="Arial"/>
          <w:sz w:val="20"/>
          <w:szCs w:val="20"/>
        </w:rPr>
        <w:t>have</w:t>
      </w:r>
      <w:r w:rsidR="00082E25" w:rsidRPr="007A3962">
        <w:rPr>
          <w:rFonts w:ascii="Arial" w:hAnsi="Arial" w:cs="Arial"/>
          <w:sz w:val="20"/>
          <w:szCs w:val="20"/>
        </w:rPr>
        <w:t xml:space="preserve"> P </w:t>
      </w:r>
      <w:r w:rsidR="00747539" w:rsidRPr="007A3962">
        <w:rPr>
          <w:rFonts w:ascii="Arial" w:hAnsi="Arial" w:cs="Arial"/>
          <w:sz w:val="20"/>
          <w:szCs w:val="20"/>
        </w:rPr>
        <w:t xml:space="preserve">in their ingredient </w:t>
      </w:r>
      <w:r w:rsidR="00082E25" w:rsidRPr="007A3962">
        <w:rPr>
          <w:rFonts w:ascii="Arial" w:hAnsi="Arial" w:cs="Arial"/>
          <w:sz w:val="20"/>
          <w:szCs w:val="20"/>
        </w:rPr>
        <w:t xml:space="preserve">e.g. respiration of plants, </w:t>
      </w:r>
      <w:r w:rsidR="00747539" w:rsidRPr="007A3962">
        <w:rPr>
          <w:rFonts w:ascii="Arial" w:hAnsi="Arial" w:cs="Arial"/>
          <w:sz w:val="20"/>
          <w:szCs w:val="20"/>
        </w:rPr>
        <w:t xml:space="preserve">photosynthesis, </w:t>
      </w:r>
      <w:r w:rsidR="00082E25" w:rsidRPr="007A3962">
        <w:rPr>
          <w:rFonts w:ascii="Arial" w:hAnsi="Arial" w:cs="Arial"/>
          <w:sz w:val="20"/>
          <w:szCs w:val="20"/>
        </w:rPr>
        <w:t>signal transduction,</w:t>
      </w:r>
      <w:r w:rsidR="00747539" w:rsidRPr="007A3962">
        <w:rPr>
          <w:rFonts w:ascii="Arial" w:hAnsi="Arial" w:cs="Arial"/>
          <w:sz w:val="20"/>
          <w:szCs w:val="20"/>
        </w:rPr>
        <w:t xml:space="preserve"> energy transport,</w:t>
      </w:r>
      <w:r w:rsidR="00082E25" w:rsidRPr="007A3962">
        <w:rPr>
          <w:rFonts w:ascii="Arial" w:hAnsi="Arial" w:cs="Arial"/>
          <w:sz w:val="20"/>
          <w:szCs w:val="20"/>
        </w:rPr>
        <w:t xml:space="preserve"> cell </w:t>
      </w:r>
      <w:r w:rsidR="00747539" w:rsidRPr="007A3962">
        <w:rPr>
          <w:rFonts w:ascii="Arial" w:hAnsi="Arial" w:cs="Arial"/>
          <w:sz w:val="20"/>
          <w:szCs w:val="20"/>
        </w:rPr>
        <w:t xml:space="preserve">development and </w:t>
      </w:r>
      <w:r w:rsidR="00082E25" w:rsidRPr="007A3962">
        <w:rPr>
          <w:rFonts w:ascii="Arial" w:hAnsi="Arial" w:cs="Arial"/>
          <w:sz w:val="20"/>
          <w:szCs w:val="20"/>
        </w:rPr>
        <w:t>division</w:t>
      </w:r>
      <w:r w:rsidR="00747539" w:rsidRPr="007A3962">
        <w:rPr>
          <w:rFonts w:ascii="Arial" w:hAnsi="Arial" w:cs="Arial"/>
          <w:sz w:val="20"/>
          <w:szCs w:val="20"/>
        </w:rPr>
        <w:t xml:space="preserve"> etc.</w:t>
      </w:r>
      <w:r w:rsidR="00082E25" w:rsidRPr="007A3962">
        <w:rPr>
          <w:rFonts w:ascii="Arial" w:hAnsi="Arial" w:cs="Arial"/>
          <w:sz w:val="20"/>
          <w:szCs w:val="20"/>
        </w:rPr>
        <w:t xml:space="preserve"> </w:t>
      </w:r>
      <w:r w:rsidR="007B1887" w:rsidRPr="007A3962">
        <w:rPr>
          <w:rFonts w:ascii="Arial" w:hAnsi="Arial" w:cs="Arial"/>
          <w:sz w:val="20"/>
          <w:szCs w:val="20"/>
        </w:rPr>
        <w:fldChar w:fldCharType="begin" w:fldLock="1"/>
      </w:r>
      <w:r w:rsidR="007B1887" w:rsidRPr="007A3962">
        <w:rPr>
          <w:rFonts w:ascii="Arial" w:hAnsi="Arial" w:cs="Arial"/>
          <w:sz w:val="20"/>
          <w:szCs w:val="20"/>
        </w:rPr>
        <w:instrText>ADDIN CSL_CITATION {"citationItems":[{"id":"ITEM-1","itemData":{"author":[{"dropping-particle":"","family":"Sharma","given":"Seema B","non-dropping-particle":"","parse-names":false,"suffix":""},{"dropping-particle":"","family":"Sayyed","given":"Riyaz Z","non-dropping-particle":"","parse-names":false,"suffix":""},{"dropping-particle":"","family":"Trivedi","given":"Mrugesh H","non-dropping-particle":"","parse-names":false,"suffix":""},{"dropping-particle":"","family":"Gobi","given":"Thivakaran A","non-dropping-particle":"","parse-names":false,"suffix":""}],"id":"ITEM-1","issue":"Richardson 1994","issued":{"date-parts":[["2013"]]},"page":"1-14","title":"Phosphate solubilizing microbes : sustainable approach for managing phosphorus deficiency in agricultural soils","type":"article-journal"},"uris":["http://www.mendeley.com/documents/?uuid=414c8cd8-cead-47e4-b124-2e1eaa8af12f"]}],"mendeley":{"formattedCitation":"(Sharma et al., 2013)","plainTextFormattedCitation":"(Sharma et al., 2013)","previouslyFormattedCitation":"(Sharma et al., 2013)"},"properties":{"noteIndex":0},"schema":"https://github.com/citation-style-language/schema/raw/master/csl-citation.json"}</w:instrText>
      </w:r>
      <w:r w:rsidR="007B1887" w:rsidRPr="007A3962">
        <w:rPr>
          <w:rFonts w:ascii="Arial" w:hAnsi="Arial" w:cs="Arial"/>
          <w:sz w:val="20"/>
          <w:szCs w:val="20"/>
        </w:rPr>
        <w:fldChar w:fldCharType="separate"/>
      </w:r>
      <w:r w:rsidR="007B1887" w:rsidRPr="007A3962">
        <w:rPr>
          <w:rFonts w:ascii="Arial" w:hAnsi="Arial" w:cs="Arial"/>
          <w:noProof/>
          <w:sz w:val="20"/>
          <w:szCs w:val="20"/>
        </w:rPr>
        <w:t>(Sharma et al., 2013)</w:t>
      </w:r>
      <w:r w:rsidR="007B1887" w:rsidRPr="007A3962">
        <w:rPr>
          <w:rFonts w:ascii="Arial" w:hAnsi="Arial" w:cs="Arial"/>
          <w:sz w:val="20"/>
          <w:szCs w:val="20"/>
        </w:rPr>
        <w:fldChar w:fldCharType="end"/>
      </w:r>
      <w:r w:rsidR="00747539" w:rsidRPr="007A3962">
        <w:rPr>
          <w:rFonts w:ascii="Arial" w:hAnsi="Arial" w:cs="Arial"/>
          <w:sz w:val="20"/>
          <w:szCs w:val="20"/>
        </w:rPr>
        <w:t>.</w:t>
      </w:r>
    </w:p>
    <w:p w14:paraId="1AFDB514" w14:textId="77777777" w:rsidR="00082E25" w:rsidRPr="007A3962" w:rsidRDefault="000C1A59" w:rsidP="005B6FFA">
      <w:pPr>
        <w:spacing w:line="480" w:lineRule="auto"/>
        <w:rPr>
          <w:rFonts w:ascii="Arial" w:hAnsi="Arial" w:cs="Arial"/>
          <w:sz w:val="20"/>
          <w:szCs w:val="20"/>
        </w:rPr>
      </w:pPr>
      <w:r w:rsidRPr="007A3962">
        <w:rPr>
          <w:rFonts w:ascii="Arial" w:hAnsi="Arial" w:cs="Arial"/>
          <w:sz w:val="20"/>
          <w:szCs w:val="20"/>
        </w:rPr>
        <w:t>The continuous application of</w:t>
      </w:r>
      <w:r w:rsidR="00082E25" w:rsidRPr="007A3962">
        <w:rPr>
          <w:rFonts w:ascii="Arial" w:hAnsi="Arial" w:cs="Arial"/>
          <w:sz w:val="20"/>
          <w:szCs w:val="20"/>
        </w:rPr>
        <w:t xml:space="preserve"> P </w:t>
      </w:r>
      <w:r w:rsidRPr="007A3962">
        <w:rPr>
          <w:rFonts w:ascii="Arial" w:hAnsi="Arial" w:cs="Arial"/>
          <w:sz w:val="20"/>
          <w:szCs w:val="20"/>
        </w:rPr>
        <w:t xml:space="preserve">based fertiliser </w:t>
      </w:r>
      <w:r w:rsidR="00747539" w:rsidRPr="007A3962">
        <w:rPr>
          <w:rFonts w:ascii="Arial" w:hAnsi="Arial" w:cs="Arial"/>
          <w:sz w:val="20"/>
          <w:szCs w:val="20"/>
        </w:rPr>
        <w:t>cause high</w:t>
      </w:r>
      <w:r w:rsidR="00082E25" w:rsidRPr="007A3962">
        <w:rPr>
          <w:rFonts w:ascii="Arial" w:hAnsi="Arial" w:cs="Arial"/>
          <w:sz w:val="20"/>
          <w:szCs w:val="20"/>
        </w:rPr>
        <w:t xml:space="preserve"> accumulation of</w:t>
      </w:r>
      <w:r w:rsidRPr="007A3962">
        <w:rPr>
          <w:rFonts w:ascii="Arial" w:hAnsi="Arial" w:cs="Arial"/>
          <w:sz w:val="20"/>
          <w:szCs w:val="20"/>
        </w:rPr>
        <w:t xml:space="preserve"> </w:t>
      </w:r>
      <w:r w:rsidR="00747539" w:rsidRPr="007A3962">
        <w:rPr>
          <w:rFonts w:ascii="Arial" w:hAnsi="Arial" w:cs="Arial"/>
          <w:sz w:val="20"/>
          <w:szCs w:val="20"/>
        </w:rPr>
        <w:t xml:space="preserve">total </w:t>
      </w:r>
      <w:r w:rsidRPr="007A3962">
        <w:rPr>
          <w:rFonts w:ascii="Arial" w:hAnsi="Arial" w:cs="Arial"/>
          <w:sz w:val="20"/>
          <w:szCs w:val="20"/>
        </w:rPr>
        <w:t>insoluble</w:t>
      </w:r>
      <w:r w:rsidR="00082E25" w:rsidRPr="007A3962">
        <w:rPr>
          <w:rFonts w:ascii="Arial" w:hAnsi="Arial" w:cs="Arial"/>
          <w:sz w:val="20"/>
          <w:szCs w:val="20"/>
        </w:rPr>
        <w:t xml:space="preserve"> P </w:t>
      </w:r>
      <w:r w:rsidR="00747539" w:rsidRPr="007A3962">
        <w:rPr>
          <w:rFonts w:ascii="Arial" w:hAnsi="Arial" w:cs="Arial"/>
          <w:sz w:val="20"/>
          <w:szCs w:val="20"/>
        </w:rPr>
        <w:t>which most of times is accompanied by</w:t>
      </w:r>
      <w:r w:rsidR="00082E25" w:rsidRPr="007A3962">
        <w:rPr>
          <w:rFonts w:ascii="Arial" w:hAnsi="Arial" w:cs="Arial"/>
          <w:sz w:val="20"/>
          <w:szCs w:val="20"/>
        </w:rPr>
        <w:t xml:space="preserve"> </w:t>
      </w:r>
      <w:r w:rsidRPr="007A3962">
        <w:rPr>
          <w:rFonts w:ascii="Arial" w:hAnsi="Arial" w:cs="Arial"/>
          <w:sz w:val="20"/>
          <w:szCs w:val="20"/>
        </w:rPr>
        <w:t>heavy metals which are</w:t>
      </w:r>
      <w:r w:rsidR="006C69F9" w:rsidRPr="007A3962">
        <w:rPr>
          <w:rFonts w:ascii="Arial" w:hAnsi="Arial" w:cs="Arial"/>
          <w:sz w:val="20"/>
          <w:szCs w:val="20"/>
        </w:rPr>
        <w:t xml:space="preserve"> associated rock phosphate. </w:t>
      </w:r>
      <w:r w:rsidR="00082E25" w:rsidRPr="007A3962">
        <w:rPr>
          <w:rFonts w:ascii="Arial" w:hAnsi="Arial" w:cs="Arial"/>
          <w:sz w:val="20"/>
          <w:szCs w:val="20"/>
        </w:rPr>
        <w:t xml:space="preserve"> </w:t>
      </w:r>
      <w:r w:rsidR="006C69F9" w:rsidRPr="007A3962">
        <w:rPr>
          <w:rFonts w:ascii="Arial" w:hAnsi="Arial" w:cs="Arial"/>
          <w:sz w:val="20"/>
          <w:szCs w:val="20"/>
        </w:rPr>
        <w:t xml:space="preserve">These heavy metals have an implication </w:t>
      </w:r>
      <w:r w:rsidR="00082E25" w:rsidRPr="007A3962">
        <w:rPr>
          <w:rFonts w:ascii="Arial" w:hAnsi="Arial" w:cs="Arial"/>
          <w:sz w:val="20"/>
          <w:szCs w:val="20"/>
        </w:rPr>
        <w:t>in the food chain</w:t>
      </w:r>
      <w:r w:rsidR="0006696E" w:rsidRPr="007A3962">
        <w:rPr>
          <w:rFonts w:ascii="Arial" w:hAnsi="Arial" w:cs="Arial"/>
          <w:sz w:val="20"/>
          <w:szCs w:val="20"/>
        </w:rPr>
        <w:t xml:space="preserve"> and environment</w:t>
      </w:r>
      <w:r w:rsidR="00082E25" w:rsidRPr="007A3962">
        <w:rPr>
          <w:rFonts w:ascii="Arial" w:hAnsi="Arial" w:cs="Arial"/>
          <w:sz w:val="20"/>
          <w:szCs w:val="20"/>
        </w:rPr>
        <w:t xml:space="preserve"> </w:t>
      </w:r>
      <w:r w:rsidR="007B1887" w:rsidRPr="007A3962">
        <w:rPr>
          <w:rFonts w:ascii="Arial" w:hAnsi="Arial" w:cs="Arial"/>
          <w:sz w:val="20"/>
          <w:szCs w:val="20"/>
        </w:rPr>
        <w:fldChar w:fldCharType="begin" w:fldLock="1"/>
      </w:r>
      <w:r w:rsidR="0006696E" w:rsidRPr="007A3962">
        <w:rPr>
          <w:rFonts w:ascii="Arial" w:hAnsi="Arial" w:cs="Arial"/>
          <w:sz w:val="20"/>
          <w:szCs w:val="20"/>
        </w:rPr>
        <w:instrText>ADDIN CSL_CITATION {"citationItems":[{"id":"ITEM-1","itemData":{"DOI":"10.2166/wst.2013.718","author":[{"dropping-particle":"","family":"Science","given":"Water","non-dropping-particle":"","parse-names":false,"suffix":""}],"id":"ITEM-1","issue":"June 2016","issued":{"date-parts":[["2014"]]},"title":"Mechanisms of heavy metal removal using microorganisms as biosorbent","type":"article-journal"},"uris":["http://www.mendeley.com/documents/?uuid=02617fc5-37fa-4682-a7ec-1708521a30c2"]}],"mendeley":{"formattedCitation":"(Science, 2014)","manualFormatting":"(Javanbakht et al., 2014)","plainTextFormattedCitation":"(Science, 2014)","previouslyFormattedCitation":"(Science, 2014)"},"properties":{"noteIndex":0},"schema":"https://github.com/citation-style-language/schema/raw/master/csl-citation.json"}</w:instrText>
      </w:r>
      <w:r w:rsidR="007B1887" w:rsidRPr="007A3962">
        <w:rPr>
          <w:rFonts w:ascii="Arial" w:hAnsi="Arial" w:cs="Arial"/>
          <w:sz w:val="20"/>
          <w:szCs w:val="20"/>
        </w:rPr>
        <w:fldChar w:fldCharType="separate"/>
      </w:r>
      <w:r w:rsidR="0006696E" w:rsidRPr="007A3962">
        <w:rPr>
          <w:rFonts w:ascii="Arial" w:hAnsi="Arial" w:cs="Arial"/>
          <w:noProof/>
          <w:sz w:val="20"/>
          <w:szCs w:val="20"/>
        </w:rPr>
        <w:t>(</w:t>
      </w:r>
      <w:r w:rsidR="00DC0A8E" w:rsidRPr="007A3962">
        <w:rPr>
          <w:rFonts w:ascii="Arial" w:hAnsi="Arial" w:cs="Arial"/>
          <w:noProof/>
          <w:sz w:val="20"/>
          <w:szCs w:val="20"/>
        </w:rPr>
        <w:t>Javanbakht et al.</w:t>
      </w:r>
      <w:r w:rsidR="007B1887" w:rsidRPr="007A3962">
        <w:rPr>
          <w:rFonts w:ascii="Arial" w:hAnsi="Arial" w:cs="Arial"/>
          <w:noProof/>
          <w:sz w:val="20"/>
          <w:szCs w:val="20"/>
        </w:rPr>
        <w:t>, 2014)</w:t>
      </w:r>
      <w:r w:rsidR="007B1887" w:rsidRPr="007A3962">
        <w:rPr>
          <w:rFonts w:ascii="Arial" w:hAnsi="Arial" w:cs="Arial"/>
          <w:sz w:val="20"/>
          <w:szCs w:val="20"/>
        </w:rPr>
        <w:fldChar w:fldCharType="end"/>
      </w:r>
      <w:r w:rsidR="00082E25" w:rsidRPr="007A3962">
        <w:rPr>
          <w:rFonts w:ascii="Arial" w:hAnsi="Arial" w:cs="Arial"/>
          <w:sz w:val="20"/>
          <w:szCs w:val="20"/>
        </w:rPr>
        <w:t xml:space="preserve">. </w:t>
      </w:r>
      <w:r w:rsidR="006C69F9" w:rsidRPr="007A3962">
        <w:rPr>
          <w:rFonts w:ascii="Arial" w:hAnsi="Arial" w:cs="Arial"/>
          <w:sz w:val="20"/>
          <w:szCs w:val="20"/>
        </w:rPr>
        <w:t>The e</w:t>
      </w:r>
      <w:r w:rsidR="00082E25" w:rsidRPr="007A3962">
        <w:rPr>
          <w:rFonts w:ascii="Arial" w:hAnsi="Arial" w:cs="Arial"/>
          <w:sz w:val="20"/>
          <w:szCs w:val="20"/>
        </w:rPr>
        <w:t>xcessiv</w:t>
      </w:r>
      <w:r w:rsidR="006C69F9" w:rsidRPr="007A3962">
        <w:rPr>
          <w:rFonts w:ascii="Arial" w:hAnsi="Arial" w:cs="Arial"/>
          <w:sz w:val="20"/>
          <w:szCs w:val="20"/>
        </w:rPr>
        <w:t>e phosphate</w:t>
      </w:r>
      <w:r w:rsidR="00082E25" w:rsidRPr="007A3962">
        <w:rPr>
          <w:rFonts w:ascii="Arial" w:hAnsi="Arial" w:cs="Arial"/>
          <w:sz w:val="20"/>
          <w:szCs w:val="20"/>
        </w:rPr>
        <w:t xml:space="preserve"> inputs </w:t>
      </w:r>
      <w:r w:rsidR="0006696E" w:rsidRPr="007A3962">
        <w:rPr>
          <w:rFonts w:ascii="Arial" w:hAnsi="Arial" w:cs="Arial"/>
          <w:sz w:val="20"/>
          <w:szCs w:val="20"/>
        </w:rPr>
        <w:t>causes</w:t>
      </w:r>
      <w:r w:rsidR="00082E25" w:rsidRPr="007A3962">
        <w:rPr>
          <w:rFonts w:ascii="Arial" w:hAnsi="Arial" w:cs="Arial"/>
          <w:sz w:val="20"/>
          <w:szCs w:val="20"/>
        </w:rPr>
        <w:t xml:space="preserve"> eutrophication </w:t>
      </w:r>
      <w:r w:rsidR="0006696E" w:rsidRPr="007A3962">
        <w:rPr>
          <w:rFonts w:ascii="Arial" w:hAnsi="Arial" w:cs="Arial"/>
          <w:sz w:val="20"/>
          <w:szCs w:val="20"/>
        </w:rPr>
        <w:t xml:space="preserve">through percolation and </w:t>
      </w:r>
      <w:r w:rsidR="00082E25" w:rsidRPr="007A3962">
        <w:rPr>
          <w:rFonts w:ascii="Arial" w:hAnsi="Arial" w:cs="Arial"/>
          <w:sz w:val="20"/>
          <w:szCs w:val="20"/>
        </w:rPr>
        <w:t>run-off to water</w:t>
      </w:r>
      <w:r w:rsidR="006C69F9" w:rsidRPr="007A3962">
        <w:rPr>
          <w:rFonts w:ascii="Arial" w:hAnsi="Arial" w:cs="Arial"/>
          <w:sz w:val="20"/>
          <w:szCs w:val="20"/>
        </w:rPr>
        <w:t>bodies</w:t>
      </w:r>
      <w:r w:rsidR="00DC0A8E" w:rsidRPr="007A3962">
        <w:rPr>
          <w:rFonts w:ascii="Arial" w:hAnsi="Arial" w:cs="Arial"/>
          <w:sz w:val="20"/>
          <w:szCs w:val="20"/>
        </w:rPr>
        <w:t xml:space="preserve"> </w:t>
      </w:r>
      <w:r w:rsidR="00DC0A8E" w:rsidRPr="007A3962">
        <w:rPr>
          <w:rFonts w:ascii="Arial" w:hAnsi="Arial" w:cs="Arial"/>
          <w:sz w:val="20"/>
          <w:szCs w:val="20"/>
        </w:rPr>
        <w:fldChar w:fldCharType="begin" w:fldLock="1"/>
      </w:r>
      <w:r w:rsidR="00DC0A8E" w:rsidRPr="007A3962">
        <w:rPr>
          <w:rFonts w:ascii="Arial" w:hAnsi="Arial" w:cs="Arial"/>
          <w:sz w:val="20"/>
          <w:szCs w:val="20"/>
        </w:rPr>
        <w:instrText>ADDIN CSL_CITATION {"citationItems":[{"id":"ITEM-1","itemData":{"DOI":"10.1016/j.apcbee.2012.03.047","ISSN":"22126708","abstract":"Consumer society, in order to meet the growing need for food, agricultural land per unit area required to achieve maximum efficiency and highest quality product. It is known that the nutrition of the plant is the one of the most important factors to control agricultural productivity and quality. Rates of nutrients in the soil affects the quality of yield. In the permanent agricultural land, the soil will be very poor in nutrients, as a result, inefficient. Therefore, producers, fertilize the soil, combat pests, irrigation and process of agricultural activities to make more efficient to soil. Fertilization among these activities remains a priority at all times. Recent studies, however, excessive use of fertilizers is the need for additional land outside the public and environmental health of the reported adverse affects. Excessive fertilization and mindless, but there were soil salinity, heavy metal accumulation, water eutrophication and accumulation of nitrate, to consider in terms of air pollution in the air of gases containing nitrogen and sulfur, giving and can lead to problems such as the greenhouse effect. In this review, aims to reveal environmental and health problems caused by improper fertilization provides recommendation toward solving these problems.","author":[{"dropping-particle":"","family":"Savci","given":"Serpil","non-dropping-particle":"","parse-names":false,"suffix":""}],"container-title":"APCBEE Procedia","id":"ITEM-1","issue":"January","issued":{"date-parts":[["2012"]]},"page":"287-292","title":"Investigation of Effect of Chemical Fertilizers on Environment","type":"article-journal","volume":"1"},"uris":["http://www.mendeley.com/documents/?uuid=4e083b55-bbbf-43ed-9fa2-94b245d8bf8b"]},{"id":"ITEM-2","itemData":{"DOI":"10.1016/j.scitotenv.2010.11.003","ISSN":"00489697","abstract":"The mobility and bioavailability of lead (Pb) in soils can be mitigated by its immobilization using both soluble and insoluble phosphate (P) compounds. The effectiveness of insoluble P sources on Pb immobilization depends on their rate of dissolution which can be enhanced by phosphate solubilizing bacteria (PSB). In this study, the effect of soluble (potassium dihydrogen phosphate) and insoluble (rock phosphate in the presence and absence of PSB) P compounds on the immobilization of Pb, and leaching of Pb and P was examined using both naturally contaminated (SR soil: NH4NO3 extractable Pb: 28.7mg/kg, pH: 5.88, organic matter: 0.7%) and Pb spiked (AH soil: NH4NO3 extractable Pb: 42.7mg/kg, pH: 5.23, organic matter: 10.9%) soils. Phosphate compounds were added at the rate of 200mg P/kg and 800mg P/kg for SR and AH soils, respectively. Soluble P treatment immobilized 80% and 57% of Pb in SR and AH soils, respectively. Insoluble rock phosphate immobilized 40% and 9% of Pb without PSB, and 60% and 17% with PSB in SR and AH soils, respectively. Lead leaching was the lowest when soils were amended with rock phosphate in the presence of PSB, which reduced Pb leaching by 36% for SR soil and 18% for AH soil compared to the control. The leaching of Pb increased when the soils were amended with soluble P because soluble P treatment increased dissolved organic carbon (DOC) concentration of soil, thereby increasing Pb mobility. Soluble P treatment significantly increased P leaching and 9% of total added P was leached from low P retaining AH soil. The optimum level of P amendment is a critical issue when soluble P is used as a Pb immobilizing agent because of eutrophication resulting from excessive P leaching to surface and ground water. While the soluble P compound was effective in the immobilization of Pb, it resulted in P leaching which increased with increasing levels of P addition. However, rock phosphate amendment with PSB achieved the immobilization of Pb with a minimum effect on both Pb and P leaching. © 2010 Elsevier B.V.","author":[{"dropping-particle":"","family":"Park","given":"Jin Hee","non-dropping-particle":"","parse-names":false,"suffix":""},{"dropping-particle":"","family":"Bolan","given":"Nanthi","non-dropping-particle":"","parse-names":false,"suffix":""},{"dropping-particle":"","family":"Megharaj","given":"Mallavarapu","non-dropping-particle":"","parse-names":false,"suffix":""},{"dropping-particle":"","family":"Naidu","given":"Ravi","non-dropping-particle":"","parse-names":false,"suffix":""}],"container-title":"Science of the Total Environment","id":"ITEM-2","issue":"4","issued":{"date-parts":[["2011"]]},"title":"Comparative value of phosphate sources on the immobilization of lead, and leaching of lead and phosphorus in lead contaminated soils","type":"article-journal","volume":"409"},"uris":["http://www.mendeley.com/documents/?uuid=91566a81-9aff-3278-9ac1-4456df73576a"]},{"id":"ITEM-3","itemData":{"DOI":"10.3389/fmicb.2017.00971","ISSN":"1664302X","abstract":"The use of excess conventional Phosphorus (P) fertilizers to improve agricultural productivity, in order to meet constantly increasing global food demand, potentially causes surface and ground water pollution, waterway eutrophication, soil fertility depletion, and accumulation of toxic elements such as high concentration of selenium (Se), arsenic (As) in the soil. Quite a number of soil microorganisms are capable of solubilizing/mineralizing insoluble soil phosphate to release soluble P and making it available to plants. These microorganisms improve the growth and yield of a wide variety of crops. Thus, inoculating seeds/crops/soil with Phosphate Solubilizing Microorganisms (PSM) is a promising strategy to improve world food production without causing any environmental hazard. Despite their great significance in soil fertility improvement, phosphorus-solubilizing microorganisms have yet to replace conventional chemical fertilizers in commercial agriculture. A better understanding of recent developments in PSM functional diversity, colonizing ability, mode of actions and judicious application should facilitate their use as reliable components of sustainable agricultural systems. In this review, we discussed various soil microorganisms that have the ability to solubilize phosphorus and hence have the potential to be used as bio fertilizers. The mechanisms of inorganic phosphate solubilization by PSM and the mechanisms of organic phosphorus mineralization are highlighted together with some factors that determine the success of this technology. Finally we provide some indications that the use of PSM will promote sustainable agriculture and conclude that this technology is ready for commercial exploitation in various regions worldwide.","author":[{"dropping-particle":"","family":"Alori","given":"Elizabeth T.","non-dropping-particle":"","parse-names":false,"suffix":""},{"dropping-particle":"","family":"Glick","given":"Bernard R.","non-dropping-particle":"","parse-names":false,"suffix":""},{"dropping-particle":"","family":"Babalola","given":"Olubukola O.","non-dropping-particle":"","parse-names":false,"suffix":""}],"container-title":"Frontiers in Microbiology","id":"ITEM-3","issue":"JUN","issued":{"date-parts":[["2017"]]},"title":"Microbial phosphorus solubilization and its potential for use in sustainable agriculture","type":"article","volume":"8"},"uris":["http://www.mendeley.com/documents/?uuid=6b8116a2-51c3-3494-8685-155fd8b137bf"]}],"mendeley":{"formattedCitation":"(Alori et al., 2017; Park et al., 2011; Savci, 2012)","plainTextFormattedCitation":"(Alori et al., 2017; Park et al., 2011; Savci, 2012)","previouslyFormattedCitation":"(Alori et al., 2017; Park et al., 2011; Savci, 2012)"},"properties":{"noteIndex":0},"schema":"https://github.com/citation-style-language/schema/raw/master/csl-citation.json"}</w:instrText>
      </w:r>
      <w:r w:rsidR="00DC0A8E" w:rsidRPr="007A3962">
        <w:rPr>
          <w:rFonts w:ascii="Arial" w:hAnsi="Arial" w:cs="Arial"/>
          <w:sz w:val="20"/>
          <w:szCs w:val="20"/>
        </w:rPr>
        <w:fldChar w:fldCharType="separate"/>
      </w:r>
      <w:r w:rsidR="00DC0A8E" w:rsidRPr="007A3962">
        <w:rPr>
          <w:rFonts w:ascii="Arial" w:hAnsi="Arial" w:cs="Arial"/>
          <w:noProof/>
          <w:sz w:val="20"/>
          <w:szCs w:val="20"/>
        </w:rPr>
        <w:t>(Alori et al., 2017; Park et al., 2011; Savci, 2012)</w:t>
      </w:r>
      <w:r w:rsidR="00DC0A8E" w:rsidRPr="007A3962">
        <w:rPr>
          <w:rFonts w:ascii="Arial" w:hAnsi="Arial" w:cs="Arial"/>
          <w:sz w:val="20"/>
          <w:szCs w:val="20"/>
        </w:rPr>
        <w:fldChar w:fldCharType="end"/>
      </w:r>
      <w:r w:rsidR="006C69F9" w:rsidRPr="007A3962">
        <w:rPr>
          <w:rFonts w:ascii="Arial" w:hAnsi="Arial" w:cs="Arial"/>
          <w:sz w:val="20"/>
          <w:szCs w:val="20"/>
        </w:rPr>
        <w:t>.</w:t>
      </w:r>
    </w:p>
    <w:p w14:paraId="12188A86" w14:textId="77777777" w:rsidR="00082E25" w:rsidRPr="007A3962" w:rsidRDefault="00082E25" w:rsidP="005B6FFA">
      <w:pPr>
        <w:spacing w:line="480" w:lineRule="auto"/>
        <w:rPr>
          <w:rFonts w:ascii="Arial" w:hAnsi="Arial" w:cs="Arial"/>
          <w:sz w:val="20"/>
          <w:szCs w:val="20"/>
        </w:rPr>
      </w:pPr>
      <w:r w:rsidRPr="007A3962">
        <w:rPr>
          <w:rFonts w:ascii="Arial" w:hAnsi="Arial" w:cs="Arial"/>
          <w:sz w:val="20"/>
          <w:szCs w:val="20"/>
        </w:rPr>
        <w:t xml:space="preserve">Tropical and subtropical agricultural soils in which Malawi is categorized contain </w:t>
      </w:r>
      <w:r w:rsidR="00134322" w:rsidRPr="007A3962">
        <w:rPr>
          <w:rFonts w:ascii="Arial" w:hAnsi="Arial" w:cs="Arial"/>
          <w:sz w:val="20"/>
          <w:szCs w:val="20"/>
        </w:rPr>
        <w:t>high</w:t>
      </w:r>
      <w:r w:rsidR="007D038F" w:rsidRPr="007A3962">
        <w:rPr>
          <w:rFonts w:ascii="Arial" w:hAnsi="Arial" w:cs="Arial"/>
          <w:sz w:val="20"/>
          <w:szCs w:val="20"/>
        </w:rPr>
        <w:t xml:space="preserve"> </w:t>
      </w:r>
      <w:r w:rsidR="00134322" w:rsidRPr="007A3962">
        <w:rPr>
          <w:rFonts w:ascii="Arial" w:hAnsi="Arial" w:cs="Arial"/>
          <w:sz w:val="20"/>
          <w:szCs w:val="20"/>
        </w:rPr>
        <w:t>levels of total</w:t>
      </w:r>
      <w:r w:rsidRPr="007A3962">
        <w:rPr>
          <w:rFonts w:ascii="Arial" w:hAnsi="Arial" w:cs="Arial"/>
          <w:sz w:val="20"/>
          <w:szCs w:val="20"/>
        </w:rPr>
        <w:t xml:space="preserve"> </w:t>
      </w:r>
      <w:r w:rsidR="006C69F9" w:rsidRPr="007A3962">
        <w:rPr>
          <w:rFonts w:ascii="Arial" w:hAnsi="Arial" w:cs="Arial"/>
          <w:sz w:val="20"/>
          <w:szCs w:val="20"/>
        </w:rPr>
        <w:t>P</w:t>
      </w:r>
      <w:r w:rsidRPr="007A3962">
        <w:rPr>
          <w:rFonts w:ascii="Arial" w:hAnsi="Arial" w:cs="Arial"/>
          <w:sz w:val="20"/>
          <w:szCs w:val="20"/>
        </w:rPr>
        <w:t xml:space="preserve">, </w:t>
      </w:r>
      <w:r w:rsidR="00134322" w:rsidRPr="007A3962">
        <w:rPr>
          <w:rFonts w:ascii="Arial" w:hAnsi="Arial" w:cs="Arial"/>
          <w:sz w:val="20"/>
          <w:szCs w:val="20"/>
        </w:rPr>
        <w:t>due to</w:t>
      </w:r>
      <w:r w:rsidRPr="007A3962">
        <w:rPr>
          <w:rFonts w:ascii="Arial" w:hAnsi="Arial" w:cs="Arial"/>
          <w:sz w:val="20"/>
          <w:szCs w:val="20"/>
        </w:rPr>
        <w:t xml:space="preserve"> </w:t>
      </w:r>
      <w:r w:rsidR="00134322" w:rsidRPr="007A3962">
        <w:rPr>
          <w:rFonts w:ascii="Arial" w:hAnsi="Arial" w:cs="Arial"/>
          <w:sz w:val="20"/>
          <w:szCs w:val="20"/>
        </w:rPr>
        <w:t xml:space="preserve">frequent </w:t>
      </w:r>
      <w:r w:rsidRPr="007A3962">
        <w:rPr>
          <w:rFonts w:ascii="Arial" w:hAnsi="Arial" w:cs="Arial"/>
          <w:sz w:val="20"/>
          <w:szCs w:val="20"/>
        </w:rPr>
        <w:t xml:space="preserve">applications of </w:t>
      </w:r>
      <w:r w:rsidR="00134322" w:rsidRPr="007A3962">
        <w:rPr>
          <w:rFonts w:ascii="Arial" w:hAnsi="Arial" w:cs="Arial"/>
          <w:sz w:val="20"/>
          <w:szCs w:val="20"/>
        </w:rPr>
        <w:t>P</w:t>
      </w:r>
      <w:r w:rsidRPr="007A3962">
        <w:rPr>
          <w:rFonts w:ascii="Arial" w:hAnsi="Arial" w:cs="Arial"/>
          <w:sz w:val="20"/>
          <w:szCs w:val="20"/>
        </w:rPr>
        <w:t xml:space="preserve"> based</w:t>
      </w:r>
      <w:r w:rsidR="00134322" w:rsidRPr="007A3962">
        <w:rPr>
          <w:rFonts w:ascii="Arial" w:hAnsi="Arial" w:cs="Arial"/>
          <w:sz w:val="20"/>
          <w:szCs w:val="20"/>
        </w:rPr>
        <w:t xml:space="preserve"> inorganic</w:t>
      </w:r>
      <w:r w:rsidRPr="007A3962">
        <w:rPr>
          <w:rFonts w:ascii="Arial" w:hAnsi="Arial" w:cs="Arial"/>
          <w:sz w:val="20"/>
          <w:szCs w:val="20"/>
        </w:rPr>
        <w:t xml:space="preserve"> fertilizers and parent materials yet low yields due to </w:t>
      </w:r>
      <w:r w:rsidR="00134322" w:rsidRPr="007A3962">
        <w:rPr>
          <w:rFonts w:ascii="Arial" w:hAnsi="Arial" w:cs="Arial"/>
          <w:sz w:val="20"/>
          <w:szCs w:val="20"/>
        </w:rPr>
        <w:t xml:space="preserve">available (soluble) </w:t>
      </w:r>
      <w:r w:rsidRPr="007A3962">
        <w:rPr>
          <w:rFonts w:ascii="Arial" w:hAnsi="Arial" w:cs="Arial"/>
          <w:sz w:val="20"/>
          <w:szCs w:val="20"/>
        </w:rPr>
        <w:t xml:space="preserve">P deficiency </w:t>
      </w:r>
      <w:r w:rsidRPr="007A3962">
        <w:rPr>
          <w:rFonts w:ascii="Arial" w:hAnsi="Arial" w:cs="Arial"/>
          <w:sz w:val="20"/>
          <w:szCs w:val="20"/>
        </w:rPr>
        <w:fldChar w:fldCharType="begin" w:fldLock="1"/>
      </w:r>
      <w:r w:rsidR="003E57A6" w:rsidRPr="007A3962">
        <w:rPr>
          <w:rFonts w:ascii="Arial" w:hAnsi="Arial" w:cs="Arial"/>
          <w:sz w:val="20"/>
          <w:szCs w:val="20"/>
        </w:rPr>
        <w:instrText>ADDIN CSL_CITATION {"citationItems":[{"id":"ITEM-1","itemData":{"author":[{"dropping-particle":"","family":"Mikkelsen","given":"R","non-dropping-particle":"","parse-names":false,"suffix":""}],"container-title":"… , National Alfalfa Symposium. UC Cooperative …","id":"ITEM-1","issued":{"date-parts":[["2004"]]},"title":"Managing phosphorus for maximum alfalfa yield and quality","type":"article-journal"},"uris":["http://www.mendeley.com/documents/?uuid=332da5be-3a4d-4473-a1aa-fcf6418d5100"]}],"mendeley":{"formattedCitation":"(Mikkelsen, 2004)","plainTextFormattedCitation":"(Mikkelsen, 2004)","previouslyFormattedCitation":"(Mikkelsen, 2004)"},"properties":{"noteIndex":0},"schema":"https://github.com/citation-style-language/schema/raw/master/csl-citation.json"}</w:instrText>
      </w:r>
      <w:r w:rsidRPr="007A3962">
        <w:rPr>
          <w:rFonts w:ascii="Arial" w:hAnsi="Arial" w:cs="Arial"/>
          <w:sz w:val="20"/>
          <w:szCs w:val="20"/>
        </w:rPr>
        <w:fldChar w:fldCharType="separate"/>
      </w:r>
      <w:r w:rsidR="00B4030D" w:rsidRPr="007A3962">
        <w:rPr>
          <w:rFonts w:ascii="Arial" w:hAnsi="Arial" w:cs="Arial"/>
          <w:noProof/>
          <w:sz w:val="20"/>
          <w:szCs w:val="20"/>
        </w:rPr>
        <w:t>(Mikkelsen, 2004)</w:t>
      </w:r>
      <w:r w:rsidRPr="007A3962">
        <w:rPr>
          <w:rFonts w:ascii="Arial" w:hAnsi="Arial" w:cs="Arial"/>
          <w:sz w:val="20"/>
          <w:szCs w:val="20"/>
        </w:rPr>
        <w:fldChar w:fldCharType="end"/>
      </w:r>
      <w:r w:rsidRPr="007A3962">
        <w:rPr>
          <w:rFonts w:ascii="Arial" w:hAnsi="Arial" w:cs="Arial"/>
          <w:sz w:val="20"/>
          <w:szCs w:val="20"/>
        </w:rPr>
        <w:t xml:space="preserve">. </w:t>
      </w:r>
      <w:r w:rsidR="007D038F" w:rsidRPr="007A3962">
        <w:rPr>
          <w:rFonts w:ascii="Arial" w:hAnsi="Arial" w:cs="Arial"/>
          <w:sz w:val="20"/>
          <w:szCs w:val="20"/>
        </w:rPr>
        <w:t xml:space="preserve">Malawi has above 2000 mg/kg of </w:t>
      </w:r>
      <w:r w:rsidRPr="007A3962">
        <w:rPr>
          <w:rFonts w:ascii="Arial" w:hAnsi="Arial" w:cs="Arial"/>
          <w:sz w:val="20"/>
          <w:szCs w:val="20"/>
        </w:rPr>
        <w:t xml:space="preserve">total P yet </w:t>
      </w:r>
      <w:r w:rsidR="007D038F" w:rsidRPr="007A3962">
        <w:rPr>
          <w:rFonts w:ascii="Arial" w:hAnsi="Arial" w:cs="Arial"/>
          <w:sz w:val="20"/>
          <w:szCs w:val="20"/>
        </w:rPr>
        <w:t>available</w:t>
      </w:r>
      <w:r w:rsidRPr="007A3962">
        <w:rPr>
          <w:rFonts w:ascii="Arial" w:hAnsi="Arial" w:cs="Arial"/>
          <w:sz w:val="20"/>
          <w:szCs w:val="20"/>
        </w:rPr>
        <w:t xml:space="preserve"> P </w:t>
      </w:r>
      <w:r w:rsidR="006C69F9" w:rsidRPr="007A3962">
        <w:rPr>
          <w:rFonts w:ascii="Arial" w:hAnsi="Arial" w:cs="Arial"/>
          <w:sz w:val="20"/>
          <w:szCs w:val="20"/>
        </w:rPr>
        <w:t>is below crop requirement level of 25</w:t>
      </w:r>
      <w:r w:rsidRPr="007A3962">
        <w:rPr>
          <w:rFonts w:ascii="Arial" w:hAnsi="Arial" w:cs="Arial"/>
          <w:sz w:val="20"/>
          <w:szCs w:val="20"/>
        </w:rPr>
        <w:t xml:space="preserve"> </w:t>
      </w:r>
      <w:r w:rsidR="0021392E" w:rsidRPr="007A3962">
        <w:rPr>
          <w:rFonts w:ascii="Arial" w:hAnsi="Arial" w:cs="Arial"/>
          <w:sz w:val="20"/>
          <w:szCs w:val="20"/>
        </w:rPr>
        <w:t>mg/kg</w:t>
      </w:r>
      <w:r w:rsidRPr="007A3962">
        <w:rPr>
          <w:rFonts w:ascii="Arial" w:hAnsi="Arial" w:cs="Arial"/>
          <w:sz w:val="20"/>
          <w:szCs w:val="20"/>
        </w:rPr>
        <w:t xml:space="preserve"> </w:t>
      </w:r>
      <w:r w:rsidR="00203939" w:rsidRPr="007A3962">
        <w:rPr>
          <w:rFonts w:ascii="Arial" w:hAnsi="Arial" w:cs="Arial"/>
          <w:sz w:val="20"/>
          <w:szCs w:val="20"/>
        </w:rPr>
        <w:t xml:space="preserve">which can’t be accessed by crop </w:t>
      </w:r>
      <w:r w:rsidR="00203939" w:rsidRPr="007A3962">
        <w:rPr>
          <w:rFonts w:ascii="Arial" w:hAnsi="Arial" w:cs="Arial"/>
          <w:sz w:val="20"/>
          <w:szCs w:val="20"/>
        </w:rPr>
        <w:fldChar w:fldCharType="begin" w:fldLock="1"/>
      </w:r>
      <w:r w:rsidR="007B1887" w:rsidRPr="007A3962">
        <w:rPr>
          <w:rFonts w:ascii="Arial" w:hAnsi="Arial" w:cs="Arial"/>
          <w:sz w:val="20"/>
          <w:szCs w:val="20"/>
        </w:rPr>
        <w:instrText>ADDIN CSL_CITATION {"citationItems":[{"id":"ITEM-1","itemData":{"DOI":"10.1038/s41597-022-01500-5","ISBN":"4159702201","ISSN":"20524463","PMID":"35879373","abstract":"The dataset comprises primary data for the concentration of 29 mineral micronutrients in cereal grains and up to 84 soil chemistry properties from GeoNutrition project surveys in Ethiopia and Malawi. The work provided insights on geospatial variation in the micronutrient concentration in staple crops, and the potential influencing soil factors. In Ethiopia, sampling was conducted in Amhara, Oromia, and Tigray regions, during the late-2017 and late-2018 harvest seasons. In Malawi, national-scale sampling was conducted during the April–June 2018 harvest season. The concentrations of micronutrients in grain were measured using inductively coupled plasma mass spectrometry (ICP-MS). Soil chemistry properties reported include soil pH; total soil nitrogen; total soil carbon (C); soil organic C; effective cation exchange capacity and exchangeable cations; a three-step sequential extraction scheme for the fractionation of sulfur and selenium; available phosphate; diethylenetriaminepentaacetic acid (DTPA)-extractable trace elements; extractable trace elements using 0.01 M Ca(NO3)2 and 0.01 M CaCl2; and isotopically exchangeable Zn. These data are reported here according to FAIR data principles to enable users to further explore agriculture-nutrition linkages.","author":[{"dropping-particle":"","family":"Kumssa","given":"D. B.","non-dropping-particle":"","parse-names":false,"suffix":""},{"dropping-particle":"","family":"Mossa","given":"A. W.","non-dropping-particle":"","parse-names":false,"suffix":""},{"dropping-particle":"","family":"Amede","given":"T.","non-dropping-particle":"","parse-names":false,"suffix":""},{"dropping-particle":"","family":"Ander","given":"E. L.","non-dropping-particle":"","parse-names":false,"suffix":""},{"dropping-particle":"","family":"Bailey","given":"E. H.","non-dropping-particle":"","parse-names":false,"suffix":""},{"dropping-particle":"","family":"Botoman","given":"L.","non-dropping-particle":"","parse-names":false,"suffix":""},{"dropping-particle":"","family":"Chagumaira","given":"C.","non-dropping-particle":"","parse-names":false,"suffix":""},{"dropping-particle":"","family":"Chimungu","given":"J. G.","non-dropping-particle":"","parse-names":false,"suffix":""},{"dropping-particle":"","family":"Davis","given":"K.","non-dropping-particle":"","parse-names":false,"suffix":""},{"dropping-particle":"","family":"Gameda","given":"S.","non-dropping-particle":"","parse-names":false,"suffix":""},{"dropping-particle":"","family":"Haefele","given":"S. M.","non-dropping-particle":"","parse-names":false,"suffix":""},{"dropping-particle":"","family":"Hailu","given":"K.","non-dropping-particle":"","parse-names":false,"suffix":""},{"dropping-particle":"","family":"Joy","given":"E. J.M.","non-dropping-particle":"","parse-names":false,"suffix":""},{"dropping-particle":"","family":"Lark","given":"R. M.","non-dropping-particle":"","parse-names":false,"suffix":""},{"dropping-particle":"","family":"Ligowe","given":"I. S.","non-dropping-particle":"","parse-names":false,"suffix":""},{"dropping-particle":"","family":"McGrath","given":"S. P.","non-dropping-particle":"","parse-names":false,"suffix":""},{"dropping-particle":"","family":"Milne","given":"A.","non-dropping-particle":"","parse-names":false,"suffix":""},{"dropping-particle":"","family":"Muleya","given":"P.","non-dropping-particle":"","parse-names":false,"suffix":""},{"dropping-particle":"","family":"Munthali","given":"M.","non-dropping-particle":"","parse-names":false,"suffix":""},{"dropping-particle":"","family":"Towett","given":"E.","non-dropping-particle":"","parse-names":false,"suffix":""},{"dropping-particle":"","family":"Walsh","given":"M. G.","non-dropping-particle":"","parse-names":false,"suffix":""},{"dropping-particle":"","family":"Wilson","given":"L.","non-dropping-particle":"","parse-names":false,"suffix":""},{"dropping-particle":"","family":"Young","given":"S. D.","non-dropping-particle":"","parse-names":false,"suffix":""},{"dropping-particle":"","family":"Haji","given":"I. R.","non-dropping-particle":"","parse-names":false,"suffix":""},{"dropping-particle":"","family":"Broadley","given":"M. R.","non-dropping-particle":"","parse-names":false,"suffix":""},{"dropping-particle":"","family":"Gashu","given":"D.","non-dropping-particle":"","parse-names":false,"suffix":""},{"dropping-particle":"","family":"Nalivata","given":"P. C.","non-dropping-particle":"","parse-names":false,"suffix":""}],"container-title":"Scientific Data","id":"ITEM-1","issue":"1","issued":{"date-parts":[["2022"]]},"page":"1-12","publisher":"Springer US","title":"Cereal grain mineral micronutrient and soil chemistry data from GeoNutrition surveys in Ethiopia and Malawi","type":"article-journal","volume":"9"},"uris":["http://www.mendeley.com/documents/?uuid=ecd2fcb0-a578-4be5-8189-68a6cc981e54"]}],"mendeley":{"formattedCitation":"(Kumssa et al., 2022)","plainTextFormattedCitation":"(Kumssa et al., 2022)","previouslyFormattedCitation":"(Kumssa et al., 2022)"},"properties":{"noteIndex":0},"schema":"https://github.com/citation-style-language/schema/raw/master/csl-citation.json"}</w:instrText>
      </w:r>
      <w:r w:rsidR="00203939" w:rsidRPr="007A3962">
        <w:rPr>
          <w:rFonts w:ascii="Arial" w:hAnsi="Arial" w:cs="Arial"/>
          <w:sz w:val="20"/>
          <w:szCs w:val="20"/>
        </w:rPr>
        <w:fldChar w:fldCharType="separate"/>
      </w:r>
      <w:r w:rsidR="00203939" w:rsidRPr="007A3962">
        <w:rPr>
          <w:rFonts w:ascii="Arial" w:hAnsi="Arial" w:cs="Arial"/>
          <w:noProof/>
          <w:sz w:val="20"/>
          <w:szCs w:val="20"/>
        </w:rPr>
        <w:t>(Kumssa et al., 2022)</w:t>
      </w:r>
      <w:r w:rsidR="00203939" w:rsidRPr="007A3962">
        <w:rPr>
          <w:rFonts w:ascii="Arial" w:hAnsi="Arial" w:cs="Arial"/>
          <w:sz w:val="20"/>
          <w:szCs w:val="20"/>
        </w:rPr>
        <w:fldChar w:fldCharType="end"/>
      </w:r>
      <w:r w:rsidRPr="007A3962">
        <w:rPr>
          <w:rFonts w:ascii="Arial" w:hAnsi="Arial" w:cs="Arial"/>
          <w:sz w:val="20"/>
          <w:szCs w:val="20"/>
        </w:rPr>
        <w:t xml:space="preserve">. </w:t>
      </w:r>
      <w:r w:rsidR="007D038F" w:rsidRPr="007A3962">
        <w:rPr>
          <w:rFonts w:ascii="Arial" w:hAnsi="Arial" w:cs="Arial"/>
          <w:sz w:val="20"/>
          <w:szCs w:val="20"/>
        </w:rPr>
        <w:t xml:space="preserve">Applied available P is easily </w:t>
      </w:r>
      <w:r w:rsidRPr="007A3962">
        <w:rPr>
          <w:rFonts w:ascii="Arial" w:hAnsi="Arial" w:cs="Arial"/>
          <w:sz w:val="20"/>
          <w:szCs w:val="20"/>
        </w:rPr>
        <w:t xml:space="preserve">fixed </w:t>
      </w:r>
      <w:r w:rsidR="007D038F" w:rsidRPr="007A3962">
        <w:rPr>
          <w:rFonts w:ascii="Arial" w:hAnsi="Arial" w:cs="Arial"/>
          <w:sz w:val="20"/>
          <w:szCs w:val="20"/>
        </w:rPr>
        <w:t>due to</w:t>
      </w:r>
      <w:r w:rsidRPr="007A3962">
        <w:rPr>
          <w:rFonts w:ascii="Arial" w:hAnsi="Arial" w:cs="Arial"/>
          <w:sz w:val="20"/>
          <w:szCs w:val="20"/>
        </w:rPr>
        <w:t xml:space="preserve"> high sorption </w:t>
      </w:r>
      <w:r w:rsidR="007D038F" w:rsidRPr="007A3962">
        <w:rPr>
          <w:rFonts w:ascii="Arial" w:hAnsi="Arial" w:cs="Arial"/>
          <w:sz w:val="20"/>
          <w:szCs w:val="20"/>
        </w:rPr>
        <w:t xml:space="preserve">to abundant elements like </w:t>
      </w:r>
      <w:r w:rsidRPr="007A3962">
        <w:rPr>
          <w:rFonts w:ascii="Arial" w:hAnsi="Arial" w:cs="Arial"/>
          <w:sz w:val="20"/>
          <w:szCs w:val="20"/>
        </w:rPr>
        <w:t xml:space="preserve">aluminum </w:t>
      </w:r>
      <w:r w:rsidR="0021392E" w:rsidRPr="007A3962">
        <w:rPr>
          <w:rFonts w:ascii="Arial" w:hAnsi="Arial" w:cs="Arial"/>
          <w:sz w:val="20"/>
          <w:szCs w:val="20"/>
        </w:rPr>
        <w:t xml:space="preserve">and </w:t>
      </w:r>
      <w:r w:rsidRPr="007A3962">
        <w:rPr>
          <w:rFonts w:ascii="Arial" w:hAnsi="Arial" w:cs="Arial"/>
          <w:sz w:val="20"/>
          <w:szCs w:val="20"/>
        </w:rPr>
        <w:t xml:space="preserve">iron </w:t>
      </w:r>
      <w:r w:rsidR="0021392E" w:rsidRPr="007A3962">
        <w:rPr>
          <w:rFonts w:ascii="Arial" w:hAnsi="Arial" w:cs="Arial"/>
          <w:sz w:val="20"/>
          <w:szCs w:val="20"/>
        </w:rPr>
        <w:t>in acidic soil or Calcium and magnesium in alkaline soils. P</w:t>
      </w:r>
      <w:r w:rsidR="007D038F" w:rsidRPr="007A3962">
        <w:rPr>
          <w:rFonts w:ascii="Arial" w:hAnsi="Arial" w:cs="Arial"/>
          <w:sz w:val="20"/>
          <w:szCs w:val="20"/>
        </w:rPr>
        <w:t xml:space="preserve">hosphate the available </w:t>
      </w:r>
      <w:r w:rsidR="006F57E7" w:rsidRPr="007A3962">
        <w:rPr>
          <w:rFonts w:ascii="Arial" w:hAnsi="Arial" w:cs="Arial"/>
          <w:sz w:val="20"/>
          <w:szCs w:val="20"/>
        </w:rPr>
        <w:t>form of P in its soluble state</w:t>
      </w:r>
      <w:r w:rsidR="0021392E" w:rsidRPr="007A3962">
        <w:rPr>
          <w:rFonts w:ascii="Arial" w:hAnsi="Arial" w:cs="Arial"/>
          <w:sz w:val="20"/>
          <w:szCs w:val="20"/>
        </w:rPr>
        <w:t xml:space="preserve"> </w:t>
      </w:r>
      <w:r w:rsidR="007D038F" w:rsidRPr="007A3962">
        <w:rPr>
          <w:rFonts w:ascii="Arial" w:hAnsi="Arial" w:cs="Arial"/>
          <w:sz w:val="20"/>
          <w:szCs w:val="20"/>
        </w:rPr>
        <w:t xml:space="preserve">forms strong bonds </w:t>
      </w:r>
      <w:r w:rsidR="006F57E7" w:rsidRPr="007A3962">
        <w:rPr>
          <w:rFonts w:ascii="Arial" w:hAnsi="Arial" w:cs="Arial"/>
          <w:sz w:val="20"/>
          <w:szCs w:val="20"/>
        </w:rPr>
        <w:t xml:space="preserve">with these elements </w:t>
      </w:r>
      <w:r w:rsidR="00DC0A8E" w:rsidRPr="007A3962">
        <w:rPr>
          <w:rFonts w:ascii="Arial" w:hAnsi="Arial" w:cs="Arial"/>
          <w:sz w:val="20"/>
          <w:szCs w:val="20"/>
        </w:rPr>
        <w:fldChar w:fldCharType="begin" w:fldLock="1"/>
      </w:r>
      <w:r w:rsidR="00DC0A8E" w:rsidRPr="007A3962">
        <w:rPr>
          <w:rFonts w:ascii="Arial" w:hAnsi="Arial" w:cs="Arial"/>
          <w:sz w:val="20"/>
          <w:szCs w:val="20"/>
        </w:rPr>
        <w:instrText>ADDIN CSL_CITATION {"citationItems":[{"id":"ITEM-1","itemData":{"abstract":"Phosphorous (P) is an essential macronutrient required by the plants for their vital functions such as photosynthesis, proteins and nucleic acid production, nitrogen fixation, formation of oil, sugars, starches etc. It is also the part of all biogeochemical cycles in plants. It is least mobile element which is available to plants as phosphate anion. P in precipitated form i.e. Orthophosphate (H2PO4 -1 or HPO4 2-), is absorbed by Fe3+, Ca2+ or Al3+oxides in soil through legend exchange. A large amount of P applied as a fertilizer becomes immobile through precipitation reaction with highly reactive and Fe3+ in the acidic, and + in calcareous or normal soils. The use of phosphate solubilizing bacteria (PSB) as inoculants in soil increases the phosphorous uptake by the plants and also the crop yield. The ability of phosphate solubilizing bacteria to convert insoluble form of phosphorous into soluble one is an important trait in sustainable farming for increasing crops yield. PSB play an important role in enhancing phosphorous availability to plants by lowering soil pH and by microbial production of organic acids and mineralization of organic P by acid phosphatases. These organisms besides providing P also facilitate the growth of plants by improving the uptake of nutrients and stimulating the production of some phytohormones. PSB have high potential as bio-fertilizers especially in P-deficient soils to enhance the growth and yield performance of crops. The present article describes the progress of research on this area and future insights about use of PSB in agriculture.","author":[{"dropping-particle":"","family":"Awasthi","given":"Rashmi","non-dropping-particle":"","parse-names":false,"suffix":""},{"dropping-particle":"","family":"Tewari","given":"R","non-dropping-particle":"","parse-names":false,"suffix":""},{"dropping-particle":"","family":"Nayyar","given":"Harsh","non-dropping-particle":"","parse-names":false,"suffix":""}],"container-title":"International Research Journal of Microbiology (IRJM)","id":"ITEM-1","issue":"12","issued":{"date-parts":[["2011"]]},"page":"484-503","title":"Synergy between Plants and P-Solubilizing Microbes in soils : Effects on Growth and Physiology of Crops","type":"article-journal","volume":"2"},"uris":["http://www.mendeley.com/documents/?uuid=175a6833-a5e0-4b98-a0bb-aab4128f2074"]},{"id":"ITEM-2","itemData":{"DOI":"10.19080/ARTOAJ.2017.12.555857","author":[{"dropping-particle":"","family":"Kumar","given":"Vijay","non-dropping-particle":"","parse-names":false,"suffix":""},{"dropping-particle":"","family":"Sharma","given":"Nivedita","non-dropping-particle":"","parse-names":false,"suffix":""}],"id":"ITEM-2","issue":"4","issued":{"date-parts":[["2017"]]},"title":"Plant Growth Promoting Rhizobacteria as Growth Promoters for Wheat : A Review","type":"article-journal","volume":"12"},"uris":["http://www.mendeley.com/documents/?uuid=1e74b40b-134a-4a01-be63-d134299c3eb8"]},{"id":"ITEM-3","itemData":{"author":[{"dropping-particle":"","family":"Karpagam","given":"T","non-dropping-particle":"","parse-names":false,"suffix":""},{"dropping-particle":"","family":"Nagalakshmi","given":"P K","non-dropping-particle":"","parse-names":false,"suffix":""}],"id":"ITEM-3","issue":"3","issued":{"date-parts":[["2014"]]},"page":"601-614","title":"Original Research Article Isolation and characterization of Phosphate Solubilizing Microbes from Agricultural soil","type":"article-journal","volume":"3"},"uris":["http://www.mendeley.com/documents/?uuid=680c7c01-6c16-491a-9c9a-91cd4111df83"]}],"mendeley":{"formattedCitation":"(Awasthi et al., 2011; Karpagam &amp; Nagalakshmi, 2014; Kumar &amp; Sharma, 2017)","plainTextFormattedCitation":"(Awasthi et al., 2011; Karpagam &amp; Nagalakshmi, 2014; Kumar &amp; Sharma, 2017)","previouslyFormattedCitation":"(Awasthi et al., 2011; Karpagam &amp; Nagalakshmi, 2014; Kumar &amp; Sharma, 2017)"},"properties":{"noteIndex":0},"schema":"https://github.com/citation-style-language/schema/raw/master/csl-citation.json"}</w:instrText>
      </w:r>
      <w:r w:rsidR="00DC0A8E" w:rsidRPr="007A3962">
        <w:rPr>
          <w:rFonts w:ascii="Arial" w:hAnsi="Arial" w:cs="Arial"/>
          <w:sz w:val="20"/>
          <w:szCs w:val="20"/>
        </w:rPr>
        <w:fldChar w:fldCharType="separate"/>
      </w:r>
      <w:r w:rsidR="00DC0A8E" w:rsidRPr="007A3962">
        <w:rPr>
          <w:rFonts w:ascii="Arial" w:hAnsi="Arial" w:cs="Arial"/>
          <w:noProof/>
          <w:sz w:val="20"/>
          <w:szCs w:val="20"/>
        </w:rPr>
        <w:t>(Awasthi et al., 2011; Karpagam &amp; Nagalakshmi, 2014; Kumar &amp; Sharma, 2017)</w:t>
      </w:r>
      <w:r w:rsidR="00DC0A8E" w:rsidRPr="007A3962">
        <w:rPr>
          <w:rFonts w:ascii="Arial" w:hAnsi="Arial" w:cs="Arial"/>
          <w:sz w:val="20"/>
          <w:szCs w:val="20"/>
        </w:rPr>
        <w:fldChar w:fldCharType="end"/>
      </w:r>
      <w:r w:rsidRPr="007A3962">
        <w:rPr>
          <w:rFonts w:ascii="Arial" w:hAnsi="Arial" w:cs="Arial"/>
          <w:sz w:val="20"/>
          <w:szCs w:val="20"/>
        </w:rPr>
        <w:t>.</w:t>
      </w:r>
    </w:p>
    <w:p w14:paraId="5286EA61" w14:textId="77777777" w:rsidR="00082E25" w:rsidRPr="007A3962" w:rsidRDefault="00082E25" w:rsidP="005B6FFA">
      <w:pPr>
        <w:spacing w:line="480" w:lineRule="auto"/>
        <w:rPr>
          <w:rFonts w:ascii="Arial" w:hAnsi="Arial" w:cs="Arial"/>
          <w:sz w:val="20"/>
          <w:szCs w:val="20"/>
        </w:rPr>
      </w:pPr>
      <w:r w:rsidRPr="007A3962">
        <w:rPr>
          <w:rFonts w:ascii="Arial" w:hAnsi="Arial" w:cs="Arial"/>
          <w:sz w:val="20"/>
          <w:szCs w:val="20"/>
        </w:rPr>
        <w:lastRenderedPageBreak/>
        <w:t xml:space="preserve">Naturally </w:t>
      </w:r>
      <w:r w:rsidR="006A08E1" w:rsidRPr="007A3962">
        <w:rPr>
          <w:rFonts w:ascii="Arial" w:hAnsi="Arial" w:cs="Arial"/>
          <w:sz w:val="20"/>
          <w:szCs w:val="20"/>
        </w:rPr>
        <w:t>insoluble P is transformed to soluble P by microbes</w:t>
      </w:r>
      <w:r w:rsidRPr="007A3962">
        <w:rPr>
          <w:rFonts w:ascii="Arial" w:hAnsi="Arial" w:cs="Arial"/>
          <w:sz w:val="20"/>
          <w:szCs w:val="20"/>
        </w:rPr>
        <w:t xml:space="preserve"> called phosphate solubilizing microorganisms </w:t>
      </w:r>
      <w:r w:rsidR="006A08E1" w:rsidRPr="007A3962">
        <w:rPr>
          <w:rFonts w:ascii="Arial" w:hAnsi="Arial" w:cs="Arial"/>
          <w:sz w:val="20"/>
          <w:szCs w:val="20"/>
        </w:rPr>
        <w:t>(phosphate solubilizing fungus and phosphate solubilizing bacteria) through the release of</w:t>
      </w:r>
      <w:r w:rsidR="002A64C8" w:rsidRPr="007A3962">
        <w:rPr>
          <w:rFonts w:ascii="Arial" w:hAnsi="Arial" w:cs="Arial"/>
          <w:sz w:val="20"/>
          <w:szCs w:val="20"/>
        </w:rPr>
        <w:t xml:space="preserve"> </w:t>
      </w:r>
      <w:r w:rsidR="005E499E" w:rsidRPr="007A3962">
        <w:rPr>
          <w:rFonts w:ascii="Arial" w:hAnsi="Arial" w:cs="Arial"/>
          <w:sz w:val="20"/>
          <w:szCs w:val="20"/>
        </w:rPr>
        <w:t xml:space="preserve">organic acid </w:t>
      </w:r>
      <w:r w:rsidR="00DC0A8E" w:rsidRPr="007A3962">
        <w:rPr>
          <w:rFonts w:ascii="Arial" w:hAnsi="Arial" w:cs="Arial"/>
          <w:sz w:val="20"/>
          <w:szCs w:val="20"/>
        </w:rPr>
        <w:fldChar w:fldCharType="begin" w:fldLock="1"/>
      </w:r>
      <w:r w:rsidR="00DC0A8E" w:rsidRPr="007A3962">
        <w:rPr>
          <w:rFonts w:ascii="Arial" w:hAnsi="Arial" w:cs="Arial"/>
          <w:sz w:val="20"/>
          <w:szCs w:val="20"/>
        </w:rPr>
        <w:instrText>ADDIN CSL_CITATION {"citationItems":[{"id":"ITEM-1","itemData":{"DOI":"10.1111/j.1574-6968.2012.02580.x","ISBN":"0378-1097","ISSN":"03781097","PMID":"22530871","abstract":"Co-inoculation of the fungus Aspergillus niger and the bacterium Burkholderia cepacia was undertaken to understand the interaction between different species of phosphate-solubilizing microorganisms (PSM). PSM were inoculated in a single or mixed (A. nigerB.similar to cepacia) culture. During 9 similar to days of incubation, microbial biomass was enhanced, accompanied with increases in the levels of soluble phosphate and titratable acidity, as well as increased acid phosphatase activity. Production of acids and levels of phosphate solubilization were greater in the co-culture of A.similar to nigerB.similar to cepacia than in the single culture. The quantity of phosphate solubilized by the co-culture ranged from 40.51 +/- 0.60 to 1103.64 +/- 1.21 similar to mu g similar to PO4 3-similar to mL-1 and was 922% higher than single cultures. pH of the medium dropped from 7.0 to 3.0 in the A.similar to niger culture, 3.1 in the co-culture, and 4.2 in the B.similar to cepacia culture. On the third day of postinoculation, acid production by the co-culture (mean 5.40 +/- 0.31 similar to mg NaOH mL-1) was 1990% greater than single cultures. Glucose concentration decreased almost completely (9799% of the starting concentration) by the ninth day of the incubation. These results show remarkable synergism by the co-culture in comparison with single cultures in the solubility of CaHPO4 under in vitro conditions. This synergy between microorganisms can be used in poor available phosphate soils to enhance phosphate solubilization.","author":[{"dropping-particle":"","family":"Braz","given":"Rosângela Rodrigues","non-dropping-particle":"","parse-names":false,"suffix":""},{"dropping-particle":"","family":"Nahas","given":"Ely","non-dropping-particle":"","parse-names":false,"suffix":""}],"container-title":"FEMS Microbiology Letters","id":"ITEM-1","issue":"1","issued":{"date-parts":[["2012"]]},"page":"84-90","title":"Synergistic action of both Aspergillus niger and Burkholderia cepacea in co-culture increases phosphate solubilization in growth medium","type":"article-journal","volume":"332"},"uris":["http://www.mendeley.com/documents/?uuid=64e08434-8fca-4278-a96a-6c70aeac5d23"]},{"id":"ITEM-2","itemData":{"author":[{"dropping-particle":"","family":"Investigación","given":"Artículo D E","non-dropping-particle":"","parse-names":false,"suffix":""},{"dropping-particle":"","family":"Patricia","given":"Ángela","non-dropping-particle":"","parse-names":false,"suffix":""},{"dropping-particle":"","family":"Quevedo","given":"Moreno","non-dropping-particle":"","parse-names":false,"suffix":""},{"dropping-particle":"","family":"Walter","given":"Nelson","non-dropping-particle":"","parse-names":false,"suffix":""},{"dropping-particle":"","family":"Vega","given":"Osorio","non-dropping-particle":"","parse-names":false,"suffix":""},{"dropping-particle":"","family":"Augusto","given":"Octavio","non-dropping-particle":"","parse-names":false,"suffix":""},{"dropping-particle":"","family":"Murillo","given":"González","non-dropping-particle":"","parse-names":false,"suffix":""}],"id":"ITEM-2","issue":"2","issued":{"date-parts":[["2015"]]},"page":"65-71","title":"In vitro DISSOLUTION OF ACIDULATED ROCK PHOSPHATE BY PHOSPHATE SOLUBILIZING MICROORGANISMS Disolución in vitro de rocas fosfóricas aciduladas por microorganismos solubilizadores de fósforo","type":"article-journal","volume":"20"},"uris":["http://www.mendeley.com/documents/?uuid=4b940752-e4e3-4d4e-a2b8-ba247fe70667"]},{"id":"ITEM-3","itemData":{"author":[{"dropping-particle":"","family":"Hajjam","given":"Youmna","non-dropping-particle":"","parse-names":false,"suffix":""},{"dropping-particle":"","family":"Cherkaoui","given":"Souad","non-dropping-particle":"","parse-names":false,"suffix":""}],"id":"ITEM-3","issue":"3","issued":{"date-parts":[["2017"]]},"page":"801-808","title":"The influence of phosphate solubilizing microorganisms on symbiotic nitrogen fixation : Perspectives for sustainable agriculture","type":"article-journal","volume":"8"},"uris":["http://www.mendeley.com/documents/?uuid=0e587b25-450e-424e-aefc-968f30ca498b"]},{"id":"ITEM-4","itemData":{"DOI":"10.1016/j.micres.2017.08.011","ISSN":"09445013","abstract":"Biofertilizers are usually carrier-based inoculants containing beneficial microorganisms. Incorporation of microorganisms in carrier material enables easy-handling, long-term storage and high effectiveness of biofertilizers. Objective of the present study was to assess enriched biogas sludge and soil as biofertilizer carriers on growth and yield of wheat. Six phosphate solubilizing strains were used in this study. Three phosphate solubilizing strains, 77-NS2 (Bacillus endophyticus), 77-CS-S1 (Bacillus sphaericus) and 77-NS5 (Enterobacter aerogenes) were isolated from the rhizosphere of sugarcane, two strains, PSB5 (Bacillus safensis) and PSB12 (Bacillus megaterium) from the rhizosphere of wheat and one halophilic phosphate solubilizing strain AT2RP3 (Virgibacillus sp.) from the rhizosphere of Atriplex amnicola, were used as bioinoculants. Phosphate solubilization ability of these strains was checked in vitro in Pikovskaya medium, containing rock phosphate (RP) as insoluble P source, individually supplemented with three different carbon sources, i.e., glucose, sucrose and maltose. Maximum phosphate solubilization; 305.6 μg/ml, 217.2 μg/ml and 148.1 μg/ml was observed in Bacillus strain PSB12 in Pikovskaya medium containing sucrose, maltose and glucose respectively. A field experiment and pot experiments in climate control room were conducted to study the effects of biogas sludge and enriched soil based phosphorous biofertilizers on growth of wheat. Bacillus strain PSB12 significantly increased root and shoot dry weights and lengths using biogas sludge as carrier material in climate control room experiments. While in field conditions, significant increase in root and shoot dry weights, lengths and seed weights was seen by PSB12 and PSB5 (Bacillus) and Enterobacter strain 77-NS5 using biogas sludge as carrier. PSB12 also significantly increased both root and shoot dry weights and lengths in field conditions when used as enriched soil based inoculum. These results indicated that bacterial isolates having plant beneficial traits such as P solubilization are more promising candidates as biofertilizer when used with carrier materials.","author":[{"dropping-particle":"","family":"Mukhtar","given":"Salma","non-dropping-particle":"","parse-names":false,"suffix":""},{"dropping-particle":"","family":"Shahid","given":"Izzah","non-dropping-particle":"","parse-names":false,"suffix":""},{"dropping-particle":"","family":"Mehnaz","given":"Samina","non-dropping-particle":"","parse-names":false,"suffix":""},{"dropping-particle":"","family":"Malik","given":"Kauser A.","non-dropping-particle":"","parse-names":false,"suffix":""}],"container-title":"Microbiological Research","id":"ITEM-4","issued":{"date-parts":[["2017"]]},"title":"Assessment of two carrier materials for phosphate solubilizing biofertilizers and their effect on growth of wheat (Triticum aestivum L.)","type":"article-journal","volume":"205"},"uris":["http://www.mendeley.com/documents/?uuid=146ada34-5804-32f5-b870-fca8e7fa02e4"]}],"mendeley":{"formattedCitation":"(Braz &amp; Nahas, 2012; Hajjam &amp; Cherkaoui, 2017; Investigación et al., 2015; Mukhtar et al., 2017)","plainTextFormattedCitation":"(Braz &amp; Nahas, 2012; Hajjam &amp; Cherkaoui, 2017; Investigación et al., 2015; Mukhtar et al., 2017)","previouslyFormattedCitation":"(Braz &amp; Nahas, 2012; Hajjam &amp; Cherkaoui, 2017; Investigación et al., 2015; Mukhtar et al., 2017)"},"properties":{"noteIndex":0},"schema":"https://github.com/citation-style-language/schema/raw/master/csl-citation.json"}</w:instrText>
      </w:r>
      <w:r w:rsidR="00DC0A8E" w:rsidRPr="007A3962">
        <w:rPr>
          <w:rFonts w:ascii="Arial" w:hAnsi="Arial" w:cs="Arial"/>
          <w:sz w:val="20"/>
          <w:szCs w:val="20"/>
        </w:rPr>
        <w:fldChar w:fldCharType="separate"/>
      </w:r>
      <w:r w:rsidR="00DC0A8E" w:rsidRPr="007A3962">
        <w:rPr>
          <w:rFonts w:ascii="Arial" w:hAnsi="Arial" w:cs="Arial"/>
          <w:noProof/>
          <w:sz w:val="20"/>
          <w:szCs w:val="20"/>
        </w:rPr>
        <w:t>(Braz &amp; Nahas, 2012; Hajjam &amp; Cherkaoui, 2017; Investigación et al., 2015; Mukhtar et al., 2017)</w:t>
      </w:r>
      <w:r w:rsidR="00DC0A8E" w:rsidRPr="007A3962">
        <w:rPr>
          <w:rFonts w:ascii="Arial" w:hAnsi="Arial" w:cs="Arial"/>
          <w:sz w:val="20"/>
          <w:szCs w:val="20"/>
        </w:rPr>
        <w:fldChar w:fldCharType="end"/>
      </w:r>
      <w:r w:rsidRPr="007A3962">
        <w:rPr>
          <w:rFonts w:ascii="Arial" w:hAnsi="Arial" w:cs="Arial"/>
          <w:sz w:val="20"/>
          <w:szCs w:val="20"/>
        </w:rPr>
        <w:t>.</w:t>
      </w:r>
      <w:r w:rsidR="006A08E1" w:rsidRPr="007A3962">
        <w:rPr>
          <w:rFonts w:ascii="Arial" w:hAnsi="Arial" w:cs="Arial"/>
          <w:sz w:val="20"/>
          <w:szCs w:val="20"/>
        </w:rPr>
        <w:t xml:space="preserve"> Studies have shown that</w:t>
      </w:r>
      <w:r w:rsidRPr="007A3962">
        <w:rPr>
          <w:rFonts w:ascii="Arial" w:hAnsi="Arial" w:cs="Arial"/>
          <w:sz w:val="20"/>
          <w:szCs w:val="20"/>
        </w:rPr>
        <w:t xml:space="preserve"> </w:t>
      </w:r>
      <w:r w:rsidR="006A08E1" w:rsidRPr="007A3962">
        <w:rPr>
          <w:rFonts w:ascii="Arial" w:hAnsi="Arial" w:cs="Arial"/>
          <w:sz w:val="20"/>
          <w:szCs w:val="20"/>
        </w:rPr>
        <w:t>phosphate solubilizing microorganisms (</w:t>
      </w:r>
      <w:r w:rsidRPr="007A3962">
        <w:rPr>
          <w:rFonts w:ascii="Arial" w:hAnsi="Arial" w:cs="Arial"/>
          <w:sz w:val="20"/>
          <w:szCs w:val="20"/>
        </w:rPr>
        <w:t>PSM</w:t>
      </w:r>
      <w:r w:rsidR="006A08E1" w:rsidRPr="007A3962">
        <w:rPr>
          <w:rFonts w:ascii="Arial" w:hAnsi="Arial" w:cs="Arial"/>
          <w:sz w:val="20"/>
          <w:szCs w:val="20"/>
        </w:rPr>
        <w:t>)</w:t>
      </w:r>
      <w:r w:rsidRPr="007A3962">
        <w:rPr>
          <w:rFonts w:ascii="Arial" w:hAnsi="Arial" w:cs="Arial"/>
          <w:sz w:val="20"/>
          <w:szCs w:val="20"/>
        </w:rPr>
        <w:t xml:space="preserve"> </w:t>
      </w:r>
      <w:r w:rsidR="006A08E1" w:rsidRPr="007A3962">
        <w:rPr>
          <w:rFonts w:ascii="Arial" w:hAnsi="Arial" w:cs="Arial"/>
          <w:sz w:val="20"/>
          <w:szCs w:val="20"/>
        </w:rPr>
        <w:t>are</w:t>
      </w:r>
      <w:r w:rsidRPr="007A3962">
        <w:rPr>
          <w:rFonts w:ascii="Arial" w:hAnsi="Arial" w:cs="Arial"/>
          <w:sz w:val="20"/>
          <w:szCs w:val="20"/>
        </w:rPr>
        <w:t xml:space="preserve"> environmental friendly</w:t>
      </w:r>
      <w:r w:rsidR="00555567" w:rsidRPr="007A3962">
        <w:rPr>
          <w:rFonts w:ascii="Arial" w:hAnsi="Arial" w:cs="Arial"/>
          <w:sz w:val="20"/>
          <w:szCs w:val="20"/>
        </w:rPr>
        <w:t xml:space="preserve"> which provides an</w:t>
      </w:r>
      <w:r w:rsidRPr="007A3962">
        <w:rPr>
          <w:rFonts w:ascii="Arial" w:hAnsi="Arial" w:cs="Arial"/>
          <w:sz w:val="20"/>
          <w:szCs w:val="20"/>
        </w:rPr>
        <w:t xml:space="preserve"> option for provision </w:t>
      </w:r>
      <w:r w:rsidR="00DC0A8E" w:rsidRPr="007A3962">
        <w:rPr>
          <w:rFonts w:ascii="Arial" w:hAnsi="Arial" w:cs="Arial"/>
          <w:sz w:val="20"/>
          <w:szCs w:val="20"/>
        </w:rPr>
        <w:t>of inexpensive</w:t>
      </w:r>
      <w:r w:rsidRPr="007A3962">
        <w:rPr>
          <w:rFonts w:ascii="Arial" w:hAnsi="Arial" w:cs="Arial"/>
          <w:sz w:val="20"/>
          <w:szCs w:val="20"/>
        </w:rPr>
        <w:t xml:space="preserve"> P to plants</w:t>
      </w:r>
      <w:r w:rsidRPr="007A3962">
        <w:rPr>
          <w:rFonts w:ascii="Arial" w:hAnsi="Arial" w:cs="Arial"/>
          <w:b/>
          <w:sz w:val="20"/>
          <w:szCs w:val="20"/>
        </w:rPr>
        <w:t xml:space="preserve"> </w:t>
      </w:r>
      <w:r w:rsidRPr="007A3962">
        <w:rPr>
          <w:rFonts w:ascii="Arial" w:hAnsi="Arial" w:cs="Arial"/>
          <w:sz w:val="20"/>
          <w:szCs w:val="20"/>
        </w:rPr>
        <w:t xml:space="preserve">in areas with deﬁcient of soluble P but high </w:t>
      </w:r>
      <w:r w:rsidR="006A08E1" w:rsidRPr="007A3962">
        <w:rPr>
          <w:rFonts w:ascii="Arial" w:hAnsi="Arial" w:cs="Arial"/>
          <w:sz w:val="20"/>
          <w:szCs w:val="20"/>
        </w:rPr>
        <w:t>total</w:t>
      </w:r>
      <w:r w:rsidRPr="007A3962">
        <w:rPr>
          <w:rFonts w:ascii="Arial" w:hAnsi="Arial" w:cs="Arial"/>
          <w:sz w:val="20"/>
          <w:szCs w:val="20"/>
        </w:rPr>
        <w:t xml:space="preserve"> P </w:t>
      </w:r>
      <w:r w:rsidR="006A08E1" w:rsidRPr="007A3962">
        <w:rPr>
          <w:rFonts w:ascii="Arial" w:hAnsi="Arial" w:cs="Arial"/>
          <w:sz w:val="20"/>
          <w:szCs w:val="20"/>
        </w:rPr>
        <w:t xml:space="preserve">using </w:t>
      </w:r>
      <w:r w:rsidRPr="007A3962">
        <w:rPr>
          <w:rFonts w:ascii="Arial" w:hAnsi="Arial" w:cs="Arial"/>
          <w:sz w:val="20"/>
          <w:szCs w:val="20"/>
        </w:rPr>
        <w:t xml:space="preserve">soil </w:t>
      </w:r>
      <w:r w:rsidR="006A08E1" w:rsidRPr="007A3962">
        <w:rPr>
          <w:rFonts w:ascii="Arial" w:hAnsi="Arial" w:cs="Arial"/>
          <w:sz w:val="20"/>
          <w:szCs w:val="20"/>
        </w:rPr>
        <w:t xml:space="preserve">or </w:t>
      </w:r>
      <w:r w:rsidRPr="007A3962">
        <w:rPr>
          <w:rFonts w:ascii="Arial" w:hAnsi="Arial" w:cs="Arial"/>
          <w:sz w:val="20"/>
          <w:szCs w:val="20"/>
        </w:rPr>
        <w:t>rock phosphate (RP)</w:t>
      </w:r>
      <w:r w:rsidR="00DC0A8E" w:rsidRPr="007A3962">
        <w:rPr>
          <w:rFonts w:ascii="Arial" w:hAnsi="Arial" w:cs="Arial"/>
          <w:sz w:val="20"/>
          <w:szCs w:val="20"/>
        </w:rPr>
        <w:t xml:space="preserve"> </w:t>
      </w:r>
      <w:r w:rsidR="00DC0A8E"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{"citationItems":[{"id":"ITEM-1","itemData":{"ISSN":"09751491","abstract":"© 2016 The Authors. Published by Innovare Academic Sciences Pvt Ltd. It is undoubtedly clear that phosphorus is the second most important nutrient after nitrogen required for growth of plants. It is an essential element in all living systems. Hardly 1%-2% of phosphorous is supplied to other parts of the plants. Plants acquire phosphorus from soil solution in the form of phosphate anion. It is the least mobile element in plant and soil in comparison to other macronutrients. It remains in a precipitated form in the soil as mono or orthophosphate or is absorbed by Fe or Al oxides through legend exchange. Generally, the phosphate solubilizing microorganisms (PSM) play a very important role in phosphorus nutrition by exchanging its availability to plants through release from inorganic and organic soil phosphorus pools by solubilization and mineralization. The main mechanism in the soil for mineral phosphate solubilization is by lowering the soil pH by the microbial production of organic acids and mineralization of organic phosphorus by acid phosphates. To fulfill the phosphorous demand of plant, an additional source of phosphorous is applied to plants in the form of chemical fertilizers. One of the most common forms of phosphate is fertilizers in the form of rock phosphate or superphosphate. It is not suggested to apply these phosphates directly to soil as there are so many environmental problems. Hence, biofertilizers or microbial inoculants are used as an alternate source, which are both economic as well as eco-friendly.","author":[{"dropping-particle":"","family":"Anand","given":"Kumar","non-dropping-particle":"","parse-names":false,"suffix":""},{"dropping-particle":"","family":"Kumari","given":"Baby","non-dropping-particle":"","parse-names":false,"suffix":""},{"dropping-particle":"","family":"Mallick","given":"M. A.","non-dropping-particle":"","parse-names":false,"suffix":""}],"container-title":"International Journal of Pharmacy and Pharmaceutical Sciences","id":"ITEM-1","issue":"2","issued":{"date-parts":[["2016"]]},"title":"Phosphate solubilizing microbes: An effective and alternative approach as biofertilizers","type":"article-journal","volume":"8"},"uris":["http://www.mendeley.com/documents/?uuid=38e87f80-22a2-3c18-b599-9baa653019dd"]},{"id":"ITEM-2","itemData":{"DOI":"10.1007/978-3-319-08216-5","ISBN":"9783319082165","author":[{"dropping-particle":"","family":"Khan","given":"Saghir","non-dropping-particle":"","parse-names":false,"suffix":""},{"dropping-particle":"","family":"Zaidi","given":"Almas","non-dropping-particle":"","parse-names":false,"suffix":""},{"dropping-particle":"","family":"Ahmad","given":"Ees","non-dropping-particle":"","parse-names":false,"suffix":""}],"id":"ITEM-2","issued":{"date-parts":[["0"]]},"title":"Mechanism of Phosphate Solubilization and Physiological Functions of Phosphate-Solubilizing Microorganisms","type":"book"},"uris":["http://www.mendeley.com/documents/?uuid=846bd0e5-f2ac-4e14-b9a2-02b4486a0f1d"]},{"id":"ITEM-3","itemData":{"author":[{"dropping-particle":"","family":"Mehrvarz","given":"S","non-dropping-particle":"","parse-names":false,"suffix":""},{"dropping-particle":"","family":"Chaichi","given":"M R","non-dropping-particle":"","parse-names":false,"suffix":""}],"id":"ITEM-3","issue":"6","issued":{"date-parts":[["2008"]]},"page":"855-860","title":"Effect of Phosphate Solubilizing Microorganisms and Phosphorus Chemical Fertilizer on Forage and Grain Quality of Barely ( Hordeum vulgare L .)","type":"article-journal","volume":"3"},"uris":["http://www.mendeley.com/documents/?uuid=b46af0b5-6cad-4ab3-9d36-7d77c902859f"]},{"id":"ITEM-4","itemData":{"author":[{"dropping-particle":"","family":"Sharma","given":"Seema B","non-dropping-particle":"","parse-names":false,"suffix":""},{"dropping-particle":"","family":"Sayyed","given":"Riyaz Z","non-dropping-particle":"","parse-names":false,"suffix":""},{"dropping-particle":"","family":"Trivedi","given":"Mrugesh H","non-dropping-particle":"","parse-names":false,"suffix":""},{"dropping-particle":"","family":"Gobi","given":"Thivakaran A","non-dropping-particle":"","parse-names":false,"suffix":""}],"id":"ITEM-4","issue":"Richardson 1994","issued":{"date-parts":[["2013"]]},"page":"1-14","title":"Phosphate solubilizing microbes : sustainable approach for managing phosphorus deficiency in agricultural soils","type":"article-journal"},"uris":["http://www.mendeley.com/documents/?uuid=414c8cd8-cead-47e4-b124-2e1eaa8af12f"]},{"id":"ITEM-5","itemData":{"author":[{"dropping-particle":"","family":"Qarni","given":"Awais","non-dropping-particle":"","parse-names":false,"suffix":""},{"dropping-particle":"","family":"Billah","given":"Motsim","non-dropping-particle":"","parse-names":false,"suffix":""},{"dropping-particle":"","family":"Hussain","given":"Khadim","non-dropping-particle":"","parse-names":false,"suffix":""},{"dropping-particle":"","family":"Shah","given":"Sabir Hussain","non-dropping-particle":"","parse-names":false,"suffix":""},{"dropping-particle":"","family":"Ahmed","given":"Waqas","non-dropping-particle":"","parse-names":false,"suffix":""},{"dropping-particle":"","family":"Alam","given":"Sadia","non-dropping-particle":"","parse-names":false,"suffix":""},{"dropping-particle":"","family":"Sheikh","given":"Aftab Ahmad","non-dropping-particle":"","parse-names":false,"suffix":""},{"dropping-particle":"","family":"Jafri","given":"Laila","non-dropping-particle":"","parse-names":false,"suffix":""},{"dropping-particle":"","family":"Munir","given":"Asia","non-dropping-particle":"","parse-names":false,"suffix":""},{"dropping-particle":"","family":"Malik","given":"Kouser Majeed","non-dropping-particle":"","parse-names":false,"suffix":""},{"dropping-particle":"","family":"Khan","given":"Naeem","non-dropping-particle":"","parse-names":false,"suffix":""}],"id":"ITEM-5","issued":{"date-parts":[["2021"]]},"title":"Isolation and Characterization of Phosphate Solubilizing Microbes from Rock Phosphate Mines and Their Potential Effect for Sustainable Agriculture","type":"article-journal"},"uris":["http://www.mendeley.com/documents/?uuid=9e421355-5788-43a8-bbe7-1f4276ad6e9a"]}],"mendeley":{"formattedCitation":"(Anand et al., 2016; S. Khan et al., n.d.; Mehrvarz &amp; Chaichi, 2008; Qarni et al., 2021; Sharma et al., 2013)","manualFormatting":"(Anand et al., 2016; Khan et al., 2014; Mehrvarz &amp; Chaichi, 2008; Qarni et al., 2021; Sharma et al., 2013)","plainTextFormattedCitation":"(Anand et al., 2016; S. Khan et al., n.d.; Mehrvarz &amp; Chaichi, 2008; Qarni et al., 2021; Sharma et al., 2013)","previouslyFormattedCitation":"(Anand et al., 2016; S. Khan et al., n.d.; Mehrvarz &amp; Chaichi, 2008; Qarni et al., 2021; Sharma et al., 2013)"},"properties":{"noteIndex":0},"schema":"https://github.com/citation-style-language/schema/raw/master/csl-citation.json"}</w:instrText>
      </w:r>
      <w:r w:rsidR="00DC0A8E" w:rsidRPr="007A3962">
        <w:rPr>
          <w:rFonts w:ascii="Arial" w:hAnsi="Arial" w:cs="Arial"/>
          <w:sz w:val="20"/>
          <w:szCs w:val="20"/>
        </w:rPr>
        <w:fldChar w:fldCharType="separate"/>
      </w:r>
      <w:r w:rsidR="00DC0A8E" w:rsidRPr="007A3962">
        <w:rPr>
          <w:rFonts w:ascii="Arial" w:hAnsi="Arial" w:cs="Arial"/>
          <w:noProof/>
          <w:sz w:val="20"/>
          <w:szCs w:val="20"/>
        </w:rPr>
        <w:t>(Anand et al., 2016; Khan et al., 2014; Mehrvarz &amp; Chaichi, 2008; Qarni et al., 2021; Sharma et al., 2013)</w:t>
      </w:r>
      <w:r w:rsidR="00DC0A8E" w:rsidRPr="007A3962">
        <w:rPr>
          <w:rFonts w:ascii="Arial" w:hAnsi="Arial" w:cs="Arial"/>
          <w:sz w:val="20"/>
          <w:szCs w:val="20"/>
        </w:rPr>
        <w:fldChar w:fldCharType="end"/>
      </w:r>
      <w:r w:rsidRPr="007A3962">
        <w:rPr>
          <w:rFonts w:ascii="Arial" w:hAnsi="Arial" w:cs="Arial"/>
          <w:sz w:val="20"/>
          <w:szCs w:val="20"/>
        </w:rPr>
        <w:t>.</w:t>
      </w:r>
      <w:r w:rsidR="007173E6">
        <w:rPr>
          <w:rFonts w:ascii="Arial" w:hAnsi="Arial" w:cs="Arial"/>
          <w:sz w:val="20"/>
          <w:szCs w:val="20"/>
        </w:rPr>
        <w:t xml:space="preserve"> </w:t>
      </w:r>
      <w:r w:rsidRPr="007A3962">
        <w:rPr>
          <w:rFonts w:ascii="Arial" w:hAnsi="Arial" w:cs="Arial"/>
          <w:sz w:val="20"/>
          <w:szCs w:val="20"/>
        </w:rPr>
        <w:t xml:space="preserve">In addition to </w:t>
      </w:r>
      <w:r w:rsidR="006A08E1" w:rsidRPr="007A3962">
        <w:rPr>
          <w:rFonts w:ascii="Arial" w:hAnsi="Arial" w:cs="Arial"/>
          <w:sz w:val="20"/>
          <w:szCs w:val="20"/>
        </w:rPr>
        <w:t>solubilising</w:t>
      </w:r>
      <w:r w:rsidRPr="007A3962">
        <w:rPr>
          <w:rFonts w:ascii="Arial" w:hAnsi="Arial" w:cs="Arial"/>
          <w:sz w:val="20"/>
          <w:szCs w:val="20"/>
        </w:rPr>
        <w:t xml:space="preserve"> P </w:t>
      </w:r>
      <w:r w:rsidR="006A08E1" w:rsidRPr="007A3962">
        <w:rPr>
          <w:rFonts w:ascii="Arial" w:hAnsi="Arial" w:cs="Arial"/>
          <w:sz w:val="20"/>
          <w:szCs w:val="20"/>
        </w:rPr>
        <w:t>most of these microbes have bioremediation, probiotic and plant growth regulatory traits</w:t>
      </w:r>
      <w:r w:rsidR="0029088A" w:rsidRPr="007A3962">
        <w:rPr>
          <w:rFonts w:ascii="Arial" w:hAnsi="Arial" w:cs="Arial"/>
          <w:sz w:val="20"/>
          <w:szCs w:val="20"/>
        </w:rPr>
        <w:t xml:space="preserve"> </w:t>
      </w:r>
      <w:r w:rsidR="00C078E0" w:rsidRPr="007A3962">
        <w:rPr>
          <w:rFonts w:ascii="Arial" w:hAnsi="Arial" w:cs="Arial"/>
          <w:sz w:val="20"/>
          <w:szCs w:val="20"/>
        </w:rPr>
        <w:fldChar w:fldCharType="begin" w:fldLock="1"/>
      </w:r>
      <w:r w:rsidR="00C078E0" w:rsidRPr="007A3962">
        <w:rPr>
          <w:rFonts w:ascii="Arial" w:hAnsi="Arial" w:cs="Arial"/>
          <w:sz w:val="20"/>
          <w:szCs w:val="20"/>
        </w:rPr>
        <w:instrText>ADDIN CSL_CITATION {"citationItems":[{"id":"ITEM-1","itemData":{"DOI":"10.5897/AJMR12.2282","author":[{"dropping-particle":"","family":"Walpola","given":"Buddhi Charana","non-dropping-particle":"","parse-names":false,"suffix":""},{"dropping-particle":"","family":"Yoon","given":"Min-ho","non-dropping-particle":"","parse-names":false,"suffix":""}],"id":"ITEM-1","issue":"3","issued":{"date-parts":[["2013"]]},"page":"266-275","title":"Isolation and characterization of phosphate solubilizing bacteria and their co-inoculation efficiency on tomato plant growth and phosphorous uptake","type":"article-journal","volume":"7"},"uris":["http://www.mendeley.com/documents/?uuid=d2db87bc-5ec6-4d77-bad2-749d9badc1cf"]}],"mendeley":{"formattedCitation":"(Walpola &amp; Yoon, 2013)","plainTextFormattedCitation":"(Walpola &amp; Yoon, 2013)","previouslyFormattedCitation":"(Walpola &amp; Yoon, 2013)"},"properties":{"noteIndex":0},"schema":"https://github.com/citation-style-language/schema/raw/master/csl-citation.json"}</w:instrText>
      </w:r>
      <w:r w:rsidR="00C078E0" w:rsidRPr="007A3962">
        <w:rPr>
          <w:rFonts w:ascii="Arial" w:hAnsi="Arial" w:cs="Arial"/>
          <w:sz w:val="20"/>
          <w:szCs w:val="20"/>
        </w:rPr>
        <w:fldChar w:fldCharType="separate"/>
      </w:r>
      <w:r w:rsidR="00C078E0" w:rsidRPr="007A3962">
        <w:rPr>
          <w:rFonts w:ascii="Arial" w:hAnsi="Arial" w:cs="Arial"/>
          <w:noProof/>
          <w:sz w:val="20"/>
          <w:szCs w:val="20"/>
        </w:rPr>
        <w:t>(Walpola &amp; Yoon, 2013)</w:t>
      </w:r>
      <w:r w:rsidR="00C078E0" w:rsidRPr="007A3962">
        <w:rPr>
          <w:rFonts w:ascii="Arial" w:hAnsi="Arial" w:cs="Arial"/>
          <w:sz w:val="20"/>
          <w:szCs w:val="20"/>
        </w:rPr>
        <w:fldChar w:fldCharType="end"/>
      </w:r>
      <w:r w:rsidR="00614EB2" w:rsidRPr="007A3962">
        <w:rPr>
          <w:rFonts w:ascii="Arial" w:hAnsi="Arial" w:cs="Arial"/>
          <w:sz w:val="20"/>
          <w:szCs w:val="20"/>
        </w:rPr>
        <w:t xml:space="preserve">. </w:t>
      </w:r>
      <w:r w:rsidRPr="007A3962">
        <w:rPr>
          <w:rFonts w:ascii="Arial" w:hAnsi="Arial" w:cs="Arial"/>
          <w:sz w:val="20"/>
          <w:szCs w:val="20"/>
        </w:rPr>
        <w:t xml:space="preserve">In the present study, PSM were isolated from </w:t>
      </w:r>
      <w:r w:rsidR="00614EB2" w:rsidRPr="007A3962">
        <w:rPr>
          <w:rFonts w:ascii="Arial" w:hAnsi="Arial" w:cs="Arial"/>
          <w:sz w:val="20"/>
          <w:szCs w:val="20"/>
        </w:rPr>
        <w:t xml:space="preserve">for development of biofertiliser, probiotic adjuncts as well as </w:t>
      </w:r>
      <w:r w:rsidR="005E499E" w:rsidRPr="007A3962">
        <w:rPr>
          <w:rFonts w:ascii="Arial" w:hAnsi="Arial" w:cs="Arial"/>
          <w:sz w:val="20"/>
          <w:szCs w:val="20"/>
        </w:rPr>
        <w:t xml:space="preserve">a </w:t>
      </w:r>
      <w:r w:rsidR="00614EB2" w:rsidRPr="007A3962">
        <w:rPr>
          <w:rFonts w:ascii="Arial" w:hAnsi="Arial" w:cs="Arial"/>
          <w:sz w:val="20"/>
          <w:szCs w:val="20"/>
        </w:rPr>
        <w:t>bioremediation tool</w:t>
      </w:r>
      <w:r w:rsidR="0029088A" w:rsidRPr="007A3962">
        <w:rPr>
          <w:rFonts w:ascii="Arial" w:hAnsi="Arial" w:cs="Arial"/>
          <w:sz w:val="20"/>
          <w:szCs w:val="20"/>
        </w:rPr>
        <w:t>.</w:t>
      </w:r>
    </w:p>
    <w:p w14:paraId="1CDA71D1" w14:textId="77777777" w:rsidR="00082E25" w:rsidRPr="007173E6" w:rsidRDefault="007173E6" w:rsidP="005B6FFA">
      <w:pPr>
        <w:pStyle w:val="Heading1"/>
        <w:numPr>
          <w:ilvl w:val="0"/>
          <w:numId w:val="38"/>
        </w:numPr>
        <w:spacing w:line="480" w:lineRule="auto"/>
        <w:rPr>
          <w:rFonts w:ascii="Arial" w:hAnsi="Arial" w:cs="Arial"/>
          <w:b/>
          <w:color w:val="auto"/>
          <w:sz w:val="22"/>
          <w:szCs w:val="22"/>
        </w:rPr>
      </w:pPr>
      <w:r w:rsidRPr="007173E6">
        <w:rPr>
          <w:rFonts w:ascii="Arial" w:hAnsi="Arial" w:cs="Arial"/>
          <w:b/>
          <w:color w:val="auto"/>
          <w:sz w:val="22"/>
          <w:szCs w:val="22"/>
        </w:rPr>
        <w:t>METHODOLOGY</w:t>
      </w:r>
    </w:p>
    <w:p w14:paraId="034D2BF5" w14:textId="77777777" w:rsidR="001A1F8C" w:rsidRPr="007173E6" w:rsidRDefault="007173E6" w:rsidP="005B6FFA">
      <w:pPr>
        <w:pStyle w:val="Heading2"/>
        <w:numPr>
          <w:ilvl w:val="1"/>
          <w:numId w:val="38"/>
        </w:numPr>
        <w:spacing w:line="480" w:lineRule="auto"/>
        <w:rPr>
          <w:rFonts w:ascii="Arial" w:hAnsi="Arial" w:cs="Arial"/>
          <w:b/>
          <w:color w:val="auto"/>
          <w:sz w:val="22"/>
          <w:szCs w:val="22"/>
        </w:rPr>
      </w:pPr>
      <w:r w:rsidRPr="007173E6">
        <w:rPr>
          <w:rFonts w:ascii="Arial" w:hAnsi="Arial" w:cs="Arial"/>
          <w:b/>
          <w:color w:val="auto"/>
          <w:sz w:val="22"/>
          <w:szCs w:val="22"/>
        </w:rPr>
        <w:t>STUDY DESIGN</w:t>
      </w:r>
    </w:p>
    <w:p w14:paraId="429BFEFD"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 xml:space="preserve">The study used purposive sampling in a Completely </w:t>
      </w:r>
      <w:r w:rsidRPr="007173E6">
        <w:rPr>
          <w:rFonts w:ascii="Arial" w:hAnsi="Arial" w:cs="Arial"/>
          <w:sz w:val="20"/>
          <w:szCs w:val="20"/>
          <w:lang w:val="en-GB"/>
        </w:rPr>
        <w:t>Randomised</w:t>
      </w:r>
      <w:r w:rsidRPr="007173E6">
        <w:rPr>
          <w:rFonts w:ascii="Arial" w:hAnsi="Arial" w:cs="Arial"/>
          <w:sz w:val="20"/>
          <w:szCs w:val="20"/>
        </w:rPr>
        <w:t xml:space="preserve"> Design (CRD).</w:t>
      </w:r>
    </w:p>
    <w:p w14:paraId="75921776" w14:textId="77777777" w:rsidR="001A1F8C" w:rsidRPr="007173E6" w:rsidRDefault="007173E6" w:rsidP="005B6FFA">
      <w:pPr>
        <w:pStyle w:val="Heading2"/>
        <w:numPr>
          <w:ilvl w:val="1"/>
          <w:numId w:val="38"/>
        </w:numPr>
        <w:spacing w:line="480" w:lineRule="auto"/>
        <w:rPr>
          <w:rFonts w:ascii="Arial" w:hAnsi="Arial" w:cs="Arial"/>
          <w:b/>
          <w:color w:val="auto"/>
          <w:sz w:val="22"/>
          <w:szCs w:val="22"/>
        </w:rPr>
      </w:pPr>
      <w:bookmarkStart w:id="0" w:name="_Toc521323911"/>
      <w:r w:rsidRPr="007173E6">
        <w:rPr>
          <w:rFonts w:ascii="Arial" w:hAnsi="Arial" w:cs="Arial"/>
          <w:b/>
          <w:color w:val="auto"/>
          <w:sz w:val="22"/>
          <w:szCs w:val="22"/>
        </w:rPr>
        <w:t>STUDY SITE</w:t>
      </w:r>
      <w:bookmarkEnd w:id="0"/>
    </w:p>
    <w:p w14:paraId="009AFBC3"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 xml:space="preserve">Rhizospheric soil from aquatic plants, water and benthic soils of aquatic ecosystem were sampled in the peripherals of protected areas of Malawi with no history of inoculation. These areas were chosen because of high ecological footprint </w:t>
      </w:r>
      <w:r w:rsidRPr="007173E6">
        <w:rPr>
          <w:rFonts w:ascii="Arial" w:hAnsi="Arial" w:cs="Arial"/>
          <w:sz w:val="20"/>
          <w:szCs w:val="20"/>
        </w:rPr>
        <w:fldChar w:fldCharType="begin" w:fldLock="1"/>
      </w:r>
      <w:r w:rsidRPr="007173E6">
        <w:rPr>
          <w:rFonts w:ascii="Arial" w:hAnsi="Arial" w:cs="Arial"/>
          <w:sz w:val="20"/>
          <w:szCs w:val="20"/>
        </w:rPr>
        <w:instrText>ADDIN CSL_CITATION {"citationItems":[{"id":"ITEM-1","itemData":{"DOI":"10.3390/fishes6040076","ISSN":"24103888","abstract":"Probiotics for freshwater fish farming can be administered as single or multiple mixtures. The expected benefits of probiotics include disease prophylaxis, improved growth, and feed conversion parameters, such as the feed conversion rate (FCR) and specific growth rate (SGR). In the current work, we review the impact of probiotics on freshwater finfish aquaculture. Data were gathered from articles published during the last decade that examined the effects of probiotics on fish growth, FCR, and water quality in freshwater fishponds/tanks. While the expected benefits of probiotics are significant, the reviewed data indicate a range in the level of effects, with an average reduction in ammonia of 50.7%, SGR increase of 17.1%, and FCR decrease of 10.7%. Despite the variability in the reported benefits, probiotics appear to offer a practical solution for sustainable freshwater aquaculture. Disease prophylaxis with probiotics can reduce the need for antibiotics and maintain gut health and feed conversion. Considering that fish feed and waste are two significant parameters of the aquaculture ecological footprint, it can be argued that probiotics can contribute to reducing the environmental impact of aquaculture. In this direction, it would be beneficial if more researchers incorporated water quality parameters in future aquaculture research and protocols to minimize aquaculture’s environmental impact.","author":[{"dropping-particle":"","family":"Nathanailides","given":"Cosmas","non-dropping-particle":"","parse-names":false,"suffix":""},{"dropping-particle":"","family":"Kolygas","given":"Markos","non-dropping-particle":"","parse-names":false,"suffix":""},{"dropping-particle":"","family":"Choremi","given":"Konstantina","non-dropping-particle":"","parse-names":false,"suffix":""},{"dropping-particle":"","family":"Mavraganis","given":"Theodoros","non-dropping-particle":"","parse-names":false,"suffix":""},{"dropping-particle":"","family":"Gouva","given":"Evangelia","non-dropping-particle":"","parse-names":false,"suffix":""},{"dropping-particle":"","family":"Vidalis","given":"Kosmas","non-dropping-particle":"","parse-names":false,"suffix":""},{"dropping-particle":"","family":"Athanassopoulou","given":"Fotini","non-dropping-particle":"","parse-names":false,"suffix":""}],"container-title":"Fishes","id":"ITEM-1","issue":"4","issued":{"date-parts":[["2021","12","1"]]},"publisher":"MDPI","title":"Probiotics have the potential to significantly mitigate the environmental impact of freshwater fish farms","type":"article","volume":"6"},"uris":["http://www.mendeley.com/documents/?uuid=242841fb-448d-30fb-90a1-cb44871424c2"]}],"mendeley":{"formattedCitation":"(Nathanailides et al., 2021)","plainTextFormattedCitation":"(Nathanailides et al., 2021)","previouslyFormattedCitation":"(Nathanailides et al., 2021)"},"properties":{"noteIndex":0},"schema":"https://github.com/citation-style-language/schema/raw/master/csl-citation.json"}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(Nathanailides et al., 2021)</w:t>
      </w:r>
      <w:r w:rsidRPr="007173E6">
        <w:rPr>
          <w:rFonts w:ascii="Arial" w:hAnsi="Arial" w:cs="Arial"/>
          <w:sz w:val="20"/>
          <w:szCs w:val="20"/>
        </w:rPr>
        <w:fldChar w:fldCharType="end"/>
      </w:r>
    </w:p>
    <w:p w14:paraId="54B91EE9" w14:textId="77777777" w:rsidR="001A1F8C" w:rsidRPr="007173E6" w:rsidRDefault="007173E6" w:rsidP="005B6FFA">
      <w:pPr>
        <w:pStyle w:val="Heading2"/>
        <w:numPr>
          <w:ilvl w:val="1"/>
          <w:numId w:val="38"/>
        </w:numPr>
        <w:spacing w:line="480" w:lineRule="auto"/>
        <w:rPr>
          <w:rFonts w:ascii="Arial" w:hAnsi="Arial" w:cs="Arial"/>
          <w:b/>
          <w:color w:val="auto"/>
          <w:sz w:val="22"/>
          <w:szCs w:val="22"/>
        </w:rPr>
      </w:pPr>
      <w:r>
        <w:rPr>
          <w:rFonts w:ascii="Arial" w:hAnsi="Arial" w:cs="Arial"/>
          <w:b/>
          <w:color w:val="auto"/>
          <w:sz w:val="22"/>
          <w:szCs w:val="22"/>
        </w:rPr>
        <w:t>SAMPLE COLLECTION AND PREPARATION</w:t>
      </w:r>
    </w:p>
    <w:p w14:paraId="5CE3BDE4"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 xml:space="preserve">The samples were collected from the rhizosphere of different aquatic plants, water and benthic soils of aquatic ecosystem no history of inoculation. Rhizospheric benthic soil was preferred due higher  CFU of PGPM than rhizoplane and </w:t>
      </w:r>
      <w:proofErr w:type="spellStart"/>
      <w:r w:rsidRPr="007173E6">
        <w:rPr>
          <w:rFonts w:ascii="Arial" w:hAnsi="Arial" w:cs="Arial"/>
          <w:sz w:val="20"/>
          <w:szCs w:val="20"/>
        </w:rPr>
        <w:t>endorhizosphere</w:t>
      </w:r>
      <w:proofErr w:type="spellEnd"/>
      <w:r w:rsidRPr="007173E6">
        <w:rPr>
          <w:rFonts w:ascii="Arial" w:hAnsi="Arial" w:cs="Arial"/>
          <w:sz w:val="20"/>
          <w:szCs w:val="20"/>
        </w:rPr>
        <w:t xml:space="preserve"> </w:t>
      </w:r>
      <w:r w:rsidRPr="007173E6">
        <w:rPr>
          <w:rFonts w:ascii="Arial" w:hAnsi="Arial" w:cs="Arial"/>
          <w:sz w:val="20"/>
          <w:szCs w:val="20"/>
        </w:rPr>
        <w:fldChar w:fldCharType="begin" w:fldLock="1"/>
      </w:r>
      <w:r w:rsidRPr="007173E6">
        <w:rPr>
          <w:rFonts w:ascii="Arial" w:hAnsi="Arial" w:cs="Arial"/>
          <w:sz w:val="20"/>
          <w:szCs w:val="20"/>
        </w:rPr>
        <w:instrText>ADDIN CSL_CITATION {"citationItems":[{"id":"ITEM-1","itemData":{"abstract":"Phosphorous (P) is an essential macronutrient required by the plants for their vital functions such as photosynthesis, proteins and nucleic acid production, nitrogen fixation, formation of oil, sugars, starches etc. It is also the part of all biogeochemical cycles in plants. It is least mobile element which is available to plants as phosphate anion. P in precipitated form i.e. Orthophosphate (H2PO4 -1 or HPO4 2-), is absorbed by Fe3+, Ca2+ or Al3+oxides in soil through legend exchange. A large amount of P applied as a fertilizer becomes immobile through precipitation reaction with highly reactive and Fe3+ in the acidic, and + in calcareous or normal soils. The use of phosphate solubilizing bacteria (PSB) as inoculants in soil increases the phosphorous uptake by the plants and also the crop yield. The ability of phosphate solubilizing bacteria to convert insoluble form of phosphorous into soluble one is an important trait in sustainable farming for increasing crops yield. PSB play an important role in enhancing phosphorous availability to plants by lowering soil pH and by microbial production of organic acids and mineralization of organic P by acid phosphatases. These organisms besides providing P also facilitate the growth of plants by improving the uptake of nutrients and stimulating the production of some phytohormones. PSB have high potential as bio-fertilizers especially in P-deficient soils to enhance the growth and yield performance of crops. The present article describes the progress of research on this area and future insights about use of PSB in agriculture.","author":[{"dropping-particle":"","family":"Awasthi","given":"Rashmi","non-dropping-particle":"","parse-names":false,"suffix":""},{"dropping-particle":"","family":"Tewari","given":"R","non-dropping-particle":"","parse-names":false,"suffix":""},{"dropping-particle":"","family":"Nayyar","given":"Harsh","non-dropping-particle":"","parse-names":false,"suffix":""}],"container-title":"International Research Journal of Microbiology (IRJM)","id":"ITEM-1","issue":"12","issued":{"date-parts":[["2011"]]},"page":"484-503","title":"Synergy between Plants and P-Solubilizing Microbes in soils : Effects on Growth and Physiology of Crops","type":"article-journal","volume":"2"},"uris":["http://www.mendeley.com/documents/?uuid=175a6833-a5e0-4b98-a0bb-aab4128f2074"]}],"mendeley":{"formattedCitation":"(Awasthi et al., 2011)","manualFormatting":"(Awasthi et al., 2011","plainTextFormattedCitation":"(Awasthi et al., 2011)","previouslyFormattedCitation":"(Awasthi et al., 2011)"},"properties":{"noteIndex":0},"schema":"https://github.com/citation-style-language/schema/raw/master/csl-citation.json"}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(Awasthi et al., 2011</w:t>
      </w:r>
      <w:r w:rsidRPr="007173E6">
        <w:rPr>
          <w:rFonts w:ascii="Arial" w:hAnsi="Arial" w:cs="Arial"/>
          <w:sz w:val="20"/>
          <w:szCs w:val="20"/>
        </w:rPr>
        <w:fldChar w:fldCharType="end"/>
      </w:r>
      <w:r w:rsidRPr="007173E6">
        <w:rPr>
          <w:rFonts w:ascii="Arial" w:hAnsi="Arial" w:cs="Arial"/>
          <w:sz w:val="20"/>
          <w:szCs w:val="20"/>
        </w:rPr>
        <w:t xml:space="preserve">; </w:t>
      </w:r>
      <w:r w:rsidRPr="007173E6">
        <w:rPr>
          <w:rFonts w:ascii="Arial" w:hAnsi="Arial" w:cs="Arial"/>
          <w:sz w:val="20"/>
          <w:szCs w:val="20"/>
        </w:rPr>
        <w:fldChar w:fldCharType="begin" w:fldLock="1"/>
      </w:r>
      <w:r w:rsidRPr="007173E6">
        <w:rPr>
          <w:rFonts w:ascii="Arial" w:hAnsi="Arial" w:cs="Arial"/>
          <w:sz w:val="20"/>
          <w:szCs w:val="20"/>
        </w:rPr>
        <w:instrText>ADDIN CSL_CITATION {"citationItems":[{"id":"ITEM-1","itemData":{"author":[{"dropping-particle":"","family":"Ghevariya","given":"Kajal","non-dropping-particle":"","parse-names":false,"suffix":""},{"dropping-particle":"","family":"Desai","given":"Pratibha","non-dropping-particle":"","parse-names":false,"suffix":""}],"id":"ITEM-1","issue":"12","issued":{"date-parts":[["2015"]]},"page":"2235-2238","title":"Zinc Solubilizing Rhizobacteria Associated with Sugarcane from South Gujarat Region","type":"article-journal","volume":"4"},"uris":["http://www.mendeley.com/documents/?uuid=eeba9fa6-abd3-4d32-bec5-60c301dc7a96"]}],"mendeley":{"formattedCitation":"(Ghevariya &amp; Desai, 2015)","manualFormatting":"Ghevariya &amp; Desai, 2015)","plainTextFormattedCitation":"(Ghevariya &amp; Desai, 2015)","previouslyFormattedCitation":"(Ghevariya &amp; Desai, 2015)"},"properties":{"noteIndex":0},"schema":"https://github.com/citation-style-language/schema/raw/master/csl-citation.json"}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Ghevariya &amp; Desai, 2015)</w:t>
      </w:r>
      <w:r w:rsidRPr="007173E6">
        <w:rPr>
          <w:rFonts w:ascii="Arial" w:hAnsi="Arial" w:cs="Arial"/>
          <w:sz w:val="20"/>
          <w:szCs w:val="20"/>
        </w:rPr>
        <w:fldChar w:fldCharType="end"/>
      </w:r>
      <w:r w:rsidRPr="007173E6">
        <w:rPr>
          <w:rFonts w:ascii="Arial" w:hAnsi="Arial" w:cs="Arial"/>
          <w:sz w:val="20"/>
          <w:szCs w:val="20"/>
        </w:rPr>
        <w:t xml:space="preserve">. Aquatic plants rhizospheric soil was obtained using a method documented by </w:t>
      </w:r>
      <w:r w:rsidRPr="007173E6">
        <w:rPr>
          <w:rFonts w:ascii="Arial" w:hAnsi="Arial" w:cs="Arial"/>
          <w:sz w:val="20"/>
          <w:szCs w:val="20"/>
        </w:rPr>
        <w:fldChar w:fldCharType="begin" w:fldLock="1"/>
      </w:r>
      <w:r w:rsidR="007963B2" w:rsidRPr="007173E6">
        <w:rPr>
          <w:rFonts w:ascii="Arial" w:hAnsi="Arial" w:cs="Arial"/>
          <w:sz w:val="20"/>
          <w:szCs w:val="20"/>
        </w:rPr>
        <w:instrText>ADDIN CSL_CITATION {"citationItems":[{"id":"ITEM-1","itemData":{"DOI":"10.9734/APRJ/2023/v11i3213","author":[{"dropping-particle":"","family":"Mwafulirwa","given":"Samuel","non-dropping-particle":"","parse-names":false,"suffix":""}],"id":"ITEM-1","issue":"3","issued":{"date-parts":[["2023"]]},"page":"29-40","title":"Isolation Characterization and Diversity of Indigenous Pesticide Degrading Microbes from Selected Agro Ecological Zones of Malawi","type":"article-journal","volume":"11"},"uris":["http://www.mendeley.com/documents/?uuid=f57c24aa-72ae-47a0-b71a-7413c34c8169"]}],"mendeley":{"formattedCitation":"(Mwafulirwa, 2023b)","manualFormatting":"Mwafulirwa, (2023)","plainTextFormattedCitation":"(Mwafulirwa, 2023b)","previouslyFormattedCitation":"(Mwafulirwa, 2023b)"},"properties":{"noteIndex":0},"schema":"https://github.com/citation-style-language/schema/raw/master/csl-citation.json"}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Mwafulirwa, (2023)</w:t>
      </w:r>
      <w:r w:rsidRPr="007173E6">
        <w:rPr>
          <w:rFonts w:ascii="Arial" w:hAnsi="Arial" w:cs="Arial"/>
          <w:sz w:val="20"/>
          <w:szCs w:val="20"/>
        </w:rPr>
        <w:fldChar w:fldCharType="end"/>
      </w:r>
      <w:r w:rsidRPr="007173E6">
        <w:rPr>
          <w:rFonts w:ascii="Arial" w:hAnsi="Arial" w:cs="Arial"/>
          <w:sz w:val="20"/>
          <w:szCs w:val="20"/>
        </w:rPr>
        <w:t xml:space="preserve"> </w:t>
      </w:r>
      <w:r w:rsidRPr="007173E6">
        <w:rPr>
          <w:rFonts w:ascii="Arial" w:hAnsi="Arial" w:cs="Arial"/>
          <w:sz w:val="20"/>
          <w:szCs w:val="20"/>
        </w:rPr>
        <w:fldChar w:fldCharType="begin" w:fldLock="1"/>
      </w:r>
      <w:r w:rsidRPr="007173E6">
        <w:rPr>
          <w:rFonts w:ascii="Arial" w:hAnsi="Arial" w:cs="Arial"/>
          <w:sz w:val="20"/>
          <w:szCs w:val="20"/>
        </w:rPr>
        <w:instrText>ADDIN CSL_CITATION {"citationItems":[{"id":"ITEM-1","itemData":{"DOI":"10.3390/ijms18071253","author":[{"dropping-particle":"","family":"Li","given":"Yongbin","non-dropping-particle":"","parse-names":false,"suffix":""},{"dropping-particle":"","family":"Liu","given":"Xiaomeng","non-dropping-particle":"","parse-names":false,"suffix":""},{"dropping-particle":"","family":"Hao","given":"Tianyi","non-dropping-particle":"","parse-names":false,"suffix":""},{"dropping-particle":"","family":"Chen","given":"Sanfeng","non-dropping-particle":"","parse-names":false,"suffix":""}],"id":"ITEM-1","issued":{"date-parts":[["2017"]]},"title":"Colonization and Maize Growth Promotion Induced by Phosphate Solubilizing Bacterial Isolates","type":"article-journal"},"uris":["http://www.mendeley.com/documents/?uuid=7510493d-a3ef-4e18-afa6-de19d1d45224"]},{"id":"ITEM-2","itemData":{"author":[{"dropping-particle":"","family":"López-ortega","given":"Mónica Pilar","non-dropping-particle":"","parse-names":false,"suffix":""},{"dropping-particle":"","family":"Criollo-campos","given":"Paola Jimena","non-dropping-particle":"","parse-names":false,"suffix":""},{"dropping-particle":"","family":"Gómez-vargas","given":"Ruth Milena","non-dropping-particle":"","parse-names":false,"suffix":""}],"id":"ITEM-2","issue":"2","issued":{"date-parts":[["2013"]]},"page":"115-123","title":"Characterization of diazotrophic phosphate solubilizing bacteria as growth promoters of maize plants Caracterización de bacterias diazotróficas solublizadoras de fosfato como promotoras de crecimiento en plantas de maíz","type":"article-journal","volume":"di"},"uris":["http://www.mendeley.com/documents/?uuid=6c8debac-b6e8-4947-8d15-83cfc45848f0"]},{"id":"ITEM-3","itemData":{"DOI":"10.5897/AJMR12.2282","author":[{"dropping-particle":"","family":"Walpola","given":"Buddhi Charana","non-dropping-particle":"","parse-names":false,"suffix":""},{"dropping-particle":"","family":"Yoon","given":"Min-ho","non-dropping-particle":"","parse-names":false,"suffix":""}],"id":"ITEM-3","issue":"3","issued":{"date-parts":[["2013"]]},"page":"266-275","title":"Isolation and characterization of phosphate solubilizing bacteria and their co-inoculation efficiency on tomato plant growth and phosphorous uptake","type":"article-journal","volume":"7"},"uris":["http://www.mendeley.com/documents/?uuid=d2db87bc-5ec6-4d77-bad2-749d9badc1cf"]}],"mendeley":{"formattedCitation":"(Y. Li et al., 2017; López-ortega et al., 2013; Walpola &amp; Yoon, 2013)","manualFormatting":"Li et al., (2017); López-ortega et al., (2013); Walpola &amp; Yoon, (2013)","plainTextFormattedCitation":"(Y. Li et al., 2017; López-ortega et al., 2013; Walpola &amp; Yoon, 2013)","previouslyFormattedCitation":"(Y. Li et al., 2017; López-ortega et al., 2013; Walpola &amp; Yoon, 2013)"},"properties":{"noteIndex":0},"schema":"https://github.com/citation-style-language/schema/raw/master/csl-citation.json"}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Li et al., (2017); López-ortega et al., (2013); Walpola &amp; Yoon, (2013)</w:t>
      </w:r>
      <w:r w:rsidRPr="007173E6">
        <w:rPr>
          <w:rFonts w:ascii="Arial" w:hAnsi="Arial" w:cs="Arial"/>
          <w:sz w:val="20"/>
          <w:szCs w:val="20"/>
        </w:rPr>
        <w:fldChar w:fldCharType="end"/>
      </w:r>
    </w:p>
    <w:p w14:paraId="27F8B2B0" w14:textId="77777777" w:rsidR="009349FA" w:rsidRPr="007173E6" w:rsidRDefault="007173E6" w:rsidP="005B6FFA">
      <w:pPr>
        <w:pStyle w:val="Heading2"/>
        <w:numPr>
          <w:ilvl w:val="1"/>
          <w:numId w:val="38"/>
        </w:numPr>
        <w:spacing w:line="480" w:lineRule="auto"/>
        <w:rPr>
          <w:rFonts w:ascii="Arial" w:hAnsi="Arial" w:cs="Arial"/>
          <w:b/>
          <w:color w:val="auto"/>
          <w:sz w:val="22"/>
          <w:szCs w:val="22"/>
        </w:rPr>
      </w:pPr>
      <w:r w:rsidRPr="007173E6">
        <w:rPr>
          <w:rFonts w:ascii="Arial" w:hAnsi="Arial" w:cs="Arial"/>
          <w:b/>
          <w:color w:val="auto"/>
          <w:sz w:val="22"/>
          <w:szCs w:val="22"/>
        </w:rPr>
        <w:t>ISOLATION OF PSM</w:t>
      </w:r>
    </w:p>
    <w:p w14:paraId="0AEBE222" w14:textId="77777777" w:rsidR="0029088A" w:rsidRPr="007173E6" w:rsidRDefault="00265130" w:rsidP="005B6FFA">
      <w:pPr>
        <w:spacing w:line="480" w:lineRule="auto"/>
        <w:rPr>
          <w:rFonts w:ascii="Arial" w:hAnsi="Arial" w:cs="Arial"/>
          <w:b/>
          <w:sz w:val="20"/>
          <w:szCs w:val="20"/>
        </w:rPr>
      </w:pPr>
      <w:r w:rsidRPr="007173E6">
        <w:rPr>
          <w:rFonts w:ascii="Arial" w:hAnsi="Arial" w:cs="Arial"/>
          <w:sz w:val="20"/>
          <w:szCs w:val="20"/>
        </w:rPr>
        <w:t>All samples were homogenized and</w:t>
      </w:r>
      <w:r w:rsidR="009349FA" w:rsidRPr="007173E6">
        <w:rPr>
          <w:rFonts w:ascii="Arial" w:hAnsi="Arial" w:cs="Arial"/>
          <w:sz w:val="20"/>
          <w:szCs w:val="20"/>
        </w:rPr>
        <w:t xml:space="preserve"> 1 g </w:t>
      </w:r>
      <w:r w:rsidRPr="007173E6">
        <w:rPr>
          <w:rFonts w:ascii="Arial" w:hAnsi="Arial" w:cs="Arial"/>
          <w:sz w:val="20"/>
          <w:szCs w:val="20"/>
        </w:rPr>
        <w:t xml:space="preserve">or 1 ml </w:t>
      </w:r>
      <w:r w:rsidR="009349FA" w:rsidRPr="007173E6">
        <w:rPr>
          <w:rFonts w:ascii="Arial" w:hAnsi="Arial" w:cs="Arial"/>
          <w:sz w:val="20"/>
          <w:szCs w:val="20"/>
        </w:rPr>
        <w:t>of each sample was 10 fold serially diluted from neat homogenate to 10</w:t>
      </w:r>
      <w:r w:rsidRPr="007173E6">
        <w:rPr>
          <w:rFonts w:ascii="Arial" w:hAnsi="Arial" w:cs="Arial"/>
          <w:sz w:val="20"/>
          <w:szCs w:val="20"/>
          <w:vertAlign w:val="superscript"/>
        </w:rPr>
        <w:t>-5</w:t>
      </w:r>
      <w:r w:rsidR="009349FA" w:rsidRPr="007173E6">
        <w:rPr>
          <w:rFonts w:ascii="Arial" w:hAnsi="Arial" w:cs="Arial"/>
          <w:sz w:val="20"/>
          <w:szCs w:val="20"/>
        </w:rPr>
        <w:t xml:space="preserve">. Thereafter, </w:t>
      </w:r>
      <w:r w:rsidRPr="007173E6">
        <w:rPr>
          <w:rFonts w:ascii="Arial" w:hAnsi="Arial" w:cs="Arial"/>
          <w:sz w:val="20"/>
          <w:szCs w:val="20"/>
        </w:rPr>
        <w:t>5</w:t>
      </w:r>
      <w:r w:rsidR="009349FA" w:rsidRPr="007173E6">
        <w:rPr>
          <w:rFonts w:ascii="Arial" w:hAnsi="Arial" w:cs="Arial"/>
          <w:sz w:val="20"/>
          <w:szCs w:val="20"/>
        </w:rPr>
        <w:t xml:space="preserve"> ml of 10</w:t>
      </w:r>
      <w:r w:rsidRPr="007173E6">
        <w:rPr>
          <w:rFonts w:ascii="Arial" w:hAnsi="Arial" w:cs="Arial"/>
          <w:sz w:val="20"/>
          <w:szCs w:val="20"/>
          <w:vertAlign w:val="superscript"/>
        </w:rPr>
        <w:t>-2</w:t>
      </w:r>
      <w:r w:rsidR="009349FA" w:rsidRPr="007173E6">
        <w:rPr>
          <w:rFonts w:ascii="Arial" w:hAnsi="Arial" w:cs="Arial"/>
          <w:sz w:val="20"/>
          <w:szCs w:val="20"/>
        </w:rPr>
        <w:t xml:space="preserve"> and 10</w:t>
      </w:r>
      <w:r w:rsidRPr="007173E6">
        <w:rPr>
          <w:rFonts w:ascii="Arial" w:hAnsi="Arial" w:cs="Arial"/>
          <w:sz w:val="20"/>
          <w:szCs w:val="20"/>
          <w:vertAlign w:val="superscript"/>
        </w:rPr>
        <w:t>-5</w:t>
      </w:r>
      <w:r w:rsidR="009349FA" w:rsidRPr="007173E6">
        <w:rPr>
          <w:rFonts w:ascii="Arial" w:hAnsi="Arial" w:cs="Arial"/>
          <w:sz w:val="20"/>
          <w:szCs w:val="20"/>
        </w:rPr>
        <w:t xml:space="preserve"> dilu</w:t>
      </w:r>
      <w:r w:rsidRPr="007173E6">
        <w:rPr>
          <w:rFonts w:ascii="Arial" w:hAnsi="Arial" w:cs="Arial"/>
          <w:sz w:val="20"/>
          <w:szCs w:val="20"/>
        </w:rPr>
        <w:t>tions were inoculated on p</w:t>
      </w:r>
      <w:r w:rsidR="009349FA" w:rsidRPr="007173E6">
        <w:rPr>
          <w:rFonts w:ascii="Arial" w:hAnsi="Arial" w:cs="Arial"/>
          <w:sz w:val="20"/>
          <w:szCs w:val="20"/>
        </w:rPr>
        <w:t xml:space="preserve">ikovskaya’s </w:t>
      </w:r>
      <w:r w:rsidRPr="007173E6">
        <w:rPr>
          <w:rFonts w:ascii="Arial" w:hAnsi="Arial" w:cs="Arial"/>
          <w:sz w:val="20"/>
          <w:szCs w:val="20"/>
        </w:rPr>
        <w:t>medium</w:t>
      </w:r>
      <w:r w:rsidR="009349FA" w:rsidRPr="007173E6">
        <w:rPr>
          <w:rFonts w:ascii="Arial" w:hAnsi="Arial" w:cs="Arial"/>
          <w:sz w:val="20"/>
          <w:szCs w:val="20"/>
        </w:rPr>
        <w:t xml:space="preserve"> </w:t>
      </w:r>
      <w:r w:rsidR="009349FA" w:rsidRPr="007173E6">
        <w:rPr>
          <w:rFonts w:ascii="Arial" w:hAnsi="Arial" w:cs="Arial"/>
          <w:sz w:val="20"/>
          <w:szCs w:val="20"/>
        </w:rPr>
        <w:lastRenderedPageBreak/>
        <w:t>plate containing (NH</w:t>
      </w:r>
      <w:r w:rsidR="009349FA" w:rsidRPr="007173E6">
        <w:rPr>
          <w:rFonts w:ascii="Arial" w:hAnsi="Arial" w:cs="Arial"/>
          <w:sz w:val="20"/>
          <w:szCs w:val="20"/>
          <w:vertAlign w:val="subscript"/>
        </w:rPr>
        <w:t>4</w:t>
      </w:r>
      <w:r w:rsidR="009349FA" w:rsidRPr="007173E6">
        <w:rPr>
          <w:rFonts w:ascii="Arial" w:hAnsi="Arial" w:cs="Arial"/>
          <w:sz w:val="20"/>
          <w:szCs w:val="20"/>
        </w:rPr>
        <w:t>)</w:t>
      </w:r>
      <w:r w:rsidR="009349FA" w:rsidRPr="007173E6">
        <w:rPr>
          <w:rFonts w:ascii="Arial" w:hAnsi="Arial" w:cs="Arial"/>
          <w:sz w:val="20"/>
          <w:szCs w:val="20"/>
          <w:vertAlign w:val="subscript"/>
        </w:rPr>
        <w:t>2</w:t>
      </w:r>
      <w:r w:rsidR="009349FA" w:rsidRPr="007173E6">
        <w:rPr>
          <w:rFonts w:ascii="Arial" w:hAnsi="Arial" w:cs="Arial"/>
          <w:sz w:val="20"/>
          <w:szCs w:val="20"/>
        </w:rPr>
        <w:t>SO</w:t>
      </w:r>
      <w:r w:rsidR="009349FA" w:rsidRPr="007173E6">
        <w:rPr>
          <w:rFonts w:ascii="Arial" w:hAnsi="Arial" w:cs="Arial"/>
          <w:sz w:val="20"/>
          <w:szCs w:val="20"/>
          <w:vertAlign w:val="subscript"/>
        </w:rPr>
        <w:t xml:space="preserve">4 </w:t>
      </w:r>
      <w:r w:rsidRPr="007173E6">
        <w:rPr>
          <w:rFonts w:ascii="Arial" w:hAnsi="Arial" w:cs="Arial"/>
          <w:sz w:val="20"/>
          <w:szCs w:val="20"/>
          <w:vertAlign w:val="subscript"/>
        </w:rPr>
        <w:t>(</w:t>
      </w:r>
      <w:r w:rsidR="009349FA" w:rsidRPr="007173E6">
        <w:rPr>
          <w:rFonts w:ascii="Arial" w:hAnsi="Arial" w:cs="Arial"/>
          <w:sz w:val="20"/>
          <w:szCs w:val="20"/>
        </w:rPr>
        <w:t>0.</w:t>
      </w:r>
      <w:r w:rsidRPr="007173E6">
        <w:rPr>
          <w:rFonts w:ascii="Arial" w:hAnsi="Arial" w:cs="Arial"/>
          <w:sz w:val="20"/>
          <w:szCs w:val="20"/>
        </w:rPr>
        <w:t>5)</w:t>
      </w:r>
      <w:r w:rsidR="009349FA" w:rsidRPr="007173E6">
        <w:rPr>
          <w:rFonts w:ascii="Arial" w:hAnsi="Arial" w:cs="Arial"/>
          <w:sz w:val="20"/>
          <w:szCs w:val="20"/>
        </w:rPr>
        <w:t xml:space="preserve"> </w:t>
      </w:r>
      <w:r w:rsidR="007234F2" w:rsidRPr="007173E6">
        <w:rPr>
          <w:rFonts w:ascii="Arial" w:hAnsi="Arial" w:cs="Arial"/>
          <w:sz w:val="20"/>
          <w:szCs w:val="20"/>
        </w:rPr>
        <w:t xml:space="preserve">optional use of </w:t>
      </w:r>
      <w:r w:rsidR="00281785" w:rsidRPr="007173E6">
        <w:rPr>
          <w:rFonts w:ascii="Arial" w:hAnsi="Arial" w:cs="Arial"/>
          <w:sz w:val="20"/>
          <w:szCs w:val="20"/>
        </w:rPr>
        <w:t>AlPO</w:t>
      </w:r>
      <w:r w:rsidR="00281785" w:rsidRPr="007173E6">
        <w:rPr>
          <w:rFonts w:ascii="Arial" w:hAnsi="Arial" w:cs="Arial"/>
          <w:sz w:val="20"/>
          <w:szCs w:val="20"/>
          <w:vertAlign w:val="subscript"/>
        </w:rPr>
        <w:t xml:space="preserve">4 </w:t>
      </w:r>
      <w:r w:rsidR="00281785" w:rsidRPr="007173E6">
        <w:rPr>
          <w:rFonts w:ascii="Arial" w:hAnsi="Arial" w:cs="Arial"/>
          <w:sz w:val="20"/>
          <w:szCs w:val="20"/>
        </w:rPr>
        <w:t>or</w:t>
      </w:r>
      <w:r w:rsidR="00281785" w:rsidRPr="007173E6">
        <w:rPr>
          <w:rFonts w:ascii="Arial" w:hAnsi="Arial" w:cs="Arial"/>
          <w:sz w:val="20"/>
          <w:szCs w:val="20"/>
          <w:vertAlign w:val="subscript"/>
        </w:rPr>
        <w:t xml:space="preserve"> </w:t>
      </w:r>
      <w:r w:rsidR="009349FA" w:rsidRPr="007173E6">
        <w:rPr>
          <w:rFonts w:ascii="Arial" w:hAnsi="Arial" w:cs="Arial"/>
          <w:sz w:val="20"/>
          <w:szCs w:val="20"/>
        </w:rPr>
        <w:t>Ca</w:t>
      </w:r>
      <w:r w:rsidR="009349FA" w:rsidRPr="007173E6">
        <w:rPr>
          <w:rFonts w:ascii="Arial" w:hAnsi="Arial" w:cs="Arial"/>
          <w:sz w:val="20"/>
          <w:szCs w:val="20"/>
          <w:vertAlign w:val="subscript"/>
        </w:rPr>
        <w:t>3</w:t>
      </w:r>
      <w:r w:rsidR="009349FA" w:rsidRPr="007173E6">
        <w:rPr>
          <w:rFonts w:ascii="Arial" w:hAnsi="Arial" w:cs="Arial"/>
          <w:sz w:val="20"/>
          <w:szCs w:val="20"/>
        </w:rPr>
        <w:t>(PO</w:t>
      </w:r>
      <w:r w:rsidR="009349FA" w:rsidRPr="007173E6">
        <w:rPr>
          <w:rFonts w:ascii="Arial" w:hAnsi="Arial" w:cs="Arial"/>
          <w:sz w:val="20"/>
          <w:szCs w:val="20"/>
          <w:vertAlign w:val="subscript"/>
        </w:rPr>
        <w:t>4</w:t>
      </w:r>
      <w:r w:rsidR="009349FA" w:rsidRPr="007173E6">
        <w:rPr>
          <w:rFonts w:ascii="Arial" w:hAnsi="Arial" w:cs="Arial"/>
          <w:sz w:val="20"/>
          <w:szCs w:val="20"/>
        </w:rPr>
        <w:t>)</w:t>
      </w:r>
      <w:r w:rsidR="009349FA" w:rsidRPr="007173E6">
        <w:rPr>
          <w:rFonts w:ascii="Arial" w:hAnsi="Arial" w:cs="Arial"/>
          <w:sz w:val="20"/>
          <w:szCs w:val="20"/>
          <w:vertAlign w:val="subscript"/>
        </w:rPr>
        <w:t>2</w:t>
      </w:r>
      <w:r w:rsidR="009349FA" w:rsidRPr="007173E6">
        <w:rPr>
          <w:rFonts w:ascii="Arial" w:hAnsi="Arial" w:cs="Arial"/>
          <w:sz w:val="20"/>
          <w:szCs w:val="20"/>
        </w:rPr>
        <w:t xml:space="preserve"> </w:t>
      </w:r>
      <w:r w:rsidR="007234F2" w:rsidRPr="007173E6">
        <w:rPr>
          <w:rFonts w:ascii="Arial" w:hAnsi="Arial" w:cs="Arial"/>
          <w:sz w:val="20"/>
          <w:szCs w:val="20"/>
        </w:rPr>
        <w:t xml:space="preserve">as insoluble sources of phosphate as the selective active ingredient </w:t>
      </w:r>
      <w:r w:rsidRPr="007173E6">
        <w:rPr>
          <w:rFonts w:ascii="Arial" w:hAnsi="Arial" w:cs="Arial"/>
          <w:sz w:val="20"/>
          <w:szCs w:val="20"/>
        </w:rPr>
        <w:t>(5), glucose</w:t>
      </w:r>
      <w:r w:rsidR="009349FA" w:rsidRPr="007173E6">
        <w:rPr>
          <w:rFonts w:ascii="Arial" w:hAnsi="Arial" w:cs="Arial"/>
          <w:sz w:val="20"/>
          <w:szCs w:val="20"/>
        </w:rPr>
        <w:t xml:space="preserve"> </w:t>
      </w:r>
      <w:r w:rsidRPr="007173E6">
        <w:rPr>
          <w:rFonts w:ascii="Arial" w:hAnsi="Arial" w:cs="Arial"/>
          <w:sz w:val="20"/>
          <w:szCs w:val="20"/>
        </w:rPr>
        <w:t>(10), NaCl (0.2),</w:t>
      </w:r>
      <w:r w:rsidR="009349FA" w:rsidRPr="007173E6">
        <w:rPr>
          <w:rFonts w:ascii="Arial" w:hAnsi="Arial" w:cs="Arial"/>
          <w:sz w:val="20"/>
          <w:szCs w:val="20"/>
        </w:rPr>
        <w:t xml:space="preserve"> MgSO</w:t>
      </w:r>
      <w:r w:rsidR="009349FA" w:rsidRPr="007173E6">
        <w:rPr>
          <w:rFonts w:ascii="Arial" w:hAnsi="Arial" w:cs="Arial"/>
          <w:sz w:val="20"/>
          <w:szCs w:val="20"/>
          <w:vertAlign w:val="subscript"/>
        </w:rPr>
        <w:t>4</w:t>
      </w:r>
      <w:r w:rsidR="009349FA" w:rsidRPr="007173E6">
        <w:rPr>
          <w:rFonts w:ascii="Arial" w:hAnsi="Arial" w:cs="Arial"/>
          <w:sz w:val="20"/>
          <w:szCs w:val="20"/>
        </w:rPr>
        <w:t>·7H</w:t>
      </w:r>
      <w:r w:rsidR="009349FA" w:rsidRPr="007173E6">
        <w:rPr>
          <w:rFonts w:ascii="Arial" w:hAnsi="Arial" w:cs="Arial"/>
          <w:sz w:val="20"/>
          <w:szCs w:val="20"/>
          <w:vertAlign w:val="subscript"/>
        </w:rPr>
        <w:t>2</w:t>
      </w:r>
      <w:r w:rsidR="00C078E0" w:rsidRPr="007173E6">
        <w:rPr>
          <w:rFonts w:ascii="Arial" w:hAnsi="Arial" w:cs="Arial"/>
          <w:sz w:val="20"/>
          <w:szCs w:val="20"/>
        </w:rPr>
        <w:t xml:space="preserve">O </w:t>
      </w:r>
      <w:r w:rsidRPr="007173E6">
        <w:rPr>
          <w:rFonts w:ascii="Arial" w:hAnsi="Arial" w:cs="Arial"/>
          <w:sz w:val="20"/>
          <w:szCs w:val="20"/>
        </w:rPr>
        <w:t xml:space="preserve">(0.1), </w:t>
      </w:r>
      <w:r w:rsidR="00C078E0" w:rsidRPr="007173E6">
        <w:rPr>
          <w:rFonts w:ascii="Arial" w:hAnsi="Arial" w:cs="Arial"/>
          <w:sz w:val="20"/>
          <w:szCs w:val="20"/>
        </w:rPr>
        <w:t xml:space="preserve">KCl </w:t>
      </w:r>
      <w:r w:rsidRPr="007173E6">
        <w:rPr>
          <w:rFonts w:ascii="Arial" w:hAnsi="Arial" w:cs="Arial"/>
          <w:sz w:val="20"/>
          <w:szCs w:val="20"/>
        </w:rPr>
        <w:t>(</w:t>
      </w:r>
      <w:r w:rsidR="009349FA" w:rsidRPr="007173E6">
        <w:rPr>
          <w:rFonts w:ascii="Arial" w:hAnsi="Arial" w:cs="Arial"/>
          <w:sz w:val="20"/>
          <w:szCs w:val="20"/>
        </w:rPr>
        <w:t>0.2</w:t>
      </w:r>
      <w:r w:rsidRPr="007173E6">
        <w:rPr>
          <w:rFonts w:ascii="Arial" w:hAnsi="Arial" w:cs="Arial"/>
          <w:sz w:val="20"/>
          <w:szCs w:val="20"/>
        </w:rPr>
        <w:t xml:space="preserve">), </w:t>
      </w:r>
      <w:r w:rsidR="009349FA" w:rsidRPr="007173E6">
        <w:rPr>
          <w:rFonts w:ascii="Arial" w:hAnsi="Arial" w:cs="Arial"/>
          <w:sz w:val="20"/>
          <w:szCs w:val="20"/>
        </w:rPr>
        <w:t>FeSO</w:t>
      </w:r>
      <w:r w:rsidR="009349FA" w:rsidRPr="007173E6">
        <w:rPr>
          <w:rFonts w:ascii="Arial" w:hAnsi="Arial" w:cs="Arial"/>
          <w:sz w:val="20"/>
          <w:szCs w:val="20"/>
          <w:vertAlign w:val="subscript"/>
        </w:rPr>
        <w:t>4</w:t>
      </w:r>
      <w:r w:rsidR="009349FA" w:rsidRPr="007173E6">
        <w:rPr>
          <w:rFonts w:ascii="Arial" w:hAnsi="Arial" w:cs="Arial"/>
          <w:sz w:val="20"/>
          <w:szCs w:val="20"/>
        </w:rPr>
        <w:t>·7H</w:t>
      </w:r>
      <w:r w:rsidR="009349FA" w:rsidRPr="007173E6">
        <w:rPr>
          <w:rFonts w:ascii="Arial" w:hAnsi="Arial" w:cs="Arial"/>
          <w:sz w:val="20"/>
          <w:szCs w:val="20"/>
          <w:vertAlign w:val="subscript"/>
        </w:rPr>
        <w:t>2</w:t>
      </w:r>
      <w:r w:rsidRPr="007173E6">
        <w:rPr>
          <w:rFonts w:ascii="Arial" w:hAnsi="Arial" w:cs="Arial"/>
          <w:sz w:val="20"/>
          <w:szCs w:val="20"/>
        </w:rPr>
        <w:t>O (0.002) yeast extract (0.5)</w:t>
      </w:r>
      <w:r w:rsidR="009349FA" w:rsidRPr="007173E6">
        <w:rPr>
          <w:rFonts w:ascii="Arial" w:hAnsi="Arial" w:cs="Arial"/>
          <w:sz w:val="20"/>
          <w:szCs w:val="20"/>
        </w:rPr>
        <w:t xml:space="preserve"> MnSO</w:t>
      </w:r>
      <w:r w:rsidR="009349FA" w:rsidRPr="007173E6">
        <w:rPr>
          <w:rFonts w:ascii="Arial" w:hAnsi="Arial" w:cs="Arial"/>
          <w:sz w:val="20"/>
          <w:szCs w:val="20"/>
          <w:vertAlign w:val="subscript"/>
        </w:rPr>
        <w:t>4</w:t>
      </w:r>
      <w:r w:rsidR="009349FA" w:rsidRPr="007173E6">
        <w:rPr>
          <w:rFonts w:ascii="Arial" w:hAnsi="Arial" w:cs="Arial"/>
          <w:sz w:val="20"/>
          <w:szCs w:val="20"/>
        </w:rPr>
        <w:t>·H</w:t>
      </w:r>
      <w:r w:rsidR="009349FA" w:rsidRPr="007173E6">
        <w:rPr>
          <w:rFonts w:ascii="Arial" w:hAnsi="Arial" w:cs="Arial"/>
          <w:sz w:val="20"/>
          <w:szCs w:val="20"/>
          <w:vertAlign w:val="subscript"/>
        </w:rPr>
        <w:t>2</w:t>
      </w:r>
      <w:r w:rsidR="007234F2" w:rsidRPr="007173E6">
        <w:rPr>
          <w:rFonts w:ascii="Arial" w:hAnsi="Arial" w:cs="Arial"/>
          <w:sz w:val="20"/>
          <w:szCs w:val="20"/>
        </w:rPr>
        <w:t xml:space="preserve">O </w:t>
      </w:r>
      <w:r w:rsidRPr="007173E6">
        <w:rPr>
          <w:rFonts w:ascii="Arial" w:hAnsi="Arial" w:cs="Arial"/>
          <w:sz w:val="20"/>
          <w:szCs w:val="20"/>
        </w:rPr>
        <w:t>(0.002)</w:t>
      </w:r>
      <w:r w:rsidR="009349FA" w:rsidRPr="007173E6">
        <w:rPr>
          <w:rFonts w:ascii="Arial" w:hAnsi="Arial" w:cs="Arial"/>
          <w:sz w:val="20"/>
          <w:szCs w:val="20"/>
        </w:rPr>
        <w:t xml:space="preserve"> and gar, 18 </w:t>
      </w:r>
      <w:r w:rsidR="0018464C" w:rsidRPr="007173E6">
        <w:rPr>
          <w:rFonts w:ascii="Arial" w:hAnsi="Arial" w:cs="Arial"/>
          <w:sz w:val="20"/>
          <w:szCs w:val="20"/>
        </w:rPr>
        <w:t xml:space="preserve">all </w:t>
      </w:r>
      <w:r w:rsidR="009349FA" w:rsidRPr="007173E6">
        <w:rPr>
          <w:rFonts w:ascii="Arial" w:hAnsi="Arial" w:cs="Arial"/>
          <w:sz w:val="20"/>
          <w:szCs w:val="20"/>
        </w:rPr>
        <w:t xml:space="preserve">g/L. </w:t>
      </w:r>
      <w:r w:rsidR="0018464C" w:rsidRPr="007173E6">
        <w:rPr>
          <w:rFonts w:ascii="Arial" w:hAnsi="Arial" w:cs="Arial"/>
          <w:sz w:val="20"/>
          <w:szCs w:val="20"/>
        </w:rPr>
        <w:t xml:space="preserve">Positive colonies were selected by showing </w:t>
      </w:r>
      <w:r w:rsidR="009349FA" w:rsidRPr="007173E6">
        <w:rPr>
          <w:rFonts w:ascii="Arial" w:hAnsi="Arial" w:cs="Arial"/>
          <w:sz w:val="20"/>
          <w:szCs w:val="20"/>
        </w:rPr>
        <w:t xml:space="preserve">clear </w:t>
      </w:r>
      <w:r w:rsidR="0018464C" w:rsidRPr="007173E6">
        <w:rPr>
          <w:rFonts w:ascii="Arial" w:hAnsi="Arial" w:cs="Arial"/>
          <w:sz w:val="20"/>
          <w:szCs w:val="20"/>
        </w:rPr>
        <w:t>halozone</w:t>
      </w:r>
      <w:r w:rsidR="009349FA" w:rsidRPr="007173E6">
        <w:rPr>
          <w:rFonts w:ascii="Arial" w:hAnsi="Arial" w:cs="Arial"/>
          <w:sz w:val="20"/>
          <w:szCs w:val="20"/>
        </w:rPr>
        <w:t xml:space="preserve"> on </w:t>
      </w:r>
      <w:r w:rsidR="0018464C" w:rsidRPr="007173E6">
        <w:rPr>
          <w:rFonts w:ascii="Arial" w:hAnsi="Arial" w:cs="Arial"/>
          <w:sz w:val="20"/>
          <w:szCs w:val="20"/>
        </w:rPr>
        <w:t xml:space="preserve">colonies borders on </w:t>
      </w:r>
      <w:r w:rsidR="009349FA" w:rsidRPr="007173E6">
        <w:rPr>
          <w:rFonts w:ascii="Arial" w:hAnsi="Arial" w:cs="Arial"/>
          <w:sz w:val="20"/>
          <w:szCs w:val="20"/>
        </w:rPr>
        <w:t xml:space="preserve">agar plates </w:t>
      </w:r>
      <w:r w:rsidR="00C078E0" w:rsidRPr="007173E6">
        <w:rPr>
          <w:rFonts w:ascii="Arial" w:hAnsi="Arial" w:cs="Arial"/>
          <w:sz w:val="20"/>
          <w:szCs w:val="20"/>
        </w:rPr>
        <w:fldChar w:fldCharType="begin" w:fldLock="1"/>
      </w:r>
      <w:r w:rsidR="007963B2" w:rsidRPr="007173E6">
        <w:rPr>
          <w:rFonts w:ascii="Arial" w:hAnsi="Arial" w:cs="Arial"/>
          <w:sz w:val="20"/>
          <w:szCs w:val="20"/>
        </w:rPr>
        <w:instrText>ADDIN CSL_CITATION {"citationItems":[{"id":"ITEM-1","itemData":{"author":[{"dropping-particle":"","family":"Hajjam","given":"Youmna","non-dropping-particle":"","parse-names":false,"suffix":""},{"dropping-particle":"","family":"Cherkaoui","given":"Souad","non-dropping-particle":"","parse-names":false,"suffix":""}],"id":"ITEM-1","issue":"3","issued":{"date-parts":[["2017"]]},"page":"801-808","title":"The influence of phosphate solubilizing microorganisms on symbiotic nitrogen fixation : Perspectives for sustainable agriculture","type":"article-journal","volume":"8"},"uris":["http://www.mendeley.com/documents/?uuid=0e587b25-450e-424e-aefc-968f30ca498b"]},{"id":"ITEM-2","itemData":{"author":[{"dropping-particle":"","family":"Kadiri","given":"Deepika Divya","non-dropping-particle":"","parse-names":false,"suffix":""},{"dropping-particle":"","family":"Gorle","given":"Naresh","non-dropping-particle":"","parse-names":false,"suffix":""},{"dropping-particle":"","family":"Varada","given":"Krishnakanth","non-dropping-particle":"","parse-names":false,"suffix":""},{"dropping-particle":"","family":"Peetala","given":"Raju","non-dropping-particle":"","parse-names":false,"suffix":""},{"dropping-particle":"","family":"Peela","given":"Sujatha","non-dropping-particle":"","parse-names":false,"suffix":""}],"id":"ITEM-2","issue":"4","issued":{"date-parts":[["2013"]]},"page":"518-526","title":"ISOLATION , SCREENING AND IDENTIFICATION OF PHOSPHATE SOLUBILIZING BACTERIA FROM DIFFERENT REGIONS OF","type":"article-journal","volume":"4"},"uris":["http://www.mendeley.com/documents/?uuid=a9a6f12c-adac-4b94-931a-76020a4979a0"]},{"id":"ITEM-3","itemData":{"author":[{"dropping-particle":"","family":"Elias","given":"Firew","non-dropping-particle":"","parse-names":false,"suffix":""},{"dropping-particle":"","family":"Woyessa","given":"Delelegn","non-dropping-particle":"","parse-names":false,"suffix":""},{"dropping-particle":"","family":"Muleta","given":"Diriba","non-dropping-particle":"","parse-names":false,"suffix":""}],"id":"ITEM-3","issue":"1","issued":{"date-parts":[["2016"]]},"title":"Phosphate Solubilization Potential of Rhizosphere Fungi Isolated from Plants in Jimma Zone , Southwest Ethiopia","type":"article-journal","volume":"2016"},"uris":["http://www.mendeley.com/documents/?uuid=b5edf89f-5923-466b-a866-d56e70cf5494"]},{"id":"ITEM-4","itemData":{"author":[{"dropping-particle":"","family":"Report","given":"Final","non-dropping-particle":"","parse-names":false,"suffix":""},{"dropping-particle":"","family":"Mubarik","given":"Nisa Rachmania","non-dropping-particle":"","parse-names":false,"suffix":""},{"dropping-particle":"","family":"Wibowo","given":"Risky Hadi","non-dropping-particle":"","parse-names":false,"suffix":""},{"dropping-particle":"","family":"Angraini","given":"Erni","non-dropping-particle":"","parse-names":false,"suffix":""},{"dropping-particle":"","family":"Mursyida","given":"Eliya","non-dropping-particle":"","parse-names":false,"suffix":""},{"dropping-particle":"","family":"Wahdi","given":"Emil","non-dropping-particle":"","parse-names":false,"suffix":""}],"id":"ITEM-4","issue":"September","issued":{"date-parts":[["2014"]]},"page":"1-13","title":"Exploration of Bacterial Diversity at Cirebon Quarry by Nisa Rachmania Mubarik * Risky Hadi Wibowo Erni Angraini Eliya Mursyida Emil Wahdi","type":"article-journal"},"uris":["http://www.mendeley.com/documents/?uuid=803e884b-0a9a-44c6-ac1b-2b57c6d1d1d0"]}],"mendeley":{"formattedCitation":"(Elias et al., 2016; Hajjam &amp; Cherkaoui, 2017; Kadiri et al., 2013; Report et al., 2014)","plainTextFormattedCitation":"(Elias et al., 2016; Hajjam &amp; Cherkaoui, 2017; Kadiri et al., 2013; Report et al., 2014)","previouslyFormattedCitation":"(Elias et al., 2016; Hajjam &amp; Cherkaoui, 2017; Kadiri et al., 2013; Report et al., 2014)"},"properties":{"noteIndex":0},"schema":"https://github.com/citation-style-language/schema/raw/master/csl-citation.json"}</w:instrText>
      </w:r>
      <w:r w:rsidR="00C078E0" w:rsidRPr="007173E6">
        <w:rPr>
          <w:rFonts w:ascii="Arial" w:hAnsi="Arial" w:cs="Arial"/>
          <w:sz w:val="20"/>
          <w:szCs w:val="20"/>
        </w:rPr>
        <w:fldChar w:fldCharType="separate"/>
      </w:r>
      <w:r w:rsidR="007963B2" w:rsidRPr="007173E6">
        <w:rPr>
          <w:rFonts w:ascii="Arial" w:hAnsi="Arial" w:cs="Arial"/>
          <w:noProof/>
          <w:sz w:val="20"/>
          <w:szCs w:val="20"/>
        </w:rPr>
        <w:t>(Elias et al., 2016; Hajjam &amp; Cherkaoui, 2017; Kadiri et al., 2013; Report et al., 2014)</w:t>
      </w:r>
      <w:r w:rsidR="00C078E0" w:rsidRPr="007173E6">
        <w:rPr>
          <w:rFonts w:ascii="Arial" w:hAnsi="Arial" w:cs="Arial"/>
          <w:sz w:val="20"/>
          <w:szCs w:val="20"/>
        </w:rPr>
        <w:fldChar w:fldCharType="end"/>
      </w:r>
      <w:r w:rsidR="009349FA" w:rsidRPr="007173E6">
        <w:rPr>
          <w:rFonts w:ascii="Arial" w:hAnsi="Arial" w:cs="Arial"/>
          <w:sz w:val="20"/>
          <w:szCs w:val="20"/>
        </w:rPr>
        <w:t>.</w:t>
      </w:r>
    </w:p>
    <w:p w14:paraId="164EDDD0" w14:textId="77777777" w:rsidR="00082E25" w:rsidRPr="007173E6" w:rsidRDefault="007173E6" w:rsidP="005B6FFA">
      <w:pPr>
        <w:pStyle w:val="Heading3"/>
        <w:numPr>
          <w:ilvl w:val="2"/>
          <w:numId w:val="38"/>
        </w:numPr>
        <w:spacing w:line="480" w:lineRule="auto"/>
        <w:rPr>
          <w:rFonts w:ascii="Arial" w:hAnsi="Arial" w:cs="Arial"/>
          <w:b/>
          <w:color w:val="auto"/>
          <w:sz w:val="22"/>
          <w:szCs w:val="22"/>
        </w:rPr>
      </w:pPr>
      <w:r>
        <w:rPr>
          <w:rFonts w:ascii="Arial" w:hAnsi="Arial" w:cs="Arial"/>
          <w:b/>
          <w:color w:val="auto"/>
          <w:sz w:val="22"/>
          <w:szCs w:val="22"/>
        </w:rPr>
        <w:t xml:space="preserve">QUALITATIVE PHOSPHATE SOLUBILISATION ANALYSIS </w:t>
      </w:r>
    </w:p>
    <w:p w14:paraId="6AA03586" w14:textId="77777777" w:rsidR="00082E25" w:rsidRPr="007173E6" w:rsidRDefault="00082E25" w:rsidP="005B6FFA">
      <w:pPr>
        <w:spacing w:line="480" w:lineRule="auto"/>
        <w:rPr>
          <w:rFonts w:ascii="Arial" w:hAnsi="Arial" w:cs="Arial"/>
          <w:sz w:val="20"/>
          <w:szCs w:val="20"/>
        </w:rPr>
      </w:pPr>
      <w:r w:rsidRPr="007173E6">
        <w:rPr>
          <w:rFonts w:ascii="Arial" w:hAnsi="Arial" w:cs="Arial"/>
          <w:sz w:val="20"/>
          <w:szCs w:val="20"/>
        </w:rPr>
        <w:t xml:space="preserve">All isolates that showed clear halo zone were </w:t>
      </w:r>
      <w:r w:rsidR="0018464C" w:rsidRPr="007173E6">
        <w:rPr>
          <w:rFonts w:ascii="Arial" w:hAnsi="Arial" w:cs="Arial"/>
          <w:sz w:val="20"/>
          <w:szCs w:val="20"/>
        </w:rPr>
        <w:t xml:space="preserve">subjected to measure </w:t>
      </w:r>
      <w:r w:rsidR="00A47C53" w:rsidRPr="007173E6">
        <w:rPr>
          <w:rFonts w:ascii="Arial" w:hAnsi="Arial" w:cs="Arial"/>
          <w:sz w:val="20"/>
          <w:szCs w:val="20"/>
        </w:rPr>
        <w:t>Phosphate Solubilisation Index (PSI)</w:t>
      </w:r>
      <w:r w:rsidRPr="007173E6">
        <w:rPr>
          <w:rFonts w:ascii="Arial" w:hAnsi="Arial" w:cs="Arial"/>
          <w:sz w:val="20"/>
          <w:szCs w:val="20"/>
        </w:rPr>
        <w:t xml:space="preserve">. </w:t>
      </w:r>
      <w:r w:rsidR="00A47C53" w:rsidRPr="007173E6">
        <w:rPr>
          <w:rFonts w:ascii="Arial" w:hAnsi="Arial" w:cs="Arial"/>
          <w:sz w:val="20"/>
          <w:szCs w:val="20"/>
        </w:rPr>
        <w:t xml:space="preserve">Selected </w:t>
      </w:r>
      <w:r w:rsidRPr="007173E6">
        <w:rPr>
          <w:rFonts w:ascii="Arial" w:hAnsi="Arial" w:cs="Arial"/>
          <w:sz w:val="20"/>
          <w:szCs w:val="20"/>
        </w:rPr>
        <w:t xml:space="preserve">Isolates were </w:t>
      </w:r>
      <w:r w:rsidR="00A47C53" w:rsidRPr="007173E6">
        <w:rPr>
          <w:rFonts w:ascii="Arial" w:hAnsi="Arial" w:cs="Arial"/>
          <w:sz w:val="20"/>
          <w:szCs w:val="20"/>
        </w:rPr>
        <w:t xml:space="preserve">individually </w:t>
      </w:r>
      <w:r w:rsidRPr="007173E6">
        <w:rPr>
          <w:rFonts w:ascii="Arial" w:hAnsi="Arial" w:cs="Arial"/>
          <w:sz w:val="20"/>
          <w:szCs w:val="20"/>
        </w:rPr>
        <w:t xml:space="preserve">inoculated </w:t>
      </w:r>
      <w:r w:rsidR="00A47C53" w:rsidRPr="007173E6">
        <w:rPr>
          <w:rFonts w:ascii="Arial" w:hAnsi="Arial" w:cs="Arial"/>
          <w:sz w:val="20"/>
          <w:szCs w:val="20"/>
        </w:rPr>
        <w:t>on</w:t>
      </w:r>
      <w:r w:rsidRPr="007173E6">
        <w:rPr>
          <w:rFonts w:ascii="Arial" w:hAnsi="Arial" w:cs="Arial"/>
          <w:sz w:val="20"/>
          <w:szCs w:val="20"/>
        </w:rPr>
        <w:t xml:space="preserve"> Pikovskaya s medium plate and successively measuring diameter of clearance zone and colony up to 7 days. Experiment was set up in a CRD manner with 3 replicates. PSI was measured by taking Colony diameter plus Halo zone diameter divided by Colony diameter</w:t>
      </w:r>
      <w:r w:rsidR="00C078E0" w:rsidRPr="007173E6">
        <w:rPr>
          <w:rFonts w:ascii="Arial" w:hAnsi="Arial" w:cs="Arial"/>
          <w:sz w:val="20"/>
          <w:szCs w:val="20"/>
        </w:rPr>
        <w:t xml:space="preserve"> </w:t>
      </w:r>
      <w:r w:rsidR="00C078E0" w:rsidRPr="007173E6">
        <w:rPr>
          <w:rFonts w:ascii="Arial" w:hAnsi="Arial" w:cs="Arial"/>
          <w:sz w:val="20"/>
          <w:szCs w:val="20"/>
        </w:rPr>
        <w:fldChar w:fldCharType="begin" w:fldLock="1"/>
      </w:r>
      <w:r w:rsidR="007963B2" w:rsidRPr="007173E6">
        <w:rPr>
          <w:rFonts w:ascii="Arial" w:hAnsi="Arial" w:cs="Arial"/>
          <w:sz w:val="20"/>
          <w:szCs w:val="20"/>
        </w:rPr>
        <w:instrText>ADDIN CSL_CITATION {"citationItems":[{"id":"ITEM-1","itemData":{"DOI":"10.1016/j.micres.2020.126516","ISSN":"0944-5013","author":[{"dropping-particle":"","family":"Goswami","given":"Madhurankhi","non-dropping-particle":"","parse-names":false,"suffix":""},{"dropping-particle":"","family":"Deka","given":"Suresh","non-dropping-particle":"","parse-names":false,"suffix":""}],"container-title":"Microbiological Research","id":"ITEM-1","issue":"May","issued":{"date-parts":[["2020"]]},"page":"126516","publisher":"Elsevier","title":"Isolation of a novel rhizobacteria having multiple plant growth promoting traits and antifungal activity against certain phytopathogens","type":"article-journal","volume":"240"},"uris":["http://www.mendeley.com/documents/?uuid=14d61825-7ed4-4c59-84bc-baafadb204c5"]},{"id":"ITEM-2","itemData":{"author":[{"dropping-particle":"","family":"Kumar","given":"Vipin","non-dropping-particle":"","parse-names":false,"suffix":""}],"id":"ITEM-2","issue":"9","issued":{"date-parts":[["2012"]]},"page":"1-6","title":"Phosphate Solubilizing Activity of Some Bacterial Strains Isolated from Chemical Pesticide Exposed Agriculture Soil","type":"article-journal","volume":"3"},"uris":["http://www.mendeley.com/documents/?uuid=518431a6-3e86-4244-89be-d473b2cc2539"]},{"id":"ITEM-3","itemData":{"author":[{"dropping-particle":"","family":"Swift","given":"Rebecca Gaye","non-dropping-particle":"","parse-names":false,"suffix":""},{"dropping-particle":"","family":"Murdoch","given":"Hons","non-dropping-particle":"","parse-names":false,"suffix":""},{"dropping-particle":"","family":"Swift","given":"Rebecca Gaye","non-dropping-particle":"","parse-names":false,"suffix":""}],"id":"ITEM-3","issue":"December","issued":{"date-parts":[["2016"]]},"title":"Plant growth-promoting bacteria from Western Australian soils","type":"article-journal"},"uris":["http://www.mendeley.com/documents/?uuid=62a7f53b-5703-4078-a1ea-8e81bb9c35ba"]}],"mendeley":{"formattedCitation":"(Goswami &amp; Deka, 2020; Kumar, 2012; Swift et al., 2016)","manualFormatting":"(Goswami &amp; Deka, 2020; Kumar, 2012; Swift et al., 2016)","plainTextFormattedCitation":"(Goswami &amp; Deka, 2020; Kumar, 2012; Swift et al., 2016)","previouslyFormattedCitation":"(Goswami &amp; Deka, 2020; Kumar, 2012; Swift et al., 2016)"},"properties":{"noteIndex":0},"schema":"https://github.com/citation-style-language/schema/raw/master/csl-citation.json"}</w:instrText>
      </w:r>
      <w:r w:rsidR="00C078E0" w:rsidRPr="007173E6">
        <w:rPr>
          <w:rFonts w:ascii="Arial" w:hAnsi="Arial" w:cs="Arial"/>
          <w:sz w:val="20"/>
          <w:szCs w:val="20"/>
        </w:rPr>
        <w:fldChar w:fldCharType="separate"/>
      </w:r>
      <w:r w:rsidR="00C078E0" w:rsidRPr="007173E6">
        <w:rPr>
          <w:rFonts w:ascii="Arial" w:hAnsi="Arial" w:cs="Arial"/>
          <w:noProof/>
          <w:sz w:val="20"/>
          <w:szCs w:val="20"/>
        </w:rPr>
        <w:t>(Goswami &amp; Deka, 2020; Kumar, 2012; Swift et al., 2016)</w:t>
      </w:r>
      <w:r w:rsidR="00C078E0" w:rsidRPr="007173E6">
        <w:rPr>
          <w:rFonts w:ascii="Arial" w:hAnsi="Arial" w:cs="Arial"/>
          <w:sz w:val="20"/>
          <w:szCs w:val="20"/>
        </w:rPr>
        <w:fldChar w:fldCharType="end"/>
      </w:r>
    </w:p>
    <w:p w14:paraId="1F324207" w14:textId="77777777" w:rsidR="00082E25" w:rsidRPr="007173E6" w:rsidRDefault="007173E6" w:rsidP="005B6FFA">
      <w:pPr>
        <w:pStyle w:val="Heading3"/>
        <w:numPr>
          <w:ilvl w:val="2"/>
          <w:numId w:val="38"/>
        </w:numPr>
        <w:spacing w:line="480" w:lineRule="auto"/>
        <w:rPr>
          <w:rFonts w:ascii="Arial" w:hAnsi="Arial" w:cs="Arial"/>
          <w:b/>
          <w:color w:val="auto"/>
          <w:sz w:val="22"/>
          <w:szCs w:val="22"/>
        </w:rPr>
      </w:pPr>
      <w:r w:rsidRPr="007173E6">
        <w:rPr>
          <w:rFonts w:ascii="Arial" w:hAnsi="Arial" w:cs="Arial"/>
          <w:b/>
          <w:color w:val="auto"/>
          <w:sz w:val="22"/>
          <w:szCs w:val="22"/>
        </w:rPr>
        <w:t xml:space="preserve">QUANTITATIVE </w:t>
      </w:r>
      <w:r>
        <w:rPr>
          <w:rFonts w:ascii="Arial" w:hAnsi="Arial" w:cs="Arial"/>
          <w:b/>
          <w:color w:val="auto"/>
          <w:sz w:val="22"/>
          <w:szCs w:val="22"/>
        </w:rPr>
        <w:t>PHOSPHATE SOLUBILISATION ANALYSIS</w:t>
      </w:r>
    </w:p>
    <w:p w14:paraId="661BD30B" w14:textId="77777777" w:rsidR="00082E25" w:rsidRPr="007173E6" w:rsidRDefault="00082E25" w:rsidP="005B6FFA">
      <w:pPr>
        <w:spacing w:line="480" w:lineRule="auto"/>
        <w:rPr>
          <w:rFonts w:ascii="Arial" w:hAnsi="Arial" w:cs="Arial"/>
          <w:sz w:val="20"/>
          <w:szCs w:val="20"/>
        </w:rPr>
      </w:pPr>
      <w:r w:rsidRPr="007173E6">
        <w:rPr>
          <w:rFonts w:ascii="Arial" w:hAnsi="Arial" w:cs="Arial"/>
          <w:sz w:val="20"/>
          <w:szCs w:val="20"/>
        </w:rPr>
        <w:t>Isolates (1*10</w:t>
      </w:r>
      <w:r w:rsidR="002F51C3" w:rsidRPr="007173E6">
        <w:rPr>
          <w:rFonts w:ascii="Arial" w:hAnsi="Arial" w:cs="Arial"/>
          <w:sz w:val="20"/>
          <w:szCs w:val="20"/>
          <w:vertAlign w:val="superscript"/>
        </w:rPr>
        <w:t>7</w:t>
      </w:r>
      <w:r w:rsidRPr="007173E6">
        <w:rPr>
          <w:rFonts w:ascii="Arial" w:hAnsi="Arial" w:cs="Arial"/>
          <w:sz w:val="20"/>
          <w:szCs w:val="20"/>
        </w:rPr>
        <w:t xml:space="preserve"> CFU ml</w:t>
      </w:r>
      <w:r w:rsidRPr="007173E6">
        <w:rPr>
          <w:rFonts w:ascii="Arial" w:hAnsi="Arial" w:cs="Arial"/>
          <w:sz w:val="20"/>
          <w:szCs w:val="20"/>
          <w:vertAlign w:val="superscript"/>
        </w:rPr>
        <w:t xml:space="preserve">-1 </w:t>
      </w:r>
      <w:r w:rsidRPr="007173E6">
        <w:rPr>
          <w:rFonts w:ascii="Arial" w:hAnsi="Arial" w:cs="Arial"/>
          <w:sz w:val="20"/>
          <w:szCs w:val="20"/>
        </w:rPr>
        <w:t xml:space="preserve">for bacteria and  </w:t>
      </w:r>
      <w:r w:rsidR="00F37979" w:rsidRPr="007173E6">
        <w:rPr>
          <w:rFonts w:ascii="Arial" w:hAnsi="Arial" w:cs="Arial"/>
          <w:sz w:val="20"/>
          <w:szCs w:val="20"/>
        </w:rPr>
        <w:t>5</w:t>
      </w:r>
      <w:r w:rsidRPr="007173E6">
        <w:rPr>
          <w:rFonts w:ascii="Arial" w:hAnsi="Arial" w:cs="Arial"/>
          <w:sz w:val="20"/>
          <w:szCs w:val="20"/>
        </w:rPr>
        <w:t xml:space="preserve"> disks of 8 mm of the mycelium of fungi) were </w:t>
      </w:r>
      <w:r w:rsidR="00F37979" w:rsidRPr="007173E6">
        <w:rPr>
          <w:rFonts w:ascii="Arial" w:hAnsi="Arial" w:cs="Arial"/>
          <w:sz w:val="20"/>
          <w:szCs w:val="20"/>
        </w:rPr>
        <w:t>cultured in</w:t>
      </w:r>
      <w:r w:rsidRPr="007173E6">
        <w:rPr>
          <w:rFonts w:ascii="Arial" w:hAnsi="Arial" w:cs="Arial"/>
          <w:sz w:val="20"/>
          <w:szCs w:val="20"/>
        </w:rPr>
        <w:t xml:space="preserve"> </w:t>
      </w:r>
      <w:r w:rsidR="00F37979" w:rsidRPr="007173E6">
        <w:rPr>
          <w:rFonts w:ascii="Arial" w:hAnsi="Arial" w:cs="Arial"/>
          <w:sz w:val="20"/>
          <w:szCs w:val="20"/>
        </w:rPr>
        <w:t>p</w:t>
      </w:r>
      <w:r w:rsidR="009349FA" w:rsidRPr="007173E6">
        <w:rPr>
          <w:rFonts w:ascii="Arial" w:hAnsi="Arial" w:cs="Arial"/>
          <w:sz w:val="20"/>
          <w:szCs w:val="20"/>
        </w:rPr>
        <w:t>ikovskaya</w:t>
      </w:r>
      <w:r w:rsidRPr="007173E6">
        <w:rPr>
          <w:rFonts w:ascii="Arial" w:hAnsi="Arial" w:cs="Arial"/>
          <w:sz w:val="20"/>
          <w:szCs w:val="20"/>
        </w:rPr>
        <w:t xml:space="preserve"> medium as indicated by </w:t>
      </w:r>
      <w:r w:rsidRPr="007173E6">
        <w:rPr>
          <w:rFonts w:ascii="Arial" w:hAnsi="Arial" w:cs="Arial"/>
          <w:sz w:val="20"/>
          <w:szCs w:val="20"/>
        </w:rPr>
        <w:fldChar w:fldCharType="begin" w:fldLock="1"/>
      </w:r>
      <w:r w:rsidR="003E57A6" w:rsidRPr="007173E6">
        <w:rPr>
          <w:rFonts w:ascii="Arial" w:hAnsi="Arial" w:cs="Arial"/>
          <w:sz w:val="20"/>
          <w:szCs w:val="20"/>
        </w:rPr>
        <w:instrText>ADDIN CSL_CITATION {"citationItems":[{"id":"ITEM-1","itemData":{"author":[{"dropping-particle":"","family":"Karpagam","given":"T","non-dropping-particle":"","parse-names":false,"suffix":""},{"dropping-particle":"","family":"Nagalakshmi","given":"P K","non-dropping-particle":"","parse-names":false,"suffix":""}],"id":"ITEM-1","issue":"3","issued":{"date-parts":[["2014"]]},"page":"601-614","title":"Original Research Article Isolation and characterization of Phosphate Solubilizing Microbes from Agricultural soil","type":"article-journal","volume":"3"},"uris":["http://www.mendeley.com/documents/?uuid=680c7c01-6c16-491a-9c9a-91cd4111df83"]}],"mendeley":{"formattedCitation":"(Karpagam &amp; Nagalakshmi, 2014)","manualFormatting":"Karpagam &amp; Nagalakshmi, (2014)","plainTextFormattedCitation":"(Karpagam &amp; Nagalakshmi, 2014)","previouslyFormattedCitation":"(Karpagam &amp; Nagalakshmi, 2014)"},"properties":{"noteIndex":0},"schema":"https://github.com/citation-style-language/schema/raw/master/csl-citation.json"}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Karpagam &amp; Nagalakshmi, (2014)</w:t>
      </w:r>
      <w:r w:rsidRPr="007173E6">
        <w:rPr>
          <w:rFonts w:ascii="Arial" w:hAnsi="Arial" w:cs="Arial"/>
          <w:sz w:val="20"/>
          <w:szCs w:val="20"/>
        </w:rPr>
        <w:fldChar w:fldCharType="end"/>
      </w:r>
      <w:r w:rsidRPr="007173E6">
        <w:rPr>
          <w:rFonts w:ascii="Arial" w:hAnsi="Arial" w:cs="Arial"/>
          <w:sz w:val="20"/>
          <w:szCs w:val="20"/>
        </w:rPr>
        <w:t xml:space="preserve"> with the pH adjusted to 6.6 to test their ability to solubilize tri-calcium phosphate</w:t>
      </w:r>
      <w:r w:rsidR="007234F2" w:rsidRPr="007173E6">
        <w:rPr>
          <w:rFonts w:ascii="Arial" w:hAnsi="Arial" w:cs="Arial"/>
          <w:sz w:val="20"/>
          <w:szCs w:val="20"/>
        </w:rPr>
        <w:t xml:space="preserve"> or aluminum phosphate</w:t>
      </w:r>
      <w:r w:rsidRPr="007173E6">
        <w:rPr>
          <w:rFonts w:ascii="Arial" w:hAnsi="Arial" w:cs="Arial"/>
          <w:sz w:val="20"/>
          <w:szCs w:val="20"/>
        </w:rPr>
        <w:t xml:space="preserve">. </w:t>
      </w:r>
      <w:r w:rsidR="007234F2" w:rsidRPr="007173E6">
        <w:rPr>
          <w:rFonts w:ascii="Arial" w:hAnsi="Arial" w:cs="Arial"/>
          <w:sz w:val="20"/>
          <w:szCs w:val="20"/>
        </w:rPr>
        <w:t>AlPO</w:t>
      </w:r>
      <w:r w:rsidR="007234F2" w:rsidRPr="007173E6">
        <w:rPr>
          <w:rFonts w:ascii="Arial" w:hAnsi="Arial" w:cs="Arial"/>
          <w:sz w:val="20"/>
          <w:szCs w:val="20"/>
          <w:vertAlign w:val="subscript"/>
        </w:rPr>
        <w:t xml:space="preserve">4 </w:t>
      </w:r>
      <w:r w:rsidR="007234F2" w:rsidRPr="007173E6">
        <w:rPr>
          <w:rFonts w:ascii="Arial" w:hAnsi="Arial" w:cs="Arial"/>
          <w:sz w:val="20"/>
          <w:szCs w:val="20"/>
        </w:rPr>
        <w:t>and</w:t>
      </w:r>
      <w:r w:rsidR="007234F2" w:rsidRPr="007173E6">
        <w:rPr>
          <w:rFonts w:ascii="Arial" w:hAnsi="Arial" w:cs="Arial"/>
          <w:sz w:val="20"/>
          <w:szCs w:val="20"/>
          <w:vertAlign w:val="subscript"/>
        </w:rPr>
        <w:t xml:space="preserve"> </w:t>
      </w:r>
      <w:r w:rsidR="007234F2" w:rsidRPr="007173E6">
        <w:rPr>
          <w:rFonts w:ascii="Arial" w:hAnsi="Arial" w:cs="Arial"/>
          <w:sz w:val="20"/>
          <w:szCs w:val="20"/>
        </w:rPr>
        <w:t>Ca</w:t>
      </w:r>
      <w:r w:rsidR="007234F2" w:rsidRPr="007173E6">
        <w:rPr>
          <w:rFonts w:ascii="Arial" w:hAnsi="Arial" w:cs="Arial"/>
          <w:sz w:val="20"/>
          <w:szCs w:val="20"/>
          <w:vertAlign w:val="subscript"/>
        </w:rPr>
        <w:t>3</w:t>
      </w:r>
      <w:r w:rsidR="007234F2" w:rsidRPr="007173E6">
        <w:rPr>
          <w:rFonts w:ascii="Arial" w:hAnsi="Arial" w:cs="Arial"/>
          <w:sz w:val="20"/>
          <w:szCs w:val="20"/>
        </w:rPr>
        <w:t>(PO</w:t>
      </w:r>
      <w:r w:rsidR="007234F2" w:rsidRPr="007173E6">
        <w:rPr>
          <w:rFonts w:ascii="Arial" w:hAnsi="Arial" w:cs="Arial"/>
          <w:sz w:val="20"/>
          <w:szCs w:val="20"/>
          <w:vertAlign w:val="subscript"/>
        </w:rPr>
        <w:t>4</w:t>
      </w:r>
      <w:r w:rsidR="007234F2" w:rsidRPr="007173E6">
        <w:rPr>
          <w:rFonts w:ascii="Arial" w:hAnsi="Arial" w:cs="Arial"/>
          <w:sz w:val="20"/>
          <w:szCs w:val="20"/>
        </w:rPr>
        <w:t>)</w:t>
      </w:r>
      <w:r w:rsidR="007234F2" w:rsidRPr="007173E6">
        <w:rPr>
          <w:rFonts w:ascii="Arial" w:hAnsi="Arial" w:cs="Arial"/>
          <w:sz w:val="20"/>
          <w:szCs w:val="20"/>
          <w:vertAlign w:val="subscript"/>
        </w:rPr>
        <w:t>2</w:t>
      </w:r>
      <w:r w:rsidR="007234F2" w:rsidRPr="007173E6">
        <w:rPr>
          <w:rFonts w:ascii="Arial" w:hAnsi="Arial" w:cs="Arial"/>
          <w:sz w:val="20"/>
          <w:szCs w:val="20"/>
        </w:rPr>
        <w:t xml:space="preserve"> </w:t>
      </w:r>
      <w:r w:rsidRPr="007173E6">
        <w:rPr>
          <w:rFonts w:ascii="Arial" w:hAnsi="Arial" w:cs="Arial"/>
          <w:sz w:val="20"/>
          <w:szCs w:val="20"/>
        </w:rPr>
        <w:t>act</w:t>
      </w:r>
      <w:r w:rsidR="00F37979" w:rsidRPr="007173E6">
        <w:rPr>
          <w:rFonts w:ascii="Arial" w:hAnsi="Arial" w:cs="Arial"/>
          <w:sz w:val="20"/>
          <w:szCs w:val="20"/>
        </w:rPr>
        <w:t>ed</w:t>
      </w:r>
      <w:r w:rsidRPr="007173E6">
        <w:rPr>
          <w:rFonts w:ascii="Arial" w:hAnsi="Arial" w:cs="Arial"/>
          <w:sz w:val="20"/>
          <w:szCs w:val="20"/>
        </w:rPr>
        <w:t xml:space="preserve"> as sole source of P in the culture medium by</w:t>
      </w:r>
      <w:r w:rsidR="00F37979" w:rsidRPr="007173E6">
        <w:rPr>
          <w:rFonts w:ascii="Arial" w:hAnsi="Arial" w:cs="Arial"/>
          <w:sz w:val="20"/>
          <w:szCs w:val="20"/>
        </w:rPr>
        <w:t xml:space="preserve"> incubating </w:t>
      </w:r>
      <w:r w:rsidRPr="007173E6">
        <w:rPr>
          <w:rFonts w:ascii="Arial" w:hAnsi="Arial" w:cs="Arial"/>
          <w:sz w:val="20"/>
          <w:szCs w:val="20"/>
        </w:rPr>
        <w:t xml:space="preserve">at 28 </w:t>
      </w:r>
      <w:r w:rsidRPr="007173E6">
        <w:rPr>
          <w:rFonts w:ascii="Arial" w:hAnsi="Arial" w:cs="Arial"/>
          <w:sz w:val="20"/>
          <w:szCs w:val="20"/>
          <w:vertAlign w:val="superscript"/>
        </w:rPr>
        <w:t>0</w:t>
      </w:r>
      <w:r w:rsidRPr="007173E6">
        <w:rPr>
          <w:rFonts w:ascii="Arial" w:hAnsi="Arial" w:cs="Arial"/>
          <w:sz w:val="20"/>
          <w:szCs w:val="20"/>
        </w:rPr>
        <w:t xml:space="preserve">C for </w:t>
      </w:r>
      <w:r w:rsidR="00F37979" w:rsidRPr="007173E6">
        <w:rPr>
          <w:rFonts w:ascii="Arial" w:hAnsi="Arial" w:cs="Arial"/>
          <w:sz w:val="20"/>
          <w:szCs w:val="20"/>
        </w:rPr>
        <w:t>6</w:t>
      </w:r>
      <w:r w:rsidRPr="007173E6">
        <w:rPr>
          <w:rFonts w:ascii="Arial" w:hAnsi="Arial" w:cs="Arial"/>
          <w:sz w:val="20"/>
          <w:szCs w:val="20"/>
        </w:rPr>
        <w:t xml:space="preserve"> days.  Turbidity of the media was a growth indicator.</w:t>
      </w:r>
    </w:p>
    <w:p w14:paraId="547C384B" w14:textId="77777777" w:rsidR="00082E25" w:rsidRPr="007173E6" w:rsidRDefault="007173E6" w:rsidP="005B6FFA">
      <w:pPr>
        <w:pStyle w:val="Heading3"/>
        <w:numPr>
          <w:ilvl w:val="2"/>
          <w:numId w:val="38"/>
        </w:numPr>
        <w:spacing w:line="480" w:lineRule="auto"/>
        <w:rPr>
          <w:rFonts w:ascii="Arial" w:hAnsi="Arial" w:cs="Arial"/>
          <w:b/>
          <w:color w:val="auto"/>
          <w:sz w:val="22"/>
          <w:szCs w:val="22"/>
        </w:rPr>
      </w:pPr>
      <w:r w:rsidRPr="007173E6">
        <w:rPr>
          <w:rFonts w:ascii="Arial" w:hAnsi="Arial" w:cs="Arial"/>
          <w:b/>
          <w:color w:val="auto"/>
          <w:sz w:val="22"/>
          <w:szCs w:val="22"/>
        </w:rPr>
        <w:t>IN-VITRO PHOSPHATE SOLUBILISATION ANALYSIS</w:t>
      </w:r>
    </w:p>
    <w:p w14:paraId="3C887348" w14:textId="77777777" w:rsidR="00082E25" w:rsidRPr="007173E6" w:rsidRDefault="00082E25" w:rsidP="005B6FFA">
      <w:pPr>
        <w:spacing w:line="480" w:lineRule="auto"/>
        <w:rPr>
          <w:rFonts w:ascii="Arial" w:hAnsi="Arial" w:cs="Arial"/>
          <w:sz w:val="20"/>
          <w:szCs w:val="20"/>
        </w:rPr>
      </w:pPr>
      <w:r w:rsidRPr="007173E6">
        <w:rPr>
          <w:rFonts w:ascii="Arial" w:hAnsi="Arial" w:cs="Arial"/>
          <w:sz w:val="20"/>
          <w:szCs w:val="20"/>
        </w:rPr>
        <w:t xml:space="preserve">Isolates were tested for </w:t>
      </w:r>
      <w:r w:rsidR="002F51C3" w:rsidRPr="007173E6">
        <w:rPr>
          <w:rFonts w:ascii="Arial" w:hAnsi="Arial" w:cs="Arial"/>
          <w:sz w:val="20"/>
          <w:szCs w:val="20"/>
        </w:rPr>
        <w:t>solubilisation</w:t>
      </w:r>
      <w:r w:rsidRPr="007173E6">
        <w:rPr>
          <w:rFonts w:ascii="Arial" w:hAnsi="Arial" w:cs="Arial"/>
          <w:sz w:val="20"/>
          <w:szCs w:val="20"/>
        </w:rPr>
        <w:t xml:space="preserve"> of g</w:t>
      </w:r>
      <w:r w:rsidR="00DA5C6B" w:rsidRPr="007173E6">
        <w:rPr>
          <w:rFonts w:ascii="Arial" w:hAnsi="Arial" w:cs="Arial"/>
          <w:sz w:val="20"/>
          <w:szCs w:val="20"/>
        </w:rPr>
        <w:t>rounded rock phosphate from phalombe and pure field soils from areas with low P values based on guidance from Chitedze agricultural research station as documented by</w:t>
      </w:r>
      <w:r w:rsidRPr="007173E6">
        <w:rPr>
          <w:rFonts w:ascii="Arial" w:hAnsi="Arial" w:cs="Arial"/>
          <w:sz w:val="20"/>
          <w:szCs w:val="20"/>
        </w:rPr>
        <w:t xml:space="preserve"> </w:t>
      </w:r>
      <w:r w:rsidR="00C078E0" w:rsidRPr="007173E6">
        <w:rPr>
          <w:rFonts w:ascii="Arial" w:hAnsi="Arial" w:cs="Arial"/>
          <w:sz w:val="20"/>
          <w:szCs w:val="20"/>
        </w:rPr>
        <w:fldChar w:fldCharType="begin" w:fldLock="1"/>
      </w:r>
      <w:r w:rsidR="007949F2" w:rsidRPr="007173E6">
        <w:rPr>
          <w:rFonts w:ascii="Arial" w:hAnsi="Arial" w:cs="Arial"/>
          <w:sz w:val="20"/>
          <w:szCs w:val="20"/>
        </w:rPr>
        <w:instrText>ADDIN CSL_CITATION {"citationItems":[{"id":"ITEM-1","itemData":{"author":[{"dropping-particle":"","family":"</w:instrText>
      </w:r>
      <w:r w:rsidR="007949F2" w:rsidRPr="007173E6">
        <w:rPr>
          <w:rFonts w:ascii="Arial" w:eastAsia="MS Gothic" w:hAnsi="Arial" w:cs="Arial"/>
          <w:sz w:val="20"/>
          <w:szCs w:val="20"/>
        </w:rPr>
        <w:instrText>阿部</w:instrText>
      </w:r>
      <w:r w:rsidR="007949F2" w:rsidRPr="007173E6">
        <w:rPr>
          <w:rFonts w:ascii="Arial" w:hAnsi="Arial" w:cs="Arial"/>
          <w:sz w:val="20"/>
          <w:szCs w:val="20"/>
        </w:rPr>
        <w:instrText>","given":"</w:instrText>
      </w:r>
      <w:r w:rsidR="007949F2" w:rsidRPr="007173E6">
        <w:rPr>
          <w:rFonts w:ascii="Arial" w:eastAsia="MS Gothic" w:hAnsi="Arial" w:cs="Arial"/>
          <w:sz w:val="20"/>
          <w:szCs w:val="20"/>
        </w:rPr>
        <w:instrText>貴晃</w:instrText>
      </w:r>
      <w:r w:rsidR="007949F2" w:rsidRPr="007173E6">
        <w:rPr>
          <w:rFonts w:ascii="Arial" w:hAnsi="Arial" w:cs="Arial"/>
          <w:sz w:val="20"/>
          <w:szCs w:val="20"/>
        </w:rPr>
        <w:instrText>","non-dropping-particle":"","parse-names":false,"suffix":""},{"dropping-particle":"","family":"</w:instrText>
      </w:r>
      <w:r w:rsidR="007949F2" w:rsidRPr="007173E6">
        <w:rPr>
          <w:rFonts w:ascii="Arial" w:eastAsia="MS Gothic" w:hAnsi="Arial" w:cs="Arial"/>
          <w:sz w:val="20"/>
          <w:szCs w:val="20"/>
        </w:rPr>
        <w:instrText>北川</w:instrText>
      </w:r>
      <w:r w:rsidR="007949F2" w:rsidRPr="007173E6">
        <w:rPr>
          <w:rFonts w:ascii="Arial" w:hAnsi="Arial" w:cs="Arial"/>
          <w:sz w:val="20"/>
          <w:szCs w:val="20"/>
        </w:rPr>
        <w:instrText>","given":"</w:instrText>
      </w:r>
      <w:r w:rsidR="007949F2" w:rsidRPr="007173E6">
        <w:rPr>
          <w:rFonts w:ascii="Arial" w:eastAsia="MS Gothic" w:hAnsi="Arial" w:cs="Arial"/>
          <w:sz w:val="20"/>
          <w:szCs w:val="20"/>
        </w:rPr>
        <w:instrText>貴士</w:instrText>
      </w:r>
      <w:r w:rsidR="007949F2" w:rsidRPr="007173E6">
        <w:rPr>
          <w:rFonts w:ascii="Arial" w:hAnsi="Arial" w:cs="Arial"/>
          <w:sz w:val="20"/>
          <w:szCs w:val="20"/>
        </w:rPr>
        <w:instrText>","non-dropping-particle":"","parse-names":false,"suffix":""},{"dropping-particle":"","family":"</w:instrText>
      </w:r>
      <w:r w:rsidR="007949F2" w:rsidRPr="007173E6">
        <w:rPr>
          <w:rFonts w:ascii="Arial" w:eastAsia="MS Gothic" w:hAnsi="Arial" w:cs="Arial"/>
          <w:sz w:val="20"/>
          <w:szCs w:val="20"/>
        </w:rPr>
        <w:instrText>佐藤</w:instrText>
      </w:r>
      <w:r w:rsidR="007949F2" w:rsidRPr="007173E6">
        <w:rPr>
          <w:rFonts w:ascii="Arial" w:hAnsi="Arial" w:cs="Arial"/>
          <w:sz w:val="20"/>
          <w:szCs w:val="20"/>
        </w:rPr>
        <w:instrText>","given":"</w:instrText>
      </w:r>
      <w:r w:rsidR="007949F2" w:rsidRPr="007173E6">
        <w:rPr>
          <w:rFonts w:ascii="Arial" w:eastAsia="MS Gothic" w:hAnsi="Arial" w:cs="Arial"/>
          <w:sz w:val="20"/>
          <w:szCs w:val="20"/>
        </w:rPr>
        <w:instrText>克文</w:instrText>
      </w:r>
      <w:r w:rsidR="007949F2" w:rsidRPr="007173E6">
        <w:rPr>
          <w:rFonts w:ascii="Arial" w:hAnsi="Arial" w:cs="Arial"/>
          <w:sz w:val="20"/>
          <w:szCs w:val="20"/>
        </w:rPr>
        <w:instrText>","non-dropping-particle":"","parse-names":false,"suffix":""}],"id":"ITEM-1","issued":{"date-parts":[["2018"]]},"title":"</w:instrText>
      </w:r>
      <w:r w:rsidR="007949F2" w:rsidRPr="007173E6">
        <w:rPr>
          <w:rFonts w:ascii="Arial" w:eastAsia="MS Gothic" w:hAnsi="Arial" w:cs="Arial"/>
          <w:sz w:val="20"/>
          <w:szCs w:val="20"/>
        </w:rPr>
        <w:instrText>温度補償が関係する</w:instrText>
      </w:r>
      <w:r w:rsidR="007949F2" w:rsidRPr="007173E6">
        <w:rPr>
          <w:rFonts w:ascii="Arial" w:hAnsi="Arial" w:cs="Arial"/>
          <w:sz w:val="20"/>
          <w:szCs w:val="20"/>
        </w:rPr>
        <w:instrText>@</w:instrText>
      </w:r>
      <w:r w:rsidR="007949F2" w:rsidRPr="007173E6">
        <w:rPr>
          <w:rFonts w:ascii="Arial" w:eastAsia="MS Gothic" w:hAnsi="Arial" w:cs="Arial"/>
          <w:sz w:val="20"/>
          <w:szCs w:val="20"/>
        </w:rPr>
        <w:instrText>仙台</w:instrText>
      </w:r>
      <w:r w:rsidR="007949F2" w:rsidRPr="007173E6">
        <w:rPr>
          <w:rFonts w:ascii="Arial" w:hAnsi="Arial" w:cs="Arial"/>
          <w:sz w:val="20"/>
          <w:szCs w:val="20"/>
        </w:rPr>
        <w:instrText>No Title","type":"article-journal"},"uris":["http://www.mendeley.com/documents/?uuid=12082d67-c0b3-497e-9287-4c9c30306231"]}],"mendeley":{"formattedCitation":"(</w:instrText>
      </w:r>
      <w:r w:rsidR="007949F2" w:rsidRPr="007173E6">
        <w:rPr>
          <w:rFonts w:ascii="Arial" w:eastAsia="MS Gothic" w:hAnsi="Arial" w:cs="Arial"/>
          <w:sz w:val="20"/>
          <w:szCs w:val="20"/>
        </w:rPr>
        <w:instrText>阿部</w:instrText>
      </w:r>
      <w:r w:rsidR="007949F2" w:rsidRPr="007173E6">
        <w:rPr>
          <w:rFonts w:ascii="Arial" w:hAnsi="Arial" w:cs="Arial"/>
          <w:sz w:val="20"/>
          <w:szCs w:val="20"/>
        </w:rPr>
        <w:instrText xml:space="preserve"> et al., 2018)","manualFormatting":"Mwafulirwa (2018)","plainTextFormattedCitation":"(</w:instrText>
      </w:r>
      <w:r w:rsidR="007949F2" w:rsidRPr="007173E6">
        <w:rPr>
          <w:rFonts w:ascii="Arial" w:eastAsia="MS Gothic" w:hAnsi="Arial" w:cs="Arial"/>
          <w:sz w:val="20"/>
          <w:szCs w:val="20"/>
        </w:rPr>
        <w:instrText>阿部</w:instrText>
      </w:r>
      <w:r w:rsidR="007949F2" w:rsidRPr="007173E6">
        <w:rPr>
          <w:rFonts w:ascii="Arial" w:hAnsi="Arial" w:cs="Arial"/>
          <w:sz w:val="20"/>
          <w:szCs w:val="20"/>
        </w:rPr>
        <w:instrText xml:space="preserve"> et al., 2018)","previouslyFormattedCitation":"(</w:instrText>
      </w:r>
      <w:r w:rsidR="007949F2" w:rsidRPr="007173E6">
        <w:rPr>
          <w:rFonts w:ascii="Arial" w:eastAsia="MS Gothic" w:hAnsi="Arial" w:cs="Arial"/>
          <w:sz w:val="20"/>
          <w:szCs w:val="20"/>
        </w:rPr>
        <w:instrText>阿部</w:instrText>
      </w:r>
      <w:r w:rsidR="007949F2" w:rsidRPr="007173E6">
        <w:rPr>
          <w:rFonts w:ascii="Arial" w:hAnsi="Arial" w:cs="Arial"/>
          <w:sz w:val="20"/>
          <w:szCs w:val="20"/>
        </w:rPr>
        <w:instrText xml:space="preserve"> et al., 2018)"},"properties":{"noteIndex":0},"schema":"https://github.com/citation-style-language/schema/raw/master/csl-citation.json"}</w:instrText>
      </w:r>
      <w:r w:rsidR="00C078E0" w:rsidRPr="007173E6">
        <w:rPr>
          <w:rFonts w:ascii="Arial" w:hAnsi="Arial" w:cs="Arial"/>
          <w:sz w:val="20"/>
          <w:szCs w:val="20"/>
        </w:rPr>
        <w:fldChar w:fldCharType="separate"/>
      </w:r>
      <w:r w:rsidR="00C078E0" w:rsidRPr="007173E6">
        <w:rPr>
          <w:rFonts w:ascii="Arial" w:eastAsia="MS Gothic" w:hAnsi="Arial" w:cs="Arial"/>
          <w:noProof/>
          <w:sz w:val="20"/>
          <w:szCs w:val="20"/>
        </w:rPr>
        <w:t>Mwafulirwa</w:t>
      </w:r>
      <w:r w:rsidR="00C078E0" w:rsidRPr="007173E6">
        <w:rPr>
          <w:rFonts w:ascii="Arial" w:hAnsi="Arial" w:cs="Arial"/>
          <w:noProof/>
          <w:sz w:val="20"/>
          <w:szCs w:val="20"/>
        </w:rPr>
        <w:t xml:space="preserve"> </w:t>
      </w:r>
      <w:r w:rsidR="00DA5C6B" w:rsidRPr="007173E6">
        <w:rPr>
          <w:rFonts w:ascii="Arial" w:hAnsi="Arial" w:cs="Arial"/>
          <w:noProof/>
          <w:sz w:val="20"/>
          <w:szCs w:val="20"/>
        </w:rPr>
        <w:t>(</w:t>
      </w:r>
      <w:r w:rsidR="00C078E0" w:rsidRPr="007173E6">
        <w:rPr>
          <w:rFonts w:ascii="Arial" w:hAnsi="Arial" w:cs="Arial"/>
          <w:noProof/>
          <w:sz w:val="20"/>
          <w:szCs w:val="20"/>
        </w:rPr>
        <w:t>2018)</w:t>
      </w:r>
      <w:r w:rsidR="00C078E0" w:rsidRPr="007173E6">
        <w:rPr>
          <w:rFonts w:ascii="Arial" w:hAnsi="Arial" w:cs="Arial"/>
          <w:sz w:val="20"/>
          <w:szCs w:val="20"/>
        </w:rPr>
        <w:fldChar w:fldCharType="end"/>
      </w:r>
      <w:r w:rsidR="00DA5C6B" w:rsidRPr="007173E6">
        <w:rPr>
          <w:rFonts w:ascii="Arial" w:hAnsi="Arial" w:cs="Arial"/>
          <w:sz w:val="20"/>
          <w:szCs w:val="20"/>
        </w:rPr>
        <w:t xml:space="preserve"> with slight modification of not autoclaving the rock phosphate and the soil.</w:t>
      </w:r>
    </w:p>
    <w:p w14:paraId="59BB696C" w14:textId="77777777" w:rsidR="001A1F8C" w:rsidRPr="00AD0082" w:rsidRDefault="00AD0082" w:rsidP="005B6FFA">
      <w:pPr>
        <w:pStyle w:val="Heading2"/>
        <w:numPr>
          <w:ilvl w:val="1"/>
          <w:numId w:val="38"/>
        </w:numPr>
        <w:spacing w:line="480" w:lineRule="auto"/>
        <w:rPr>
          <w:rFonts w:ascii="Arial" w:hAnsi="Arial" w:cs="Arial"/>
          <w:b/>
          <w:color w:val="auto"/>
          <w:sz w:val="22"/>
          <w:szCs w:val="22"/>
        </w:rPr>
      </w:pPr>
      <w:r w:rsidRPr="00AD0082">
        <w:rPr>
          <w:rFonts w:ascii="Arial" w:hAnsi="Arial" w:cs="Arial"/>
          <w:b/>
          <w:color w:val="auto"/>
          <w:sz w:val="22"/>
          <w:szCs w:val="22"/>
        </w:rPr>
        <w:t>DETERMINATION OF PLANT GROWTH PROMOTING TRAITS</w:t>
      </w:r>
    </w:p>
    <w:p w14:paraId="05C82D07" w14:textId="77777777" w:rsidR="001A1F8C" w:rsidRPr="007173E6" w:rsidRDefault="001A1F8C" w:rsidP="005B6FFA">
      <w:pPr>
        <w:spacing w:line="480" w:lineRule="auto"/>
        <w:rPr>
          <w:rFonts w:ascii="Arial" w:hAnsi="Arial" w:cs="Arial"/>
          <w:b/>
          <w:sz w:val="20"/>
          <w:szCs w:val="20"/>
        </w:rPr>
      </w:pPr>
      <w:r w:rsidRPr="007173E6">
        <w:rPr>
          <w:rFonts w:ascii="Arial" w:hAnsi="Arial" w:cs="Arial"/>
          <w:sz w:val="20"/>
          <w:szCs w:val="20"/>
        </w:rPr>
        <w:t xml:space="preserve">The determination of Plant growth promoting traits (PGPT) was done  for several traits like solubilisation of </w:t>
      </w:r>
      <w:r w:rsidR="008F7B14" w:rsidRPr="007173E6">
        <w:rPr>
          <w:rFonts w:ascii="Arial" w:hAnsi="Arial" w:cs="Arial"/>
          <w:sz w:val="20"/>
          <w:szCs w:val="20"/>
        </w:rPr>
        <w:t>zinc</w:t>
      </w:r>
      <w:r w:rsidRPr="007173E6">
        <w:rPr>
          <w:rFonts w:ascii="Arial" w:hAnsi="Arial" w:cs="Arial"/>
          <w:sz w:val="20"/>
          <w:szCs w:val="20"/>
        </w:rPr>
        <w:t>, production of ammonia, solubilisation potassium, IAA, hydrogen cyanide, siderophores</w:t>
      </w:r>
      <w:r w:rsidR="005C020D" w:rsidRPr="007173E6">
        <w:rPr>
          <w:rFonts w:ascii="Arial" w:hAnsi="Arial" w:cs="Arial"/>
          <w:sz w:val="20"/>
          <w:szCs w:val="20"/>
        </w:rPr>
        <w:t xml:space="preserve"> production,  nitrogen-fixing ability, catalase </w:t>
      </w:r>
      <w:r w:rsidRPr="007173E6">
        <w:rPr>
          <w:rFonts w:ascii="Arial" w:hAnsi="Arial" w:cs="Arial"/>
          <w:sz w:val="20"/>
          <w:szCs w:val="20"/>
        </w:rPr>
        <w:t xml:space="preserve">etc.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author":[{"dropping-particle":"","family":"Mwafulirwa","given":"Samuel","non-dropping-particle":"","parse-names":false,"suffix":""},{"dropping-particle":"","family":"Obiero","given":"George","non-dropping-particle":"","parse-names":false,"suffix":""},{"dropping-particle":"","family":"Mpeketula","given":"Placid","non-dropping-particle":"","parse-names":false,"suffix":""},{"dropping-particle":"","family":"Aboge","given":"Gabriel","non-dropping-particle":"","parse-names":false,"suffix":""}],"id":"ITEM-1","issue":"12","issued":{"date-parts":[["2017"]]},"page":"1-9","title":"Isolation of indigenous glyphosate degrading microbes from selected agro ecological zones of Malawi","type":"article-journal","volume":"6"},"uris":["http://www.mendeley.com/documents/?uuid=6edd0b18-49ff-425d-90c1-1cae52a9886b"]}],"mendeley":{"formattedCitation":"(Mwafulirwa et al., 2017)","plainTextFormattedCitation":"(Mwafulirwa et al., 2017)","previouslyFormattedCitation":"(Mwafulirwa et al., 2017)"},"properties":{"noteIndex":0},"schema":"https://github.com/citation-style-language/schema/raw/master/csl-citation.json"}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bCs/>
          <w:noProof/>
          <w:sz w:val="20"/>
          <w:szCs w:val="20"/>
        </w:rPr>
        <w:t>(Mwafulirwa et al., 2017)</w:t>
      </w:r>
      <w:r w:rsidRPr="007173E6">
        <w:rPr>
          <w:rStyle w:val="FootnoteReference"/>
          <w:rFonts w:ascii="Arial" w:hAnsi="Arial" w:cs="Arial"/>
          <w:sz w:val="20"/>
          <w:szCs w:val="20"/>
        </w:rPr>
        <w:fldChar w:fldCharType="end"/>
      </w:r>
    </w:p>
    <w:p w14:paraId="6B742262" w14:textId="77777777" w:rsidR="001A1F8C" w:rsidRPr="00AD0082" w:rsidRDefault="00AD0082" w:rsidP="005B6FFA">
      <w:pPr>
        <w:pStyle w:val="Heading3"/>
        <w:numPr>
          <w:ilvl w:val="2"/>
          <w:numId w:val="38"/>
        </w:numPr>
        <w:spacing w:line="480" w:lineRule="auto"/>
        <w:rPr>
          <w:rFonts w:ascii="Arial" w:hAnsi="Arial" w:cs="Arial"/>
          <w:b/>
          <w:i/>
          <w:color w:val="auto"/>
          <w:sz w:val="22"/>
          <w:szCs w:val="22"/>
        </w:rPr>
      </w:pPr>
      <w:r w:rsidRPr="00AD0082">
        <w:rPr>
          <w:rFonts w:ascii="Arial" w:hAnsi="Arial" w:cs="Arial"/>
          <w:b/>
          <w:color w:val="auto"/>
          <w:sz w:val="22"/>
          <w:szCs w:val="22"/>
        </w:rPr>
        <w:lastRenderedPageBreak/>
        <w:t>ASSESSMENT OF AMMONIA PRODUCTION BY ISOLATES</w:t>
      </w:r>
    </w:p>
    <w:p w14:paraId="6157F652" w14:textId="77777777" w:rsidR="001A1F8C" w:rsidRPr="007173E6" w:rsidRDefault="001A1F8C" w:rsidP="005B6FFA">
      <w:pPr>
        <w:pStyle w:val="NormalWeb"/>
        <w:spacing w:line="480" w:lineRule="auto"/>
        <w:rPr>
          <w:rFonts w:ascii="Arial" w:hAnsi="Arial" w:cs="Arial"/>
          <w:sz w:val="20"/>
          <w:szCs w:val="20"/>
        </w:rPr>
      </w:pPr>
      <w:r w:rsidRPr="007173E6">
        <w:rPr>
          <w:rFonts w:ascii="Arial" w:hAnsi="Arial" w:cs="Arial"/>
          <w:sz w:val="20"/>
          <w:szCs w:val="20"/>
        </w:rPr>
        <w:t>Ammonia production assessment was done by inoculating 1*10</w:t>
      </w:r>
      <w:r w:rsidRPr="007173E6">
        <w:rPr>
          <w:rFonts w:ascii="Arial" w:hAnsi="Arial" w:cs="Arial"/>
          <w:sz w:val="20"/>
          <w:szCs w:val="20"/>
          <w:vertAlign w:val="superscript"/>
        </w:rPr>
        <w:t xml:space="preserve">9 </w:t>
      </w:r>
      <w:r w:rsidRPr="007173E6">
        <w:rPr>
          <w:rFonts w:ascii="Arial" w:hAnsi="Arial" w:cs="Arial"/>
          <w:sz w:val="20"/>
          <w:szCs w:val="20"/>
        </w:rPr>
        <w:t>CFU of individual isolate into a 10 ml tube of peptone water on</w:t>
      </w:r>
      <w:r w:rsidRPr="007173E6">
        <w:rPr>
          <w:rStyle w:val="Heading2Char"/>
          <w:rFonts w:ascii="Arial" w:hAnsi="Arial" w:cs="Arial"/>
          <w:color w:val="auto"/>
          <w:sz w:val="20"/>
          <w:szCs w:val="20"/>
          <w:lang w:val="en"/>
        </w:rPr>
        <w:t xml:space="preserve"> </w:t>
      </w:r>
      <w:r w:rsidRPr="007173E6">
        <w:rPr>
          <w:rStyle w:val="hgkelc"/>
          <w:rFonts w:ascii="Arial" w:eastAsiaTheme="majorEastAsia" w:hAnsi="Arial" w:cs="Arial"/>
          <w:sz w:val="20"/>
          <w:szCs w:val="20"/>
          <w:lang w:val="en"/>
        </w:rPr>
        <w:t>tryptic digest of casein</w:t>
      </w:r>
      <w:r w:rsidRPr="007173E6">
        <w:rPr>
          <w:rFonts w:ascii="Arial" w:hAnsi="Arial" w:cs="Arial"/>
          <w:sz w:val="20"/>
          <w:szCs w:val="20"/>
        </w:rPr>
        <w:t xml:space="preserve"> broth incubated at 35 for 36-60 hrs. for bacteria and fungus respectively. Thereafter, addition of Nessler's reagent (0.5 ml ) to detect the presence of ammonia by development of yellow or brown colour</w:t>
      </w:r>
      <w:r w:rsidR="005C020D" w:rsidRPr="007173E6">
        <w:rPr>
          <w:rFonts w:ascii="Arial" w:hAnsi="Arial" w:cs="Arial"/>
          <w:sz w:val="20"/>
          <w:szCs w:val="20"/>
        </w:rPr>
        <w:t xml:space="preserve"> </w:t>
      </w:r>
      <w:r w:rsidR="005C020D" w:rsidRPr="007173E6">
        <w:rPr>
          <w:rFonts w:ascii="Arial" w:hAnsi="Arial" w:cs="Arial"/>
          <w:sz w:val="20"/>
          <w:szCs w:val="20"/>
        </w:rPr>
        <w:fldChar w:fldCharType="begin" w:fldLock="1"/>
      </w:r>
      <w:r w:rsidR="005C020D" w:rsidRPr="007173E6">
        <w:rPr>
          <w:rFonts w:ascii="Arial" w:hAnsi="Arial" w:cs="Arial"/>
          <w:sz w:val="20"/>
          <w:szCs w:val="20"/>
        </w:rPr>
        <w:instrText>ADDIN CSL_CITATION {"citationItems":[{"id":"ITEM-1","itemData":{"author":[{"dropping-particle":"","family":"Mwafulirwa","given":"Samuel","non-dropping-particle":"","parse-names":false,"suffix":""},{"dropping-particle":"","family":"Obiero","given":"George","non-dropping-particle":"","parse-names":false,"suffix":""},{"dropping-particle":"","family":"Mpeketula","given":"Placid","non-dropping-particle":"","parse-names":false,"suffix":""},{"dropping-particle":"","family":"Aboge","given":"Gabriel","non-dropping-particle":"","parse-names":false,"suffix":""}],"id":"ITEM-1","issue":"12","issued":{"date-parts":[["2017"]]},"page":"1-9","title":"Isolation of indigenous glyphosate degrading microbes from selected agro ecological zones of Malawi","type":"article-journal","volume":"6"},"uris":["http://www.mendeley.com/documents/?uuid=6edd0b18-49ff-425d-90c1-1cae52a9886b"]},{"id":"ITEM-2","itemData":{"DOI":"10.9734/APRJ/2023/v11i3213","author":[{"dropping-particle":"","family":"Mwafulirwa","given":"Samuel","non-dropping-particle":"","parse-names":false,"suffix":""}],"id":"ITEM-2","issue":"3","issued":{"date-parts":[["2023"]]},"page":"29-40","title":"Isolation Characterization and Diversity of Indigenous Pesticide Degrading Microbes from Selected Agro Ecological Zones of Malawi","type":"article-journal","volume":"11"},"uris":["http://www.mendeley.com/documents/?uuid=f57c24aa-72ae-47a0-b71a-7413c34c8169"]}],"mendeley":{"formattedCitation":"(Mwafulirwa, 2023b; Mwafulirwa et al., 2017)","plainTextFormattedCitation":"(Mwafulirwa, 2023b; Mwafulirwa et al., 2017)"},"properties":{"noteIndex":0},"schema":"https://github.com/citation-style-language/schema/raw/master/csl-citation.json"}</w:instrText>
      </w:r>
      <w:r w:rsidR="005C020D" w:rsidRPr="007173E6">
        <w:rPr>
          <w:rFonts w:ascii="Arial" w:hAnsi="Arial" w:cs="Arial"/>
          <w:sz w:val="20"/>
          <w:szCs w:val="20"/>
        </w:rPr>
        <w:fldChar w:fldCharType="separate"/>
      </w:r>
      <w:r w:rsidR="005C020D" w:rsidRPr="007173E6">
        <w:rPr>
          <w:rFonts w:ascii="Arial" w:hAnsi="Arial" w:cs="Arial"/>
          <w:noProof/>
          <w:sz w:val="20"/>
          <w:szCs w:val="20"/>
        </w:rPr>
        <w:t>(Mwafulirwa, 2023b; Mwafulirwa et al., 2017)</w:t>
      </w:r>
      <w:r w:rsidR="005C020D" w:rsidRPr="007173E6">
        <w:rPr>
          <w:rFonts w:ascii="Arial" w:hAnsi="Arial" w:cs="Arial"/>
          <w:sz w:val="20"/>
          <w:szCs w:val="20"/>
        </w:rPr>
        <w:fldChar w:fldCharType="end"/>
      </w:r>
      <w:r w:rsidRPr="007173E6">
        <w:rPr>
          <w:rFonts w:ascii="Arial" w:hAnsi="Arial" w:cs="Arial"/>
          <w:sz w:val="20"/>
          <w:szCs w:val="20"/>
        </w:rPr>
        <w:t>.</w:t>
      </w:r>
    </w:p>
    <w:p w14:paraId="06919736" w14:textId="77777777" w:rsidR="001A1F8C" w:rsidRPr="009F211A" w:rsidRDefault="009F211A" w:rsidP="005B6FFA">
      <w:pPr>
        <w:pStyle w:val="Heading3"/>
        <w:numPr>
          <w:ilvl w:val="2"/>
          <w:numId w:val="38"/>
        </w:numPr>
        <w:spacing w:line="480" w:lineRule="auto"/>
        <w:rPr>
          <w:rFonts w:ascii="Arial" w:hAnsi="Arial" w:cs="Arial"/>
          <w:b/>
          <w:i/>
          <w:color w:val="auto"/>
          <w:sz w:val="22"/>
          <w:szCs w:val="22"/>
        </w:rPr>
      </w:pPr>
      <w:r w:rsidRPr="009F211A">
        <w:rPr>
          <w:rFonts w:ascii="Arial" w:hAnsi="Arial" w:cs="Arial"/>
          <w:b/>
          <w:color w:val="auto"/>
          <w:sz w:val="22"/>
          <w:szCs w:val="22"/>
        </w:rPr>
        <w:t>ASSESSMENT OF IAA PRODUCTION BY ISOLATES</w:t>
      </w:r>
    </w:p>
    <w:p w14:paraId="1A62A9EB" w14:textId="77777777" w:rsidR="001A1F8C" w:rsidRPr="007173E6" w:rsidRDefault="001A1F8C" w:rsidP="005B6FFA">
      <w:pPr>
        <w:pStyle w:val="NormalWeb"/>
        <w:spacing w:line="480" w:lineRule="auto"/>
        <w:rPr>
          <w:rFonts w:ascii="Arial" w:hAnsi="Arial" w:cs="Arial"/>
          <w:sz w:val="20"/>
          <w:szCs w:val="20"/>
        </w:rPr>
      </w:pPr>
      <w:r w:rsidRPr="007173E6">
        <w:rPr>
          <w:rFonts w:ascii="Arial" w:hAnsi="Arial" w:cs="Arial"/>
          <w:sz w:val="20"/>
          <w:szCs w:val="20"/>
        </w:rPr>
        <w:t>IAA assessment was done by inoculating 1*10</w:t>
      </w:r>
      <w:r w:rsidRPr="007173E6">
        <w:rPr>
          <w:rFonts w:ascii="Arial" w:hAnsi="Arial" w:cs="Arial"/>
          <w:sz w:val="20"/>
          <w:szCs w:val="20"/>
          <w:vertAlign w:val="superscript"/>
        </w:rPr>
        <w:t xml:space="preserve">9 </w:t>
      </w:r>
      <w:r w:rsidRPr="007173E6">
        <w:rPr>
          <w:rFonts w:ascii="Arial" w:hAnsi="Arial" w:cs="Arial"/>
          <w:sz w:val="20"/>
          <w:szCs w:val="20"/>
        </w:rPr>
        <w:t xml:space="preserve">CFU of individual isolate (in nutrient and SD broth amended with 100µg/ml tryptophan in rotating incubator at 35 °C for 48 hours at 120 rpm bacteria and fungus respectively. Thereafter the media was centrifuged and supernatant was collected.  The supernatant was inoculated with two drops of o-phosphoric acid, and four </w:t>
      </w:r>
      <w:proofErr w:type="spellStart"/>
      <w:r w:rsidRPr="007173E6">
        <w:rPr>
          <w:rFonts w:ascii="Arial" w:hAnsi="Arial" w:cs="Arial"/>
          <w:sz w:val="20"/>
          <w:szCs w:val="20"/>
        </w:rPr>
        <w:t>mls</w:t>
      </w:r>
      <w:proofErr w:type="spellEnd"/>
      <w:r w:rsidRPr="007173E6">
        <w:rPr>
          <w:rFonts w:ascii="Arial" w:hAnsi="Arial" w:cs="Arial"/>
          <w:sz w:val="20"/>
          <w:szCs w:val="20"/>
        </w:rPr>
        <w:t xml:space="preserve"> of Salkowski reagent. Appositive was confirmed by development of pink colour </w:t>
      </w:r>
      <w:r w:rsidRPr="007173E6">
        <w:rPr>
          <w:rFonts w:ascii="Arial" w:hAnsi="Arial" w:cs="Arial"/>
          <w:sz w:val="20"/>
          <w:szCs w:val="20"/>
        </w:rPr>
        <w:fldChar w:fldCharType="begin" w:fldLock="1"/>
      </w:r>
      <w:r w:rsidRPr="007173E6">
        <w:rPr>
          <w:rFonts w:ascii="Arial" w:hAnsi="Arial" w:cs="Arial"/>
          <w:sz w:val="20"/>
          <w:szCs w:val="20"/>
        </w:rPr>
        <w:instrText>ADDIN CSL_CITATION {"citationItems":[{"id":"ITEM-1","itemData":{"DOI":"10.1016/j.sjbs.2021.10.054","ISSN":"1319562X","abstract":"Drought stress adversely affects plant health and productivity. Recently, drought-resistant bacterial isolates are used to combat drought resistance in crops. In this in vitro study, 20 bacterial isolates were isolated from harsh soil; their drought tolerance was evaluated using four concentrations of polyethylene glycol (PEG) 6000. The two most efficient isolates (DS4 and DS9) were selected and identified using 16S rRNA genetic sequencing. They were registered in the NCBI database and deposited under accession numbers MW916285 and MW916307 for Bacillus cereus (DS4) and Bacillus albus (DS9), respectively. These isolates were screened for plant growth-promoting properties compared to non-stressed conditions. Biochemical parameters; Proline, salicylic acid, gibberellic acid (GA), indole acetic acid (IAA), antioxidant activity, and antioxidant enzymes were measured under the same conditions, and in vitro seed germination was tested under stress conditions and inoculation with selected isolates. The results showed that under the harsh conditions of PEG6000, DS4 produced the highest amount of IAA of 1.61 µg/ml, followed by DS9 with 0.9 µg/ml. The highest amount of GA (49.95 µg/ml) was produced by DS9. On the other hand, the highest amount of siderophore was produced from DS4 isolate followed by DS9. Additionally, DS4 isolate recorded the highest exopolysaccharide (EPS) content of 3.4 mg/ml under PEG (-1.2 MPa) followed by DS9. The antioxidant activity increased in PEG concentrations depending manner, and the activity of the antioxidant enzymes increased, as catalase (CAT) recorded the highest activity in DS4 with an amount of 1.095 mg/ml. additionally, an increase in biofilm formation was observed under drought conditions. The isolated mixture protected the plant from the harmful effects of drought and showed an increase in the measured variables. Under unstressed conditions, the highest rates of emulsification index (EI 24%) were obtained for DS4 and DS9, at 14.92 and 11.54, respectively, and decreased under stress. The highest values of germination, total seedling length, and vigor index were obtained upon inoculation with the combination of two strains, and were 100%, 4.10 cm, and 410, respectively. Therefore, two strains combination is an effective vaccine capable of developing and improving drought tolerance in dryland plants.","author":[{"dropping-particle":"","family":"Ashry","given":"Noha M.","non-dropping-particle":"","parse-names":false,"suffix":""},{"dropping-particle":"","family":"Alaidaroos","given":"Bothaina A.","non-dropping-particle":"","parse-names":false,"suffix":""},{"dropping-particle":"","family":"Mohamed","given":"Shereen A.","non-dropping-particle":"","parse-names":false,"suffix":""},{"dropping-particle":"","family":"Badr","given":"Omnia A.M.","non-dropping-particle":"","parse-names":false,"suffix":""},{"dropping-particle":"","family":"El-Saadony","given":"Mohamed T.","non-dropping-particle":"","parse-names":false,"suffix":""},{"dropping-particle":"","family":"Esmael","given":"Ahmed","non-dropping-particle":"","parse-names":false,"suffix":""}],"container-title":"Saudi Journal of Biological Sciences","id":"ITEM-1","issue":"3","issued":{"date-parts":[["2022"]]},"page":"1760-1769","publisher":"The Author(s)","title":"Utilization of drought-tolerant bacterial strains isolated from harsh soils as a plant growth-promoting rhizobacteria (PGPR): Utilization of drought-tolerant bacterial strains","type":"article-journal","volume":"29"},"uris":["http://www.mendeley.com/documents/?uuid=b3728343-cbd7-4142-8a46-828c32b39c32"]},{"id":"ITEM-2","itemData":{"DOI":"10.1038/s41598-020-71652-0","ISBN":"0123456789","ISSN":"20452322","PMID":"32908201","abstract":"Plant growth promoting rhizobacteria (PGPR) are able to provide cross-protection against multiple stress factors and facilitate growth of their plant symbionts in many ways. The aim of this study was to isolate and characterize rhizobacterial strains under natural conditions, associated with naturally occurring representatives of wild plant species and a local tomato cultivar, growing in differently stressed Mediterranean ecosystems. A total of 85 morphologically different rhizospheric strains were isolated; twenty-five exhibited multiple in vitro PGP-associated traits, including phosphate solubilization, indole-3-acetic acid production, and 1-aminocyclopropane-1-carboxylate deaminase activity. Whole genome analysis was applied to eight selected strains for their PGP potential and assigned seven strains to Gammaproteobacteria, and one to Bacteroidetes. The genomes harboured numerous genes involved in plant growth promotion and stress regulation. They also support the notion that the presence of gene clusters with potential PGP functions is affirmative but not necessary for a strain to promote plant growth under abiotic stress conditions. The selected strains were further tested for their ability to stimulate growth under stress. This initial screening led to the identification of some strains as potential PGPR for increasing crop production in a sustainable manner.","author":[{"dropping-particle":"","family":"Leontidou","given":"Kleopatra","non-dropping-particle":"","parse-names":false,"suffix":""},{"dropping-particle":"","family":"Genitsaris","given":"Savvas","non-dropping-particle":"","parse-names":false,"suffix":""},{"dropping-particle":"","family":"Papadopoulou","given":"Anastasia","non-dropping-particle":"","parse-names":false,"suffix":""},{"dropping-particle":"","family":"Kamou","given":"Nathalie","non-dropping-particle":"","parse-names":false,"suffix":""},{"dropping-particle":"","family":"Bosmali","given":"Irene","non-dropping-particle":"","parse-names":false,"suffix":""},{"dropping-particle":"","family":"Matsi","given":"Theodora","non-dropping-particle":"","parse-names":false,"suffix":""},{"dropping-particle":"","family":"Madesis","given":"Panagiotis","non-dropping-particle":"","parse-names":false,"suffix":""},{"dropping-particle":"","family":"Vokou","given":"Despoina","non-dropping-particle":"","parse-names":false,"suffix":""},{"dropping-particle":"","family":"Karamanoli","given":"Katerina","non-dropping-particle":"","parse-names":false,"suffix":""},{"dropping-particle":"","family":"Mellidou","given":"Ifigeneia","non-dropping-particle":"","parse-names":false,"suffix":""}],"container-title":"Scientific Reports","id":"ITEM-2","issue":"1","issued":{"date-parts":[["2020"]]},"page":"1-15","publisher":"Nature Publishing Group UK","title":"Plant growth promoting rhizobacteria isolated from halophytes and drought-tolerant plants: genomic characterisation and exploration of phyto-beneficial traits","type":"article-journal","volume":"10"},"uris":["http://www.mendeley.com/documents/?uuid=58a4972f-31e1-438e-8c96-b56bbce0b4ab"]},{"id":"ITEM-3","itemData":{"DOI":"10.3390/agronomy9100621","ISSN":"20734395","abstract":"Chickpea is an important leguminous crop that improves soil fertility through atmospheric nitrogen fixation with the help of rhizobia present in nodules. Non-rhizobia endophytes are also capable of inducing nodulation and nitrogen fixation in leguminous crops. The aim of the current study was to isolate, characterize and identify the non-rhizobia endophytic bacterial strains from root nodules of chickpea. For this purpose, more than one hundred isolates were isolated from chickpea root nodules under aseptic conditions and were confirmed as endophytes through re-isolating them from root nodules of chickpea after their inoculation. Nineteen confirmed endophytic bacterial strains revealed significant production of indole acetic acid (IAA) both in presence and absence of L-tryptophan and showed their ability to grow under salt, pH and heavy metal stresses. These strains were evaluated for in vitro plant growth promoting (PGP) traits and results revealed that seven strains showed solubilization of P and colloidal chitin along with possessing catalase, oxidase, urease and chitinase activities. Seven P-solubilizing strains were further evaluated in a jar trial to explore their potential for promoting plant growth and induction of nodulation in chickpea roots. Two endophytic strains identified as Paenibacillus polymyxa ANM59 and Paenibacillus sp. ANM76 through partial sequencing of the 16S rRNA gene showed the maximum potential during in vitro PGP activities and improved plant growth and nodulation in chickpea under the jar trial. Use of these endophytic strains as a potential biofertilizer can help to reduce the dependence on chemical fertilizers while improving crop growth and soil health simultaneously.","author":[{"dropping-particle":"","family":"Ahmad","given":"Maqshoof","non-dropping-particle":"","parse-names":false,"suffix":""},{"dropping-particle":"","family":"Naseer","given":"Iqra","non-dropping-particle":"","parse-names":false,"suffix":""},{"dropping-particle":"","family":"Hussain","given":"Azhar","non-dropping-particle":"","parse-names":false,"suffix":""},{"dropping-particle":"","family":"Mumtaz","given":"Muhammad Zahid","non-dropping-particle":"","parse-names":false,"suffix":""},{"dropping-particle":"","family":"Mustafa","given":"Adnan","non-dropping-particle":"","parse-names":false,"suffix":""},{"dropping-particle":"","family":"Hilger","given":"Thomas H.","non-dropping-particle":"","parse-names":false,"suffix":""},{"dropping-particle":"","family":"Zahir","given":"Zahir Ahmad","non-dropping-particle":"","parse-names":false,"suffix":""},{"dropping-particle":"","family":"Xu","given":"Minggang","non-dropping-particle":"","parse-names":false,"suffix":""}],"container-title":"Agronomy","id":"ITEM-3","issue":"10","issued":{"date-parts":[["2019"]]},"title":"Appraising endophyte - Plant symbiosis for improved growth, nodulation, nitrogen fixation and abiotic stress tolerance: An experimental investigation with chickpea (cicer arietinum L.)","type":"article-journal","volume":"9"},"uris":["http://www.mendeley.com/documents/?uuid=794f0dda-7f1e-4d83-9242-7ef1f7c412e0"]}],"mendeley":{"formattedCitation":"(M. Ahmad et al., 2019; Ashry et al., 2022; Leontidou et al., 2020)","manualFormatting":"(Ahmad et al., 2019; Ashry et al., 2022; Leontidou et al., 2020)","plainTextFormattedCitation":"(M. Ahmad et al., 2019; Ashry et al., 2022; Leontidou et al., 2020)","previouslyFormattedCitation":"(M. Ahmad et al., 2019; Ashry et al., 2022; Leontidou et al., 2020)"},"properties":{"noteIndex":0},"schema":"https://github.com/citation-style-language/schema/raw/master/csl-citation.json"}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(Ahmad et al., 2019; Ashry et al., 2022; Leontidou et al., 2020)</w:t>
      </w:r>
      <w:r w:rsidRPr="007173E6">
        <w:rPr>
          <w:rFonts w:ascii="Arial" w:hAnsi="Arial" w:cs="Arial"/>
          <w:sz w:val="20"/>
          <w:szCs w:val="20"/>
        </w:rPr>
        <w:fldChar w:fldCharType="end"/>
      </w:r>
      <w:r w:rsidRPr="007173E6">
        <w:rPr>
          <w:rFonts w:ascii="Arial" w:hAnsi="Arial" w:cs="Arial"/>
          <w:sz w:val="20"/>
          <w:szCs w:val="20"/>
        </w:rPr>
        <w:t>.</w:t>
      </w:r>
    </w:p>
    <w:p w14:paraId="561D51CB" w14:textId="77777777" w:rsidR="001A1F8C" w:rsidRPr="009F211A" w:rsidRDefault="009F211A" w:rsidP="005B6FFA">
      <w:pPr>
        <w:pStyle w:val="Heading3"/>
        <w:numPr>
          <w:ilvl w:val="2"/>
          <w:numId w:val="38"/>
        </w:numPr>
        <w:spacing w:line="480" w:lineRule="auto"/>
        <w:rPr>
          <w:rFonts w:ascii="Arial" w:hAnsi="Arial" w:cs="Arial"/>
          <w:b/>
          <w:color w:val="auto"/>
          <w:sz w:val="22"/>
          <w:szCs w:val="22"/>
        </w:rPr>
      </w:pPr>
      <w:r w:rsidRPr="009F211A">
        <w:rPr>
          <w:rFonts w:ascii="Arial" w:hAnsi="Arial" w:cs="Arial"/>
          <w:b/>
          <w:color w:val="auto"/>
          <w:sz w:val="22"/>
          <w:szCs w:val="22"/>
        </w:rPr>
        <w:t>ASSESSMENT OF HYDROGEN CYANIDE PRODUCTION BY ISOLATES</w:t>
      </w:r>
    </w:p>
    <w:p w14:paraId="3DD7C624" w14:textId="77777777" w:rsidR="001A1F8C" w:rsidRPr="007173E6" w:rsidRDefault="001A1F8C" w:rsidP="005B6FFA">
      <w:pPr>
        <w:pStyle w:val="NormalWeb"/>
        <w:spacing w:line="480" w:lineRule="auto"/>
        <w:rPr>
          <w:rFonts w:ascii="Arial" w:hAnsi="Arial" w:cs="Arial"/>
          <w:sz w:val="20"/>
          <w:szCs w:val="20"/>
        </w:rPr>
      </w:pPr>
      <w:r w:rsidRPr="007173E6">
        <w:rPr>
          <w:rFonts w:ascii="Arial" w:hAnsi="Arial" w:cs="Arial"/>
          <w:bCs/>
          <w:sz w:val="20"/>
          <w:szCs w:val="20"/>
        </w:rPr>
        <w:t xml:space="preserve">Hydrogen Cyanide production was </w:t>
      </w:r>
      <w:r w:rsidRPr="007173E6">
        <w:rPr>
          <w:rFonts w:ascii="Arial" w:hAnsi="Arial" w:cs="Arial"/>
          <w:sz w:val="20"/>
          <w:szCs w:val="20"/>
        </w:rPr>
        <w:t xml:space="preserve">confirmed in-vitro by inoculating isolates in nutrient broth and </w:t>
      </w:r>
      <w:proofErr w:type="spellStart"/>
      <w:r w:rsidRPr="007173E6">
        <w:rPr>
          <w:rFonts w:ascii="Arial" w:hAnsi="Arial" w:cs="Arial"/>
          <w:sz w:val="20"/>
          <w:szCs w:val="20"/>
        </w:rPr>
        <w:t>sabouraud</w:t>
      </w:r>
      <w:proofErr w:type="spellEnd"/>
      <w:r w:rsidRPr="007173E6">
        <w:rPr>
          <w:rFonts w:ascii="Arial" w:hAnsi="Arial" w:cs="Arial"/>
          <w:sz w:val="20"/>
          <w:szCs w:val="20"/>
        </w:rPr>
        <w:t xml:space="preserve"> dextrose broth supplemented with glycine for bacteria and fungus respectively as documented by </w:t>
      </w:r>
      <w:r w:rsidRPr="007173E6">
        <w:rPr>
          <w:rFonts w:ascii="Arial" w:hAnsi="Arial" w:cs="Arial"/>
          <w:sz w:val="20"/>
          <w:szCs w:val="20"/>
        </w:rPr>
        <w:fldChar w:fldCharType="begin" w:fldLock="1"/>
      </w:r>
      <w:r w:rsidR="007963B2" w:rsidRPr="007173E6">
        <w:rPr>
          <w:rFonts w:ascii="Arial" w:hAnsi="Arial" w:cs="Arial"/>
          <w:sz w:val="20"/>
          <w:szCs w:val="20"/>
        </w:rPr>
        <w:instrText>ADDIN CSL_CITATION {"citationItems":[{"id":"ITEM-1","itemData":{"DOI":"10.9734/APRJ/2023/v11i3213","author":[{"dropping-particle":"","family":"Mwafulirwa","given":"Samuel","non-dropping-particle":"","parse-names":false,"suffix":""}],"id":"ITEM-1","issue":"3","issued":{"date-parts":[["2023"]]},"page":"29-40","title":"Isolation Characterization and Diversity of Indigenous Pesticide Degrading Microbes from Selected Agro Ecological Zones of Malawi","type":"article-journal","volume":"11"},"uris":["http://www.mendeley.com/documents/?uuid=f57c24aa-72ae-47a0-b71a-7413c34c8169"]}],"mendeley":{"formattedCitation":"(Mwafulirwa, 2023b)","manualFormatting":"Mwafulirwa, (2023)","plainTextFormattedCitation":"(Mwafulirwa, 2023b)","previouslyFormattedCitation":"(Mwafulirwa, 2023b)"},"properties":{"noteIndex":0},"schema":"https://github.com/citation-style-language/schema/raw/master/csl-citation.json"}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Mwafulirwa, (2023)</w:t>
      </w:r>
      <w:r w:rsidRPr="007173E6">
        <w:rPr>
          <w:rFonts w:ascii="Arial" w:hAnsi="Arial" w:cs="Arial"/>
          <w:sz w:val="20"/>
          <w:szCs w:val="20"/>
        </w:rPr>
        <w:fldChar w:fldCharType="end"/>
      </w:r>
      <w:r w:rsidRPr="007173E6">
        <w:rPr>
          <w:rFonts w:ascii="Arial" w:hAnsi="Arial" w:cs="Arial"/>
          <w:sz w:val="20"/>
          <w:szCs w:val="20"/>
        </w:rPr>
        <w:t>.</w:t>
      </w:r>
    </w:p>
    <w:p w14:paraId="19D9346A" w14:textId="77777777" w:rsidR="001A1F8C" w:rsidRPr="009F211A" w:rsidRDefault="009F211A" w:rsidP="005B6FFA">
      <w:pPr>
        <w:pStyle w:val="Heading3"/>
        <w:numPr>
          <w:ilvl w:val="2"/>
          <w:numId w:val="38"/>
        </w:numPr>
        <w:spacing w:line="480" w:lineRule="auto"/>
        <w:rPr>
          <w:rFonts w:ascii="Arial" w:hAnsi="Arial" w:cs="Arial"/>
          <w:b/>
          <w:color w:val="auto"/>
          <w:sz w:val="22"/>
          <w:szCs w:val="22"/>
        </w:rPr>
      </w:pPr>
      <w:r w:rsidRPr="009F211A">
        <w:rPr>
          <w:rFonts w:ascii="Arial" w:hAnsi="Arial" w:cs="Arial"/>
          <w:b/>
          <w:color w:val="auto"/>
          <w:sz w:val="22"/>
          <w:szCs w:val="22"/>
        </w:rPr>
        <w:t>ASSESSMENT OF NITROGEN FIXING ABILITY BY ISOLATES</w:t>
      </w:r>
    </w:p>
    <w:p w14:paraId="3CBC781C" w14:textId="77777777" w:rsidR="001A1F8C" w:rsidRPr="007173E6" w:rsidRDefault="001A1F8C" w:rsidP="005B6FFA">
      <w:pPr>
        <w:pStyle w:val="NormalWeb"/>
        <w:spacing w:line="480" w:lineRule="auto"/>
        <w:rPr>
          <w:rFonts w:ascii="Arial" w:hAnsi="Arial" w:cs="Arial"/>
          <w:sz w:val="20"/>
          <w:szCs w:val="20"/>
        </w:rPr>
      </w:pPr>
      <w:r w:rsidRPr="007173E6">
        <w:rPr>
          <w:rFonts w:ascii="Arial" w:hAnsi="Arial" w:cs="Arial"/>
          <w:sz w:val="20"/>
          <w:szCs w:val="20"/>
        </w:rPr>
        <w:t xml:space="preserve">Nitrogen fixing </w:t>
      </w:r>
      <w:r w:rsidR="00555567" w:rsidRPr="007173E6">
        <w:rPr>
          <w:rFonts w:ascii="Arial" w:hAnsi="Arial" w:cs="Arial"/>
          <w:sz w:val="20"/>
          <w:szCs w:val="20"/>
        </w:rPr>
        <w:t>traits were</w:t>
      </w:r>
      <w:r w:rsidRPr="007173E6">
        <w:rPr>
          <w:rFonts w:ascii="Arial" w:hAnsi="Arial" w:cs="Arial"/>
          <w:sz w:val="20"/>
          <w:szCs w:val="20"/>
        </w:rPr>
        <w:t xml:space="preserve"> confirmed using </w:t>
      </w:r>
      <w:r w:rsidRPr="007173E6">
        <w:rPr>
          <w:rStyle w:val="FootnoteReference"/>
          <w:rFonts w:ascii="Arial" w:eastAsiaTheme="majorEastAsia" w:hAnsi="Arial" w:cs="Arial"/>
          <w:sz w:val="20"/>
          <w:szCs w:val="20"/>
        </w:rPr>
        <w:fldChar w:fldCharType="begin" w:fldLock="1"/>
      </w:r>
      <w:r w:rsidRPr="007173E6">
        <w:rPr>
          <w:rFonts w:ascii="Arial" w:hAnsi="Arial" w:cs="Arial"/>
          <w:sz w:val="20"/>
          <w:szCs w:val="20"/>
        </w:rPr>
        <w:instrText>ADDIN CSL_CITATION {"citationItems":[{"id":"ITEM-1","itemData":{"ISBN":"2016144971","author":[{"dropping-particle":"","family":"Liu","given":"Min","non-dropping-particle":"","parse-names":false,"suffix":""},{"dropping-particle":"","family":"Liu","given":"Xu","non-dropping-particle":"","parse-names":false,"suffix":""},{"dropping-particle":"","family":"Cheng","given":"Bao-sen","non-dropping-particle":"","parse-names":false,"suffix":""},{"dropping-particle":"","family":"Ma","given":"Xue-lei","non-dropping-particle":"","parse-names":false,"suffix":""},{"dropping-particle":"","family":"Lyu","given":"Xiao-tong","non-dropping-particle":"","parse-names":false,"suffix":""},{"dropping-particle":"","family":"Zhao","given":"Xian-fang","non-dropping-particle":"","parse-names":false,"suffix":""},{"dropping-particle":"","family":"Ju","given":"Yan-lun","non-dropping-particle":"","parse-names":false,"suffix":""},{"dropping-particle":"","family":"Min","given":"Zhuo","non-dropping-particle":"","parse-names":false,"suffix":""}],"id":"ITEM-1","issue":"4","issued":{"date-parts":[["2016"]]},"title":"Selection and evaluation of phosphate-solubilizing bacteria from grapevine rhizospheres for use as biofertilizers","type":"article-journal","volume":"14"},"uris":["http://www.mendeley.com/documents/?uuid=55c92c8c-98df-46fa-a946-68cae1f501c8"]}],"mendeley":{"formattedCitation":"(Liu et al., 2016)","manualFormatting":"Liu et al. (2016","plainTextFormattedCitation":"(Liu et al., 2016)","previouslyFormattedCitation":"(Liu et al., 2016)"},"properties":{"noteIndex":0},"schema":"https://github.com/citation-style-language/schema/raw/master/csl-citation.json"}</w:instrText>
      </w:r>
      <w:r w:rsidRPr="007173E6">
        <w:rPr>
          <w:rStyle w:val="FootnoteReference"/>
          <w:rFonts w:ascii="Arial" w:eastAsiaTheme="majorEastAsia" w:hAnsi="Arial" w:cs="Arial"/>
          <w:sz w:val="20"/>
          <w:szCs w:val="20"/>
        </w:rPr>
        <w:fldChar w:fldCharType="separate"/>
      </w:r>
      <w:r w:rsidRPr="007173E6">
        <w:rPr>
          <w:rFonts w:ascii="Arial" w:hAnsi="Arial" w:cs="Arial"/>
          <w:noProof/>
          <w:sz w:val="20"/>
          <w:szCs w:val="20"/>
        </w:rPr>
        <w:t>Liu et al. (2016</w:t>
      </w:r>
      <w:r w:rsidRPr="007173E6">
        <w:rPr>
          <w:rStyle w:val="FootnoteReference"/>
          <w:rFonts w:ascii="Arial" w:eastAsiaTheme="majorEastAsia" w:hAnsi="Arial" w:cs="Arial"/>
          <w:sz w:val="20"/>
          <w:szCs w:val="20"/>
        </w:rPr>
        <w:fldChar w:fldCharType="end"/>
      </w:r>
      <w:r w:rsidRPr="007173E6">
        <w:rPr>
          <w:rFonts w:ascii="Arial" w:hAnsi="Arial" w:cs="Arial"/>
          <w:sz w:val="20"/>
          <w:szCs w:val="20"/>
        </w:rPr>
        <w:t xml:space="preserve">)  with manipulation of the </w:t>
      </w:r>
      <w:proofErr w:type="spellStart"/>
      <w:r w:rsidRPr="007173E6">
        <w:rPr>
          <w:rFonts w:ascii="Arial" w:hAnsi="Arial" w:cs="Arial"/>
          <w:sz w:val="20"/>
          <w:szCs w:val="20"/>
        </w:rPr>
        <w:t>pH.</w:t>
      </w:r>
      <w:proofErr w:type="spellEnd"/>
      <w:r w:rsidRPr="007173E6">
        <w:rPr>
          <w:rFonts w:ascii="Arial" w:hAnsi="Arial" w:cs="Arial"/>
          <w:sz w:val="20"/>
          <w:szCs w:val="20"/>
        </w:rPr>
        <w:t xml:space="preserve"> Winogradsky's N-free medium was used as a selective media because it </w:t>
      </w:r>
      <w:r w:rsidR="00555567" w:rsidRPr="007173E6">
        <w:rPr>
          <w:rFonts w:ascii="Arial" w:hAnsi="Arial" w:cs="Arial"/>
          <w:sz w:val="20"/>
          <w:szCs w:val="20"/>
        </w:rPr>
        <w:t xml:space="preserve">does not contain </w:t>
      </w:r>
      <w:r w:rsidRPr="007173E6">
        <w:rPr>
          <w:rFonts w:ascii="Arial" w:hAnsi="Arial" w:cs="Arial"/>
          <w:sz w:val="20"/>
          <w:szCs w:val="20"/>
        </w:rPr>
        <w:t>nitrogen in its ingredients. isolates ability to</w:t>
      </w:r>
      <w:r w:rsidR="00555567" w:rsidRPr="007173E6">
        <w:rPr>
          <w:rFonts w:ascii="Arial" w:hAnsi="Arial" w:cs="Arial"/>
          <w:sz w:val="20"/>
          <w:szCs w:val="20"/>
        </w:rPr>
        <w:t xml:space="preserve"> </w:t>
      </w:r>
      <w:r w:rsidRPr="007173E6">
        <w:rPr>
          <w:rFonts w:ascii="Arial" w:hAnsi="Arial" w:cs="Arial"/>
          <w:sz w:val="20"/>
          <w:szCs w:val="20"/>
        </w:rPr>
        <w:t xml:space="preserve">grow was an indication of its ability to fix nitrogen </w:t>
      </w:r>
      <w:r w:rsidRPr="007173E6">
        <w:rPr>
          <w:rFonts w:ascii="Arial" w:hAnsi="Arial" w:cs="Arial"/>
          <w:sz w:val="20"/>
          <w:szCs w:val="20"/>
        </w:rPr>
        <w:fldChar w:fldCharType="begin" w:fldLock="1"/>
      </w:r>
      <w:r w:rsidRPr="007173E6">
        <w:rPr>
          <w:rFonts w:ascii="Arial" w:hAnsi="Arial" w:cs="Arial"/>
          <w:sz w:val="20"/>
          <w:szCs w:val="20"/>
        </w:rPr>
        <w:instrText>ADDIN CSL_CITATION {"citationItems":[{"id":"ITEM-1","itemData":{"DOI":"10.1016/j.apsoil.2012.07.011","ISSN":"0929-1393","author":[{"dropping-particle":"","family":"Navarro-noya","given":"Yendi E","non-dropping-particle":"","parse-names":false,"suffix":""},{"dropping-particle":"","family":"Hernández-mendoza","given":"Emma","non-dropping-particle":"","parse-names":false,"suffix":""},{"dropping-particle":"","family":"Morales-jiménez","given":"Jesús","non-dropping-particle":"","parse-names":false,"suffix":""},{"dropping-particle":"","family":"Jan-roblero","given":"Janet","non-dropping-particle":"","parse-names":false,"suffix":""},{"dropping-particle":"","family":"Martínez-romero","given":"Esperanza","non-dropping-particle":"","parse-names":false,"suffix":""},{"dropping-particle":"","family":"Hernández-rodríguez","given":"César","non-dropping-particle":"","parse-names":false,"suffix":""}],"container-title":"Applied Soil Ecology","id":"ITEM-1","issued":{"date-parts":[["2012"]]},"page":"52-60","publisher":"Elsevier B.V.","title":"Isolation and characterization of nitrogen fixing heterotrophic bacteria from the rhizosphere of pioneer plants growing on mine tailings","type":"article-journal","volume":"62"},"uris":["http://www.mendeley.com/documents/?uuid=ec486565-4a56-4fa7-9658-7cba19a39ff4"]},{"id":"ITEM-2","itemData":{"DOI":"10.1134/S0026261707010134","ISBN":"0026261707","author":[{"dropping-particle":"V","family":"Doroshenko","given":"E","non-dropping-particle":"","parse-names":false,"suffix":""},{"dropping-particle":"","family":"Boulygina","given":"E S","non-dropping-particle":"","parse-names":false,"suffix":""},{"dropping-particle":"","family":"Spiridonova","given":"E M","non-dropping-particle":"","parse-names":false,"suffix":""},{"dropping-particle":"","family":"Tourova","given":"T P","non-dropping-particle":"","parse-names":false,"suffix":""},{"dropping-particle":"","family":"Kravchenko","given":"I K","non-dropping-particle":"","parse-names":false,"suffix":""}],"id":"ITEM-2","issue":"1","issued":{"date-parts":[["2007"]]},"page":"107-115","title":"Isolation and Characterization of Nitrogen-Fixing Bacteria of the Genus Azospirillum from the Soil of a Sphagnum Peat Bog","type":"article-journal","volume":"76"},"uris":["http://www.mendeley.com/documents/?uuid=52bac102-6363-44b9-923f-d9d606d2d5cc"]},{"id":"ITEM-3","itemData":{"DOI":"10.1134/S0026261707010134","ISBN":"0026261707","author":[{"dropping-particle":"V","family":"Doroshenko","given":"E","non-dropping-particle":"","parse-names":false,"suffix":""},{"dropping-particle":"","family":"Boulygina","given":"E S","non-dropping-particle":"","parse-names":false,"suffix":""},{"dropping-particle":"","family":"Spiridonova","given":"E M","non-dropping-particle":"","parse-names":false,"suffix":""},{"dropping-particle":"","family":"Tourova","given":"T P","non-dropping-particle":"","parse-names":false,"suffix":""},{"dropping-particle":"","family":"Kravchenko","given":"I K","non-dropping-particle":"","parse-names":false,"suffix":""}],"id":"ITEM-3","issue":"1","issued":{"date-parts":[["2007"]]},"page":"107-115","title":"Isolation and Characterization of Nitrogen-Fixing Bacteria of the Genus Azospirillum from the Soil of a Sphagnum Peat Bog","type":"article-journal","volume":"76"},"uris":["http://www.mendeley.com/documents/?uuid=30d4808c-b0c8-4b3b-a2f0-c8e485da8f92"]},{"id":"ITEM-4","itemData":{"DOI":"10.1016/j.soilbio.2004.04.024","author":[{"dropping-particle":"","family":"Aquilanti","given":"L","non-dropping-particle":"","parse-names":false,"suffix":""},{"dropping-particle":"","family":"Favilli","given":"F","non-dropping-particle":"","parse-names":false,"suffix":""},{"dropping-particle":"","family":"Clementi","given":"F","non-dropping-particle":"","parse-names":false,"suffix":""}],"id":"ITEM-4","issued":{"date-parts":[["2004"]]},"page":"1475-1483","title":"Comparison of different strategies for isolation and preliminary identification of Azotobacter from soil samples","type":"article-journal","volume":"36"},"uris":["http://www.mendeley.com/documents/?uuid=6c4daa44-040e-48ae-910b-92ba6c9ba915"]}],"mendeley":{"formattedCitation":"(Aquilanti et al., 2004; Doroshenko et al., 2007, 2007; Navarro-noya et al., 2012)","plainTextFormattedCitation":"(Aquilanti et al., 2004; Doroshenko et al., 2007, 2007; Navarro-noya et al., 2012)","previouslyFormattedCitation":"(Aquilanti et al., 2004; Doroshenko et al., 2007, 2007; Navarro-noya et al., 2012)"},"properties":{"noteIndex":0},"schema":"https://github.com/citation-style-language/schema/raw/master/csl-citation.json"}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(Aquilanti et al., 2004; Doroshenko et al., 2007, 2007; Navarro-noya et al., 2012)</w:t>
      </w:r>
      <w:r w:rsidRPr="007173E6">
        <w:rPr>
          <w:rFonts w:ascii="Arial" w:hAnsi="Arial" w:cs="Arial"/>
          <w:sz w:val="20"/>
          <w:szCs w:val="20"/>
        </w:rPr>
        <w:fldChar w:fldCharType="end"/>
      </w:r>
      <w:r w:rsidRPr="007173E6">
        <w:rPr>
          <w:rFonts w:ascii="Arial" w:hAnsi="Arial" w:cs="Arial"/>
          <w:sz w:val="20"/>
          <w:szCs w:val="20"/>
        </w:rPr>
        <w:t>.</w:t>
      </w:r>
    </w:p>
    <w:p w14:paraId="2558AD74" w14:textId="77777777" w:rsidR="001A1F8C" w:rsidRPr="009F211A" w:rsidRDefault="009F211A" w:rsidP="005B6FFA">
      <w:pPr>
        <w:pStyle w:val="Heading3"/>
        <w:numPr>
          <w:ilvl w:val="2"/>
          <w:numId w:val="38"/>
        </w:numPr>
        <w:spacing w:line="480" w:lineRule="auto"/>
        <w:rPr>
          <w:rFonts w:ascii="Arial" w:hAnsi="Arial" w:cs="Arial"/>
          <w:b/>
          <w:color w:val="auto"/>
          <w:sz w:val="22"/>
          <w:szCs w:val="22"/>
        </w:rPr>
      </w:pPr>
      <w:r w:rsidRPr="009F211A">
        <w:rPr>
          <w:rFonts w:ascii="Arial" w:hAnsi="Arial" w:cs="Arial"/>
          <w:b/>
          <w:color w:val="auto"/>
          <w:sz w:val="22"/>
          <w:szCs w:val="22"/>
        </w:rPr>
        <w:lastRenderedPageBreak/>
        <w:t>ASSESSMENT OF SOLUBILISATION POTENTIAL FOR PHOSPHOROUS AND POTASSIUM BY ISOLATES</w:t>
      </w:r>
    </w:p>
    <w:p w14:paraId="56030877"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 xml:space="preserve">Isolates were assessed on their ability to solubilise phosphorous and potassium using Pikovskaya’s (PVK) Medium using a method documented and described by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{"citationItems":[{"id":"ITEM-1","itemData":{"author":[{"dropping-particle":"","family":"Karpagam","given":"T","non-dropping-particle":"","parse-names":false,"suffix":""},{"dropping-particle":"","family":"Nagalakshmi","given":"P K","non-dropping-particle":"","parse-names":false,"suffix":""}],"id":"ITEM-1","issue":"3","issued":{"date-parts":[["2014"]]},"page":"601-614","title":"Original Research Article Isolation and characterization of Phosphate Solubilizing Microbes from Agricultural soil","type":"article-journal","volume":"3"},"uris":["http://www.mendeley.com/documents/?uuid=680c7c01-6c16-491a-9c9a-91cd4111df83"]}],"mendeley":{"formattedCitation":"(Karpagam &amp; Nagalakshmi, 2014)","manualFormatting":"Karpagam &amp; Nagalakshmi, (2014)","plainTextFormattedCitation":"(Karpagam &amp; Nagalakshmi, 2014)","previouslyFormattedCitation":"(Karpagam &amp; Nagalakshmi, 2014)"},"properties":{"noteIndex":0},"schema":"https://github.com/citation-style-language/schema/raw/master/csl-citation.json"}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Karpagam &amp; Nagalakshmi, (2014)</w:t>
      </w:r>
      <w:r w:rsidRPr="007173E6">
        <w:rPr>
          <w:rStyle w:val="FootnoteReference"/>
          <w:rFonts w:ascii="Arial" w:hAnsi="Arial" w:cs="Arial"/>
          <w:sz w:val="20"/>
          <w:szCs w:val="20"/>
        </w:rPr>
        <w:fldChar w:fldCharType="end"/>
      </w:r>
      <w:r w:rsidRPr="007173E6">
        <w:rPr>
          <w:rFonts w:ascii="Arial" w:hAnsi="Arial" w:cs="Arial"/>
          <w:sz w:val="20"/>
          <w:szCs w:val="20"/>
        </w:rPr>
        <w:t xml:space="preserve">, and Aleksandrov medium </w:t>
      </w:r>
      <w:r w:rsidRPr="007173E6">
        <w:rPr>
          <w:rFonts w:ascii="Arial" w:hAnsi="Arial" w:cs="Arial"/>
          <w:sz w:val="20"/>
          <w:szCs w:val="20"/>
        </w:rPr>
        <w:fldChar w:fldCharType="begin" w:fldLock="1"/>
      </w:r>
      <w:r w:rsidRPr="007173E6">
        <w:rPr>
          <w:rFonts w:ascii="Arial" w:hAnsi="Arial" w:cs="Arial"/>
          <w:sz w:val="20"/>
          <w:szCs w:val="20"/>
        </w:rPr>
        <w:instrText>ADDIN CSL_CITATION {"citationItems":[{"id":"ITEM-1","itemData":{"DOI":"10.1016/S1002-0160(15)60080-7","ISSN":"10020160","abstract":"The utility of microorganisms for solubilizing the unavailable forms of potassium (K) from soil has led to renewed interest in fabrication of rapid and sensitive plate assays for their isolation and screening. The present study developed a modified plate assay and compared it with previously reported methods for the isolation and screening of K-solubilizing bacteria. The newly developed plate assay is based on improved visualization of halo zone formation around the colonies on agar plates, through inclusion of an acid-base indicator dye, bromothymol blue (BTB), to modify the previously reported Aleksandrov medium. The halo zone exhibited a significant correlation (R = 0.939) with K released in liquid medium. The visualization of potential K solubilizers was improved using this method, which would help in detection of weak/non-acid producers based on secretion of organic acids in the medium. Organic acids in plate diffuse radially and form halo zones in response to reaction with the acid-base indicator dye BTB. Furthermore, K solubilization on plates with this method can be observed within 48–72 h, against the incubation time of 4–5 d needed in the earlier method. Therefore, the newly developed protocol for the plate assay was time saving, more sensitive, and beneficial in comparison to the previously reported Aleksandrov plate assay.","author":[{"dropping-particle":"","family":"RAJAWAT","given":"Mahendra Vikram Singh","non-dropping-particle":"","parse-names":false,"suffix":""},{"dropping-particle":"","family":"SINGH","given":"Surender","non-dropping-particle":"","parse-names":false,"suffix":""},{"dropping-particle":"","family":"TYAGI","given":"Satya Prakash","non-dropping-particle":"","parse-names":false,"suffix":""},{"dropping-particle":"","family":"SAXENA","given":"Anil Kumar","non-dropping-particle":"","parse-names":false,"suffix":""}],"container-title":"Pedosphere","id":"ITEM-1","issue":"5","issued":{"date-parts":[["2016"]]},"title":"A Modified Plate Assay for Rapid Screening of Potassium-Solubilizing Bacteria","type":"article","volume":"26"},"uris":["http://www.mendeley.com/documents/?uuid=3b12ca88-f3f9-3623-8d42-f09e3b3cba03"]},{"id":"ITEM-2","itemData":{"DOI":"10.1016/j.bcab.2016.06.007","ISSN":"18788181","abstract":"The present investigation comprises a total of fifty potassium solubilizing bacterial (KSB) strains which were isolated from Oryza sativa, Musa paradisiaca, Zea mays, Sorghum bicolor and Triticum aestivum L. These strains were evaluated for their ability to solubilize the fixed K from waste biotite (WB). On the basis of K-solublization, the seven most efficient KSB strains were evaluated for K-solublizing dynamics from the WB at 7, 14 and 21 DAI (days after incubation) on MAMs (Modified Solid Aleksandrov Medium). Further, these screened seven KSB strains were used for their morphological, physiological and molecular chacterization. The KSB strains Bacillus licheniformis BHU18 and Pseudomonas azotoformans BHU21 showed significantly higher K-solublization 7.22 and 6.03 μg mL-1 at 30 °C and pH 7.0, respectively. A significantely higher zone of solubilization significantly higher was recorded with Pseudomonas azotoformans BHU21 (3.61 cm). Bacillus licheniformis BHU18 produced significantly higher (~23 μg mL-1) concentrations of indole-3-acetic acid. The diversity of KSB as bioinoculants to release potassium provides a win-win situation. Therefore, it is crucial to adopt efficient KSB strain interventions for the judicious use of chemical and biological resources for maximizing food production while reducing pollution and rejuvenating degraded land for agricultural benefit.","author":[{"dropping-particle":"","family":"Saha","given":"Madhumonti","non-dropping-particle":"","parse-names":false,"suffix":""},{"dropping-particle":"","family":"Maurya","given":"Bihari Ram","non-dropping-particle":"","parse-names":false,"suffix":""},{"dropping-particle":"","family":"Meena","given":"Vijay Singh","non-dropping-particle":"","parse-names":false,"suffix":""},{"dropping-particle":"","family":"Bahadur","given":"Indra","non-dropping-particle":"","parse-names":false,"suffix":""},{"dropping-particle":"","family":"Kumar","given":"Ashok","non-dropping-particle":"","parse-names":false,"suffix":""}],"container-title":"Biocatalysis and Agricultural Biotechnology","id":"ITEM-2","issued":{"date-parts":[["2016"]]},"title":"Identification and characterization of potassium solubilizing bacteria (KSB) from Indo-Gangetic Plains of India","type":"article-journal","volume":"7"},"uris":["http://www.mendeley.com/documents/?uuid=b871eba9-6d2a-3f08-a70f-afba6e53cf1d"]},{"id":"ITEM-3","itemData":{"author":[{"dropping-particle":"","family":"Report","given":"Final","non-dropping-particle":"","parse-names":false,"suffix":""},{"dropping-particle":"","family":"Mubarik","given":"Nisa Rachmania","non-dropping-particle":"","parse-names":false,"suffix":""},{"dropping-particle":"","family":"Wibowo","given":"Risky Hadi","non-dropping-particle":"","parse-names":false,"suffix":""},{"dropping-particle":"","family":"Angraini","given":"Erni","non-dropping-particle":"","parse-names":false,"suffix":""},{"dropping-particle":"","family":"Mursyida","given":"Eliya","non-dropping-particle":"","parse-names":false,"suffix":""},{"dropping-particle":"","family":"Wahdi","given":"Emil","non-dropping-particle":"","parse-names":false,"suffix":""}],"id":"ITEM-3","issue":"September","issued":{"date-parts":[["2014"]]},"page":"1-13","title":"Exploration of Bacterial Diversity at Cirebon Quarry by Nisa Rachmania Mubarik * Risky Hadi Wibowo Erni Angraini Eliya Mursyida Emil Wahdi","type":"article-journal"},"uris":["http://www.mendeley.com/documents/?uuid=803e884b-0a9a-44c6-ac1b-2b57c6d1d1d0"]},{"id":"ITEM-4","itemData":{"id":"ITEM-4","issued":{"date-parts":[["2012"]]},"page":"8-14","title":"ISOLATION AND CHARACTERIZATION OF POTASSIUM SOLUBILIZING BACTERIA FROM CERAMIC INDUSTRY SOIL","type":"article-journal","volume":"1"},"uris":["http://www.mendeley.com/documents/?uuid=37a32c08-8169-4aa2-9823-ba2bd3790588"]},{"id":"ITEM-5","itemData":{"author":[{"dropping-particle":"","family":"Vishwavidyalaya","given":"Kadi Sarva","non-dropping-particle":"","parse-names":false,"suffix":""}],"id":"ITEM-5","issue":"May","issued":{"date-parts":[["2012"]]},"page":"71-75","title":"Published on : 1 st May 2012 ISOLATION OF TWO POTASSIUM SOLUBILIZING FUNGI FROM CERAMIC INDUSTRY SOILS","type":"article-journal","volume":"4297"},"uris":["http://www.mendeley.com/documents/?uuid=05ec80e7-7435-4d87-8004-9186fed1a677"]}],"mendeley":{"formattedCitation":"(&lt;i&gt;ISOLATION AND CHARACTERIZATION OF POTASSIUM SOLUBILIZING BACTERIA FROM CERAMIC INDUSTRY SOIL&lt;/i&gt;, 2012; RAJAWAT et al., 2016; Report et al., 2014; Saha et al., 2016; Vishwavidyalaya, 2012)","manualFormatting":"(Rajawat et al., 2016; Mubarik et al., 2014; Saha et al., 2016; Vishwavidyalaya, 2012)","plainTextFormattedCitation":"(ISOLATION AND CHARACTERIZATION OF POTASSIUM SOLUBILIZING BACTERIA FROM CERAMIC INDUSTRY SOIL, 2012; RAJAWAT et al., 2016; Report et al., 2014; Saha et al., 2016; Vishwavidyalaya, 2012)","previouslyFormattedCitation":"(&lt;i&gt;ISOLATION AND CHARACTERIZATION OF POTASSIUM SOLUBILIZING BACTERIA FROM CERAMIC INDUSTRY SOIL&lt;/i&gt;, 2012; RAJAWAT et al., 2016; Report et al., 2014; Saha et al., 2016; Vishwavidyalaya, 2012)"},"properties":{"noteIndex":0},"schema":"https://github.com/citation-style-language/schema/raw/master/csl-citation.json"}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(Rajawat et al., 2016; Mubarik et al., 2014; Saha et al., 2016; Vishwavidyalaya, 2012)</w:t>
      </w:r>
      <w:r w:rsidRPr="007173E6">
        <w:rPr>
          <w:rFonts w:ascii="Arial" w:hAnsi="Arial" w:cs="Arial"/>
          <w:sz w:val="20"/>
          <w:szCs w:val="20"/>
        </w:rPr>
        <w:fldChar w:fldCharType="end"/>
      </w:r>
      <w:r w:rsidRPr="007173E6">
        <w:rPr>
          <w:rFonts w:ascii="Arial" w:hAnsi="Arial" w:cs="Arial"/>
          <w:sz w:val="20"/>
          <w:szCs w:val="20"/>
        </w:rPr>
        <w:t xml:space="preserve"> for phosphorous and potassium respectively. A modified Pikovskaya medium was formulated using different concentrations of bromophenol blue.</w:t>
      </w:r>
      <w:r w:rsidRPr="007173E6">
        <w:rPr>
          <w:rFonts w:ascii="Arial" w:hAnsi="Arial" w:cs="Arial"/>
          <w:sz w:val="20"/>
          <w:szCs w:val="20"/>
        </w:rPr>
        <w:fldChar w:fldCharType="begin" w:fldLock="1"/>
      </w:r>
      <w:r w:rsidRPr="007173E6">
        <w:rPr>
          <w:rFonts w:ascii="Arial" w:hAnsi="Arial" w:cs="Arial"/>
          <w:sz w:val="20"/>
          <w:szCs w:val="20"/>
        </w:rPr>
        <w:instrText>ADDIN CSL_CITATION {"citationItems":[{"id":"ITEM-1","itemData":{"author":[{"dropping-particle":"","family":"Modified","given":"A","non-dropping-particle":"","parse-names":false,"suffix":""}],"id":"ITEM-1","issued":{"date-parts":[["1994"]]},"page":"255-260","title":"J. Gen. App!. Microbiol., 40, 255-260 (1994)","type":"article-journal","volume":"260"},"uris":["http://www.mendeley.com/documents/?uuid=f38009f0-3bae-4c29-bf39-04b204da2a65"]}],"mendeley":{"formattedCitation":"(Modified, 1994)","manualFormatting":"( Gupta et al.,1994)","plainTextFormattedCitation":"(Modified, 1994)","previouslyFormattedCitation":"(Modified, 1994)"},"properties":{"noteIndex":0},"schema":"https://github.com/citation-style-language/schema/raw/master/csl-citation.json"}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 Gupta et al.,1994)</w:t>
      </w:r>
      <w:r w:rsidRPr="007173E6">
        <w:rPr>
          <w:rFonts w:ascii="Arial" w:hAnsi="Arial" w:cs="Arial"/>
          <w:sz w:val="20"/>
          <w:szCs w:val="20"/>
        </w:rPr>
        <w:fldChar w:fldCharType="end"/>
      </w:r>
    </w:p>
    <w:p w14:paraId="4D68A874" w14:textId="77777777" w:rsidR="001A1F8C" w:rsidRPr="00363042" w:rsidRDefault="009F211A" w:rsidP="005B6FFA">
      <w:pPr>
        <w:pStyle w:val="Heading3"/>
        <w:numPr>
          <w:ilvl w:val="2"/>
          <w:numId w:val="38"/>
        </w:numPr>
        <w:spacing w:line="480" w:lineRule="auto"/>
        <w:rPr>
          <w:rFonts w:ascii="Arial" w:hAnsi="Arial" w:cs="Arial"/>
          <w:b/>
          <w:color w:val="auto"/>
          <w:sz w:val="22"/>
          <w:szCs w:val="22"/>
        </w:rPr>
      </w:pPr>
      <w:r w:rsidRPr="00363042">
        <w:rPr>
          <w:rFonts w:ascii="Arial" w:hAnsi="Arial" w:cs="Arial"/>
          <w:b/>
          <w:color w:val="auto"/>
          <w:sz w:val="22"/>
          <w:szCs w:val="22"/>
        </w:rPr>
        <w:t>ASSESSMENT CATALASE PRODUCTION BY ISOLATES</w:t>
      </w:r>
    </w:p>
    <w:p w14:paraId="43134135"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 xml:space="preserve">The isolates </w:t>
      </w:r>
      <w:r w:rsidR="00555567" w:rsidRPr="007173E6">
        <w:rPr>
          <w:rFonts w:ascii="Arial" w:hAnsi="Arial" w:cs="Arial"/>
          <w:sz w:val="20"/>
          <w:szCs w:val="20"/>
        </w:rPr>
        <w:t>potentiality to produce</w:t>
      </w:r>
      <w:r w:rsidRPr="007173E6">
        <w:rPr>
          <w:rFonts w:ascii="Arial" w:hAnsi="Arial" w:cs="Arial"/>
          <w:sz w:val="20"/>
          <w:szCs w:val="20"/>
        </w:rPr>
        <w:t xml:space="preserve"> catalase was done by dropping 3% of hydrogen peroxide on the colony. </w:t>
      </w:r>
      <w:r w:rsidR="00555567" w:rsidRPr="007173E6">
        <w:rPr>
          <w:rFonts w:ascii="Arial" w:hAnsi="Arial" w:cs="Arial"/>
          <w:sz w:val="20"/>
          <w:szCs w:val="20"/>
        </w:rPr>
        <w:t>G</w:t>
      </w:r>
      <w:r w:rsidRPr="007173E6">
        <w:rPr>
          <w:rFonts w:ascii="Arial" w:hAnsi="Arial" w:cs="Arial"/>
          <w:sz w:val="20"/>
          <w:szCs w:val="20"/>
        </w:rPr>
        <w:t xml:space="preserve">as bubbles formation was considered as </w:t>
      </w:r>
      <w:r w:rsidR="00555567" w:rsidRPr="007173E6">
        <w:rPr>
          <w:rFonts w:ascii="Arial" w:hAnsi="Arial" w:cs="Arial"/>
          <w:sz w:val="20"/>
          <w:szCs w:val="20"/>
        </w:rPr>
        <w:t xml:space="preserve">isolates ability to produce </w:t>
      </w:r>
      <w:r w:rsidRPr="007173E6">
        <w:rPr>
          <w:rFonts w:ascii="Arial" w:hAnsi="Arial" w:cs="Arial"/>
          <w:sz w:val="20"/>
          <w:szCs w:val="20"/>
        </w:rPr>
        <w:t>catalase.</w:t>
      </w:r>
    </w:p>
    <w:p w14:paraId="54B96AA4" w14:textId="77777777" w:rsidR="001A1F8C" w:rsidRPr="00363042" w:rsidRDefault="009F211A" w:rsidP="005B6FFA">
      <w:pPr>
        <w:pStyle w:val="Heading2"/>
        <w:numPr>
          <w:ilvl w:val="1"/>
          <w:numId w:val="38"/>
        </w:numPr>
        <w:spacing w:line="480" w:lineRule="auto"/>
        <w:rPr>
          <w:rFonts w:ascii="Arial" w:hAnsi="Arial" w:cs="Arial"/>
          <w:b/>
          <w:color w:val="auto"/>
          <w:sz w:val="22"/>
          <w:szCs w:val="22"/>
        </w:rPr>
      </w:pPr>
      <w:r w:rsidRPr="00363042">
        <w:rPr>
          <w:rFonts w:ascii="Arial" w:hAnsi="Arial" w:cs="Arial"/>
          <w:b/>
          <w:color w:val="auto"/>
          <w:sz w:val="22"/>
          <w:szCs w:val="22"/>
        </w:rPr>
        <w:t>DETERMINATION OF ISOLATES POTENTIALITY IN BIOREMEDIATION</w:t>
      </w:r>
    </w:p>
    <w:p w14:paraId="683CEDFE"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 xml:space="preserve">Isolates ability to be involved in bioremediation was assessed using production of laccase enzyme.  This was assessed by inoculating isolates Sabouraud Dextrose Agar which had 1% </w:t>
      </w:r>
      <w:r w:rsidRPr="007173E6">
        <w:rPr>
          <w:rFonts w:ascii="Arial" w:hAnsi="Arial" w:cs="Arial"/>
          <w:bCs/>
          <w:sz w:val="20"/>
          <w:szCs w:val="20"/>
        </w:rPr>
        <w:t>2, 2’-azino-bis3-ethylbenzothiazoline-6-sulphonic acid</w:t>
      </w:r>
      <w:r w:rsidRPr="007173E6">
        <w:rPr>
          <w:rFonts w:ascii="Arial" w:hAnsi="Arial" w:cs="Arial"/>
          <w:sz w:val="20"/>
          <w:szCs w:val="20"/>
        </w:rPr>
        <w:t xml:space="preserve">. Colour change to purple or dark green was used as a positive indicator </w:t>
      </w:r>
      <w:r w:rsidRPr="007173E6">
        <w:rPr>
          <w:rFonts w:ascii="Arial" w:hAnsi="Arial" w:cs="Arial"/>
          <w:sz w:val="20"/>
          <w:szCs w:val="20"/>
        </w:rPr>
        <w:fldChar w:fldCharType="begin" w:fldLock="1"/>
      </w:r>
      <w:r w:rsidR="007963B2" w:rsidRPr="007173E6">
        <w:rPr>
          <w:rFonts w:ascii="Arial" w:hAnsi="Arial" w:cs="Arial"/>
          <w:sz w:val="20"/>
          <w:szCs w:val="20"/>
        </w:rPr>
        <w:instrText>ADDIN CSL_CITATION {"citationItems":[{"id":"ITEM-1","itemData":{"DOI":"10.9734/APRJ/2023/v11i3213","author":[{"dropping-particle":"","family":"Mwafulirwa","given":"Samuel","non-dropping-particle":"","parse-names":false,"suffix":""}],"id":"ITEM-1","issue":"3","issued":{"date-parts":[["2023"]]},"page":"29-40","title":"Isolation Characterization and Diversity of Indigenous Pesticide Degrading Microbes from Selected Agro Ecological Zones of Malawi","type":"article-journal","volume":"11"},"uris":["http://www.mendeley.com/documents/?uuid=f57c24aa-72ae-47a0-b71a-7413c34c8169"]},{"id":"ITEM-2","itemData":{"author":[{"dropping-particle":"","family":"Mwafulirwa","given":"Samuel","non-dropping-particle":"","parse-names":false,"suffix":""},{"dropping-particle":"","family":"Obiero","given":"George","non-dropping-particle":"","parse-names":false,"suffix":""},{"dropping-particle":"","family":"Mpeketula","given":"Placid","non-dropping-particle":"","parse-names":false,"suffix":""},{"dropping-particle":"","family":"Aboge","given":"Gabriel","non-dropping-particle":"","parse-names":false,"suffix":""}],"id":"ITEM-2","issue":"12","issued":{"date-parts":[["2017"]]},"page":"1-9","title":"Isolation of indigenous glyphosate degrading microbes from selected agro ecological zones of Malawi","type":"article-journal","volume":"6"},"uris":["http://www.mendeley.com/documents/?uuid=6edd0b18-49ff-425d-90c1-1cae52a9886b"]}],"mendeley":{"formattedCitation":"(Mwafulirwa et al., 2017; Mwafulirwa, 2023b)","plainTextFormattedCitation":"(Mwafulirwa et al., 2017; Mwafulirwa, 2023b)","previouslyFormattedCitation":"(Mwafulirwa et al., 2017; Mwafulirwa, 2023b)"},"properties":{"noteIndex":0},"schema":"https://github.com/citation-style-language/schema/raw/master/csl-citation.json"}</w:instrText>
      </w:r>
      <w:r w:rsidRPr="007173E6">
        <w:rPr>
          <w:rFonts w:ascii="Arial" w:hAnsi="Arial" w:cs="Arial"/>
          <w:sz w:val="20"/>
          <w:szCs w:val="20"/>
        </w:rPr>
        <w:fldChar w:fldCharType="separate"/>
      </w:r>
      <w:r w:rsidR="007963B2" w:rsidRPr="007173E6">
        <w:rPr>
          <w:rFonts w:ascii="Arial" w:hAnsi="Arial" w:cs="Arial"/>
          <w:noProof/>
          <w:sz w:val="20"/>
          <w:szCs w:val="20"/>
        </w:rPr>
        <w:t>(Mwafulirwa et al., 2017; Mwafulirwa, 2023b)</w:t>
      </w:r>
      <w:r w:rsidRPr="007173E6">
        <w:rPr>
          <w:rFonts w:ascii="Arial" w:hAnsi="Arial" w:cs="Arial"/>
          <w:sz w:val="20"/>
          <w:szCs w:val="20"/>
        </w:rPr>
        <w:fldChar w:fldCharType="end"/>
      </w:r>
      <w:r w:rsidRPr="007173E6">
        <w:rPr>
          <w:rFonts w:ascii="Arial" w:hAnsi="Arial" w:cs="Arial"/>
          <w:sz w:val="20"/>
          <w:szCs w:val="20"/>
        </w:rPr>
        <w:t>.</w:t>
      </w:r>
    </w:p>
    <w:p w14:paraId="04831001" w14:textId="77777777" w:rsidR="001A1F8C" w:rsidRPr="00363042" w:rsidRDefault="009F211A" w:rsidP="005B6FFA">
      <w:pPr>
        <w:pStyle w:val="Heading2"/>
        <w:numPr>
          <w:ilvl w:val="1"/>
          <w:numId w:val="38"/>
        </w:numPr>
        <w:spacing w:line="480" w:lineRule="auto"/>
        <w:rPr>
          <w:rFonts w:ascii="Arial" w:hAnsi="Arial" w:cs="Arial"/>
          <w:b/>
          <w:color w:val="auto"/>
          <w:sz w:val="22"/>
          <w:szCs w:val="22"/>
        </w:rPr>
      </w:pPr>
      <w:r w:rsidRPr="00363042">
        <w:rPr>
          <w:rFonts w:ascii="Arial" w:hAnsi="Arial" w:cs="Arial"/>
          <w:b/>
          <w:color w:val="auto"/>
          <w:sz w:val="22"/>
          <w:szCs w:val="22"/>
        </w:rPr>
        <w:t>DETERMINATION OF ISOLATES POTENTIALITY AS PROBIOTIC STRAINS</w:t>
      </w:r>
    </w:p>
    <w:p w14:paraId="3309AAF7" w14:textId="77777777" w:rsidR="001A1F8C" w:rsidRPr="00363042" w:rsidRDefault="009F211A" w:rsidP="005B6FFA">
      <w:pPr>
        <w:pStyle w:val="Heading3"/>
        <w:numPr>
          <w:ilvl w:val="2"/>
          <w:numId w:val="38"/>
        </w:numPr>
        <w:spacing w:line="480" w:lineRule="auto"/>
        <w:rPr>
          <w:rFonts w:ascii="Arial" w:hAnsi="Arial" w:cs="Arial"/>
          <w:b/>
          <w:color w:val="auto"/>
          <w:sz w:val="22"/>
          <w:szCs w:val="22"/>
        </w:rPr>
      </w:pPr>
      <w:bookmarkStart w:id="1" w:name="_Toc104014173"/>
      <w:r w:rsidRPr="00363042">
        <w:rPr>
          <w:rFonts w:ascii="Arial" w:hAnsi="Arial" w:cs="Arial"/>
          <w:b/>
          <w:color w:val="auto"/>
          <w:sz w:val="22"/>
          <w:szCs w:val="22"/>
        </w:rPr>
        <w:t>SCREENING FOR AMYLASE</w:t>
      </w:r>
      <w:bookmarkEnd w:id="1"/>
      <w:r w:rsidRPr="00363042">
        <w:rPr>
          <w:rFonts w:ascii="Arial" w:hAnsi="Arial" w:cs="Arial"/>
          <w:b/>
          <w:color w:val="auto"/>
          <w:sz w:val="22"/>
          <w:szCs w:val="22"/>
        </w:rPr>
        <w:t xml:space="preserve"> PRODUCTION</w:t>
      </w:r>
    </w:p>
    <w:p w14:paraId="14F08CD7" w14:textId="77777777" w:rsidR="00363042" w:rsidRDefault="001A1F8C" w:rsidP="005B6FFA">
      <w:pPr>
        <w:pStyle w:val="NormalWeb"/>
        <w:spacing w:line="480" w:lineRule="auto"/>
        <w:rPr>
          <w:rFonts w:ascii="Arial" w:hAnsi="Arial" w:cs="Arial"/>
          <w:sz w:val="20"/>
          <w:szCs w:val="20"/>
        </w:rPr>
      </w:pPr>
      <w:r w:rsidRPr="007173E6">
        <w:rPr>
          <w:rFonts w:ascii="Arial" w:hAnsi="Arial" w:cs="Arial"/>
          <w:sz w:val="20"/>
          <w:szCs w:val="20"/>
        </w:rPr>
        <w:t xml:space="preserve">Isolates ability to produce amylase were observed by halo zone (hydrolysis zone) after pouring Gram’s iodine on starch agar plates inoculated with isolates colonies using the method documented by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{"citationItems":[{"id":"ITEM-1","itemData":{"author":[{"dropping-particle":"","family":"Bhatt","given":"Parth Vinodrai","non-dropping-particle":"","parse-names":false,"suffix":""},{"dropping-particle":"","family":"Rajiv","given":"Bharatkumar","non-dropping-particle":"","parse-names":false,"suffix":""},{"dropping-particle":"","family":"Vyas","given":"Manuel","non-dropping-particle":"","parse-names":false,"suffix":""}],"id":"ITEM-1","issue":"6","issued":{"date-parts":[["2014"]]},"page":"139-155","title":"Original Research Article Screening and Characterization of Plant Growth and Health Promoting Rhizobacteria","type":"article-journal","volume":"3"},"uris":["http://www.mendeley.com/documents/?uuid=e5e35d09-c889-40c4-b621-460843d38ac8"]}],"mendeley":{"formattedCitation":"(Bhatt et al., 2014)","manualFormatting":"Bhatt, Rajiv and Vyas, (2014)","plainTextFormattedCitation":"(Bhatt et al., 2014)","previouslyFormattedCitation":"(Bhatt et al., 2014)"},"properties":{"noteIndex":0},"schema":"https://github.com/citation-style-language/schema/raw/master/csl-citation.json"}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Bhatt, Rajiv and Vyas, (2014)</w:t>
      </w:r>
      <w:r w:rsidRPr="007173E6">
        <w:rPr>
          <w:rStyle w:val="FootnoteReference"/>
          <w:rFonts w:ascii="Arial" w:hAnsi="Arial" w:cs="Arial"/>
          <w:sz w:val="20"/>
          <w:szCs w:val="20"/>
        </w:rPr>
        <w:fldChar w:fldCharType="end"/>
      </w:r>
      <w:r w:rsidRPr="007173E6">
        <w:rPr>
          <w:rFonts w:ascii="Arial" w:hAnsi="Arial" w:cs="Arial"/>
          <w:sz w:val="20"/>
          <w:szCs w:val="20"/>
        </w:rPr>
        <w:t>.</w:t>
      </w:r>
      <w:r w:rsidR="00555567" w:rsidRPr="007173E6">
        <w:rPr>
          <w:rFonts w:ascii="Arial" w:hAnsi="Arial" w:cs="Arial"/>
          <w:sz w:val="20"/>
          <w:szCs w:val="20"/>
        </w:rPr>
        <w:t xml:space="preserve"> </w:t>
      </w:r>
    </w:p>
    <w:p w14:paraId="6B57D60A" w14:textId="77777777" w:rsidR="001A1F8C" w:rsidRPr="00363042" w:rsidRDefault="00363042" w:rsidP="005B6FFA">
      <w:pPr>
        <w:pStyle w:val="Heading3"/>
        <w:numPr>
          <w:ilvl w:val="2"/>
          <w:numId w:val="38"/>
        </w:numPr>
        <w:spacing w:line="480" w:lineRule="auto"/>
        <w:rPr>
          <w:rFonts w:ascii="Arial" w:hAnsi="Arial" w:cs="Arial"/>
          <w:b/>
          <w:color w:val="auto"/>
          <w:sz w:val="22"/>
          <w:szCs w:val="22"/>
        </w:rPr>
      </w:pPr>
      <w:r w:rsidRPr="00363042">
        <w:rPr>
          <w:rFonts w:ascii="Arial" w:hAnsi="Arial" w:cs="Arial"/>
          <w:b/>
          <w:color w:val="auto"/>
          <w:sz w:val="22"/>
          <w:szCs w:val="22"/>
        </w:rPr>
        <w:t>SCREENING FOR CELLULASE PRODUCTION</w:t>
      </w:r>
    </w:p>
    <w:p w14:paraId="23BB37D8" w14:textId="77777777" w:rsidR="001A1F8C" w:rsidRPr="007173E6" w:rsidRDefault="001A1F8C" w:rsidP="005B6FFA">
      <w:pPr>
        <w:spacing w:line="480" w:lineRule="auto"/>
        <w:rPr>
          <w:rFonts w:ascii="Arial" w:hAnsi="Arial" w:cs="Arial"/>
          <w:sz w:val="20"/>
          <w:szCs w:val="20"/>
        </w:rPr>
      </w:pPr>
      <w:r w:rsidRPr="007173E6">
        <w:rPr>
          <w:rFonts w:ascii="Arial" w:hAnsi="Arial" w:cs="Arial"/>
          <w:bCs/>
          <w:sz w:val="20"/>
          <w:szCs w:val="20"/>
        </w:rPr>
        <w:t>Cellulase</w:t>
      </w:r>
      <w:r w:rsidRPr="007173E6">
        <w:rPr>
          <w:rFonts w:ascii="Arial" w:hAnsi="Arial" w:cs="Arial"/>
          <w:sz w:val="20"/>
          <w:szCs w:val="20"/>
        </w:rPr>
        <w:t xml:space="preserve"> production by isolates was assessed  using </w:t>
      </w:r>
      <w:r w:rsidRPr="007173E6">
        <w:rPr>
          <w:rFonts w:ascii="Arial" w:hAnsi="Arial" w:cs="Arial"/>
          <w:bCs/>
          <w:sz w:val="20"/>
          <w:szCs w:val="20"/>
        </w:rPr>
        <w:t xml:space="preserve">CMC (for endoglucanase) and </w:t>
      </w:r>
      <w:r w:rsidRPr="007173E6">
        <w:rPr>
          <w:rFonts w:ascii="Arial" w:hAnsi="Arial" w:cs="Arial"/>
          <w:sz w:val="20"/>
          <w:szCs w:val="20"/>
        </w:rPr>
        <w:t xml:space="preserve">modified MM (for exoglucanase) </w:t>
      </w:r>
      <w:r w:rsidRPr="007173E6">
        <w:rPr>
          <w:rFonts w:ascii="Arial" w:hAnsi="Arial" w:cs="Arial"/>
          <w:bCs/>
          <w:sz w:val="20"/>
          <w:szCs w:val="20"/>
        </w:rPr>
        <w:t xml:space="preserve">medium  using a methods as described by  </w:t>
      </w:r>
      <w:r w:rsidRPr="007173E6">
        <w:rPr>
          <w:rFonts w:ascii="Arial" w:hAnsi="Arial" w:cs="Arial"/>
          <w:bCs/>
          <w:sz w:val="20"/>
          <w:szCs w:val="20"/>
        </w:rPr>
        <w:fldChar w:fldCharType="begin" w:fldLock="1"/>
      </w:r>
      <w:r w:rsidRPr="007173E6">
        <w:rPr>
          <w:rFonts w:ascii="Arial" w:hAnsi="Arial" w:cs="Arial"/>
          <w:bCs/>
          <w:sz w:val="20"/>
          <w:szCs w:val="20"/>
        </w:rPr>
        <w:instrText>ADDIN CSL_CITATION {"citationItems":[{"id":"ITEM-1","itemData":{"abstract":"Armoured catfish is a tropical bottom dwelling fish, which feeds mainly on algae and aquatic weeds as their major part of diet. In the present study, the cellulolytic bacterial strain Enterobacter xiangfangensis was isolated from gut of armoured catfish Pterygoplichthys multiradiatus and it was identified based on morphological test and 16s rRNA gene sequencing. The isolated strain was assessed for cellulolytic activity. The results of the present study suggest that the new strain was rod shaped and catalase positive. The strain was found to effectively hydrolyze Carboxy methyl cellulose, which suggests that the isolate exhibited cellulolytic activity. Phylogenetic tree was constructed by neighbourhood joining method. Upon successful extraction of the cellulase, the enzyme can be used in industrial production of cellulase enzyme in a cost-effective manner.","author":[{"dropping-particle":"","family":"Jayasuyra Sathish Kumar","given":"R T","non-dropping-particle":"","parse-names":false,"suffix":""},{"dropping-particle":"","family":"Arif Nisha","given":"S","non-dropping-particle":"","parse-names":false,"suffix":""}],"container-title":"International Journal of Engineering Applied Sciences and Technology","id":"ITEM-1","issued":{"date-parts":[["2020"]]},"number-of-pages":"696-701","title":"ISOLATION AND CHARACTERIZATION OF CELLULOLYTIC BACTERIA ENTEROBACTER XIANGFANGENSIS FROM THE GUT OF ARMOURED CATFISH PTERYGOPLICHTHYS MULTIRADIATUS","type":"report","volume":"5"},"uris":["http://www.mendeley.com/documents/?uuid=4b308b1f-2f11-394a-9ab5-bd3338c31cbf"]},{"id":"ITEM-2","itemData":{"abstract":"Nepal is rich in biodiversity with flora and fauna of various species scattered over different geographical regions. Termites are found abundantly in Nepal in forests as well as in household furnitures and wood causing heavy loss. Wood is a rich source of cellulose which is most abundantly found biomass. Termites harbor a system of symbionts that can degrade cellulose in wood, which has been partly degraded in its foregut by its own enzyme. Several strains were isolated from the gut of termite in three different media. Each strain showed significant cellulolytic activity in congo red assay. Several biochemical tests were carried out to identify the bacteria. Results showed that they were similar like Citrobacter, Enterobacter and Cellulomonas. 4","author":[{"dropping-particle":"","family":"Upadhyaya","given":"Subodh K","non-dropping-particle":"","parse-names":false,"suffix":""},{"dropping-particle":"","family":"Manandhar","given":"Anuroop","non-dropping-particle":"","parse-names":false,"suffix":""},{"dropping-particle":"","family":"Mainali","given":"Hemanta","non-dropping-particle":"","parse-names":false,"suffix":""},{"dropping-particle":"","family":"Pokhrel","given":"Anaya R","non-dropping-particle":"","parse-names":false,"suffix":""},{"dropping-particle":"","family":"Rijal","given":"Anurag","non-dropping-particle":"","parse-names":false,"suffix":""},{"dropping-particle":"","family":"Pradhan","given":"Barun","non-dropping-particle":"","parse-names":false,"suffix":""},{"dropping-particle":"","family":"Koirala","given":"Bhabuk","non-dropping-particle":"","parse-names":false,"suffix":""}],"container-title":"Rentech Symposium Compendium","id":"ITEM-2","issued":{"date-parts":[["2012"]]},"number-of-pages":"14","title":"Subodh K. Upadhyaya et al.: Isolation and characterization of cellulolytic bacteria from gut of termite Isolation and Characterization of Cellulolytic Bacteria from Gut of Termite","type":"report","volume":"1"},"uris":["http://www.mendeley.com/documents/?uuid=f0d830fe-868c-33f3-a214-1b073209d46d"]},{"id":"ITEM-3","itemData":{"DOI":"10.7324/JABB.2021.96020","ISSN":"2347212X","abstract":"Soil is one of the most promising sources for the presence of a variety of microorganisms which produce different hydrolytic enzymes. Such microorganisms include bacteria, fungi, etc. The ability to produce hydrolytic enzymes makes them potential candidates for hydrolysis of complex polymeric substrates. The present study aims at screening, isolating, and characterizing cellulolytic bacteria isolated from soil samples. Nine different soil samples were collected from different locations near Raigad district, Maharashtra, India. Carboxymethylcellulose (CMC) was used as a sole source of carbon for screening of cellulase-producing isolates. Forty-five different cellulase-producing bacteria were isolated based on their ability to decolorize Congo red and iodine. The morphological and molecular characterization of seven best isolates was carried out for their identification. All seven isolates were identified to be Bacillus species using 16s rRNA gene-based sequencing. The optimization of cellulase enzyme production of these seven isolates was carried out by using different parameters such as pH, temperature, and carbon sources. Majority of the cellulase producers identified in the present research work were found to be mesophiles. pH ranging from 6 to 8 was found to be most suitable to produce cellulase enzyme by the isolates. The data suggest that polymeric substances such as starch and CMC act as inducers for cellulase production.","author":[{"dropping-particle":"","family":"Bhagat","given":"Shweta Ashok","non-dropping-particle":"","parse-names":false,"suffix":""},{"dropping-particle":"","family":"Kokitkar","given":"Seema Sambhaji","non-dropping-particle":"","parse-names":false,"suffix":""}],"container-title":"Journal of Applied Biology and Biotechnology","id":"ITEM-3","issue":"6","issued":{"date-parts":[["2021","11","1"]]},"page":"154-161","publisher":"Open Science Publishers LLP Inc.","title":"Isolation and identification of bacteria with cellulose-degrading potential from soil and optimization of cellulase production","type":"article-journal","volume":"9"},"uris":["http://www.mendeley.com/documents/?uuid=f6614528-ee64-3077-b49e-644a526f4401"]}],"mendeley":{"formattedCitation":"(Bhagat &amp; Kokitkar, 2021; Jayasuyra Sathish Kumar &amp; Arif Nisha, 2020; Upadhyaya et al., 2012)","manualFormatting":"Bhagat &amp; Kokitkar, (2021); Jayasuyra et al., (2020); Upadhyaya et al., (2012)","plainTextFormattedCitation":"(Bhagat &amp; Kokitkar, 2021; Jayasuyra Sathish Kumar &amp; Arif Nisha, 2020; Upadhyaya et al., 2012)","previouslyFormattedCitation":"(Bhagat &amp; Kokitkar, 2021; Jayasuyra Sathish Kumar &amp; Arif Nisha, 2020; Upadhyaya et al., 2012)"},"properties":{"noteIndex":0},"schema":"https://github.com/citation-style-language/schema/raw/master/csl-citation.json"}</w:instrText>
      </w:r>
      <w:r w:rsidRPr="007173E6">
        <w:rPr>
          <w:rFonts w:ascii="Arial" w:hAnsi="Arial" w:cs="Arial"/>
          <w:bCs/>
          <w:sz w:val="20"/>
          <w:szCs w:val="20"/>
        </w:rPr>
        <w:fldChar w:fldCharType="separate"/>
      </w:r>
      <w:r w:rsidRPr="007173E6">
        <w:rPr>
          <w:rFonts w:ascii="Arial" w:hAnsi="Arial" w:cs="Arial"/>
          <w:bCs/>
          <w:noProof/>
          <w:sz w:val="20"/>
          <w:szCs w:val="20"/>
        </w:rPr>
        <w:t>Bhagat &amp; Kokitkar, (2021); Jayasuyra et al., (2020); Upadhyaya et al., (2012)</w:t>
      </w:r>
      <w:r w:rsidRPr="007173E6">
        <w:rPr>
          <w:rFonts w:ascii="Arial" w:hAnsi="Arial" w:cs="Arial"/>
          <w:bCs/>
          <w:sz w:val="20"/>
          <w:szCs w:val="20"/>
        </w:rPr>
        <w:fldChar w:fldCharType="end"/>
      </w:r>
      <w:r w:rsidRPr="007173E6">
        <w:rPr>
          <w:rFonts w:ascii="Arial" w:hAnsi="Arial" w:cs="Arial"/>
          <w:bCs/>
          <w:sz w:val="20"/>
          <w:szCs w:val="20"/>
        </w:rPr>
        <w:t xml:space="preserve"> with slight modifications because gut contents were not used. Isolates </w:t>
      </w:r>
      <w:r w:rsidRPr="007173E6">
        <w:rPr>
          <w:rFonts w:ascii="Arial" w:hAnsi="Arial" w:cs="Arial"/>
          <w:sz w:val="20"/>
          <w:szCs w:val="20"/>
        </w:rPr>
        <w:t xml:space="preserve">were repeatedly streaked on CMC and MM agar plates for verification of </w:t>
      </w:r>
      <w:r w:rsidRPr="007173E6">
        <w:rPr>
          <w:rFonts w:ascii="Arial" w:hAnsi="Arial" w:cs="Arial"/>
          <w:bCs/>
          <w:sz w:val="20"/>
          <w:szCs w:val="20"/>
        </w:rPr>
        <w:t xml:space="preserve">endoglucanase and </w:t>
      </w:r>
      <w:r w:rsidRPr="007173E6">
        <w:rPr>
          <w:rFonts w:ascii="Arial" w:hAnsi="Arial" w:cs="Arial"/>
          <w:sz w:val="20"/>
          <w:szCs w:val="20"/>
        </w:rPr>
        <w:lastRenderedPageBreak/>
        <w:t xml:space="preserve">exoglucanase. 1% Congo red was poured on colonies grown on CMC agar followed by de-staining with 1M NaCl. The efficiency of hydrolysis was formulated by subtracting the Colony diameter from Clear zone diameter then dividing with Colony diameter then multiplying by100. Growth on MM </w:t>
      </w:r>
      <w:r w:rsidRPr="007173E6">
        <w:rPr>
          <w:rFonts w:ascii="Arial" w:hAnsi="Arial" w:cs="Arial"/>
          <w:bCs/>
          <w:sz w:val="20"/>
          <w:szCs w:val="20"/>
        </w:rPr>
        <w:t xml:space="preserve">medium indicated </w:t>
      </w:r>
      <w:r w:rsidR="00555567" w:rsidRPr="007173E6">
        <w:rPr>
          <w:rFonts w:ascii="Arial" w:hAnsi="Arial" w:cs="Arial"/>
          <w:bCs/>
          <w:sz w:val="20"/>
          <w:szCs w:val="20"/>
        </w:rPr>
        <w:t>positive response</w:t>
      </w:r>
      <w:r w:rsidRPr="007173E6">
        <w:rPr>
          <w:rFonts w:ascii="Arial" w:hAnsi="Arial" w:cs="Arial"/>
          <w:bCs/>
          <w:sz w:val="20"/>
          <w:szCs w:val="20"/>
        </w:rPr>
        <w:t>.</w:t>
      </w:r>
    </w:p>
    <w:p w14:paraId="605A16D5" w14:textId="77777777" w:rsidR="001A1F8C" w:rsidRPr="00363042" w:rsidRDefault="00363042" w:rsidP="005B6FFA">
      <w:pPr>
        <w:pStyle w:val="Heading3"/>
        <w:numPr>
          <w:ilvl w:val="2"/>
          <w:numId w:val="38"/>
        </w:numPr>
        <w:spacing w:line="480" w:lineRule="auto"/>
        <w:rPr>
          <w:rFonts w:ascii="Arial" w:hAnsi="Arial" w:cs="Arial"/>
          <w:b/>
          <w:color w:val="auto"/>
          <w:sz w:val="22"/>
          <w:szCs w:val="22"/>
        </w:rPr>
      </w:pPr>
      <w:r w:rsidRPr="00363042">
        <w:rPr>
          <w:rFonts w:ascii="Arial" w:hAnsi="Arial" w:cs="Arial"/>
          <w:b/>
          <w:color w:val="auto"/>
          <w:sz w:val="22"/>
          <w:szCs w:val="22"/>
        </w:rPr>
        <w:t>SCREENING FOR PROTEASE PRODUCTION</w:t>
      </w:r>
    </w:p>
    <w:p w14:paraId="7B2AE083" w14:textId="77777777" w:rsidR="001A1F8C" w:rsidRPr="007173E6" w:rsidRDefault="001A1F8C" w:rsidP="005B6FFA">
      <w:pPr>
        <w:spacing w:line="480" w:lineRule="auto"/>
        <w:rPr>
          <w:rFonts w:ascii="Arial" w:hAnsi="Arial" w:cs="Arial"/>
          <w:bCs/>
          <w:sz w:val="20"/>
          <w:szCs w:val="20"/>
        </w:rPr>
      </w:pPr>
      <w:r w:rsidRPr="007173E6">
        <w:rPr>
          <w:rFonts w:ascii="Arial" w:hAnsi="Arial" w:cs="Arial"/>
          <w:bCs/>
          <w:sz w:val="20"/>
          <w:szCs w:val="20"/>
        </w:rPr>
        <w:t>Protease</w:t>
      </w:r>
      <w:r w:rsidRPr="007173E6">
        <w:rPr>
          <w:rFonts w:ascii="Arial" w:hAnsi="Arial" w:cs="Arial"/>
          <w:sz w:val="20"/>
          <w:szCs w:val="20"/>
        </w:rPr>
        <w:t xml:space="preserve"> production by isolates was assessed  using gelatine agar</w:t>
      </w:r>
      <w:r w:rsidRPr="007173E6">
        <w:rPr>
          <w:rFonts w:ascii="Arial" w:hAnsi="Arial" w:cs="Arial"/>
          <w:b/>
          <w:sz w:val="20"/>
          <w:szCs w:val="20"/>
        </w:rPr>
        <w:t xml:space="preserve"> </w:t>
      </w:r>
      <w:r w:rsidRPr="007173E6">
        <w:rPr>
          <w:rFonts w:ascii="Arial" w:hAnsi="Arial" w:cs="Arial"/>
          <w:sz w:val="20"/>
          <w:szCs w:val="20"/>
        </w:rPr>
        <w:t xml:space="preserve">using methods documented by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{"citationItems":[{"id":"ITEM-1","itemData":{"author":[{"dropping-particle":"","family":"Sony","given":"I S","non-dropping-particle":"","parse-names":false,"suffix":""},{"dropping-particle":"","family":"Potty","given":"V P","non-dropping-particle":"","parse-names":false,"suffix":""}],"id":"ITEM-1","issue":"3","issued":{"date-parts":[["2016"]]},"page":"181-189","title":"Isolation and Identification of Protease Producing Bacteria from Food Processing Industries","type":"article-journal","volume":"5"},"uris":["http://www.mendeley.com/documents/?uuid=05c5df65-1997-4d1f-b920-8945904a2e7c"]}],"mendeley":{"formattedCitation":"(Sony &amp; Potty, 2016)","manualFormatting":"Sony and Potty, (2016)","plainTextFormattedCitation":"(Sony &amp; Potty, 2016)","previouslyFormattedCitation":"(Sony &amp; Potty, 2016)"},"properties":{"noteIndex":0},"schema":"https://github.com/citation-style-language/schema/raw/master/csl-citation.json"}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Sony and Potty, (2016)</w:t>
      </w:r>
      <w:r w:rsidRPr="007173E6">
        <w:rPr>
          <w:rStyle w:val="FootnoteReference"/>
          <w:rFonts w:ascii="Arial" w:hAnsi="Arial" w:cs="Arial"/>
          <w:sz w:val="20"/>
          <w:szCs w:val="20"/>
        </w:rPr>
        <w:fldChar w:fldCharType="end"/>
      </w:r>
      <w:r w:rsidRPr="007173E6">
        <w:rPr>
          <w:rFonts w:ascii="Arial" w:hAnsi="Arial" w:cs="Arial"/>
          <w:sz w:val="20"/>
          <w:szCs w:val="20"/>
        </w:rPr>
        <w:t xml:space="preserve">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{"citationItems":[{"id":"ITEM-1","itemData":{"DOI":"10.19080/JOJMS.2017.02.555586","author":[{"dropping-particle":"","family":"R","given":"Mary Suja","non-dropping-particle":"","parse-names":false,"suffix":""},{"dropping-particle":"","family":"Arumugam","given":"P","non-dropping-particle":"","parse-names":false,"suffix":""},{"dropping-particle":"","family":"Palavesam","given":"A","non-dropping-particle":"","parse-names":false,"suffix":""},{"dropping-particle":"","family":"B","given":"Christudhas Williams","non-dropping-particle":"","parse-names":false,"suffix":""}],"id":"ITEM-1","issue":"3","issued":{"date-parts":[["2017"]]},"page":"1-6","title":"Isolation and Determination of Protease Enzyme Synthesized by Pseudomonas Sp . from the Gut of Estuarine Fish Etroplus suratensis","type":"article-journal","volume":"2"},"uris":["http://www.mendeley.com/documents/?uuid=2c5dbe9e-bc66-460b-aafe-7a6bfb198fb9"]}],"mendeley":{"formattedCitation":"(R et al., 2017)","manualFormatting":"Mary et al., (2017)","plainTextFormattedCitation":"(R et al., 2017)","previouslyFormattedCitation":"(R et al., 2017)"},"properties":{"noteIndex":0},"schema":"https://github.com/citation-style-language/schema/raw/master/csl-citation.json"}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Mary et al., (2017)</w:t>
      </w:r>
      <w:r w:rsidRPr="007173E6">
        <w:rPr>
          <w:rStyle w:val="FootnoteReference"/>
          <w:rFonts w:ascii="Arial" w:hAnsi="Arial" w:cs="Arial"/>
          <w:sz w:val="20"/>
          <w:szCs w:val="20"/>
        </w:rPr>
        <w:fldChar w:fldCharType="end"/>
      </w:r>
      <w:r w:rsidRPr="007173E6">
        <w:rPr>
          <w:rFonts w:ascii="Arial" w:hAnsi="Arial" w:cs="Arial"/>
          <w:sz w:val="20"/>
          <w:szCs w:val="20"/>
        </w:rPr>
        <w:t xml:space="preserve"> and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{"citationItems":[{"id":"ITEM-1","itemData":{"ISBN":"9143124070","author":[{"dropping-particle":"","family":"Balaji","given":"N","non-dropping-particle":"","parse-names":false,"suffix":""},{"dropping-particle":"","family":"Rajasekaran","given":"K M","non-dropping-particle":"","parse-names":false,"suffix":""},{"dropping-particle":"","family":"Kanipandian","given":"N","non-dropping-particle":"","parse-names":false,"suffix":""},{"dropping-particle":"","family":"Vignesh","given":"V","non-dropping-particle":"","parse-names":false,"suffix":""},{"dropping-particle":"","family":"Thirumurugan","given":"R","non-dropping-particle":"","parse-names":false,"suffix":""}],"id":"ITEM-1","issue":"6","issued":{"date-parts":[["2012"]]},"page":"56-59","title":"Isolation and screening of proteolytic bacteria from freshwater Fish Cyprinus carpio","type":"article-journal","volume":"2"},"uris":["http://www.mendeley.com/documents/?uuid=9c0543b5-aafe-4609-a146-66a5352cb1cd"]}],"mendeley":{"formattedCitation":"(Balaji et al., 2012)","manualFormatting":"Balaji et al., (2012)","plainTextFormattedCitation":"(Balaji et al., 2012)","previouslyFormattedCitation":"(Balaji et al., 2012)"},"properties":{"noteIndex":0},"schema":"https://github.com/citation-style-language/schema/raw/master/csl-citation.json"}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Balaji et al., (2012)</w:t>
      </w:r>
      <w:r w:rsidRPr="007173E6">
        <w:rPr>
          <w:rStyle w:val="FootnoteReference"/>
          <w:rFonts w:ascii="Arial" w:hAnsi="Arial" w:cs="Arial"/>
          <w:sz w:val="20"/>
          <w:szCs w:val="20"/>
        </w:rPr>
        <w:fldChar w:fldCharType="end"/>
      </w:r>
      <w:r w:rsidRPr="007173E6">
        <w:rPr>
          <w:rFonts w:ascii="Arial" w:hAnsi="Arial" w:cs="Arial"/>
          <w:sz w:val="20"/>
          <w:szCs w:val="20"/>
        </w:rPr>
        <w:t xml:space="preserve"> </w:t>
      </w:r>
      <w:r w:rsidRPr="007173E6">
        <w:rPr>
          <w:rFonts w:ascii="Arial" w:hAnsi="Arial" w:cs="Arial"/>
          <w:bCs/>
          <w:sz w:val="20"/>
          <w:szCs w:val="20"/>
        </w:rPr>
        <w:t>incubated at 35ºC under aerobic condition for 72-192 hours</w:t>
      </w:r>
      <w:r w:rsidRPr="007173E6">
        <w:rPr>
          <w:rFonts w:ascii="Arial" w:hAnsi="Arial" w:cs="Arial"/>
          <w:sz w:val="20"/>
          <w:szCs w:val="20"/>
        </w:rPr>
        <w:t xml:space="preserve"> with slight modifications </w:t>
      </w:r>
      <w:r w:rsidRPr="007173E6">
        <w:rPr>
          <w:rFonts w:ascii="Arial" w:hAnsi="Arial" w:cs="Arial"/>
          <w:bCs/>
          <w:sz w:val="20"/>
          <w:szCs w:val="20"/>
        </w:rPr>
        <w:t xml:space="preserve">because gut contents were not used.  The </w:t>
      </w:r>
      <w:r w:rsidRPr="007173E6">
        <w:rPr>
          <w:rFonts w:ascii="Arial" w:hAnsi="Arial" w:cs="Arial"/>
          <w:sz w:val="20"/>
          <w:szCs w:val="20"/>
        </w:rPr>
        <w:t>gelatine agar</w:t>
      </w:r>
      <w:r w:rsidRPr="007173E6">
        <w:rPr>
          <w:rFonts w:ascii="Arial" w:hAnsi="Arial" w:cs="Arial"/>
          <w:bCs/>
          <w:sz w:val="20"/>
          <w:szCs w:val="20"/>
        </w:rPr>
        <w:t xml:space="preserve"> medium contained (g/l) glucose 1.0, K2HPO4 2.0, Peptone 5.0, gelatin 15.0, and agar 15 and. The presence of halos </w:t>
      </w:r>
      <w:r w:rsidR="00555567" w:rsidRPr="007173E6">
        <w:rPr>
          <w:rFonts w:ascii="Arial" w:hAnsi="Arial" w:cs="Arial"/>
          <w:bCs/>
          <w:sz w:val="20"/>
          <w:szCs w:val="20"/>
        </w:rPr>
        <w:t xml:space="preserve">around the colony was used as a </w:t>
      </w:r>
      <w:r w:rsidRPr="007173E6">
        <w:rPr>
          <w:rFonts w:ascii="Arial" w:hAnsi="Arial" w:cs="Arial"/>
          <w:bCs/>
          <w:sz w:val="20"/>
          <w:szCs w:val="20"/>
        </w:rPr>
        <w:t>positive in</w:t>
      </w:r>
      <w:r w:rsidR="00555567" w:rsidRPr="007173E6">
        <w:rPr>
          <w:rFonts w:ascii="Arial" w:hAnsi="Arial" w:cs="Arial"/>
          <w:bCs/>
          <w:sz w:val="20"/>
          <w:szCs w:val="20"/>
        </w:rPr>
        <w:t>dicator. Halos diameters were</w:t>
      </w:r>
      <w:r w:rsidRPr="007173E6">
        <w:rPr>
          <w:rFonts w:ascii="Arial" w:hAnsi="Arial" w:cs="Arial"/>
          <w:bCs/>
          <w:sz w:val="20"/>
          <w:szCs w:val="20"/>
        </w:rPr>
        <w:t xml:space="preserve"> measured using gelatine clear zone method as described by </w:t>
      </w:r>
      <w:r w:rsidRPr="007173E6">
        <w:rPr>
          <w:rStyle w:val="FootnoteReference"/>
          <w:rFonts w:ascii="Arial" w:hAnsi="Arial" w:cs="Arial"/>
          <w:bCs/>
          <w:sz w:val="20"/>
          <w:szCs w:val="20"/>
        </w:rPr>
        <w:fldChar w:fldCharType="begin" w:fldLock="1"/>
      </w:r>
      <w:r w:rsidRPr="007173E6">
        <w:rPr>
          <w:rFonts w:ascii="Arial" w:hAnsi="Arial" w:cs="Arial"/>
          <w:bCs/>
          <w:sz w:val="20"/>
          <w:szCs w:val="20"/>
        </w:rPr>
        <w:instrText>ADDIN CSL_CITATION {"citationItems":[{"id":"ITEM-1","itemData":{"author":[{"dropping-particle":"","family":"Abomughaid","given":"Mosleh M","non-dropping-particle":"","parse-names":false,"suffix":""}],"id":"ITEM-1","issued":{"date-parts":[["2020"]]},"title":"Isolation and Identification of Some Probiotic Bacteria and Their Potential Role in Improving Immune Response and Resistance of Nile Tilapia ( Oreochromis niloticus ) in Comparison with a Commercial Product","type":"article-journal","volume":"2020"},"uris":["http://www.mendeley.com/documents/?uuid=3317cf41-94e0-466b-9f62-29b7b2ba1d71"]}],"mendeley":{"formattedCitation":"(Abomughaid, 2020)","manualFormatting":"Abomughaid, (2020)","plainTextFormattedCitation":"(Abomughaid, 2020)","previouslyFormattedCitation":"(Abomughaid, 2020)"},"properties":{"noteIndex":0},"schema":"https://github.com/citation-style-language/schema/raw/master/csl-citation.json"}</w:instrText>
      </w:r>
      <w:r w:rsidRPr="007173E6">
        <w:rPr>
          <w:rStyle w:val="FootnoteReference"/>
          <w:rFonts w:ascii="Arial" w:hAnsi="Arial" w:cs="Arial"/>
          <w:bCs/>
          <w:sz w:val="20"/>
          <w:szCs w:val="20"/>
        </w:rPr>
        <w:fldChar w:fldCharType="separate"/>
      </w:r>
      <w:r w:rsidRPr="007173E6">
        <w:rPr>
          <w:rFonts w:ascii="Arial" w:hAnsi="Arial" w:cs="Arial"/>
          <w:bCs/>
          <w:noProof/>
          <w:sz w:val="20"/>
          <w:szCs w:val="20"/>
        </w:rPr>
        <w:t>Abomughaid, (2020)</w:t>
      </w:r>
      <w:r w:rsidRPr="007173E6">
        <w:rPr>
          <w:rStyle w:val="FootnoteReference"/>
          <w:rFonts w:ascii="Arial" w:hAnsi="Arial" w:cs="Arial"/>
          <w:bCs/>
          <w:sz w:val="20"/>
          <w:szCs w:val="20"/>
        </w:rPr>
        <w:fldChar w:fldCharType="end"/>
      </w:r>
      <w:r w:rsidRPr="007173E6">
        <w:rPr>
          <w:rFonts w:ascii="Arial" w:hAnsi="Arial" w:cs="Arial"/>
          <w:bCs/>
          <w:sz w:val="20"/>
          <w:szCs w:val="20"/>
        </w:rPr>
        <w:t xml:space="preserve"> which  adds mercuric chloride solution to the brim of the plates.</w:t>
      </w:r>
    </w:p>
    <w:p w14:paraId="36F3FA73" w14:textId="77777777" w:rsidR="001A1F8C" w:rsidRPr="00363042" w:rsidRDefault="00363042" w:rsidP="005B6FFA">
      <w:pPr>
        <w:pStyle w:val="Heading3"/>
        <w:numPr>
          <w:ilvl w:val="2"/>
          <w:numId w:val="38"/>
        </w:numPr>
        <w:spacing w:line="480" w:lineRule="auto"/>
        <w:rPr>
          <w:rFonts w:ascii="Arial" w:hAnsi="Arial" w:cs="Arial"/>
          <w:b/>
          <w:color w:val="auto"/>
          <w:sz w:val="22"/>
          <w:szCs w:val="22"/>
        </w:rPr>
      </w:pPr>
      <w:bookmarkStart w:id="2" w:name="_Toc104014174"/>
      <w:r w:rsidRPr="00363042">
        <w:rPr>
          <w:rFonts w:ascii="Arial" w:hAnsi="Arial" w:cs="Arial"/>
          <w:b/>
          <w:color w:val="auto"/>
          <w:sz w:val="22"/>
          <w:szCs w:val="22"/>
        </w:rPr>
        <w:t xml:space="preserve">SCREENING </w:t>
      </w:r>
      <w:bookmarkEnd w:id="2"/>
      <w:r w:rsidRPr="00363042">
        <w:rPr>
          <w:rFonts w:ascii="Arial" w:hAnsi="Arial" w:cs="Arial"/>
          <w:b/>
          <w:color w:val="auto"/>
          <w:sz w:val="22"/>
          <w:szCs w:val="22"/>
        </w:rPr>
        <w:t>FOR LIPASE PRODUCTION</w:t>
      </w:r>
    </w:p>
    <w:p w14:paraId="48DBE72B" w14:textId="77777777" w:rsidR="001A1F8C" w:rsidRPr="007173E6" w:rsidRDefault="001A1F8C" w:rsidP="005B6FFA">
      <w:pPr>
        <w:tabs>
          <w:tab w:val="left" w:pos="940"/>
        </w:tabs>
        <w:spacing w:line="480" w:lineRule="auto"/>
        <w:rPr>
          <w:rFonts w:ascii="Arial" w:hAnsi="Arial" w:cs="Arial"/>
          <w:bCs/>
          <w:sz w:val="20"/>
          <w:szCs w:val="20"/>
        </w:rPr>
      </w:pPr>
      <w:r w:rsidRPr="007173E6">
        <w:rPr>
          <w:rFonts w:ascii="Arial" w:hAnsi="Arial" w:cs="Arial"/>
          <w:bCs/>
          <w:sz w:val="20"/>
          <w:szCs w:val="20"/>
        </w:rPr>
        <w:t>Lipase</w:t>
      </w:r>
      <w:r w:rsidRPr="007173E6">
        <w:rPr>
          <w:rFonts w:ascii="Arial" w:hAnsi="Arial" w:cs="Arial"/>
          <w:sz w:val="20"/>
          <w:szCs w:val="20"/>
        </w:rPr>
        <w:t xml:space="preserve"> production by isolates was assessed  using </w:t>
      </w:r>
      <w:r w:rsidRPr="007173E6">
        <w:rPr>
          <w:rFonts w:ascii="Arial" w:hAnsi="Arial" w:cs="Arial"/>
          <w:bCs/>
          <w:sz w:val="20"/>
          <w:szCs w:val="20"/>
        </w:rPr>
        <w:t xml:space="preserve">lipolytic agar medium using a methods as described by  </w:t>
      </w:r>
      <w:r w:rsidRPr="007173E6">
        <w:rPr>
          <w:rStyle w:val="FootnoteReference"/>
          <w:rFonts w:ascii="Arial" w:hAnsi="Arial" w:cs="Arial"/>
          <w:bCs/>
          <w:sz w:val="20"/>
          <w:szCs w:val="20"/>
        </w:rPr>
        <w:fldChar w:fldCharType="begin" w:fldLock="1"/>
      </w:r>
      <w:r w:rsidRPr="007173E6">
        <w:rPr>
          <w:rFonts w:ascii="Arial" w:hAnsi="Arial" w:cs="Arial"/>
          <w:bCs/>
          <w:sz w:val="20"/>
          <w:szCs w:val="20"/>
        </w:rPr>
        <w:instrText>ADDIN CSL_CITATION {"citationItems":[{"id":"ITEM-1","itemData":{"author":[{"dropping-particle":"","family":"Journal","given":"Brazilian","non-dropping-particle":"","parse-names":false,"suffix":""}],"id":"ITEM-1","issued":{"date-parts":[["2011"]]},"page":"1516-1525","title":"No Title","type":"article-journal"},"uris":["http://www.mendeley.com/documents/?uuid=61326747-82b1-4bf1-bb21-d0c0672e518c","http://www.mendeley.com/documents/?uuid=f3286e8d-6d9f-4ff5-970f-57d888ef78d0"]}],"mendeley":{"formattedCitation":"(Journal, 2011)","manualFormatting":"Jini et al.,, (2011)","plainTextFormattedCitation":"(Journal, 2011)","previouslyFormattedCitation":"(Journal, 2011)"},"properties":{"noteIndex":0},"schema":"https://github.com/citation-style-language/schema/raw/master/csl-citation.json"}</w:instrText>
      </w:r>
      <w:r w:rsidRPr="007173E6">
        <w:rPr>
          <w:rStyle w:val="FootnoteReference"/>
          <w:rFonts w:ascii="Arial" w:hAnsi="Arial" w:cs="Arial"/>
          <w:bCs/>
          <w:sz w:val="20"/>
          <w:szCs w:val="20"/>
        </w:rPr>
        <w:fldChar w:fldCharType="separate"/>
      </w:r>
      <w:r w:rsidRPr="007173E6">
        <w:rPr>
          <w:rFonts w:ascii="Arial" w:hAnsi="Arial" w:cs="Arial"/>
          <w:bCs/>
          <w:noProof/>
          <w:sz w:val="20"/>
          <w:szCs w:val="20"/>
        </w:rPr>
        <w:t>Jini et al.,, (2011)</w:t>
      </w:r>
      <w:r w:rsidRPr="007173E6">
        <w:rPr>
          <w:rStyle w:val="FootnoteReference"/>
          <w:rFonts w:ascii="Arial" w:hAnsi="Arial" w:cs="Arial"/>
          <w:bCs/>
          <w:sz w:val="20"/>
          <w:szCs w:val="20"/>
        </w:rPr>
        <w:fldChar w:fldCharType="end"/>
      </w:r>
      <w:r w:rsidRPr="007173E6">
        <w:rPr>
          <w:rFonts w:ascii="Arial" w:hAnsi="Arial" w:cs="Arial"/>
          <w:bCs/>
          <w:sz w:val="20"/>
          <w:szCs w:val="20"/>
        </w:rPr>
        <w:t xml:space="preserve"> </w:t>
      </w:r>
      <w:r w:rsidRPr="007173E6">
        <w:rPr>
          <w:rStyle w:val="FootnoteReference"/>
          <w:rFonts w:ascii="Arial" w:hAnsi="Arial" w:cs="Arial"/>
          <w:bCs/>
          <w:sz w:val="20"/>
          <w:szCs w:val="20"/>
        </w:rPr>
        <w:fldChar w:fldCharType="begin" w:fldLock="1"/>
      </w:r>
      <w:r w:rsidRPr="007173E6">
        <w:rPr>
          <w:rFonts w:ascii="Arial" w:hAnsi="Arial" w:cs="Arial"/>
          <w:bCs/>
          <w:sz w:val="20"/>
          <w:szCs w:val="20"/>
        </w:rPr>
        <w:instrText>ADDIN CSL_CITATION {"citationItems":[{"id":"ITEM-1","itemData":{"author":[{"dropping-particle":"","family":"Bakteria","given":"Penyaringan","non-dropping-particle":"","parse-names":false,"suffix":""},{"dropping-particle":"","family":"Pekasam","given":"Ikan","non-dropping-particle":"","parse-names":false,"suffix":""}],"id":"ITEM-1","issue":"1","issued":{"date-parts":[["2018"]]},"page":"91-97","title":"Characterization and Screening of Lipolytic Bacteria from Thai Fermented Fish","type":"article-journal","volume":"47"},"uris":["http://www.mendeley.com/documents/?uuid=974a6962-5c3f-4430-8ddc-1c9e598f3306"]}],"mendeley":{"formattedCitation":"(Bakteria &amp; Pekasam, 2018)","manualFormatting":"Bakteria and Pekasam, (2018)","plainTextFormattedCitation":"(Bakteria &amp; Pekasam, 2018)","previouslyFormattedCitation":"(Bakteria &amp; Pekasam, 2018)"},"properties":{"noteIndex":0},"schema":"https://github.com/citation-style-language/schema/raw/master/csl-citation.json"}</w:instrText>
      </w:r>
      <w:r w:rsidRPr="007173E6">
        <w:rPr>
          <w:rStyle w:val="FootnoteReference"/>
          <w:rFonts w:ascii="Arial" w:hAnsi="Arial" w:cs="Arial"/>
          <w:bCs/>
          <w:sz w:val="20"/>
          <w:szCs w:val="20"/>
        </w:rPr>
        <w:fldChar w:fldCharType="separate"/>
      </w:r>
      <w:r w:rsidRPr="007173E6">
        <w:rPr>
          <w:rFonts w:ascii="Arial" w:hAnsi="Arial" w:cs="Arial"/>
          <w:bCs/>
          <w:noProof/>
          <w:sz w:val="20"/>
          <w:szCs w:val="20"/>
        </w:rPr>
        <w:t>Bakteria and Pekasam, (2018)</w:t>
      </w:r>
      <w:r w:rsidRPr="007173E6">
        <w:rPr>
          <w:rStyle w:val="FootnoteReference"/>
          <w:rFonts w:ascii="Arial" w:hAnsi="Arial" w:cs="Arial"/>
          <w:bCs/>
          <w:sz w:val="20"/>
          <w:szCs w:val="20"/>
        </w:rPr>
        <w:fldChar w:fldCharType="end"/>
      </w:r>
      <w:r w:rsidRPr="007173E6">
        <w:rPr>
          <w:rFonts w:ascii="Arial" w:hAnsi="Arial" w:cs="Arial"/>
          <w:bCs/>
          <w:sz w:val="20"/>
          <w:szCs w:val="20"/>
        </w:rPr>
        <w:t xml:space="preserve"> with slight modifications because gut contents were not used. </w:t>
      </w:r>
      <w:proofErr w:type="spellStart"/>
      <w:r w:rsidRPr="007173E6">
        <w:rPr>
          <w:rFonts w:ascii="Arial" w:hAnsi="Arial" w:cs="Arial"/>
          <w:bCs/>
          <w:sz w:val="20"/>
          <w:szCs w:val="20"/>
        </w:rPr>
        <w:t>Lipolyitic</w:t>
      </w:r>
      <w:proofErr w:type="spellEnd"/>
      <w:r w:rsidRPr="007173E6">
        <w:rPr>
          <w:rFonts w:ascii="Arial" w:hAnsi="Arial" w:cs="Arial"/>
          <w:bCs/>
          <w:sz w:val="20"/>
          <w:szCs w:val="20"/>
        </w:rPr>
        <w:t xml:space="preserve"> agar contained 50ml/l tributyrin 50g/l NaCl, 10g/l peptone, 0.1g/l CaCl</w:t>
      </w:r>
      <w:r w:rsidRPr="007173E6">
        <w:rPr>
          <w:rFonts w:ascii="Arial" w:hAnsi="Arial" w:cs="Arial"/>
          <w:bCs/>
          <w:sz w:val="20"/>
          <w:szCs w:val="20"/>
          <w:vertAlign w:val="subscript"/>
        </w:rPr>
        <w:t>2</w:t>
      </w:r>
      <w:r w:rsidRPr="007173E6">
        <w:rPr>
          <w:rFonts w:ascii="Arial" w:hAnsi="Arial" w:cs="Arial"/>
          <w:bCs/>
          <w:sz w:val="20"/>
          <w:szCs w:val="20"/>
        </w:rPr>
        <w:t xml:space="preserve"> .2H</w:t>
      </w:r>
      <w:r w:rsidRPr="007173E6">
        <w:rPr>
          <w:rFonts w:ascii="Arial" w:hAnsi="Arial" w:cs="Arial"/>
          <w:bCs/>
          <w:sz w:val="20"/>
          <w:szCs w:val="20"/>
          <w:vertAlign w:val="subscript"/>
        </w:rPr>
        <w:t>2</w:t>
      </w:r>
      <w:r w:rsidRPr="007173E6">
        <w:rPr>
          <w:rFonts w:ascii="Arial" w:hAnsi="Arial" w:cs="Arial"/>
          <w:bCs/>
          <w:sz w:val="20"/>
          <w:szCs w:val="20"/>
        </w:rPr>
        <w:t xml:space="preserve">O, and 20g/l g agar. The presence of halophilic colonies with an opaque zone </w:t>
      </w:r>
      <w:r w:rsidR="00555567" w:rsidRPr="007173E6">
        <w:rPr>
          <w:rFonts w:ascii="Arial" w:hAnsi="Arial" w:cs="Arial"/>
          <w:bCs/>
          <w:sz w:val="20"/>
          <w:szCs w:val="20"/>
        </w:rPr>
        <w:t xml:space="preserve">around the colony was used as a </w:t>
      </w:r>
      <w:r w:rsidRPr="007173E6">
        <w:rPr>
          <w:rFonts w:ascii="Arial" w:hAnsi="Arial" w:cs="Arial"/>
          <w:bCs/>
          <w:sz w:val="20"/>
          <w:szCs w:val="20"/>
        </w:rPr>
        <w:t>positive indicator.</w:t>
      </w:r>
    </w:p>
    <w:p w14:paraId="37402AD9" w14:textId="77777777" w:rsidR="001A1F8C" w:rsidRPr="00363042" w:rsidRDefault="00363042" w:rsidP="005B6FFA">
      <w:pPr>
        <w:pStyle w:val="Heading3"/>
        <w:numPr>
          <w:ilvl w:val="2"/>
          <w:numId w:val="38"/>
        </w:numPr>
        <w:spacing w:line="480" w:lineRule="auto"/>
        <w:rPr>
          <w:rFonts w:ascii="Arial" w:hAnsi="Arial" w:cs="Arial"/>
          <w:b/>
          <w:color w:val="auto"/>
          <w:sz w:val="22"/>
          <w:szCs w:val="22"/>
        </w:rPr>
      </w:pPr>
      <w:r w:rsidRPr="00363042">
        <w:rPr>
          <w:rFonts w:ascii="Arial" w:hAnsi="Arial" w:cs="Arial"/>
          <w:b/>
          <w:color w:val="auto"/>
          <w:sz w:val="22"/>
          <w:szCs w:val="22"/>
        </w:rPr>
        <w:t>SCREENING FOR LACTIC ACID PRODUCTION</w:t>
      </w:r>
    </w:p>
    <w:p w14:paraId="33B89296" w14:textId="77777777" w:rsidR="001A1F8C" w:rsidRPr="007173E6" w:rsidRDefault="001A1F8C" w:rsidP="005B6FFA">
      <w:pPr>
        <w:spacing w:line="480" w:lineRule="auto"/>
        <w:rPr>
          <w:rFonts w:ascii="Arial" w:hAnsi="Arial" w:cs="Arial"/>
          <w:sz w:val="20"/>
          <w:szCs w:val="20"/>
        </w:rPr>
      </w:pPr>
      <w:r w:rsidRPr="007173E6">
        <w:rPr>
          <w:rFonts w:ascii="Arial" w:hAnsi="Arial" w:cs="Arial"/>
          <w:bCs/>
          <w:sz w:val="20"/>
          <w:szCs w:val="20"/>
        </w:rPr>
        <w:t xml:space="preserve">Lactic acid </w:t>
      </w:r>
      <w:r w:rsidRPr="007173E6">
        <w:rPr>
          <w:rFonts w:ascii="Arial" w:hAnsi="Arial" w:cs="Arial"/>
          <w:sz w:val="20"/>
          <w:szCs w:val="20"/>
        </w:rPr>
        <w:t xml:space="preserve">by isolates was assessed using Man Rogosa Sharp (MRS) medium (incubated at 37˚C +/- 2) as documented by  using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author":[{"dropping-particle":"","family":"Chowdhury","given":"Tasneem","non-dropping-particle":"","parse-names":false,"suffix":""},{"dropping-particle":"","family":"Islam","given":"Saiful","non-dropping-particle":"","parse-names":false,"suffix":""}],"id":"ITEM-1","issue":"4","issued":{"date-parts":[["2016"]]},"page":"263-267","title":"Isolation, Identification and Determination of Probiotic potential of Lactic Acid Bacteria from Local Curd","type":"article-journal","volume":"7"},"uris":["http://www.mendeley.com/documents/?uuid=0a8a86fc-84dd-4015-9b6c-64d2e59dc6e5"]}],"mendeley":{"formattedCitation":"(Chowdhury &amp; Islam, 2016)","manualFormatting":"Chowdhury and Islam, (2016)","plainTextFormattedCitation":"(Chowdhury &amp; Islam, 2016)","previouslyFormattedCitation":"(Chowdhury &amp; Islam, 2016)"},"properties":{"noteIndex":0},"schema":"https://github.com/citation-style-language/schema/raw/master/csl-citation.json"}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Chowdhury and Islam, (2016)</w:t>
      </w:r>
      <w:r w:rsidRPr="007173E6">
        <w:rPr>
          <w:rStyle w:val="FootnoteReference"/>
          <w:rFonts w:ascii="Arial" w:hAnsi="Arial" w:cs="Arial"/>
          <w:sz w:val="20"/>
          <w:szCs w:val="20"/>
        </w:rPr>
        <w:fldChar w:fldCharType="end"/>
      </w:r>
      <w:r w:rsidRPr="007173E6">
        <w:rPr>
          <w:rFonts w:ascii="Arial" w:hAnsi="Arial" w:cs="Arial"/>
          <w:sz w:val="20"/>
          <w:szCs w:val="20"/>
        </w:rPr>
        <w:t xml:space="preserve">,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{"citationItems":[{"id":"ITEM-1","itemData":{"ISBN":"1111111111","author":[{"dropping-particle":"","family":"Dowarah","given":"Runjun","non-dropping-particle":"","parse-names":false,"suffix":""},{"dropping-particle":"","family":"Verma","given":"Ashok Kumar","non-dropping-particle":"","parse-names":false,"suffix":""},{"dropping-particle":"","family":"Agarwal","given":"Neeta","non-dropping-particle":"","parse-names":false,"suffix":""},{"dropping-particle":"","family":"Singh","given":"Putan","non-dropping-particle":"","parse-names":false,"suffix":""}],"id":"ITEM-1","issued":{"date-parts":[["2018"]]},"title":"Selection and characterization of probiotic lactic acid bacteria and its impact on growth , nutrient digestibility , health and antioxidant status in weaned piglets","type":"article-journal"},"uris":["http://www.mendeley.com/documents/?uuid=893a4f13-e45b-4c5a-964b-f7eae7041d7e"]}],"mendeley":{"formattedCitation":"(Dowarah et al., 2018)","manualFormatting":"Dowarah et al., (2018)","plainTextFormattedCitation":"(Dowarah et al., 2018)","previouslyFormattedCitation":"(Dowarah et al., 2018)"},"properties":{"noteIndex":0},"schema":"https://github.com/citation-style-language/schema/raw/master/csl-citation.json"}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Dowarah et al., (2018)</w:t>
      </w:r>
      <w:r w:rsidRPr="007173E6">
        <w:rPr>
          <w:rStyle w:val="FootnoteReference"/>
          <w:rFonts w:ascii="Arial" w:hAnsi="Arial" w:cs="Arial"/>
          <w:sz w:val="20"/>
          <w:szCs w:val="20"/>
        </w:rPr>
        <w:fldChar w:fldCharType="end"/>
      </w:r>
      <w:r w:rsidRPr="007173E6">
        <w:rPr>
          <w:rFonts w:ascii="Arial" w:hAnsi="Arial" w:cs="Arial"/>
          <w:sz w:val="20"/>
          <w:szCs w:val="20"/>
        </w:rPr>
        <w:t xml:space="preserve"> and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{"citationItems":[{"id":"ITEM-1","itemData":{"DOI":"10.4194/1303-2712-v16","author":[{"dropping-particle":"","family":"Maji","given":"Usha Jyoti","non-dropping-particle":"","parse-names":false,"suffix":""},{"dropping-particle":"","family":"Mohanty","given":"Sriprakash","non-dropping-particle":"","parse-names":false,"suffix":""},{"dropping-particle":"","family":"Mahapatra","given":"Abhijit Sinha","non-dropping-particle":"","parse-names":false,"suffix":""},{"dropping-particle":"","family":"Maiti","given":"Nikhil Kumar","non-dropping-particle":"","parse-names":false,"suffix":""}],"id":"ITEM-1","issued":{"date-parts":[["2016"]]},"page":"805-818","title":"Diversity and Probiotic Potentials of Putative Lactic Acid Bacteria for Application in Freshwater Aquaculture","type":"article-journal","volume":"818"},"uris":["http://www.mendeley.com/documents/?uuid=f00f62e7-d930-4aab-9047-b87a9d71f0a9"]}],"mendeley":{"formattedCitation":"(Maji et al., 2016)","manualFormatting":"Maji et al., (2016)","plainTextFormattedCitation":"(Maji et al., 2016)","previouslyFormattedCitation":"(Maji et al., 2016)"},"properties":{"noteIndex":0},"schema":"https://github.com/citation-style-language/schema/raw/master/csl-citation.json"}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Maji et al., (2016)</w:t>
      </w:r>
      <w:r w:rsidRPr="007173E6">
        <w:rPr>
          <w:rStyle w:val="FootnoteReference"/>
          <w:rFonts w:ascii="Arial" w:hAnsi="Arial" w:cs="Arial"/>
          <w:sz w:val="20"/>
          <w:szCs w:val="20"/>
        </w:rPr>
        <w:fldChar w:fldCharType="end"/>
      </w:r>
      <w:r w:rsidRPr="007173E6">
        <w:rPr>
          <w:rFonts w:ascii="Arial" w:hAnsi="Arial" w:cs="Arial"/>
          <w:sz w:val="20"/>
          <w:szCs w:val="20"/>
        </w:rPr>
        <w:t xml:space="preserve"> methods. colonies showing halo-zone indicated </w:t>
      </w:r>
      <w:r w:rsidR="00555567" w:rsidRPr="007173E6">
        <w:rPr>
          <w:rFonts w:ascii="Arial" w:hAnsi="Arial" w:cs="Arial"/>
          <w:bCs/>
          <w:sz w:val="20"/>
          <w:szCs w:val="20"/>
        </w:rPr>
        <w:t xml:space="preserve">a </w:t>
      </w:r>
      <w:r w:rsidRPr="007173E6">
        <w:rPr>
          <w:rFonts w:ascii="Arial" w:hAnsi="Arial" w:cs="Arial"/>
          <w:bCs/>
          <w:sz w:val="20"/>
          <w:szCs w:val="20"/>
        </w:rPr>
        <w:t>positive</w:t>
      </w:r>
      <w:r w:rsidRPr="007173E6">
        <w:rPr>
          <w:rFonts w:ascii="Arial" w:hAnsi="Arial" w:cs="Arial"/>
          <w:sz w:val="20"/>
          <w:szCs w:val="20"/>
        </w:rPr>
        <w:t xml:space="preserve"> result.</w:t>
      </w:r>
    </w:p>
    <w:p w14:paraId="4ADC5078" w14:textId="77777777" w:rsidR="001A1F8C" w:rsidRPr="00363042" w:rsidRDefault="00363042" w:rsidP="005B6FFA">
      <w:pPr>
        <w:pStyle w:val="Heading3"/>
        <w:numPr>
          <w:ilvl w:val="2"/>
          <w:numId w:val="38"/>
        </w:numPr>
        <w:spacing w:line="480" w:lineRule="auto"/>
        <w:rPr>
          <w:rFonts w:ascii="Arial" w:hAnsi="Arial" w:cs="Arial"/>
          <w:b/>
          <w:color w:val="auto"/>
          <w:sz w:val="22"/>
          <w:szCs w:val="22"/>
        </w:rPr>
      </w:pPr>
      <w:bookmarkStart w:id="3" w:name="_Toc104014180"/>
      <w:r w:rsidRPr="00363042">
        <w:rPr>
          <w:rFonts w:ascii="Arial" w:hAnsi="Arial" w:cs="Arial"/>
          <w:b/>
          <w:color w:val="auto"/>
          <w:sz w:val="22"/>
          <w:szCs w:val="22"/>
        </w:rPr>
        <w:t>SCREENING FOR BILE SALTS HYDROLASES (BSH)</w:t>
      </w:r>
      <w:bookmarkEnd w:id="3"/>
      <w:r w:rsidRPr="00363042">
        <w:rPr>
          <w:rFonts w:ascii="Arial" w:hAnsi="Arial" w:cs="Arial"/>
          <w:b/>
          <w:color w:val="auto"/>
          <w:sz w:val="22"/>
          <w:szCs w:val="22"/>
        </w:rPr>
        <w:t xml:space="preserve"> PRODUCTION</w:t>
      </w:r>
    </w:p>
    <w:p w14:paraId="0107EC7B" w14:textId="77777777" w:rsidR="001A1F8C" w:rsidRPr="007173E6" w:rsidRDefault="001A1F8C" w:rsidP="005B6FFA">
      <w:pPr>
        <w:spacing w:line="480" w:lineRule="auto"/>
        <w:rPr>
          <w:rFonts w:ascii="Arial" w:hAnsi="Arial" w:cs="Arial"/>
          <w:bCs/>
          <w:sz w:val="20"/>
          <w:szCs w:val="20"/>
        </w:rPr>
      </w:pPr>
      <w:r w:rsidRPr="007173E6">
        <w:rPr>
          <w:rFonts w:ascii="Arial" w:hAnsi="Arial" w:cs="Arial"/>
          <w:bCs/>
          <w:sz w:val="20"/>
          <w:szCs w:val="20"/>
        </w:rPr>
        <w:t xml:space="preserve">The qualitative BSH assessment  was done as described by </w:t>
      </w:r>
      <w:r w:rsidRPr="007173E6">
        <w:rPr>
          <w:rStyle w:val="FootnoteReference"/>
          <w:rFonts w:ascii="Arial" w:hAnsi="Arial" w:cs="Arial"/>
          <w:bCs/>
          <w:sz w:val="20"/>
          <w:szCs w:val="20"/>
        </w:rPr>
        <w:fldChar w:fldCharType="begin" w:fldLock="1"/>
      </w:r>
      <w:r w:rsidRPr="007173E6">
        <w:rPr>
          <w:rFonts w:ascii="Arial" w:hAnsi="Arial" w:cs="Arial"/>
          <w:bCs/>
          <w:sz w:val="20"/>
          <w:szCs w:val="20"/>
        </w:rPr>
        <w:instrText>ADDIN CSL_CITATION {"citationItems":[{"id":"ITEM-1","itemData":{"DOI":"10.1016/j.aoas.2016.03.001","ISSN":"0570-1783","author":[{"dropping-particle":"","family":"Shehata","given":"M G","non-dropping-particle":"","parse-names":false,"suffix":""},{"dropping-particle":"El","family":"Sohaimy","given":"S A","non-dropping-particle":"","parse-names":false,"suffix":""},{"dropping-particle":"","family":"El-sahn","given":"Malak A","non-dropping-particle":"","parse-names":false,"suffix":""},{"dropping-particle":"","family":"Youssef","given":"M M","non-dropping-particle":"","parse-names":false,"suffix":""}],"container-title":"ANNALS OF AGRICULTURAL SCIENCES","id":"ITEM-1","issue":"April","issued":{"date-parts":[["2016"]]},"publisher":"Faculty of Agriculture, Ain Shams University","title":"Screening of isolated potential probiotic lactic acid bacteria for cholesterol lowering property and bile salt hydrolase activity","type":"article-journal"},"uris":["http://www.mendeley.com/documents/?uuid=2a3aa9d9-7003-448e-85d3-1c9637b1ca18"]}],"mendeley":{"formattedCitation":"(Shehata et al., 2016)","manualFormatting":"Shehata et al., (2016)","plainTextFormattedCitation":"(Shehata et al., 2016)","previouslyFormattedCitation":"(Shehata et al., 2016)"},"properties":{"noteIndex":0},"schema":"https://github.com/citation-style-language/schema/raw/master/csl-citation.json"}</w:instrText>
      </w:r>
      <w:r w:rsidRPr="007173E6">
        <w:rPr>
          <w:rStyle w:val="FootnoteReference"/>
          <w:rFonts w:ascii="Arial" w:hAnsi="Arial" w:cs="Arial"/>
          <w:bCs/>
          <w:sz w:val="20"/>
          <w:szCs w:val="20"/>
        </w:rPr>
        <w:fldChar w:fldCharType="separate"/>
      </w:r>
      <w:r w:rsidRPr="007173E6">
        <w:rPr>
          <w:rFonts w:ascii="Arial" w:hAnsi="Arial" w:cs="Arial"/>
          <w:bCs/>
          <w:noProof/>
          <w:sz w:val="20"/>
          <w:szCs w:val="20"/>
        </w:rPr>
        <w:t>Shehata et al., (2016)</w:t>
      </w:r>
      <w:r w:rsidRPr="007173E6">
        <w:rPr>
          <w:rStyle w:val="FootnoteReference"/>
          <w:rFonts w:ascii="Arial" w:hAnsi="Arial" w:cs="Arial"/>
          <w:bCs/>
          <w:sz w:val="20"/>
          <w:szCs w:val="20"/>
        </w:rPr>
        <w:fldChar w:fldCharType="end"/>
      </w:r>
      <w:r w:rsidRPr="007173E6">
        <w:rPr>
          <w:rFonts w:ascii="Arial" w:hAnsi="Arial" w:cs="Arial"/>
          <w:bCs/>
          <w:sz w:val="20"/>
          <w:szCs w:val="20"/>
        </w:rPr>
        <w:t xml:space="preserve"> where isolates were inocu</w:t>
      </w:r>
      <w:r w:rsidR="00555567" w:rsidRPr="007173E6">
        <w:rPr>
          <w:rFonts w:ascii="Arial" w:hAnsi="Arial" w:cs="Arial"/>
          <w:bCs/>
          <w:sz w:val="20"/>
          <w:szCs w:val="20"/>
        </w:rPr>
        <w:t>lated on specific media that had</w:t>
      </w:r>
      <w:r w:rsidRPr="007173E6">
        <w:rPr>
          <w:rFonts w:ascii="Arial" w:hAnsi="Arial" w:cs="Arial"/>
          <w:bCs/>
          <w:sz w:val="20"/>
          <w:szCs w:val="20"/>
        </w:rPr>
        <w:t xml:space="preserve"> been supplemented by CaCl</w:t>
      </w:r>
      <w:r w:rsidRPr="007173E6">
        <w:rPr>
          <w:rFonts w:ascii="Arial" w:hAnsi="Arial" w:cs="Arial"/>
          <w:bCs/>
          <w:sz w:val="20"/>
          <w:szCs w:val="20"/>
          <w:vertAlign w:val="subscript"/>
        </w:rPr>
        <w:t xml:space="preserve">2 </w:t>
      </w:r>
      <w:r w:rsidRPr="007173E6">
        <w:rPr>
          <w:rFonts w:ascii="Arial" w:hAnsi="Arial" w:cs="Arial"/>
          <w:bCs/>
          <w:sz w:val="20"/>
          <w:szCs w:val="20"/>
        </w:rPr>
        <w:t xml:space="preserve">(0.037%) and taurodeoxycholic acid </w:t>
      </w:r>
      <w:r w:rsidRPr="007173E6">
        <w:rPr>
          <w:rFonts w:ascii="Arial" w:hAnsi="Arial" w:cs="Arial"/>
          <w:bCs/>
          <w:sz w:val="20"/>
          <w:szCs w:val="20"/>
        </w:rPr>
        <w:lastRenderedPageBreak/>
        <w:t xml:space="preserve">sodium salt (0.5% {w/v}). Precipitate formation around the colonies after 96 hrs. anaerobic incubation at 37 °C </w:t>
      </w:r>
      <w:r w:rsidRPr="007173E6">
        <w:rPr>
          <w:rFonts w:ascii="Arial" w:hAnsi="Arial" w:cs="Arial"/>
          <w:sz w:val="20"/>
          <w:szCs w:val="20"/>
        </w:rPr>
        <w:t xml:space="preserve">indicated </w:t>
      </w:r>
      <w:r w:rsidR="00555567" w:rsidRPr="007173E6">
        <w:rPr>
          <w:rFonts w:ascii="Arial" w:hAnsi="Arial" w:cs="Arial"/>
          <w:bCs/>
          <w:sz w:val="20"/>
          <w:szCs w:val="20"/>
        </w:rPr>
        <w:t xml:space="preserve">a </w:t>
      </w:r>
      <w:r w:rsidRPr="007173E6">
        <w:rPr>
          <w:rFonts w:ascii="Arial" w:hAnsi="Arial" w:cs="Arial"/>
          <w:bCs/>
          <w:sz w:val="20"/>
          <w:szCs w:val="20"/>
        </w:rPr>
        <w:t>positive</w:t>
      </w:r>
      <w:r w:rsidRPr="007173E6">
        <w:rPr>
          <w:rFonts w:ascii="Arial" w:hAnsi="Arial" w:cs="Arial"/>
          <w:sz w:val="20"/>
          <w:szCs w:val="20"/>
        </w:rPr>
        <w:t xml:space="preserve"> result.</w:t>
      </w:r>
    </w:p>
    <w:p w14:paraId="2807D8D7" w14:textId="77777777" w:rsidR="001A1F8C" w:rsidRPr="00363042" w:rsidRDefault="00363042" w:rsidP="005B6FFA">
      <w:pPr>
        <w:pStyle w:val="Heading3"/>
        <w:numPr>
          <w:ilvl w:val="2"/>
          <w:numId w:val="38"/>
        </w:numPr>
        <w:spacing w:line="480" w:lineRule="auto"/>
        <w:rPr>
          <w:rFonts w:ascii="Arial" w:hAnsi="Arial" w:cs="Arial"/>
          <w:b/>
          <w:color w:val="auto"/>
          <w:sz w:val="22"/>
          <w:szCs w:val="22"/>
        </w:rPr>
      </w:pPr>
      <w:bookmarkStart w:id="4" w:name="_Toc104014178"/>
      <w:bookmarkStart w:id="5" w:name="_Toc104014181"/>
      <w:r w:rsidRPr="00363042">
        <w:rPr>
          <w:rFonts w:ascii="Arial" w:hAnsi="Arial" w:cs="Arial"/>
          <w:b/>
          <w:color w:val="auto"/>
          <w:sz w:val="22"/>
          <w:szCs w:val="22"/>
        </w:rPr>
        <w:t>ASSESSMENT OF ISOLATES TO DIVERSE PH AND BILE SALT (BS)</w:t>
      </w:r>
      <w:bookmarkEnd w:id="4"/>
    </w:p>
    <w:p w14:paraId="501685C0"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 xml:space="preserve">Isolates tolerance to diverse </w:t>
      </w:r>
      <w:r w:rsidRPr="007173E6">
        <w:rPr>
          <w:rFonts w:ascii="Arial" w:hAnsi="Arial" w:cs="Arial"/>
          <w:iCs/>
          <w:sz w:val="20"/>
          <w:szCs w:val="20"/>
        </w:rPr>
        <w:t>p</w:t>
      </w:r>
      <w:r w:rsidRPr="007173E6">
        <w:rPr>
          <w:rFonts w:ascii="Arial" w:hAnsi="Arial" w:cs="Arial"/>
          <w:sz w:val="20"/>
          <w:szCs w:val="20"/>
        </w:rPr>
        <w:t xml:space="preserve">H was be assessed using  pH of 2.0-4.5 and 7.0-8.0 for acidic and basic conditions in growth medium using HCl and NaOH as documented by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{"citationItems":[{"id":"ITEM-1","itemData":{"ISBN":"1111111111","author":[{"dropping-particle":"","family":"Dowarah","given":"Runjun","non-dropping-particle":"","parse-names":false,"suffix":""},{"dropping-particle":"","family":"Verma","given":"Ashok Kumar","non-dropping-particle":"","parse-names":false,"suffix":""},{"dropping-particle":"","family":"Agarwal","given":"Neeta","non-dropping-particle":"","parse-names":false,"suffix":""},{"dropping-particle":"","family":"Singh","given":"Putan","non-dropping-particle":"","parse-names":false,"suffix":""}],"id":"ITEM-1","issued":{"date-parts":[["2018"]]},"title":"Selection and characterization of probiotic lactic acid bacteria and its impact on growth , nutrient digestibility , health and antioxidant status in weaned piglets","type":"article-journal"},"uris":["http://www.mendeley.com/documents/?uuid=893a4f13-e45b-4c5a-964b-f7eae7041d7e"]}],"mendeley":{"formattedCitation":"(Dowarah et al., 2018)","manualFormatting":"Dowarah et al., (2018)","plainTextFormattedCitation":"(Dowarah et al., 2018)","previouslyFormattedCitation":"(Dowarah et al., 2018)"},"properties":{"noteIndex":0},"schema":"https://github.com/citation-style-language/schema/raw/master/csl-citation.json"}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Dowarah et al., (2018)</w:t>
      </w:r>
      <w:r w:rsidRPr="007173E6">
        <w:rPr>
          <w:rStyle w:val="FootnoteReference"/>
          <w:rFonts w:ascii="Arial" w:hAnsi="Arial" w:cs="Arial"/>
          <w:sz w:val="20"/>
          <w:szCs w:val="20"/>
        </w:rPr>
        <w:fldChar w:fldCharType="end"/>
      </w:r>
      <w:r w:rsidRPr="007173E6">
        <w:rPr>
          <w:rFonts w:ascii="Arial" w:hAnsi="Arial" w:cs="Arial"/>
          <w:sz w:val="20"/>
          <w:szCs w:val="20"/>
        </w:rPr>
        <w:t xml:space="preserve"> and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{"citationItems":[{"id":"ITEM-1","itemData":{"DOI":"10.4194/1303-2712-v16","author":[{"dropping-particle":"","family":"Maji","given":"Usha Jyoti","non-dropping-particle":"","parse-names":false,"suffix":""},{"dropping-particle":"","family":"Mohanty","given":"Sriprakash","non-dropping-particle":"","parse-names":false,"suffix":""},{"dropping-particle":"","family":"Mahapatra","given":"Abhijit Sinha","non-dropping-particle":"","parse-names":false,"suffix":""},{"dropping-particle":"","family":"Maiti","given":"Nikhil Kumar","non-dropping-particle":"","parse-names":false,"suffix":""}],"id":"ITEM-1","issued":{"date-parts":[["2016"]]},"page":"805-818","title":"Diversity and Probiotic Potentials of Putative Lactic Acid Bacteria for Application in Freshwater Aquaculture","type":"article-journal","volume":"818"},"uris":["http://www.mendeley.com/documents/?uuid=f00f62e7-d930-4aab-9047-b87a9d71f0a9"]}],"mendeley":{"formattedCitation":"(Maji et al., 2016)","manualFormatting":"Maji et al., (2016)","plainTextFormattedCitation":"(Maji et al., 2016)","previouslyFormattedCitation":"(Maji et al., 2016)"},"properties":{"noteIndex":0},"schema":"https://github.com/citation-style-language/schema/raw/master/csl-citation.json"}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Maji et al., (2016)</w:t>
      </w:r>
      <w:r w:rsidRPr="007173E6">
        <w:rPr>
          <w:rStyle w:val="FootnoteReference"/>
          <w:rFonts w:ascii="Arial" w:hAnsi="Arial" w:cs="Arial"/>
          <w:sz w:val="20"/>
          <w:szCs w:val="20"/>
        </w:rPr>
        <w:fldChar w:fldCharType="end"/>
      </w:r>
      <w:r w:rsidRPr="007173E6">
        <w:rPr>
          <w:rFonts w:ascii="Arial" w:hAnsi="Arial" w:cs="Arial"/>
          <w:sz w:val="20"/>
          <w:szCs w:val="20"/>
        </w:rPr>
        <w:t>. To assess tolerance bile salt levels, microbes were inoculated in modified Man Rogosa Sharp broth at diverse concentration ranging from 0.075-1%. The growth was measured using optical density method at OD 580 nm for pH and 620 nm BS.</w:t>
      </w:r>
    </w:p>
    <w:p w14:paraId="0B15ED55" w14:textId="77777777" w:rsidR="001A1F8C" w:rsidRPr="00363042" w:rsidRDefault="00363042" w:rsidP="005B6FFA">
      <w:pPr>
        <w:pStyle w:val="Heading3"/>
        <w:numPr>
          <w:ilvl w:val="2"/>
          <w:numId w:val="38"/>
        </w:numPr>
        <w:spacing w:line="480" w:lineRule="auto"/>
        <w:rPr>
          <w:rFonts w:ascii="Arial" w:hAnsi="Arial" w:cs="Arial"/>
          <w:b/>
          <w:color w:val="auto"/>
          <w:sz w:val="22"/>
          <w:szCs w:val="22"/>
        </w:rPr>
      </w:pPr>
      <w:bookmarkStart w:id="6" w:name="_Toc104014182"/>
      <w:r w:rsidRPr="00363042">
        <w:rPr>
          <w:rFonts w:ascii="Arial" w:hAnsi="Arial" w:cs="Arial"/>
          <w:b/>
          <w:color w:val="auto"/>
          <w:sz w:val="22"/>
          <w:szCs w:val="22"/>
        </w:rPr>
        <w:t>ASSESSMENT OF ISOLATES FOR PHYTASE</w:t>
      </w:r>
      <w:bookmarkEnd w:id="6"/>
      <w:r w:rsidRPr="00363042">
        <w:rPr>
          <w:rFonts w:ascii="Arial" w:hAnsi="Arial" w:cs="Arial"/>
          <w:b/>
          <w:color w:val="auto"/>
          <w:sz w:val="22"/>
          <w:szCs w:val="22"/>
        </w:rPr>
        <w:t xml:space="preserve"> PRODUCTION</w:t>
      </w:r>
    </w:p>
    <w:p w14:paraId="633E981D"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 xml:space="preserve">The phytase production of isolates was assessed by inoculating on specific phytase enzymatic medium as documented by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{"citationItems":[{"id":"ITEM-1","itemData":{"ISBN":"1111111111","author":[{"dropping-particle":"","family":"Dowarah","given":"Runjun","non-dropping-particle":"","parse-names":false,"suffix":""},{"dropping-particle":"","family":"Verma","given":"Ashok Kumar","non-dropping-particle":"","parse-names":false,"suffix":""},{"dropping-particle":"","family":"Agarwal","given":"Neeta","non-dropping-particle":"","parse-names":false,"suffix":""},{"dropping-particle":"","family":"Singh","given":"Putan","non-dropping-particle":"","parse-names":false,"suffix":""}],"id":"ITEM-1","issued":{"date-parts":[["2018"]]},"title":"Selection and characterization of probiotic lactic acid bacteria and its impact on growth , nutrient digestibility , health and antioxidant status in weaned piglets","type":"article-journal"},"uris":["http://www.mendeley.com/documents/?uuid=893a4f13-e45b-4c5a-964b-f7eae7041d7e"]}],"mendeley":{"formattedCitation":"(Dowarah et al., 2018)","manualFormatting":"Dowarah et al., (2018)","plainTextFormattedCitation":"(Dowarah et al., 2018)","previouslyFormattedCitation":"(Dowarah et al., 2018)"},"properties":{"noteIndex":0},"schema":"https://github.com/citation-style-language/schema/raw/master/csl-citation.json"}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Dowarah et al., (2018)</w:t>
      </w:r>
      <w:r w:rsidRPr="007173E6">
        <w:rPr>
          <w:rStyle w:val="FootnoteReference"/>
          <w:rFonts w:ascii="Arial" w:hAnsi="Arial" w:cs="Arial"/>
          <w:sz w:val="20"/>
          <w:szCs w:val="20"/>
        </w:rPr>
        <w:fldChar w:fldCharType="end"/>
      </w:r>
      <w:r w:rsidRPr="007173E6">
        <w:rPr>
          <w:rFonts w:ascii="Arial" w:hAnsi="Arial" w:cs="Arial"/>
          <w:sz w:val="20"/>
          <w:szCs w:val="20"/>
        </w:rPr>
        <w:t>. The phytase enzymatic medium contained 0.5% NH</w:t>
      </w:r>
      <w:r w:rsidRPr="007173E6">
        <w:rPr>
          <w:rFonts w:ascii="Arial" w:hAnsi="Arial" w:cs="Arial"/>
          <w:sz w:val="20"/>
          <w:szCs w:val="20"/>
          <w:vertAlign w:val="subscript"/>
        </w:rPr>
        <w:t>4</w:t>
      </w:r>
      <w:r w:rsidRPr="007173E6">
        <w:rPr>
          <w:rFonts w:ascii="Arial" w:hAnsi="Arial" w:cs="Arial"/>
          <w:sz w:val="20"/>
          <w:szCs w:val="20"/>
        </w:rPr>
        <w:t>NO</w:t>
      </w:r>
      <w:r w:rsidRPr="007173E6">
        <w:rPr>
          <w:rFonts w:ascii="Arial" w:hAnsi="Arial" w:cs="Arial"/>
          <w:sz w:val="20"/>
          <w:szCs w:val="20"/>
          <w:vertAlign w:val="subscript"/>
        </w:rPr>
        <w:t>3</w:t>
      </w:r>
      <w:r w:rsidRPr="007173E6">
        <w:rPr>
          <w:rFonts w:ascii="Arial" w:hAnsi="Arial" w:cs="Arial"/>
          <w:sz w:val="20"/>
          <w:szCs w:val="20"/>
        </w:rPr>
        <w:t>, 1.5% glucose, 0.05% MgSO</w:t>
      </w:r>
      <w:r w:rsidRPr="007173E6">
        <w:rPr>
          <w:rFonts w:ascii="Arial" w:hAnsi="Arial" w:cs="Arial"/>
          <w:sz w:val="20"/>
          <w:szCs w:val="20"/>
          <w:vertAlign w:val="subscript"/>
        </w:rPr>
        <w:t>4</w:t>
      </w:r>
      <w:r w:rsidRPr="007173E6">
        <w:rPr>
          <w:rFonts w:ascii="Arial" w:hAnsi="Arial" w:cs="Arial"/>
          <w:sz w:val="20"/>
          <w:szCs w:val="20"/>
        </w:rPr>
        <w:t>7H</w:t>
      </w:r>
      <w:r w:rsidRPr="007173E6">
        <w:rPr>
          <w:rFonts w:ascii="Arial" w:hAnsi="Arial" w:cs="Arial"/>
          <w:sz w:val="20"/>
          <w:szCs w:val="20"/>
          <w:vertAlign w:val="subscript"/>
        </w:rPr>
        <w:t>2</w:t>
      </w:r>
      <w:r w:rsidRPr="007173E6">
        <w:rPr>
          <w:rFonts w:ascii="Arial" w:hAnsi="Arial" w:cs="Arial"/>
          <w:sz w:val="20"/>
          <w:szCs w:val="20"/>
        </w:rPr>
        <w:t>O, 0.5% calcium phytate, 0.02% MnSO</w:t>
      </w:r>
      <w:r w:rsidRPr="007173E6">
        <w:rPr>
          <w:rFonts w:ascii="Arial" w:hAnsi="Arial" w:cs="Arial"/>
          <w:sz w:val="20"/>
          <w:szCs w:val="20"/>
          <w:vertAlign w:val="subscript"/>
        </w:rPr>
        <w:t>4</w:t>
      </w:r>
      <w:r w:rsidRPr="007173E6">
        <w:rPr>
          <w:rFonts w:ascii="Arial" w:hAnsi="Arial" w:cs="Arial"/>
          <w:sz w:val="20"/>
          <w:szCs w:val="20"/>
        </w:rPr>
        <w:t>7H</w:t>
      </w:r>
      <w:r w:rsidRPr="007173E6">
        <w:rPr>
          <w:rFonts w:ascii="Arial" w:hAnsi="Arial" w:cs="Arial"/>
          <w:sz w:val="20"/>
          <w:szCs w:val="20"/>
          <w:vertAlign w:val="subscript"/>
        </w:rPr>
        <w:t>2</w:t>
      </w:r>
      <w:r w:rsidRPr="007173E6">
        <w:rPr>
          <w:rFonts w:ascii="Arial" w:hAnsi="Arial" w:cs="Arial"/>
          <w:sz w:val="20"/>
          <w:szCs w:val="20"/>
        </w:rPr>
        <w:t>O, 1.5% agar, 0.001% FeSO</w:t>
      </w:r>
      <w:r w:rsidRPr="007173E6">
        <w:rPr>
          <w:rFonts w:ascii="Arial" w:hAnsi="Arial" w:cs="Arial"/>
          <w:sz w:val="20"/>
          <w:szCs w:val="20"/>
          <w:vertAlign w:val="subscript"/>
        </w:rPr>
        <w:t>4</w:t>
      </w:r>
      <w:r w:rsidRPr="007173E6">
        <w:rPr>
          <w:rFonts w:ascii="Arial" w:hAnsi="Arial" w:cs="Arial"/>
          <w:sz w:val="20"/>
          <w:szCs w:val="20"/>
        </w:rPr>
        <w:t>7H</w:t>
      </w:r>
      <w:r w:rsidRPr="007173E6">
        <w:rPr>
          <w:rFonts w:ascii="Arial" w:hAnsi="Arial" w:cs="Arial"/>
          <w:sz w:val="20"/>
          <w:szCs w:val="20"/>
          <w:vertAlign w:val="subscript"/>
        </w:rPr>
        <w:t>2</w:t>
      </w:r>
      <w:r w:rsidRPr="007173E6">
        <w:rPr>
          <w:rFonts w:ascii="Arial" w:hAnsi="Arial" w:cs="Arial"/>
          <w:sz w:val="20"/>
          <w:szCs w:val="20"/>
        </w:rPr>
        <w:t>O and 0.05% KCl with pH adjusted to 7.0.</w:t>
      </w:r>
    </w:p>
    <w:p w14:paraId="735E8040" w14:textId="77777777" w:rsidR="001A1F8C" w:rsidRPr="00363042" w:rsidRDefault="00363042" w:rsidP="005B6FFA">
      <w:pPr>
        <w:pStyle w:val="Heading3"/>
        <w:numPr>
          <w:ilvl w:val="2"/>
          <w:numId w:val="38"/>
        </w:numPr>
        <w:spacing w:line="480" w:lineRule="auto"/>
        <w:rPr>
          <w:rFonts w:ascii="Arial" w:hAnsi="Arial" w:cs="Arial"/>
          <w:b/>
          <w:color w:val="auto"/>
          <w:sz w:val="22"/>
          <w:szCs w:val="22"/>
        </w:rPr>
      </w:pPr>
      <w:r w:rsidRPr="00363042">
        <w:rPr>
          <w:rFonts w:ascii="Arial" w:hAnsi="Arial" w:cs="Arial"/>
          <w:b/>
          <w:color w:val="auto"/>
          <w:sz w:val="22"/>
          <w:szCs w:val="22"/>
        </w:rPr>
        <w:t>ASSESSMENT OF ISOLATES ADHESION ON SURFACE HYDROPHOBIC ASSAY</w:t>
      </w:r>
      <w:bookmarkEnd w:id="5"/>
    </w:p>
    <w:p w14:paraId="0B6B10CA" w14:textId="77777777" w:rsidR="001A1F8C" w:rsidRPr="007173E6" w:rsidRDefault="001A1F8C" w:rsidP="005B6FFA">
      <w:pPr>
        <w:spacing w:line="480" w:lineRule="auto"/>
        <w:rPr>
          <w:rFonts w:ascii="Arial" w:hAnsi="Arial" w:cs="Arial"/>
          <w:b/>
          <w:bCs/>
          <w:sz w:val="20"/>
          <w:szCs w:val="20"/>
        </w:rPr>
      </w:pPr>
      <w:r w:rsidRPr="007173E6">
        <w:rPr>
          <w:rFonts w:ascii="Arial" w:hAnsi="Arial" w:cs="Arial"/>
          <w:sz w:val="20"/>
          <w:szCs w:val="20"/>
        </w:rPr>
        <w:t xml:space="preserve">The microbial adhesiveness to epithelium surface was done using hydrocarbons modeling, xylene, toluene and hexadecane according to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{"citationItems":[{"id":"ITEM-1","itemData":{"author":[{"dropping-particle":"","family":"Chaia","given":"R E Z","non-dropping-particle":"","parse-names":false,"suffix":""},{"dropping-particle":"","family":"Gonza","given":"S","non-dropping-particle":"","parse-names":false,"suffix":""}],"id":"ITEM-1","issue":"3","issued":{"date-parts":[["1999"]]},"page":"252-256","title":"Lactobacilli Isolated from Chicken Intestines : Potential Use as Probiotics","type":"article-journal","volume":"62"},"uris":["http://www.mendeley.com/documents/?uuid=9a280310-3e6f-4346-887d-8a0c41b8e5ae"]}],"mendeley":{"formattedCitation":"(Chaia &amp; Gonza, 1999)","manualFormatting":"Chaia and Gonza, (1999)","plainTextFormattedCitation":"(Chaia &amp; Gonza, 1999)","previouslyFormattedCitation":"(Chaia &amp; Gonza, 1999)"},"properties":{"noteIndex":0},"schema":"https://github.com/citation-style-language/schema/raw/master/csl-citation.json"}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Chaia and Gonza, (1999)</w:t>
      </w:r>
      <w:r w:rsidRPr="007173E6">
        <w:rPr>
          <w:rStyle w:val="FootnoteReference"/>
          <w:rFonts w:ascii="Arial" w:hAnsi="Arial" w:cs="Arial"/>
          <w:sz w:val="20"/>
          <w:szCs w:val="20"/>
        </w:rPr>
        <w:fldChar w:fldCharType="end"/>
      </w:r>
      <w:r w:rsidRPr="007173E6">
        <w:rPr>
          <w:rFonts w:ascii="Arial" w:hAnsi="Arial" w:cs="Arial"/>
          <w:sz w:val="20"/>
          <w:szCs w:val="20"/>
        </w:rPr>
        <w:t xml:space="preserve"> and </w:t>
      </w:r>
      <w:r w:rsidRPr="007173E6">
        <w:rPr>
          <w:rFonts w:ascii="Arial" w:hAnsi="Arial" w:cs="Arial"/>
          <w:sz w:val="20"/>
          <w:szCs w:val="20"/>
        </w:rPr>
        <w:fldChar w:fldCharType="begin" w:fldLock="1"/>
      </w:r>
      <w:r w:rsidRPr="007173E6">
        <w:rPr>
          <w:rFonts w:ascii="Arial" w:hAnsi="Arial" w:cs="Arial"/>
          <w:sz w:val="20"/>
          <w:szCs w:val="20"/>
        </w:rPr>
        <w:instrText>ADDIN CSL_CITATION {"citationItems":[{"id":"ITEM-1","itemData":{"DOI":"10.3856/vol43-issue1-fulltext-11","ISSN":"0718560X","abstract":"In aquaculture, probiotics have been tested for enhancing the immune system and promoting growth and survival rate of many marine species like shrimp and mollusks. In order to isolate bacteria with a high probiotic potential for marine shellfish aquaculture, homogenates of the gastrointestinal tract from adult mangrove cockle, Anadara tuberculosa, were obtained to perform in vitro and in vivo assays. Isolates were tested in vitro for hemolytic activity, hydrophobicity, tolerance to ammonia nitrogen, salinity and pH as well as for growth kinetics, extracellular enzymatic activity, autoaggregation, coaggregation and molecular identification. Three bacteria with high degree of hydrophobicity (&gt;60% adherence to p-xylene) and four bacteria with medium hydrophobicity, which showed different patterns of attachment to monopolar solvents (chloroform and ethyl acetate) and a high tolerance to ammonia nitrogen (200 mg L&lt;sup&gt;-1&lt;/sup&gt;), were selected. Six different treatments: T1 (without addition of cultured bacteria); T2 (MAt29, Enterococcus casseliflavus); T3 (MAt35, Citrobacter koseri); T4 (GAtB1, Bacillus subtilis subtilis); T5 (GAt7, Staphylococcus sp.); and T6 (1:1:1:1 mix of strains T2, T3, T4 and T5), were used to evaluate the specific growth rate, and cellular immune response of the shrimp Litopenaeus vannamei. The best specific growth rate was observed for T6 and T4 treatments related to Bacillus subtilis subtilis. A significant difference in total hemocytes count (P &lt; 0.05) was found for T4 treatment with respect to control group. Strains isolated from A. tuberculosa had a beneficial effect on the growth and immune response of L. vannamei, so they have potential use as probiotics in aquaculture of marine shellfish.","author":[{"dropping-particle":"","family":"Sánchez-Ortiz","given":"Ana Claudia","non-dropping-particle":"","parse-names":false,"suffix":""},{"dropping-particle":"","family":"Luna-González","given":"Antonio","non-dropping-particle":"","parse-names":false,"suffix":""},{"dropping-particle":"","family":"Campa-Córdova","given":"Ángel Isidro","non-dropping-particle":"","parse-names":false,"suffix":""},{"dropping-particle":"","family":"Escamilla-Montes","given":"Ruth","non-dropping-particle":"","parse-names":false,"suffix":""},{"dropping-particle":"Del","family":"Carmen Flores-Miranda","given":"María","non-dropping-particle":"","parse-names":false,"suffix":""},{"dropping-particle":"","family":"Mazón-Suástegui","given":"José Manuel","non-dropping-particle":"","parse-names":false,"suffix":""}],"container-title":"Latin American Journal of Aquatic Research","id":"ITEM-1","issue":"1","issued":{"date-parts":[["2015"]]},"page":"123-136","publisher":"Escuela de Ciencias del Mar","title":"Aislamiento y caracterización de bacterias de la almeja “pata de mula” (anadara tuberculosa) con potencial probiótico para el cultivo de camarón","type":"article-journal","volume":"43"},"uris":["http://www.mendeley.com/documents/?uuid=cfb8fad2-516e-3c62-8994-962f5e4a4fdc"]}],"mendeley":{"formattedCitation":"(Sánchez-Ortiz et al., 2015)","manualFormatting":"Sánchez-Ortiz et al., (2015)","plainTextFormattedCitation":"(Sánchez-Ortiz et al., 2015)","previouslyFormattedCitation":"(Sánchez-Ortiz et al., 2015)"},"properties":{"noteIndex":0},"schema":"https://github.com/citation-style-language/schema/raw/master/csl-citation.json"}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Sánchez-Ortiz et al., (2015)</w:t>
      </w:r>
      <w:r w:rsidRPr="007173E6">
        <w:rPr>
          <w:rFonts w:ascii="Arial" w:hAnsi="Arial" w:cs="Arial"/>
          <w:sz w:val="20"/>
          <w:szCs w:val="20"/>
        </w:rPr>
        <w:fldChar w:fldCharType="end"/>
      </w:r>
      <w:r w:rsidRPr="007173E6">
        <w:rPr>
          <w:rFonts w:ascii="Arial" w:hAnsi="Arial" w:cs="Arial"/>
          <w:sz w:val="20"/>
          <w:szCs w:val="20"/>
        </w:rPr>
        <w:t>. Five mls of the isolate with CFU of 10</w:t>
      </w:r>
      <w:r w:rsidRPr="007173E6">
        <w:rPr>
          <w:rFonts w:ascii="Arial" w:hAnsi="Arial" w:cs="Arial"/>
          <w:sz w:val="20"/>
          <w:szCs w:val="20"/>
          <w:vertAlign w:val="superscript"/>
        </w:rPr>
        <w:t>7</w:t>
      </w:r>
      <w:r w:rsidRPr="007173E6">
        <w:rPr>
          <w:rFonts w:ascii="Arial" w:hAnsi="Arial" w:cs="Arial"/>
          <w:sz w:val="20"/>
          <w:szCs w:val="20"/>
        </w:rPr>
        <w:t xml:space="preserve">/ml was harvested by centrifuge from which 2 mls was deliberately made into contact with 0.6 mls of each of the hydrocarbons for 15 minutes. Thereafter they were mixed thoroughly by vortex for 2 minutes. The OD of the vortexed mixture was obtained at 600nm. The percent hydrophobicity (H) was calculated based on the formula as documented by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{"citationItems":[{"id":"ITEM-1","itemData":{"author":[{"dropping-particle":"","family":"Chaia","given":"R E Z","non-dropping-particle":"","parse-names":false,"suffix":""},{"dropping-particle":"","family":"Gonza","given":"S","non-dropping-particle":"","parse-names":false,"suffix":""}],"id":"ITEM-1","issue":"3","issued":{"date-parts":[["1999"]]},"page":"252-256","title":"Lactobacilli Isolated from Chicken Intestines : Potential Use as Probiotics","type":"article-journal","volume":"62"},"uris":["http://www.mendeley.com/documents/?uuid=9a280310-3e6f-4346-887d-8a0c41b8e5ae"]}],"mendeley":{"formattedCitation":"(Chaia &amp; Gonza, 1999)","manualFormatting":"Chaia and Gonza, (1999)","plainTextFormattedCitation":"(Chaia &amp; Gonza, 1999)","previouslyFormattedCitation":"(Chaia &amp; Gonza, 1999)"},"properties":{"noteIndex":0},"schema":"https://github.com/citation-style-language/schema/raw/master/csl-citation.json"}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Chaia and Gonza, (1999)</w:t>
      </w:r>
      <w:r w:rsidRPr="007173E6">
        <w:rPr>
          <w:rStyle w:val="FootnoteReference"/>
          <w:rFonts w:ascii="Arial" w:hAnsi="Arial" w:cs="Arial"/>
          <w:sz w:val="20"/>
          <w:szCs w:val="20"/>
        </w:rPr>
        <w:fldChar w:fldCharType="end"/>
      </w:r>
      <w:r w:rsidRPr="007173E6">
        <w:rPr>
          <w:rFonts w:ascii="Arial" w:hAnsi="Arial" w:cs="Arial"/>
          <w:sz w:val="20"/>
          <w:szCs w:val="20"/>
        </w:rPr>
        <w:t>. H(%)=[(AA0)/A]x100.</w:t>
      </w:r>
    </w:p>
    <w:p w14:paraId="256FBA79" w14:textId="77777777" w:rsidR="001A1F8C" w:rsidRPr="00363042" w:rsidRDefault="00363042" w:rsidP="005B6FFA">
      <w:pPr>
        <w:pStyle w:val="Heading3"/>
        <w:numPr>
          <w:ilvl w:val="2"/>
          <w:numId w:val="38"/>
        </w:numPr>
        <w:spacing w:line="480" w:lineRule="auto"/>
        <w:rPr>
          <w:rFonts w:ascii="Arial" w:hAnsi="Arial" w:cs="Arial"/>
          <w:b/>
          <w:color w:val="auto"/>
          <w:sz w:val="22"/>
          <w:szCs w:val="22"/>
        </w:rPr>
      </w:pPr>
      <w:r w:rsidRPr="00363042">
        <w:rPr>
          <w:rFonts w:ascii="Arial" w:hAnsi="Arial" w:cs="Arial"/>
          <w:b/>
          <w:color w:val="auto"/>
          <w:sz w:val="22"/>
          <w:szCs w:val="22"/>
        </w:rPr>
        <w:t>HAEMOLYTIC ACTIVITY TEST</w:t>
      </w:r>
    </w:p>
    <w:p w14:paraId="4A518A6D"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 xml:space="preserve">isolates were assessed for </w:t>
      </w:r>
      <w:proofErr w:type="spellStart"/>
      <w:r w:rsidRPr="007173E6">
        <w:rPr>
          <w:rFonts w:ascii="Arial" w:hAnsi="Arial" w:cs="Arial"/>
          <w:sz w:val="20"/>
          <w:szCs w:val="20"/>
        </w:rPr>
        <w:t>haemolysis</w:t>
      </w:r>
      <w:proofErr w:type="spellEnd"/>
      <w:r w:rsidRPr="007173E6">
        <w:rPr>
          <w:rFonts w:ascii="Arial" w:hAnsi="Arial" w:cs="Arial"/>
          <w:sz w:val="20"/>
          <w:szCs w:val="20"/>
        </w:rPr>
        <w:t xml:space="preserve"> using sheep blood (SP) agar. A loopful of isolate culture was inoculated on SP agar plate and incubated for 24 h at 37 ºC and observed for haemolytic zones around the colonies.</w:t>
      </w:r>
    </w:p>
    <w:p w14:paraId="3538429A" w14:textId="77777777" w:rsidR="001A1F8C" w:rsidRPr="00363042" w:rsidRDefault="00363042" w:rsidP="005B6FFA">
      <w:pPr>
        <w:pStyle w:val="Heading2"/>
        <w:numPr>
          <w:ilvl w:val="1"/>
          <w:numId w:val="38"/>
        </w:numPr>
        <w:spacing w:line="480" w:lineRule="auto"/>
        <w:rPr>
          <w:rFonts w:ascii="Arial" w:hAnsi="Arial" w:cs="Arial"/>
          <w:b/>
          <w:color w:val="auto"/>
          <w:sz w:val="22"/>
          <w:szCs w:val="22"/>
        </w:rPr>
      </w:pPr>
      <w:r>
        <w:rPr>
          <w:rFonts w:ascii="Arial" w:hAnsi="Arial" w:cs="Arial"/>
          <w:b/>
          <w:color w:val="auto"/>
          <w:sz w:val="22"/>
          <w:szCs w:val="22"/>
        </w:rPr>
        <w:lastRenderedPageBreak/>
        <w:t>PHYLOGENETIC ANALYSIS</w:t>
      </w:r>
    </w:p>
    <w:p w14:paraId="4A5FE0F7"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Isolates were identified using genetic characterisation by sequencing the 16S rRNA genes using both forward and reverse strands. BioEdit software was used to have the consensus sequences which was used in the BLAST algorithm query against the public nucleotide sequence in National Center for Biotechnology Information (NCBI) database to find the closely related strains (</w:t>
      </w:r>
      <w:hyperlink r:id="rId8" w:history="1">
        <w:r w:rsidRPr="007173E6">
          <w:rPr>
            <w:rStyle w:val="Hyperlink"/>
            <w:rFonts w:ascii="Arial" w:hAnsi="Arial" w:cs="Arial"/>
            <w:color w:val="auto"/>
            <w:sz w:val="20"/>
            <w:szCs w:val="20"/>
          </w:rPr>
          <w:t>http://blast.ncbi.nlm.nih.gov/Blast.cgi</w:t>
        </w:r>
      </w:hyperlink>
      <w:r w:rsidRPr="007173E6">
        <w:rPr>
          <w:rFonts w:ascii="Arial" w:hAnsi="Arial" w:cs="Arial"/>
          <w:sz w:val="20"/>
          <w:szCs w:val="20"/>
        </w:rPr>
        <w:t>.). Results on analysis will be based on the maximum identity score in which high similar sequences will be downloaded and aligned with isolate sequences in BioEdit. All isolates sequences were deposited in the GenBank and accession numbers were given.</w:t>
      </w:r>
    </w:p>
    <w:p w14:paraId="5B464775"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The</w:t>
      </w:r>
      <w:r w:rsidRPr="007173E6">
        <w:rPr>
          <w:rFonts w:ascii="Arial" w:eastAsia="Times New Roman" w:hAnsi="Arial" w:cs="Arial"/>
          <w:sz w:val="20"/>
          <w:szCs w:val="20"/>
        </w:rPr>
        <w:t xml:space="preserve"> evolutionary history was inferred using the Neighbor-Joining method to define the datasets because it </w:t>
      </w:r>
      <w:r w:rsidRPr="007173E6">
        <w:rPr>
          <w:rFonts w:ascii="Arial" w:hAnsi="Arial" w:cs="Arial"/>
          <w:sz w:val="20"/>
          <w:szCs w:val="20"/>
        </w:rPr>
        <w:t>establishes relationships between sequences according to their genetic distance (a phenetic criterion), without considering an evolutionary model (Kuan et al., 2016)</w:t>
      </w:r>
      <w:r w:rsidRPr="007173E6">
        <w:rPr>
          <w:rFonts w:ascii="Arial" w:eastAsia="Times New Roman" w:hAnsi="Arial" w:cs="Arial"/>
          <w:sz w:val="20"/>
          <w:szCs w:val="20"/>
        </w:rPr>
        <w:t xml:space="preserve">. The evolutionary distances were computed using the Maximum Composite Likelihood method and are in the units of the number of base substitutions per site. Evolutionary analysis and </w:t>
      </w:r>
      <w:r w:rsidRPr="007173E6">
        <w:rPr>
          <w:rFonts w:ascii="Arial" w:hAnsi="Arial" w:cs="Arial"/>
          <w:sz w:val="20"/>
          <w:szCs w:val="20"/>
        </w:rPr>
        <w:t>phylogenetic tree construction</w:t>
      </w:r>
      <w:r w:rsidRPr="007173E6">
        <w:rPr>
          <w:rFonts w:ascii="Arial" w:eastAsia="Times New Roman" w:hAnsi="Arial" w:cs="Arial"/>
          <w:sz w:val="20"/>
          <w:szCs w:val="20"/>
        </w:rPr>
        <w:t xml:space="preserve"> was done using MEGA11 software.</w:t>
      </w:r>
    </w:p>
    <w:p w14:paraId="32304AA4" w14:textId="77777777" w:rsidR="001A1F8C" w:rsidRPr="00363042" w:rsidRDefault="00363042" w:rsidP="005B6FFA">
      <w:pPr>
        <w:pStyle w:val="Heading2"/>
        <w:numPr>
          <w:ilvl w:val="1"/>
          <w:numId w:val="38"/>
        </w:numPr>
        <w:spacing w:line="480" w:lineRule="auto"/>
        <w:rPr>
          <w:rFonts w:ascii="Arial" w:hAnsi="Arial" w:cs="Arial"/>
          <w:b/>
          <w:color w:val="auto"/>
          <w:sz w:val="22"/>
          <w:szCs w:val="22"/>
        </w:rPr>
      </w:pPr>
      <w:r w:rsidRPr="00363042">
        <w:rPr>
          <w:rFonts w:ascii="Arial" w:hAnsi="Arial" w:cs="Arial"/>
          <w:b/>
          <w:color w:val="auto"/>
          <w:sz w:val="22"/>
          <w:szCs w:val="22"/>
        </w:rPr>
        <w:t>DATA ANALYSIS AND STATISTICS:</w:t>
      </w:r>
    </w:p>
    <w:p w14:paraId="01AC4814"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Data was analyzed and subjected to descriptive statistics, t-test and analysis of variance using the GENSTAT.</w:t>
      </w:r>
    </w:p>
    <w:p w14:paraId="4955DA37" w14:textId="77777777" w:rsidR="00203939" w:rsidRPr="007173E6" w:rsidRDefault="007173E6" w:rsidP="005B6FFA">
      <w:pPr>
        <w:pStyle w:val="Heading1"/>
        <w:numPr>
          <w:ilvl w:val="0"/>
          <w:numId w:val="38"/>
        </w:numPr>
        <w:spacing w:line="480" w:lineRule="auto"/>
        <w:jc w:val="both"/>
        <w:rPr>
          <w:rFonts w:ascii="Arial" w:hAnsi="Arial" w:cs="Arial"/>
          <w:b/>
          <w:color w:val="auto"/>
          <w:sz w:val="20"/>
          <w:szCs w:val="20"/>
        </w:rPr>
      </w:pPr>
      <w:r w:rsidRPr="007173E6">
        <w:rPr>
          <w:rFonts w:ascii="Arial" w:hAnsi="Arial" w:cs="Arial"/>
          <w:b/>
          <w:color w:val="auto"/>
          <w:sz w:val="20"/>
          <w:szCs w:val="20"/>
        </w:rPr>
        <w:t>RESULTS AND DISCUSSION</w:t>
      </w:r>
    </w:p>
    <w:p w14:paraId="7DA15D99" w14:textId="77777777" w:rsidR="00D045F7" w:rsidRPr="007A3962" w:rsidRDefault="001A1F8C" w:rsidP="005B6FFA">
      <w:pPr>
        <w:spacing w:line="480" w:lineRule="auto"/>
        <w:rPr>
          <w:rFonts w:ascii="Arial" w:hAnsi="Arial" w:cs="Arial"/>
          <w:sz w:val="20"/>
          <w:szCs w:val="20"/>
        </w:rPr>
      </w:pPr>
      <w:r w:rsidRPr="007A3962">
        <w:rPr>
          <w:rFonts w:ascii="Arial" w:hAnsi="Arial" w:cs="Arial"/>
          <w:sz w:val="20"/>
          <w:szCs w:val="20"/>
        </w:rPr>
        <w:t xml:space="preserve">A total of </w:t>
      </w:r>
      <w:r w:rsidR="00566CDD" w:rsidRPr="007A3962">
        <w:rPr>
          <w:rFonts w:ascii="Arial" w:hAnsi="Arial" w:cs="Arial"/>
          <w:sz w:val="20"/>
          <w:szCs w:val="20"/>
        </w:rPr>
        <w:t xml:space="preserve">one hundred </w:t>
      </w:r>
      <w:r w:rsidRPr="007A3962">
        <w:rPr>
          <w:rFonts w:ascii="Arial" w:hAnsi="Arial" w:cs="Arial"/>
          <w:sz w:val="20"/>
          <w:szCs w:val="20"/>
        </w:rPr>
        <w:t>twenty-two</w:t>
      </w:r>
      <w:r w:rsidR="0056638E" w:rsidRPr="007A3962">
        <w:rPr>
          <w:rFonts w:ascii="Arial" w:hAnsi="Arial" w:cs="Arial"/>
          <w:sz w:val="20"/>
          <w:szCs w:val="20"/>
        </w:rPr>
        <w:t xml:space="preserve"> </w:t>
      </w:r>
      <w:r w:rsidR="00566CDD" w:rsidRPr="007A3962">
        <w:rPr>
          <w:rFonts w:ascii="Arial" w:hAnsi="Arial" w:cs="Arial"/>
          <w:sz w:val="20"/>
          <w:szCs w:val="20"/>
        </w:rPr>
        <w:t>strains of</w:t>
      </w:r>
      <w:r w:rsidR="0056638E" w:rsidRPr="007A3962">
        <w:rPr>
          <w:rFonts w:ascii="Arial" w:hAnsi="Arial" w:cs="Arial"/>
          <w:sz w:val="20"/>
          <w:szCs w:val="20"/>
        </w:rPr>
        <w:t xml:space="preserve"> PSM were isolated out of which 6 were selected based on </w:t>
      </w:r>
      <w:r w:rsidR="00566CDD" w:rsidRPr="007A3962">
        <w:rPr>
          <w:rFonts w:ascii="Arial" w:hAnsi="Arial" w:cs="Arial"/>
          <w:sz w:val="20"/>
          <w:szCs w:val="20"/>
        </w:rPr>
        <w:t>their potentiality for commercial implication</w:t>
      </w:r>
      <w:r w:rsidR="0056638E" w:rsidRPr="007A3962">
        <w:rPr>
          <w:rFonts w:ascii="Arial" w:hAnsi="Arial" w:cs="Arial"/>
          <w:sz w:val="20"/>
          <w:szCs w:val="20"/>
        </w:rPr>
        <w:t xml:space="preserve">. </w:t>
      </w:r>
      <w:r w:rsidRPr="007A3962">
        <w:rPr>
          <w:rFonts w:ascii="Arial" w:hAnsi="Arial" w:cs="Arial"/>
          <w:sz w:val="20"/>
          <w:szCs w:val="20"/>
        </w:rPr>
        <w:t xml:space="preserve">These </w:t>
      </w:r>
      <w:r w:rsidR="0056638E" w:rsidRPr="007A3962">
        <w:rPr>
          <w:rFonts w:ascii="Arial" w:hAnsi="Arial" w:cs="Arial"/>
          <w:sz w:val="20"/>
          <w:szCs w:val="20"/>
        </w:rPr>
        <w:t xml:space="preserve">PSM had the capability to </w:t>
      </w:r>
      <w:r w:rsidRPr="007A3962">
        <w:rPr>
          <w:rFonts w:ascii="Arial" w:hAnsi="Arial" w:cs="Arial"/>
          <w:sz w:val="20"/>
          <w:szCs w:val="20"/>
        </w:rPr>
        <w:t>solubilize</w:t>
      </w:r>
      <w:r w:rsidR="0056638E" w:rsidRPr="007A3962">
        <w:rPr>
          <w:rFonts w:ascii="Arial" w:hAnsi="Arial" w:cs="Arial"/>
          <w:sz w:val="20"/>
          <w:szCs w:val="20"/>
        </w:rPr>
        <w:t xml:space="preserve"> </w:t>
      </w:r>
      <w:r w:rsidRPr="007A3962">
        <w:rPr>
          <w:rFonts w:ascii="Arial" w:hAnsi="Arial" w:cs="Arial"/>
          <w:sz w:val="20"/>
          <w:szCs w:val="20"/>
        </w:rPr>
        <w:t xml:space="preserve">different sources of </w:t>
      </w:r>
      <w:r w:rsidR="0056638E" w:rsidRPr="007A3962">
        <w:rPr>
          <w:rFonts w:ascii="Arial" w:hAnsi="Arial" w:cs="Arial"/>
          <w:sz w:val="20"/>
          <w:szCs w:val="20"/>
        </w:rPr>
        <w:t xml:space="preserve">insoluble inorganic </w:t>
      </w:r>
      <w:r w:rsidR="00566CDD" w:rsidRPr="007A3962">
        <w:rPr>
          <w:rFonts w:ascii="Arial" w:hAnsi="Arial" w:cs="Arial"/>
          <w:sz w:val="20"/>
          <w:szCs w:val="20"/>
        </w:rPr>
        <w:t xml:space="preserve">phosphorous.  These isolates had </w:t>
      </w:r>
      <w:r w:rsidRPr="007A3962">
        <w:rPr>
          <w:rFonts w:ascii="Arial" w:hAnsi="Arial" w:cs="Arial"/>
          <w:sz w:val="20"/>
          <w:szCs w:val="20"/>
        </w:rPr>
        <w:t>SI</w:t>
      </w:r>
      <w:r w:rsidR="0056638E" w:rsidRPr="007A3962">
        <w:rPr>
          <w:rFonts w:ascii="Arial" w:hAnsi="Arial" w:cs="Arial"/>
          <w:sz w:val="20"/>
          <w:szCs w:val="20"/>
        </w:rPr>
        <w:t xml:space="preserve"> </w:t>
      </w:r>
      <w:r w:rsidR="00566CDD" w:rsidRPr="007A3962">
        <w:rPr>
          <w:rFonts w:ascii="Arial" w:hAnsi="Arial" w:cs="Arial"/>
          <w:sz w:val="20"/>
          <w:szCs w:val="20"/>
        </w:rPr>
        <w:t>of above</w:t>
      </w:r>
      <w:r w:rsidR="0056638E" w:rsidRPr="007A3962">
        <w:rPr>
          <w:rFonts w:ascii="Arial" w:hAnsi="Arial" w:cs="Arial"/>
          <w:sz w:val="20"/>
          <w:szCs w:val="20"/>
        </w:rPr>
        <w:t xml:space="preserve"> </w:t>
      </w:r>
      <w:r w:rsidR="00566CDD" w:rsidRPr="007A3962">
        <w:rPr>
          <w:rFonts w:ascii="Arial" w:hAnsi="Arial" w:cs="Arial"/>
          <w:sz w:val="20"/>
          <w:szCs w:val="20"/>
        </w:rPr>
        <w:t>3</w:t>
      </w:r>
      <w:r w:rsidR="0056638E" w:rsidRPr="007A3962">
        <w:rPr>
          <w:rFonts w:ascii="Arial" w:hAnsi="Arial" w:cs="Arial"/>
          <w:sz w:val="20"/>
          <w:szCs w:val="20"/>
        </w:rPr>
        <w:t xml:space="preserve"> </w:t>
      </w:r>
      <w:r w:rsidR="00566CDD" w:rsidRPr="007A3962">
        <w:rPr>
          <w:rFonts w:ascii="Arial" w:hAnsi="Arial" w:cs="Arial"/>
          <w:sz w:val="20"/>
          <w:szCs w:val="20"/>
        </w:rPr>
        <w:t>on both AlPO</w:t>
      </w:r>
      <w:r w:rsidR="00566CDD" w:rsidRPr="007A3962">
        <w:rPr>
          <w:rFonts w:ascii="Arial" w:hAnsi="Arial" w:cs="Arial"/>
          <w:sz w:val="20"/>
          <w:szCs w:val="20"/>
          <w:vertAlign w:val="subscript"/>
        </w:rPr>
        <w:t xml:space="preserve">4 </w:t>
      </w:r>
      <w:r w:rsidR="00566CDD" w:rsidRPr="007A3962">
        <w:rPr>
          <w:rFonts w:ascii="Arial" w:hAnsi="Arial" w:cs="Arial"/>
          <w:sz w:val="20"/>
          <w:szCs w:val="20"/>
        </w:rPr>
        <w:t>and</w:t>
      </w:r>
      <w:r w:rsidR="00566CDD" w:rsidRPr="007A3962">
        <w:rPr>
          <w:rFonts w:ascii="Arial" w:hAnsi="Arial" w:cs="Arial"/>
          <w:sz w:val="20"/>
          <w:szCs w:val="20"/>
          <w:vertAlign w:val="subscript"/>
        </w:rPr>
        <w:t xml:space="preserve"> </w:t>
      </w:r>
      <w:r w:rsidR="00566CDD" w:rsidRPr="007A3962">
        <w:rPr>
          <w:rFonts w:ascii="Arial" w:hAnsi="Arial" w:cs="Arial"/>
          <w:sz w:val="20"/>
          <w:szCs w:val="20"/>
        </w:rPr>
        <w:t>Ca</w:t>
      </w:r>
      <w:r w:rsidR="00566CDD" w:rsidRPr="007A3962">
        <w:rPr>
          <w:rFonts w:ascii="Arial" w:hAnsi="Arial" w:cs="Arial"/>
          <w:sz w:val="20"/>
          <w:szCs w:val="20"/>
          <w:vertAlign w:val="subscript"/>
        </w:rPr>
        <w:t>3</w:t>
      </w:r>
      <w:r w:rsidR="00566CDD" w:rsidRPr="007A3962">
        <w:rPr>
          <w:rFonts w:ascii="Arial" w:hAnsi="Arial" w:cs="Arial"/>
          <w:sz w:val="20"/>
          <w:szCs w:val="20"/>
        </w:rPr>
        <w:t>(PO</w:t>
      </w:r>
      <w:r w:rsidR="00566CDD" w:rsidRPr="007A3962">
        <w:rPr>
          <w:rFonts w:ascii="Arial" w:hAnsi="Arial" w:cs="Arial"/>
          <w:sz w:val="20"/>
          <w:szCs w:val="20"/>
          <w:vertAlign w:val="subscript"/>
        </w:rPr>
        <w:t>4</w:t>
      </w:r>
      <w:r w:rsidR="00566CDD" w:rsidRPr="007A3962">
        <w:rPr>
          <w:rFonts w:ascii="Arial" w:hAnsi="Arial" w:cs="Arial"/>
          <w:sz w:val="20"/>
          <w:szCs w:val="20"/>
        </w:rPr>
        <w:t>)</w:t>
      </w:r>
      <w:r w:rsidR="00566CDD" w:rsidRPr="007A3962">
        <w:rPr>
          <w:rFonts w:ascii="Arial" w:hAnsi="Arial" w:cs="Arial"/>
          <w:sz w:val="20"/>
          <w:szCs w:val="20"/>
          <w:vertAlign w:val="subscript"/>
        </w:rPr>
        <w:t>2</w:t>
      </w:r>
      <w:r w:rsidR="00566CDD" w:rsidRPr="007A3962">
        <w:rPr>
          <w:rFonts w:ascii="Arial" w:hAnsi="Arial" w:cs="Arial"/>
          <w:sz w:val="20"/>
          <w:szCs w:val="20"/>
        </w:rPr>
        <w:t xml:space="preserve"> surpassing the recommended of 1.5 on one insoluble phosphate. These isolates were designated </w:t>
      </w:r>
      <w:r w:rsidR="00D045F7" w:rsidRPr="007A3962">
        <w:rPr>
          <w:rFonts w:ascii="Arial" w:hAnsi="Arial" w:cs="Arial"/>
          <w:sz w:val="20"/>
          <w:szCs w:val="20"/>
        </w:rPr>
        <w:t>82B2</w:t>
      </w:r>
      <w:r w:rsidR="0056638E" w:rsidRPr="007A3962">
        <w:rPr>
          <w:rFonts w:ascii="Arial" w:hAnsi="Arial" w:cs="Arial"/>
          <w:sz w:val="20"/>
          <w:szCs w:val="20"/>
        </w:rPr>
        <w:t xml:space="preserve">, </w:t>
      </w:r>
      <w:r w:rsidR="00D045F7" w:rsidRPr="007A3962">
        <w:rPr>
          <w:rFonts w:ascii="Arial" w:hAnsi="Arial" w:cs="Arial"/>
          <w:sz w:val="20"/>
          <w:szCs w:val="20"/>
        </w:rPr>
        <w:t>58F1</w:t>
      </w:r>
      <w:r w:rsidR="0056638E" w:rsidRPr="007A3962">
        <w:rPr>
          <w:rFonts w:ascii="Arial" w:hAnsi="Arial" w:cs="Arial"/>
          <w:sz w:val="20"/>
          <w:szCs w:val="20"/>
        </w:rPr>
        <w:t xml:space="preserve">, </w:t>
      </w:r>
      <w:r w:rsidR="00D045F7" w:rsidRPr="007A3962">
        <w:rPr>
          <w:rFonts w:ascii="Arial" w:hAnsi="Arial" w:cs="Arial"/>
          <w:sz w:val="20"/>
          <w:szCs w:val="20"/>
        </w:rPr>
        <w:t>5005</w:t>
      </w:r>
      <w:r w:rsidR="0056638E" w:rsidRPr="007A3962">
        <w:rPr>
          <w:rFonts w:ascii="Arial" w:hAnsi="Arial" w:cs="Arial"/>
          <w:sz w:val="20"/>
          <w:szCs w:val="20"/>
        </w:rPr>
        <w:t xml:space="preserve">, </w:t>
      </w:r>
      <w:r w:rsidR="00D045F7" w:rsidRPr="007A3962">
        <w:rPr>
          <w:rFonts w:ascii="Arial" w:hAnsi="Arial" w:cs="Arial"/>
          <w:sz w:val="20"/>
          <w:szCs w:val="20"/>
        </w:rPr>
        <w:t>23F3</w:t>
      </w:r>
      <w:r w:rsidR="0056638E" w:rsidRPr="007A3962">
        <w:rPr>
          <w:rFonts w:ascii="Arial" w:hAnsi="Arial" w:cs="Arial"/>
          <w:sz w:val="20"/>
          <w:szCs w:val="20"/>
        </w:rPr>
        <w:t xml:space="preserve">, </w:t>
      </w:r>
      <w:r w:rsidR="00D045F7" w:rsidRPr="007A3962">
        <w:rPr>
          <w:rFonts w:ascii="Arial" w:hAnsi="Arial" w:cs="Arial"/>
          <w:sz w:val="20"/>
          <w:szCs w:val="20"/>
        </w:rPr>
        <w:t>57F1</w:t>
      </w:r>
      <w:r w:rsidR="0056638E" w:rsidRPr="007A3962">
        <w:rPr>
          <w:rFonts w:ascii="Arial" w:hAnsi="Arial" w:cs="Arial"/>
          <w:sz w:val="20"/>
          <w:szCs w:val="20"/>
        </w:rPr>
        <w:t xml:space="preserve"> and </w:t>
      </w:r>
      <w:r w:rsidR="00D045F7" w:rsidRPr="007A3962">
        <w:rPr>
          <w:rFonts w:ascii="Arial" w:hAnsi="Arial" w:cs="Arial"/>
          <w:sz w:val="20"/>
          <w:szCs w:val="20"/>
        </w:rPr>
        <w:t>63F3</w:t>
      </w:r>
      <w:r w:rsidR="00566CDD" w:rsidRPr="007A3962">
        <w:rPr>
          <w:rFonts w:ascii="Arial" w:hAnsi="Arial" w:cs="Arial"/>
          <w:sz w:val="20"/>
          <w:szCs w:val="20"/>
        </w:rPr>
        <w:t xml:space="preserve"> based on local laboratory numbering system</w:t>
      </w:r>
      <w:r w:rsidR="0056638E" w:rsidRPr="007A3962">
        <w:rPr>
          <w:rFonts w:ascii="Arial" w:eastAsia="Times New Roman" w:hAnsi="Arial" w:cs="Arial"/>
          <w:i/>
          <w:sz w:val="20"/>
          <w:szCs w:val="20"/>
        </w:rPr>
        <w:t>.</w:t>
      </w:r>
      <w:r w:rsidR="0056638E" w:rsidRPr="007A3962">
        <w:rPr>
          <w:rFonts w:ascii="Arial" w:hAnsi="Arial" w:cs="Arial"/>
          <w:sz w:val="20"/>
          <w:szCs w:val="20"/>
        </w:rPr>
        <w:t xml:space="preserve"> Molecular characterization accompanied by biochemical test showed that </w:t>
      </w:r>
      <w:r w:rsidR="00E3768E" w:rsidRPr="007A3962">
        <w:rPr>
          <w:rFonts w:ascii="Arial" w:hAnsi="Arial" w:cs="Arial"/>
          <w:sz w:val="20"/>
          <w:szCs w:val="20"/>
        </w:rPr>
        <w:t>82B2, 58F1, 5005, 23F3, 57F1 and 63F3 were</w:t>
      </w:r>
      <w:r w:rsidR="0056638E" w:rsidRPr="007A3962">
        <w:rPr>
          <w:rFonts w:ascii="Arial" w:hAnsi="Arial" w:cs="Arial"/>
          <w:sz w:val="20"/>
          <w:szCs w:val="20"/>
        </w:rPr>
        <w:t xml:space="preserve"> </w:t>
      </w:r>
      <w:r w:rsidR="00E3768E" w:rsidRPr="007A3962">
        <w:rPr>
          <w:rFonts w:ascii="Arial" w:hAnsi="Arial" w:cs="Arial"/>
          <w:i/>
          <w:sz w:val="20"/>
          <w:szCs w:val="20"/>
        </w:rPr>
        <w:t xml:space="preserve">Alcaligenes ammonioxydans, Enterococcus faecium, Citrobacter braakii, Enterobacter cancerogenus, Geotrichum sp. </w:t>
      </w:r>
      <w:r w:rsidR="00E3768E" w:rsidRPr="007A3962">
        <w:rPr>
          <w:rFonts w:ascii="Arial" w:hAnsi="Arial" w:cs="Arial"/>
          <w:sz w:val="20"/>
          <w:szCs w:val="20"/>
        </w:rPr>
        <w:t xml:space="preserve">and </w:t>
      </w:r>
      <w:r w:rsidR="00E3768E" w:rsidRPr="007A3962">
        <w:rPr>
          <w:rFonts w:ascii="Arial" w:hAnsi="Arial" w:cs="Arial"/>
          <w:i/>
          <w:sz w:val="20"/>
          <w:szCs w:val="20"/>
        </w:rPr>
        <w:t>Aspergillus sibiricus</w:t>
      </w:r>
      <w:r w:rsidR="0056638E" w:rsidRPr="007A3962">
        <w:rPr>
          <w:rFonts w:ascii="Arial" w:hAnsi="Arial" w:cs="Arial"/>
          <w:sz w:val="20"/>
          <w:szCs w:val="20"/>
        </w:rPr>
        <w:t xml:space="preserve">.  </w:t>
      </w:r>
      <w:r w:rsidR="00E3768E" w:rsidRPr="007A3962">
        <w:rPr>
          <w:rFonts w:ascii="Arial" w:hAnsi="Arial" w:cs="Arial"/>
          <w:sz w:val="20"/>
          <w:szCs w:val="20"/>
        </w:rPr>
        <w:t>Isolates 82B2, 58F1, 5005 and 23F3 were bacteria while 57F1 and 63F3 were fungi.</w:t>
      </w:r>
    </w:p>
    <w:p w14:paraId="3290C3D3" w14:textId="77777777" w:rsidR="002327FF" w:rsidRPr="007A3962" w:rsidRDefault="002327FF" w:rsidP="005B6FFA">
      <w:pPr>
        <w:pStyle w:val="Caption"/>
        <w:spacing w:line="480" w:lineRule="auto"/>
        <w:rPr>
          <w:rFonts w:ascii="Arial" w:hAnsi="Arial" w:cs="Arial"/>
          <w:b/>
          <w:i w:val="0"/>
          <w:color w:val="auto"/>
          <w:sz w:val="20"/>
          <w:szCs w:val="20"/>
        </w:rPr>
      </w:pPr>
      <w:bookmarkStart w:id="7" w:name="_Toc186103664"/>
      <w:r w:rsidRPr="007A3962">
        <w:rPr>
          <w:rFonts w:ascii="Arial" w:hAnsi="Arial" w:cs="Arial"/>
          <w:b/>
          <w:i w:val="0"/>
          <w:color w:val="auto"/>
          <w:sz w:val="20"/>
          <w:szCs w:val="20"/>
        </w:rPr>
        <w:lastRenderedPageBreak/>
        <w:t xml:space="preserve">Table </w:t>
      </w:r>
      <w:r w:rsidRPr="007A3962">
        <w:rPr>
          <w:rFonts w:ascii="Arial" w:hAnsi="Arial" w:cs="Arial"/>
          <w:b/>
          <w:i w:val="0"/>
          <w:color w:val="auto"/>
          <w:sz w:val="20"/>
          <w:szCs w:val="20"/>
        </w:rPr>
        <w:fldChar w:fldCharType="begin"/>
      </w:r>
      <w:r w:rsidRPr="007A3962">
        <w:rPr>
          <w:rFonts w:ascii="Arial" w:hAnsi="Arial" w:cs="Arial"/>
          <w:b/>
          <w:i w:val="0"/>
          <w:color w:val="auto"/>
          <w:sz w:val="20"/>
          <w:szCs w:val="20"/>
        </w:rPr>
        <w:instrText xml:space="preserve"> SEQ Table \* ARABIC </w:instrText>
      </w:r>
      <w:r w:rsidRPr="007A3962">
        <w:rPr>
          <w:rFonts w:ascii="Arial" w:hAnsi="Arial" w:cs="Arial"/>
          <w:b/>
          <w:i w:val="0"/>
          <w:color w:val="auto"/>
          <w:sz w:val="20"/>
          <w:szCs w:val="20"/>
        </w:rPr>
        <w:fldChar w:fldCharType="separate"/>
      </w:r>
      <w:r w:rsidR="00281785" w:rsidRPr="007A3962">
        <w:rPr>
          <w:rFonts w:ascii="Arial" w:hAnsi="Arial" w:cs="Arial"/>
          <w:b/>
          <w:i w:val="0"/>
          <w:noProof/>
          <w:color w:val="auto"/>
          <w:sz w:val="20"/>
          <w:szCs w:val="20"/>
        </w:rPr>
        <w:t>1</w:t>
      </w:r>
      <w:r w:rsidRPr="007A3962">
        <w:rPr>
          <w:rFonts w:ascii="Arial" w:hAnsi="Arial" w:cs="Arial"/>
          <w:b/>
          <w:i w:val="0"/>
          <w:color w:val="auto"/>
          <w:sz w:val="20"/>
          <w:szCs w:val="20"/>
        </w:rPr>
        <w:fldChar w:fldCharType="end"/>
      </w:r>
      <w:r w:rsidRPr="007A3962">
        <w:rPr>
          <w:rFonts w:ascii="Arial" w:hAnsi="Arial" w:cs="Arial"/>
          <w:b/>
          <w:i w:val="0"/>
          <w:color w:val="auto"/>
          <w:sz w:val="20"/>
          <w:szCs w:val="20"/>
        </w:rPr>
        <w:t>: Sites where samples were collected</w:t>
      </w:r>
      <w:bookmarkEnd w:id="7"/>
    </w:p>
    <w:tbl>
      <w:tblPr>
        <w:tblStyle w:val="PlainTable5"/>
        <w:tblW w:w="9498" w:type="dxa"/>
        <w:tblLook w:val="04A0" w:firstRow="1" w:lastRow="0" w:firstColumn="1" w:lastColumn="0" w:noHBand="0" w:noVBand="1"/>
      </w:tblPr>
      <w:tblGrid>
        <w:gridCol w:w="1560"/>
        <w:gridCol w:w="3969"/>
        <w:gridCol w:w="3969"/>
      </w:tblGrid>
      <w:tr w:rsidR="002327FF" w:rsidRPr="007A3962" w14:paraId="3C431A34" w14:textId="77777777" w:rsidTr="005D00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60" w:type="dxa"/>
          </w:tcPr>
          <w:p w14:paraId="76B53843" w14:textId="77777777" w:rsidR="002327FF" w:rsidRPr="00363042" w:rsidRDefault="002327FF" w:rsidP="005B6FFA">
            <w:pPr>
              <w:spacing w:line="480" w:lineRule="auto"/>
              <w:jc w:val="left"/>
              <w:rPr>
                <w:rFonts w:ascii="Arial" w:hAnsi="Arial" w:cs="Arial"/>
                <w:b/>
                <w:i w:val="0"/>
                <w:sz w:val="20"/>
                <w:szCs w:val="20"/>
              </w:rPr>
            </w:pPr>
            <w:r w:rsidRPr="00363042">
              <w:rPr>
                <w:rFonts w:ascii="Arial" w:hAnsi="Arial" w:cs="Arial"/>
                <w:b/>
                <w:i w:val="0"/>
                <w:sz w:val="20"/>
                <w:szCs w:val="20"/>
              </w:rPr>
              <w:t>District</w:t>
            </w:r>
          </w:p>
        </w:tc>
        <w:tc>
          <w:tcPr>
            <w:tcW w:w="3969" w:type="dxa"/>
          </w:tcPr>
          <w:p w14:paraId="213C4E8A" w14:textId="77777777" w:rsidR="002327FF" w:rsidRPr="00363042" w:rsidRDefault="002327FF" w:rsidP="005B6FFA">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i w:val="0"/>
                <w:sz w:val="20"/>
                <w:szCs w:val="20"/>
              </w:rPr>
            </w:pPr>
            <w:r w:rsidRPr="00363042">
              <w:rPr>
                <w:rFonts w:ascii="Arial" w:hAnsi="Arial" w:cs="Arial"/>
                <w:b/>
                <w:i w:val="0"/>
                <w:sz w:val="20"/>
                <w:szCs w:val="20"/>
              </w:rPr>
              <w:t>River/Lake</w:t>
            </w:r>
          </w:p>
        </w:tc>
        <w:tc>
          <w:tcPr>
            <w:tcW w:w="3969" w:type="dxa"/>
          </w:tcPr>
          <w:p w14:paraId="219DC2B3" w14:textId="77777777" w:rsidR="002327FF" w:rsidRPr="00363042" w:rsidRDefault="002327FF" w:rsidP="005B6FFA">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i w:val="0"/>
                <w:sz w:val="20"/>
                <w:szCs w:val="20"/>
              </w:rPr>
            </w:pPr>
            <w:r w:rsidRPr="00363042">
              <w:rPr>
                <w:rFonts w:ascii="Arial" w:hAnsi="Arial" w:cs="Arial"/>
                <w:b/>
                <w:i w:val="0"/>
                <w:sz w:val="20"/>
                <w:szCs w:val="20"/>
              </w:rPr>
              <w:t>Protected and Conserved areas</w:t>
            </w:r>
          </w:p>
        </w:tc>
      </w:tr>
      <w:tr w:rsidR="002327FF" w:rsidRPr="007A3962" w14:paraId="125C2E95"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5511A2C" w14:textId="77777777" w:rsidR="002327FF" w:rsidRPr="007A3962" w:rsidRDefault="002327FF" w:rsidP="005B6FFA">
            <w:pPr>
              <w:spacing w:line="480" w:lineRule="auto"/>
              <w:jc w:val="left"/>
              <w:rPr>
                <w:rFonts w:ascii="Arial" w:hAnsi="Arial" w:cs="Arial"/>
                <w:sz w:val="20"/>
                <w:szCs w:val="20"/>
              </w:rPr>
            </w:pPr>
            <w:r w:rsidRPr="007A3962">
              <w:rPr>
                <w:rFonts w:ascii="Arial" w:hAnsi="Arial" w:cs="Arial"/>
                <w:sz w:val="20"/>
                <w:szCs w:val="20"/>
              </w:rPr>
              <w:t>Chikwawa</w:t>
            </w:r>
          </w:p>
        </w:tc>
        <w:tc>
          <w:tcPr>
            <w:tcW w:w="3969" w:type="dxa"/>
          </w:tcPr>
          <w:p w14:paraId="43660FA8" w14:textId="77777777" w:rsidR="002327FF" w:rsidRPr="007A3962" w:rsidRDefault="002327FF"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Shire river</w:t>
            </w:r>
          </w:p>
        </w:tc>
        <w:tc>
          <w:tcPr>
            <w:tcW w:w="3969" w:type="dxa"/>
          </w:tcPr>
          <w:p w14:paraId="3D737BAB" w14:textId="77777777" w:rsidR="002327FF" w:rsidRPr="007A3962" w:rsidRDefault="002327FF"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Elephant marsh</w:t>
            </w:r>
          </w:p>
        </w:tc>
      </w:tr>
      <w:tr w:rsidR="002327FF" w:rsidRPr="007A3962" w14:paraId="4CEBD248" w14:textId="77777777" w:rsidTr="005D00CA">
        <w:tc>
          <w:tcPr>
            <w:cnfStyle w:val="001000000000" w:firstRow="0" w:lastRow="0" w:firstColumn="1" w:lastColumn="0" w:oddVBand="0" w:evenVBand="0" w:oddHBand="0" w:evenHBand="0" w:firstRowFirstColumn="0" w:firstRowLastColumn="0" w:lastRowFirstColumn="0" w:lastRowLastColumn="0"/>
            <w:tcW w:w="1560" w:type="dxa"/>
          </w:tcPr>
          <w:p w14:paraId="7573CD56" w14:textId="77777777" w:rsidR="002327FF" w:rsidRPr="007A3962" w:rsidRDefault="002327FF" w:rsidP="005B6FFA">
            <w:pPr>
              <w:spacing w:line="480" w:lineRule="auto"/>
              <w:jc w:val="left"/>
              <w:rPr>
                <w:rFonts w:ascii="Arial" w:hAnsi="Arial" w:cs="Arial"/>
                <w:sz w:val="20"/>
                <w:szCs w:val="20"/>
              </w:rPr>
            </w:pPr>
            <w:r w:rsidRPr="007A3962">
              <w:rPr>
                <w:rFonts w:ascii="Arial" w:hAnsi="Arial" w:cs="Arial"/>
                <w:sz w:val="20"/>
                <w:szCs w:val="20"/>
              </w:rPr>
              <w:t>Nsanje</w:t>
            </w:r>
          </w:p>
        </w:tc>
        <w:tc>
          <w:tcPr>
            <w:tcW w:w="3969" w:type="dxa"/>
          </w:tcPr>
          <w:p w14:paraId="769959D2" w14:textId="77777777" w:rsidR="002327FF" w:rsidRPr="007A3962" w:rsidRDefault="002327FF"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Shire river</w:t>
            </w:r>
          </w:p>
        </w:tc>
        <w:tc>
          <w:tcPr>
            <w:tcW w:w="3969" w:type="dxa"/>
          </w:tcPr>
          <w:p w14:paraId="7417B79C" w14:textId="77777777" w:rsidR="002327FF" w:rsidRPr="007A3962" w:rsidRDefault="002327FF"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Shrine and Ndindi marsh</w:t>
            </w:r>
          </w:p>
        </w:tc>
      </w:tr>
      <w:tr w:rsidR="002327FF" w:rsidRPr="007A3962" w14:paraId="713A918B"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DEF02AE" w14:textId="77777777" w:rsidR="002327FF" w:rsidRPr="007A3962" w:rsidRDefault="002327FF" w:rsidP="005B6FFA">
            <w:pPr>
              <w:spacing w:line="480" w:lineRule="auto"/>
              <w:jc w:val="left"/>
              <w:rPr>
                <w:rFonts w:ascii="Arial" w:hAnsi="Arial" w:cs="Arial"/>
                <w:sz w:val="20"/>
                <w:szCs w:val="20"/>
              </w:rPr>
            </w:pPr>
            <w:r w:rsidRPr="007A3962">
              <w:rPr>
                <w:rFonts w:ascii="Arial" w:hAnsi="Arial" w:cs="Arial"/>
                <w:sz w:val="20"/>
                <w:szCs w:val="20"/>
              </w:rPr>
              <w:t>Zomba</w:t>
            </w:r>
          </w:p>
        </w:tc>
        <w:tc>
          <w:tcPr>
            <w:tcW w:w="3969" w:type="dxa"/>
          </w:tcPr>
          <w:p w14:paraId="25467D9E" w14:textId="77777777" w:rsidR="002327FF" w:rsidRPr="007A3962" w:rsidRDefault="002327FF"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Shire river</w:t>
            </w:r>
          </w:p>
        </w:tc>
        <w:tc>
          <w:tcPr>
            <w:tcW w:w="3969" w:type="dxa"/>
          </w:tcPr>
          <w:p w14:paraId="1C4DD6EA" w14:textId="77777777" w:rsidR="002327FF" w:rsidRPr="007A3962" w:rsidRDefault="002327FF"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 xml:space="preserve">Lake </w:t>
            </w:r>
            <w:proofErr w:type="spellStart"/>
            <w:r w:rsidRPr="007A3962">
              <w:rPr>
                <w:rFonts w:ascii="Arial" w:hAnsi="Arial" w:cs="Arial"/>
                <w:sz w:val="20"/>
                <w:szCs w:val="20"/>
              </w:rPr>
              <w:t>chirwa</w:t>
            </w:r>
            <w:proofErr w:type="spellEnd"/>
          </w:p>
        </w:tc>
      </w:tr>
      <w:tr w:rsidR="002327FF" w:rsidRPr="007A3962" w14:paraId="6BAB1CDC" w14:textId="77777777" w:rsidTr="005D00CA">
        <w:tc>
          <w:tcPr>
            <w:cnfStyle w:val="001000000000" w:firstRow="0" w:lastRow="0" w:firstColumn="1" w:lastColumn="0" w:oddVBand="0" w:evenVBand="0" w:oddHBand="0" w:evenHBand="0" w:firstRowFirstColumn="0" w:firstRowLastColumn="0" w:lastRowFirstColumn="0" w:lastRowLastColumn="0"/>
            <w:tcW w:w="1560" w:type="dxa"/>
          </w:tcPr>
          <w:p w14:paraId="6EEE66B9" w14:textId="77777777" w:rsidR="002327FF" w:rsidRPr="007A3962" w:rsidRDefault="002327FF" w:rsidP="005B6FFA">
            <w:pPr>
              <w:spacing w:line="480" w:lineRule="auto"/>
              <w:jc w:val="left"/>
              <w:rPr>
                <w:rFonts w:ascii="Arial" w:hAnsi="Arial" w:cs="Arial"/>
                <w:sz w:val="20"/>
                <w:szCs w:val="20"/>
              </w:rPr>
            </w:pPr>
            <w:r w:rsidRPr="007A3962">
              <w:rPr>
                <w:rFonts w:ascii="Arial" w:hAnsi="Arial" w:cs="Arial"/>
                <w:sz w:val="20"/>
                <w:szCs w:val="20"/>
              </w:rPr>
              <w:t>Machinga</w:t>
            </w:r>
          </w:p>
        </w:tc>
        <w:tc>
          <w:tcPr>
            <w:tcW w:w="3969" w:type="dxa"/>
          </w:tcPr>
          <w:p w14:paraId="4AE7B055" w14:textId="77777777" w:rsidR="002327FF" w:rsidRPr="007A3962" w:rsidRDefault="002327FF"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Shire river</w:t>
            </w:r>
          </w:p>
        </w:tc>
        <w:tc>
          <w:tcPr>
            <w:tcW w:w="3969" w:type="dxa"/>
          </w:tcPr>
          <w:p w14:paraId="356480BA" w14:textId="77777777" w:rsidR="002327FF" w:rsidRPr="007A3962" w:rsidRDefault="002327FF"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Liwonde national park</w:t>
            </w:r>
          </w:p>
        </w:tc>
      </w:tr>
      <w:tr w:rsidR="002327FF" w:rsidRPr="007A3962" w14:paraId="35BD4EBA"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E7F1418" w14:textId="77777777" w:rsidR="002327FF" w:rsidRPr="007A3962" w:rsidRDefault="002327FF" w:rsidP="005B6FFA">
            <w:pPr>
              <w:spacing w:line="480" w:lineRule="auto"/>
              <w:jc w:val="left"/>
              <w:rPr>
                <w:rFonts w:ascii="Arial" w:hAnsi="Arial" w:cs="Arial"/>
                <w:sz w:val="20"/>
                <w:szCs w:val="20"/>
              </w:rPr>
            </w:pPr>
            <w:r w:rsidRPr="007A3962">
              <w:rPr>
                <w:rFonts w:ascii="Arial" w:hAnsi="Arial" w:cs="Arial"/>
                <w:sz w:val="20"/>
                <w:szCs w:val="20"/>
              </w:rPr>
              <w:t>Mangochi</w:t>
            </w:r>
          </w:p>
        </w:tc>
        <w:tc>
          <w:tcPr>
            <w:tcW w:w="3969" w:type="dxa"/>
          </w:tcPr>
          <w:p w14:paraId="0C328D0D" w14:textId="77777777" w:rsidR="002327FF" w:rsidRPr="007A3962" w:rsidRDefault="002327FF"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Shire river and Lake Malawi</w:t>
            </w:r>
          </w:p>
        </w:tc>
        <w:tc>
          <w:tcPr>
            <w:tcW w:w="3969" w:type="dxa"/>
          </w:tcPr>
          <w:p w14:paraId="0A59E545" w14:textId="77777777" w:rsidR="002327FF" w:rsidRPr="007A3962" w:rsidRDefault="002327FF"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Lake Malawi national park</w:t>
            </w:r>
          </w:p>
        </w:tc>
      </w:tr>
      <w:tr w:rsidR="002327FF" w:rsidRPr="007A3962" w14:paraId="027E36A5" w14:textId="77777777" w:rsidTr="005D00CA">
        <w:tc>
          <w:tcPr>
            <w:cnfStyle w:val="001000000000" w:firstRow="0" w:lastRow="0" w:firstColumn="1" w:lastColumn="0" w:oddVBand="0" w:evenVBand="0" w:oddHBand="0" w:evenHBand="0" w:firstRowFirstColumn="0" w:firstRowLastColumn="0" w:lastRowFirstColumn="0" w:lastRowLastColumn="0"/>
            <w:tcW w:w="1560" w:type="dxa"/>
          </w:tcPr>
          <w:p w14:paraId="3A81F410" w14:textId="77777777" w:rsidR="002327FF" w:rsidRPr="007A3962" w:rsidRDefault="002327FF" w:rsidP="005B6FFA">
            <w:pPr>
              <w:spacing w:line="480" w:lineRule="auto"/>
              <w:jc w:val="left"/>
              <w:rPr>
                <w:rFonts w:ascii="Arial" w:hAnsi="Arial" w:cs="Arial"/>
                <w:sz w:val="20"/>
                <w:szCs w:val="20"/>
              </w:rPr>
            </w:pPr>
            <w:r w:rsidRPr="007A3962">
              <w:rPr>
                <w:rFonts w:ascii="Arial" w:hAnsi="Arial" w:cs="Arial"/>
                <w:sz w:val="20"/>
                <w:szCs w:val="20"/>
              </w:rPr>
              <w:t>Nkhotakota</w:t>
            </w:r>
          </w:p>
        </w:tc>
        <w:tc>
          <w:tcPr>
            <w:tcW w:w="3969" w:type="dxa"/>
          </w:tcPr>
          <w:p w14:paraId="267CD006" w14:textId="77777777" w:rsidR="002327FF" w:rsidRPr="007A3962" w:rsidRDefault="002327FF"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Lake Malawi, Bua river and Chia lagoon</w:t>
            </w:r>
          </w:p>
        </w:tc>
        <w:tc>
          <w:tcPr>
            <w:tcW w:w="3969" w:type="dxa"/>
          </w:tcPr>
          <w:p w14:paraId="1D45313A" w14:textId="77777777" w:rsidR="002327FF" w:rsidRPr="007A3962" w:rsidRDefault="002327FF"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Nkhotakota game reserve</w:t>
            </w:r>
          </w:p>
        </w:tc>
      </w:tr>
      <w:tr w:rsidR="002327FF" w:rsidRPr="007A3962" w14:paraId="4CF5C375"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F0310BD" w14:textId="77777777" w:rsidR="002327FF" w:rsidRPr="007A3962" w:rsidRDefault="002327FF" w:rsidP="005B6FFA">
            <w:pPr>
              <w:spacing w:line="480" w:lineRule="auto"/>
              <w:jc w:val="left"/>
              <w:rPr>
                <w:rFonts w:ascii="Arial" w:hAnsi="Arial" w:cs="Arial"/>
                <w:sz w:val="20"/>
                <w:szCs w:val="20"/>
              </w:rPr>
            </w:pPr>
            <w:r w:rsidRPr="007A3962">
              <w:rPr>
                <w:rFonts w:ascii="Arial" w:hAnsi="Arial" w:cs="Arial"/>
                <w:sz w:val="20"/>
                <w:szCs w:val="20"/>
              </w:rPr>
              <w:t>Nkhatabay</w:t>
            </w:r>
          </w:p>
        </w:tc>
        <w:tc>
          <w:tcPr>
            <w:tcW w:w="3969" w:type="dxa"/>
          </w:tcPr>
          <w:p w14:paraId="73A5F05C" w14:textId="77777777" w:rsidR="002327FF" w:rsidRPr="007A3962" w:rsidRDefault="002327FF"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 xml:space="preserve">Lake Malawi and </w:t>
            </w:r>
            <w:proofErr w:type="spellStart"/>
            <w:r w:rsidRPr="007A3962">
              <w:rPr>
                <w:rFonts w:ascii="Arial" w:hAnsi="Arial" w:cs="Arial"/>
                <w:sz w:val="20"/>
                <w:szCs w:val="20"/>
              </w:rPr>
              <w:t>Lweya</w:t>
            </w:r>
            <w:proofErr w:type="spellEnd"/>
            <w:r w:rsidRPr="007A3962">
              <w:rPr>
                <w:rFonts w:ascii="Arial" w:hAnsi="Arial" w:cs="Arial"/>
                <w:sz w:val="20"/>
                <w:szCs w:val="20"/>
              </w:rPr>
              <w:t xml:space="preserve"> river</w:t>
            </w:r>
          </w:p>
        </w:tc>
        <w:tc>
          <w:tcPr>
            <w:tcW w:w="3969" w:type="dxa"/>
          </w:tcPr>
          <w:p w14:paraId="4002F820" w14:textId="77777777" w:rsidR="002327FF" w:rsidRPr="007A3962" w:rsidRDefault="002327FF"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Shrine</w:t>
            </w:r>
          </w:p>
        </w:tc>
      </w:tr>
      <w:tr w:rsidR="002327FF" w:rsidRPr="007A3962" w14:paraId="78D22B5E" w14:textId="77777777" w:rsidTr="005D00CA">
        <w:tc>
          <w:tcPr>
            <w:cnfStyle w:val="001000000000" w:firstRow="0" w:lastRow="0" w:firstColumn="1" w:lastColumn="0" w:oddVBand="0" w:evenVBand="0" w:oddHBand="0" w:evenHBand="0" w:firstRowFirstColumn="0" w:firstRowLastColumn="0" w:lastRowFirstColumn="0" w:lastRowLastColumn="0"/>
            <w:tcW w:w="1560" w:type="dxa"/>
          </w:tcPr>
          <w:p w14:paraId="0B58458F" w14:textId="77777777" w:rsidR="002327FF" w:rsidRPr="007A3962" w:rsidRDefault="002327FF" w:rsidP="005B6FFA">
            <w:pPr>
              <w:spacing w:line="480" w:lineRule="auto"/>
              <w:jc w:val="left"/>
              <w:rPr>
                <w:rFonts w:ascii="Arial" w:hAnsi="Arial" w:cs="Arial"/>
                <w:sz w:val="20"/>
                <w:szCs w:val="20"/>
              </w:rPr>
            </w:pPr>
            <w:r w:rsidRPr="007A3962">
              <w:rPr>
                <w:rFonts w:ascii="Arial" w:hAnsi="Arial" w:cs="Arial"/>
                <w:sz w:val="20"/>
                <w:szCs w:val="20"/>
              </w:rPr>
              <w:t>Karonga</w:t>
            </w:r>
          </w:p>
        </w:tc>
        <w:tc>
          <w:tcPr>
            <w:tcW w:w="3969" w:type="dxa"/>
          </w:tcPr>
          <w:p w14:paraId="5471418F" w14:textId="77777777" w:rsidR="002327FF" w:rsidRPr="007A3962" w:rsidRDefault="002327FF"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7A3962">
              <w:rPr>
                <w:rFonts w:ascii="Arial" w:hAnsi="Arial" w:cs="Arial"/>
                <w:sz w:val="20"/>
                <w:szCs w:val="20"/>
              </w:rPr>
              <w:t>Chimbiriri</w:t>
            </w:r>
            <w:proofErr w:type="spellEnd"/>
            <w:r w:rsidRPr="007A3962">
              <w:rPr>
                <w:rFonts w:ascii="Arial" w:hAnsi="Arial" w:cs="Arial"/>
                <w:sz w:val="20"/>
                <w:szCs w:val="20"/>
              </w:rPr>
              <w:t xml:space="preserve"> river and Lake Malawi</w:t>
            </w:r>
          </w:p>
        </w:tc>
        <w:tc>
          <w:tcPr>
            <w:tcW w:w="3969" w:type="dxa"/>
          </w:tcPr>
          <w:p w14:paraId="17ECF726" w14:textId="77777777" w:rsidR="002327FF" w:rsidRPr="007A3962" w:rsidRDefault="005D00CA"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Chitende shrine and</w:t>
            </w:r>
            <w:r w:rsidR="002327FF" w:rsidRPr="007A3962">
              <w:rPr>
                <w:rFonts w:ascii="Arial" w:hAnsi="Arial" w:cs="Arial"/>
                <w:sz w:val="20"/>
                <w:szCs w:val="20"/>
              </w:rPr>
              <w:t xml:space="preserve"> Nyika national park</w:t>
            </w:r>
          </w:p>
        </w:tc>
      </w:tr>
    </w:tbl>
    <w:p w14:paraId="31D6A8B0" w14:textId="77777777" w:rsidR="002327FF" w:rsidRPr="007A3962" w:rsidRDefault="002327FF" w:rsidP="005B6FFA">
      <w:pPr>
        <w:spacing w:line="480" w:lineRule="auto"/>
        <w:rPr>
          <w:rFonts w:ascii="Arial" w:hAnsi="Arial" w:cs="Arial"/>
          <w:sz w:val="20"/>
          <w:szCs w:val="20"/>
        </w:rPr>
      </w:pPr>
    </w:p>
    <w:p w14:paraId="13124560" w14:textId="77777777" w:rsidR="002327FF" w:rsidRPr="007A3962" w:rsidRDefault="002327FF" w:rsidP="005B6FFA">
      <w:pPr>
        <w:spacing w:line="480" w:lineRule="auto"/>
        <w:rPr>
          <w:rFonts w:ascii="Arial" w:hAnsi="Arial" w:cs="Arial"/>
          <w:sz w:val="20"/>
          <w:szCs w:val="20"/>
        </w:rPr>
      </w:pPr>
    </w:p>
    <w:p w14:paraId="3EFC3AC2" w14:textId="77777777" w:rsidR="002327FF" w:rsidRPr="007A3962" w:rsidRDefault="002327FF" w:rsidP="005B6FFA">
      <w:pPr>
        <w:spacing w:line="480" w:lineRule="auto"/>
        <w:rPr>
          <w:rFonts w:ascii="Arial" w:hAnsi="Arial" w:cs="Arial"/>
          <w:sz w:val="20"/>
          <w:szCs w:val="20"/>
        </w:rPr>
      </w:pPr>
      <w:r w:rsidRPr="007A3962">
        <w:rPr>
          <w:rFonts w:ascii="Arial" w:hAnsi="Arial" w:cs="Arial"/>
          <w:noProof/>
          <w:sz w:val="20"/>
          <w:szCs w:val="20"/>
        </w:rPr>
        <w:drawing>
          <wp:inline distT="0" distB="0" distL="0" distR="0" wp14:anchorId="1BE1F03C" wp14:editId="45C9ECF6">
            <wp:extent cx="5565775" cy="4197350"/>
            <wp:effectExtent l="0" t="0" r="0" b="0"/>
            <wp:docPr id="2" name="Picture 2" descr="fishsampling s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shsampling sit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5775" cy="4197350"/>
                    </a:xfrm>
                    <a:prstGeom prst="rect">
                      <a:avLst/>
                    </a:prstGeom>
                    <a:noFill/>
                    <a:ln>
                      <a:noFill/>
                    </a:ln>
                  </pic:spPr>
                </pic:pic>
              </a:graphicData>
            </a:graphic>
          </wp:inline>
        </w:drawing>
      </w:r>
    </w:p>
    <w:p w14:paraId="6D66F7DF" w14:textId="77777777" w:rsidR="002327FF" w:rsidRPr="005D00CA" w:rsidRDefault="002327FF" w:rsidP="005B6FFA">
      <w:pPr>
        <w:pStyle w:val="Caption"/>
        <w:spacing w:line="480" w:lineRule="auto"/>
        <w:rPr>
          <w:rFonts w:ascii="Arial" w:hAnsi="Arial" w:cs="Arial"/>
          <w:b/>
          <w:i w:val="0"/>
          <w:color w:val="auto"/>
          <w:sz w:val="20"/>
          <w:szCs w:val="20"/>
        </w:rPr>
      </w:pPr>
      <w:bookmarkStart w:id="8" w:name="_Toc186104460"/>
      <w:r w:rsidRPr="005D00CA">
        <w:rPr>
          <w:rFonts w:ascii="Arial" w:hAnsi="Arial" w:cs="Arial"/>
          <w:b/>
          <w:i w:val="0"/>
          <w:color w:val="auto"/>
          <w:sz w:val="20"/>
          <w:szCs w:val="20"/>
        </w:rPr>
        <w:lastRenderedPageBreak/>
        <w:t xml:space="preserve">Figure </w:t>
      </w:r>
      <w:r w:rsidRPr="005D00CA">
        <w:rPr>
          <w:rFonts w:ascii="Arial" w:hAnsi="Arial" w:cs="Arial"/>
          <w:b/>
          <w:i w:val="0"/>
          <w:color w:val="auto"/>
          <w:sz w:val="20"/>
          <w:szCs w:val="20"/>
        </w:rPr>
        <w:fldChar w:fldCharType="begin"/>
      </w:r>
      <w:r w:rsidRPr="005D00CA">
        <w:rPr>
          <w:rFonts w:ascii="Arial" w:hAnsi="Arial" w:cs="Arial"/>
          <w:b/>
          <w:i w:val="0"/>
          <w:color w:val="auto"/>
          <w:sz w:val="20"/>
          <w:szCs w:val="20"/>
        </w:rPr>
        <w:instrText xml:space="preserve"> SEQ Figure \* ARABIC </w:instrText>
      </w:r>
      <w:r w:rsidRPr="005D00CA">
        <w:rPr>
          <w:rFonts w:ascii="Arial" w:hAnsi="Arial" w:cs="Arial"/>
          <w:b/>
          <w:i w:val="0"/>
          <w:color w:val="auto"/>
          <w:sz w:val="20"/>
          <w:szCs w:val="20"/>
        </w:rPr>
        <w:fldChar w:fldCharType="separate"/>
      </w:r>
      <w:r w:rsidR="00317BF9" w:rsidRPr="005D00CA">
        <w:rPr>
          <w:rFonts w:ascii="Arial" w:hAnsi="Arial" w:cs="Arial"/>
          <w:b/>
          <w:i w:val="0"/>
          <w:noProof/>
          <w:color w:val="auto"/>
          <w:sz w:val="20"/>
          <w:szCs w:val="20"/>
        </w:rPr>
        <w:t>1</w:t>
      </w:r>
      <w:r w:rsidRPr="005D00CA">
        <w:rPr>
          <w:rFonts w:ascii="Arial" w:hAnsi="Arial" w:cs="Arial"/>
          <w:b/>
          <w:i w:val="0"/>
          <w:color w:val="auto"/>
          <w:sz w:val="20"/>
          <w:szCs w:val="20"/>
        </w:rPr>
        <w:fldChar w:fldCharType="end"/>
      </w:r>
      <w:r w:rsidRPr="005D00CA">
        <w:rPr>
          <w:rFonts w:ascii="Arial" w:hAnsi="Arial" w:cs="Arial"/>
          <w:b/>
          <w:i w:val="0"/>
          <w:color w:val="auto"/>
          <w:sz w:val="20"/>
          <w:szCs w:val="20"/>
        </w:rPr>
        <w:t>.Map of study sites</w:t>
      </w:r>
      <w:bookmarkEnd w:id="8"/>
    </w:p>
    <w:p w14:paraId="22400639" w14:textId="77777777" w:rsidR="002327FF" w:rsidRPr="007A3962" w:rsidRDefault="002327FF" w:rsidP="005B6FFA">
      <w:pPr>
        <w:pStyle w:val="Caption"/>
        <w:spacing w:line="480" w:lineRule="auto"/>
        <w:rPr>
          <w:rFonts w:ascii="Arial" w:hAnsi="Arial" w:cs="Arial"/>
          <w:b/>
          <w:i w:val="0"/>
          <w:color w:val="auto"/>
          <w:sz w:val="20"/>
          <w:szCs w:val="20"/>
        </w:rPr>
      </w:pPr>
      <w:r w:rsidRPr="007A3962">
        <w:rPr>
          <w:rFonts w:ascii="Arial" w:hAnsi="Arial" w:cs="Arial"/>
          <w:b/>
          <w:i w:val="0"/>
          <w:color w:val="auto"/>
          <w:sz w:val="20"/>
          <w:szCs w:val="20"/>
        </w:rPr>
        <w:t xml:space="preserve">Table </w:t>
      </w:r>
      <w:r w:rsidRPr="007A3962">
        <w:rPr>
          <w:rFonts w:ascii="Arial" w:hAnsi="Arial" w:cs="Arial"/>
          <w:b/>
          <w:i w:val="0"/>
          <w:color w:val="auto"/>
          <w:sz w:val="20"/>
          <w:szCs w:val="20"/>
        </w:rPr>
        <w:fldChar w:fldCharType="begin"/>
      </w:r>
      <w:r w:rsidRPr="007A3962">
        <w:rPr>
          <w:rFonts w:ascii="Arial" w:hAnsi="Arial" w:cs="Arial"/>
          <w:b/>
          <w:i w:val="0"/>
          <w:color w:val="auto"/>
          <w:sz w:val="20"/>
          <w:szCs w:val="20"/>
        </w:rPr>
        <w:instrText xml:space="preserve"> SEQ Table \* ARABIC </w:instrText>
      </w:r>
      <w:r w:rsidRPr="007A3962">
        <w:rPr>
          <w:rFonts w:ascii="Arial" w:hAnsi="Arial" w:cs="Arial"/>
          <w:b/>
          <w:i w:val="0"/>
          <w:color w:val="auto"/>
          <w:sz w:val="20"/>
          <w:szCs w:val="20"/>
        </w:rPr>
        <w:fldChar w:fldCharType="separate"/>
      </w:r>
      <w:r w:rsidR="00281785" w:rsidRPr="007A3962">
        <w:rPr>
          <w:rFonts w:ascii="Arial" w:hAnsi="Arial" w:cs="Arial"/>
          <w:b/>
          <w:i w:val="0"/>
          <w:noProof/>
          <w:color w:val="auto"/>
          <w:sz w:val="20"/>
          <w:szCs w:val="20"/>
        </w:rPr>
        <w:t>2</w:t>
      </w:r>
      <w:r w:rsidRPr="007A3962">
        <w:rPr>
          <w:rFonts w:ascii="Arial" w:hAnsi="Arial" w:cs="Arial"/>
          <w:b/>
          <w:i w:val="0"/>
          <w:color w:val="auto"/>
          <w:sz w:val="20"/>
          <w:szCs w:val="20"/>
        </w:rPr>
        <w:fldChar w:fldCharType="end"/>
      </w:r>
      <w:r w:rsidRPr="007A3962">
        <w:rPr>
          <w:rFonts w:ascii="Arial" w:hAnsi="Arial" w:cs="Arial"/>
          <w:b/>
          <w:i w:val="0"/>
          <w:color w:val="auto"/>
          <w:sz w:val="20"/>
          <w:szCs w:val="20"/>
        </w:rPr>
        <w:t>: Sites where samples were collected</w:t>
      </w:r>
    </w:p>
    <w:tbl>
      <w:tblPr>
        <w:tblStyle w:val="PlainTable4"/>
        <w:tblW w:w="0" w:type="auto"/>
        <w:tblLook w:val="00A0" w:firstRow="1" w:lastRow="0" w:firstColumn="1" w:lastColumn="0" w:noHBand="0" w:noVBand="0"/>
      </w:tblPr>
      <w:tblGrid>
        <w:gridCol w:w="961"/>
        <w:gridCol w:w="1145"/>
        <w:gridCol w:w="838"/>
        <w:gridCol w:w="849"/>
        <w:gridCol w:w="1092"/>
        <w:gridCol w:w="1105"/>
        <w:gridCol w:w="1231"/>
        <w:gridCol w:w="1162"/>
        <w:gridCol w:w="977"/>
      </w:tblGrid>
      <w:tr w:rsidR="002327FF" w:rsidRPr="007A3962" w14:paraId="32542C18" w14:textId="77777777" w:rsidTr="005D00CA">
        <w:trPr>
          <w:cnfStyle w:val="100000000000" w:firstRow="1" w:lastRow="0" w:firstColumn="0" w:lastColumn="0" w:oddVBand="0" w:evenVBand="0" w:oddHBand="0"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951" w:type="dxa"/>
          </w:tcPr>
          <w:p w14:paraId="0D3B74E1" w14:textId="77777777" w:rsidR="002327FF" w:rsidRPr="007A3962" w:rsidRDefault="002327FF" w:rsidP="005B6FFA">
            <w:pPr>
              <w:spacing w:line="480" w:lineRule="auto"/>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399" w:type="dxa"/>
            <w:gridSpan w:val="8"/>
          </w:tcPr>
          <w:p w14:paraId="3CFF89BF" w14:textId="77777777" w:rsidR="002327FF" w:rsidRPr="007A3962" w:rsidRDefault="002327FF" w:rsidP="005B6FFA">
            <w:pPr>
              <w:spacing w:line="480" w:lineRule="auto"/>
              <w:rPr>
                <w:rFonts w:ascii="Arial" w:hAnsi="Arial" w:cs="Arial"/>
                <w:sz w:val="20"/>
                <w:szCs w:val="20"/>
              </w:rPr>
            </w:pPr>
            <w:r w:rsidRPr="007A3962">
              <w:rPr>
                <w:rFonts w:ascii="Arial" w:hAnsi="Arial" w:cs="Arial"/>
                <w:sz w:val="20"/>
                <w:szCs w:val="20"/>
              </w:rPr>
              <w:t>Location</w:t>
            </w:r>
          </w:p>
        </w:tc>
      </w:tr>
      <w:tr w:rsidR="002327FF" w:rsidRPr="007A3962" w14:paraId="522A9B02" w14:textId="77777777" w:rsidTr="005D00CA">
        <w:trPr>
          <w:cnfStyle w:val="000000100000" w:firstRow="0" w:lastRow="0" w:firstColumn="0" w:lastColumn="0" w:oddVBand="0" w:evenVBand="0" w:oddHBand="1" w:evenHBand="0" w:firstRowFirstColumn="0" w:firstRowLastColumn="0" w:lastRowFirstColumn="0" w:lastRowLastColumn="0"/>
          <w:trHeight w:val="1273"/>
        </w:trPr>
        <w:tc>
          <w:tcPr>
            <w:cnfStyle w:val="001000000000" w:firstRow="0" w:lastRow="0" w:firstColumn="1" w:lastColumn="0" w:oddVBand="0" w:evenVBand="0" w:oddHBand="0" w:evenHBand="0" w:firstRowFirstColumn="0" w:firstRowLastColumn="0" w:lastRowFirstColumn="0" w:lastRowLastColumn="0"/>
            <w:tcW w:w="951" w:type="dxa"/>
          </w:tcPr>
          <w:p w14:paraId="622C680A" w14:textId="77777777" w:rsidR="002327FF" w:rsidRPr="007A3962" w:rsidRDefault="002327FF" w:rsidP="005B6FFA">
            <w:pPr>
              <w:spacing w:line="480" w:lineRule="auto"/>
              <w:rPr>
                <w:rFonts w:ascii="Arial" w:hAnsi="Arial" w:cs="Arial"/>
                <w:sz w:val="20"/>
                <w:szCs w:val="20"/>
              </w:rPr>
            </w:pPr>
            <w:r w:rsidRPr="007A3962">
              <w:rPr>
                <w:rFonts w:ascii="Arial" w:hAnsi="Arial" w:cs="Arial"/>
                <w:sz w:val="20"/>
                <w:szCs w:val="20"/>
              </w:rPr>
              <w:t>Isolates lab No</w:t>
            </w:r>
          </w:p>
        </w:tc>
        <w:tc>
          <w:tcPr>
            <w:cnfStyle w:val="000010000000" w:firstRow="0" w:lastRow="0" w:firstColumn="0" w:lastColumn="0" w:oddVBand="1" w:evenVBand="0" w:oddHBand="0" w:evenHBand="0" w:firstRowFirstColumn="0" w:firstRowLastColumn="0" w:lastRowFirstColumn="0" w:lastRowLastColumn="0"/>
            <w:tcW w:w="1145" w:type="dxa"/>
            <w:textDirection w:val="btLr"/>
          </w:tcPr>
          <w:p w14:paraId="5CA020DF" w14:textId="77777777" w:rsidR="002327FF" w:rsidRPr="007A3962" w:rsidRDefault="002327FF" w:rsidP="005B6FFA">
            <w:pPr>
              <w:spacing w:line="480" w:lineRule="auto"/>
              <w:ind w:left="113" w:right="113"/>
              <w:rPr>
                <w:rFonts w:ascii="Arial" w:hAnsi="Arial" w:cs="Arial"/>
                <w:sz w:val="20"/>
                <w:szCs w:val="20"/>
              </w:rPr>
            </w:pPr>
            <w:r w:rsidRPr="007A3962">
              <w:rPr>
                <w:rFonts w:ascii="Arial" w:hAnsi="Arial" w:cs="Arial"/>
                <w:sz w:val="20"/>
                <w:szCs w:val="20"/>
              </w:rPr>
              <w:t>Chikwawa</w:t>
            </w:r>
          </w:p>
        </w:tc>
        <w:tc>
          <w:tcPr>
            <w:tcW w:w="838" w:type="dxa"/>
            <w:textDirection w:val="btLr"/>
          </w:tcPr>
          <w:p w14:paraId="0619F1AB" w14:textId="77777777" w:rsidR="002327FF" w:rsidRPr="007A3962" w:rsidRDefault="002327FF" w:rsidP="005B6FFA">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Nsanje</w:t>
            </w:r>
          </w:p>
        </w:tc>
        <w:tc>
          <w:tcPr>
            <w:cnfStyle w:val="000010000000" w:firstRow="0" w:lastRow="0" w:firstColumn="0" w:lastColumn="0" w:oddVBand="1" w:evenVBand="0" w:oddHBand="0" w:evenHBand="0" w:firstRowFirstColumn="0" w:firstRowLastColumn="0" w:lastRowFirstColumn="0" w:lastRowLastColumn="0"/>
            <w:tcW w:w="849" w:type="dxa"/>
            <w:textDirection w:val="btLr"/>
          </w:tcPr>
          <w:p w14:paraId="2C58DAC1" w14:textId="77777777" w:rsidR="002327FF" w:rsidRPr="007A3962" w:rsidRDefault="002327FF" w:rsidP="005B6FFA">
            <w:pPr>
              <w:spacing w:line="480" w:lineRule="auto"/>
              <w:ind w:left="113" w:right="113"/>
              <w:rPr>
                <w:rFonts w:ascii="Arial" w:hAnsi="Arial" w:cs="Arial"/>
                <w:sz w:val="20"/>
                <w:szCs w:val="20"/>
              </w:rPr>
            </w:pPr>
            <w:r w:rsidRPr="007A3962">
              <w:rPr>
                <w:rFonts w:ascii="Arial" w:hAnsi="Arial" w:cs="Arial"/>
                <w:sz w:val="20"/>
                <w:szCs w:val="20"/>
              </w:rPr>
              <w:t>Zomba</w:t>
            </w:r>
          </w:p>
        </w:tc>
        <w:tc>
          <w:tcPr>
            <w:tcW w:w="1092" w:type="dxa"/>
            <w:textDirection w:val="btLr"/>
          </w:tcPr>
          <w:p w14:paraId="67CCE957" w14:textId="77777777" w:rsidR="002327FF" w:rsidRPr="007A3962" w:rsidRDefault="002327FF" w:rsidP="005B6FFA">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Machinga</w:t>
            </w:r>
          </w:p>
        </w:tc>
        <w:tc>
          <w:tcPr>
            <w:cnfStyle w:val="000010000000" w:firstRow="0" w:lastRow="0" w:firstColumn="0" w:lastColumn="0" w:oddVBand="1" w:evenVBand="0" w:oddHBand="0" w:evenHBand="0" w:firstRowFirstColumn="0" w:firstRowLastColumn="0" w:lastRowFirstColumn="0" w:lastRowLastColumn="0"/>
            <w:tcW w:w="1105" w:type="dxa"/>
            <w:textDirection w:val="btLr"/>
          </w:tcPr>
          <w:p w14:paraId="3B209688" w14:textId="77777777" w:rsidR="002327FF" w:rsidRPr="007A3962" w:rsidRDefault="002327FF" w:rsidP="005B6FFA">
            <w:pPr>
              <w:spacing w:line="480" w:lineRule="auto"/>
              <w:ind w:left="113" w:right="113"/>
              <w:rPr>
                <w:rFonts w:ascii="Arial" w:hAnsi="Arial" w:cs="Arial"/>
                <w:sz w:val="20"/>
                <w:szCs w:val="20"/>
              </w:rPr>
            </w:pPr>
            <w:r w:rsidRPr="007A3962">
              <w:rPr>
                <w:rFonts w:ascii="Arial" w:hAnsi="Arial" w:cs="Arial"/>
                <w:sz w:val="20"/>
                <w:szCs w:val="20"/>
              </w:rPr>
              <w:t>Mangochi</w:t>
            </w:r>
          </w:p>
        </w:tc>
        <w:tc>
          <w:tcPr>
            <w:tcW w:w="1231" w:type="dxa"/>
            <w:textDirection w:val="btLr"/>
          </w:tcPr>
          <w:p w14:paraId="6C3BB6C5" w14:textId="77777777" w:rsidR="002327FF" w:rsidRPr="007A3962" w:rsidRDefault="002327FF" w:rsidP="005B6FFA">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Nkhotakota</w:t>
            </w:r>
          </w:p>
        </w:tc>
        <w:tc>
          <w:tcPr>
            <w:cnfStyle w:val="000010000000" w:firstRow="0" w:lastRow="0" w:firstColumn="0" w:lastColumn="0" w:oddVBand="1" w:evenVBand="0" w:oddHBand="0" w:evenHBand="0" w:firstRowFirstColumn="0" w:firstRowLastColumn="0" w:lastRowFirstColumn="0" w:lastRowLastColumn="0"/>
            <w:tcW w:w="1162" w:type="dxa"/>
            <w:textDirection w:val="btLr"/>
          </w:tcPr>
          <w:p w14:paraId="49DF9BD3" w14:textId="77777777" w:rsidR="002327FF" w:rsidRPr="007A3962" w:rsidRDefault="002327FF" w:rsidP="005B6FFA">
            <w:pPr>
              <w:spacing w:line="480" w:lineRule="auto"/>
              <w:ind w:left="113" w:right="113"/>
              <w:rPr>
                <w:rFonts w:ascii="Arial" w:hAnsi="Arial" w:cs="Arial"/>
                <w:sz w:val="20"/>
                <w:szCs w:val="20"/>
              </w:rPr>
            </w:pPr>
            <w:r w:rsidRPr="007A3962">
              <w:rPr>
                <w:rFonts w:ascii="Arial" w:hAnsi="Arial" w:cs="Arial"/>
                <w:sz w:val="20"/>
                <w:szCs w:val="20"/>
              </w:rPr>
              <w:t>Nkhatabay</w:t>
            </w:r>
          </w:p>
        </w:tc>
        <w:tc>
          <w:tcPr>
            <w:tcW w:w="977" w:type="dxa"/>
            <w:textDirection w:val="btLr"/>
          </w:tcPr>
          <w:p w14:paraId="2269DC06" w14:textId="77777777" w:rsidR="002327FF" w:rsidRPr="007A3962" w:rsidRDefault="002327FF" w:rsidP="005B6FFA">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Karonga</w:t>
            </w:r>
          </w:p>
        </w:tc>
      </w:tr>
      <w:tr w:rsidR="00FB772D" w:rsidRPr="007A3962" w14:paraId="64C09682" w14:textId="77777777" w:rsidTr="005D00CA">
        <w:tc>
          <w:tcPr>
            <w:cnfStyle w:val="001000000000" w:firstRow="0" w:lastRow="0" w:firstColumn="1" w:lastColumn="0" w:oddVBand="0" w:evenVBand="0" w:oddHBand="0" w:evenHBand="0" w:firstRowFirstColumn="0" w:firstRowLastColumn="0" w:lastRowFirstColumn="0" w:lastRowLastColumn="0"/>
            <w:tcW w:w="951" w:type="dxa"/>
          </w:tcPr>
          <w:p w14:paraId="47898AD8"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82B2</w:t>
            </w:r>
          </w:p>
        </w:tc>
        <w:tc>
          <w:tcPr>
            <w:cnfStyle w:val="000010000000" w:firstRow="0" w:lastRow="0" w:firstColumn="0" w:lastColumn="0" w:oddVBand="1" w:evenVBand="0" w:oddHBand="0" w:evenHBand="0" w:firstRowFirstColumn="0" w:firstRowLastColumn="0" w:lastRowFirstColumn="0" w:lastRowLastColumn="0"/>
            <w:tcW w:w="1145" w:type="dxa"/>
          </w:tcPr>
          <w:p w14:paraId="02A068A0"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838" w:type="dxa"/>
          </w:tcPr>
          <w:p w14:paraId="5EDA61AB"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849" w:type="dxa"/>
          </w:tcPr>
          <w:p w14:paraId="7AE1C904"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092" w:type="dxa"/>
          </w:tcPr>
          <w:p w14:paraId="42E9A4E0"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05" w:type="dxa"/>
          </w:tcPr>
          <w:p w14:paraId="1866FA1F"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231" w:type="dxa"/>
          </w:tcPr>
          <w:p w14:paraId="41963B72"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62" w:type="dxa"/>
          </w:tcPr>
          <w:p w14:paraId="3B73697E"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977" w:type="dxa"/>
          </w:tcPr>
          <w:p w14:paraId="55A2E1E3"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r w:rsidR="00FB772D" w:rsidRPr="007A3962" w14:paraId="2E8AA74F"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 w:type="dxa"/>
          </w:tcPr>
          <w:p w14:paraId="4B5AD949"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58F1</w:t>
            </w:r>
          </w:p>
        </w:tc>
        <w:tc>
          <w:tcPr>
            <w:cnfStyle w:val="000010000000" w:firstRow="0" w:lastRow="0" w:firstColumn="0" w:lastColumn="0" w:oddVBand="1" w:evenVBand="0" w:oddHBand="0" w:evenHBand="0" w:firstRowFirstColumn="0" w:firstRowLastColumn="0" w:lastRowFirstColumn="0" w:lastRowLastColumn="0"/>
            <w:tcW w:w="1145" w:type="dxa"/>
          </w:tcPr>
          <w:p w14:paraId="774E9A1C"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838" w:type="dxa"/>
          </w:tcPr>
          <w:p w14:paraId="1D7B2726"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849" w:type="dxa"/>
          </w:tcPr>
          <w:p w14:paraId="1899A3C4"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092" w:type="dxa"/>
          </w:tcPr>
          <w:p w14:paraId="592C4A34"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05" w:type="dxa"/>
          </w:tcPr>
          <w:p w14:paraId="132788FB"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231" w:type="dxa"/>
          </w:tcPr>
          <w:p w14:paraId="6EBEC1B9"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62" w:type="dxa"/>
          </w:tcPr>
          <w:p w14:paraId="271ACD6B"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977" w:type="dxa"/>
          </w:tcPr>
          <w:p w14:paraId="4A475B69"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r w:rsidR="00FB772D" w:rsidRPr="007A3962" w14:paraId="6D94C8E7" w14:textId="77777777" w:rsidTr="005D00CA">
        <w:tc>
          <w:tcPr>
            <w:cnfStyle w:val="001000000000" w:firstRow="0" w:lastRow="0" w:firstColumn="1" w:lastColumn="0" w:oddVBand="0" w:evenVBand="0" w:oddHBand="0" w:evenHBand="0" w:firstRowFirstColumn="0" w:firstRowLastColumn="0" w:lastRowFirstColumn="0" w:lastRowLastColumn="0"/>
            <w:tcW w:w="951" w:type="dxa"/>
          </w:tcPr>
          <w:p w14:paraId="18414536"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5005</w:t>
            </w:r>
          </w:p>
        </w:tc>
        <w:tc>
          <w:tcPr>
            <w:cnfStyle w:val="000010000000" w:firstRow="0" w:lastRow="0" w:firstColumn="0" w:lastColumn="0" w:oddVBand="1" w:evenVBand="0" w:oddHBand="0" w:evenHBand="0" w:firstRowFirstColumn="0" w:firstRowLastColumn="0" w:lastRowFirstColumn="0" w:lastRowLastColumn="0"/>
            <w:tcW w:w="1145" w:type="dxa"/>
          </w:tcPr>
          <w:p w14:paraId="1B08F559"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838" w:type="dxa"/>
          </w:tcPr>
          <w:p w14:paraId="41B90ACF"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849" w:type="dxa"/>
          </w:tcPr>
          <w:p w14:paraId="72E078DE"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092" w:type="dxa"/>
          </w:tcPr>
          <w:p w14:paraId="2889DC67"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05" w:type="dxa"/>
          </w:tcPr>
          <w:p w14:paraId="4BD929B8"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231" w:type="dxa"/>
          </w:tcPr>
          <w:p w14:paraId="65224A90"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62" w:type="dxa"/>
          </w:tcPr>
          <w:p w14:paraId="6F936488"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977" w:type="dxa"/>
          </w:tcPr>
          <w:p w14:paraId="048496AB"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r w:rsidR="00FB772D" w:rsidRPr="007A3962" w14:paraId="1BFEA167"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 w:type="dxa"/>
          </w:tcPr>
          <w:p w14:paraId="7FEC3B41"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23F3</w:t>
            </w:r>
          </w:p>
        </w:tc>
        <w:tc>
          <w:tcPr>
            <w:cnfStyle w:val="000010000000" w:firstRow="0" w:lastRow="0" w:firstColumn="0" w:lastColumn="0" w:oddVBand="1" w:evenVBand="0" w:oddHBand="0" w:evenHBand="0" w:firstRowFirstColumn="0" w:firstRowLastColumn="0" w:lastRowFirstColumn="0" w:lastRowLastColumn="0"/>
            <w:tcW w:w="1145" w:type="dxa"/>
          </w:tcPr>
          <w:p w14:paraId="24AA17D6"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838" w:type="dxa"/>
          </w:tcPr>
          <w:p w14:paraId="2C6143E3"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849" w:type="dxa"/>
          </w:tcPr>
          <w:p w14:paraId="2A761875"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092" w:type="dxa"/>
          </w:tcPr>
          <w:p w14:paraId="0F9514CD"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05" w:type="dxa"/>
          </w:tcPr>
          <w:p w14:paraId="654BBD35"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231" w:type="dxa"/>
          </w:tcPr>
          <w:p w14:paraId="25A6980F"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62" w:type="dxa"/>
          </w:tcPr>
          <w:p w14:paraId="03245051"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977" w:type="dxa"/>
          </w:tcPr>
          <w:p w14:paraId="2329F73D"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r w:rsidR="00FB772D" w:rsidRPr="007A3962" w14:paraId="416C2D0E" w14:textId="77777777" w:rsidTr="005D00CA">
        <w:tc>
          <w:tcPr>
            <w:cnfStyle w:val="001000000000" w:firstRow="0" w:lastRow="0" w:firstColumn="1" w:lastColumn="0" w:oddVBand="0" w:evenVBand="0" w:oddHBand="0" w:evenHBand="0" w:firstRowFirstColumn="0" w:firstRowLastColumn="0" w:lastRowFirstColumn="0" w:lastRowLastColumn="0"/>
            <w:tcW w:w="951" w:type="dxa"/>
          </w:tcPr>
          <w:p w14:paraId="1282A66A"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57F1</w:t>
            </w:r>
          </w:p>
        </w:tc>
        <w:tc>
          <w:tcPr>
            <w:cnfStyle w:val="000010000000" w:firstRow="0" w:lastRow="0" w:firstColumn="0" w:lastColumn="0" w:oddVBand="1" w:evenVBand="0" w:oddHBand="0" w:evenHBand="0" w:firstRowFirstColumn="0" w:firstRowLastColumn="0" w:lastRowFirstColumn="0" w:lastRowLastColumn="0"/>
            <w:tcW w:w="1145" w:type="dxa"/>
          </w:tcPr>
          <w:p w14:paraId="3936FA9D"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838" w:type="dxa"/>
          </w:tcPr>
          <w:p w14:paraId="0D39252A"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849" w:type="dxa"/>
          </w:tcPr>
          <w:p w14:paraId="645384B6"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092" w:type="dxa"/>
          </w:tcPr>
          <w:p w14:paraId="73172CC1"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05" w:type="dxa"/>
          </w:tcPr>
          <w:p w14:paraId="5B1CE4DE"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231" w:type="dxa"/>
          </w:tcPr>
          <w:p w14:paraId="7E85031E"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62" w:type="dxa"/>
          </w:tcPr>
          <w:p w14:paraId="4FD59A5F"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977" w:type="dxa"/>
          </w:tcPr>
          <w:p w14:paraId="50900DBF"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r w:rsidR="00FB772D" w:rsidRPr="007A3962" w14:paraId="185EB55C"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 w:type="dxa"/>
          </w:tcPr>
          <w:p w14:paraId="6E0955AA"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63F3</w:t>
            </w:r>
          </w:p>
        </w:tc>
        <w:tc>
          <w:tcPr>
            <w:cnfStyle w:val="000010000000" w:firstRow="0" w:lastRow="0" w:firstColumn="0" w:lastColumn="0" w:oddVBand="1" w:evenVBand="0" w:oddHBand="0" w:evenHBand="0" w:firstRowFirstColumn="0" w:firstRowLastColumn="0" w:lastRowFirstColumn="0" w:lastRowLastColumn="0"/>
            <w:tcW w:w="1145" w:type="dxa"/>
          </w:tcPr>
          <w:p w14:paraId="772843F4"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838" w:type="dxa"/>
          </w:tcPr>
          <w:p w14:paraId="5EC3E8BE"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849" w:type="dxa"/>
          </w:tcPr>
          <w:p w14:paraId="1CC499AB"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092" w:type="dxa"/>
          </w:tcPr>
          <w:p w14:paraId="3D47E407"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05" w:type="dxa"/>
          </w:tcPr>
          <w:p w14:paraId="0A03AF25"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231" w:type="dxa"/>
          </w:tcPr>
          <w:p w14:paraId="4A62E6AC"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62" w:type="dxa"/>
          </w:tcPr>
          <w:p w14:paraId="4F383238"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977" w:type="dxa"/>
          </w:tcPr>
          <w:p w14:paraId="39EB711A"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bl>
    <w:p w14:paraId="046045C5" w14:textId="77777777" w:rsidR="002327FF" w:rsidRPr="007A3962" w:rsidRDefault="002327FF" w:rsidP="005B6FFA">
      <w:pPr>
        <w:spacing w:line="480" w:lineRule="auto"/>
        <w:rPr>
          <w:rFonts w:ascii="Arial" w:hAnsi="Arial" w:cs="Arial"/>
          <w:sz w:val="20"/>
          <w:szCs w:val="20"/>
        </w:rPr>
      </w:pPr>
    </w:p>
    <w:p w14:paraId="7C6144A5" w14:textId="77777777" w:rsidR="00281785" w:rsidRPr="007A3962" w:rsidRDefault="00281785" w:rsidP="005B6FFA">
      <w:pPr>
        <w:spacing w:line="480" w:lineRule="auto"/>
        <w:rPr>
          <w:rFonts w:ascii="Arial" w:hAnsi="Arial" w:cs="Arial"/>
          <w:sz w:val="20"/>
          <w:szCs w:val="20"/>
        </w:rPr>
      </w:pPr>
      <w:r w:rsidRPr="007A3962">
        <w:rPr>
          <w:rFonts w:ascii="Arial" w:hAnsi="Arial" w:cs="Arial"/>
          <w:noProof/>
          <w:sz w:val="20"/>
          <w:szCs w:val="20"/>
        </w:rPr>
        <w:drawing>
          <wp:inline distT="0" distB="0" distL="0" distR="0" wp14:anchorId="6E9477ED" wp14:editId="50C9A1C7">
            <wp:extent cx="5555848" cy="2743200"/>
            <wp:effectExtent l="0" t="0" r="698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9362FB" w14:textId="77777777" w:rsidR="00DA5C6B" w:rsidRPr="005D00CA" w:rsidRDefault="00317BF9" w:rsidP="005B6FFA">
      <w:pPr>
        <w:pStyle w:val="Caption"/>
        <w:spacing w:line="480" w:lineRule="auto"/>
        <w:rPr>
          <w:rFonts w:ascii="Arial" w:hAnsi="Arial" w:cs="Arial"/>
          <w:b/>
          <w:i w:val="0"/>
          <w:color w:val="auto"/>
          <w:sz w:val="20"/>
          <w:szCs w:val="20"/>
        </w:rPr>
      </w:pPr>
      <w:r w:rsidRPr="005D00CA">
        <w:rPr>
          <w:rFonts w:ascii="Arial" w:hAnsi="Arial" w:cs="Arial"/>
          <w:b/>
          <w:i w:val="0"/>
          <w:color w:val="auto"/>
          <w:sz w:val="20"/>
          <w:szCs w:val="20"/>
        </w:rPr>
        <w:t xml:space="preserve">Figure </w:t>
      </w:r>
      <w:r w:rsidRPr="005D00CA">
        <w:rPr>
          <w:rFonts w:ascii="Arial" w:hAnsi="Arial" w:cs="Arial"/>
          <w:b/>
          <w:i w:val="0"/>
          <w:color w:val="auto"/>
          <w:sz w:val="20"/>
          <w:szCs w:val="20"/>
        </w:rPr>
        <w:fldChar w:fldCharType="begin"/>
      </w:r>
      <w:r w:rsidRPr="005D00CA">
        <w:rPr>
          <w:rFonts w:ascii="Arial" w:hAnsi="Arial" w:cs="Arial"/>
          <w:b/>
          <w:i w:val="0"/>
          <w:color w:val="auto"/>
          <w:sz w:val="20"/>
          <w:szCs w:val="20"/>
        </w:rPr>
        <w:instrText xml:space="preserve"> SEQ Figure \* ARABIC </w:instrText>
      </w:r>
      <w:r w:rsidRPr="005D00CA">
        <w:rPr>
          <w:rFonts w:ascii="Arial" w:hAnsi="Arial" w:cs="Arial"/>
          <w:b/>
          <w:i w:val="0"/>
          <w:color w:val="auto"/>
          <w:sz w:val="20"/>
          <w:szCs w:val="20"/>
        </w:rPr>
        <w:fldChar w:fldCharType="separate"/>
      </w:r>
      <w:r w:rsidRPr="005D00CA">
        <w:rPr>
          <w:rFonts w:ascii="Arial" w:hAnsi="Arial" w:cs="Arial"/>
          <w:b/>
          <w:i w:val="0"/>
          <w:noProof/>
          <w:color w:val="auto"/>
          <w:sz w:val="20"/>
          <w:szCs w:val="20"/>
        </w:rPr>
        <w:t>2</w:t>
      </w:r>
      <w:r w:rsidRPr="005D00CA">
        <w:rPr>
          <w:rFonts w:ascii="Arial" w:hAnsi="Arial" w:cs="Arial"/>
          <w:b/>
          <w:i w:val="0"/>
          <w:color w:val="auto"/>
          <w:sz w:val="20"/>
          <w:szCs w:val="20"/>
        </w:rPr>
        <w:fldChar w:fldCharType="end"/>
      </w:r>
      <w:r w:rsidRPr="005D00CA">
        <w:rPr>
          <w:rFonts w:ascii="Arial" w:hAnsi="Arial" w:cs="Arial"/>
          <w:b/>
          <w:i w:val="0"/>
          <w:color w:val="auto"/>
          <w:sz w:val="20"/>
          <w:szCs w:val="20"/>
        </w:rPr>
        <w:t>: Solubilisation index and final ph. values exhibited by microbes 6days after inoculation</w:t>
      </w:r>
    </w:p>
    <w:p w14:paraId="43490688" w14:textId="77777777" w:rsidR="00317BF9" w:rsidRPr="007A3962" w:rsidRDefault="00317BF9" w:rsidP="005B6FFA">
      <w:pPr>
        <w:spacing w:line="480" w:lineRule="auto"/>
        <w:rPr>
          <w:rFonts w:ascii="Arial" w:hAnsi="Arial" w:cs="Arial"/>
          <w:sz w:val="20"/>
          <w:szCs w:val="20"/>
        </w:rPr>
      </w:pPr>
    </w:p>
    <w:p w14:paraId="638C76F5" w14:textId="77777777" w:rsidR="00281785" w:rsidRPr="007A3962" w:rsidRDefault="00197EBF" w:rsidP="005B6FFA">
      <w:pPr>
        <w:pStyle w:val="Caption"/>
        <w:spacing w:line="480" w:lineRule="auto"/>
        <w:rPr>
          <w:rFonts w:ascii="Arial" w:hAnsi="Arial" w:cs="Arial"/>
          <w:b/>
          <w:i w:val="0"/>
          <w:color w:val="000000" w:themeColor="text1"/>
          <w:sz w:val="20"/>
          <w:szCs w:val="20"/>
        </w:rPr>
      </w:pPr>
      <w:bookmarkStart w:id="9" w:name="_Toc186103671"/>
      <w:r w:rsidRPr="007A3962">
        <w:rPr>
          <w:rFonts w:ascii="Arial" w:hAnsi="Arial" w:cs="Arial"/>
          <w:noProof/>
          <w:sz w:val="20"/>
          <w:szCs w:val="20"/>
        </w:rPr>
        <w:lastRenderedPageBreak/>
        <w:drawing>
          <wp:inline distT="0" distB="0" distL="0" distR="0" wp14:anchorId="625031AC" wp14:editId="398E8048">
            <wp:extent cx="5555615" cy="2743200"/>
            <wp:effectExtent l="0" t="0" r="698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BC6FE5" w14:textId="77777777" w:rsidR="00317BF9" w:rsidRPr="005D00CA" w:rsidRDefault="00317BF9" w:rsidP="005B6FFA">
      <w:pPr>
        <w:pStyle w:val="Caption"/>
        <w:spacing w:line="480" w:lineRule="auto"/>
        <w:rPr>
          <w:rFonts w:ascii="Arial" w:hAnsi="Arial" w:cs="Arial"/>
          <w:b/>
          <w:i w:val="0"/>
          <w:color w:val="auto"/>
          <w:sz w:val="20"/>
          <w:szCs w:val="20"/>
        </w:rPr>
      </w:pPr>
      <w:r w:rsidRPr="005D00CA">
        <w:rPr>
          <w:rFonts w:ascii="Arial" w:hAnsi="Arial" w:cs="Arial"/>
          <w:b/>
          <w:i w:val="0"/>
          <w:color w:val="auto"/>
          <w:sz w:val="20"/>
          <w:szCs w:val="20"/>
        </w:rPr>
        <w:t xml:space="preserve">Figure </w:t>
      </w:r>
      <w:r w:rsidRPr="005D00CA">
        <w:rPr>
          <w:rFonts w:ascii="Arial" w:hAnsi="Arial" w:cs="Arial"/>
          <w:b/>
          <w:i w:val="0"/>
          <w:color w:val="auto"/>
          <w:sz w:val="20"/>
          <w:szCs w:val="20"/>
        </w:rPr>
        <w:fldChar w:fldCharType="begin"/>
      </w:r>
      <w:r w:rsidRPr="005D00CA">
        <w:rPr>
          <w:rFonts w:ascii="Arial" w:hAnsi="Arial" w:cs="Arial"/>
          <w:b/>
          <w:i w:val="0"/>
          <w:color w:val="auto"/>
          <w:sz w:val="20"/>
          <w:szCs w:val="20"/>
        </w:rPr>
        <w:instrText xml:space="preserve"> SEQ Figure \* ARABIC </w:instrText>
      </w:r>
      <w:r w:rsidRPr="005D00CA">
        <w:rPr>
          <w:rFonts w:ascii="Arial" w:hAnsi="Arial" w:cs="Arial"/>
          <w:b/>
          <w:i w:val="0"/>
          <w:color w:val="auto"/>
          <w:sz w:val="20"/>
          <w:szCs w:val="20"/>
        </w:rPr>
        <w:fldChar w:fldCharType="separate"/>
      </w:r>
      <w:r w:rsidRPr="005D00CA">
        <w:rPr>
          <w:rFonts w:ascii="Arial" w:hAnsi="Arial" w:cs="Arial"/>
          <w:b/>
          <w:i w:val="0"/>
          <w:noProof/>
          <w:color w:val="auto"/>
          <w:sz w:val="20"/>
          <w:szCs w:val="20"/>
        </w:rPr>
        <w:t>3</w:t>
      </w:r>
      <w:r w:rsidRPr="005D00CA">
        <w:rPr>
          <w:rFonts w:ascii="Arial" w:hAnsi="Arial" w:cs="Arial"/>
          <w:b/>
          <w:i w:val="0"/>
          <w:color w:val="auto"/>
          <w:sz w:val="20"/>
          <w:szCs w:val="20"/>
        </w:rPr>
        <w:fldChar w:fldCharType="end"/>
      </w:r>
      <w:r w:rsidRPr="005D00CA">
        <w:rPr>
          <w:rFonts w:ascii="Arial" w:hAnsi="Arial" w:cs="Arial"/>
          <w:b/>
          <w:i w:val="0"/>
          <w:color w:val="auto"/>
          <w:sz w:val="20"/>
          <w:szCs w:val="20"/>
        </w:rPr>
        <w:t>: Solubilisation efficiency of isolate on different insoluble sources of phosphate.</w:t>
      </w:r>
    </w:p>
    <w:p w14:paraId="3E1D6455" w14:textId="77777777" w:rsidR="00DA7AAC" w:rsidRPr="005D00CA" w:rsidRDefault="00DA7AAC" w:rsidP="005B6FFA">
      <w:pPr>
        <w:pStyle w:val="Caption"/>
        <w:spacing w:line="480" w:lineRule="auto"/>
        <w:rPr>
          <w:rFonts w:ascii="Arial" w:hAnsi="Arial" w:cs="Arial"/>
          <w:b/>
          <w:i w:val="0"/>
          <w:color w:val="auto"/>
          <w:sz w:val="20"/>
          <w:szCs w:val="20"/>
        </w:rPr>
      </w:pPr>
      <w:r w:rsidRPr="005D00CA">
        <w:rPr>
          <w:rFonts w:ascii="Arial" w:hAnsi="Arial" w:cs="Arial"/>
          <w:b/>
          <w:i w:val="0"/>
          <w:color w:val="auto"/>
          <w:sz w:val="20"/>
          <w:szCs w:val="20"/>
        </w:rPr>
        <w:t xml:space="preserve">Table </w:t>
      </w:r>
      <w:r w:rsidRPr="005D00CA">
        <w:rPr>
          <w:rFonts w:ascii="Arial" w:hAnsi="Arial" w:cs="Arial"/>
          <w:b/>
          <w:i w:val="0"/>
          <w:color w:val="auto"/>
          <w:sz w:val="20"/>
          <w:szCs w:val="20"/>
        </w:rPr>
        <w:fldChar w:fldCharType="begin"/>
      </w:r>
      <w:r w:rsidRPr="005D00CA">
        <w:rPr>
          <w:rFonts w:ascii="Arial" w:hAnsi="Arial" w:cs="Arial"/>
          <w:b/>
          <w:i w:val="0"/>
          <w:color w:val="auto"/>
          <w:sz w:val="20"/>
          <w:szCs w:val="20"/>
        </w:rPr>
        <w:instrText xml:space="preserve"> SEQ Table \* ARABIC </w:instrText>
      </w:r>
      <w:r w:rsidRPr="005D00CA">
        <w:rPr>
          <w:rFonts w:ascii="Arial" w:hAnsi="Arial" w:cs="Arial"/>
          <w:b/>
          <w:i w:val="0"/>
          <w:color w:val="auto"/>
          <w:sz w:val="20"/>
          <w:szCs w:val="20"/>
        </w:rPr>
        <w:fldChar w:fldCharType="separate"/>
      </w:r>
      <w:r w:rsidR="00281785" w:rsidRPr="005D00CA">
        <w:rPr>
          <w:rFonts w:ascii="Arial" w:hAnsi="Arial" w:cs="Arial"/>
          <w:b/>
          <w:i w:val="0"/>
          <w:noProof/>
          <w:color w:val="auto"/>
          <w:sz w:val="20"/>
          <w:szCs w:val="20"/>
        </w:rPr>
        <w:t>3</w:t>
      </w:r>
      <w:r w:rsidRPr="005D00CA">
        <w:rPr>
          <w:rFonts w:ascii="Arial" w:hAnsi="Arial" w:cs="Arial"/>
          <w:b/>
          <w:i w:val="0"/>
          <w:color w:val="auto"/>
          <w:sz w:val="20"/>
          <w:szCs w:val="20"/>
        </w:rPr>
        <w:fldChar w:fldCharType="end"/>
      </w:r>
      <w:r w:rsidRPr="005D00CA">
        <w:rPr>
          <w:rFonts w:ascii="Arial" w:hAnsi="Arial" w:cs="Arial"/>
          <w:b/>
          <w:i w:val="0"/>
          <w:color w:val="auto"/>
          <w:sz w:val="20"/>
          <w:szCs w:val="20"/>
        </w:rPr>
        <w:t>. Characterization of isolates for plant growth regulatory and bioremediation traits.</w:t>
      </w:r>
      <w:bookmarkEnd w:id="9"/>
    </w:p>
    <w:tbl>
      <w:tblPr>
        <w:tblStyle w:val="PlainTable5"/>
        <w:tblW w:w="0" w:type="auto"/>
        <w:tblLook w:val="04A0" w:firstRow="1" w:lastRow="0" w:firstColumn="1" w:lastColumn="0" w:noHBand="0" w:noVBand="1"/>
      </w:tblPr>
      <w:tblGrid>
        <w:gridCol w:w="992"/>
        <w:gridCol w:w="1175"/>
        <w:gridCol w:w="1175"/>
        <w:gridCol w:w="1176"/>
        <w:gridCol w:w="1013"/>
        <w:gridCol w:w="1287"/>
        <w:gridCol w:w="1152"/>
        <w:gridCol w:w="695"/>
        <w:gridCol w:w="695"/>
      </w:tblGrid>
      <w:tr w:rsidR="00DA7AAC" w:rsidRPr="005D00CA" w14:paraId="5C515303" w14:textId="77777777" w:rsidTr="005D00CA">
        <w:trPr>
          <w:cnfStyle w:val="100000000000" w:firstRow="1" w:lastRow="0" w:firstColumn="0" w:lastColumn="0" w:oddVBand="0" w:evenVBand="0" w:oddHBand="0" w:evenHBand="0" w:firstRowFirstColumn="0" w:firstRowLastColumn="0" w:lastRowFirstColumn="0" w:lastRowLastColumn="0"/>
          <w:trHeight w:val="1944"/>
        </w:trPr>
        <w:tc>
          <w:tcPr>
            <w:cnfStyle w:val="001000000100" w:firstRow="0" w:lastRow="0" w:firstColumn="1" w:lastColumn="0" w:oddVBand="0" w:evenVBand="0" w:oddHBand="0" w:evenHBand="0" w:firstRowFirstColumn="1" w:firstRowLastColumn="0" w:lastRowFirstColumn="0" w:lastRowLastColumn="0"/>
            <w:tcW w:w="1021" w:type="dxa"/>
            <w:textDirection w:val="btLr"/>
          </w:tcPr>
          <w:p w14:paraId="089ED6F1" w14:textId="77777777" w:rsidR="00DA7AAC" w:rsidRPr="005D00CA" w:rsidRDefault="00DA7AAC" w:rsidP="005B6FFA">
            <w:pPr>
              <w:spacing w:line="480" w:lineRule="auto"/>
              <w:ind w:left="113" w:right="113"/>
              <w:jc w:val="left"/>
              <w:rPr>
                <w:rFonts w:ascii="Arial" w:hAnsi="Arial" w:cs="Arial"/>
                <w:b/>
                <w:i w:val="0"/>
                <w:color w:val="000000"/>
                <w:sz w:val="20"/>
                <w:szCs w:val="20"/>
              </w:rPr>
            </w:pPr>
            <w:r w:rsidRPr="005D00CA">
              <w:rPr>
                <w:rFonts w:ascii="Arial" w:hAnsi="Arial" w:cs="Arial"/>
                <w:b/>
                <w:i w:val="0"/>
                <w:color w:val="000000"/>
                <w:sz w:val="20"/>
                <w:szCs w:val="20"/>
              </w:rPr>
              <w:t>Serial Number</w:t>
            </w:r>
          </w:p>
        </w:tc>
        <w:tc>
          <w:tcPr>
            <w:tcW w:w="1221" w:type="dxa"/>
            <w:textDirection w:val="btLr"/>
          </w:tcPr>
          <w:p w14:paraId="50A888A8" w14:textId="77777777" w:rsidR="00DA7AAC" w:rsidRPr="005D00CA"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sz w:val="20"/>
                <w:szCs w:val="20"/>
              </w:rPr>
            </w:pPr>
            <w:r w:rsidRPr="005D00CA">
              <w:rPr>
                <w:rFonts w:ascii="Arial" w:hAnsi="Arial" w:cs="Arial"/>
                <w:b/>
                <w:i w:val="0"/>
                <w:color w:val="000000"/>
                <w:sz w:val="20"/>
                <w:szCs w:val="20"/>
              </w:rPr>
              <w:t>Ammonia production</w:t>
            </w:r>
          </w:p>
        </w:tc>
        <w:tc>
          <w:tcPr>
            <w:tcW w:w="1221" w:type="dxa"/>
            <w:textDirection w:val="btLr"/>
          </w:tcPr>
          <w:p w14:paraId="6C8F7C35" w14:textId="77777777" w:rsidR="00DA7AAC" w:rsidRPr="005D00CA"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sz w:val="20"/>
                <w:szCs w:val="20"/>
              </w:rPr>
            </w:pPr>
            <w:r w:rsidRPr="005D00CA">
              <w:rPr>
                <w:rFonts w:ascii="Arial" w:hAnsi="Arial" w:cs="Arial"/>
                <w:b/>
                <w:i w:val="0"/>
                <w:color w:val="000000"/>
                <w:sz w:val="20"/>
                <w:szCs w:val="20"/>
              </w:rPr>
              <w:t>IAA production</w:t>
            </w:r>
          </w:p>
        </w:tc>
        <w:tc>
          <w:tcPr>
            <w:tcW w:w="1223" w:type="dxa"/>
            <w:textDirection w:val="btLr"/>
          </w:tcPr>
          <w:p w14:paraId="579CDBAA" w14:textId="77777777" w:rsidR="00DA7AAC" w:rsidRPr="005D00CA"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sz w:val="20"/>
                <w:szCs w:val="20"/>
              </w:rPr>
            </w:pPr>
            <w:r w:rsidRPr="005D00CA">
              <w:rPr>
                <w:rFonts w:ascii="Arial" w:hAnsi="Arial" w:cs="Arial"/>
                <w:b/>
                <w:i w:val="0"/>
                <w:color w:val="000000"/>
                <w:sz w:val="20"/>
                <w:szCs w:val="20"/>
              </w:rPr>
              <w:t>Catalase production</w:t>
            </w:r>
          </w:p>
        </w:tc>
        <w:tc>
          <w:tcPr>
            <w:tcW w:w="1044" w:type="dxa"/>
            <w:textDirection w:val="btLr"/>
          </w:tcPr>
          <w:p w14:paraId="37A3DD81" w14:textId="77777777" w:rsidR="00DA7AAC" w:rsidRPr="005D00CA"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sz w:val="20"/>
                <w:szCs w:val="20"/>
              </w:rPr>
            </w:pPr>
            <w:r w:rsidRPr="005D00CA">
              <w:rPr>
                <w:rFonts w:ascii="Arial" w:hAnsi="Arial" w:cs="Arial"/>
                <w:b/>
                <w:i w:val="0"/>
                <w:color w:val="000000"/>
                <w:sz w:val="20"/>
                <w:szCs w:val="20"/>
              </w:rPr>
              <w:t>Nitrogen fixation</w:t>
            </w:r>
          </w:p>
        </w:tc>
        <w:tc>
          <w:tcPr>
            <w:tcW w:w="1344" w:type="dxa"/>
            <w:textDirection w:val="btLr"/>
          </w:tcPr>
          <w:p w14:paraId="2475620D" w14:textId="77777777" w:rsidR="00DA7AAC" w:rsidRPr="005D00CA"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sz w:val="20"/>
                <w:szCs w:val="20"/>
              </w:rPr>
            </w:pPr>
            <w:r w:rsidRPr="005D00CA">
              <w:rPr>
                <w:rFonts w:ascii="Arial" w:hAnsi="Arial" w:cs="Arial"/>
                <w:b/>
                <w:i w:val="0"/>
                <w:color w:val="000000"/>
                <w:sz w:val="20"/>
                <w:szCs w:val="20"/>
              </w:rPr>
              <w:t>Cyanide production</w:t>
            </w:r>
          </w:p>
        </w:tc>
        <w:tc>
          <w:tcPr>
            <w:tcW w:w="1196" w:type="dxa"/>
            <w:textDirection w:val="btLr"/>
          </w:tcPr>
          <w:p w14:paraId="463F4B70" w14:textId="77777777" w:rsidR="00DA7AAC" w:rsidRPr="005D00CA"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sz w:val="20"/>
                <w:szCs w:val="20"/>
              </w:rPr>
            </w:pPr>
            <w:r w:rsidRPr="005D00CA">
              <w:rPr>
                <w:rFonts w:ascii="Arial" w:hAnsi="Arial" w:cs="Arial"/>
                <w:b/>
                <w:i w:val="0"/>
                <w:color w:val="000000"/>
                <w:sz w:val="20"/>
                <w:szCs w:val="20"/>
              </w:rPr>
              <w:t>ACC deaminase</w:t>
            </w:r>
          </w:p>
        </w:tc>
        <w:tc>
          <w:tcPr>
            <w:tcW w:w="540" w:type="dxa"/>
            <w:textDirection w:val="btLr"/>
          </w:tcPr>
          <w:p w14:paraId="053DE2CE" w14:textId="77777777" w:rsidR="00DA7AAC" w:rsidRPr="005D00CA" w:rsidRDefault="00FB772D"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sz w:val="20"/>
                <w:szCs w:val="20"/>
              </w:rPr>
            </w:pPr>
            <w:r w:rsidRPr="005D00CA">
              <w:rPr>
                <w:rFonts w:ascii="Arial" w:hAnsi="Arial" w:cs="Arial"/>
                <w:b/>
                <w:i w:val="0"/>
                <w:color w:val="000000"/>
                <w:sz w:val="20"/>
                <w:szCs w:val="20"/>
              </w:rPr>
              <w:t>Zn</w:t>
            </w:r>
            <w:r w:rsidR="00DA7AAC" w:rsidRPr="005D00CA">
              <w:rPr>
                <w:rFonts w:ascii="Arial" w:hAnsi="Arial" w:cs="Arial"/>
                <w:b/>
                <w:i w:val="0"/>
                <w:color w:val="000000"/>
                <w:sz w:val="20"/>
                <w:szCs w:val="20"/>
              </w:rPr>
              <w:t xml:space="preserve"> solubilisation</w:t>
            </w:r>
          </w:p>
        </w:tc>
        <w:tc>
          <w:tcPr>
            <w:tcW w:w="540" w:type="dxa"/>
            <w:textDirection w:val="btLr"/>
          </w:tcPr>
          <w:p w14:paraId="3232A784" w14:textId="77777777" w:rsidR="00DA7AAC" w:rsidRPr="005D00CA"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sz w:val="20"/>
                <w:szCs w:val="20"/>
              </w:rPr>
            </w:pPr>
            <w:r w:rsidRPr="005D00CA">
              <w:rPr>
                <w:rFonts w:ascii="Arial" w:hAnsi="Arial" w:cs="Arial"/>
                <w:b/>
                <w:i w:val="0"/>
                <w:color w:val="000000"/>
                <w:sz w:val="20"/>
                <w:szCs w:val="20"/>
              </w:rPr>
              <w:t>K solubilisation</w:t>
            </w:r>
          </w:p>
        </w:tc>
      </w:tr>
      <w:tr w:rsidR="00FB772D" w:rsidRPr="007A3962" w14:paraId="510E569B"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 w:type="dxa"/>
          </w:tcPr>
          <w:p w14:paraId="36EA6EAF"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82B2</w:t>
            </w:r>
          </w:p>
        </w:tc>
        <w:tc>
          <w:tcPr>
            <w:tcW w:w="1221" w:type="dxa"/>
          </w:tcPr>
          <w:p w14:paraId="5AA50C2F"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A3962">
              <w:rPr>
                <w:rFonts w:ascii="Arial" w:hAnsi="Arial" w:cs="Arial"/>
                <w:color w:val="000000"/>
                <w:sz w:val="20"/>
                <w:szCs w:val="20"/>
              </w:rPr>
              <w:t>+</w:t>
            </w:r>
          </w:p>
        </w:tc>
        <w:tc>
          <w:tcPr>
            <w:tcW w:w="1221" w:type="dxa"/>
          </w:tcPr>
          <w:p w14:paraId="08D15466"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3" w:type="dxa"/>
          </w:tcPr>
          <w:p w14:paraId="619F810E"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044" w:type="dxa"/>
          </w:tcPr>
          <w:p w14:paraId="3F26D22C"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344" w:type="dxa"/>
          </w:tcPr>
          <w:p w14:paraId="4F59C4E4"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196" w:type="dxa"/>
          </w:tcPr>
          <w:p w14:paraId="41E32FAD"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43A8D950"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3FA5A742"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A3962">
              <w:rPr>
                <w:rFonts w:ascii="Arial" w:hAnsi="Arial" w:cs="Arial"/>
                <w:color w:val="000000"/>
                <w:sz w:val="20"/>
                <w:szCs w:val="20"/>
              </w:rPr>
              <w:t>-</w:t>
            </w:r>
          </w:p>
        </w:tc>
      </w:tr>
      <w:tr w:rsidR="00FB772D" w:rsidRPr="007A3962" w14:paraId="24AB98F6" w14:textId="77777777" w:rsidTr="005D00CA">
        <w:tc>
          <w:tcPr>
            <w:cnfStyle w:val="001000000000" w:firstRow="0" w:lastRow="0" w:firstColumn="1" w:lastColumn="0" w:oddVBand="0" w:evenVBand="0" w:oddHBand="0" w:evenHBand="0" w:firstRowFirstColumn="0" w:firstRowLastColumn="0" w:lastRowFirstColumn="0" w:lastRowLastColumn="0"/>
            <w:tcW w:w="1021" w:type="dxa"/>
          </w:tcPr>
          <w:p w14:paraId="2E1D6B06"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58F1</w:t>
            </w:r>
          </w:p>
        </w:tc>
        <w:tc>
          <w:tcPr>
            <w:tcW w:w="1221" w:type="dxa"/>
          </w:tcPr>
          <w:p w14:paraId="399FA28B"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1" w:type="dxa"/>
          </w:tcPr>
          <w:p w14:paraId="3C2B6E69"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3" w:type="dxa"/>
          </w:tcPr>
          <w:p w14:paraId="693789A9"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044" w:type="dxa"/>
          </w:tcPr>
          <w:p w14:paraId="12A8F83B"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344" w:type="dxa"/>
          </w:tcPr>
          <w:p w14:paraId="7747AF1F"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196" w:type="dxa"/>
          </w:tcPr>
          <w:p w14:paraId="1416213D"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3005E712"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6D7E6312"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A3962">
              <w:rPr>
                <w:rFonts w:ascii="Arial" w:hAnsi="Arial" w:cs="Arial"/>
                <w:color w:val="000000"/>
                <w:sz w:val="20"/>
                <w:szCs w:val="20"/>
              </w:rPr>
              <w:t>-</w:t>
            </w:r>
          </w:p>
        </w:tc>
      </w:tr>
      <w:tr w:rsidR="00FB772D" w:rsidRPr="007A3962" w14:paraId="4AE92EDE"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 w:type="dxa"/>
          </w:tcPr>
          <w:p w14:paraId="6617CCBD"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5005</w:t>
            </w:r>
          </w:p>
        </w:tc>
        <w:tc>
          <w:tcPr>
            <w:tcW w:w="1221" w:type="dxa"/>
          </w:tcPr>
          <w:p w14:paraId="3A16516B"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1" w:type="dxa"/>
          </w:tcPr>
          <w:p w14:paraId="053E38C9"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3" w:type="dxa"/>
          </w:tcPr>
          <w:p w14:paraId="3F15325D"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044" w:type="dxa"/>
          </w:tcPr>
          <w:p w14:paraId="2B39EE3B"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344" w:type="dxa"/>
          </w:tcPr>
          <w:p w14:paraId="68751C1B"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196" w:type="dxa"/>
          </w:tcPr>
          <w:p w14:paraId="6FC42D5E"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540D6F20"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226D01C2"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r>
      <w:tr w:rsidR="00FB772D" w:rsidRPr="007A3962" w14:paraId="6ED55C43" w14:textId="77777777" w:rsidTr="005D00CA">
        <w:tc>
          <w:tcPr>
            <w:cnfStyle w:val="001000000000" w:firstRow="0" w:lastRow="0" w:firstColumn="1" w:lastColumn="0" w:oddVBand="0" w:evenVBand="0" w:oddHBand="0" w:evenHBand="0" w:firstRowFirstColumn="0" w:firstRowLastColumn="0" w:lastRowFirstColumn="0" w:lastRowLastColumn="0"/>
            <w:tcW w:w="1021" w:type="dxa"/>
          </w:tcPr>
          <w:p w14:paraId="6EB7C7BF"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23F3</w:t>
            </w:r>
          </w:p>
        </w:tc>
        <w:tc>
          <w:tcPr>
            <w:tcW w:w="1221" w:type="dxa"/>
          </w:tcPr>
          <w:p w14:paraId="1B76E712"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1" w:type="dxa"/>
          </w:tcPr>
          <w:p w14:paraId="3B8B5A9B"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3" w:type="dxa"/>
          </w:tcPr>
          <w:p w14:paraId="6C1FC792"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044" w:type="dxa"/>
          </w:tcPr>
          <w:p w14:paraId="1A380F06"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344" w:type="dxa"/>
          </w:tcPr>
          <w:p w14:paraId="73A50AB4"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196" w:type="dxa"/>
          </w:tcPr>
          <w:p w14:paraId="1D989E11"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02F4C3A0"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0301959D"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r>
      <w:tr w:rsidR="00FB772D" w:rsidRPr="007A3962" w14:paraId="083CEAB8" w14:textId="77777777" w:rsidTr="005D00CA">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021" w:type="dxa"/>
          </w:tcPr>
          <w:p w14:paraId="0A4157F8"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57F1</w:t>
            </w:r>
          </w:p>
        </w:tc>
        <w:tc>
          <w:tcPr>
            <w:tcW w:w="1221" w:type="dxa"/>
          </w:tcPr>
          <w:p w14:paraId="07D88B01"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1" w:type="dxa"/>
          </w:tcPr>
          <w:p w14:paraId="19596AE6"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3" w:type="dxa"/>
          </w:tcPr>
          <w:p w14:paraId="1666C29D"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044" w:type="dxa"/>
          </w:tcPr>
          <w:p w14:paraId="7F44B854"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344" w:type="dxa"/>
          </w:tcPr>
          <w:p w14:paraId="0A6070AB"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196" w:type="dxa"/>
          </w:tcPr>
          <w:p w14:paraId="30CF173B"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13BAF460"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063DB45C"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A3962">
              <w:rPr>
                <w:rFonts w:ascii="Arial" w:hAnsi="Arial" w:cs="Arial"/>
                <w:color w:val="000000"/>
                <w:sz w:val="20"/>
                <w:szCs w:val="20"/>
              </w:rPr>
              <w:t>-</w:t>
            </w:r>
          </w:p>
        </w:tc>
      </w:tr>
      <w:tr w:rsidR="00FB772D" w:rsidRPr="007A3962" w14:paraId="5A5CDA4B" w14:textId="77777777" w:rsidTr="005D00CA">
        <w:tc>
          <w:tcPr>
            <w:cnfStyle w:val="001000000000" w:firstRow="0" w:lastRow="0" w:firstColumn="1" w:lastColumn="0" w:oddVBand="0" w:evenVBand="0" w:oddHBand="0" w:evenHBand="0" w:firstRowFirstColumn="0" w:firstRowLastColumn="0" w:lastRowFirstColumn="0" w:lastRowLastColumn="0"/>
            <w:tcW w:w="1021" w:type="dxa"/>
          </w:tcPr>
          <w:p w14:paraId="24053849"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63F3</w:t>
            </w:r>
          </w:p>
        </w:tc>
        <w:tc>
          <w:tcPr>
            <w:tcW w:w="1221" w:type="dxa"/>
          </w:tcPr>
          <w:p w14:paraId="774D1F22"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1" w:type="dxa"/>
          </w:tcPr>
          <w:p w14:paraId="64B05AA7"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3" w:type="dxa"/>
          </w:tcPr>
          <w:p w14:paraId="5C92A9E2"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044" w:type="dxa"/>
          </w:tcPr>
          <w:p w14:paraId="018C2E8E"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344" w:type="dxa"/>
          </w:tcPr>
          <w:p w14:paraId="79E29CD4"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196" w:type="dxa"/>
          </w:tcPr>
          <w:p w14:paraId="05A76768"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0236BF80"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095D4641"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r>
    </w:tbl>
    <w:p w14:paraId="372F664C" w14:textId="77777777" w:rsidR="00317BF9" w:rsidRPr="007A3962" w:rsidRDefault="00317BF9" w:rsidP="005B6FFA">
      <w:pPr>
        <w:pStyle w:val="Caption"/>
        <w:spacing w:line="480" w:lineRule="auto"/>
        <w:rPr>
          <w:rFonts w:ascii="Arial" w:hAnsi="Arial" w:cs="Arial"/>
          <w:b/>
          <w:i w:val="0"/>
          <w:color w:val="000000" w:themeColor="text1"/>
          <w:sz w:val="20"/>
          <w:szCs w:val="20"/>
        </w:rPr>
      </w:pPr>
      <w:bookmarkStart w:id="10" w:name="_Toc186103670"/>
    </w:p>
    <w:p w14:paraId="30745437" w14:textId="77777777" w:rsidR="00DA7AAC" w:rsidRPr="007A3962" w:rsidRDefault="00DA7AAC" w:rsidP="005B6FFA">
      <w:pPr>
        <w:pStyle w:val="Caption"/>
        <w:spacing w:line="480" w:lineRule="auto"/>
        <w:rPr>
          <w:rFonts w:ascii="Arial" w:hAnsi="Arial" w:cs="Arial"/>
          <w:b/>
          <w:i w:val="0"/>
          <w:color w:val="000000" w:themeColor="text1"/>
          <w:sz w:val="20"/>
          <w:szCs w:val="20"/>
        </w:rPr>
      </w:pPr>
      <w:r w:rsidRPr="007A3962">
        <w:rPr>
          <w:rFonts w:ascii="Arial" w:hAnsi="Arial" w:cs="Arial"/>
          <w:b/>
          <w:i w:val="0"/>
          <w:color w:val="000000" w:themeColor="text1"/>
          <w:sz w:val="20"/>
          <w:szCs w:val="20"/>
        </w:rPr>
        <w:t xml:space="preserve">Table </w:t>
      </w:r>
      <w:r w:rsidRPr="007A3962">
        <w:rPr>
          <w:rFonts w:ascii="Arial" w:hAnsi="Arial" w:cs="Arial"/>
          <w:b/>
          <w:i w:val="0"/>
          <w:color w:val="000000" w:themeColor="text1"/>
          <w:sz w:val="20"/>
          <w:szCs w:val="20"/>
        </w:rPr>
        <w:fldChar w:fldCharType="begin"/>
      </w:r>
      <w:r w:rsidRPr="007A3962">
        <w:rPr>
          <w:rFonts w:ascii="Arial" w:hAnsi="Arial" w:cs="Arial"/>
          <w:b/>
          <w:i w:val="0"/>
          <w:color w:val="000000" w:themeColor="text1"/>
          <w:sz w:val="20"/>
          <w:szCs w:val="20"/>
        </w:rPr>
        <w:instrText xml:space="preserve"> SEQ Table \* ARABIC </w:instrText>
      </w:r>
      <w:r w:rsidRPr="007A3962">
        <w:rPr>
          <w:rFonts w:ascii="Arial" w:hAnsi="Arial" w:cs="Arial"/>
          <w:b/>
          <w:i w:val="0"/>
          <w:color w:val="000000" w:themeColor="text1"/>
          <w:sz w:val="20"/>
          <w:szCs w:val="20"/>
        </w:rPr>
        <w:fldChar w:fldCharType="separate"/>
      </w:r>
      <w:r w:rsidRPr="007A3962">
        <w:rPr>
          <w:rFonts w:ascii="Arial" w:hAnsi="Arial" w:cs="Arial"/>
          <w:b/>
          <w:i w:val="0"/>
          <w:noProof/>
          <w:color w:val="000000" w:themeColor="text1"/>
          <w:sz w:val="20"/>
          <w:szCs w:val="20"/>
        </w:rPr>
        <w:t>4</w:t>
      </w:r>
      <w:r w:rsidRPr="007A3962">
        <w:rPr>
          <w:rFonts w:ascii="Arial" w:hAnsi="Arial" w:cs="Arial"/>
          <w:b/>
          <w:i w:val="0"/>
          <w:color w:val="000000" w:themeColor="text1"/>
          <w:sz w:val="20"/>
          <w:szCs w:val="20"/>
        </w:rPr>
        <w:fldChar w:fldCharType="end"/>
      </w:r>
      <w:r w:rsidRPr="007A3962">
        <w:rPr>
          <w:rFonts w:ascii="Arial" w:hAnsi="Arial" w:cs="Arial"/>
          <w:b/>
          <w:i w:val="0"/>
          <w:color w:val="000000" w:themeColor="text1"/>
          <w:sz w:val="20"/>
          <w:szCs w:val="20"/>
        </w:rPr>
        <w:t>. Characterization of isolates for other probiotic traits</w:t>
      </w:r>
      <w:bookmarkEnd w:id="10"/>
    </w:p>
    <w:tbl>
      <w:tblPr>
        <w:tblStyle w:val="PlainTable5"/>
        <w:tblW w:w="0" w:type="auto"/>
        <w:tblLook w:val="04A0" w:firstRow="1" w:lastRow="0" w:firstColumn="1" w:lastColumn="0" w:noHBand="0" w:noVBand="1"/>
      </w:tblPr>
      <w:tblGrid>
        <w:gridCol w:w="800"/>
        <w:gridCol w:w="795"/>
        <w:gridCol w:w="796"/>
        <w:gridCol w:w="796"/>
        <w:gridCol w:w="797"/>
        <w:gridCol w:w="797"/>
        <w:gridCol w:w="760"/>
        <w:gridCol w:w="811"/>
        <w:gridCol w:w="695"/>
        <w:gridCol w:w="695"/>
        <w:gridCol w:w="826"/>
        <w:gridCol w:w="792"/>
      </w:tblGrid>
      <w:tr w:rsidR="00DA7AAC" w:rsidRPr="007A3962" w14:paraId="70C3379B" w14:textId="77777777" w:rsidTr="005D00CA">
        <w:trPr>
          <w:cnfStyle w:val="100000000000" w:firstRow="1" w:lastRow="0" w:firstColumn="0" w:lastColumn="0" w:oddVBand="0" w:evenVBand="0" w:oddHBand="0" w:evenHBand="0" w:firstRowFirstColumn="0" w:firstRowLastColumn="0" w:lastRowFirstColumn="0" w:lastRowLastColumn="0"/>
          <w:trHeight w:val="1372"/>
        </w:trPr>
        <w:tc>
          <w:tcPr>
            <w:cnfStyle w:val="001000000100" w:firstRow="0" w:lastRow="0" w:firstColumn="1" w:lastColumn="0" w:oddVBand="0" w:evenVBand="0" w:oddHBand="0" w:evenHBand="0" w:firstRowFirstColumn="1" w:firstRowLastColumn="0" w:lastRowFirstColumn="0" w:lastRowLastColumn="0"/>
            <w:tcW w:w="816" w:type="dxa"/>
            <w:textDirection w:val="btLr"/>
          </w:tcPr>
          <w:p w14:paraId="79CF9D51" w14:textId="77777777" w:rsidR="00DA7AAC" w:rsidRPr="007A3962" w:rsidRDefault="00DA7AAC" w:rsidP="005B6FFA">
            <w:pPr>
              <w:spacing w:line="480" w:lineRule="auto"/>
              <w:ind w:left="113" w:right="113"/>
              <w:jc w:val="left"/>
              <w:rPr>
                <w:rFonts w:ascii="Arial" w:hAnsi="Arial" w:cs="Arial"/>
                <w:b/>
                <w:sz w:val="20"/>
                <w:szCs w:val="20"/>
              </w:rPr>
            </w:pPr>
            <w:r w:rsidRPr="007A3962">
              <w:rPr>
                <w:rFonts w:ascii="Arial" w:hAnsi="Arial" w:cs="Arial"/>
                <w:b/>
                <w:sz w:val="20"/>
                <w:szCs w:val="20"/>
              </w:rPr>
              <w:lastRenderedPageBreak/>
              <w:t>Serial Number</w:t>
            </w:r>
          </w:p>
        </w:tc>
        <w:tc>
          <w:tcPr>
            <w:tcW w:w="810" w:type="dxa"/>
            <w:textDirection w:val="btLr"/>
          </w:tcPr>
          <w:p w14:paraId="2CD31660"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bCs/>
                <w:sz w:val="20"/>
                <w:szCs w:val="20"/>
              </w:rPr>
              <w:t>Cellulase production</w:t>
            </w:r>
          </w:p>
        </w:tc>
        <w:tc>
          <w:tcPr>
            <w:tcW w:w="811" w:type="dxa"/>
            <w:textDirection w:val="btLr"/>
          </w:tcPr>
          <w:p w14:paraId="390E34B8"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bCs/>
                <w:sz w:val="20"/>
                <w:szCs w:val="20"/>
              </w:rPr>
              <w:t>Protease production</w:t>
            </w:r>
          </w:p>
        </w:tc>
        <w:tc>
          <w:tcPr>
            <w:tcW w:w="811" w:type="dxa"/>
            <w:textDirection w:val="btLr"/>
          </w:tcPr>
          <w:p w14:paraId="71095A7F"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bCs/>
                <w:sz w:val="20"/>
                <w:szCs w:val="20"/>
              </w:rPr>
              <w:t>Lipase production</w:t>
            </w:r>
          </w:p>
        </w:tc>
        <w:tc>
          <w:tcPr>
            <w:tcW w:w="812" w:type="dxa"/>
            <w:textDirection w:val="btLr"/>
          </w:tcPr>
          <w:p w14:paraId="0EE1AA4F"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bCs/>
                <w:sz w:val="20"/>
                <w:szCs w:val="20"/>
              </w:rPr>
              <w:t>lactic acid production</w:t>
            </w:r>
          </w:p>
        </w:tc>
        <w:tc>
          <w:tcPr>
            <w:tcW w:w="812" w:type="dxa"/>
            <w:textDirection w:val="btLr"/>
          </w:tcPr>
          <w:p w14:paraId="024F4908"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phytase production</w:t>
            </w:r>
          </w:p>
        </w:tc>
        <w:tc>
          <w:tcPr>
            <w:tcW w:w="770" w:type="dxa"/>
            <w:textDirection w:val="btLr"/>
          </w:tcPr>
          <w:p w14:paraId="36B17174"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BSH production</w:t>
            </w:r>
          </w:p>
        </w:tc>
        <w:tc>
          <w:tcPr>
            <w:tcW w:w="828" w:type="dxa"/>
            <w:textDirection w:val="btLr"/>
          </w:tcPr>
          <w:p w14:paraId="505A35CD"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Haemolytic activity</w:t>
            </w:r>
          </w:p>
        </w:tc>
        <w:tc>
          <w:tcPr>
            <w:tcW w:w="685" w:type="dxa"/>
            <w:textDirection w:val="btLr"/>
          </w:tcPr>
          <w:p w14:paraId="2FCECEF8"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surface hydrophobic assay</w:t>
            </w:r>
          </w:p>
        </w:tc>
        <w:tc>
          <w:tcPr>
            <w:tcW w:w="542" w:type="dxa"/>
            <w:textDirection w:val="btLr"/>
          </w:tcPr>
          <w:p w14:paraId="2BE6BD3D"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Style w:val="jpfdse"/>
                <w:rFonts w:ascii="Arial" w:hAnsi="Arial" w:cs="Arial"/>
                <w:b/>
                <w:sz w:val="20"/>
                <w:szCs w:val="20"/>
                <w:lang w:val="en"/>
              </w:rPr>
              <w:t>Chitin</w:t>
            </w:r>
            <w:r w:rsidRPr="007A3962">
              <w:rPr>
                <w:rStyle w:val="hgkelc"/>
                <w:rFonts w:ascii="Arial" w:hAnsi="Arial" w:cs="Arial"/>
                <w:b/>
                <w:sz w:val="20"/>
                <w:szCs w:val="20"/>
                <w:lang w:val="en"/>
              </w:rPr>
              <w:t>ase production</w:t>
            </w:r>
          </w:p>
        </w:tc>
        <w:tc>
          <w:tcPr>
            <w:tcW w:w="846" w:type="dxa"/>
            <w:textDirection w:val="btLr"/>
          </w:tcPr>
          <w:p w14:paraId="4DF68907"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Style w:val="hgkelc"/>
                <w:rFonts w:ascii="Arial" w:hAnsi="Arial" w:cs="Arial"/>
                <w:b/>
                <w:sz w:val="20"/>
                <w:szCs w:val="20"/>
                <w:lang w:val="en"/>
              </w:rPr>
              <w:t>Pectinase production</w:t>
            </w:r>
          </w:p>
        </w:tc>
        <w:tc>
          <w:tcPr>
            <w:tcW w:w="807" w:type="dxa"/>
            <w:textDirection w:val="btLr"/>
          </w:tcPr>
          <w:p w14:paraId="05F3B068"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Style w:val="hgkelc"/>
                <w:rFonts w:ascii="Arial" w:hAnsi="Arial" w:cs="Arial"/>
                <w:b/>
                <w:sz w:val="20"/>
                <w:szCs w:val="20"/>
                <w:lang w:val="en"/>
              </w:rPr>
            </w:pPr>
            <w:r w:rsidRPr="007A3962">
              <w:rPr>
                <w:rStyle w:val="hgkelc"/>
                <w:rFonts w:ascii="Arial" w:hAnsi="Arial" w:cs="Arial"/>
                <w:b/>
                <w:sz w:val="20"/>
                <w:szCs w:val="20"/>
                <w:lang w:val="en"/>
              </w:rPr>
              <w:t>Amylase production</w:t>
            </w:r>
          </w:p>
        </w:tc>
      </w:tr>
      <w:tr w:rsidR="00FB772D" w:rsidRPr="007A3962" w14:paraId="24EED227"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dxa"/>
          </w:tcPr>
          <w:p w14:paraId="0C392D7F"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82B2</w:t>
            </w:r>
          </w:p>
        </w:tc>
        <w:tc>
          <w:tcPr>
            <w:tcW w:w="810" w:type="dxa"/>
          </w:tcPr>
          <w:p w14:paraId="0893221A"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0F90056E"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232D1977"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1436AF2B"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10EABC4C"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3962">
              <w:rPr>
                <w:rFonts w:ascii="Arial" w:hAnsi="Arial" w:cs="Arial"/>
                <w:color w:val="000000"/>
                <w:sz w:val="20"/>
                <w:szCs w:val="20"/>
              </w:rPr>
              <w:t>+</w:t>
            </w:r>
          </w:p>
        </w:tc>
        <w:tc>
          <w:tcPr>
            <w:tcW w:w="770" w:type="dxa"/>
          </w:tcPr>
          <w:p w14:paraId="18466184"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28" w:type="dxa"/>
          </w:tcPr>
          <w:p w14:paraId="5F17B761"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685" w:type="dxa"/>
          </w:tcPr>
          <w:p w14:paraId="2BE2E772"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2" w:type="dxa"/>
          </w:tcPr>
          <w:p w14:paraId="3AD5C6C6"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w:t>
            </w:r>
          </w:p>
        </w:tc>
        <w:tc>
          <w:tcPr>
            <w:tcW w:w="846" w:type="dxa"/>
          </w:tcPr>
          <w:p w14:paraId="363762E9"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w:t>
            </w:r>
          </w:p>
        </w:tc>
        <w:tc>
          <w:tcPr>
            <w:tcW w:w="807" w:type="dxa"/>
          </w:tcPr>
          <w:p w14:paraId="05DA5B57"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r>
      <w:tr w:rsidR="00FB772D" w:rsidRPr="007A3962" w14:paraId="26D4F023" w14:textId="77777777" w:rsidTr="005D00CA">
        <w:tc>
          <w:tcPr>
            <w:cnfStyle w:val="001000000000" w:firstRow="0" w:lastRow="0" w:firstColumn="1" w:lastColumn="0" w:oddVBand="0" w:evenVBand="0" w:oddHBand="0" w:evenHBand="0" w:firstRowFirstColumn="0" w:firstRowLastColumn="0" w:lastRowFirstColumn="0" w:lastRowLastColumn="0"/>
            <w:tcW w:w="816" w:type="dxa"/>
          </w:tcPr>
          <w:p w14:paraId="7900E8D2"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58F1</w:t>
            </w:r>
          </w:p>
        </w:tc>
        <w:tc>
          <w:tcPr>
            <w:tcW w:w="810" w:type="dxa"/>
          </w:tcPr>
          <w:p w14:paraId="32F0CB82"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5ABC0095"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796F4378"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3C7C4FA6"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0808734B"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770" w:type="dxa"/>
          </w:tcPr>
          <w:p w14:paraId="473BAB82"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28" w:type="dxa"/>
          </w:tcPr>
          <w:p w14:paraId="572F7AF5"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685" w:type="dxa"/>
          </w:tcPr>
          <w:p w14:paraId="538CF5F3"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2" w:type="dxa"/>
          </w:tcPr>
          <w:p w14:paraId="61C44929"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w:t>
            </w:r>
          </w:p>
        </w:tc>
        <w:tc>
          <w:tcPr>
            <w:tcW w:w="846" w:type="dxa"/>
          </w:tcPr>
          <w:p w14:paraId="42379A96"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b/>
                <w:sz w:val="20"/>
                <w:szCs w:val="20"/>
              </w:rPr>
              <w:t>+</w:t>
            </w:r>
          </w:p>
        </w:tc>
        <w:tc>
          <w:tcPr>
            <w:tcW w:w="807" w:type="dxa"/>
          </w:tcPr>
          <w:p w14:paraId="6A324D86"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r>
      <w:tr w:rsidR="00FB772D" w:rsidRPr="007A3962" w14:paraId="7F41B663"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dxa"/>
          </w:tcPr>
          <w:p w14:paraId="520D3C1D"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5005</w:t>
            </w:r>
          </w:p>
        </w:tc>
        <w:tc>
          <w:tcPr>
            <w:tcW w:w="810" w:type="dxa"/>
          </w:tcPr>
          <w:p w14:paraId="60C816B9"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771CB083"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22AC94B7"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51D20586"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012AC5BE"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770" w:type="dxa"/>
          </w:tcPr>
          <w:p w14:paraId="60F0B841"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28" w:type="dxa"/>
          </w:tcPr>
          <w:p w14:paraId="0DD9723B"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685" w:type="dxa"/>
          </w:tcPr>
          <w:p w14:paraId="69FFED7D"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2" w:type="dxa"/>
          </w:tcPr>
          <w:p w14:paraId="1A46CD1F"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b/>
                <w:sz w:val="20"/>
                <w:szCs w:val="20"/>
              </w:rPr>
              <w:t>+</w:t>
            </w:r>
          </w:p>
        </w:tc>
        <w:tc>
          <w:tcPr>
            <w:tcW w:w="846" w:type="dxa"/>
          </w:tcPr>
          <w:p w14:paraId="2937E9A4"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b/>
                <w:sz w:val="20"/>
                <w:szCs w:val="20"/>
              </w:rPr>
              <w:t>+</w:t>
            </w:r>
          </w:p>
        </w:tc>
        <w:tc>
          <w:tcPr>
            <w:tcW w:w="807" w:type="dxa"/>
          </w:tcPr>
          <w:p w14:paraId="610B0813"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r>
      <w:tr w:rsidR="00FB772D" w:rsidRPr="007A3962" w14:paraId="50BA2D85" w14:textId="77777777" w:rsidTr="005D00CA">
        <w:tc>
          <w:tcPr>
            <w:cnfStyle w:val="001000000000" w:firstRow="0" w:lastRow="0" w:firstColumn="1" w:lastColumn="0" w:oddVBand="0" w:evenVBand="0" w:oddHBand="0" w:evenHBand="0" w:firstRowFirstColumn="0" w:firstRowLastColumn="0" w:lastRowFirstColumn="0" w:lastRowLastColumn="0"/>
            <w:tcW w:w="816" w:type="dxa"/>
          </w:tcPr>
          <w:p w14:paraId="16FEECFA"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23F3</w:t>
            </w:r>
          </w:p>
        </w:tc>
        <w:tc>
          <w:tcPr>
            <w:tcW w:w="810" w:type="dxa"/>
          </w:tcPr>
          <w:p w14:paraId="4CD5F3C8"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46F62C01"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6D02EEDD"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24927F96"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2335552A"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770" w:type="dxa"/>
          </w:tcPr>
          <w:p w14:paraId="50110486"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28" w:type="dxa"/>
          </w:tcPr>
          <w:p w14:paraId="37E76178"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685" w:type="dxa"/>
          </w:tcPr>
          <w:p w14:paraId="42931BCD"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2" w:type="dxa"/>
          </w:tcPr>
          <w:p w14:paraId="209E4DD5"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b/>
                <w:sz w:val="20"/>
                <w:szCs w:val="20"/>
              </w:rPr>
              <w:t>+</w:t>
            </w:r>
          </w:p>
        </w:tc>
        <w:tc>
          <w:tcPr>
            <w:tcW w:w="846" w:type="dxa"/>
          </w:tcPr>
          <w:p w14:paraId="741CAD5B"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b/>
                <w:sz w:val="20"/>
                <w:szCs w:val="20"/>
              </w:rPr>
              <w:t>+</w:t>
            </w:r>
          </w:p>
        </w:tc>
        <w:tc>
          <w:tcPr>
            <w:tcW w:w="807" w:type="dxa"/>
          </w:tcPr>
          <w:p w14:paraId="0B33791E"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r>
      <w:tr w:rsidR="00FB772D" w:rsidRPr="007A3962" w14:paraId="252ECDFF"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dxa"/>
          </w:tcPr>
          <w:p w14:paraId="117114F2"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57F1</w:t>
            </w:r>
          </w:p>
        </w:tc>
        <w:tc>
          <w:tcPr>
            <w:tcW w:w="810" w:type="dxa"/>
          </w:tcPr>
          <w:p w14:paraId="3A3D4249"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5B24B11A"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29AB1055"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229E5736"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2F846D4A"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770" w:type="dxa"/>
          </w:tcPr>
          <w:p w14:paraId="06616BFB"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28" w:type="dxa"/>
          </w:tcPr>
          <w:p w14:paraId="62782338"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685" w:type="dxa"/>
          </w:tcPr>
          <w:p w14:paraId="35EC0D89"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2" w:type="dxa"/>
          </w:tcPr>
          <w:p w14:paraId="3BD013B7"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b/>
                <w:sz w:val="20"/>
                <w:szCs w:val="20"/>
              </w:rPr>
              <w:t>+</w:t>
            </w:r>
          </w:p>
        </w:tc>
        <w:tc>
          <w:tcPr>
            <w:tcW w:w="846" w:type="dxa"/>
          </w:tcPr>
          <w:p w14:paraId="3891303E"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b/>
                <w:sz w:val="20"/>
                <w:szCs w:val="20"/>
              </w:rPr>
              <w:t>+</w:t>
            </w:r>
          </w:p>
        </w:tc>
        <w:tc>
          <w:tcPr>
            <w:tcW w:w="807" w:type="dxa"/>
          </w:tcPr>
          <w:p w14:paraId="34F48F6B"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r>
      <w:tr w:rsidR="00FB772D" w:rsidRPr="007A3962" w14:paraId="5415A396" w14:textId="77777777" w:rsidTr="005D00CA">
        <w:tc>
          <w:tcPr>
            <w:cnfStyle w:val="001000000000" w:firstRow="0" w:lastRow="0" w:firstColumn="1" w:lastColumn="0" w:oddVBand="0" w:evenVBand="0" w:oddHBand="0" w:evenHBand="0" w:firstRowFirstColumn="0" w:firstRowLastColumn="0" w:lastRowFirstColumn="0" w:lastRowLastColumn="0"/>
            <w:tcW w:w="816" w:type="dxa"/>
          </w:tcPr>
          <w:p w14:paraId="0FA1661D"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63F3</w:t>
            </w:r>
          </w:p>
        </w:tc>
        <w:tc>
          <w:tcPr>
            <w:tcW w:w="810" w:type="dxa"/>
          </w:tcPr>
          <w:p w14:paraId="3DD71C09"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005B5346"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4A965B47"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05388B24"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653E857F"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770" w:type="dxa"/>
          </w:tcPr>
          <w:p w14:paraId="2A94336D"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28" w:type="dxa"/>
          </w:tcPr>
          <w:p w14:paraId="1285B1B8"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685" w:type="dxa"/>
          </w:tcPr>
          <w:p w14:paraId="2DFFA082"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2" w:type="dxa"/>
          </w:tcPr>
          <w:p w14:paraId="42BD6BB3"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b/>
                <w:sz w:val="20"/>
                <w:szCs w:val="20"/>
              </w:rPr>
              <w:t>+</w:t>
            </w:r>
          </w:p>
        </w:tc>
        <w:tc>
          <w:tcPr>
            <w:tcW w:w="846" w:type="dxa"/>
          </w:tcPr>
          <w:p w14:paraId="77D98F03"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b/>
                <w:sz w:val="20"/>
                <w:szCs w:val="20"/>
              </w:rPr>
              <w:t>+</w:t>
            </w:r>
          </w:p>
        </w:tc>
        <w:tc>
          <w:tcPr>
            <w:tcW w:w="807" w:type="dxa"/>
          </w:tcPr>
          <w:p w14:paraId="70504FE3"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r>
    </w:tbl>
    <w:p w14:paraId="5D318F87" w14:textId="77777777" w:rsidR="00D045F7" w:rsidRPr="007A3962" w:rsidRDefault="00D045F7" w:rsidP="005B6FFA">
      <w:pPr>
        <w:pStyle w:val="Caption"/>
        <w:spacing w:line="480" w:lineRule="auto"/>
        <w:rPr>
          <w:rFonts w:ascii="Arial" w:hAnsi="Arial" w:cs="Arial"/>
          <w:b/>
          <w:i w:val="0"/>
          <w:color w:val="000000" w:themeColor="text1"/>
          <w:sz w:val="20"/>
          <w:szCs w:val="20"/>
        </w:rPr>
      </w:pPr>
      <w:bookmarkStart w:id="11" w:name="_Toc186103673"/>
    </w:p>
    <w:p w14:paraId="515C064F" w14:textId="48FA547B" w:rsidR="00DA7AAC" w:rsidRPr="007A3962" w:rsidRDefault="00DA7AAC" w:rsidP="005B6FFA">
      <w:pPr>
        <w:pStyle w:val="Caption"/>
        <w:spacing w:line="480" w:lineRule="auto"/>
        <w:rPr>
          <w:rFonts w:ascii="Arial" w:hAnsi="Arial" w:cs="Arial"/>
          <w:b/>
          <w:i w:val="0"/>
          <w:color w:val="000000" w:themeColor="text1"/>
          <w:sz w:val="20"/>
          <w:szCs w:val="20"/>
        </w:rPr>
      </w:pPr>
      <w:r w:rsidRPr="007A3962">
        <w:rPr>
          <w:rFonts w:ascii="Arial" w:hAnsi="Arial" w:cs="Arial"/>
          <w:b/>
          <w:i w:val="0"/>
          <w:color w:val="000000" w:themeColor="text1"/>
          <w:sz w:val="20"/>
          <w:szCs w:val="20"/>
        </w:rPr>
        <w:t xml:space="preserve">Table </w:t>
      </w:r>
      <w:r w:rsidR="00AD584A">
        <w:rPr>
          <w:rFonts w:ascii="Arial" w:hAnsi="Arial" w:cs="Arial"/>
          <w:b/>
          <w:i w:val="0"/>
          <w:color w:val="000000" w:themeColor="text1"/>
          <w:sz w:val="20"/>
          <w:szCs w:val="20"/>
        </w:rPr>
        <w:t>5</w:t>
      </w:r>
      <w:r w:rsidRPr="007A3962">
        <w:rPr>
          <w:rFonts w:ascii="Arial" w:hAnsi="Arial" w:cs="Arial"/>
          <w:b/>
          <w:i w:val="0"/>
          <w:color w:val="000000" w:themeColor="text1"/>
          <w:sz w:val="20"/>
          <w:szCs w:val="20"/>
        </w:rPr>
        <w:t>. Susceptibility of Cellolytic and amylolytic isolates to selected antibiotics.</w:t>
      </w:r>
      <w:bookmarkEnd w:id="11"/>
    </w:p>
    <w:tbl>
      <w:tblPr>
        <w:tblStyle w:val="PlainTable5"/>
        <w:tblW w:w="0" w:type="auto"/>
        <w:tblLook w:val="04A0" w:firstRow="1" w:lastRow="0" w:firstColumn="1" w:lastColumn="0" w:noHBand="0" w:noVBand="1"/>
      </w:tblPr>
      <w:tblGrid>
        <w:gridCol w:w="1271"/>
        <w:gridCol w:w="1499"/>
        <w:gridCol w:w="1096"/>
        <w:gridCol w:w="1318"/>
        <w:gridCol w:w="1306"/>
        <w:gridCol w:w="1498"/>
        <w:gridCol w:w="1231"/>
      </w:tblGrid>
      <w:tr w:rsidR="00DA7AAC" w:rsidRPr="007A3962" w14:paraId="25255EC2" w14:textId="77777777" w:rsidTr="005D00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1" w:type="dxa"/>
          </w:tcPr>
          <w:p w14:paraId="526ADD7D" w14:textId="77777777" w:rsidR="00DA7AAC" w:rsidRPr="007A3962" w:rsidRDefault="00DA7AAC" w:rsidP="005B6FFA">
            <w:pPr>
              <w:spacing w:line="480" w:lineRule="auto"/>
              <w:jc w:val="left"/>
              <w:rPr>
                <w:rFonts w:ascii="Arial" w:hAnsi="Arial" w:cs="Arial"/>
                <w:b/>
                <w:sz w:val="20"/>
                <w:szCs w:val="20"/>
              </w:rPr>
            </w:pPr>
          </w:p>
        </w:tc>
        <w:tc>
          <w:tcPr>
            <w:tcW w:w="7948" w:type="dxa"/>
            <w:gridSpan w:val="6"/>
          </w:tcPr>
          <w:p w14:paraId="68BFE79D" w14:textId="77777777" w:rsidR="00DA7AAC" w:rsidRPr="007A3962" w:rsidRDefault="00DA7AAC" w:rsidP="005B6FFA">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Antibiotics and their susceptibility</w:t>
            </w:r>
          </w:p>
        </w:tc>
      </w:tr>
      <w:tr w:rsidR="00DA7AAC" w:rsidRPr="007A3962" w14:paraId="4223018E" w14:textId="77777777" w:rsidTr="005D00CA">
        <w:trPr>
          <w:cnfStyle w:val="000000100000" w:firstRow="0" w:lastRow="0" w:firstColumn="0" w:lastColumn="0" w:oddVBand="0" w:evenVBand="0" w:oddHBand="1" w:evenHBand="0" w:firstRowFirstColumn="0" w:firstRowLastColumn="0" w:lastRowFirstColumn="0" w:lastRowLastColumn="0"/>
          <w:trHeight w:val="1815"/>
        </w:trPr>
        <w:tc>
          <w:tcPr>
            <w:cnfStyle w:val="001000000000" w:firstRow="0" w:lastRow="0" w:firstColumn="1" w:lastColumn="0" w:oddVBand="0" w:evenVBand="0" w:oddHBand="0" w:evenHBand="0" w:firstRowFirstColumn="0" w:firstRowLastColumn="0" w:lastRowFirstColumn="0" w:lastRowLastColumn="0"/>
            <w:tcW w:w="1271" w:type="dxa"/>
          </w:tcPr>
          <w:p w14:paraId="25B10175" w14:textId="77777777" w:rsidR="00DA7AAC" w:rsidRPr="007A3962" w:rsidRDefault="00DA7AAC" w:rsidP="005B6FFA">
            <w:pPr>
              <w:spacing w:line="480" w:lineRule="auto"/>
              <w:jc w:val="left"/>
              <w:rPr>
                <w:rFonts w:ascii="Arial" w:hAnsi="Arial" w:cs="Arial"/>
                <w:b/>
                <w:sz w:val="20"/>
                <w:szCs w:val="20"/>
              </w:rPr>
            </w:pPr>
            <w:r w:rsidRPr="007A3962">
              <w:rPr>
                <w:rFonts w:ascii="Arial" w:hAnsi="Arial" w:cs="Arial"/>
                <w:b/>
                <w:sz w:val="20"/>
                <w:szCs w:val="20"/>
              </w:rPr>
              <w:t>Isolate number</w:t>
            </w:r>
          </w:p>
        </w:tc>
        <w:tc>
          <w:tcPr>
            <w:tcW w:w="1499" w:type="dxa"/>
            <w:textDirection w:val="btLr"/>
          </w:tcPr>
          <w:p w14:paraId="1291BC33" w14:textId="77777777" w:rsidR="00DA7AAC" w:rsidRPr="007A3962" w:rsidRDefault="00DA7AAC" w:rsidP="005B6FFA">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Chloramphenicol</w:t>
            </w:r>
          </w:p>
        </w:tc>
        <w:tc>
          <w:tcPr>
            <w:tcW w:w="1096" w:type="dxa"/>
            <w:textDirection w:val="btLr"/>
          </w:tcPr>
          <w:p w14:paraId="7BEDAA12" w14:textId="77777777" w:rsidR="00DA7AAC" w:rsidRPr="007A3962" w:rsidRDefault="00DA7AAC" w:rsidP="005B6FFA">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Ampicillin</w:t>
            </w:r>
          </w:p>
        </w:tc>
        <w:tc>
          <w:tcPr>
            <w:tcW w:w="1318" w:type="dxa"/>
            <w:textDirection w:val="btLr"/>
          </w:tcPr>
          <w:p w14:paraId="67A2618F" w14:textId="77777777" w:rsidR="00DA7AAC" w:rsidRPr="007A3962" w:rsidRDefault="00DA7AAC" w:rsidP="005B6FFA">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Carbenicillin</w:t>
            </w:r>
          </w:p>
        </w:tc>
        <w:tc>
          <w:tcPr>
            <w:tcW w:w="1306" w:type="dxa"/>
            <w:textDirection w:val="btLr"/>
          </w:tcPr>
          <w:p w14:paraId="5B858FE0" w14:textId="77777777" w:rsidR="00DA7AAC" w:rsidRPr="007A3962" w:rsidRDefault="00DA7AAC" w:rsidP="005B6FFA">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Vancomycin</w:t>
            </w:r>
          </w:p>
        </w:tc>
        <w:tc>
          <w:tcPr>
            <w:tcW w:w="1498" w:type="dxa"/>
            <w:textDirection w:val="btLr"/>
          </w:tcPr>
          <w:p w14:paraId="2DED77EA" w14:textId="77777777" w:rsidR="00DA7AAC" w:rsidRPr="007A3962" w:rsidRDefault="00DA7AAC" w:rsidP="005B6FFA">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Oxytetracyclin</w:t>
            </w:r>
          </w:p>
        </w:tc>
        <w:tc>
          <w:tcPr>
            <w:tcW w:w="1231" w:type="dxa"/>
            <w:textDirection w:val="btLr"/>
          </w:tcPr>
          <w:p w14:paraId="0A1E294C" w14:textId="77777777" w:rsidR="00DA7AAC" w:rsidRPr="007A3962" w:rsidRDefault="00DA7AAC" w:rsidP="005B6FFA">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Novobiocin</w:t>
            </w:r>
          </w:p>
        </w:tc>
      </w:tr>
      <w:tr w:rsidR="00D045F7" w:rsidRPr="007A3962" w14:paraId="4AE16580" w14:textId="77777777" w:rsidTr="005D00CA">
        <w:tc>
          <w:tcPr>
            <w:cnfStyle w:val="001000000000" w:firstRow="0" w:lastRow="0" w:firstColumn="1" w:lastColumn="0" w:oddVBand="0" w:evenVBand="0" w:oddHBand="0" w:evenHBand="0" w:firstRowFirstColumn="0" w:firstRowLastColumn="0" w:lastRowFirstColumn="0" w:lastRowLastColumn="0"/>
            <w:tcW w:w="1271" w:type="dxa"/>
          </w:tcPr>
          <w:p w14:paraId="53FF8039" w14:textId="77777777" w:rsidR="00D045F7" w:rsidRPr="007A3962" w:rsidRDefault="00D045F7" w:rsidP="005B6FFA">
            <w:pPr>
              <w:spacing w:line="480" w:lineRule="auto"/>
              <w:jc w:val="left"/>
              <w:rPr>
                <w:rFonts w:ascii="Arial" w:hAnsi="Arial" w:cs="Arial"/>
                <w:sz w:val="20"/>
                <w:szCs w:val="20"/>
              </w:rPr>
            </w:pPr>
            <w:r w:rsidRPr="007A3962">
              <w:rPr>
                <w:rFonts w:ascii="Arial" w:hAnsi="Arial" w:cs="Arial"/>
                <w:sz w:val="20"/>
                <w:szCs w:val="20"/>
              </w:rPr>
              <w:t>82B2</w:t>
            </w:r>
          </w:p>
        </w:tc>
        <w:tc>
          <w:tcPr>
            <w:tcW w:w="1499" w:type="dxa"/>
          </w:tcPr>
          <w:p w14:paraId="0BE6EA2B"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096" w:type="dxa"/>
          </w:tcPr>
          <w:p w14:paraId="34B236D5"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18" w:type="dxa"/>
          </w:tcPr>
          <w:p w14:paraId="33EE6099"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06" w:type="dxa"/>
          </w:tcPr>
          <w:p w14:paraId="5AFC918A"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498" w:type="dxa"/>
          </w:tcPr>
          <w:p w14:paraId="266851AC"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231" w:type="dxa"/>
          </w:tcPr>
          <w:p w14:paraId="0B11F49A"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r w:rsidR="00D045F7" w:rsidRPr="007A3962" w14:paraId="20538952"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3FFCA1F" w14:textId="77777777" w:rsidR="00D045F7" w:rsidRPr="007A3962" w:rsidRDefault="00D045F7" w:rsidP="005B6FFA">
            <w:pPr>
              <w:spacing w:line="480" w:lineRule="auto"/>
              <w:jc w:val="left"/>
              <w:rPr>
                <w:rFonts w:ascii="Arial" w:hAnsi="Arial" w:cs="Arial"/>
                <w:sz w:val="20"/>
                <w:szCs w:val="20"/>
              </w:rPr>
            </w:pPr>
            <w:r w:rsidRPr="007A3962">
              <w:rPr>
                <w:rFonts w:ascii="Arial" w:hAnsi="Arial" w:cs="Arial"/>
                <w:sz w:val="20"/>
                <w:szCs w:val="20"/>
              </w:rPr>
              <w:t>58F1</w:t>
            </w:r>
          </w:p>
        </w:tc>
        <w:tc>
          <w:tcPr>
            <w:tcW w:w="1499" w:type="dxa"/>
          </w:tcPr>
          <w:p w14:paraId="46F9F34F"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096" w:type="dxa"/>
          </w:tcPr>
          <w:p w14:paraId="7DF7F4B0"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18" w:type="dxa"/>
          </w:tcPr>
          <w:p w14:paraId="2C72FFB8"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06" w:type="dxa"/>
          </w:tcPr>
          <w:p w14:paraId="52C91261"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498" w:type="dxa"/>
          </w:tcPr>
          <w:p w14:paraId="06D2F998"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231" w:type="dxa"/>
          </w:tcPr>
          <w:p w14:paraId="66BDF457"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r w:rsidR="00D045F7" w:rsidRPr="007A3962" w14:paraId="09306B70" w14:textId="77777777" w:rsidTr="005D00CA">
        <w:tc>
          <w:tcPr>
            <w:cnfStyle w:val="001000000000" w:firstRow="0" w:lastRow="0" w:firstColumn="1" w:lastColumn="0" w:oddVBand="0" w:evenVBand="0" w:oddHBand="0" w:evenHBand="0" w:firstRowFirstColumn="0" w:firstRowLastColumn="0" w:lastRowFirstColumn="0" w:lastRowLastColumn="0"/>
            <w:tcW w:w="1271" w:type="dxa"/>
          </w:tcPr>
          <w:p w14:paraId="3FC7CEDA" w14:textId="77777777" w:rsidR="00D045F7" w:rsidRPr="007A3962" w:rsidRDefault="00D045F7" w:rsidP="005B6FFA">
            <w:pPr>
              <w:spacing w:line="480" w:lineRule="auto"/>
              <w:jc w:val="left"/>
              <w:rPr>
                <w:rFonts w:ascii="Arial" w:hAnsi="Arial" w:cs="Arial"/>
                <w:sz w:val="20"/>
                <w:szCs w:val="20"/>
              </w:rPr>
            </w:pPr>
            <w:r w:rsidRPr="007A3962">
              <w:rPr>
                <w:rFonts w:ascii="Arial" w:hAnsi="Arial" w:cs="Arial"/>
                <w:sz w:val="20"/>
                <w:szCs w:val="20"/>
              </w:rPr>
              <w:t>5005</w:t>
            </w:r>
          </w:p>
        </w:tc>
        <w:tc>
          <w:tcPr>
            <w:tcW w:w="1499" w:type="dxa"/>
          </w:tcPr>
          <w:p w14:paraId="6F5766A5"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096" w:type="dxa"/>
          </w:tcPr>
          <w:p w14:paraId="0709C5E6"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18" w:type="dxa"/>
          </w:tcPr>
          <w:p w14:paraId="1CF9C912"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06" w:type="dxa"/>
          </w:tcPr>
          <w:p w14:paraId="35A37A14"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498" w:type="dxa"/>
          </w:tcPr>
          <w:p w14:paraId="5B8F1021"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231" w:type="dxa"/>
          </w:tcPr>
          <w:p w14:paraId="1A6AAB0A"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r w:rsidR="00D045F7" w:rsidRPr="007A3962" w14:paraId="15196FB4"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1966222" w14:textId="77777777" w:rsidR="00D045F7" w:rsidRPr="007A3962" w:rsidRDefault="00D045F7" w:rsidP="005B6FFA">
            <w:pPr>
              <w:spacing w:line="480" w:lineRule="auto"/>
              <w:jc w:val="left"/>
              <w:rPr>
                <w:rFonts w:ascii="Arial" w:hAnsi="Arial" w:cs="Arial"/>
                <w:sz w:val="20"/>
                <w:szCs w:val="20"/>
              </w:rPr>
            </w:pPr>
            <w:r w:rsidRPr="007A3962">
              <w:rPr>
                <w:rFonts w:ascii="Arial" w:hAnsi="Arial" w:cs="Arial"/>
                <w:sz w:val="20"/>
                <w:szCs w:val="20"/>
              </w:rPr>
              <w:t>23F3</w:t>
            </w:r>
          </w:p>
        </w:tc>
        <w:tc>
          <w:tcPr>
            <w:tcW w:w="1499" w:type="dxa"/>
          </w:tcPr>
          <w:p w14:paraId="213F7FE8"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096" w:type="dxa"/>
          </w:tcPr>
          <w:p w14:paraId="1C1A9AAF"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18" w:type="dxa"/>
          </w:tcPr>
          <w:p w14:paraId="43ACF647"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06" w:type="dxa"/>
          </w:tcPr>
          <w:p w14:paraId="5D70DF4D"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498" w:type="dxa"/>
          </w:tcPr>
          <w:p w14:paraId="4E338130"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231" w:type="dxa"/>
          </w:tcPr>
          <w:p w14:paraId="28EFDDB7"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r w:rsidR="00D045F7" w:rsidRPr="007A3962" w14:paraId="5C6A484F" w14:textId="77777777" w:rsidTr="005D00CA">
        <w:tc>
          <w:tcPr>
            <w:cnfStyle w:val="001000000000" w:firstRow="0" w:lastRow="0" w:firstColumn="1" w:lastColumn="0" w:oddVBand="0" w:evenVBand="0" w:oddHBand="0" w:evenHBand="0" w:firstRowFirstColumn="0" w:firstRowLastColumn="0" w:lastRowFirstColumn="0" w:lastRowLastColumn="0"/>
            <w:tcW w:w="1271" w:type="dxa"/>
          </w:tcPr>
          <w:p w14:paraId="0BDF050A" w14:textId="77777777" w:rsidR="00D045F7" w:rsidRPr="007A3962" w:rsidRDefault="00D045F7" w:rsidP="005B6FFA">
            <w:pPr>
              <w:spacing w:line="480" w:lineRule="auto"/>
              <w:jc w:val="left"/>
              <w:rPr>
                <w:rFonts w:ascii="Arial" w:hAnsi="Arial" w:cs="Arial"/>
                <w:sz w:val="20"/>
                <w:szCs w:val="20"/>
              </w:rPr>
            </w:pPr>
            <w:r w:rsidRPr="007A3962">
              <w:rPr>
                <w:rFonts w:ascii="Arial" w:hAnsi="Arial" w:cs="Arial"/>
                <w:sz w:val="20"/>
                <w:szCs w:val="20"/>
              </w:rPr>
              <w:t>57F1</w:t>
            </w:r>
          </w:p>
        </w:tc>
        <w:tc>
          <w:tcPr>
            <w:tcW w:w="1499" w:type="dxa"/>
          </w:tcPr>
          <w:p w14:paraId="05D11067"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096" w:type="dxa"/>
          </w:tcPr>
          <w:p w14:paraId="406EE2A2"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18" w:type="dxa"/>
          </w:tcPr>
          <w:p w14:paraId="78F948EC"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06" w:type="dxa"/>
          </w:tcPr>
          <w:p w14:paraId="0E6F9167"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498" w:type="dxa"/>
          </w:tcPr>
          <w:p w14:paraId="6929E612"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231" w:type="dxa"/>
          </w:tcPr>
          <w:p w14:paraId="076C2F96"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r w:rsidR="00D045F7" w:rsidRPr="007A3962" w14:paraId="6DDD1B7C"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464EF17" w14:textId="77777777" w:rsidR="00D045F7" w:rsidRPr="007A3962" w:rsidRDefault="00D045F7" w:rsidP="005B6FFA">
            <w:pPr>
              <w:spacing w:line="480" w:lineRule="auto"/>
              <w:jc w:val="left"/>
              <w:rPr>
                <w:rFonts w:ascii="Arial" w:hAnsi="Arial" w:cs="Arial"/>
                <w:sz w:val="20"/>
                <w:szCs w:val="20"/>
              </w:rPr>
            </w:pPr>
            <w:r w:rsidRPr="007A3962">
              <w:rPr>
                <w:rFonts w:ascii="Arial" w:hAnsi="Arial" w:cs="Arial"/>
                <w:sz w:val="20"/>
                <w:szCs w:val="20"/>
              </w:rPr>
              <w:t>63F3</w:t>
            </w:r>
          </w:p>
        </w:tc>
        <w:tc>
          <w:tcPr>
            <w:tcW w:w="1499" w:type="dxa"/>
          </w:tcPr>
          <w:p w14:paraId="5F3530E0"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096" w:type="dxa"/>
          </w:tcPr>
          <w:p w14:paraId="16A0F465"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18" w:type="dxa"/>
          </w:tcPr>
          <w:p w14:paraId="37CC7333"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06" w:type="dxa"/>
          </w:tcPr>
          <w:p w14:paraId="396C4152"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498" w:type="dxa"/>
          </w:tcPr>
          <w:p w14:paraId="0912BFCF"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231" w:type="dxa"/>
          </w:tcPr>
          <w:p w14:paraId="2F551396"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bl>
    <w:p w14:paraId="56745483" w14:textId="77777777" w:rsidR="00DA7AAC" w:rsidRPr="007A3962" w:rsidRDefault="00DA7AAC" w:rsidP="005B6FFA">
      <w:pPr>
        <w:spacing w:line="480" w:lineRule="auto"/>
        <w:rPr>
          <w:rFonts w:ascii="Arial" w:hAnsi="Arial" w:cs="Arial"/>
          <w:b/>
          <w:sz w:val="20"/>
          <w:szCs w:val="20"/>
        </w:rPr>
      </w:pPr>
    </w:p>
    <w:p w14:paraId="47DB1828" w14:textId="77777777" w:rsidR="00DA7AAC" w:rsidRPr="007A3962" w:rsidRDefault="003851CE" w:rsidP="005B6FFA">
      <w:pPr>
        <w:spacing w:line="480" w:lineRule="auto"/>
        <w:rPr>
          <w:rFonts w:ascii="Arial" w:hAnsi="Arial" w:cs="Arial"/>
          <w:sz w:val="20"/>
          <w:szCs w:val="20"/>
        </w:rPr>
      </w:pPr>
      <w:r w:rsidRPr="007A3962">
        <w:rPr>
          <w:rFonts w:ascii="Arial" w:hAnsi="Arial" w:cs="Arial"/>
          <w:noProof/>
          <w:sz w:val="20"/>
          <w:szCs w:val="20"/>
        </w:rPr>
        <w:lastRenderedPageBreak/>
        <w:drawing>
          <wp:inline distT="0" distB="0" distL="0" distR="0" wp14:anchorId="2ADC1A1B" wp14:editId="58E25061">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B3A85F5" w14:textId="77777777" w:rsidR="00317BF9" w:rsidRPr="005D00CA" w:rsidRDefault="00317BF9" w:rsidP="005B6FFA">
      <w:pPr>
        <w:pStyle w:val="Caption"/>
        <w:spacing w:line="480" w:lineRule="auto"/>
        <w:rPr>
          <w:rFonts w:ascii="Arial" w:hAnsi="Arial" w:cs="Arial"/>
          <w:b/>
          <w:i w:val="0"/>
          <w:color w:val="auto"/>
          <w:sz w:val="20"/>
          <w:szCs w:val="20"/>
        </w:rPr>
      </w:pPr>
      <w:r w:rsidRPr="005D00CA">
        <w:rPr>
          <w:rFonts w:ascii="Arial" w:hAnsi="Arial" w:cs="Arial"/>
          <w:b/>
          <w:i w:val="0"/>
          <w:color w:val="auto"/>
          <w:sz w:val="20"/>
          <w:szCs w:val="20"/>
        </w:rPr>
        <w:t xml:space="preserve">Figure </w:t>
      </w:r>
      <w:r w:rsidRPr="005D00CA">
        <w:rPr>
          <w:rFonts w:ascii="Arial" w:hAnsi="Arial" w:cs="Arial"/>
          <w:b/>
          <w:i w:val="0"/>
          <w:color w:val="auto"/>
          <w:sz w:val="20"/>
          <w:szCs w:val="20"/>
        </w:rPr>
        <w:fldChar w:fldCharType="begin"/>
      </w:r>
      <w:r w:rsidRPr="005D00CA">
        <w:rPr>
          <w:rFonts w:ascii="Arial" w:hAnsi="Arial" w:cs="Arial"/>
          <w:b/>
          <w:i w:val="0"/>
          <w:color w:val="auto"/>
          <w:sz w:val="20"/>
          <w:szCs w:val="20"/>
        </w:rPr>
        <w:instrText xml:space="preserve"> SEQ Figure \* ARABIC </w:instrText>
      </w:r>
      <w:r w:rsidRPr="005D00CA">
        <w:rPr>
          <w:rFonts w:ascii="Arial" w:hAnsi="Arial" w:cs="Arial"/>
          <w:b/>
          <w:i w:val="0"/>
          <w:color w:val="auto"/>
          <w:sz w:val="20"/>
          <w:szCs w:val="20"/>
        </w:rPr>
        <w:fldChar w:fldCharType="separate"/>
      </w:r>
      <w:r w:rsidRPr="005D00CA">
        <w:rPr>
          <w:rFonts w:ascii="Arial" w:hAnsi="Arial" w:cs="Arial"/>
          <w:b/>
          <w:i w:val="0"/>
          <w:noProof/>
          <w:color w:val="auto"/>
          <w:sz w:val="20"/>
          <w:szCs w:val="20"/>
        </w:rPr>
        <w:t>4</w:t>
      </w:r>
      <w:r w:rsidRPr="005D00CA">
        <w:rPr>
          <w:rFonts w:ascii="Arial" w:hAnsi="Arial" w:cs="Arial"/>
          <w:b/>
          <w:i w:val="0"/>
          <w:color w:val="auto"/>
          <w:sz w:val="20"/>
          <w:szCs w:val="20"/>
        </w:rPr>
        <w:fldChar w:fldCharType="end"/>
      </w:r>
      <w:r w:rsidRPr="005D00CA">
        <w:rPr>
          <w:rFonts w:ascii="Arial" w:hAnsi="Arial" w:cs="Arial"/>
          <w:b/>
          <w:i w:val="0"/>
          <w:color w:val="auto"/>
          <w:sz w:val="20"/>
          <w:szCs w:val="20"/>
        </w:rPr>
        <w:t>: Solubilisation rate of isolate on rock phosphate from day 1 to day 5 designated RP-1 and RP-5 respectively.</w:t>
      </w:r>
    </w:p>
    <w:p w14:paraId="4F31D029" w14:textId="77777777" w:rsidR="00317BF9" w:rsidRPr="007A3962" w:rsidRDefault="00317BF9" w:rsidP="005B6FFA">
      <w:pPr>
        <w:spacing w:line="480" w:lineRule="auto"/>
        <w:rPr>
          <w:rFonts w:ascii="Arial" w:hAnsi="Arial" w:cs="Arial"/>
          <w:sz w:val="20"/>
          <w:szCs w:val="20"/>
        </w:rPr>
      </w:pPr>
    </w:p>
    <w:p w14:paraId="450B8BA9" w14:textId="77777777" w:rsidR="002327FF" w:rsidRPr="007A3962" w:rsidRDefault="003851CE" w:rsidP="005B6FFA">
      <w:pPr>
        <w:spacing w:line="480" w:lineRule="auto"/>
        <w:rPr>
          <w:rFonts w:ascii="Arial" w:hAnsi="Arial" w:cs="Arial"/>
          <w:sz w:val="20"/>
          <w:szCs w:val="20"/>
        </w:rPr>
      </w:pPr>
      <w:r w:rsidRPr="007A3962">
        <w:rPr>
          <w:rFonts w:ascii="Arial" w:hAnsi="Arial" w:cs="Arial"/>
          <w:noProof/>
          <w:sz w:val="20"/>
          <w:szCs w:val="20"/>
        </w:rPr>
        <w:drawing>
          <wp:inline distT="0" distB="0" distL="0" distR="0" wp14:anchorId="7D327985" wp14:editId="146CCCD2">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F9B945" w14:textId="77777777" w:rsidR="00317BF9" w:rsidRPr="005D00CA" w:rsidRDefault="00317BF9" w:rsidP="005B6FFA">
      <w:pPr>
        <w:spacing w:line="480" w:lineRule="auto"/>
        <w:rPr>
          <w:rFonts w:ascii="Arial" w:hAnsi="Arial" w:cs="Arial"/>
          <w:b/>
          <w:sz w:val="20"/>
          <w:szCs w:val="20"/>
        </w:rPr>
      </w:pPr>
      <w:r w:rsidRPr="005D00CA">
        <w:rPr>
          <w:rFonts w:ascii="Arial" w:hAnsi="Arial" w:cs="Arial"/>
          <w:b/>
          <w:sz w:val="20"/>
          <w:szCs w:val="20"/>
        </w:rPr>
        <w:t xml:space="preserve">Figure </w:t>
      </w:r>
      <w:r w:rsidRPr="005D00CA">
        <w:rPr>
          <w:rFonts w:ascii="Arial" w:hAnsi="Arial" w:cs="Arial"/>
          <w:b/>
          <w:sz w:val="20"/>
          <w:szCs w:val="20"/>
        </w:rPr>
        <w:fldChar w:fldCharType="begin"/>
      </w:r>
      <w:r w:rsidRPr="005D00CA">
        <w:rPr>
          <w:rFonts w:ascii="Arial" w:hAnsi="Arial" w:cs="Arial"/>
          <w:b/>
          <w:sz w:val="20"/>
          <w:szCs w:val="20"/>
        </w:rPr>
        <w:instrText xml:space="preserve"> SEQ Figure \* ARABIC </w:instrText>
      </w:r>
      <w:r w:rsidRPr="005D00CA">
        <w:rPr>
          <w:rFonts w:ascii="Arial" w:hAnsi="Arial" w:cs="Arial"/>
          <w:b/>
          <w:sz w:val="20"/>
          <w:szCs w:val="20"/>
        </w:rPr>
        <w:fldChar w:fldCharType="separate"/>
      </w:r>
      <w:r w:rsidRPr="005D00CA">
        <w:rPr>
          <w:rFonts w:ascii="Arial" w:hAnsi="Arial" w:cs="Arial"/>
          <w:b/>
          <w:noProof/>
          <w:sz w:val="20"/>
          <w:szCs w:val="20"/>
        </w:rPr>
        <w:t>5</w:t>
      </w:r>
      <w:r w:rsidRPr="005D00CA">
        <w:rPr>
          <w:rFonts w:ascii="Arial" w:hAnsi="Arial" w:cs="Arial"/>
          <w:b/>
          <w:sz w:val="20"/>
          <w:szCs w:val="20"/>
        </w:rPr>
        <w:fldChar w:fldCharType="end"/>
      </w:r>
      <w:r w:rsidRPr="005D00CA">
        <w:rPr>
          <w:rFonts w:ascii="Arial" w:hAnsi="Arial" w:cs="Arial"/>
          <w:b/>
          <w:sz w:val="20"/>
          <w:szCs w:val="20"/>
        </w:rPr>
        <w:t>: Solubilisation rate of isolate on field soil  from day 1 to day 5 designated SS-1 and SS-5 respectively.</w:t>
      </w:r>
    </w:p>
    <w:p w14:paraId="154574F8" w14:textId="60345F94" w:rsidR="0087787D" w:rsidRPr="005D00CA" w:rsidRDefault="0087787D" w:rsidP="005B6FFA">
      <w:pPr>
        <w:pStyle w:val="Caption"/>
        <w:spacing w:line="480" w:lineRule="auto"/>
        <w:rPr>
          <w:rFonts w:ascii="Arial" w:hAnsi="Arial" w:cs="Arial"/>
          <w:b/>
          <w:i w:val="0"/>
          <w:color w:val="auto"/>
          <w:sz w:val="20"/>
          <w:szCs w:val="20"/>
        </w:rPr>
      </w:pPr>
      <w:bookmarkStart w:id="12" w:name="_Toc521325169"/>
      <w:bookmarkStart w:id="13" w:name="_Toc186103677"/>
      <w:r w:rsidRPr="005D00CA">
        <w:rPr>
          <w:rFonts w:ascii="Arial" w:hAnsi="Arial" w:cs="Arial"/>
          <w:b/>
          <w:i w:val="0"/>
          <w:color w:val="auto"/>
          <w:sz w:val="20"/>
          <w:szCs w:val="20"/>
        </w:rPr>
        <w:t xml:space="preserve">Table </w:t>
      </w:r>
      <w:r w:rsidR="00AD584A">
        <w:rPr>
          <w:rFonts w:ascii="Arial" w:hAnsi="Arial" w:cs="Arial"/>
          <w:b/>
          <w:i w:val="0"/>
          <w:color w:val="auto"/>
          <w:sz w:val="20"/>
          <w:szCs w:val="20"/>
        </w:rPr>
        <w:t>6</w:t>
      </w:r>
      <w:r w:rsidRPr="005D00CA">
        <w:rPr>
          <w:rFonts w:ascii="Arial" w:hAnsi="Arial" w:cs="Arial"/>
          <w:b/>
          <w:i w:val="0"/>
          <w:color w:val="auto"/>
          <w:sz w:val="20"/>
          <w:szCs w:val="20"/>
        </w:rPr>
        <w:t xml:space="preserve">: </w:t>
      </w:r>
      <w:bookmarkEnd w:id="12"/>
      <w:r w:rsidRPr="005D00CA">
        <w:rPr>
          <w:rFonts w:ascii="Arial" w:hAnsi="Arial" w:cs="Arial"/>
          <w:b/>
          <w:i w:val="0"/>
          <w:color w:val="auto"/>
          <w:sz w:val="20"/>
          <w:szCs w:val="20"/>
        </w:rPr>
        <w:t>Isolates and their BLAST related species and GenBank deposit accession numbers</w:t>
      </w:r>
      <w:bookmarkEnd w:id="13"/>
      <w:r w:rsidR="0003336A">
        <w:rPr>
          <w:rFonts w:ascii="Arial" w:hAnsi="Arial" w:cs="Arial"/>
          <w:b/>
          <w:i w:val="0"/>
          <w:color w:val="auto"/>
          <w:sz w:val="20"/>
          <w:szCs w:val="20"/>
        </w:rPr>
        <w:t>.</w:t>
      </w:r>
    </w:p>
    <w:tbl>
      <w:tblPr>
        <w:tblStyle w:val="PlainTable5"/>
        <w:tblW w:w="0" w:type="auto"/>
        <w:tblLook w:val="04A0" w:firstRow="1" w:lastRow="0" w:firstColumn="1" w:lastColumn="0" w:noHBand="0" w:noVBand="1"/>
      </w:tblPr>
      <w:tblGrid>
        <w:gridCol w:w="1413"/>
        <w:gridCol w:w="2977"/>
        <w:gridCol w:w="1362"/>
        <w:gridCol w:w="1814"/>
        <w:gridCol w:w="1784"/>
      </w:tblGrid>
      <w:tr w:rsidR="0087787D" w:rsidRPr="007A3962" w14:paraId="0582A4B7" w14:textId="77777777" w:rsidTr="0003336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3" w:type="dxa"/>
          </w:tcPr>
          <w:p w14:paraId="24A50CF6" w14:textId="77777777" w:rsidR="0087787D" w:rsidRPr="007A3962" w:rsidRDefault="0087787D" w:rsidP="005B6FFA">
            <w:pPr>
              <w:spacing w:line="480" w:lineRule="auto"/>
              <w:jc w:val="left"/>
              <w:rPr>
                <w:rFonts w:ascii="Arial" w:eastAsia="Times New Roman" w:hAnsi="Arial" w:cs="Arial"/>
                <w:b/>
                <w:color w:val="000000"/>
                <w:sz w:val="20"/>
                <w:szCs w:val="20"/>
              </w:rPr>
            </w:pPr>
            <w:r w:rsidRPr="007A3962">
              <w:rPr>
                <w:rFonts w:ascii="Arial" w:eastAsia="Times New Roman" w:hAnsi="Arial" w:cs="Arial"/>
                <w:b/>
                <w:color w:val="000000"/>
                <w:sz w:val="20"/>
                <w:szCs w:val="20"/>
              </w:rPr>
              <w:lastRenderedPageBreak/>
              <w:t>Lab Serial No</w:t>
            </w:r>
          </w:p>
        </w:tc>
        <w:tc>
          <w:tcPr>
            <w:tcW w:w="2977" w:type="dxa"/>
          </w:tcPr>
          <w:p w14:paraId="6AEEFC0D" w14:textId="77777777" w:rsidR="0087787D" w:rsidRPr="007A3962" w:rsidRDefault="0087787D" w:rsidP="005B6FFA">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rPr>
            </w:pPr>
            <w:r w:rsidRPr="007A3962">
              <w:rPr>
                <w:rFonts w:ascii="Arial" w:eastAsia="Times New Roman" w:hAnsi="Arial" w:cs="Arial"/>
                <w:b/>
                <w:color w:val="000000"/>
                <w:sz w:val="20"/>
                <w:szCs w:val="20"/>
              </w:rPr>
              <w:t>Related Species(Homologs)</w:t>
            </w:r>
          </w:p>
        </w:tc>
        <w:tc>
          <w:tcPr>
            <w:tcW w:w="1362" w:type="dxa"/>
          </w:tcPr>
          <w:p w14:paraId="6D4871E3" w14:textId="77777777" w:rsidR="0087787D" w:rsidRPr="007A3962" w:rsidRDefault="0087787D" w:rsidP="005B6FFA">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rPr>
            </w:pPr>
            <w:r w:rsidRPr="007A3962">
              <w:rPr>
                <w:rFonts w:ascii="Arial" w:eastAsia="Times New Roman" w:hAnsi="Arial" w:cs="Arial"/>
                <w:b/>
                <w:color w:val="000000"/>
                <w:sz w:val="20"/>
                <w:szCs w:val="20"/>
              </w:rPr>
              <w:t>Nucleotide Identity %</w:t>
            </w:r>
          </w:p>
        </w:tc>
        <w:tc>
          <w:tcPr>
            <w:tcW w:w="1814" w:type="dxa"/>
          </w:tcPr>
          <w:p w14:paraId="0F45F25A" w14:textId="77777777" w:rsidR="0087787D" w:rsidRPr="007A3962" w:rsidRDefault="0087787D" w:rsidP="005B6FFA">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rPr>
            </w:pPr>
            <w:r w:rsidRPr="007A3962">
              <w:rPr>
                <w:rFonts w:ascii="Arial" w:eastAsia="Times New Roman" w:hAnsi="Arial" w:cs="Arial"/>
                <w:b/>
                <w:color w:val="000000"/>
                <w:sz w:val="20"/>
                <w:szCs w:val="20"/>
              </w:rPr>
              <w:t>Given Accession NO</w:t>
            </w:r>
          </w:p>
        </w:tc>
        <w:tc>
          <w:tcPr>
            <w:tcW w:w="1784" w:type="dxa"/>
          </w:tcPr>
          <w:p w14:paraId="096F14EE" w14:textId="77777777" w:rsidR="0087787D" w:rsidRPr="007A3962" w:rsidRDefault="0087787D" w:rsidP="005B6FFA">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Strain Name</w:t>
            </w:r>
          </w:p>
        </w:tc>
      </w:tr>
      <w:tr w:rsidR="0087787D" w:rsidRPr="007A3962" w14:paraId="0B703ECF" w14:textId="77777777" w:rsidTr="00033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FF5A112" w14:textId="77777777" w:rsidR="0087787D" w:rsidRPr="007A3962" w:rsidRDefault="0087787D" w:rsidP="005B6FFA">
            <w:pPr>
              <w:spacing w:line="480" w:lineRule="auto"/>
              <w:jc w:val="left"/>
              <w:rPr>
                <w:rFonts w:ascii="Arial" w:hAnsi="Arial" w:cs="Arial"/>
                <w:sz w:val="20"/>
                <w:szCs w:val="20"/>
              </w:rPr>
            </w:pPr>
            <w:r w:rsidRPr="007A3962">
              <w:rPr>
                <w:rFonts w:ascii="Arial" w:hAnsi="Arial" w:cs="Arial"/>
                <w:sz w:val="20"/>
                <w:szCs w:val="20"/>
              </w:rPr>
              <w:t>82B2</w:t>
            </w:r>
          </w:p>
        </w:tc>
        <w:tc>
          <w:tcPr>
            <w:tcW w:w="2977" w:type="dxa"/>
          </w:tcPr>
          <w:p w14:paraId="0D313045"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7A3962">
              <w:rPr>
                <w:rFonts w:ascii="Arial" w:hAnsi="Arial" w:cs="Arial"/>
                <w:i/>
                <w:sz w:val="20"/>
                <w:szCs w:val="20"/>
              </w:rPr>
              <w:t>Alcaligenes ammonioxydans</w:t>
            </w:r>
          </w:p>
        </w:tc>
        <w:tc>
          <w:tcPr>
            <w:tcW w:w="1362" w:type="dxa"/>
          </w:tcPr>
          <w:p w14:paraId="33157CF1"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98.86</w:t>
            </w:r>
          </w:p>
        </w:tc>
        <w:tc>
          <w:tcPr>
            <w:tcW w:w="1814" w:type="dxa"/>
          </w:tcPr>
          <w:p w14:paraId="5A66F407"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PQ676104</w:t>
            </w:r>
          </w:p>
        </w:tc>
        <w:tc>
          <w:tcPr>
            <w:tcW w:w="1784" w:type="dxa"/>
          </w:tcPr>
          <w:p w14:paraId="3AAC9F83"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LOGO41</w:t>
            </w:r>
          </w:p>
        </w:tc>
      </w:tr>
      <w:tr w:rsidR="0087787D" w:rsidRPr="007A3962" w14:paraId="01AEA1E9" w14:textId="77777777" w:rsidTr="0003336A">
        <w:tc>
          <w:tcPr>
            <w:cnfStyle w:val="001000000000" w:firstRow="0" w:lastRow="0" w:firstColumn="1" w:lastColumn="0" w:oddVBand="0" w:evenVBand="0" w:oddHBand="0" w:evenHBand="0" w:firstRowFirstColumn="0" w:firstRowLastColumn="0" w:lastRowFirstColumn="0" w:lastRowLastColumn="0"/>
            <w:tcW w:w="1413" w:type="dxa"/>
          </w:tcPr>
          <w:p w14:paraId="6C2632FC" w14:textId="77777777" w:rsidR="0087787D" w:rsidRPr="007A3962" w:rsidRDefault="0087787D" w:rsidP="005B6FFA">
            <w:pPr>
              <w:spacing w:line="480" w:lineRule="auto"/>
              <w:jc w:val="left"/>
              <w:rPr>
                <w:rFonts w:ascii="Arial" w:hAnsi="Arial" w:cs="Arial"/>
                <w:sz w:val="20"/>
                <w:szCs w:val="20"/>
              </w:rPr>
            </w:pPr>
            <w:r w:rsidRPr="007A3962">
              <w:rPr>
                <w:rFonts w:ascii="Arial" w:hAnsi="Arial" w:cs="Arial"/>
                <w:sz w:val="20"/>
                <w:szCs w:val="20"/>
              </w:rPr>
              <w:t>58F1</w:t>
            </w:r>
          </w:p>
        </w:tc>
        <w:tc>
          <w:tcPr>
            <w:tcW w:w="2977" w:type="dxa"/>
          </w:tcPr>
          <w:p w14:paraId="107ED8B3"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7A3962">
              <w:rPr>
                <w:rFonts w:ascii="Arial" w:hAnsi="Arial" w:cs="Arial"/>
                <w:i/>
                <w:sz w:val="20"/>
                <w:szCs w:val="20"/>
              </w:rPr>
              <w:t>Enterococcus faecium</w:t>
            </w:r>
          </w:p>
        </w:tc>
        <w:tc>
          <w:tcPr>
            <w:tcW w:w="1362" w:type="dxa"/>
          </w:tcPr>
          <w:p w14:paraId="6D4BF4E9"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99.54</w:t>
            </w:r>
          </w:p>
        </w:tc>
        <w:tc>
          <w:tcPr>
            <w:tcW w:w="1814" w:type="dxa"/>
          </w:tcPr>
          <w:p w14:paraId="15FF7D17"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PQ676105</w:t>
            </w:r>
          </w:p>
        </w:tc>
        <w:tc>
          <w:tcPr>
            <w:tcW w:w="1784" w:type="dxa"/>
          </w:tcPr>
          <w:p w14:paraId="056EAB4F"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LOGO43</w:t>
            </w:r>
          </w:p>
        </w:tc>
      </w:tr>
      <w:tr w:rsidR="0087787D" w:rsidRPr="007A3962" w14:paraId="2DEB50B1" w14:textId="77777777" w:rsidTr="00033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3862191" w14:textId="77777777" w:rsidR="0087787D" w:rsidRPr="007A3962" w:rsidRDefault="0087787D" w:rsidP="005B6FFA">
            <w:pPr>
              <w:spacing w:line="480" w:lineRule="auto"/>
              <w:jc w:val="left"/>
              <w:rPr>
                <w:rFonts w:ascii="Arial" w:hAnsi="Arial" w:cs="Arial"/>
                <w:sz w:val="20"/>
                <w:szCs w:val="20"/>
              </w:rPr>
            </w:pPr>
            <w:r w:rsidRPr="007A3962">
              <w:rPr>
                <w:rFonts w:ascii="Arial" w:hAnsi="Arial" w:cs="Arial"/>
                <w:sz w:val="20"/>
                <w:szCs w:val="20"/>
              </w:rPr>
              <w:t>5005</w:t>
            </w:r>
          </w:p>
        </w:tc>
        <w:tc>
          <w:tcPr>
            <w:tcW w:w="2977" w:type="dxa"/>
          </w:tcPr>
          <w:p w14:paraId="6BC27AD0"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7A3962">
              <w:rPr>
                <w:rFonts w:ascii="Arial" w:hAnsi="Arial" w:cs="Arial"/>
                <w:i/>
                <w:sz w:val="20"/>
                <w:szCs w:val="20"/>
              </w:rPr>
              <w:t>Citrobacter braakii</w:t>
            </w:r>
          </w:p>
        </w:tc>
        <w:tc>
          <w:tcPr>
            <w:tcW w:w="1362" w:type="dxa"/>
          </w:tcPr>
          <w:p w14:paraId="1EEE64D1"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99.33</w:t>
            </w:r>
          </w:p>
        </w:tc>
        <w:tc>
          <w:tcPr>
            <w:tcW w:w="1814" w:type="dxa"/>
          </w:tcPr>
          <w:p w14:paraId="3A9E6517"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PQ676108</w:t>
            </w:r>
          </w:p>
        </w:tc>
        <w:tc>
          <w:tcPr>
            <w:tcW w:w="1784" w:type="dxa"/>
          </w:tcPr>
          <w:p w14:paraId="699901EA"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LOGO47</w:t>
            </w:r>
          </w:p>
        </w:tc>
      </w:tr>
      <w:tr w:rsidR="0087787D" w:rsidRPr="007A3962" w14:paraId="4D7DCE88" w14:textId="77777777" w:rsidTr="0003336A">
        <w:tc>
          <w:tcPr>
            <w:cnfStyle w:val="001000000000" w:firstRow="0" w:lastRow="0" w:firstColumn="1" w:lastColumn="0" w:oddVBand="0" w:evenVBand="0" w:oddHBand="0" w:evenHBand="0" w:firstRowFirstColumn="0" w:firstRowLastColumn="0" w:lastRowFirstColumn="0" w:lastRowLastColumn="0"/>
            <w:tcW w:w="1413" w:type="dxa"/>
          </w:tcPr>
          <w:p w14:paraId="3783523F" w14:textId="77777777" w:rsidR="0087787D" w:rsidRPr="007A3962" w:rsidRDefault="0087787D" w:rsidP="005B6FFA">
            <w:pPr>
              <w:spacing w:line="480" w:lineRule="auto"/>
              <w:jc w:val="left"/>
              <w:rPr>
                <w:rFonts w:ascii="Arial" w:hAnsi="Arial" w:cs="Arial"/>
                <w:sz w:val="20"/>
                <w:szCs w:val="20"/>
              </w:rPr>
            </w:pPr>
            <w:r w:rsidRPr="007A3962">
              <w:rPr>
                <w:rFonts w:ascii="Arial" w:hAnsi="Arial" w:cs="Arial"/>
                <w:sz w:val="20"/>
                <w:szCs w:val="20"/>
              </w:rPr>
              <w:t>23F3</w:t>
            </w:r>
          </w:p>
        </w:tc>
        <w:tc>
          <w:tcPr>
            <w:tcW w:w="2977" w:type="dxa"/>
          </w:tcPr>
          <w:p w14:paraId="43F6FA5A"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7A3962">
              <w:rPr>
                <w:rFonts w:ascii="Arial" w:hAnsi="Arial" w:cs="Arial"/>
                <w:i/>
                <w:sz w:val="20"/>
                <w:szCs w:val="20"/>
              </w:rPr>
              <w:t>Enterobacter cancerogenus</w:t>
            </w:r>
          </w:p>
        </w:tc>
        <w:tc>
          <w:tcPr>
            <w:tcW w:w="1362" w:type="dxa"/>
          </w:tcPr>
          <w:p w14:paraId="74EF22C3"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98.32</w:t>
            </w:r>
          </w:p>
        </w:tc>
        <w:tc>
          <w:tcPr>
            <w:tcW w:w="1814" w:type="dxa"/>
          </w:tcPr>
          <w:p w14:paraId="15158B67"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PQ676110</w:t>
            </w:r>
          </w:p>
        </w:tc>
        <w:tc>
          <w:tcPr>
            <w:tcW w:w="1784" w:type="dxa"/>
          </w:tcPr>
          <w:p w14:paraId="7691ABEE"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LOGO49</w:t>
            </w:r>
          </w:p>
        </w:tc>
      </w:tr>
      <w:tr w:rsidR="0087787D" w:rsidRPr="007A3962" w14:paraId="7525444A" w14:textId="77777777" w:rsidTr="00033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E692805" w14:textId="77777777" w:rsidR="0087787D" w:rsidRPr="007A3962" w:rsidRDefault="0087787D" w:rsidP="005B6FFA">
            <w:pPr>
              <w:spacing w:line="480" w:lineRule="auto"/>
              <w:jc w:val="left"/>
              <w:rPr>
                <w:rFonts w:ascii="Arial" w:hAnsi="Arial" w:cs="Arial"/>
                <w:sz w:val="20"/>
                <w:szCs w:val="20"/>
              </w:rPr>
            </w:pPr>
            <w:r w:rsidRPr="007A3962">
              <w:rPr>
                <w:rFonts w:ascii="Arial" w:hAnsi="Arial" w:cs="Arial"/>
                <w:sz w:val="20"/>
                <w:szCs w:val="20"/>
              </w:rPr>
              <w:t>57F1</w:t>
            </w:r>
          </w:p>
        </w:tc>
        <w:tc>
          <w:tcPr>
            <w:tcW w:w="2977" w:type="dxa"/>
          </w:tcPr>
          <w:p w14:paraId="5331483E"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7A3962">
              <w:rPr>
                <w:rFonts w:ascii="Arial" w:hAnsi="Arial" w:cs="Arial"/>
                <w:i/>
                <w:sz w:val="20"/>
                <w:szCs w:val="20"/>
              </w:rPr>
              <w:t>Geotrichum sp.</w:t>
            </w:r>
          </w:p>
        </w:tc>
        <w:tc>
          <w:tcPr>
            <w:tcW w:w="1362" w:type="dxa"/>
          </w:tcPr>
          <w:p w14:paraId="24AD5941"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91.07</w:t>
            </w:r>
          </w:p>
        </w:tc>
        <w:tc>
          <w:tcPr>
            <w:tcW w:w="1814" w:type="dxa"/>
          </w:tcPr>
          <w:p w14:paraId="2945C737"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PQ721393</w:t>
            </w:r>
          </w:p>
        </w:tc>
        <w:tc>
          <w:tcPr>
            <w:tcW w:w="1784" w:type="dxa"/>
          </w:tcPr>
          <w:p w14:paraId="74F85016"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LOGO42</w:t>
            </w:r>
          </w:p>
        </w:tc>
      </w:tr>
      <w:tr w:rsidR="0087787D" w:rsidRPr="007A3962" w14:paraId="5D210F39" w14:textId="77777777" w:rsidTr="0003336A">
        <w:tc>
          <w:tcPr>
            <w:cnfStyle w:val="001000000000" w:firstRow="0" w:lastRow="0" w:firstColumn="1" w:lastColumn="0" w:oddVBand="0" w:evenVBand="0" w:oddHBand="0" w:evenHBand="0" w:firstRowFirstColumn="0" w:firstRowLastColumn="0" w:lastRowFirstColumn="0" w:lastRowLastColumn="0"/>
            <w:tcW w:w="1413" w:type="dxa"/>
          </w:tcPr>
          <w:p w14:paraId="31B9C518" w14:textId="77777777" w:rsidR="0087787D" w:rsidRPr="007A3962" w:rsidRDefault="0087787D" w:rsidP="005B6FFA">
            <w:pPr>
              <w:spacing w:line="480" w:lineRule="auto"/>
              <w:jc w:val="left"/>
              <w:rPr>
                <w:rFonts w:ascii="Arial" w:hAnsi="Arial" w:cs="Arial"/>
                <w:sz w:val="20"/>
                <w:szCs w:val="20"/>
              </w:rPr>
            </w:pPr>
            <w:r w:rsidRPr="007A3962">
              <w:rPr>
                <w:rFonts w:ascii="Arial" w:hAnsi="Arial" w:cs="Arial"/>
                <w:sz w:val="20"/>
                <w:szCs w:val="20"/>
              </w:rPr>
              <w:t>63F3</w:t>
            </w:r>
          </w:p>
        </w:tc>
        <w:tc>
          <w:tcPr>
            <w:tcW w:w="2977" w:type="dxa"/>
          </w:tcPr>
          <w:p w14:paraId="3ECAE716"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7A3962">
              <w:rPr>
                <w:rFonts w:ascii="Arial" w:hAnsi="Arial" w:cs="Arial"/>
                <w:i/>
                <w:sz w:val="20"/>
                <w:szCs w:val="20"/>
              </w:rPr>
              <w:t>Aspergillus sibiricus</w:t>
            </w:r>
          </w:p>
        </w:tc>
        <w:tc>
          <w:tcPr>
            <w:tcW w:w="1362" w:type="dxa"/>
          </w:tcPr>
          <w:p w14:paraId="091007C5"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99.22</w:t>
            </w:r>
          </w:p>
        </w:tc>
        <w:tc>
          <w:tcPr>
            <w:tcW w:w="1814" w:type="dxa"/>
          </w:tcPr>
          <w:p w14:paraId="4706BCB3"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PQ721395</w:t>
            </w:r>
          </w:p>
        </w:tc>
        <w:tc>
          <w:tcPr>
            <w:tcW w:w="1784" w:type="dxa"/>
          </w:tcPr>
          <w:p w14:paraId="6881F857"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LOGO59</w:t>
            </w:r>
          </w:p>
        </w:tc>
      </w:tr>
    </w:tbl>
    <w:p w14:paraId="5851F3F1" w14:textId="77777777" w:rsidR="0087787D" w:rsidRPr="007A3962" w:rsidRDefault="0087787D" w:rsidP="005B6FFA">
      <w:pPr>
        <w:spacing w:line="480" w:lineRule="auto"/>
        <w:rPr>
          <w:rFonts w:ascii="Arial" w:hAnsi="Arial" w:cs="Arial"/>
          <w:sz w:val="20"/>
          <w:szCs w:val="20"/>
        </w:rPr>
      </w:pPr>
    </w:p>
    <w:p w14:paraId="5B085684" w14:textId="77777777" w:rsidR="004D6466" w:rsidRPr="007A3962" w:rsidRDefault="004D6466" w:rsidP="005B6FFA">
      <w:pPr>
        <w:spacing w:line="480" w:lineRule="auto"/>
        <w:rPr>
          <w:rFonts w:ascii="Arial" w:hAnsi="Arial" w:cs="Arial"/>
          <w:sz w:val="20"/>
          <w:szCs w:val="20"/>
        </w:rPr>
      </w:pPr>
      <w:r w:rsidRPr="007A3962">
        <w:rPr>
          <w:rFonts w:ascii="Arial" w:hAnsi="Arial" w:cs="Arial"/>
          <w:sz w:val="20"/>
          <w:szCs w:val="20"/>
        </w:rPr>
        <w:t xml:space="preserve">In order to demonstrate solubilisation kinetic; comparative studies were carried out </w:t>
      </w:r>
      <w:r w:rsidR="00197EBF" w:rsidRPr="007A3962">
        <w:rPr>
          <w:rFonts w:ascii="Arial" w:hAnsi="Arial" w:cs="Arial"/>
          <w:sz w:val="20"/>
          <w:szCs w:val="20"/>
        </w:rPr>
        <w:t>on the</w:t>
      </w:r>
      <w:r w:rsidRPr="007A3962">
        <w:rPr>
          <w:rFonts w:ascii="Arial" w:hAnsi="Arial" w:cs="Arial"/>
          <w:sz w:val="20"/>
          <w:szCs w:val="20"/>
        </w:rPr>
        <w:t xml:space="preserve"> isolated strains available in Malawi. Results showed that </w:t>
      </w:r>
      <w:r w:rsidR="00730B0B" w:rsidRPr="007A3962">
        <w:rPr>
          <w:rFonts w:ascii="Arial" w:hAnsi="Arial" w:cs="Arial"/>
          <w:sz w:val="20"/>
          <w:szCs w:val="20"/>
        </w:rPr>
        <w:t xml:space="preserve">all strains </w:t>
      </w:r>
      <w:r w:rsidRPr="007A3962">
        <w:rPr>
          <w:rFonts w:ascii="Arial" w:hAnsi="Arial" w:cs="Arial"/>
          <w:sz w:val="20"/>
          <w:szCs w:val="20"/>
        </w:rPr>
        <w:t>had higher phospha</w:t>
      </w:r>
      <w:r w:rsidR="00730B0B" w:rsidRPr="007A3962">
        <w:rPr>
          <w:rFonts w:ascii="Arial" w:hAnsi="Arial" w:cs="Arial"/>
          <w:sz w:val="20"/>
          <w:szCs w:val="20"/>
        </w:rPr>
        <w:t xml:space="preserve">te solubilisation efficiency </w:t>
      </w:r>
      <w:r w:rsidR="00BB3E68" w:rsidRPr="007A3962">
        <w:rPr>
          <w:rFonts w:ascii="Arial" w:hAnsi="Arial" w:cs="Arial"/>
          <w:sz w:val="20"/>
          <w:szCs w:val="20"/>
        </w:rPr>
        <w:t xml:space="preserve">based on SI which are above 3 and </w:t>
      </w:r>
      <w:r w:rsidR="00730B0B" w:rsidRPr="007A3962">
        <w:rPr>
          <w:rFonts w:ascii="Arial" w:hAnsi="Arial" w:cs="Arial"/>
          <w:sz w:val="20"/>
          <w:szCs w:val="20"/>
        </w:rPr>
        <w:t xml:space="preserve">in-vitro </w:t>
      </w:r>
      <w:r w:rsidR="00BB3E68" w:rsidRPr="007A3962">
        <w:rPr>
          <w:rFonts w:ascii="Arial" w:hAnsi="Arial" w:cs="Arial"/>
          <w:sz w:val="20"/>
          <w:szCs w:val="20"/>
        </w:rPr>
        <w:t xml:space="preserve">had values of above 750mg/L and 750mg/kg </w:t>
      </w:r>
      <w:r w:rsidR="00E955EB" w:rsidRPr="007A3962">
        <w:rPr>
          <w:rFonts w:ascii="Arial" w:hAnsi="Arial" w:cs="Arial"/>
          <w:sz w:val="20"/>
          <w:szCs w:val="20"/>
        </w:rPr>
        <w:t>of available</w:t>
      </w:r>
      <w:r w:rsidR="00BB3E68" w:rsidRPr="007A3962">
        <w:rPr>
          <w:rFonts w:ascii="Arial" w:hAnsi="Arial" w:cs="Arial"/>
          <w:sz w:val="20"/>
          <w:szCs w:val="20"/>
        </w:rPr>
        <w:t xml:space="preserve"> phosphate broth and rock phosphate</w:t>
      </w:r>
      <w:r w:rsidRPr="007A3962">
        <w:rPr>
          <w:rFonts w:ascii="Arial" w:hAnsi="Arial" w:cs="Arial"/>
          <w:sz w:val="20"/>
          <w:szCs w:val="20"/>
        </w:rPr>
        <w:t xml:space="preserve"> respectively. The results of </w:t>
      </w:r>
      <w:r w:rsidR="00BB3E68" w:rsidRPr="007A3962">
        <w:rPr>
          <w:rFonts w:ascii="Arial" w:hAnsi="Arial" w:cs="Arial"/>
          <w:sz w:val="20"/>
          <w:szCs w:val="20"/>
        </w:rPr>
        <w:t>the concoction</w:t>
      </w:r>
      <w:r w:rsidRPr="007A3962">
        <w:rPr>
          <w:rFonts w:ascii="Arial" w:hAnsi="Arial" w:cs="Arial"/>
          <w:sz w:val="20"/>
          <w:szCs w:val="20"/>
        </w:rPr>
        <w:t xml:space="preserve"> of isolate</w:t>
      </w:r>
      <w:r w:rsidR="00BB3E68" w:rsidRPr="007A3962">
        <w:rPr>
          <w:rFonts w:ascii="Arial" w:hAnsi="Arial" w:cs="Arial"/>
          <w:sz w:val="20"/>
          <w:szCs w:val="20"/>
        </w:rPr>
        <w:t>s showed higher</w:t>
      </w:r>
      <w:r w:rsidR="00EF13D3" w:rsidRPr="007A3962">
        <w:rPr>
          <w:rFonts w:ascii="Arial" w:hAnsi="Arial" w:cs="Arial"/>
          <w:sz w:val="20"/>
          <w:szCs w:val="20"/>
        </w:rPr>
        <w:t xml:space="preserve"> and stable</w:t>
      </w:r>
      <w:r w:rsidR="00BB3E68" w:rsidRPr="007A3962">
        <w:rPr>
          <w:rFonts w:ascii="Arial" w:hAnsi="Arial" w:cs="Arial"/>
          <w:sz w:val="20"/>
          <w:szCs w:val="20"/>
        </w:rPr>
        <w:t xml:space="preserve"> results compared</w:t>
      </w:r>
      <w:r w:rsidR="00EF13D3" w:rsidRPr="007A3962">
        <w:rPr>
          <w:rFonts w:ascii="Arial" w:hAnsi="Arial" w:cs="Arial"/>
          <w:sz w:val="20"/>
          <w:szCs w:val="20"/>
        </w:rPr>
        <w:t xml:space="preserve"> </w:t>
      </w:r>
      <w:r w:rsidR="00BB3E68" w:rsidRPr="007A3962">
        <w:rPr>
          <w:rFonts w:ascii="Arial" w:hAnsi="Arial" w:cs="Arial"/>
          <w:sz w:val="20"/>
          <w:szCs w:val="20"/>
        </w:rPr>
        <w:t>to the individual strain</w:t>
      </w:r>
      <w:r w:rsidR="00EF13D3" w:rsidRPr="007A3962">
        <w:rPr>
          <w:rFonts w:ascii="Arial" w:hAnsi="Arial" w:cs="Arial"/>
          <w:sz w:val="20"/>
          <w:szCs w:val="20"/>
        </w:rPr>
        <w:t xml:space="preserve"> usage</w:t>
      </w:r>
      <w:r w:rsidR="00BB3E68" w:rsidRPr="007A3962">
        <w:rPr>
          <w:rFonts w:ascii="Arial" w:hAnsi="Arial" w:cs="Arial"/>
          <w:sz w:val="20"/>
          <w:szCs w:val="20"/>
        </w:rPr>
        <w:t xml:space="preserve">. </w:t>
      </w:r>
      <w:r w:rsidR="00EF13D3" w:rsidRPr="007A3962">
        <w:rPr>
          <w:rFonts w:ascii="Arial" w:hAnsi="Arial" w:cs="Arial"/>
          <w:sz w:val="20"/>
          <w:szCs w:val="20"/>
        </w:rPr>
        <w:t>this may be a result of</w:t>
      </w:r>
      <w:r w:rsidRPr="007A3962">
        <w:rPr>
          <w:rFonts w:ascii="Arial" w:hAnsi="Arial" w:cs="Arial"/>
          <w:sz w:val="20"/>
          <w:szCs w:val="20"/>
        </w:rPr>
        <w:t xml:space="preserve"> </w:t>
      </w:r>
      <w:r w:rsidR="00EF13D3" w:rsidRPr="007A3962">
        <w:rPr>
          <w:rFonts w:ascii="Arial" w:hAnsi="Arial" w:cs="Arial"/>
          <w:sz w:val="20"/>
          <w:szCs w:val="20"/>
        </w:rPr>
        <w:t>positive</w:t>
      </w:r>
      <w:r w:rsidRPr="007A3962">
        <w:rPr>
          <w:rFonts w:ascii="Arial" w:hAnsi="Arial" w:cs="Arial"/>
          <w:sz w:val="20"/>
          <w:szCs w:val="20"/>
        </w:rPr>
        <w:t xml:space="preserve"> synergistic effect </w:t>
      </w:r>
      <w:r w:rsidR="00EF13D3" w:rsidRPr="007A3962">
        <w:rPr>
          <w:rFonts w:ascii="Arial" w:hAnsi="Arial" w:cs="Arial"/>
          <w:sz w:val="20"/>
          <w:szCs w:val="20"/>
        </w:rPr>
        <w:t>of microbes</w:t>
      </w:r>
      <w:r w:rsidR="0071289E" w:rsidRPr="007A3962">
        <w:rPr>
          <w:rFonts w:ascii="Arial" w:hAnsi="Arial" w:cs="Arial"/>
          <w:sz w:val="20"/>
          <w:szCs w:val="20"/>
        </w:rPr>
        <w:t xml:space="preserve"> </w:t>
      </w:r>
      <w:r w:rsidR="007963B2"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{"citationItems":[{"id":"ITEM-1","itemData":{"DOI":"10.1186/s13099-018-0250-0","ISSN":"17574749","abstract":"Along with the intensive development of methods of livestock breeding, breeders' expectations are growing concerning feed additives that would guarantee such results as accelerating growth rate, protection of health from pathogenic infections and improvement of other production parameters such as: absorption of feed and quality of meat, milk, eggs. The main reason for their application would be a strive to achieve some beneficial effects comparable to those of antibiotic-based growth stimulators, banned on 01 January 2006. High hopes are being associated with the use of probiotics, prebiotics and synbiotics. Used mainly for maintenance of the equilibrium of the intestinal microbiota of livestock, they turn out to be an effective method in fight against pathogens posing a threat for both animals and consumers. This paper discusses definitions of probiotics, prebiotics and synbiotics. Criteria that have to be met by those kinds of formulas are also presented. The paper offers a list of the most commonly used probiotics and prebiotics and some examples of their combinations in synbiotic formulas used in animal feeding. Examples of available study results on the effect of probiotics, prebiotics and synbiotics on animal health are also summarised.","author":[{"dropping-particle":"","family":"Markowiak","given":"Paulina","non-dropping-particle":"","parse-names":false,"suffix":""},{"dropping-particle":"","family":"Ślizewska","given":"Katarzyna","non-dropping-particle":"","parse-names":false,"suffix":""}],"container-title":"Gut Pathogens","id":"ITEM-1","issue":"1","issued":{"date-parts":[["2018","6","6"]]},"publisher":"BioMed Central Ltd.","title":"The role of probiotics, prebiotics and synbiotics in animal nutrition","type":"article","volume":"10"},"uris":["http://www.mendeley.com/documents/?uuid=3c765e31-395a-33a4-a78e-b0ba8cf9c83c"]},{"id":"ITEM-2","itemData":{"DOI":"10.22364/eeb.19.19","ISSN":"16918088","container-title":"Environmental and Experimental Biology","id":"ITEM-2","issue":"4","issued":{"date-parts":[["2021","12","31"]]},"publisher":"University of Latvia","title":"Isolation and characterization of Rhodococcus qingshengii, a cellulolytic bacteria from Cnaphalocrocis medinalis (Lepidoptera: Crambidae) gut","type":"article-journal","volume":"19"},"uris":["http://www.mendeley.com/documents/?uuid=cca0a062-25e0-3d93-92b0-d43d5f1b4d86"]},{"id":"ITEM-3","itemData":{"author":[{"dropping-particle":"","family":"Akhtar","given":"N","non-dropping-particle":"","parse-names":false,"suffix":""},{"dropping-particle":"","family":"Arshad","given":"I","non-dropping-particle":"","parse-names":false,"suffix":""},{"dropping-particle":"","family":"Shakir","given":"M A","non-dropping-particle":"","parse-names":false,"suffix":""},{"dropping-particle":"","family":"Qureshi","given":"M A","non-dropping-particle":"","parse-names":false,"suffix":""},{"dropping-particle":"","family":"Ali","given":"L","non-dropping-particle":"","parse-names":false,"suffix":""}],"id":"ITEM-3","issue":"1","issued":{"date-parts":[["2013"]]},"page":"190-197","title":"CO-INOCULATION WITH RHIZOBIUM AND BACILLUS SP TO IMPROVE THE PHOSPHORUS AVAILABILITY AND YIELD OF WHEAT ( Triticum aestivum L .).","type":"article-journal","volume":"23"},"uris":["http://www.mendeley.com/documents/?uuid=38076048-e631-4389-9b75-3acd1e652919"]},{"id":"ITEM-4","itemData":{"DOI":"10.1016/j.micres.2012.02.004","ISSN":"0944-5013","author":[{"dropping-particle":"","family":"Gupta","given":"Mamta","non-dropping-particle":"","parse-names":false,"suffix":""},{"dropping-particle":"","family":"Kiran","given":"Shashi","non-dropping-particle":"","parse-names":false,"suffix":""},{"dropping-particle":"","family":"Gulati","given":"Arvind","non-dropping-particle":"","parse-names":false,"suffix":""},{"dropping-particle":"","family":"Singh","given":"Bikram","non-dropping-particle":"","parse-names":false,"suffix":""},{"dropping-particle":"","family":"Tewari","given":"Rupinder","non-dropping-particle":"","parse-names":false,"suffix":""}],"container-title":"Microbiological Research","id":"ITEM-4","issue":"6","issued":{"date-parts":[["2012"]]},"page":"358-363","publisher":"Elsevier GmbH.","title":"Isolation and identification of phosphate solubilizing bacteria able to enhance the growth and aloin-A biosynthesis of Aloe barbadensis Miller","type":"article-journal","volume":"167"},"uris":["http://www.mendeley.com/documents/?uuid=1cfce510-cc0f-414e-b9cf-a151936c9ecd"]},{"id":"ITEM-5","itemData":{"DOI":"10.1051/agro","author":[{"dropping-particle":"","family":"Khan","given":"Mohammad Saghir","non-dropping-particle":"","parse-names":false,"suffix":""},{"dropping-particle":"","family":"Zaidi","given":"Almas","non-dropping-particle":"","parse-names":false,"suffix":""},{"dropping-particle":"","family":"Wani","given":"Parvaze A","non-dropping-particle":"","parse-names":false,"suffix":""},{"dropping-particle":"","family":"Khan","given":"Mohammad Saghir","non-dropping-particle":"","parse-names":false,"suffix":""},{"dropping-particle":"","family":"Zaidi","given":"Almas","non-dropping-particle":"","parse-names":false,"suffix":""},{"dropping-particle":"","family":"Wani","given":"Parvaze A","non-dropping-particle":"","parse-names":false,"suffix":""}],"id":"ITEM-5","issued":{"date-parts":[["2007"]]},"title":"Role of phosphate-solubilizing microorganisms in sustainable agriculture - A review To cite this version : Review article Role of phosphate-solubilizing microorganisms in sustainable agriculture – A review","type":"article-journal"},"uris":["http://www.mendeley.com/documents/?uuid=a5cf7903-7971-4379-a6d0-025d4ccd4676"]}],"mendeley":{"formattedCitation":"(Akhtar et al., 2013; Gupta et al., 2012; “Isolation and Characterization of Rhodococcus Qingshengii, a Cellulolytic Bacteria from Cnaphalocrocis Medinalis (Lepidoptera: Crambidae) Gut,” 2021; M. S. Khan et al., 2007; Markowiak &amp; Ślizewska, 2018)","manualFormatting":"(Akhtar et al., 2013; Gupta et al., 2012; Khan et al., 2007; Markowiak &amp; Ślizewska, 2018)","plainTextFormattedCitation":"(Akhtar et al., 2013; Gupta et al., 2012; “Isolation and Characterization of Rhodococcus Qingshengii, a Cellulolytic Bacteria from Cnaphalocrocis Medinalis (Lepidoptera: Crambidae) Gut,” 2021; M. S. Khan et al., 2007; Markowiak &amp; Ślizewska, 2018)","previouslyFormattedCitation":"(Akhtar et al., 2013; Gupta et al., 2012; “Isolation and Characterization of Rhodococcus Qingshengii, a Cellulolytic Bacteria from Cnaphalocrocis Medinalis (Lepidoptera: Crambidae) Gut,” 2021; M. S. Khan et al., 2007; Markowiak &amp; Ślizewska, 2018)"},"properties":{"noteIndex":0},"schema":"https://github.com/citation-style-language/schema/raw/master/csl-citation.json"}</w:instrText>
      </w:r>
      <w:r w:rsidR="007963B2" w:rsidRPr="007A3962">
        <w:rPr>
          <w:rFonts w:ascii="Arial" w:hAnsi="Arial" w:cs="Arial"/>
          <w:sz w:val="20"/>
          <w:szCs w:val="20"/>
        </w:rPr>
        <w:fldChar w:fldCharType="separate"/>
      </w:r>
      <w:r w:rsidR="007963B2" w:rsidRPr="007A3962">
        <w:rPr>
          <w:rFonts w:ascii="Arial" w:hAnsi="Arial" w:cs="Arial"/>
          <w:noProof/>
          <w:sz w:val="20"/>
          <w:szCs w:val="20"/>
        </w:rPr>
        <w:t>(Akhtar et al., 2013; Gupta et al., 2012; Khan et al., 2007; Markowiak &amp; Ślizewska, 2018)</w:t>
      </w:r>
      <w:r w:rsidR="007963B2" w:rsidRPr="007A3962">
        <w:rPr>
          <w:rFonts w:ascii="Arial" w:hAnsi="Arial" w:cs="Arial"/>
          <w:sz w:val="20"/>
          <w:szCs w:val="20"/>
        </w:rPr>
        <w:fldChar w:fldCharType="end"/>
      </w:r>
      <w:r w:rsidR="00EF13D3" w:rsidRPr="007A3962">
        <w:rPr>
          <w:rFonts w:ascii="Arial" w:hAnsi="Arial" w:cs="Arial"/>
          <w:sz w:val="20"/>
          <w:szCs w:val="20"/>
        </w:rPr>
        <w:t>.</w:t>
      </w:r>
    </w:p>
    <w:p w14:paraId="69EBEA5B" w14:textId="77777777" w:rsidR="003C44D0" w:rsidRPr="007A3962" w:rsidRDefault="0071289E" w:rsidP="005B6FFA">
      <w:pPr>
        <w:spacing w:line="480" w:lineRule="auto"/>
        <w:rPr>
          <w:rFonts w:ascii="Arial" w:hAnsi="Arial" w:cs="Arial"/>
          <w:color w:val="FF0000"/>
          <w:sz w:val="20"/>
          <w:szCs w:val="20"/>
        </w:rPr>
      </w:pPr>
      <w:r w:rsidRPr="007A3962">
        <w:rPr>
          <w:rFonts w:ascii="Arial" w:hAnsi="Arial" w:cs="Arial"/>
          <w:sz w:val="20"/>
          <w:szCs w:val="20"/>
        </w:rPr>
        <w:t>Isolates candidacy as</w:t>
      </w:r>
      <w:r w:rsidR="003C44D0" w:rsidRPr="007A3962">
        <w:rPr>
          <w:rFonts w:ascii="Arial" w:hAnsi="Arial" w:cs="Arial"/>
          <w:sz w:val="20"/>
          <w:szCs w:val="20"/>
        </w:rPr>
        <w:t xml:space="preserve"> </w:t>
      </w:r>
      <w:r w:rsidRPr="007A3962">
        <w:rPr>
          <w:rFonts w:ascii="Arial" w:hAnsi="Arial" w:cs="Arial"/>
          <w:sz w:val="20"/>
          <w:szCs w:val="20"/>
        </w:rPr>
        <w:t>PSM</w:t>
      </w:r>
      <w:r w:rsidR="003C44D0" w:rsidRPr="007A3962">
        <w:rPr>
          <w:rFonts w:ascii="Arial" w:hAnsi="Arial" w:cs="Arial"/>
          <w:sz w:val="20"/>
          <w:szCs w:val="20"/>
        </w:rPr>
        <w:t xml:space="preserve"> </w:t>
      </w:r>
      <w:r w:rsidRPr="007A3962">
        <w:rPr>
          <w:rFonts w:ascii="Arial" w:hAnsi="Arial" w:cs="Arial"/>
          <w:sz w:val="20"/>
          <w:szCs w:val="20"/>
        </w:rPr>
        <w:t>is in</w:t>
      </w:r>
      <w:r w:rsidR="003C44D0" w:rsidRPr="007A3962">
        <w:rPr>
          <w:rFonts w:ascii="Arial" w:hAnsi="Arial" w:cs="Arial"/>
          <w:sz w:val="20"/>
          <w:szCs w:val="20"/>
        </w:rPr>
        <w:t xml:space="preserve"> agreement with other studies</w:t>
      </w:r>
      <w:r w:rsidR="00CB5112" w:rsidRPr="007A3962">
        <w:rPr>
          <w:rFonts w:ascii="Arial" w:hAnsi="Arial" w:cs="Arial"/>
          <w:sz w:val="20"/>
          <w:szCs w:val="20"/>
        </w:rPr>
        <w:t xml:space="preserve"> which found that same species were involved P solubilisation </w:t>
      </w:r>
      <w:r w:rsidR="007963B2" w:rsidRPr="007A3962">
        <w:rPr>
          <w:rFonts w:ascii="Arial" w:hAnsi="Arial" w:cs="Arial"/>
          <w:sz w:val="20"/>
          <w:szCs w:val="20"/>
        </w:rPr>
        <w:fldChar w:fldCharType="begin" w:fldLock="1"/>
      </w:r>
      <w:r w:rsidR="005C020D" w:rsidRPr="007A3962">
        <w:rPr>
          <w:rFonts w:ascii="Arial" w:hAnsi="Arial" w:cs="Arial"/>
          <w:sz w:val="20"/>
          <w:szCs w:val="20"/>
        </w:rPr>
        <w:instrText>ADDIN CSL_CITATION {"citationItems":[{"id":"ITEM-1","itemData":{"DOI":"10.1016/B978-0-12-817497-5.00011-2","ISBN":"9780128174975","abstract":"Phosphorus is known as the master key element among all the elements required for plant growth. The diverse soil phosphorus forms can be categorized as soluble orthophosphates, insoluble inorganic and insoluble organic phosphates. Large reactivity of orthophosphate ions with numerous soil constituents convert it into insoluble inorganic and insoluble organic forms. Therefore, it is the least mobile element in most soil and is unavailable for plant uptake. However, numerous microorganisms can enhance plant phosphorus nutrition by solubilizing insoluble phosphates. Phosphate solubilizing microorganisms have diverse mechanisms that aid in the solubilization of fixed or unavailable phosphorus. Different mechanisms of inorganic phosphate solubilization are acidification due to the production of organic acids, inorganic acids, and H+ excretion, exopolysaccharide production, and siderophore production. Phosphatase, phytase, and C-P lyase enzymes aid in the solubilization of organic phosphate. Potential phosphate solubilizing microorganisms have been formulated as biofertilizer and extensively applied in fields for the promotion of plant growth. Interestingly, the property of phosphate solubilization has also found tremendous application in the field of phytoremediation. This chapter presents an overview of phosphate solubilizing microorganisms, different mechanisms used by microorganisms to solubilize insoluble phosphate, and finally applications of phosphate solubilizing microorganisms.","author":[{"dropping-particle":"","family":"Prabhu","given":"Neha","non-dropping-particle":"","parse-names":false,"suffix":""},{"dropping-particle":"","family":"Borkar","given":"Sunita","non-dropping-particle":"","parse-names":false,"suffix":""},{"dropping-particle":"","family":"Garg","given":"Sandeep","non-dropping-particle":"","parse-names":false,"suffix":""}],"container-title":"Advances in Biological Science Research: A Practical Approach","id":"ITEM-1","issued":{"date-parts":[["2019"]]},"title":"Phosphate solubilization by microorganisms: Overview, mechanisms, applications and advances","type":"chapter"},"uris":["http://www.mendeley.com/documents/?uuid=72a6a22a-7867-3f8c-a4c0-8558e5da561a"]}],"mendeley":{"formattedCitation":"(Prabhu et al., 2019)","plainTextFormattedCitation":"(Prabhu et al., 2019)","previouslyFormattedCitation":"(Prabhu et al., 2019)"},"properties":{"noteIndex":0},"schema":"https://github.com/citation-style-language/schema/raw/master/csl-citation.json"}</w:instrText>
      </w:r>
      <w:r w:rsidR="007963B2" w:rsidRPr="007A3962">
        <w:rPr>
          <w:rFonts w:ascii="Arial" w:hAnsi="Arial" w:cs="Arial"/>
          <w:sz w:val="20"/>
          <w:szCs w:val="20"/>
        </w:rPr>
        <w:fldChar w:fldCharType="separate"/>
      </w:r>
      <w:r w:rsidR="007963B2" w:rsidRPr="007A3962">
        <w:rPr>
          <w:rFonts w:ascii="Arial" w:hAnsi="Arial" w:cs="Arial"/>
          <w:noProof/>
          <w:sz w:val="20"/>
          <w:szCs w:val="20"/>
        </w:rPr>
        <w:t>(Prabhu et al., 2019)</w:t>
      </w:r>
      <w:r w:rsidR="007963B2" w:rsidRPr="007A3962">
        <w:rPr>
          <w:rFonts w:ascii="Arial" w:hAnsi="Arial" w:cs="Arial"/>
          <w:sz w:val="20"/>
          <w:szCs w:val="20"/>
        </w:rPr>
        <w:fldChar w:fldCharType="end"/>
      </w:r>
      <w:r w:rsidR="003C44D0" w:rsidRPr="007A3962">
        <w:rPr>
          <w:rFonts w:ascii="Arial" w:hAnsi="Arial" w:cs="Arial"/>
          <w:sz w:val="20"/>
          <w:szCs w:val="20"/>
        </w:rPr>
        <w:t xml:space="preserve">. The capability of </w:t>
      </w:r>
      <w:r w:rsidR="00CB5112" w:rsidRPr="007A3962">
        <w:rPr>
          <w:rFonts w:ascii="Arial" w:hAnsi="Arial" w:cs="Arial"/>
          <w:sz w:val="20"/>
          <w:szCs w:val="20"/>
        </w:rPr>
        <w:t xml:space="preserve">being P solubilizer was </w:t>
      </w:r>
      <w:r w:rsidR="003C44D0" w:rsidRPr="007A3962">
        <w:rPr>
          <w:rFonts w:ascii="Arial" w:hAnsi="Arial" w:cs="Arial"/>
          <w:sz w:val="20"/>
          <w:szCs w:val="20"/>
        </w:rPr>
        <w:t xml:space="preserve"> observed </w:t>
      </w:r>
      <w:r w:rsidR="00CB5112" w:rsidRPr="007A3962">
        <w:rPr>
          <w:rFonts w:ascii="Arial" w:hAnsi="Arial" w:cs="Arial"/>
          <w:sz w:val="20"/>
          <w:szCs w:val="20"/>
        </w:rPr>
        <w:t>using</w:t>
      </w:r>
      <w:r w:rsidR="00AB0D3E" w:rsidRPr="007A3962">
        <w:rPr>
          <w:rFonts w:ascii="Arial" w:hAnsi="Arial" w:cs="Arial"/>
          <w:sz w:val="20"/>
          <w:szCs w:val="20"/>
        </w:rPr>
        <w:t xml:space="preserve"> </w:t>
      </w:r>
      <w:r w:rsidR="00E955EB" w:rsidRPr="007A3962">
        <w:rPr>
          <w:rFonts w:ascii="Arial" w:hAnsi="Arial" w:cs="Arial"/>
          <w:sz w:val="20"/>
          <w:szCs w:val="20"/>
        </w:rPr>
        <w:t>diverse methods which are</w:t>
      </w:r>
      <w:r w:rsidR="00CB5112" w:rsidRPr="007A3962">
        <w:rPr>
          <w:rFonts w:ascii="Arial" w:hAnsi="Arial" w:cs="Arial"/>
          <w:sz w:val="20"/>
          <w:szCs w:val="20"/>
        </w:rPr>
        <w:t xml:space="preserve"> </w:t>
      </w:r>
      <w:r w:rsidR="007963B2" w:rsidRPr="007A3962">
        <w:rPr>
          <w:rFonts w:ascii="Arial" w:hAnsi="Arial" w:cs="Arial"/>
          <w:sz w:val="20"/>
          <w:szCs w:val="20"/>
        </w:rPr>
        <w:t>in line</w:t>
      </w:r>
      <w:r w:rsidR="00CB5112" w:rsidRPr="007A3962">
        <w:rPr>
          <w:rFonts w:ascii="Arial" w:hAnsi="Arial" w:cs="Arial"/>
          <w:sz w:val="20"/>
          <w:szCs w:val="20"/>
        </w:rPr>
        <w:t xml:space="preserve"> with the set of standards for commercial implication as</w:t>
      </w:r>
      <w:r w:rsidR="003C44D0" w:rsidRPr="007A3962">
        <w:rPr>
          <w:rFonts w:ascii="Arial" w:hAnsi="Arial" w:cs="Arial"/>
          <w:sz w:val="20"/>
          <w:szCs w:val="20"/>
        </w:rPr>
        <w:t xml:space="preserve"> described by </w:t>
      </w:r>
      <w:r w:rsidR="003C44D0"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{"citationItems":[{"id":"ITEM-1","itemData":{"DOI":"10.1007/s13213-013-0656-3","author":[{"dropping-particle":"","family":"Mendes","given":"Gilberto De Oliveira","non-dropping-particle":"","parse-names":false,"suffix":""},{"dropping-particle":"","family":"Luiz","given":"André","non-dropping-particle":"","parse-names":false,"suffix":""},{"dropping-particle":"De","family":"Freitas","given":"Moreira","non-dropping-particle":"","parse-names":false,"suffix":""}],"id":"ITEM-1","issued":{"date-parts":[["2014"]]},"page":"239-249","title":"Mechanisms of phosphate solubilization by fungal isolates when exposed to different P sources","type":"article-journal"},"uris":["http://www.mendeley.com/documents/?uuid=2712fb1d-9c11-4f19-863d-4ba2b04462de"]}],"mendeley":{"formattedCitation":"(Mendes et al., 2014)","manualFormatting":"Mendes et al. (2014a)","plainTextFormattedCitation":"(Mendes et al., 2014)","previouslyFormattedCitation":"(Mendes et al., 2014)"},"properties":{"noteIndex":0},"schema":"https://github.com/citation-style-language/schema/raw/master/csl-citation.json"}</w:instrText>
      </w:r>
      <w:r w:rsidR="003C44D0" w:rsidRPr="007A3962">
        <w:rPr>
          <w:rFonts w:ascii="Arial" w:hAnsi="Arial" w:cs="Arial"/>
          <w:sz w:val="20"/>
          <w:szCs w:val="20"/>
        </w:rPr>
        <w:fldChar w:fldCharType="separate"/>
      </w:r>
      <w:r w:rsidR="003C44D0" w:rsidRPr="007A3962">
        <w:rPr>
          <w:rFonts w:ascii="Arial" w:hAnsi="Arial" w:cs="Arial"/>
          <w:noProof/>
          <w:sz w:val="20"/>
          <w:szCs w:val="20"/>
        </w:rPr>
        <w:t xml:space="preserve">Mendes </w:t>
      </w:r>
      <w:r w:rsidR="003C44D0" w:rsidRPr="007A3962">
        <w:rPr>
          <w:rFonts w:ascii="Arial" w:hAnsi="Arial" w:cs="Arial"/>
          <w:i/>
          <w:noProof/>
          <w:sz w:val="20"/>
          <w:szCs w:val="20"/>
        </w:rPr>
        <w:t>et al.</w:t>
      </w:r>
      <w:r w:rsidR="003C44D0" w:rsidRPr="007A3962">
        <w:rPr>
          <w:rFonts w:ascii="Arial" w:hAnsi="Arial" w:cs="Arial"/>
          <w:noProof/>
          <w:sz w:val="20"/>
          <w:szCs w:val="20"/>
        </w:rPr>
        <w:t xml:space="preserve"> (2014a)</w:t>
      </w:r>
      <w:r w:rsidR="003C44D0" w:rsidRPr="007A3962">
        <w:rPr>
          <w:rFonts w:ascii="Arial" w:hAnsi="Arial" w:cs="Arial"/>
          <w:sz w:val="20"/>
          <w:szCs w:val="20"/>
        </w:rPr>
        <w:fldChar w:fldCharType="end"/>
      </w:r>
      <w:r w:rsidR="003C44D0" w:rsidRPr="007A3962">
        <w:rPr>
          <w:rFonts w:ascii="Arial" w:hAnsi="Arial" w:cs="Arial"/>
          <w:sz w:val="20"/>
          <w:szCs w:val="20"/>
        </w:rPr>
        <w:t xml:space="preserve">. The observation was also made in-vitro experiment using soil and rock phosphate through increase in available P as shown in </w:t>
      </w:r>
      <w:r w:rsidR="003C44D0" w:rsidRPr="007A3962">
        <w:rPr>
          <w:rFonts w:ascii="Arial" w:hAnsi="Arial" w:cs="Arial"/>
          <w:color w:val="000000" w:themeColor="text1"/>
          <w:sz w:val="20"/>
          <w:szCs w:val="20"/>
        </w:rPr>
        <w:t>figure 4</w:t>
      </w:r>
      <w:r w:rsidR="00CB5112" w:rsidRPr="007A3962">
        <w:rPr>
          <w:rFonts w:ascii="Arial" w:hAnsi="Arial" w:cs="Arial"/>
          <w:color w:val="000000" w:themeColor="text1"/>
          <w:sz w:val="20"/>
          <w:szCs w:val="20"/>
        </w:rPr>
        <w:t xml:space="preserve"> and 5</w:t>
      </w:r>
      <w:r w:rsidR="003C44D0" w:rsidRPr="007A3962">
        <w:rPr>
          <w:rFonts w:ascii="Arial" w:hAnsi="Arial" w:cs="Arial"/>
          <w:sz w:val="20"/>
          <w:szCs w:val="20"/>
        </w:rPr>
        <w:t>. In the present study</w:t>
      </w:r>
      <w:r w:rsidR="00CB5112" w:rsidRPr="007A3962">
        <w:rPr>
          <w:rFonts w:ascii="Arial" w:hAnsi="Arial" w:cs="Arial"/>
          <w:sz w:val="20"/>
          <w:szCs w:val="20"/>
        </w:rPr>
        <w:t xml:space="preserve">, periodical evaluation of P using soil and rock phosphate </w:t>
      </w:r>
      <w:r w:rsidR="003C44D0" w:rsidRPr="007A3962">
        <w:rPr>
          <w:rFonts w:ascii="Arial" w:hAnsi="Arial" w:cs="Arial"/>
          <w:sz w:val="20"/>
          <w:szCs w:val="20"/>
        </w:rPr>
        <w:t>revealed the potential</w:t>
      </w:r>
      <w:r w:rsidR="00AB0D3E" w:rsidRPr="007A3962">
        <w:rPr>
          <w:rFonts w:ascii="Arial" w:hAnsi="Arial" w:cs="Arial"/>
          <w:sz w:val="20"/>
          <w:szCs w:val="20"/>
        </w:rPr>
        <w:t>ity</w:t>
      </w:r>
      <w:r w:rsidR="003C44D0" w:rsidRPr="007A3962">
        <w:rPr>
          <w:rFonts w:ascii="Arial" w:hAnsi="Arial" w:cs="Arial"/>
          <w:sz w:val="20"/>
          <w:szCs w:val="20"/>
        </w:rPr>
        <w:t xml:space="preserve"> of the isolates in releasing P f</w:t>
      </w:r>
      <w:r w:rsidR="00AB0D3E" w:rsidRPr="007A3962">
        <w:rPr>
          <w:rFonts w:ascii="Arial" w:hAnsi="Arial" w:cs="Arial"/>
          <w:sz w:val="20"/>
          <w:szCs w:val="20"/>
        </w:rPr>
        <w:t>rom insoluble phosphate sources</w:t>
      </w:r>
      <w:r w:rsidR="003C44D0" w:rsidRPr="007A3962">
        <w:rPr>
          <w:rFonts w:ascii="Arial" w:hAnsi="Arial" w:cs="Arial"/>
          <w:sz w:val="20"/>
          <w:szCs w:val="20"/>
        </w:rPr>
        <w:t>.</w:t>
      </w:r>
    </w:p>
    <w:p w14:paraId="1A8A8E30" w14:textId="77777777" w:rsidR="00AB0D3E" w:rsidRPr="007A3962" w:rsidRDefault="003C44D0" w:rsidP="005B6FFA">
      <w:pPr>
        <w:spacing w:line="480" w:lineRule="auto"/>
        <w:rPr>
          <w:rFonts w:ascii="Arial" w:hAnsi="Arial" w:cs="Arial"/>
          <w:sz w:val="20"/>
          <w:szCs w:val="20"/>
        </w:rPr>
      </w:pPr>
      <w:r w:rsidRPr="007A3962">
        <w:rPr>
          <w:rFonts w:ascii="Arial" w:hAnsi="Arial" w:cs="Arial"/>
          <w:sz w:val="20"/>
          <w:szCs w:val="20"/>
        </w:rPr>
        <w:t xml:space="preserve">There was </w:t>
      </w:r>
      <w:r w:rsidR="00AB0D3E" w:rsidRPr="007A3962">
        <w:rPr>
          <w:rFonts w:ascii="Arial" w:hAnsi="Arial" w:cs="Arial"/>
          <w:sz w:val="20"/>
          <w:szCs w:val="20"/>
        </w:rPr>
        <w:t>a high</w:t>
      </w:r>
      <w:r w:rsidRPr="007A3962">
        <w:rPr>
          <w:rFonts w:ascii="Arial" w:hAnsi="Arial" w:cs="Arial"/>
          <w:sz w:val="20"/>
          <w:szCs w:val="20"/>
        </w:rPr>
        <w:t xml:space="preserve"> </w:t>
      </w:r>
      <w:r w:rsidR="00AB0D3E" w:rsidRPr="007A3962">
        <w:rPr>
          <w:rFonts w:ascii="Arial" w:hAnsi="Arial" w:cs="Arial"/>
          <w:sz w:val="20"/>
          <w:szCs w:val="20"/>
        </w:rPr>
        <w:t>solubilisation efficiency in concoction of</w:t>
      </w:r>
      <w:r w:rsidRPr="007A3962">
        <w:rPr>
          <w:rFonts w:ascii="Arial" w:hAnsi="Arial" w:cs="Arial"/>
          <w:sz w:val="20"/>
          <w:szCs w:val="20"/>
        </w:rPr>
        <w:t xml:space="preserve"> isolated strains in Pikovskaya’s broth, soil and RP  </w:t>
      </w:r>
      <w:r w:rsidR="00AB0D3E" w:rsidRPr="007A3962">
        <w:rPr>
          <w:rFonts w:ascii="Arial" w:hAnsi="Arial" w:cs="Arial"/>
          <w:sz w:val="20"/>
          <w:szCs w:val="20"/>
        </w:rPr>
        <w:t xml:space="preserve">compared to individual strain </w:t>
      </w:r>
      <w:r w:rsidRPr="007A3962">
        <w:rPr>
          <w:rFonts w:ascii="Arial" w:hAnsi="Arial" w:cs="Arial"/>
          <w:sz w:val="20"/>
          <w:szCs w:val="20"/>
        </w:rPr>
        <w:t xml:space="preserve">indicating that solubilisation is dependent on strain </w:t>
      </w:r>
      <w:r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{"citationItems":[{"id":"ITEM-1","itemData":{"author":[{"dropping-particle":"","family":"Sahoo","given":"Hruda Ranjan","non-dropping-particle":"","parse-names":false,"suffix":""},{"dropping-particle":"","family":"Gupta","given":"Nibha","non-dropping-particle":"","parse-names":false,"suffix":""}],"id":"ITEM-1","issue":"April","issued":{"date-parts":[["2016"]]},"page":"243-248","title":"Variation in rock phosphate solubilization by three isolates of Aspergillus niger van Tieghem grown in liquid media supplemented with different carbon and nitrogen sources","type":"article-journal","volume":"3"},"uris":["http://www.mendeley.com/documents/?uuid=bc56e0f8-ea11-444d-9ffb-748ea3732116"]},{"id":"ITEM-2","itemData":{"author":[{"dropping-particle":"","family":"Menon","given":"Sangeetha","non-dropping-particle":"","parse-names":false,"suffix":""},{"dropping-particle":"","family":"Mohan","given":"V","non-dropping-particle":"","parse-names":false,"suffix":""}],"id":"ITEM-2","issued":{"date-parts":[["2007"]]},"page":"98-105","title":"Isolation of Potential Phosphate Solubilizing Bacteria from the Rhizosphere of Fast Growing Native Tree Species","type":"article-journal"},"uris":["http://www.mendeley.com/documents/?uuid=921e6d57-dce8-4c4a-ba05-0169335ee84c"]},{"id":"ITEM-3","itemData":{"DOI":"10.4172/2471-2728.1000156","author":[{"dropping-particle":"","family":"Sane","given":"S A","non-dropping-particle":"","parse-names":false,"suffix":""},{"dropping-particle":"","family":"Mehta","given":"S K","non-dropping-particle":"","parse-names":false,"suffix":""}],"id":"ITEM-3","issue":"2","issued":{"date-parts":[["2015"]]},"title":"Journal of Fertilizers &amp; Pesticides Isolation and Evaluation of Rock Phosphate Solubilizing Fungi as Potential Bio- fertilizer","type":"article-journal","volume":"6"},"uris":["http://www.mendeley.com/documents/?uuid=03e794d0-fff3-48a0-9ba5-f7d4e38010a6"]}],"mendeley":{"formattedCitation":"(Menon &amp; Mohan, 2007; Sahoo &amp; Gupta, 2016; Sane &amp; Mehta, 2015)","manualFormatting":"(Sahoo and Gupta, 2016; Sane and Mehta, 2015; Menon and Mohan, 2007)","plainTextFormattedCitation":"(Menon &amp; Mohan, 2007; Sahoo &amp; Gupta, 2016; Sane &amp; Mehta, 2015)","previouslyFormattedCitation":"(Menon &amp; Mohan, 2007; Sahoo &amp; Gupta, 2016; Sane &amp; Mehta, 2015)"},"properties":{"noteIndex":0},"schema":"https://github.com/citation-style-language/schema/raw/master/csl-citation.json"}</w:instrText>
      </w:r>
      <w:r w:rsidRPr="007A3962">
        <w:rPr>
          <w:rFonts w:ascii="Arial" w:hAnsi="Arial" w:cs="Arial"/>
          <w:sz w:val="20"/>
          <w:szCs w:val="20"/>
        </w:rPr>
        <w:fldChar w:fldCharType="separate"/>
      </w:r>
      <w:r w:rsidRPr="007A3962">
        <w:rPr>
          <w:rFonts w:ascii="Arial" w:hAnsi="Arial" w:cs="Arial"/>
          <w:noProof/>
          <w:sz w:val="20"/>
          <w:szCs w:val="20"/>
        </w:rPr>
        <w:t>(Sahoo and Gupta, 2016; Sane and Mehta, 2015; Menon and Mohan, 2007)</w:t>
      </w:r>
      <w:r w:rsidRPr="007A3962">
        <w:rPr>
          <w:rFonts w:ascii="Arial" w:hAnsi="Arial" w:cs="Arial"/>
          <w:sz w:val="20"/>
          <w:szCs w:val="20"/>
        </w:rPr>
        <w:fldChar w:fldCharType="end"/>
      </w:r>
      <w:r w:rsidRPr="007A3962">
        <w:rPr>
          <w:rFonts w:ascii="Arial" w:hAnsi="Arial" w:cs="Arial"/>
          <w:sz w:val="20"/>
          <w:szCs w:val="20"/>
        </w:rPr>
        <w:t>.</w:t>
      </w:r>
    </w:p>
    <w:p w14:paraId="507D74D8" w14:textId="77777777" w:rsidR="003C44D0" w:rsidRPr="007A3962" w:rsidRDefault="00AB0D3E" w:rsidP="005B6FFA">
      <w:pPr>
        <w:spacing w:line="480" w:lineRule="auto"/>
        <w:rPr>
          <w:rFonts w:ascii="Arial" w:hAnsi="Arial" w:cs="Arial"/>
          <w:b/>
          <w:sz w:val="20"/>
          <w:szCs w:val="20"/>
        </w:rPr>
      </w:pPr>
      <w:r w:rsidRPr="007A3962">
        <w:rPr>
          <w:rFonts w:ascii="Arial" w:hAnsi="Arial" w:cs="Arial"/>
          <w:color w:val="000000" w:themeColor="text1"/>
          <w:sz w:val="20"/>
          <w:szCs w:val="20"/>
        </w:rPr>
        <w:t>Several</w:t>
      </w:r>
      <w:r w:rsidR="003C44D0" w:rsidRPr="007A3962">
        <w:rPr>
          <w:rFonts w:ascii="Arial" w:hAnsi="Arial" w:cs="Arial"/>
          <w:color w:val="000000" w:themeColor="text1"/>
          <w:sz w:val="20"/>
          <w:szCs w:val="20"/>
        </w:rPr>
        <w:t xml:space="preserve"> studies have </w:t>
      </w:r>
      <w:r w:rsidRPr="007A3962">
        <w:rPr>
          <w:rFonts w:ascii="Arial" w:hAnsi="Arial" w:cs="Arial"/>
          <w:color w:val="000000" w:themeColor="text1"/>
          <w:sz w:val="20"/>
          <w:szCs w:val="20"/>
        </w:rPr>
        <w:t>found</w:t>
      </w:r>
      <w:r w:rsidR="003C44D0" w:rsidRPr="007A3962">
        <w:rPr>
          <w:rFonts w:ascii="Arial" w:hAnsi="Arial" w:cs="Arial"/>
          <w:color w:val="000000" w:themeColor="text1"/>
          <w:sz w:val="20"/>
          <w:szCs w:val="20"/>
        </w:rPr>
        <w:t xml:space="preserve"> </w:t>
      </w:r>
      <w:r w:rsidR="003C44D0" w:rsidRPr="007A3962">
        <w:rPr>
          <w:rFonts w:ascii="Arial" w:hAnsi="Arial" w:cs="Arial"/>
          <w:sz w:val="20"/>
          <w:szCs w:val="20"/>
        </w:rPr>
        <w:t xml:space="preserve">different solubilisation efficiency at different incubation period </w:t>
      </w:r>
      <w:r w:rsidRPr="007A3962">
        <w:rPr>
          <w:rFonts w:ascii="Arial" w:hAnsi="Arial" w:cs="Arial"/>
          <w:sz w:val="20"/>
          <w:szCs w:val="20"/>
        </w:rPr>
        <w:t>due to</w:t>
      </w:r>
      <w:r w:rsidR="003C44D0" w:rsidRPr="007A3962">
        <w:rPr>
          <w:rFonts w:ascii="Arial" w:hAnsi="Arial" w:cs="Arial"/>
          <w:sz w:val="20"/>
          <w:szCs w:val="20"/>
        </w:rPr>
        <w:t xml:space="preserve"> biotic and abiotic factors that impacted the evolution of strains </w:t>
      </w:r>
      <w:r w:rsidR="003C44D0"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author":[{"dropping-particle":"","family":"Nosrati","given":"Rahim","non-dropping-particle":"","parse-names":false,"suffix":""},{"dropping-particle":"","family":"Owlia","given":"Parviz","non-dropping-particle":"","parse-names":false,"suffix":""},{"dropping-particle":"","family":"Saderi","given":"Horieh","non-dropping-particle":"","parse-names":false,"suffix":""},{"dropping-particle":"","family":"Rasooli","given":"Iraj","non-dropping-particle":"","parse-names":false,"suffix":""},{"dropping-particle":"","family":"Malboobi","given":"Mohammad Ali","non-dropping-particle":"","parse-names":false,"suffix":""}],"id":"ITEM-1","issue":"4","issued":{"date-parts":[["2014"]]},"page":"285-295","title":"Phosphate solubilization characteristics of efficient nitrogen fixing soil Azotobacter strains","type":"article-journal","volume":"6"},"uris":["http://www.mendeley.com/documents/?uuid=b9cc1a05-25a8-4bc7-80f4-776b93c39567"]}],"mendeley":{"formattedCitation":"(Nosrati et al., 2014)","plainTextFormattedCitation":"(Nosrati et al., 2014)","previouslyFormattedCitation":"(Nosrati et al., 2014)"},"properties":{"noteIndex":0},"schema":"https://github.com/citation-style-language/schema/raw/master/csl-citation.json"}</w:instrText>
      </w:r>
      <w:r w:rsidR="003C44D0" w:rsidRPr="007A3962">
        <w:rPr>
          <w:rFonts w:ascii="Arial" w:hAnsi="Arial" w:cs="Arial"/>
          <w:sz w:val="20"/>
          <w:szCs w:val="20"/>
        </w:rPr>
        <w:fldChar w:fldCharType="separate"/>
      </w:r>
      <w:r w:rsidR="003C44D0" w:rsidRPr="007A3962">
        <w:rPr>
          <w:rFonts w:ascii="Arial" w:hAnsi="Arial" w:cs="Arial"/>
          <w:noProof/>
          <w:sz w:val="20"/>
          <w:szCs w:val="20"/>
        </w:rPr>
        <w:t>(Nosrati et al., 2014)</w:t>
      </w:r>
      <w:r w:rsidR="003C44D0" w:rsidRPr="007A3962">
        <w:rPr>
          <w:rFonts w:ascii="Arial" w:hAnsi="Arial" w:cs="Arial"/>
          <w:sz w:val="20"/>
          <w:szCs w:val="20"/>
        </w:rPr>
        <w:fldChar w:fldCharType="end"/>
      </w:r>
      <w:r w:rsidR="003C44D0" w:rsidRPr="007A3962">
        <w:rPr>
          <w:rFonts w:ascii="Arial" w:hAnsi="Arial" w:cs="Arial"/>
          <w:sz w:val="20"/>
          <w:szCs w:val="20"/>
        </w:rPr>
        <w:t xml:space="preserve">. Strains performed </w:t>
      </w:r>
      <w:r w:rsidR="003C44D0" w:rsidRPr="007A3962">
        <w:rPr>
          <w:rFonts w:ascii="Arial" w:hAnsi="Arial" w:cs="Arial"/>
          <w:sz w:val="20"/>
          <w:szCs w:val="20"/>
        </w:rPr>
        <w:lastRenderedPageBreak/>
        <w:t>differently on different media regardle</w:t>
      </w:r>
      <w:r w:rsidR="00CD0663" w:rsidRPr="007A3962">
        <w:rPr>
          <w:rFonts w:ascii="Arial" w:hAnsi="Arial" w:cs="Arial"/>
          <w:sz w:val="20"/>
          <w:szCs w:val="20"/>
        </w:rPr>
        <w:t xml:space="preserve">ss of their </w:t>
      </w:r>
      <w:r w:rsidR="003C44D0" w:rsidRPr="007A3962">
        <w:rPr>
          <w:rFonts w:ascii="Arial" w:hAnsi="Arial" w:cs="Arial"/>
          <w:sz w:val="20"/>
          <w:szCs w:val="20"/>
        </w:rPr>
        <w:t xml:space="preserve">SI. This indicates that standard method for measuring solubilisation cannot be a sole test for P solubilisation. The study showed that P solubilisation efficiency and rate  is based on strain and </w:t>
      </w:r>
      <w:r w:rsidR="00CD0663" w:rsidRPr="007A3962">
        <w:rPr>
          <w:rFonts w:ascii="Arial" w:hAnsi="Arial" w:cs="Arial"/>
          <w:sz w:val="20"/>
          <w:szCs w:val="20"/>
        </w:rPr>
        <w:t>this is in line with other</w:t>
      </w:r>
      <w:r w:rsidR="003C44D0" w:rsidRPr="007A3962">
        <w:rPr>
          <w:rFonts w:ascii="Arial" w:hAnsi="Arial" w:cs="Arial"/>
          <w:sz w:val="20"/>
          <w:szCs w:val="20"/>
        </w:rPr>
        <w:t xml:space="preserve"> studies </w:t>
      </w:r>
      <w:r w:rsidR="003C44D0"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{"citationItems":[{"id":"ITEM-1","itemData":{"author":[{"dropping-particle":"","family":"Sahoo","given":"Hruda Ranjan","non-dropping-particle":"","parse-names":false,"suffix":""},{"dropping-particle":"","family":"Gupta","given":"Nibha","non-dropping-particle":"","parse-names":false,"suffix":""}],"id":"ITEM-1","issue":"April","issued":{"date-parts":[["2016"]]},"page":"243-248","title":"Variation in rock phosphate solubilization by three isolates of Aspergillus niger van Tieghem grown in liquid media supplemented with different carbon and nitrogen sources","type":"article-journal","volume":"3"},"uris":["http://www.mendeley.com/documents/?uuid=bc56e0f8-ea11-444d-9ffb-748ea3732116"]}],"mendeley":{"formattedCitation":"(Sahoo &amp; Gupta, 2016)","plainTextFormattedCitation":"(Sahoo &amp; Gupta, 2016)","previouslyFormattedCitation":"(Sahoo &amp; Gupta, 2016)"},"properties":{"noteIndex":0},"schema":"https://github.com/citation-style-language/schema/raw/master/csl-citation.json"}</w:instrText>
      </w:r>
      <w:r w:rsidR="003C44D0" w:rsidRPr="007A3962">
        <w:rPr>
          <w:rFonts w:ascii="Arial" w:hAnsi="Arial" w:cs="Arial"/>
          <w:sz w:val="20"/>
          <w:szCs w:val="20"/>
        </w:rPr>
        <w:fldChar w:fldCharType="separate"/>
      </w:r>
      <w:r w:rsidR="007949F2" w:rsidRPr="007A3962">
        <w:rPr>
          <w:rFonts w:ascii="Arial" w:hAnsi="Arial" w:cs="Arial"/>
          <w:noProof/>
          <w:sz w:val="20"/>
          <w:szCs w:val="20"/>
        </w:rPr>
        <w:t>(Sahoo &amp; Gupta, 2016)</w:t>
      </w:r>
      <w:r w:rsidR="003C44D0" w:rsidRPr="007A3962">
        <w:rPr>
          <w:rFonts w:ascii="Arial" w:hAnsi="Arial" w:cs="Arial"/>
          <w:sz w:val="20"/>
          <w:szCs w:val="20"/>
        </w:rPr>
        <w:fldChar w:fldCharType="end"/>
      </w:r>
      <w:r w:rsidR="003C44D0" w:rsidRPr="007A3962">
        <w:rPr>
          <w:rFonts w:ascii="Arial" w:hAnsi="Arial" w:cs="Arial"/>
          <w:sz w:val="20"/>
          <w:szCs w:val="20"/>
        </w:rPr>
        <w:t xml:space="preserve"> while </w:t>
      </w:r>
      <w:r w:rsidR="00CD0663" w:rsidRPr="007A3962">
        <w:rPr>
          <w:rFonts w:ascii="Arial" w:hAnsi="Arial" w:cs="Arial"/>
          <w:sz w:val="20"/>
          <w:szCs w:val="20"/>
        </w:rPr>
        <w:t xml:space="preserve">it </w:t>
      </w:r>
      <w:r w:rsidR="003C44D0" w:rsidRPr="007A3962">
        <w:rPr>
          <w:rFonts w:ascii="Arial" w:hAnsi="Arial" w:cs="Arial"/>
          <w:sz w:val="20"/>
          <w:szCs w:val="20"/>
        </w:rPr>
        <w:t xml:space="preserve">contrast </w:t>
      </w:r>
      <w:r w:rsidR="00CD0663" w:rsidRPr="007A3962">
        <w:rPr>
          <w:rFonts w:ascii="Arial" w:hAnsi="Arial" w:cs="Arial"/>
          <w:sz w:val="20"/>
          <w:szCs w:val="20"/>
        </w:rPr>
        <w:t xml:space="preserve">with the </w:t>
      </w:r>
      <w:r w:rsidR="003C44D0" w:rsidRPr="007A3962">
        <w:rPr>
          <w:rFonts w:ascii="Arial" w:hAnsi="Arial" w:cs="Arial"/>
          <w:sz w:val="20"/>
          <w:szCs w:val="20"/>
        </w:rPr>
        <w:t xml:space="preserve">study by </w:t>
      </w:r>
      <w:r w:rsidR="003C44D0" w:rsidRPr="007A3962">
        <w:rPr>
          <w:rFonts w:ascii="Arial" w:hAnsi="Arial" w:cs="Arial"/>
          <w:sz w:val="20"/>
          <w:szCs w:val="20"/>
        </w:rPr>
        <w:fldChar w:fldCharType="begin" w:fldLock="1"/>
      </w:r>
      <w:r w:rsidR="003C44D0" w:rsidRPr="007A3962">
        <w:rPr>
          <w:rFonts w:ascii="Arial" w:hAnsi="Arial" w:cs="Arial"/>
          <w:sz w:val="20"/>
          <w:szCs w:val="20"/>
        </w:rPr>
        <w:instrText>ADDIN CSL_CITATION {"citationItems":[{"id":"ITEM-1","itemData":{"author":[{"dropping-particle":"","family":"Sumatera","given":"North","non-dropping-particle":"","parse-names":false,"suffix":""}],"id":"ITEM-1","issue":"4","issued":{"date-parts":[["2016"]]},"title":"Effect of Microbes Phosphate Solubilizing and Organic Matter to Status the Phosphate on Andisol Impacted by Mount Sinabung","type":"article-journal"},"uris":["http://www.mendeley.com/documents/?uuid=128ddbfa-3fd1-45c3-8d43-73d8898a7de4"]}],"mendeley":{"formattedCitation":"(Sumatera, 2016)","manualFormatting":"Sumatera, 2016","plainTextFormattedCitation":"(Sumatera, 2016)","previouslyFormattedCitation":"(Sumatera, 2016)"},"properties":{"noteIndex":0},"schema":"https://github.com/citation-style-language/schema/raw/master/csl-citation.json"}</w:instrText>
      </w:r>
      <w:r w:rsidR="003C44D0" w:rsidRPr="007A3962">
        <w:rPr>
          <w:rFonts w:ascii="Arial" w:hAnsi="Arial" w:cs="Arial"/>
          <w:sz w:val="20"/>
          <w:szCs w:val="20"/>
        </w:rPr>
        <w:fldChar w:fldCharType="separate"/>
      </w:r>
      <w:r w:rsidR="003C44D0" w:rsidRPr="007A3962">
        <w:rPr>
          <w:rFonts w:ascii="Arial" w:hAnsi="Arial" w:cs="Arial"/>
          <w:noProof/>
          <w:sz w:val="20"/>
          <w:szCs w:val="20"/>
        </w:rPr>
        <w:t>Sumatera, 2016</w:t>
      </w:r>
      <w:r w:rsidR="003C44D0" w:rsidRPr="007A3962">
        <w:rPr>
          <w:rFonts w:ascii="Arial" w:hAnsi="Arial" w:cs="Arial"/>
          <w:sz w:val="20"/>
          <w:szCs w:val="20"/>
        </w:rPr>
        <w:fldChar w:fldCharType="end"/>
      </w:r>
      <w:r w:rsidR="003C44D0" w:rsidRPr="007A3962">
        <w:rPr>
          <w:rFonts w:ascii="Arial" w:hAnsi="Arial" w:cs="Arial"/>
          <w:sz w:val="20"/>
          <w:szCs w:val="20"/>
        </w:rPr>
        <w:t xml:space="preserve"> which </w:t>
      </w:r>
      <w:r w:rsidR="00CD0663" w:rsidRPr="007A3962">
        <w:rPr>
          <w:rFonts w:ascii="Arial" w:hAnsi="Arial" w:cs="Arial"/>
          <w:sz w:val="20"/>
          <w:szCs w:val="20"/>
        </w:rPr>
        <w:t>reported that</w:t>
      </w:r>
      <w:r w:rsidR="003C44D0" w:rsidRPr="007A3962">
        <w:rPr>
          <w:rFonts w:ascii="Arial" w:hAnsi="Arial" w:cs="Arial"/>
          <w:sz w:val="20"/>
          <w:szCs w:val="20"/>
        </w:rPr>
        <w:t xml:space="preserve"> fungus </w:t>
      </w:r>
      <w:r w:rsidR="00CD0663" w:rsidRPr="007A3962">
        <w:rPr>
          <w:rFonts w:ascii="Arial" w:hAnsi="Arial" w:cs="Arial"/>
          <w:sz w:val="20"/>
          <w:szCs w:val="20"/>
        </w:rPr>
        <w:t>have higher solubilisation efficiency</w:t>
      </w:r>
      <w:r w:rsidR="003C44D0" w:rsidRPr="007A3962">
        <w:rPr>
          <w:rFonts w:ascii="Arial" w:hAnsi="Arial" w:cs="Arial"/>
          <w:sz w:val="20"/>
          <w:szCs w:val="20"/>
        </w:rPr>
        <w:t>.</w:t>
      </w:r>
    </w:p>
    <w:p w14:paraId="77F85F27" w14:textId="77777777" w:rsidR="003C44D0" w:rsidRPr="007A3962" w:rsidRDefault="003C44D0" w:rsidP="005B6FFA">
      <w:pPr>
        <w:spacing w:line="480" w:lineRule="auto"/>
        <w:rPr>
          <w:rFonts w:ascii="Arial" w:hAnsi="Arial" w:cs="Arial"/>
          <w:sz w:val="20"/>
          <w:szCs w:val="20"/>
        </w:rPr>
      </w:pPr>
      <w:r w:rsidRPr="007A3962">
        <w:rPr>
          <w:rFonts w:ascii="Arial" w:hAnsi="Arial" w:cs="Arial"/>
          <w:sz w:val="20"/>
          <w:szCs w:val="20"/>
        </w:rPr>
        <w:t xml:space="preserve">The PSM exhibited a strong capacity to reduce pH </w:t>
      </w:r>
      <w:r w:rsidR="00E26F27" w:rsidRPr="007A3962">
        <w:rPr>
          <w:rFonts w:ascii="Arial" w:hAnsi="Arial" w:cs="Arial"/>
          <w:sz w:val="20"/>
          <w:szCs w:val="20"/>
        </w:rPr>
        <w:t xml:space="preserve">which indicates that solubilisation is as a result of organic acid production </w:t>
      </w:r>
      <w:r w:rsidR="0099782A" w:rsidRPr="007A3962">
        <w:rPr>
          <w:rFonts w:ascii="Arial" w:hAnsi="Arial" w:cs="Arial"/>
          <w:sz w:val="20"/>
          <w:szCs w:val="20"/>
        </w:rPr>
        <w:t>which in</w:t>
      </w:r>
      <w:r w:rsidR="00E26F27" w:rsidRPr="007A3962">
        <w:rPr>
          <w:rFonts w:ascii="Arial" w:hAnsi="Arial" w:cs="Arial"/>
          <w:sz w:val="20"/>
          <w:szCs w:val="20"/>
        </w:rPr>
        <w:t xml:space="preserve"> tandem with other studies which proved </w:t>
      </w:r>
      <w:r w:rsidRPr="007A3962">
        <w:rPr>
          <w:rFonts w:ascii="Arial" w:hAnsi="Arial" w:cs="Arial"/>
          <w:sz w:val="20"/>
          <w:szCs w:val="20"/>
        </w:rPr>
        <w:t>negative correlation of (r = -0.8; p &lt;0.04) between the available P and  pH values</w:t>
      </w:r>
      <w:r w:rsidR="000E6451" w:rsidRPr="007A3962">
        <w:rPr>
          <w:rFonts w:ascii="Arial" w:hAnsi="Arial" w:cs="Arial"/>
          <w:sz w:val="20"/>
          <w:szCs w:val="20"/>
        </w:rPr>
        <w:t xml:space="preserve"> </w:t>
      </w:r>
      <w:r w:rsidR="007949F2" w:rsidRPr="007A3962">
        <w:rPr>
          <w:rFonts w:ascii="Arial" w:hAnsi="Arial" w:cs="Arial"/>
          <w:sz w:val="20"/>
          <w:szCs w:val="20"/>
        </w:rPr>
        <w:fldChar w:fldCharType="begin" w:fldLock="1"/>
      </w:r>
      <w:r w:rsidR="007963B2" w:rsidRPr="007A3962">
        <w:rPr>
          <w:rFonts w:ascii="Arial" w:hAnsi="Arial" w:cs="Arial"/>
          <w:sz w:val="20"/>
          <w:szCs w:val="20"/>
        </w:rPr>
        <w:instrText xml:space="preserve">ADDIN CSL_CITATION {"citationItems":[{"id":"ITEM-1","itemData":{"DOI":"10.1038/srep25313","ISSN":"20452322","abstract":"Phosphate solubilizing fungi (PSF) have huge potentials in enhancing release of phosphorus from fertilizer. Two PSF (NJDL-03 and NJDL-12) were isolated and identified as Penicillium oxalicum and Aspergillus Niger respectively in this study. The quantification and identification of organic acids were performed by HPLC. Total concentrations of organic acids secreted by NJDL-03 and NJDL-12 are </w:instrText>
      </w:r>
      <w:r w:rsidR="007963B2" w:rsidRPr="007A3962">
        <w:rPr>
          <w:rFonts w:ascii="Cambria Math" w:hAnsi="Cambria Math" w:cs="Cambria Math"/>
          <w:sz w:val="20"/>
          <w:szCs w:val="20"/>
        </w:rPr>
        <w:instrText>∼</w:instrText>
      </w:r>
      <w:r w:rsidR="007963B2" w:rsidRPr="007A3962">
        <w:rPr>
          <w:rFonts w:ascii="Arial" w:hAnsi="Arial" w:cs="Arial"/>
          <w:sz w:val="20"/>
          <w:szCs w:val="20"/>
        </w:rPr>
        <w:instrText xml:space="preserve">4000 and </w:instrText>
      </w:r>
      <w:r w:rsidR="007963B2" w:rsidRPr="007A3962">
        <w:rPr>
          <w:rFonts w:ascii="Cambria Math" w:hAnsi="Cambria Math" w:cs="Cambria Math"/>
          <w:sz w:val="20"/>
          <w:szCs w:val="20"/>
        </w:rPr>
        <w:instrText>∼</w:instrText>
      </w:r>
      <w:r w:rsidR="007963B2" w:rsidRPr="007A3962">
        <w:rPr>
          <w:rFonts w:ascii="Arial" w:hAnsi="Arial" w:cs="Arial"/>
          <w:sz w:val="20"/>
          <w:szCs w:val="20"/>
        </w:rPr>
        <w:instrText>10,000 mg/L with pH values of 3.6 and 2.4 respectively after five-days culture. Oxalic acid dominates acidity in the medium due to its high concentration and high acidity constant. The two fungi were also cultured for five days with the initial pH values of the medium varied from 6.5 to 1.5. The biomass reached the maximum when the initial pH values are 4.5 for NJDL-03 and 2.5 for NJDL-12. The organic acids for NJDL-12 reach the maximum at the initial pH = 5.5. However, the acids by NJDL-03 continue to decrease and proliferation of the fungus terminates at pH = 2.5. The citric acid production increases significantly for NJDL-12 at acidic environment, whereas formic and oxalic acids decrease sharply for both two fungi. This study shows that NJDL-12 has higher ability in acid production and has stronger adaptability to acidic environment than NJDL-03.","author":[{"dropping-particle":"","family":"Li","given":"Zhen","non-dropping-particle":"","parse-names":false,"suffix":""},{"dropping-particle":"","family":"Bai","given":"Tongshuo","non-dropping-particle":"","parse-names":false,"suffix":""},{"dropping-particle":"","family":"Dai","given":"Letian","non-dropping-particle":"","parse-names":false,"suffix":""},{"dropping-particle":"","family":"Wang","given":"Fuwei","non-dropping-particle":"","parse-names":false,"suffix":""},{"dropping-particle":"","family":"Tao","given":"Jinjin","non-dropping-particle":"","parse-names":false,"suffix":""},{"dropping-particle":"","family":"Meng","given":"Shiting","non-dropping-particle":"","parse-names":false,"suffix":""},{"dropping-particle":"","family":"Hu","given":"Yunxiao","non-dropping-particle":"","parse-names":false,"suffix":""},{"dropping-particle":"","family":"Wang","given":"Shimei","non-dropping-particle":"","parse-names":false,"suffix":""},{"dropping-particle":"","family":"Hu","given":"Shuijin","non-dropping-particle":"","parse-names":false,"suffix":""}],"container-title":"Scientific Reports","id":"ITEM-1","issued":{"date-parts":[["2016"]]},"title":"A study of organic acid production in contrasts between two phosphate solubilizing fungi: Penicillium oxalicum and Aspergillus Niger","type":"article-journal","volume":"6"},"uris":["http://www.mendeley.com/documents/?uuid=ba3c41b3-ec1e-3571-ae1a-a1bce9d4e5c9"]},{"id":"ITEM-2","itemData":{"DOI":"10.1016/j.jgeb.2017.01.003","ISSN":"20905920","abstract":"Phosphorus is an essential element for all life forms. Phosphate solubilizing bacteria are capable of converting phosphate into a bioavailable form through solubilization and mineralization processes. Hence in the present study a phosphate solubilizing bacterium, PSB-37, was isolated from mangrove soil of the Mahanadi river delta using NBRIP-agar and NBRIP-BPB broth containing tricalcium phosphate as the phosphate source. Based on phenotypic and molecular characterization, the strain was identified as Serratia sp. The maximum phosphate solubilizing activity of the strain was determined to be 44.84 μg/ml, accompanied by a decrease in pH of the growth medium from 7.0 to 3.15. During phosphate solubilization, various organic acids, such as malic acid (237 mg/l), lactic acid (599.5 mg/l) and acetic acid (5.0 mg/l) were also detected in the broth culture through HPLC analysis. Acid phosphatase activity was determined by performing p-nitrophenyl phosphate assay (pNPP) of the bacterial broth culture. Optimum acid phosphatase activity was observed at 48 h of incubation (76.808 U/ml), temperature of 45 °C (77.87 U/ml), an agitation rate of 100 rpm (80.40 U/ml), pH 5.0 (80.66 U/ml) and with glucose as a original carbon source (80.6 U/ml) and ammonium sulphate as a original nitrogen source (80.92 U/ml). Characterization of the partially purified acid phosphatase showed maximum activity at pH 5.0 (85.6 U/ml), temperature of 45 °C (97.87 U/ml) and substrate concentration of 2.5 mg/ml (92.7 U/ml). Hence the present phosphate solubilizing and acid phosphatase production activity of the bacterium may have probable use for future industrial, agricultural and biotechnological application.","author":[{"dropping-particle":"","family":"Behera","given":"B. C.","non-dropping-particle":"","parse-names":false,"suffix":""},{"dropping-particle":"","family":"Yadav","given":"H.","non-dropping-particle":"","parse-names":false,"suffix":""},{"dropping-particle":"","family":"Singh","given":"S. K.","non-dropping-particle":"","parse-names":false,"suffix":""},{"dropping-particle":"","family":"Mishra","given":"R. R.","non-dropping-particle":"","parse-names":false,"suffix":""},{"dropping-particle":"","family":"Sethi","given":"B. K.","non-dropping-particle":"","parse-names":false,"suffix":""},{"dropping-particle":"","family":"Dutta","given":"S. K.","non-dropping-particle":"","parse-names":false,"suffix":""},{"dropping-particle":"","family":"Thatoi","given":"H. N.","non-dropping-particle":"","parse-names":false,"suffix":""}],"container-title":"Journal of Genetic Engineering and Biotechnology","id":"ITEM-2","issue":"1","issued":{"date-parts":[["2017"]]},"title":"Phosphate solubilization and acid phosphatase activity of Serratia sp. isolated from mangrove soil of Mahanadi river delta, Odisha, India","type":"article-journal","volume":"15"},"uris":["http://www.mendeley.com/documents/?uuid=0a8160c6-9735-3f1c-8d93-ad05c688259a"]},{"id":"ITEM-3","itemData":{"author":[{"dropping-particle":"","family":"Stella","given":"M","non-dropping-particle":"","parse-names":false,"suffix":""},{"dropping-particle":"","family":"Halimi","given":"M S","non-dropping-particle":"","parse-names":false,"suffix":""}],"id":"ITEM-3","issue":"1","issued":{"date-parts":[["2015"]]},"page":"41-53","title":"Gluconic acid production by bacteria to liberate phosphorus from insoluble phosphate complexes","type":"article-journal","volume":"43"},"uris":["http://www.mendeley.com/documents/?uuid=a555f7a1-07a1-48b9-a898-17672c112411"]}],"mendeley":{"formattedCitation":"(Behera et al., 2017; Z. Li et al., 2016; Stella &amp; Halimi, 2015)","plainTextFormattedCitation":"(Behera et al., 2017; Z. Li et al., 2016; Stella &amp; Halimi, 2015)","previouslyFormattedCitation":"(Behera et al., 2017; Z. Li et al., 2016; Stella &amp; Halimi, 2015)"},"properties":{"noteIndex":0},"schema":"https://github.com/citation-style-language/schema/raw/master/csl-citation.json"}</w:instrText>
      </w:r>
      <w:r w:rsidR="007949F2" w:rsidRPr="007A3962">
        <w:rPr>
          <w:rFonts w:ascii="Arial" w:hAnsi="Arial" w:cs="Arial"/>
          <w:sz w:val="20"/>
          <w:szCs w:val="20"/>
        </w:rPr>
        <w:fldChar w:fldCharType="separate"/>
      </w:r>
      <w:r w:rsidR="007949F2" w:rsidRPr="007A3962">
        <w:rPr>
          <w:rFonts w:ascii="Arial" w:hAnsi="Arial" w:cs="Arial"/>
          <w:noProof/>
          <w:sz w:val="20"/>
          <w:szCs w:val="20"/>
        </w:rPr>
        <w:t>(Behera et al., 2017; Z. Li et al., 2016; Stella &amp; Halimi, 2015)</w:t>
      </w:r>
      <w:r w:rsidR="007949F2" w:rsidRPr="007A3962">
        <w:rPr>
          <w:rFonts w:ascii="Arial" w:hAnsi="Arial" w:cs="Arial"/>
          <w:sz w:val="20"/>
          <w:szCs w:val="20"/>
        </w:rPr>
        <w:fldChar w:fldCharType="end"/>
      </w:r>
      <w:r w:rsidRPr="007A3962">
        <w:rPr>
          <w:rFonts w:ascii="Arial" w:hAnsi="Arial" w:cs="Arial"/>
          <w:sz w:val="20"/>
          <w:szCs w:val="20"/>
        </w:rPr>
        <w:t xml:space="preserve">. The production of gluconic acid is the most frequent agent of P solubilisation regardless of other acid  production such as nitric, </w:t>
      </w:r>
      <w:proofErr w:type="spellStart"/>
      <w:r w:rsidRPr="007A3962">
        <w:rPr>
          <w:rFonts w:ascii="Arial" w:hAnsi="Arial" w:cs="Arial"/>
          <w:sz w:val="20"/>
          <w:szCs w:val="20"/>
        </w:rPr>
        <w:t>sulphuric</w:t>
      </w:r>
      <w:proofErr w:type="spellEnd"/>
      <w:r w:rsidRPr="007A3962">
        <w:rPr>
          <w:rFonts w:ascii="Arial" w:hAnsi="Arial" w:cs="Arial"/>
          <w:sz w:val="20"/>
          <w:szCs w:val="20"/>
        </w:rPr>
        <w:t xml:space="preserve">, and carbonic </w:t>
      </w:r>
      <w:r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{"citationItems":[{"id":"ITEM-1","itemData":{"author":[{"dropping-particle":"","family":"Stella","given":"M","non-dropping-particle":"","parse-names":false,"suffix":""},{"dropping-particle":"","family":"Halimi","given":"M S","non-dropping-particle":"","parse-names":false,"suffix":""}],"id":"ITEM-1","issue":"1","issued":{"date-parts":[["2015"]]},"page":"41-53","title":"Gluconic acid production by bacteria to liberate phosphorus from insoluble phosphate complexes","type":"article-journal","volume":"43"},"uris":["http://www.mendeley.com/documents/?uuid=a555f7a1-07a1-48b9-a898-17672c112411"]}],"mendeley":{"formattedCitation":"(Stella &amp; Halimi, 2015)","plainTextFormattedCitation":"(Stella &amp; Halimi, 2015)","previouslyFormattedCitation":"(Stella &amp; Halimi, 2015)"},"properties":{"noteIndex":0},"schema":"https://github.com/citation-style-language/schema/raw/master/csl-citation.json"}</w:instrText>
      </w:r>
      <w:r w:rsidRPr="007A3962">
        <w:rPr>
          <w:rFonts w:ascii="Arial" w:hAnsi="Arial" w:cs="Arial"/>
          <w:sz w:val="20"/>
          <w:szCs w:val="20"/>
        </w:rPr>
        <w:fldChar w:fldCharType="separate"/>
      </w:r>
      <w:r w:rsidR="007949F2" w:rsidRPr="007A3962">
        <w:rPr>
          <w:rFonts w:ascii="Arial" w:hAnsi="Arial" w:cs="Arial"/>
          <w:noProof/>
          <w:sz w:val="20"/>
          <w:szCs w:val="20"/>
        </w:rPr>
        <w:t>(Stella &amp; Halimi, 2015)</w:t>
      </w:r>
      <w:r w:rsidRPr="007A3962">
        <w:rPr>
          <w:rFonts w:ascii="Arial" w:hAnsi="Arial" w:cs="Arial"/>
          <w:sz w:val="20"/>
          <w:szCs w:val="20"/>
        </w:rPr>
        <w:fldChar w:fldCharType="end"/>
      </w:r>
      <w:r w:rsidRPr="007A3962">
        <w:rPr>
          <w:rFonts w:ascii="Arial" w:hAnsi="Arial" w:cs="Arial"/>
          <w:sz w:val="20"/>
          <w:szCs w:val="20"/>
        </w:rPr>
        <w:t xml:space="preserve">. Excretions of metabolites for P solubilisation are influenced by both biotic and abiotic factors </w:t>
      </w:r>
      <w:r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ISBN":"2016144971","author":[{"dropping-particle":"","family":"Liu","given":"Min","non-dropping-particle":"","parse-names":false,"suffix":""},{"dropping-particle":"","family":"Liu","given":"Xu","non-dropping-particle":"","parse-names":false,"suffix":""},{"dropping-particle":"","family":"Cheng","given":"Bao-sen","non-dropping-particle":"","parse-names":false,"suffix":""},{"dropping-particle":"","family":"Ma","given":"Xue-lei","non-dropping-particle":"","parse-names":false,"suffix":""},{"dropping-particle":"","family":"Lyu","given":"Xiao-tong","non-dropping-particle":"","parse-names":false,"suffix":""},{"dropping-particle":"","family":"Zhao","given":"Xian-fang","non-dropping-particle":"","parse-names":false,"suffix":""},{"dropping-particle":"","family":"Ju","given":"Yan-lun","non-dropping-particle":"","parse-names":false,"suffix":""},{"dropping-particle":"","family":"Min","given":"Zhuo","non-dropping-particle":"","parse-names":false,"suffix":""}],"id":"ITEM-1","issue":"4","issued":{"date-parts":[["2016"]]},"title":"Selection and evaluation of phosphate-solubilizing bacteria from grapevine rhizospheres for use as biofertilizers","type":"article-journal","volume":"14"},"uris":["http://www.mendeley.com/documents/?uuid=55c92c8c-98df-46fa-a946-68cae1f501c8"]}],"mendeley":{"formattedCitation":"(Liu et al., 2016)","plainTextFormattedCitation":"(Liu et al., 2016)","previouslyFormattedCitation":"(Liu et al., 2016)"},"properties":{"noteIndex":0},"schema":"https://github.com/citation-style-language/schema/raw/master/csl-citation.json"}</w:instrText>
      </w:r>
      <w:r w:rsidRPr="007A3962">
        <w:rPr>
          <w:rFonts w:ascii="Arial" w:hAnsi="Arial" w:cs="Arial"/>
          <w:sz w:val="20"/>
          <w:szCs w:val="20"/>
        </w:rPr>
        <w:fldChar w:fldCharType="separate"/>
      </w:r>
      <w:r w:rsidRPr="007A3962">
        <w:rPr>
          <w:rFonts w:ascii="Arial" w:hAnsi="Arial" w:cs="Arial"/>
          <w:noProof/>
          <w:sz w:val="20"/>
          <w:szCs w:val="20"/>
        </w:rPr>
        <w:t>(Liu et al., 2016)</w:t>
      </w:r>
      <w:r w:rsidRPr="007A3962">
        <w:rPr>
          <w:rFonts w:ascii="Arial" w:hAnsi="Arial" w:cs="Arial"/>
          <w:sz w:val="20"/>
          <w:szCs w:val="20"/>
        </w:rPr>
        <w:fldChar w:fldCharType="end"/>
      </w:r>
      <w:r w:rsidRPr="007A3962">
        <w:rPr>
          <w:rFonts w:ascii="Arial" w:hAnsi="Arial" w:cs="Arial"/>
          <w:sz w:val="20"/>
          <w:szCs w:val="20"/>
        </w:rPr>
        <w:t>.</w:t>
      </w:r>
    </w:p>
    <w:p w14:paraId="0E674F76" w14:textId="77777777" w:rsidR="003C44D0" w:rsidRPr="007A3962" w:rsidRDefault="003C44D0" w:rsidP="005B6FFA">
      <w:pPr>
        <w:spacing w:line="480" w:lineRule="auto"/>
        <w:rPr>
          <w:rFonts w:ascii="Arial" w:hAnsi="Arial" w:cs="Arial"/>
          <w:sz w:val="20"/>
          <w:szCs w:val="20"/>
        </w:rPr>
      </w:pPr>
      <w:r w:rsidRPr="007A3962">
        <w:rPr>
          <w:rFonts w:ascii="Arial" w:hAnsi="Arial" w:cs="Arial"/>
          <w:sz w:val="20"/>
          <w:szCs w:val="20"/>
        </w:rPr>
        <w:t xml:space="preserve">The use of natural phosphate bearing materials such as RP as fertilizer for P deficient soils has received attention because deposits of cheaper and low grade RP are locally available in many parts of Malawi. RP is chemically processed by costly and environmental hazard process by reacting with </w:t>
      </w:r>
      <w:proofErr w:type="spellStart"/>
      <w:r w:rsidRPr="007A3962">
        <w:rPr>
          <w:rFonts w:ascii="Arial" w:hAnsi="Arial" w:cs="Arial"/>
          <w:sz w:val="20"/>
          <w:szCs w:val="20"/>
        </w:rPr>
        <w:t>sulphuric</w:t>
      </w:r>
      <w:proofErr w:type="spellEnd"/>
      <w:r w:rsidRPr="007A3962">
        <w:rPr>
          <w:rFonts w:ascii="Arial" w:hAnsi="Arial" w:cs="Arial"/>
          <w:sz w:val="20"/>
          <w:szCs w:val="20"/>
        </w:rPr>
        <w:t xml:space="preserve"> acid or phosphoric acid to produce partially acidulated RP. Biofertilisers are cheap and convenient alternative for reclamation of exhausted soil </w:t>
      </w:r>
      <w:r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{"citationItems":[{"id":"ITEM-1","itemData":{"author":[{"dropping-particle":"","family":"Investigación","given":"Artículo D E","non-dropping-particle":"","parse-names":false,"suffix":""},{"dropping-particle":"","family":"Patricia","given":"Ángela","non-dropping-particle":"","parse-names":false,"suffix":""},{"dropping-particle":"","family":"Quevedo","given":"Moreno","non-dropping-particle":"","parse-names":false,"suffix":""},{"dropping-particle":"","family":"Walter","given":"Nelson","non-dropping-particle":"","parse-names":false,"suffix":""},{"dropping-particle":"","family":"Vega","given":"Osorio","non-dropping-particle":"","parse-names":false,"suffix":""},{"dropping-particle":"","family":"Augusto","given":"Octavio","non-dropping-particle":"","parse-names":false,"suffix":""},{"dropping-particle":"","family":"Murillo","given":"González","non-dropping-particle":"","parse-names":false,"suffix":""}],"id":"ITEM-1","issue":"2","issued":{"date-parts":[["2015"]]},"page":"65-71","title":"In vitro DISSOLUTION OF ACIDULATED ROCK PHOSPHATE BY PHOSPHATE SOLUBILIZING MICROORGANISMS Disolución in vitro de rocas fosfóricas aciduladas por microorganismos solubilizadores de fósforo","type":"article-journal","volume":"20"},"uris":["http://www.mendeley.com/documents/?uuid=4b940752-e4e3-4d4e-a2b8-ba247fe70667"]}],"mendeley":{"formattedCitation":"(Investigación et al., 2015)","plainTextFormattedCitation":"(Investigación et al., 2015)","previouslyFormattedCitation":"(Investigación et al., 2015)"},"properties":{"noteIndex":0},"schema":"https://github.com/citation-style-language/schema/raw/master/csl-citation.json"}</w:instrText>
      </w:r>
      <w:r w:rsidRPr="007A3962">
        <w:rPr>
          <w:rFonts w:ascii="Arial" w:hAnsi="Arial" w:cs="Arial"/>
          <w:sz w:val="20"/>
          <w:szCs w:val="20"/>
        </w:rPr>
        <w:fldChar w:fldCharType="separate"/>
      </w:r>
      <w:r w:rsidRPr="007A3962">
        <w:rPr>
          <w:rFonts w:ascii="Arial" w:hAnsi="Arial" w:cs="Arial"/>
          <w:noProof/>
          <w:sz w:val="20"/>
          <w:szCs w:val="20"/>
        </w:rPr>
        <w:t>(Investigación et al., 2015)</w:t>
      </w:r>
      <w:r w:rsidRPr="007A3962">
        <w:rPr>
          <w:rFonts w:ascii="Arial" w:hAnsi="Arial" w:cs="Arial"/>
          <w:sz w:val="20"/>
          <w:szCs w:val="20"/>
        </w:rPr>
        <w:fldChar w:fldCharType="end"/>
      </w:r>
      <w:r w:rsidRPr="007A3962">
        <w:rPr>
          <w:rFonts w:ascii="Arial" w:hAnsi="Arial" w:cs="Arial"/>
          <w:sz w:val="20"/>
          <w:szCs w:val="20"/>
        </w:rPr>
        <w:t xml:space="preserve">. Thus, PSM may play acritical role in natural P cycle and </w:t>
      </w:r>
      <w:r w:rsidR="0099782A" w:rsidRPr="007A3962">
        <w:rPr>
          <w:rFonts w:ascii="Arial" w:hAnsi="Arial" w:cs="Arial"/>
          <w:sz w:val="20"/>
          <w:szCs w:val="20"/>
        </w:rPr>
        <w:t xml:space="preserve">can </w:t>
      </w:r>
      <w:r w:rsidRPr="007A3962">
        <w:rPr>
          <w:rFonts w:ascii="Arial" w:hAnsi="Arial" w:cs="Arial"/>
          <w:sz w:val="20"/>
          <w:szCs w:val="20"/>
        </w:rPr>
        <w:t xml:space="preserve">improve the agronomic value of rock phosphate which </w:t>
      </w:r>
      <w:r w:rsidRPr="007A3962">
        <w:rPr>
          <w:rFonts w:ascii="Arial" w:hAnsi="Arial" w:cs="Arial"/>
          <w:color w:val="000000" w:themeColor="text1"/>
          <w:sz w:val="20"/>
          <w:szCs w:val="20"/>
        </w:rPr>
        <w:t xml:space="preserve">is </w:t>
      </w:r>
      <w:r w:rsidR="0099782A" w:rsidRPr="007A3962">
        <w:rPr>
          <w:rFonts w:ascii="Arial" w:hAnsi="Arial" w:cs="Arial"/>
          <w:color w:val="000000" w:themeColor="text1"/>
          <w:sz w:val="20"/>
          <w:szCs w:val="20"/>
        </w:rPr>
        <w:t>underutilized</w:t>
      </w:r>
      <w:r w:rsidRPr="007A3962">
        <w:rPr>
          <w:rFonts w:ascii="Arial" w:hAnsi="Arial" w:cs="Arial"/>
          <w:color w:val="000000" w:themeColor="text1"/>
          <w:sz w:val="20"/>
          <w:szCs w:val="20"/>
        </w:rPr>
        <w:t xml:space="preserve"> </w:t>
      </w:r>
      <w:r w:rsidR="00194CED" w:rsidRPr="007A3962">
        <w:rPr>
          <w:rFonts w:ascii="Arial" w:hAnsi="Arial" w:cs="Arial"/>
          <w:color w:val="000000" w:themeColor="text1"/>
          <w:sz w:val="20"/>
          <w:szCs w:val="20"/>
        </w:rPr>
        <w:t>in Malawi</w:t>
      </w:r>
      <w:r w:rsidRPr="007A3962">
        <w:rPr>
          <w:rFonts w:ascii="Arial" w:hAnsi="Arial" w:cs="Arial"/>
          <w:color w:val="000000" w:themeColor="text1"/>
          <w:sz w:val="20"/>
          <w:szCs w:val="20"/>
        </w:rPr>
        <w:t xml:space="preserve"> </w:t>
      </w:r>
      <w:r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{"citationItems":[{"id":"ITEM-1","itemData":{"DOI":"10.4172/2471-2728.1000156","author":[{"dropping-particle":"","family":"Sane","given":"S A","non-dropping-particle":"","parse-names":false,"suffix":""},{"dropping-particle":"","family":"Mehta","given":"S K","non-dropping-particle":"","parse-names":false,"suffix":""}],"id":"ITEM-1","issue":"2","issued":{"date-parts":[["2015"]]},"title":"Journal of Fertilizers &amp; Pesticides Isolation and Evaluation of Rock Phosphate Solubilizing Fungi as Potential Bio- fertilizer","type":"article-journal","volume":"6"},"uris":["http://www.mendeley.com/documents/?uuid=03e794d0-fff3-48a0-9ba5-f7d4e38010a6"]}],"mendeley":{"formattedCitation":"(Sane &amp; Mehta, 2015)","plainTextFormattedCitation":"(Sane &amp; Mehta, 2015)","previouslyFormattedCitation":"(Sane &amp; Mehta, 2015)"},"properties":{"noteIndex":0},"schema":"https://github.com/citation-style-language/schema/raw/master/csl-citation.json"}</w:instrText>
      </w:r>
      <w:r w:rsidRPr="007A3962">
        <w:rPr>
          <w:rFonts w:ascii="Arial" w:hAnsi="Arial" w:cs="Arial"/>
          <w:sz w:val="20"/>
          <w:szCs w:val="20"/>
        </w:rPr>
        <w:fldChar w:fldCharType="separate"/>
      </w:r>
      <w:r w:rsidR="007949F2" w:rsidRPr="007A3962">
        <w:rPr>
          <w:rFonts w:ascii="Arial" w:hAnsi="Arial" w:cs="Arial"/>
          <w:noProof/>
          <w:sz w:val="20"/>
          <w:szCs w:val="20"/>
        </w:rPr>
        <w:t>(Sane &amp; Mehta, 2015)</w:t>
      </w:r>
      <w:r w:rsidRPr="007A3962">
        <w:rPr>
          <w:rFonts w:ascii="Arial" w:hAnsi="Arial" w:cs="Arial"/>
          <w:sz w:val="20"/>
          <w:szCs w:val="20"/>
        </w:rPr>
        <w:fldChar w:fldCharType="end"/>
      </w:r>
      <w:r w:rsidRPr="007A3962">
        <w:rPr>
          <w:rFonts w:ascii="Arial" w:hAnsi="Arial" w:cs="Arial"/>
          <w:sz w:val="20"/>
          <w:szCs w:val="20"/>
        </w:rPr>
        <w:t>.</w:t>
      </w:r>
    </w:p>
    <w:p w14:paraId="2C6011BF" w14:textId="77777777" w:rsidR="003C44D0" w:rsidRPr="007A3962" w:rsidRDefault="003C44D0" w:rsidP="005B6FFA">
      <w:pPr>
        <w:spacing w:line="480" w:lineRule="auto"/>
        <w:rPr>
          <w:rFonts w:ascii="Arial" w:eastAsia="Times New Roman" w:hAnsi="Arial" w:cs="Arial"/>
          <w:sz w:val="20"/>
          <w:szCs w:val="20"/>
        </w:rPr>
      </w:pPr>
      <w:r w:rsidRPr="007A3962">
        <w:rPr>
          <w:rFonts w:ascii="Arial" w:hAnsi="Arial" w:cs="Arial"/>
          <w:sz w:val="20"/>
          <w:szCs w:val="20"/>
        </w:rPr>
        <w:t xml:space="preserve">The evaluated microbes in the study were isolated from </w:t>
      </w:r>
      <w:r w:rsidR="00194CED" w:rsidRPr="007A3962">
        <w:rPr>
          <w:rFonts w:ascii="Arial" w:hAnsi="Arial" w:cs="Arial"/>
          <w:sz w:val="20"/>
          <w:szCs w:val="20"/>
        </w:rPr>
        <w:t>diverse areas</w:t>
      </w:r>
      <w:r w:rsidRPr="007A3962">
        <w:rPr>
          <w:rFonts w:ascii="Arial" w:hAnsi="Arial" w:cs="Arial"/>
          <w:sz w:val="20"/>
          <w:szCs w:val="20"/>
        </w:rPr>
        <w:t xml:space="preserve">, therefore, it is likely that some factors such as temperature, pH and redox potential, could affect solubilisation </w:t>
      </w:r>
      <w:r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{"citationItems":[{"id":"ITEM-1","itemData":{"author":[{"dropping-particle":"","family":"López-ortega","given":"Mónica Pilar","non-dropping-particle":"","parse-names":false,"suffix":""},{"dropping-particle":"","family":"Criollo-campos","given":"Paola Jimena","non-dropping-particle":"","parse-names":false,"suffix":""},{"dropping-particle":"","family":"Gómez-vargas","given":"Ruth Milena","non-dropping-particle":"","parse-names":false,"suffix":""}],"id":"ITEM-1","issue":"2","issued":{"date-parts":[["2013"]]},"page":"115-123","title":"Characterization of diazotrophic phosphate solubilizing bacteria as growth promoters of maize plants Caracterización de bacterias diazotróficas solublizadoras de fosfato como promotoras de crecimiento en plantas de maíz","type":"article-journal","volume":"di"},"uris":["http://www.mendeley.com/documents/?uuid=6c8debac-b6e8-4947-8d15-83cfc45848f0"]}],"mendeley":{"formattedCitation":"(López-ortega et al., 2013)","manualFormatting":"(López-ortega et al., 2013)","plainTextFormattedCitation":"(López-ortega et al., 2013)","previouslyFormattedCitation":"(López-ortega et al., 2013)"},"properties":{"noteIndex":0},"schema":"https://github.com/citation-style-language/schema/raw/master/csl-citation.json"}</w:instrText>
      </w:r>
      <w:r w:rsidRPr="007A3962">
        <w:rPr>
          <w:rFonts w:ascii="Arial" w:hAnsi="Arial" w:cs="Arial"/>
          <w:sz w:val="20"/>
          <w:szCs w:val="20"/>
        </w:rPr>
        <w:fldChar w:fldCharType="separate"/>
      </w:r>
      <w:r w:rsidRPr="007A3962">
        <w:rPr>
          <w:rFonts w:ascii="Arial" w:hAnsi="Arial" w:cs="Arial"/>
          <w:noProof/>
          <w:sz w:val="20"/>
          <w:szCs w:val="20"/>
        </w:rPr>
        <w:t xml:space="preserve">(López-ortega </w:t>
      </w:r>
      <w:r w:rsidRPr="007A3962">
        <w:rPr>
          <w:rFonts w:ascii="Arial" w:hAnsi="Arial" w:cs="Arial"/>
          <w:i/>
          <w:noProof/>
          <w:sz w:val="20"/>
          <w:szCs w:val="20"/>
        </w:rPr>
        <w:t>et al.,</w:t>
      </w:r>
      <w:r w:rsidRPr="007A3962">
        <w:rPr>
          <w:rFonts w:ascii="Arial" w:hAnsi="Arial" w:cs="Arial"/>
          <w:noProof/>
          <w:sz w:val="20"/>
          <w:szCs w:val="20"/>
        </w:rPr>
        <w:t xml:space="preserve"> 2013)</w:t>
      </w:r>
      <w:r w:rsidRPr="007A3962">
        <w:rPr>
          <w:rFonts w:ascii="Arial" w:hAnsi="Arial" w:cs="Arial"/>
          <w:sz w:val="20"/>
          <w:szCs w:val="20"/>
        </w:rPr>
        <w:fldChar w:fldCharType="end"/>
      </w:r>
      <w:r w:rsidRPr="007A3962">
        <w:rPr>
          <w:rFonts w:ascii="Arial" w:hAnsi="Arial" w:cs="Arial"/>
          <w:sz w:val="20"/>
          <w:szCs w:val="20"/>
        </w:rPr>
        <w:t xml:space="preserve">. These microbes were isolated from </w:t>
      </w:r>
      <w:r w:rsidR="00194CED" w:rsidRPr="007A3962">
        <w:rPr>
          <w:rFonts w:ascii="Arial" w:hAnsi="Arial" w:cs="Arial"/>
          <w:sz w:val="20"/>
          <w:szCs w:val="20"/>
        </w:rPr>
        <w:t xml:space="preserve">aquatic ecosystem </w:t>
      </w:r>
      <w:r w:rsidRPr="007A3962">
        <w:rPr>
          <w:rFonts w:ascii="Arial" w:hAnsi="Arial" w:cs="Arial"/>
          <w:sz w:val="20"/>
          <w:szCs w:val="20"/>
        </w:rPr>
        <w:t xml:space="preserve">contrary to what other studies reported which means that these microbes are </w:t>
      </w:r>
      <w:r w:rsidR="00194CED" w:rsidRPr="007A3962">
        <w:rPr>
          <w:rFonts w:ascii="Arial" w:hAnsi="Arial" w:cs="Arial"/>
          <w:sz w:val="20"/>
          <w:szCs w:val="20"/>
        </w:rPr>
        <w:t xml:space="preserve">site specific </w:t>
      </w:r>
      <w:r w:rsidRPr="007A3962">
        <w:rPr>
          <w:rFonts w:ascii="Arial" w:eastAsia="Times New Roman" w:hAnsi="Arial" w:cs="Arial"/>
          <w:sz w:val="20"/>
          <w:szCs w:val="20"/>
        </w:rPr>
        <w:fldChar w:fldCharType="begin" w:fldLock="1"/>
      </w:r>
      <w:r w:rsidR="007963B2" w:rsidRPr="007A3962">
        <w:rPr>
          <w:rFonts w:ascii="Arial" w:eastAsia="Times New Roman" w:hAnsi="Arial" w:cs="Arial"/>
          <w:sz w:val="20"/>
          <w:szCs w:val="20"/>
        </w:rPr>
        <w:instrText>ADDIN CSL_CITATION {"citationItems":[{"id":"ITEM-1","itemData":{"author":[{"dropping-particle":"","family":"Sarathambal","given":"C","non-dropping-particle":"","parse-names":false,"suffix":""},{"dropping-particle":"","family":"Ilamurugu","given":"K","non-dropping-particle":"","parse-names":false,"suffix":""}],"id":"ITEM-1","issue":"4","issued":{"date-parts":[["2014"]]},"page":"364-369","title":"Phosphate solubilising diazotrophic bacteria associated with rhizosphere of weedy grasses","type":"article-journal","volume":"46"},"uris":["http://www.mendeley.com/documents/?uuid=863a791c-2f6d-49c1-badd-baf6dcc59d54"]},{"id":"ITEM-2","itemData":{"author":[{"dropping-particle":"","family":"Sachdev","given":"Dhara P","non-dropping-particle":"","parse-names":false,"suffix":""},{"dropping-particle":"","family":"Chaudhari","given":"Hemangi G","non-dropping-particle":"","parse-names":false,"suffix":""},{"dropping-particle":"","family":"Kasture","given":"Vijay M","non-dropping-particle":"","parse-names":false,"suffix":""},{"dropping-particle":"","family":"Dhavale","given":"Dilip D","non-dropping-particle":"","parse-names":false,"suffix":""},{"dropping-particle":"","family":"Chopade","given":"Balu A","non-dropping-particle":"","parse-names":false,"suffix":""}],"id":"ITEM-2","issue":"December","issued":{"date-parts":[["2009"]]},"page":"993-1000","title":"Isolation and characterization of indole acetic acid ( IAA ) producing Klebsiella pneumoniae strains from rhizosphere of wheat ( Triticum aestivum ) and their effect on plant growth","type":"article-journal","volume":"47"},"uris":["http://www.mendeley.com/documents/?uuid=59413449-d053-4902-82cf-01758efa691f"]},{"id":"ITEM-3","itemData":{"author":[{"dropping-particle":"","family":"Pilar","given":"Mónica","non-dropping-particle":"","parse-names":false,"suffix":""},{"dropping-particle":"","family":"Jimena","given":"Paola","non-dropping-particle":"","parse-names":false,"suffix":""},{"dropping-particle":"","family":"Milena","given":"Ruth","non-dropping-particle":"","parse-names":false,"suffix":""},{"dropping-particle":"","family":"Fernanda","given":"María","non-dropping-particle":"","parse-names":false,"suffix":""}],"id":"ITEM-3","issued":{"date-parts":[["2013"]]},"title":"Characterization of diazotrophic phosphate solubilizing bacteria as growth promoters of maize plants Caracterización de bacterias diazotróficas solublizadoras de fosfato como promotoras de crecimiento en plantas de maíz","type":"article-journal"},"uris":["http://www.mendeley.com/documents/?uuid=cfe6d8ef-a4f5-4a79-bd98-2378f160c11d"]}],"mendeley":{"formattedCitation":"(Pilar et al., 2013; Sachdev et al., 2009; Sarathambal &amp; Ilamurugu, 2014)","manualFormatting":"(Sarathambal and Ilamurugu, 2014; Pilar et al., 2013; Sachdev et al., 2009)","plainTextFormattedCitation":"(Pilar et al., 2013; Sachdev et al., 2009; Sarathambal &amp; Ilamurugu, 2014)","previouslyFormattedCitation":"(Pilar et al., 2013; Sachdev et al., 2009; Sarathambal &amp; Ilamurugu, 2014)"},"properties":{"noteIndex":0},"schema":"https://github.com/citation-style-language/schema/raw/master/csl-citation.json"}</w:instrText>
      </w:r>
      <w:r w:rsidRPr="007A3962">
        <w:rPr>
          <w:rFonts w:ascii="Arial" w:eastAsia="Times New Roman" w:hAnsi="Arial" w:cs="Arial"/>
          <w:sz w:val="20"/>
          <w:szCs w:val="20"/>
        </w:rPr>
        <w:fldChar w:fldCharType="separate"/>
      </w:r>
      <w:r w:rsidRPr="007A3962">
        <w:rPr>
          <w:rFonts w:ascii="Arial" w:eastAsia="Times New Roman" w:hAnsi="Arial" w:cs="Arial"/>
          <w:noProof/>
          <w:sz w:val="20"/>
          <w:szCs w:val="20"/>
        </w:rPr>
        <w:t xml:space="preserve">(Sarathambal and Ilamurugu, 2014; Pilar </w:t>
      </w:r>
      <w:r w:rsidRPr="007A3962">
        <w:rPr>
          <w:rFonts w:ascii="Arial" w:eastAsia="Times New Roman" w:hAnsi="Arial" w:cs="Arial"/>
          <w:i/>
          <w:noProof/>
          <w:sz w:val="20"/>
          <w:szCs w:val="20"/>
        </w:rPr>
        <w:t>et al.</w:t>
      </w:r>
      <w:r w:rsidRPr="007A3962">
        <w:rPr>
          <w:rFonts w:ascii="Arial" w:eastAsia="Times New Roman" w:hAnsi="Arial" w:cs="Arial"/>
          <w:noProof/>
          <w:sz w:val="20"/>
          <w:szCs w:val="20"/>
        </w:rPr>
        <w:t xml:space="preserve">, 2013; Sachdev </w:t>
      </w:r>
      <w:r w:rsidRPr="007A3962">
        <w:rPr>
          <w:rFonts w:ascii="Arial" w:eastAsia="Times New Roman" w:hAnsi="Arial" w:cs="Arial"/>
          <w:i/>
          <w:noProof/>
          <w:sz w:val="20"/>
          <w:szCs w:val="20"/>
        </w:rPr>
        <w:t>et al.</w:t>
      </w:r>
      <w:r w:rsidRPr="007A3962">
        <w:rPr>
          <w:rFonts w:ascii="Arial" w:eastAsia="Times New Roman" w:hAnsi="Arial" w:cs="Arial"/>
          <w:noProof/>
          <w:sz w:val="20"/>
          <w:szCs w:val="20"/>
        </w:rPr>
        <w:t>, 2009)</w:t>
      </w:r>
      <w:r w:rsidRPr="007A3962">
        <w:rPr>
          <w:rFonts w:ascii="Arial" w:eastAsia="Times New Roman" w:hAnsi="Arial" w:cs="Arial"/>
          <w:sz w:val="20"/>
          <w:szCs w:val="20"/>
        </w:rPr>
        <w:fldChar w:fldCharType="end"/>
      </w:r>
      <w:r w:rsidRPr="007A3962">
        <w:rPr>
          <w:rFonts w:ascii="Arial" w:eastAsia="Times New Roman" w:hAnsi="Arial" w:cs="Arial"/>
          <w:sz w:val="20"/>
          <w:szCs w:val="20"/>
        </w:rPr>
        <w:t>.</w:t>
      </w:r>
    </w:p>
    <w:p w14:paraId="7C95A8D8" w14:textId="77777777" w:rsidR="002F2CA5" w:rsidRPr="007A3962" w:rsidRDefault="003C44D0" w:rsidP="005B6FFA">
      <w:pPr>
        <w:spacing w:line="480" w:lineRule="auto"/>
        <w:rPr>
          <w:rFonts w:ascii="Arial" w:hAnsi="Arial" w:cs="Arial"/>
          <w:sz w:val="20"/>
          <w:szCs w:val="20"/>
        </w:rPr>
      </w:pPr>
      <w:r w:rsidRPr="007A3962">
        <w:rPr>
          <w:rFonts w:ascii="Arial" w:hAnsi="Arial" w:cs="Arial"/>
          <w:sz w:val="20"/>
          <w:szCs w:val="20"/>
        </w:rPr>
        <w:t xml:space="preserve">Phylogenetic analysis based on the NJ and ML methods revealed that diversified divergent genera and species are involved in P solubilisation. </w:t>
      </w:r>
      <w:r w:rsidR="00BE13F0" w:rsidRPr="007A3962">
        <w:rPr>
          <w:rFonts w:ascii="Arial" w:hAnsi="Arial" w:cs="Arial"/>
          <w:sz w:val="20"/>
          <w:szCs w:val="20"/>
        </w:rPr>
        <w:t xml:space="preserve">Karonga dominated in having diverse microbes as </w:t>
      </w:r>
      <w:proofErr w:type="spellStart"/>
      <w:r w:rsidR="00BE13F0" w:rsidRPr="007A3962">
        <w:rPr>
          <w:rFonts w:ascii="Arial" w:hAnsi="Arial" w:cs="Arial"/>
          <w:sz w:val="20"/>
          <w:szCs w:val="20"/>
        </w:rPr>
        <w:t>phosphare</w:t>
      </w:r>
      <w:proofErr w:type="spellEnd"/>
      <w:r w:rsidR="00BE13F0" w:rsidRPr="007A3962">
        <w:rPr>
          <w:rFonts w:ascii="Arial" w:hAnsi="Arial" w:cs="Arial"/>
          <w:sz w:val="20"/>
          <w:szCs w:val="20"/>
        </w:rPr>
        <w:t xml:space="preserve"> </w:t>
      </w:r>
      <w:proofErr w:type="spellStart"/>
      <w:r w:rsidR="00BE13F0" w:rsidRPr="007A3962">
        <w:rPr>
          <w:rFonts w:ascii="Arial" w:hAnsi="Arial" w:cs="Arial"/>
          <w:sz w:val="20"/>
          <w:szCs w:val="20"/>
        </w:rPr>
        <w:t>solubiliser</w:t>
      </w:r>
      <w:proofErr w:type="spellEnd"/>
      <w:r w:rsidR="00BE13F0" w:rsidRPr="007A3962">
        <w:rPr>
          <w:rFonts w:ascii="Arial" w:hAnsi="Arial" w:cs="Arial"/>
          <w:sz w:val="20"/>
          <w:szCs w:val="20"/>
        </w:rPr>
        <w:t xml:space="preserve"> due to diverse environment of catchment area (Nyika National Park). The indigenous isolates are unique genetically shown by forming their own clade as</w:t>
      </w:r>
      <w:r w:rsidRPr="007A3962">
        <w:rPr>
          <w:rFonts w:ascii="Arial" w:hAnsi="Arial" w:cs="Arial"/>
          <w:sz w:val="20"/>
          <w:szCs w:val="20"/>
        </w:rPr>
        <w:t xml:space="preserve"> an outgroup to those in database. This </w:t>
      </w:r>
      <w:r w:rsidR="00BE13F0" w:rsidRPr="007A3962">
        <w:rPr>
          <w:rFonts w:ascii="Arial" w:hAnsi="Arial" w:cs="Arial"/>
          <w:sz w:val="20"/>
          <w:szCs w:val="20"/>
        </w:rPr>
        <w:t>could be based on evolutional factors</w:t>
      </w:r>
      <w:r w:rsidR="002F2CA5" w:rsidRPr="007A3962">
        <w:rPr>
          <w:rFonts w:ascii="Arial" w:hAnsi="Arial" w:cs="Arial"/>
          <w:sz w:val="20"/>
          <w:szCs w:val="20"/>
        </w:rPr>
        <w:t xml:space="preserve"> which caused biostimulation of the favored strains</w:t>
      </w:r>
      <w:r w:rsidR="00BE13F0" w:rsidRPr="007A3962">
        <w:rPr>
          <w:rFonts w:ascii="Arial" w:hAnsi="Arial" w:cs="Arial"/>
          <w:sz w:val="20"/>
          <w:szCs w:val="20"/>
        </w:rPr>
        <w:t xml:space="preserve">. </w:t>
      </w:r>
      <w:r w:rsidR="002F2CA5" w:rsidRPr="007A3962">
        <w:rPr>
          <w:rFonts w:ascii="Arial" w:hAnsi="Arial" w:cs="Arial"/>
          <w:sz w:val="20"/>
          <w:szCs w:val="20"/>
        </w:rPr>
        <w:t xml:space="preserve">In most studies, </w:t>
      </w:r>
      <w:r w:rsidR="002F2CA5" w:rsidRPr="007A3962">
        <w:rPr>
          <w:rFonts w:ascii="Arial" w:hAnsi="Arial" w:cs="Arial"/>
          <w:sz w:val="20"/>
          <w:szCs w:val="20"/>
        </w:rPr>
        <w:lastRenderedPageBreak/>
        <w:t xml:space="preserve">microbes are isolated using conventional culture-based methods which are said to be time-consuming, non-accurate and not representing whole diversity in the GIT even while using diverse media </w:t>
      </w:r>
      <w:r w:rsidR="002F2CA5" w:rsidRPr="007A3962">
        <w:rPr>
          <w:rFonts w:ascii="Arial" w:hAnsi="Arial" w:cs="Arial"/>
          <w:sz w:val="20"/>
          <w:szCs w:val="20"/>
        </w:rPr>
        <w:fldChar w:fldCharType="begin" w:fldLock="1"/>
      </w:r>
      <w:r w:rsidR="002F2CA5" w:rsidRPr="007A3962">
        <w:rPr>
          <w:rFonts w:ascii="Arial" w:hAnsi="Arial" w:cs="Arial"/>
          <w:sz w:val="20"/>
          <w:szCs w:val="20"/>
        </w:rPr>
        <w:instrText>ADDIN CSL_CITATION {"citationItems":[{"id":"ITEM-1","itemData":{"DOI":"10.3906/zoo-1205-3","ISSN":"13000179","abstract":"Occurrence and distribution of enzyme-producing bacteria in the proximal (PI), middle (MI), and distal (DI) segments of the gastrointestinal tracts of 4 brackish water teleosts (Scatophagus argus, Terapon jarbua, Mystus gulio, and Etroplus suratensis) have been investigated. Data were presented as log viable counts g-1 intestine (LVC). The heterotrophic bacterial population had the highest occurrence in the DI regions of all fish species studied except M. gulio. Proteolytic and amylolytic bacteria had the highest occurrence in the DI of M. gulio (LVC = 5.50 and 5.93, respectively), while cellulolytic and lipolytic populations exhibited highest occurrences in the DI regions of T. jarbua (LVC = 6.33) and S. argus (LVC = 5.78), respectively. Out of the 81 bacterial isolates, the most promising 3 isolates were determined through quantitative enzyme assay and studied through 16S rRNA gene sequence analysis for identification. Both the strains SA2.2 isolated from S. argus and TJ2.3 isolated from T. jarbua showed high similarity to different strains of Brevibacillus parabrevis, while another strain, MG4.2, isolated from M. gulio, was similar to Bacillus licheniformis. The NCBI GenBank accession numbers of the 16S rRNA gene sequences for isolates SA2.2, TJ2.3, and MG4.2 were KF377322, KF377324, and KF377323, respectively. The present study might offer scope for further research to evaluate prospects for application of the gut-associated extracellular enzymeproducing bacteria in brackish water aquaculture. © TÜBİTAK.","author":[{"dropping-particle":"","family":"Das","given":"Paramita","non-dropping-particle":"","parse-names":false,"suffix":""},{"dropping-particle":"","family":"Mandal","given":"Sudipta","non-dropping-particle":"","parse-names":false,"suffix":""},{"dropping-particle":"","family":"Khan","given":"Argha","non-dropping-particle":"","parse-names":false,"suffix":""},{"dropping-particle":"","family":"Manna","given":"Sanjib Kumar","non-dropping-particle":"","parse-names":false,"suffix":""},{"dropping-particle":"","family":"Ghosh","given":"Koushik","non-dropping-particle":"","parse-names":false,"suffix":""}],"container-title":"Turkish Journal of Zoology","id":"ITEM-1","issue":"1","issued":{"date-parts":[["2014"]]},"page":"79-88","title":"Distribution of extracellular enzyme-producing bacteria in the digestive tracts of 4 brackish water fish species","type":"article-journal","volume":"38"},"uris":["http://www.mendeley.com/documents/?uuid=dcf71e81-2121-3e09-bc81-f112204d0bee"]},{"id":"ITEM-2","itemData":{"DOI":"10.17017/jfish.v4i1.2016.115","ISSN":"2311-729X","abstract":"The present study was carried out to screen autochthonous gut bacteria in freshwater air breathing walking catfish, Clarias batrachus Linnaeus. Altogether, 100 extracellular enzyme-producing bacteria were isolated from the foregut (FG) and hindgut (HG) regions. Data were presented as log viable counts g-1 gut (LVC). The occurrence of heterotrophic bacterial population was higher in the FG region (LVC = 8.25) than the HG (LVC= 7.3). Similarly, proteolytic, amylolytic and lipolytic bacteria in FG outnumbered (LVC=7.25, 6.77 and 5.23 respectively) the HG (LVC=6.38, 5.58 and 4.04 respectively). However, occurrence of cellulolytic bacteria in both, FG and HG was less (LVC=2.1 and 1.34 respectively) in comparison to the other extracellular enzyme-producing bacteria. Out of the 100 bacterial isolates, 22 isolates were primarily selected through qualitative assay of extracellular enzyme activities. Among them, 3 promising isolates were chosen as potent extracellular enzyme producers on the basis of cumulative scores (≥11) of the qualitative assay and quantitative enzyme assay. Maximum protease activity was revealed by the strain FG10 (201±2.40U), while FG43 exhibited maximum amylase (208.3±10.8U) and lipase (4.73±0.05U) activities. Among the strains isolated from the HG, the highest protease (188.3±1.2U), amylase (97.6±0.46U) and lipase (3.7±0.11U) activities were recorded with the strain HG01. The isolates (FG10, FG43 and HG01) were studied through 16S rRNA partial gene sequence analyses and were identified as Bacillus aryabhattai (KP784311), B. flexus (KR809411), and B. cereus (KR809412), respectively. Further studies are to be conducted to evaluate the efficacy of these strains in vivo to improve the overall health status of the C. batrachus juveniles.","author":[{"dropping-particle":"","family":"Dey","given":"Atrayee","non-dropping-particle":"","parse-names":false,"suffix":""},{"dropping-particle":"","family":"Ghosh","given":"Koushik","non-dropping-particle":"","parse-names":false,"suffix":""},{"dropping-particle":"","family":"Hazra","given":"Niladri","non-dropping-particle":"","parse-names":false,"suffix":""}],"container-title":"Journal of Fisheries","id":"ITEM-2","issue":"1","issued":{"date-parts":[["2016","4","30"]]},"page":"345","publisher":"Journal of Fisheries","title":"Evaluation of extracellular enzyme-producing autochthonous gut bacteria in walking catfish, Clarias batrachus (L.)","type":"article-journal","volume":"4"},"uris":["http://www.mendeley.com/documents/?uuid=913de488-0dce-3fe6-a19c-c021de160bc0"]}],"mendeley":{"formattedCitation":"(Das et al., 2014; Dey et al., 2016)","plainTextFormattedCitation":"(Das et al., 2014; Dey et al., 2016)","previouslyFormattedCitation":"(Das et al., 2014; Dey et al., 2016)"},"properties":{"noteIndex":0},"schema":"https://github.com/citation-style-language/schema/raw/master/csl-citation.json"}</w:instrText>
      </w:r>
      <w:r w:rsidR="002F2CA5" w:rsidRPr="007A3962">
        <w:rPr>
          <w:rFonts w:ascii="Arial" w:hAnsi="Arial" w:cs="Arial"/>
          <w:sz w:val="20"/>
          <w:szCs w:val="20"/>
        </w:rPr>
        <w:fldChar w:fldCharType="separate"/>
      </w:r>
      <w:r w:rsidR="002F2CA5" w:rsidRPr="007A3962">
        <w:rPr>
          <w:rFonts w:ascii="Arial" w:hAnsi="Arial" w:cs="Arial"/>
          <w:noProof/>
          <w:sz w:val="20"/>
          <w:szCs w:val="20"/>
        </w:rPr>
        <w:t>(Das et al., 2014; Dey et al., 2016)</w:t>
      </w:r>
      <w:r w:rsidR="002F2CA5" w:rsidRPr="007A3962">
        <w:rPr>
          <w:rFonts w:ascii="Arial" w:hAnsi="Arial" w:cs="Arial"/>
          <w:sz w:val="20"/>
          <w:szCs w:val="20"/>
        </w:rPr>
        <w:fldChar w:fldCharType="end"/>
      </w:r>
      <w:r w:rsidR="002F2CA5" w:rsidRPr="007A3962">
        <w:rPr>
          <w:rFonts w:ascii="Arial" w:hAnsi="Arial" w:cs="Arial"/>
          <w:sz w:val="20"/>
          <w:szCs w:val="20"/>
        </w:rPr>
        <w:t>. However, the use of a conventional culture-based methods by employing a specific substrate containing selective media is justifiable, as the major aim of the present study is to detect and isolate different extracellular enzyme-producing microbes which are cultured for development of biofertilisers and probiotics. In</w:t>
      </w:r>
      <w:r w:rsidR="00E955EB" w:rsidRPr="007A3962">
        <w:rPr>
          <w:rFonts w:ascii="Arial" w:hAnsi="Arial" w:cs="Arial"/>
          <w:sz w:val="20"/>
          <w:szCs w:val="20"/>
        </w:rPr>
        <w:t xml:space="preserve"> the present study, the isolates</w:t>
      </w:r>
      <w:r w:rsidR="002F2CA5" w:rsidRPr="007A3962">
        <w:rPr>
          <w:rFonts w:ascii="Arial" w:hAnsi="Arial" w:cs="Arial"/>
          <w:sz w:val="20"/>
          <w:szCs w:val="20"/>
        </w:rPr>
        <w:t xml:space="preserve"> are to be used in development of probiotics while using genetic analysis may capture microbes which cannot be cultured or multiplied to be used as a biofertiliser  inoculum </w:t>
      </w:r>
      <w:r w:rsidR="002F2CA5" w:rsidRPr="007A3962">
        <w:rPr>
          <w:rFonts w:ascii="Arial" w:hAnsi="Arial" w:cs="Arial"/>
          <w:sz w:val="20"/>
          <w:szCs w:val="20"/>
        </w:rPr>
        <w:fldChar w:fldCharType="begin" w:fldLock="1"/>
      </w:r>
      <w:r w:rsidR="002F2CA5" w:rsidRPr="007A3962">
        <w:rPr>
          <w:rFonts w:ascii="Arial" w:hAnsi="Arial" w:cs="Arial"/>
          <w:sz w:val="20"/>
          <w:szCs w:val="20"/>
        </w:rPr>
        <w:instrText>ADDIN CSL_CITATION {"citationItems":[{"id":"ITEM-1","itemData":{"DOI":"10.4172/1948-5948.1000061","abstract":"The present investigation includes isolation, enumeration and comparison of the gut microbial flora of Labeo rohita fed differentially treated Animal Fleshing (ANFL) as a sole protein source in their diets and related increase in enzyme secretion. ANFL is the proteinaceous tannery solid waste generated during leather processing and inclusion of ANFL in aqua feed will pave way for the novel alternative cheaper protein source in replacement of fish meal. Six experimental diets were formulated with differentially processed ANFL. The isolates from the gut extract were qualitatively screened and quantitatively assayed for amylase, cellulase, lipase and protease activities. The total culturable bacterial count (10 × 10 7 CFU/g) as well as the proteolytic bacterial count (27 × 10 6 CFU/g) was high in the fish gut fed with diet 5 containing the fermented ANFL. Almost all the bacterial isolates possesses protease activity in which strains (FF5, CF3and CF4) isolated from the diet 5 (287U) and 7 (282U) exhibited highest activities. Maximum cellulase (FF2), amylase and lipase (RF6) activity were observed in the strains isolated from the diets 5 and 1 (78U, 186U and 97U). This study proves the existence of diet dependent enzyme producing bacterial community in the gut of Labeo rohita through SEM analysis and the information generated from the present study might contribute towards utilization of enzyme producing bacterial isolates as probiotic and in better feed formulations at low cost for rohu incorporating the tannery solid waste ANFL as a protein source.","author":[{"dropping-particle":"","family":"Sumathi","given":"C","non-dropping-particle":"","parse-names":false,"suffix":""},{"dropping-particle":"","family":"Priya","given":"D Mohana","non-dropping-particle":"","parse-names":false,"suffix":""}],"container-title":"Journal of Microbial &amp; Biochemical Technology","id":"ITEM-1","issue":"5","issued":{"date-parts":[["2011"]]},"publisher":"OMICS Publishing Group","title":"Analysis of Enzyme Activities of the Gut Bacterial Communities in Labeo rohita fed Differentially Treated Animal Fleshing Diets","type":"article-journal","volume":"3"},"uris":["http://www.mendeley.com/documents/?uuid=52b72f0c-bb2c-370d-9907-0d1919b8876b"]},{"id":"ITEM-2","itemData":{"DOI":"10.13057/biodiv/d231053","ISSN":"20854722","abstract":"The digestive tract has been revealed as a reservoir of potential probiotics derived from the host. The goal of this study was to isolate, identify, and characterize putative host-associated probiotic bacteria (HAPs) from the digestive tract of Malaysian mahseer Tor tambroides. To evaluate potential T. tambroides HAPs, in-vitro digestive enzyme activity (such as a cellulolytic, proteolytic, and lipolytic activity) and antibacterial activity against two fish pathogens (Vibrio parahaemolyticus and Aeromonas hydrophila) were utilized. Thirty-seven isolates with digestive enzyme activities were tested for their ability to inhibit pathogenic bacteria growth using an agar well-diffusion assay. Three isolates displayed in-vitro suppression of pathogenic bacteria, with two strains (KT03 and KM07) inhibiting the growth of V. parahaemolyticus and one strain (KT27) suppressing the proliferation of both harmful bacteria (V. parahaemolyticus and A. hydrophila). Strains KT03 and KM07 exhibited the most resemblance to Enterococcus faecalis (strains 2674 and FC11682, respectively) based on 16S rRNA sequences, whereas KT27 had a 97% similarity to Aeromonas sp. A8-29. The study’s findings provide valuable data on the prospective use of these three isolates (KT03, KT27, and KM07) as potential HAPs for better understanding their physiological activities, such as growth and disease resistance on T. tambroides.","author":[{"dropping-particle":"","family":"Hossain","given":"Mohammod Kamruzzaman","non-dropping-particle":"","parse-names":false,"suffix":""},{"dropping-particle":"","family":"Iehata","given":"Shumpei","non-dropping-particle":"","parse-names":false,"suffix":""},{"dropping-particle":"","family":"Noordin","given":"Noordiyana Mat","non-dropping-particle":"","parse-names":false,"suffix":""},{"dropping-particle":"","family":"Kader","given":"Md Abdul","non-dropping-particle":"","parse-names":false,"suffix":""},{"dropping-particle":"","family":"Emilia","given":"Sharifah Noor","non-dropping-particle":"","parse-names":false,"suffix":""},{"dropping-particle":"","family":"Sung","given":"Yeong Yik","non-dropping-particle":"","parse-names":false,"suffix":""},{"dropping-particle":"","family":"Abol-Munafi","given":"Ambok Bolong","non-dropping-particle":"","parse-names":false,"suffix":""}],"container-title":"Biodiversitas","id":"ITEM-2","issue":"10","issued":{"date-parts":[["2022","10","1"]]},"page":"5423-5430","publisher":"Society for Indonesian Biodiversity","title":"Isolation and identification of potential host probiotic bacteria from Malaysian mahseer, Tor tambroides for aquaculture practices","type":"article-journal","volume":"23"},"uris":["http://www.mendeley.com/documents/?uuid=09c3c24e-239f-3102-9455-4efc927e78ba"]}],"mendeley":{"formattedCitation":"(M. K. Hossain et al., 2022; Sumathi &amp; Priya, 2011)","manualFormatting":"(Hossain et al., 2022; Sumathi &amp; Priya, 2011)","plainTextFormattedCitation":"(M. K. Hossain et al., 2022; Sumathi &amp; Priya, 2011)","previouslyFormattedCitation":"(M. K. Hossain et al., 2022; Sumathi &amp; Priya, 2011)"},"properties":{"noteIndex":0},"schema":"https://github.com/citation-style-language/schema/raw/master/csl-citation.json"}</w:instrText>
      </w:r>
      <w:r w:rsidR="002F2CA5" w:rsidRPr="007A3962">
        <w:rPr>
          <w:rFonts w:ascii="Arial" w:hAnsi="Arial" w:cs="Arial"/>
          <w:sz w:val="20"/>
          <w:szCs w:val="20"/>
        </w:rPr>
        <w:fldChar w:fldCharType="separate"/>
      </w:r>
      <w:r w:rsidR="002F2CA5" w:rsidRPr="007A3962">
        <w:rPr>
          <w:rFonts w:ascii="Arial" w:hAnsi="Arial" w:cs="Arial"/>
          <w:noProof/>
          <w:sz w:val="20"/>
          <w:szCs w:val="20"/>
        </w:rPr>
        <w:t>(Hossain et al., 2022; Sumathi &amp; Priya, 2011)</w:t>
      </w:r>
      <w:r w:rsidR="002F2CA5" w:rsidRPr="007A3962">
        <w:rPr>
          <w:rFonts w:ascii="Arial" w:hAnsi="Arial" w:cs="Arial"/>
          <w:sz w:val="20"/>
          <w:szCs w:val="20"/>
        </w:rPr>
        <w:fldChar w:fldCharType="end"/>
      </w:r>
      <w:r w:rsidR="002F2CA5" w:rsidRPr="007A3962">
        <w:rPr>
          <w:rFonts w:ascii="Arial" w:hAnsi="Arial" w:cs="Arial"/>
          <w:sz w:val="20"/>
          <w:szCs w:val="20"/>
        </w:rPr>
        <w:t>.</w:t>
      </w:r>
    </w:p>
    <w:p w14:paraId="147B6C38" w14:textId="77777777" w:rsidR="002F2CA5" w:rsidRPr="007A3962" w:rsidRDefault="002F2CA5" w:rsidP="005B6FFA">
      <w:pPr>
        <w:spacing w:line="480" w:lineRule="auto"/>
        <w:rPr>
          <w:rFonts w:ascii="Arial" w:hAnsi="Arial" w:cs="Arial"/>
          <w:sz w:val="20"/>
          <w:szCs w:val="20"/>
        </w:rPr>
      </w:pPr>
      <w:r w:rsidRPr="007A3962">
        <w:rPr>
          <w:rFonts w:ascii="Arial" w:hAnsi="Arial" w:cs="Arial"/>
          <w:sz w:val="20"/>
          <w:szCs w:val="20"/>
        </w:rPr>
        <w:t>The extracellular enzyme-producing isolates of the present study were all identified genetically from their 16S rDNA gene analysis which was further supported by their morphological and biochemical properties. The isolates appeared taxonomically diverse at the genus level each belonging to a separate phylotype. All isolates therefore seem to be autochthonous to location. Moreover, these site-specific GITM strains other possess extracellular beneficial properties, and are, therefore, considered as probiotic candidates for all fishes.</w:t>
      </w:r>
    </w:p>
    <w:p w14:paraId="5DF35CA9" w14:textId="77777777" w:rsidR="003C44D0" w:rsidRPr="007A3962" w:rsidRDefault="003C44D0" w:rsidP="005B6FFA">
      <w:pPr>
        <w:pStyle w:val="HTMLPreformatted"/>
        <w:spacing w:line="480" w:lineRule="auto"/>
        <w:rPr>
          <w:rFonts w:ascii="Arial" w:hAnsi="Arial" w:cs="Arial"/>
        </w:rPr>
      </w:pPr>
    </w:p>
    <w:p w14:paraId="5C36A1B3" w14:textId="77777777" w:rsidR="00CE774E" w:rsidRPr="007A3962" w:rsidRDefault="00504664" w:rsidP="005B6FFA">
      <w:pPr>
        <w:pStyle w:val="NormalWeb"/>
        <w:spacing w:line="480" w:lineRule="auto"/>
        <w:rPr>
          <w:rFonts w:ascii="Arial" w:hAnsi="Arial" w:cs="Arial"/>
          <w:sz w:val="20"/>
          <w:szCs w:val="20"/>
        </w:rPr>
      </w:pPr>
      <w:r w:rsidRPr="007A3962">
        <w:rPr>
          <w:rFonts w:ascii="Arial" w:hAnsi="Arial" w:cs="Arial"/>
          <w:noProof/>
          <w:sz w:val="20"/>
          <w:szCs w:val="20"/>
        </w:rPr>
        <w:lastRenderedPageBreak/>
        <w:drawing>
          <wp:inline distT="0" distB="0" distL="0" distR="0" wp14:anchorId="2CFA3E2D" wp14:editId="17300C6E">
            <wp:extent cx="5943600" cy="53492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5349240"/>
                    </a:xfrm>
                    <a:prstGeom prst="rect">
                      <a:avLst/>
                    </a:prstGeom>
                  </pic:spPr>
                </pic:pic>
              </a:graphicData>
            </a:graphic>
          </wp:inline>
        </w:drawing>
      </w:r>
    </w:p>
    <w:p w14:paraId="36E635DB" w14:textId="77777777" w:rsidR="002F2CA5" w:rsidRPr="007A3962" w:rsidRDefault="002F2CA5" w:rsidP="005B6FFA">
      <w:pPr>
        <w:spacing w:after="200" w:line="480" w:lineRule="auto"/>
        <w:rPr>
          <w:rFonts w:ascii="Arial" w:eastAsia="Calibri" w:hAnsi="Arial" w:cs="Arial"/>
          <w:iCs/>
          <w:sz w:val="20"/>
          <w:szCs w:val="20"/>
        </w:rPr>
      </w:pPr>
      <w:bookmarkStart w:id="14" w:name="_Toc186104468"/>
      <w:r w:rsidRPr="007A3962">
        <w:rPr>
          <w:rFonts w:ascii="Arial" w:eastAsia="Calibri" w:hAnsi="Arial" w:cs="Arial"/>
          <w:iCs/>
          <w:sz w:val="20"/>
          <w:szCs w:val="20"/>
        </w:rPr>
        <w:t xml:space="preserve">Figure </w:t>
      </w:r>
      <w:r w:rsidRPr="007A3962">
        <w:rPr>
          <w:rFonts w:ascii="Arial" w:eastAsia="Calibri" w:hAnsi="Arial" w:cs="Arial"/>
          <w:iCs/>
          <w:sz w:val="20"/>
          <w:szCs w:val="20"/>
        </w:rPr>
        <w:fldChar w:fldCharType="begin"/>
      </w:r>
      <w:r w:rsidRPr="007A3962">
        <w:rPr>
          <w:rFonts w:ascii="Arial" w:eastAsia="Calibri" w:hAnsi="Arial" w:cs="Arial"/>
          <w:iCs/>
          <w:sz w:val="20"/>
          <w:szCs w:val="20"/>
        </w:rPr>
        <w:instrText xml:space="preserve"> SEQ Figure \* ARABIC </w:instrText>
      </w:r>
      <w:r w:rsidRPr="007A3962">
        <w:rPr>
          <w:rFonts w:ascii="Arial" w:eastAsia="Calibri" w:hAnsi="Arial" w:cs="Arial"/>
          <w:iCs/>
          <w:sz w:val="20"/>
          <w:szCs w:val="20"/>
        </w:rPr>
        <w:fldChar w:fldCharType="separate"/>
      </w:r>
      <w:r w:rsidRPr="007A3962">
        <w:rPr>
          <w:rFonts w:ascii="Arial" w:eastAsia="Calibri" w:hAnsi="Arial" w:cs="Arial"/>
          <w:iCs/>
          <w:noProof/>
          <w:sz w:val="20"/>
          <w:szCs w:val="20"/>
        </w:rPr>
        <w:t>6</w:t>
      </w:r>
      <w:r w:rsidRPr="007A3962">
        <w:rPr>
          <w:rFonts w:ascii="Arial" w:eastAsia="Calibri" w:hAnsi="Arial" w:cs="Arial"/>
          <w:iCs/>
          <w:sz w:val="20"/>
          <w:szCs w:val="20"/>
        </w:rPr>
        <w:fldChar w:fldCharType="end"/>
      </w:r>
      <w:r w:rsidRPr="007A3962">
        <w:rPr>
          <w:rFonts w:ascii="Arial" w:eastAsia="Calibri" w:hAnsi="Arial" w:cs="Arial"/>
          <w:iCs/>
          <w:sz w:val="20"/>
          <w:szCs w:val="20"/>
        </w:rPr>
        <w:t xml:space="preserve">: Phylogenetic tree based on 16S rRNA gene sequence showing the position of indigenous diverse </w:t>
      </w:r>
      <w:r w:rsidR="00E03D84" w:rsidRPr="007A3962">
        <w:rPr>
          <w:rFonts w:ascii="Arial" w:eastAsia="Calibri" w:hAnsi="Arial" w:cs="Arial"/>
          <w:iCs/>
          <w:sz w:val="20"/>
          <w:szCs w:val="20"/>
        </w:rPr>
        <w:t>phosphate</w:t>
      </w:r>
      <w:r w:rsidRPr="007A3962">
        <w:rPr>
          <w:rFonts w:ascii="Arial" w:eastAsia="Calibri" w:hAnsi="Arial" w:cs="Arial"/>
          <w:iCs/>
          <w:sz w:val="20"/>
          <w:szCs w:val="20"/>
        </w:rPr>
        <w:t xml:space="preserve"> solubilising </w:t>
      </w:r>
      <w:r w:rsidR="00992E78" w:rsidRPr="007A3962">
        <w:rPr>
          <w:rFonts w:ascii="Arial" w:eastAsia="Calibri" w:hAnsi="Arial" w:cs="Arial"/>
          <w:iCs/>
          <w:sz w:val="20"/>
          <w:szCs w:val="20"/>
        </w:rPr>
        <w:t>bacteria</w:t>
      </w:r>
      <w:r w:rsidRPr="007A3962">
        <w:rPr>
          <w:rFonts w:ascii="Arial" w:eastAsia="Calibri" w:hAnsi="Arial" w:cs="Arial"/>
          <w:iCs/>
          <w:sz w:val="20"/>
          <w:szCs w:val="20"/>
        </w:rPr>
        <w:t xml:space="preserve">  in Malawi compared with those available in GenBank of NCBI.</w:t>
      </w:r>
      <w:bookmarkEnd w:id="14"/>
    </w:p>
    <w:p w14:paraId="38ACE6A1" w14:textId="77777777" w:rsidR="00504664" w:rsidRPr="007A3962" w:rsidRDefault="002F2CA5" w:rsidP="005B6FFA">
      <w:pPr>
        <w:pStyle w:val="HTMLPreformatted"/>
        <w:spacing w:line="480" w:lineRule="auto"/>
        <w:rPr>
          <w:rFonts w:ascii="Arial" w:hAnsi="Arial" w:cs="Arial"/>
        </w:rPr>
      </w:pPr>
      <w:r w:rsidRPr="007A3962">
        <w:rPr>
          <w:rFonts w:ascii="Arial" w:hAnsi="Arial" w:cs="Arial"/>
          <w:color w:val="000000"/>
          <w:shd w:val="clear" w:color="auto" w:fill="FFFFFF"/>
        </w:rPr>
        <w:t xml:space="preserve">The evolutionary history was inferred by using the Maximum Likelihood method and Tamura-Nei model conducted in MEGA11 with a total of 1462 positions in the final dataset. The tree with the highest log likelihood (-7924.31) was taken. Initial tree(s) for the heuristic search were obtained automatically by applying Neighbor-Join and </w:t>
      </w:r>
      <w:proofErr w:type="spellStart"/>
      <w:r w:rsidRPr="007A3962">
        <w:rPr>
          <w:rFonts w:ascii="Arial" w:hAnsi="Arial" w:cs="Arial"/>
          <w:color w:val="000000"/>
          <w:shd w:val="clear" w:color="auto" w:fill="FFFFFF"/>
        </w:rPr>
        <w:t>BioNJ</w:t>
      </w:r>
      <w:proofErr w:type="spellEnd"/>
      <w:r w:rsidRPr="007A3962">
        <w:rPr>
          <w:rFonts w:ascii="Arial" w:hAnsi="Arial" w:cs="Arial"/>
          <w:color w:val="000000"/>
          <w:shd w:val="clear" w:color="auto" w:fill="FFFFFF"/>
        </w:rPr>
        <w:t xml:space="preserve"> algorithms to a matrix of pairwise distances estimated using the Tamura-Nei model, and then selecting the topology with superior log likelihood value. This analysis involved 12 nucleotide sequences</w:t>
      </w:r>
      <w:r w:rsidRPr="007A3962">
        <w:rPr>
          <w:rFonts w:ascii="Arial" w:hAnsi="Arial" w:cs="Arial"/>
        </w:rPr>
        <w:t>.</w:t>
      </w:r>
    </w:p>
    <w:p w14:paraId="5C1880AF" w14:textId="77777777" w:rsidR="00504664" w:rsidRPr="007A3962" w:rsidRDefault="00504664" w:rsidP="005B6FFA">
      <w:pPr>
        <w:pStyle w:val="HTMLPreformatted"/>
        <w:spacing w:line="480" w:lineRule="auto"/>
        <w:rPr>
          <w:rFonts w:ascii="Arial" w:hAnsi="Arial" w:cs="Arial"/>
        </w:rPr>
      </w:pPr>
    </w:p>
    <w:p w14:paraId="330D9D61" w14:textId="77777777" w:rsidR="00504664" w:rsidRPr="007A3962" w:rsidRDefault="00504664" w:rsidP="005B6FFA">
      <w:pPr>
        <w:pStyle w:val="HTMLPreformatted"/>
        <w:spacing w:line="480" w:lineRule="auto"/>
        <w:rPr>
          <w:rFonts w:ascii="Arial" w:hAnsi="Arial" w:cs="Arial"/>
        </w:rPr>
      </w:pPr>
    </w:p>
    <w:p w14:paraId="2C5B69FB" w14:textId="77777777" w:rsidR="00504664" w:rsidRPr="007A3962" w:rsidRDefault="00504664" w:rsidP="005B6FFA">
      <w:pPr>
        <w:pStyle w:val="HTMLPreformatted"/>
        <w:spacing w:line="480" w:lineRule="auto"/>
        <w:rPr>
          <w:rFonts w:ascii="Arial" w:hAnsi="Arial" w:cs="Arial"/>
        </w:rPr>
      </w:pPr>
    </w:p>
    <w:p w14:paraId="49FD908F" w14:textId="77777777" w:rsidR="00504664" w:rsidRPr="007A3962" w:rsidRDefault="00504664" w:rsidP="005B6FFA">
      <w:pPr>
        <w:pStyle w:val="HTMLPreformatted"/>
        <w:spacing w:line="480" w:lineRule="auto"/>
        <w:rPr>
          <w:rFonts w:ascii="Arial" w:hAnsi="Arial" w:cs="Arial"/>
        </w:rPr>
      </w:pPr>
    </w:p>
    <w:p w14:paraId="1F9F97A4" w14:textId="77777777" w:rsidR="00504664" w:rsidRPr="007A3962" w:rsidRDefault="00504664" w:rsidP="005B6FFA">
      <w:pPr>
        <w:pStyle w:val="HTMLPreformatted"/>
        <w:spacing w:line="480" w:lineRule="auto"/>
        <w:rPr>
          <w:rFonts w:ascii="Arial" w:hAnsi="Arial" w:cs="Arial"/>
        </w:rPr>
      </w:pPr>
    </w:p>
    <w:p w14:paraId="48893250" w14:textId="77777777" w:rsidR="00504664" w:rsidRPr="007A3962" w:rsidRDefault="00504664" w:rsidP="005B6FFA">
      <w:pPr>
        <w:pStyle w:val="HTMLPreformatted"/>
        <w:spacing w:line="480" w:lineRule="auto"/>
        <w:rPr>
          <w:rFonts w:ascii="Arial" w:hAnsi="Arial" w:cs="Arial"/>
        </w:rPr>
      </w:pPr>
    </w:p>
    <w:p w14:paraId="525C08B1" w14:textId="77777777" w:rsidR="00504664" w:rsidRPr="007A3962" w:rsidRDefault="00504664" w:rsidP="005B6FFA">
      <w:pPr>
        <w:pStyle w:val="HTMLPreformatted"/>
        <w:spacing w:line="480" w:lineRule="auto"/>
        <w:rPr>
          <w:rFonts w:ascii="Arial" w:hAnsi="Arial" w:cs="Arial"/>
        </w:rPr>
      </w:pPr>
    </w:p>
    <w:p w14:paraId="2FC66224" w14:textId="77777777" w:rsidR="00504664" w:rsidRPr="007A3962" w:rsidRDefault="00FF7F6A" w:rsidP="005B6FFA">
      <w:pPr>
        <w:pStyle w:val="HTMLPreformatted"/>
        <w:spacing w:line="480" w:lineRule="auto"/>
        <w:rPr>
          <w:rFonts w:ascii="Arial" w:hAnsi="Arial" w:cs="Arial"/>
        </w:rPr>
      </w:pPr>
      <w:r>
        <w:rPr>
          <w:rFonts w:ascii="Arial" w:hAnsi="Arial" w:cs="Arial"/>
        </w:rPr>
        <w:pict w14:anchorId="2959A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1pt;height:249.3pt">
            <v:imagedata r:id="rId15" o:title="psm fungus 2 sequences"/>
          </v:shape>
        </w:pict>
      </w:r>
    </w:p>
    <w:p w14:paraId="68AFD1DF" w14:textId="77777777" w:rsidR="00F502CC" w:rsidRPr="007A3962" w:rsidRDefault="00F502CC" w:rsidP="005B6FFA">
      <w:pPr>
        <w:spacing w:after="200" w:line="480" w:lineRule="auto"/>
        <w:rPr>
          <w:rFonts w:ascii="Arial" w:eastAsia="Calibri" w:hAnsi="Arial" w:cs="Arial"/>
          <w:iCs/>
          <w:sz w:val="20"/>
          <w:szCs w:val="20"/>
        </w:rPr>
      </w:pPr>
      <w:r w:rsidRPr="007A3962">
        <w:rPr>
          <w:rFonts w:ascii="Arial" w:eastAsia="Calibri" w:hAnsi="Arial" w:cs="Arial"/>
          <w:iCs/>
          <w:sz w:val="20"/>
          <w:szCs w:val="20"/>
        </w:rPr>
        <w:t xml:space="preserve">Figure </w:t>
      </w:r>
      <w:r w:rsidRPr="007A3962">
        <w:rPr>
          <w:rFonts w:ascii="Arial" w:eastAsia="Calibri" w:hAnsi="Arial" w:cs="Arial"/>
          <w:iCs/>
          <w:sz w:val="20"/>
          <w:szCs w:val="20"/>
        </w:rPr>
        <w:fldChar w:fldCharType="begin"/>
      </w:r>
      <w:r w:rsidRPr="007A3962">
        <w:rPr>
          <w:rFonts w:ascii="Arial" w:eastAsia="Calibri" w:hAnsi="Arial" w:cs="Arial"/>
          <w:iCs/>
          <w:sz w:val="20"/>
          <w:szCs w:val="20"/>
        </w:rPr>
        <w:instrText xml:space="preserve"> SEQ Figure \* ARABIC </w:instrText>
      </w:r>
      <w:r w:rsidRPr="007A3962">
        <w:rPr>
          <w:rFonts w:ascii="Arial" w:eastAsia="Calibri" w:hAnsi="Arial" w:cs="Arial"/>
          <w:iCs/>
          <w:sz w:val="20"/>
          <w:szCs w:val="20"/>
        </w:rPr>
        <w:fldChar w:fldCharType="separate"/>
      </w:r>
      <w:r w:rsidRPr="007A3962">
        <w:rPr>
          <w:rFonts w:ascii="Arial" w:eastAsia="Calibri" w:hAnsi="Arial" w:cs="Arial"/>
          <w:iCs/>
          <w:noProof/>
          <w:sz w:val="20"/>
          <w:szCs w:val="20"/>
        </w:rPr>
        <w:t>7</w:t>
      </w:r>
      <w:r w:rsidRPr="007A3962">
        <w:rPr>
          <w:rFonts w:ascii="Arial" w:eastAsia="Calibri" w:hAnsi="Arial" w:cs="Arial"/>
          <w:iCs/>
          <w:sz w:val="20"/>
          <w:szCs w:val="20"/>
        </w:rPr>
        <w:fldChar w:fldCharType="end"/>
      </w:r>
      <w:r w:rsidRPr="007A3962">
        <w:rPr>
          <w:rFonts w:ascii="Arial" w:eastAsia="Calibri" w:hAnsi="Arial" w:cs="Arial"/>
          <w:iCs/>
          <w:sz w:val="20"/>
          <w:szCs w:val="20"/>
        </w:rPr>
        <w:t xml:space="preserve">: Phylogenetic tree based on 16S rRNA gene sequence showing the position of indigenous diverse </w:t>
      </w:r>
      <w:r w:rsidR="00E03D84" w:rsidRPr="007A3962">
        <w:rPr>
          <w:rFonts w:ascii="Arial" w:eastAsia="Calibri" w:hAnsi="Arial" w:cs="Arial"/>
          <w:iCs/>
          <w:sz w:val="20"/>
          <w:szCs w:val="20"/>
        </w:rPr>
        <w:t>phosphate</w:t>
      </w:r>
      <w:r w:rsidRPr="007A3962">
        <w:rPr>
          <w:rFonts w:ascii="Arial" w:eastAsia="Calibri" w:hAnsi="Arial" w:cs="Arial"/>
          <w:iCs/>
          <w:sz w:val="20"/>
          <w:szCs w:val="20"/>
        </w:rPr>
        <w:t xml:space="preserve"> solubilising </w:t>
      </w:r>
      <w:r w:rsidR="007963B2" w:rsidRPr="007A3962">
        <w:rPr>
          <w:rFonts w:ascii="Arial" w:eastAsia="Calibri" w:hAnsi="Arial" w:cs="Arial"/>
          <w:iCs/>
          <w:sz w:val="20"/>
          <w:szCs w:val="20"/>
        </w:rPr>
        <w:t>fungus</w:t>
      </w:r>
      <w:r w:rsidRPr="007A3962">
        <w:rPr>
          <w:rFonts w:ascii="Arial" w:eastAsia="Calibri" w:hAnsi="Arial" w:cs="Arial"/>
          <w:iCs/>
          <w:sz w:val="20"/>
          <w:szCs w:val="20"/>
        </w:rPr>
        <w:t xml:space="preserve">  in Malawi compared with those available in GenBank of NCBI.</w:t>
      </w:r>
    </w:p>
    <w:p w14:paraId="3C134D33" w14:textId="77777777" w:rsidR="00F502CC" w:rsidRPr="007A3962" w:rsidRDefault="00F502CC" w:rsidP="005B6FFA">
      <w:pPr>
        <w:pStyle w:val="HTMLPreformatted"/>
        <w:spacing w:line="480" w:lineRule="auto"/>
        <w:rPr>
          <w:rFonts w:ascii="Arial" w:hAnsi="Arial" w:cs="Arial"/>
        </w:rPr>
      </w:pPr>
      <w:r w:rsidRPr="007A3962">
        <w:rPr>
          <w:rFonts w:ascii="Arial" w:hAnsi="Arial" w:cs="Arial"/>
          <w:color w:val="000000"/>
          <w:shd w:val="clear" w:color="auto" w:fill="FFFFFF"/>
        </w:rPr>
        <w:t xml:space="preserve">The evolutionary history was inferred by using the Maximum Likelihood method and Tamura-Nei model conducted in MEGA11 with a total of 636 positions in the final dataset. The tree with the highest log likelihood (-1574.70) was taken. Initial tree(s) for the heuristic search were obtained automatically by applying Neighbor-Join and </w:t>
      </w:r>
      <w:proofErr w:type="spellStart"/>
      <w:r w:rsidRPr="007A3962">
        <w:rPr>
          <w:rFonts w:ascii="Arial" w:hAnsi="Arial" w:cs="Arial"/>
          <w:color w:val="000000"/>
          <w:shd w:val="clear" w:color="auto" w:fill="FFFFFF"/>
        </w:rPr>
        <w:t>BioNJ</w:t>
      </w:r>
      <w:proofErr w:type="spellEnd"/>
      <w:r w:rsidRPr="007A3962">
        <w:rPr>
          <w:rFonts w:ascii="Arial" w:hAnsi="Arial" w:cs="Arial"/>
          <w:color w:val="000000"/>
          <w:shd w:val="clear" w:color="auto" w:fill="FFFFFF"/>
        </w:rPr>
        <w:t xml:space="preserve"> algorithms to a matrix of pairwise distances estimated using the Tamura-Nei model, and then selecting the topology with superior log likelihood value. This analysis involved 7 nucleotide sequences</w:t>
      </w:r>
      <w:r w:rsidRPr="007A3962">
        <w:rPr>
          <w:rFonts w:ascii="Arial" w:hAnsi="Arial" w:cs="Arial"/>
        </w:rPr>
        <w:t>.</w:t>
      </w:r>
    </w:p>
    <w:p w14:paraId="4B857AAA" w14:textId="77777777" w:rsidR="00F502CC" w:rsidRPr="007A3962" w:rsidRDefault="00F502CC" w:rsidP="005B6FFA">
      <w:pPr>
        <w:pStyle w:val="HTMLPreformatted"/>
        <w:spacing w:line="480" w:lineRule="auto"/>
        <w:rPr>
          <w:rFonts w:ascii="Arial" w:hAnsi="Arial" w:cs="Arial"/>
          <w:color w:val="000000"/>
          <w:shd w:val="clear" w:color="auto" w:fill="FFFFFF"/>
        </w:rPr>
      </w:pPr>
    </w:p>
    <w:p w14:paraId="5ABF9D21" w14:textId="77777777" w:rsidR="003C44D0" w:rsidRPr="007A3962" w:rsidRDefault="003C44D0" w:rsidP="005B6FFA">
      <w:pPr>
        <w:spacing w:line="480" w:lineRule="auto"/>
        <w:rPr>
          <w:rFonts w:ascii="Arial" w:hAnsi="Arial" w:cs="Arial"/>
          <w:sz w:val="20"/>
          <w:szCs w:val="20"/>
        </w:rPr>
      </w:pPr>
      <w:r w:rsidRPr="007A3962">
        <w:rPr>
          <w:rFonts w:ascii="Arial" w:hAnsi="Arial" w:cs="Arial"/>
          <w:sz w:val="20"/>
          <w:szCs w:val="20"/>
        </w:rPr>
        <w:lastRenderedPageBreak/>
        <w:t xml:space="preserve">Phylogenetic tree of fungus in P solubilization </w:t>
      </w:r>
      <w:r w:rsidR="00F502CC" w:rsidRPr="007A3962">
        <w:rPr>
          <w:rFonts w:ascii="Arial" w:hAnsi="Arial" w:cs="Arial"/>
          <w:sz w:val="20"/>
          <w:szCs w:val="20"/>
        </w:rPr>
        <w:t xml:space="preserve">also </w:t>
      </w:r>
      <w:r w:rsidRPr="007A3962">
        <w:rPr>
          <w:rFonts w:ascii="Arial" w:hAnsi="Arial" w:cs="Arial"/>
          <w:sz w:val="20"/>
          <w:szCs w:val="20"/>
        </w:rPr>
        <w:t xml:space="preserve">revealed </w:t>
      </w:r>
      <w:r w:rsidR="00E955EB" w:rsidRPr="007A3962">
        <w:rPr>
          <w:rFonts w:ascii="Arial" w:hAnsi="Arial" w:cs="Arial"/>
          <w:sz w:val="20"/>
          <w:szCs w:val="20"/>
        </w:rPr>
        <w:t>uniqueness of strain LOGO42 (</w:t>
      </w:r>
      <w:r w:rsidR="00E955EB" w:rsidRPr="007A3962">
        <w:rPr>
          <w:rFonts w:ascii="Arial" w:hAnsi="Arial" w:cs="Arial"/>
          <w:i/>
          <w:sz w:val="20"/>
          <w:szCs w:val="20"/>
        </w:rPr>
        <w:t>Geotrichum sp.</w:t>
      </w:r>
      <w:r w:rsidR="00E955EB" w:rsidRPr="007A3962">
        <w:rPr>
          <w:rFonts w:ascii="Arial" w:hAnsi="Arial" w:cs="Arial"/>
          <w:sz w:val="20"/>
          <w:szCs w:val="20"/>
        </w:rPr>
        <w:t>) based on</w:t>
      </w:r>
      <w:r w:rsidR="00F502CC" w:rsidRPr="007A3962">
        <w:rPr>
          <w:rFonts w:ascii="Arial" w:hAnsi="Arial" w:cs="Arial"/>
          <w:sz w:val="20"/>
          <w:szCs w:val="20"/>
        </w:rPr>
        <w:t xml:space="preserve"> </w:t>
      </w:r>
      <w:r w:rsidR="00F502CC" w:rsidRPr="007A3962">
        <w:rPr>
          <w:rFonts w:ascii="Arial" w:eastAsia="Times New Roman" w:hAnsi="Arial" w:cs="Arial"/>
          <w:sz w:val="20"/>
          <w:szCs w:val="20"/>
        </w:rPr>
        <w:t>outgroup formation</w:t>
      </w:r>
      <w:r w:rsidR="00E955EB" w:rsidRPr="007A3962">
        <w:rPr>
          <w:rFonts w:ascii="Arial" w:eastAsia="Times New Roman" w:hAnsi="Arial" w:cs="Arial"/>
          <w:sz w:val="20"/>
          <w:szCs w:val="20"/>
        </w:rPr>
        <w:t xml:space="preserve"> which</w:t>
      </w:r>
      <w:r w:rsidRPr="007A3962">
        <w:rPr>
          <w:rFonts w:ascii="Arial" w:hAnsi="Arial" w:cs="Arial"/>
          <w:sz w:val="20"/>
          <w:szCs w:val="20"/>
        </w:rPr>
        <w:t xml:space="preserve"> was also depicted by </w:t>
      </w:r>
      <w:r w:rsidR="00F502CC" w:rsidRPr="007A3962">
        <w:rPr>
          <w:rFonts w:ascii="Arial" w:hAnsi="Arial" w:cs="Arial"/>
          <w:sz w:val="20"/>
          <w:szCs w:val="20"/>
        </w:rPr>
        <w:t xml:space="preserve">percentage </w:t>
      </w:r>
      <w:r w:rsidR="00E955EB" w:rsidRPr="007A3962">
        <w:rPr>
          <w:rFonts w:ascii="Arial" w:hAnsi="Arial" w:cs="Arial"/>
          <w:sz w:val="20"/>
          <w:szCs w:val="20"/>
        </w:rPr>
        <w:t>identity</w:t>
      </w:r>
      <w:r w:rsidR="00F502CC" w:rsidRPr="007A3962">
        <w:rPr>
          <w:rFonts w:ascii="Arial" w:hAnsi="Arial" w:cs="Arial"/>
          <w:sz w:val="20"/>
          <w:szCs w:val="20"/>
        </w:rPr>
        <w:t xml:space="preserve"> to those in the databases</w:t>
      </w:r>
      <w:r w:rsidRPr="007A3962">
        <w:rPr>
          <w:rFonts w:ascii="Arial" w:hAnsi="Arial" w:cs="Arial"/>
          <w:sz w:val="20"/>
          <w:szCs w:val="20"/>
        </w:rPr>
        <w:t xml:space="preserve">. The findings </w:t>
      </w:r>
      <w:r w:rsidR="00F502CC" w:rsidRPr="007A3962">
        <w:rPr>
          <w:rFonts w:ascii="Arial" w:hAnsi="Arial" w:cs="Arial"/>
          <w:sz w:val="20"/>
          <w:szCs w:val="20"/>
        </w:rPr>
        <w:t>contradict</w:t>
      </w:r>
      <w:r w:rsidRPr="007A3962">
        <w:rPr>
          <w:rFonts w:ascii="Arial" w:hAnsi="Arial" w:cs="Arial"/>
          <w:sz w:val="20"/>
          <w:szCs w:val="20"/>
        </w:rPr>
        <w:t xml:space="preserve"> </w:t>
      </w:r>
      <w:r w:rsidR="00F502CC" w:rsidRPr="007A3962">
        <w:rPr>
          <w:rFonts w:ascii="Arial" w:hAnsi="Arial" w:cs="Arial"/>
          <w:sz w:val="20"/>
          <w:szCs w:val="20"/>
        </w:rPr>
        <w:t xml:space="preserve">to other studies which found out that some of these microbes are disease causing microbes. </w:t>
      </w:r>
      <w:r w:rsidRPr="007A3962">
        <w:rPr>
          <w:rFonts w:ascii="Arial" w:hAnsi="Arial" w:cs="Arial"/>
          <w:sz w:val="20"/>
          <w:szCs w:val="20"/>
        </w:rPr>
        <w:t>This indicates that these strains are of different phylotypes because of different ecological zones and selection pressure as shown</w:t>
      </w:r>
      <w:r w:rsidR="00E955EB" w:rsidRPr="007A3962">
        <w:rPr>
          <w:rFonts w:ascii="Arial" w:hAnsi="Arial" w:cs="Arial"/>
          <w:sz w:val="20"/>
          <w:szCs w:val="20"/>
        </w:rPr>
        <w:t xml:space="preserve"> and depicted by the research</w:t>
      </w:r>
      <w:r w:rsidRPr="007A3962">
        <w:rPr>
          <w:rFonts w:ascii="Arial" w:hAnsi="Arial" w:cs="Arial"/>
          <w:sz w:val="20"/>
          <w:szCs w:val="20"/>
        </w:rPr>
        <w:t>.</w:t>
      </w:r>
    </w:p>
    <w:p w14:paraId="03FBDEDF" w14:textId="77777777" w:rsidR="00796281" w:rsidRPr="0003336A" w:rsidRDefault="0003336A" w:rsidP="005B6FFA">
      <w:pPr>
        <w:pStyle w:val="Heading1"/>
        <w:numPr>
          <w:ilvl w:val="0"/>
          <w:numId w:val="38"/>
        </w:numPr>
        <w:spacing w:line="480" w:lineRule="auto"/>
        <w:rPr>
          <w:rFonts w:ascii="Arial" w:hAnsi="Arial" w:cs="Arial"/>
          <w:b/>
          <w:color w:val="auto"/>
          <w:sz w:val="22"/>
          <w:szCs w:val="22"/>
        </w:rPr>
      </w:pPr>
      <w:r w:rsidRPr="0003336A">
        <w:rPr>
          <w:rFonts w:ascii="Arial" w:hAnsi="Arial" w:cs="Arial"/>
          <w:b/>
          <w:color w:val="auto"/>
          <w:sz w:val="22"/>
          <w:szCs w:val="22"/>
        </w:rPr>
        <w:t>CONCLUSION AND RECOMMENDATION</w:t>
      </w:r>
    </w:p>
    <w:p w14:paraId="70A1C95B" w14:textId="77777777" w:rsidR="00203939" w:rsidRDefault="00796281" w:rsidP="005B6FFA">
      <w:pPr>
        <w:spacing w:line="480" w:lineRule="auto"/>
        <w:rPr>
          <w:rFonts w:ascii="Arial" w:hAnsi="Arial" w:cs="Arial"/>
          <w:sz w:val="20"/>
          <w:szCs w:val="20"/>
        </w:rPr>
      </w:pPr>
      <w:r w:rsidRPr="007A3962">
        <w:rPr>
          <w:rFonts w:ascii="Arial" w:hAnsi="Arial" w:cs="Arial"/>
          <w:sz w:val="20"/>
          <w:szCs w:val="20"/>
        </w:rPr>
        <w:t xml:space="preserve">The study explored and found </w:t>
      </w:r>
      <w:r w:rsidR="00E955EB" w:rsidRPr="007A3962">
        <w:rPr>
          <w:rFonts w:ascii="Arial" w:hAnsi="Arial" w:cs="Arial"/>
          <w:sz w:val="20"/>
          <w:szCs w:val="20"/>
        </w:rPr>
        <w:t>out that indigenous phosphate</w:t>
      </w:r>
      <w:r w:rsidRPr="007A3962">
        <w:rPr>
          <w:rFonts w:ascii="Arial" w:hAnsi="Arial" w:cs="Arial"/>
          <w:sz w:val="20"/>
          <w:szCs w:val="20"/>
        </w:rPr>
        <w:t xml:space="preserve"> solubilizing microbes that have potential for development of </w:t>
      </w:r>
      <w:r w:rsidR="00E955EB" w:rsidRPr="007A3962">
        <w:rPr>
          <w:rFonts w:ascii="Arial" w:hAnsi="Arial" w:cs="Arial"/>
          <w:sz w:val="20"/>
          <w:szCs w:val="20"/>
        </w:rPr>
        <w:t>phosphate</w:t>
      </w:r>
      <w:r w:rsidRPr="007A3962">
        <w:rPr>
          <w:rFonts w:ascii="Arial" w:hAnsi="Arial" w:cs="Arial"/>
          <w:sz w:val="20"/>
          <w:szCs w:val="20"/>
        </w:rPr>
        <w:t xml:space="preserve"> biofertilisers. The study also revealed new strain</w:t>
      </w:r>
      <w:r w:rsidR="00152AE4" w:rsidRPr="007A3962">
        <w:rPr>
          <w:rFonts w:ascii="Arial" w:hAnsi="Arial" w:cs="Arial"/>
          <w:sz w:val="20"/>
          <w:szCs w:val="20"/>
        </w:rPr>
        <w:t>s</w:t>
      </w:r>
      <w:r w:rsidRPr="007A3962">
        <w:rPr>
          <w:rFonts w:ascii="Arial" w:hAnsi="Arial" w:cs="Arial"/>
          <w:sz w:val="20"/>
          <w:szCs w:val="20"/>
        </w:rPr>
        <w:t xml:space="preserve"> of </w:t>
      </w:r>
      <w:r w:rsidR="00152AE4" w:rsidRPr="007A3962">
        <w:rPr>
          <w:rFonts w:ascii="Arial" w:hAnsi="Arial" w:cs="Arial"/>
          <w:sz w:val="20"/>
          <w:szCs w:val="20"/>
        </w:rPr>
        <w:t xml:space="preserve">phosphate </w:t>
      </w:r>
      <w:r w:rsidRPr="007A3962">
        <w:rPr>
          <w:rFonts w:ascii="Arial" w:hAnsi="Arial" w:cs="Arial"/>
          <w:sz w:val="20"/>
          <w:szCs w:val="20"/>
        </w:rPr>
        <w:t xml:space="preserve">solubilisation </w:t>
      </w:r>
      <w:r w:rsidR="00152AE4" w:rsidRPr="007A3962">
        <w:rPr>
          <w:rFonts w:ascii="Arial" w:hAnsi="Arial" w:cs="Arial"/>
          <w:sz w:val="20"/>
          <w:szCs w:val="20"/>
        </w:rPr>
        <w:t xml:space="preserve">microbes </w:t>
      </w:r>
      <w:r w:rsidRPr="007A3962">
        <w:rPr>
          <w:rFonts w:ascii="Arial" w:hAnsi="Arial" w:cs="Arial"/>
          <w:sz w:val="20"/>
          <w:szCs w:val="20"/>
        </w:rPr>
        <w:t>and puts proposition that its presence</w:t>
      </w:r>
      <w:r w:rsidR="00152AE4" w:rsidRPr="007A3962">
        <w:rPr>
          <w:rFonts w:ascii="Arial" w:hAnsi="Arial" w:cs="Arial"/>
          <w:sz w:val="20"/>
          <w:szCs w:val="20"/>
        </w:rPr>
        <w:t xml:space="preserve"> in field</w:t>
      </w:r>
      <w:r w:rsidRPr="007A3962">
        <w:rPr>
          <w:rFonts w:ascii="Arial" w:hAnsi="Arial" w:cs="Arial"/>
          <w:sz w:val="20"/>
          <w:szCs w:val="20"/>
        </w:rPr>
        <w:t xml:space="preserve"> is a</w:t>
      </w:r>
      <w:r w:rsidR="00152AE4" w:rsidRPr="007A3962">
        <w:rPr>
          <w:rFonts w:ascii="Arial" w:hAnsi="Arial" w:cs="Arial"/>
          <w:sz w:val="20"/>
          <w:szCs w:val="20"/>
        </w:rPr>
        <w:t>s a</w:t>
      </w:r>
      <w:r w:rsidRPr="007A3962">
        <w:rPr>
          <w:rFonts w:ascii="Arial" w:hAnsi="Arial" w:cs="Arial"/>
          <w:sz w:val="20"/>
          <w:szCs w:val="20"/>
        </w:rPr>
        <w:t xml:space="preserve"> result of abundance of </w:t>
      </w:r>
      <w:r w:rsidR="00152AE4" w:rsidRPr="007A3962">
        <w:rPr>
          <w:rFonts w:ascii="Arial" w:hAnsi="Arial" w:cs="Arial"/>
          <w:sz w:val="20"/>
          <w:szCs w:val="20"/>
        </w:rPr>
        <w:t xml:space="preserve">different </w:t>
      </w:r>
      <w:r w:rsidRPr="007A3962">
        <w:rPr>
          <w:rFonts w:ascii="Arial" w:hAnsi="Arial" w:cs="Arial"/>
          <w:sz w:val="20"/>
          <w:szCs w:val="20"/>
        </w:rPr>
        <w:t xml:space="preserve">insoluble </w:t>
      </w:r>
      <w:r w:rsidR="00152AE4" w:rsidRPr="007A3962">
        <w:rPr>
          <w:rFonts w:ascii="Arial" w:hAnsi="Arial" w:cs="Arial"/>
          <w:sz w:val="20"/>
          <w:szCs w:val="20"/>
        </w:rPr>
        <w:t>phosphate composition</w:t>
      </w:r>
      <w:r w:rsidRPr="007A3962">
        <w:rPr>
          <w:rFonts w:ascii="Arial" w:hAnsi="Arial" w:cs="Arial"/>
          <w:sz w:val="20"/>
          <w:szCs w:val="20"/>
        </w:rPr>
        <w:t xml:space="preserve"> due</w:t>
      </w:r>
      <w:r w:rsidR="00152AE4" w:rsidRPr="007A3962">
        <w:rPr>
          <w:rFonts w:ascii="Arial" w:hAnsi="Arial" w:cs="Arial"/>
          <w:sz w:val="20"/>
          <w:szCs w:val="20"/>
        </w:rPr>
        <w:t xml:space="preserve"> to natural selection pressure.</w:t>
      </w:r>
      <w:r w:rsidR="003F1976" w:rsidRPr="007A3962">
        <w:rPr>
          <w:rFonts w:ascii="Arial" w:hAnsi="Arial" w:cs="Arial"/>
          <w:sz w:val="20"/>
          <w:szCs w:val="20"/>
        </w:rPr>
        <w:t xml:space="preserve"> Further field performance investigations are required for these aquatic ecosystem microbes on various crops as biofertilisers as well as livestock as probiotics.</w:t>
      </w:r>
    </w:p>
    <w:p w14:paraId="09B698AE" w14:textId="77777777" w:rsidR="0003336A" w:rsidRPr="00D07B91" w:rsidRDefault="0003336A" w:rsidP="005B6FFA">
      <w:pPr>
        <w:spacing w:line="480" w:lineRule="auto"/>
        <w:jc w:val="both"/>
        <w:rPr>
          <w:rFonts w:ascii="Arial" w:hAnsi="Arial" w:cs="Arial"/>
          <w:b/>
        </w:rPr>
      </w:pPr>
      <w:r w:rsidRPr="00D07B91">
        <w:rPr>
          <w:rFonts w:ascii="Arial" w:hAnsi="Arial" w:cs="Arial"/>
          <w:b/>
        </w:rPr>
        <w:t xml:space="preserve">DISCLAIMER </w:t>
      </w:r>
    </w:p>
    <w:p w14:paraId="3D0BFEFD" w14:textId="77777777" w:rsidR="0003336A" w:rsidRDefault="0003336A" w:rsidP="005B6FFA">
      <w:pPr>
        <w:spacing w:line="480" w:lineRule="auto"/>
        <w:jc w:val="both"/>
        <w:rPr>
          <w:rFonts w:ascii="Arial" w:hAnsi="Arial" w:cs="Arial"/>
          <w:sz w:val="20"/>
          <w:szCs w:val="20"/>
        </w:rPr>
      </w:pPr>
      <w:r w:rsidRPr="00D07B91">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p>
    <w:p w14:paraId="55D3C5DA" w14:textId="77777777" w:rsidR="00FF7F6A" w:rsidRDefault="00FF7F6A" w:rsidP="005B6FFA">
      <w:pPr>
        <w:spacing w:line="480" w:lineRule="auto"/>
        <w:jc w:val="both"/>
        <w:rPr>
          <w:rFonts w:ascii="Arial" w:hAnsi="Arial" w:cs="Arial"/>
          <w:b/>
          <w:sz w:val="20"/>
          <w:szCs w:val="20"/>
        </w:rPr>
      </w:pPr>
    </w:p>
    <w:p w14:paraId="1DB90992" w14:textId="5EF41B9A" w:rsidR="00203939" w:rsidRPr="007A3962" w:rsidRDefault="0003336A" w:rsidP="005B6FFA">
      <w:pPr>
        <w:spacing w:line="480" w:lineRule="auto"/>
        <w:jc w:val="both"/>
        <w:rPr>
          <w:rFonts w:ascii="Arial" w:hAnsi="Arial" w:cs="Arial"/>
          <w:b/>
          <w:sz w:val="20"/>
          <w:szCs w:val="20"/>
        </w:rPr>
      </w:pPr>
      <w:bookmarkStart w:id="15" w:name="_GoBack"/>
      <w:bookmarkEnd w:id="15"/>
      <w:r w:rsidRPr="007A3962">
        <w:rPr>
          <w:rFonts w:ascii="Arial" w:hAnsi="Arial" w:cs="Arial"/>
          <w:b/>
          <w:sz w:val="20"/>
          <w:szCs w:val="20"/>
        </w:rPr>
        <w:t>REFERENCE</w:t>
      </w:r>
      <w:r>
        <w:rPr>
          <w:rFonts w:ascii="Arial" w:hAnsi="Arial" w:cs="Arial"/>
          <w:b/>
          <w:sz w:val="20"/>
          <w:szCs w:val="20"/>
        </w:rPr>
        <w:t>S</w:t>
      </w:r>
    </w:p>
    <w:p w14:paraId="5EB0E80D" w14:textId="77777777" w:rsidR="005C020D" w:rsidRPr="007A3962" w:rsidRDefault="00203939"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sz w:val="20"/>
          <w:szCs w:val="20"/>
        </w:rPr>
        <w:fldChar w:fldCharType="begin" w:fldLock="1"/>
      </w:r>
      <w:r w:rsidRPr="007A3962">
        <w:rPr>
          <w:rFonts w:ascii="Arial" w:hAnsi="Arial" w:cs="Arial"/>
          <w:sz w:val="20"/>
          <w:szCs w:val="20"/>
        </w:rPr>
        <w:instrText xml:space="preserve">ADDIN Mendeley Bibliography CSL_BIBLIOGRAPHY </w:instrText>
      </w:r>
      <w:r w:rsidRPr="007A3962">
        <w:rPr>
          <w:rFonts w:ascii="Arial" w:hAnsi="Arial" w:cs="Arial"/>
          <w:sz w:val="20"/>
          <w:szCs w:val="20"/>
        </w:rPr>
        <w:fldChar w:fldCharType="separate"/>
      </w:r>
      <w:r w:rsidR="005C020D" w:rsidRPr="007A3962">
        <w:rPr>
          <w:rFonts w:ascii="Arial" w:hAnsi="Arial" w:cs="Arial"/>
          <w:noProof/>
          <w:sz w:val="20"/>
          <w:szCs w:val="20"/>
        </w:rPr>
        <w:t xml:space="preserve">Abomughaid, M. M. (2020). </w:t>
      </w:r>
      <w:r w:rsidR="005C020D" w:rsidRPr="007A3962">
        <w:rPr>
          <w:rFonts w:ascii="Arial" w:hAnsi="Arial" w:cs="Arial"/>
          <w:i/>
          <w:iCs/>
          <w:noProof/>
          <w:sz w:val="20"/>
          <w:szCs w:val="20"/>
        </w:rPr>
        <w:t>Isolation and Identification of Some Probiotic Bacteria and Their Potential Role in Improving Immune Response and Resistance of Nile Tilapia ( Oreochromis niloticus ) in Comparison with a Commercial Product</w:t>
      </w:r>
      <w:r w:rsidR="005C020D" w:rsidRPr="007A3962">
        <w:rPr>
          <w:rFonts w:ascii="Arial" w:hAnsi="Arial" w:cs="Arial"/>
          <w:noProof/>
          <w:sz w:val="20"/>
          <w:szCs w:val="20"/>
        </w:rPr>
        <w:t xml:space="preserve">. </w:t>
      </w:r>
      <w:r w:rsidR="005C020D" w:rsidRPr="007A3962">
        <w:rPr>
          <w:rFonts w:ascii="Arial" w:hAnsi="Arial" w:cs="Arial"/>
          <w:i/>
          <w:iCs/>
          <w:noProof/>
          <w:sz w:val="20"/>
          <w:szCs w:val="20"/>
        </w:rPr>
        <w:t>2020</w:t>
      </w:r>
      <w:r w:rsidR="005C020D" w:rsidRPr="007A3962">
        <w:rPr>
          <w:rFonts w:ascii="Arial" w:hAnsi="Arial" w:cs="Arial"/>
          <w:noProof/>
          <w:sz w:val="20"/>
          <w:szCs w:val="20"/>
        </w:rPr>
        <w:t>.</w:t>
      </w:r>
    </w:p>
    <w:p w14:paraId="43C31589"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Ahmad, F., Ã, I. A., &amp; Khan, M. S. (2008). </w:t>
      </w:r>
      <w:r w:rsidRPr="007A3962">
        <w:rPr>
          <w:rFonts w:ascii="Arial" w:hAnsi="Arial" w:cs="Arial"/>
          <w:i/>
          <w:iCs/>
          <w:noProof/>
          <w:sz w:val="20"/>
          <w:szCs w:val="20"/>
        </w:rPr>
        <w:t>Screening of free-living rhizospheric bacteria for their multiple plant growth promoting activities</w:t>
      </w:r>
      <w:r w:rsidRPr="007A3962">
        <w:rPr>
          <w:rFonts w:ascii="Arial" w:hAnsi="Arial" w:cs="Arial"/>
          <w:noProof/>
          <w:sz w:val="20"/>
          <w:szCs w:val="20"/>
        </w:rPr>
        <w:t xml:space="preserve">. </w:t>
      </w:r>
      <w:r w:rsidRPr="007A3962">
        <w:rPr>
          <w:rFonts w:ascii="Arial" w:hAnsi="Arial" w:cs="Arial"/>
          <w:i/>
          <w:iCs/>
          <w:noProof/>
          <w:sz w:val="20"/>
          <w:szCs w:val="20"/>
        </w:rPr>
        <w:t>163</w:t>
      </w:r>
      <w:r w:rsidRPr="007A3962">
        <w:rPr>
          <w:rFonts w:ascii="Arial" w:hAnsi="Arial" w:cs="Arial"/>
          <w:noProof/>
          <w:sz w:val="20"/>
          <w:szCs w:val="20"/>
        </w:rPr>
        <w:t>. https://doi.org/10.1016/j.micres.2006.04.001</w:t>
      </w:r>
    </w:p>
    <w:p w14:paraId="2E1E084E"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Ahmad, M., Naseer, I., Hussain, A., Mumtaz, M. Z., Mustafa, A., Hilger, T. H., Zahir, Z. A., &amp; Xu, M. (2019). Appraising endophyte - Plant symbiosis for improved growth, nodulation, nitrogen fixation and abiotic </w:t>
      </w:r>
      <w:r w:rsidRPr="007A3962">
        <w:rPr>
          <w:rFonts w:ascii="Arial" w:hAnsi="Arial" w:cs="Arial"/>
          <w:noProof/>
          <w:sz w:val="20"/>
          <w:szCs w:val="20"/>
        </w:rPr>
        <w:lastRenderedPageBreak/>
        <w:t xml:space="preserve">stress tolerance: An experimental investigation with chickpea (cicer arietinum L.). </w:t>
      </w:r>
      <w:r w:rsidRPr="007A3962">
        <w:rPr>
          <w:rFonts w:ascii="Arial" w:hAnsi="Arial" w:cs="Arial"/>
          <w:i/>
          <w:iCs/>
          <w:noProof/>
          <w:sz w:val="20"/>
          <w:szCs w:val="20"/>
        </w:rPr>
        <w:t>Agronomy</w:t>
      </w:r>
      <w:r w:rsidRPr="007A3962">
        <w:rPr>
          <w:rFonts w:ascii="Arial" w:hAnsi="Arial" w:cs="Arial"/>
          <w:noProof/>
          <w:sz w:val="20"/>
          <w:szCs w:val="20"/>
        </w:rPr>
        <w:t xml:space="preserve">, </w:t>
      </w:r>
      <w:r w:rsidRPr="007A3962">
        <w:rPr>
          <w:rFonts w:ascii="Arial" w:hAnsi="Arial" w:cs="Arial"/>
          <w:i/>
          <w:iCs/>
          <w:noProof/>
          <w:sz w:val="20"/>
          <w:szCs w:val="20"/>
        </w:rPr>
        <w:t>9</w:t>
      </w:r>
      <w:r w:rsidRPr="007A3962">
        <w:rPr>
          <w:rFonts w:ascii="Arial" w:hAnsi="Arial" w:cs="Arial"/>
          <w:noProof/>
          <w:sz w:val="20"/>
          <w:szCs w:val="20"/>
        </w:rPr>
        <w:t>(10). https://doi.org/10.3390/agronomy9100621</w:t>
      </w:r>
    </w:p>
    <w:p w14:paraId="51316284"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Akhtar, N., Arshad, I., Shakir, M. A., Qureshi, M. A., &amp; Ali, L. (2013). </w:t>
      </w:r>
      <w:r w:rsidR="0003336A" w:rsidRPr="007A3962">
        <w:rPr>
          <w:rFonts w:ascii="Arial" w:hAnsi="Arial" w:cs="Arial"/>
          <w:i/>
          <w:iCs/>
          <w:noProof/>
          <w:sz w:val="20"/>
          <w:szCs w:val="20"/>
        </w:rPr>
        <w:t xml:space="preserve">co-inoculation with rhizobium and bacillus sp to improve the phosphorus availability and yield of wheat </w:t>
      </w:r>
      <w:r w:rsidR="0003336A">
        <w:rPr>
          <w:rFonts w:ascii="Arial" w:hAnsi="Arial" w:cs="Arial"/>
          <w:i/>
          <w:iCs/>
          <w:noProof/>
          <w:sz w:val="20"/>
          <w:szCs w:val="20"/>
        </w:rPr>
        <w:t>( Triticum a</w:t>
      </w:r>
      <w:r w:rsidR="0003336A" w:rsidRPr="007A3962">
        <w:rPr>
          <w:rFonts w:ascii="Arial" w:hAnsi="Arial" w:cs="Arial"/>
          <w:i/>
          <w:iCs/>
          <w:noProof/>
          <w:sz w:val="20"/>
          <w:szCs w:val="20"/>
        </w:rPr>
        <w:t>estivum L .).</w:t>
      </w:r>
      <w:r w:rsidR="0003336A" w:rsidRPr="007A3962">
        <w:rPr>
          <w:rFonts w:ascii="Arial" w:hAnsi="Arial" w:cs="Arial"/>
          <w:noProof/>
          <w:sz w:val="20"/>
          <w:szCs w:val="20"/>
        </w:rPr>
        <w:t xml:space="preserve"> </w:t>
      </w:r>
      <w:r w:rsidR="0003336A" w:rsidRPr="007A3962">
        <w:rPr>
          <w:rFonts w:ascii="Arial" w:hAnsi="Arial" w:cs="Arial"/>
          <w:i/>
          <w:iCs/>
          <w:noProof/>
          <w:sz w:val="20"/>
          <w:szCs w:val="20"/>
        </w:rPr>
        <w:t>23</w:t>
      </w:r>
      <w:r w:rsidR="0003336A" w:rsidRPr="007A3962">
        <w:rPr>
          <w:rFonts w:ascii="Arial" w:hAnsi="Arial" w:cs="Arial"/>
          <w:noProof/>
          <w:sz w:val="20"/>
          <w:szCs w:val="20"/>
        </w:rPr>
        <w:t>(1), 190–197.</w:t>
      </w:r>
    </w:p>
    <w:p w14:paraId="6E9D350C"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Alori, E. T., Glick, B. R., &amp; Babalola, O. O. (2017). Microbial phosphorus solubilization and its potential for use in sustainable agriculture. In </w:t>
      </w:r>
      <w:r w:rsidRPr="007A3962">
        <w:rPr>
          <w:rFonts w:ascii="Arial" w:hAnsi="Arial" w:cs="Arial"/>
          <w:i/>
          <w:iCs/>
          <w:noProof/>
          <w:sz w:val="20"/>
          <w:szCs w:val="20"/>
        </w:rPr>
        <w:t>Frontiers in Microbiology</w:t>
      </w:r>
      <w:r w:rsidRPr="007A3962">
        <w:rPr>
          <w:rFonts w:ascii="Arial" w:hAnsi="Arial" w:cs="Arial"/>
          <w:noProof/>
          <w:sz w:val="20"/>
          <w:szCs w:val="20"/>
        </w:rPr>
        <w:t xml:space="preserve"> (Vol. 8, Issue JUN). https://doi.org/10.3389/fmicb.2017.00971</w:t>
      </w:r>
    </w:p>
    <w:p w14:paraId="2008F80F"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Anand, K., Kumari, B., &amp; Mallick, M. A. (2016). Phosphate solubilizing microbes: An effective and alternative approach as biofertilizers. </w:t>
      </w:r>
      <w:r w:rsidRPr="007A3962">
        <w:rPr>
          <w:rFonts w:ascii="Arial" w:hAnsi="Arial" w:cs="Arial"/>
          <w:i/>
          <w:iCs/>
          <w:noProof/>
          <w:sz w:val="20"/>
          <w:szCs w:val="20"/>
        </w:rPr>
        <w:t>International Journal of Pharmacy and Pharmaceutical Sciences</w:t>
      </w:r>
      <w:r w:rsidRPr="007A3962">
        <w:rPr>
          <w:rFonts w:ascii="Arial" w:hAnsi="Arial" w:cs="Arial"/>
          <w:noProof/>
          <w:sz w:val="20"/>
          <w:szCs w:val="20"/>
        </w:rPr>
        <w:t xml:space="preserve">, </w:t>
      </w:r>
      <w:r w:rsidRPr="007A3962">
        <w:rPr>
          <w:rFonts w:ascii="Arial" w:hAnsi="Arial" w:cs="Arial"/>
          <w:i/>
          <w:iCs/>
          <w:noProof/>
          <w:sz w:val="20"/>
          <w:szCs w:val="20"/>
        </w:rPr>
        <w:t>8</w:t>
      </w:r>
      <w:r w:rsidRPr="007A3962">
        <w:rPr>
          <w:rFonts w:ascii="Arial" w:hAnsi="Arial" w:cs="Arial"/>
          <w:noProof/>
          <w:sz w:val="20"/>
          <w:szCs w:val="20"/>
        </w:rPr>
        <w:t>(2).</w:t>
      </w:r>
    </w:p>
    <w:p w14:paraId="1321241B"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Andriani, Y., &amp; Pratiwy, F. M. (2020). </w:t>
      </w:r>
      <w:r w:rsidRPr="007A3962">
        <w:rPr>
          <w:rFonts w:ascii="Arial" w:hAnsi="Arial" w:cs="Arial"/>
          <w:i/>
          <w:iCs/>
          <w:noProof/>
          <w:sz w:val="20"/>
          <w:szCs w:val="20"/>
        </w:rPr>
        <w:t>International Journal of Fisheries and Aquatic Studies 2020; 8(4): 61-64 Isolation and identification of rumen microbes and rumen fluid enzymes to use as the bio-degradator feed in aquaculture</w:t>
      </w:r>
      <w:r w:rsidRPr="007A3962">
        <w:rPr>
          <w:rFonts w:ascii="Arial" w:hAnsi="Arial" w:cs="Arial"/>
          <w:noProof/>
          <w:sz w:val="20"/>
          <w:szCs w:val="20"/>
        </w:rPr>
        <w:t>. http://www.fisheriesjournal.com</w:t>
      </w:r>
    </w:p>
    <w:p w14:paraId="7972CC50"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Aquilanti, L., Favilli, F., &amp; Clementi, F. (2004). </w:t>
      </w:r>
      <w:r w:rsidRPr="007A3962">
        <w:rPr>
          <w:rFonts w:ascii="Arial" w:hAnsi="Arial" w:cs="Arial"/>
          <w:i/>
          <w:iCs/>
          <w:noProof/>
          <w:sz w:val="20"/>
          <w:szCs w:val="20"/>
        </w:rPr>
        <w:t>Comparison of different strategies for isolation and preliminary identification of Azotobacter from soil samples</w:t>
      </w:r>
      <w:r w:rsidRPr="007A3962">
        <w:rPr>
          <w:rFonts w:ascii="Arial" w:hAnsi="Arial" w:cs="Arial"/>
          <w:noProof/>
          <w:sz w:val="20"/>
          <w:szCs w:val="20"/>
        </w:rPr>
        <w:t xml:space="preserve">. </w:t>
      </w:r>
      <w:r w:rsidRPr="007A3962">
        <w:rPr>
          <w:rFonts w:ascii="Arial" w:hAnsi="Arial" w:cs="Arial"/>
          <w:i/>
          <w:iCs/>
          <w:noProof/>
          <w:sz w:val="20"/>
          <w:szCs w:val="20"/>
        </w:rPr>
        <w:t>36</w:t>
      </w:r>
      <w:r w:rsidRPr="007A3962">
        <w:rPr>
          <w:rFonts w:ascii="Arial" w:hAnsi="Arial" w:cs="Arial"/>
          <w:noProof/>
          <w:sz w:val="20"/>
          <w:szCs w:val="20"/>
        </w:rPr>
        <w:t>, 1475–1483. https://doi.org/10.1016/j.soilbio.2004.04.024</w:t>
      </w:r>
    </w:p>
    <w:p w14:paraId="44151538"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Article, F. L. (2008). </w:t>
      </w:r>
      <w:r w:rsidRPr="007A3962">
        <w:rPr>
          <w:rFonts w:ascii="Arial" w:hAnsi="Arial" w:cs="Arial"/>
          <w:i/>
          <w:iCs/>
          <w:noProof/>
          <w:sz w:val="20"/>
          <w:szCs w:val="20"/>
        </w:rPr>
        <w:t>Rhizobium and Phosphate Solubilizing Bacteria Improve the Yield and Phosphorus Uptake in Wheat ( Triticum aestivum )</w:t>
      </w:r>
      <w:r w:rsidRPr="007A3962">
        <w:rPr>
          <w:rFonts w:ascii="Arial" w:hAnsi="Arial" w:cs="Arial"/>
          <w:noProof/>
          <w:sz w:val="20"/>
          <w:szCs w:val="20"/>
        </w:rPr>
        <w:t>. 85–88.</w:t>
      </w:r>
    </w:p>
    <w:p w14:paraId="77DBDE6E"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Ashry, N. M., Alaidaroos, B. A., Mohamed, S. A., Badr, O. A. M., El-Saadony, M. T., &amp; Esmael, A. (2022). Utilization of drought-tolerant bacterial strains isolated from harsh soils as a plant growth-promoting rhizobacteria (PGPR): Utilization of drought-tolerant bacterial strains. </w:t>
      </w:r>
      <w:r w:rsidRPr="007A3962">
        <w:rPr>
          <w:rFonts w:ascii="Arial" w:hAnsi="Arial" w:cs="Arial"/>
          <w:i/>
          <w:iCs/>
          <w:noProof/>
          <w:sz w:val="20"/>
          <w:szCs w:val="20"/>
        </w:rPr>
        <w:t>Saudi Journal of Biological Sciences</w:t>
      </w:r>
      <w:r w:rsidRPr="007A3962">
        <w:rPr>
          <w:rFonts w:ascii="Arial" w:hAnsi="Arial" w:cs="Arial"/>
          <w:noProof/>
          <w:sz w:val="20"/>
          <w:szCs w:val="20"/>
        </w:rPr>
        <w:t xml:space="preserve">, </w:t>
      </w:r>
      <w:r w:rsidRPr="007A3962">
        <w:rPr>
          <w:rFonts w:ascii="Arial" w:hAnsi="Arial" w:cs="Arial"/>
          <w:i/>
          <w:iCs/>
          <w:noProof/>
          <w:sz w:val="20"/>
          <w:szCs w:val="20"/>
        </w:rPr>
        <w:t>29</w:t>
      </w:r>
      <w:r w:rsidRPr="007A3962">
        <w:rPr>
          <w:rFonts w:ascii="Arial" w:hAnsi="Arial" w:cs="Arial"/>
          <w:noProof/>
          <w:sz w:val="20"/>
          <w:szCs w:val="20"/>
        </w:rPr>
        <w:t>(3), 1760–1769. https://doi.org/10.1016/j.sjbs.2021.10.054</w:t>
      </w:r>
    </w:p>
    <w:p w14:paraId="48F1210A"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Awasthi, R., Tewari, R., &amp; Nayyar, H. (2011). Synergy between Plants and P-Solubilizing Microbes in soils : Effects on Growth and Physiology of Crops. </w:t>
      </w:r>
      <w:r w:rsidRPr="007A3962">
        <w:rPr>
          <w:rFonts w:ascii="Arial" w:hAnsi="Arial" w:cs="Arial"/>
          <w:i/>
          <w:iCs/>
          <w:noProof/>
          <w:sz w:val="20"/>
          <w:szCs w:val="20"/>
        </w:rPr>
        <w:t>International Research Journal of Microbiology (IRJM)</w:t>
      </w:r>
      <w:r w:rsidRPr="007A3962">
        <w:rPr>
          <w:rFonts w:ascii="Arial" w:hAnsi="Arial" w:cs="Arial"/>
          <w:noProof/>
          <w:sz w:val="20"/>
          <w:szCs w:val="20"/>
        </w:rPr>
        <w:t xml:space="preserve">, </w:t>
      </w:r>
      <w:r w:rsidRPr="007A3962">
        <w:rPr>
          <w:rFonts w:ascii="Arial" w:hAnsi="Arial" w:cs="Arial"/>
          <w:i/>
          <w:iCs/>
          <w:noProof/>
          <w:sz w:val="20"/>
          <w:szCs w:val="20"/>
        </w:rPr>
        <w:t>2</w:t>
      </w:r>
      <w:r w:rsidRPr="007A3962">
        <w:rPr>
          <w:rFonts w:ascii="Arial" w:hAnsi="Arial" w:cs="Arial"/>
          <w:noProof/>
          <w:sz w:val="20"/>
          <w:szCs w:val="20"/>
        </w:rPr>
        <w:t>(12), 484–503.</w:t>
      </w:r>
    </w:p>
    <w:p w14:paraId="658D58DE"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lastRenderedPageBreak/>
        <w:t xml:space="preserve">Bakteria, P., &amp; Pekasam, I. (2018). </w:t>
      </w:r>
      <w:r w:rsidRPr="007A3962">
        <w:rPr>
          <w:rFonts w:ascii="Arial" w:hAnsi="Arial" w:cs="Arial"/>
          <w:i/>
          <w:iCs/>
          <w:noProof/>
          <w:sz w:val="20"/>
          <w:szCs w:val="20"/>
        </w:rPr>
        <w:t>Characterization and Screening of Lipolytic Bacteria from Thai Fermented Fish</w:t>
      </w:r>
      <w:r w:rsidRPr="007A3962">
        <w:rPr>
          <w:rFonts w:ascii="Arial" w:hAnsi="Arial" w:cs="Arial"/>
          <w:noProof/>
          <w:sz w:val="20"/>
          <w:szCs w:val="20"/>
        </w:rPr>
        <w:t xml:space="preserve">. </w:t>
      </w:r>
      <w:r w:rsidRPr="007A3962">
        <w:rPr>
          <w:rFonts w:ascii="Arial" w:hAnsi="Arial" w:cs="Arial"/>
          <w:i/>
          <w:iCs/>
          <w:noProof/>
          <w:sz w:val="20"/>
          <w:szCs w:val="20"/>
        </w:rPr>
        <w:t>47</w:t>
      </w:r>
      <w:r w:rsidRPr="007A3962">
        <w:rPr>
          <w:rFonts w:ascii="Arial" w:hAnsi="Arial" w:cs="Arial"/>
          <w:noProof/>
          <w:sz w:val="20"/>
          <w:szCs w:val="20"/>
        </w:rPr>
        <w:t>(1), 91–97.</w:t>
      </w:r>
    </w:p>
    <w:p w14:paraId="7A972D7D"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Balaji, N., Rajasekaran, K. M., Kanipandian, N., Vignesh, V., &amp; Thirumurugan, R. (2012). </w:t>
      </w:r>
      <w:r w:rsidRPr="007A3962">
        <w:rPr>
          <w:rFonts w:ascii="Arial" w:hAnsi="Arial" w:cs="Arial"/>
          <w:i/>
          <w:iCs/>
          <w:noProof/>
          <w:sz w:val="20"/>
          <w:szCs w:val="20"/>
        </w:rPr>
        <w:t>Isolation and screening of proteolytic bacteria from freshwater Fish Cyprinus carpio</w:t>
      </w:r>
      <w:r w:rsidRPr="007A3962">
        <w:rPr>
          <w:rFonts w:ascii="Arial" w:hAnsi="Arial" w:cs="Arial"/>
          <w:noProof/>
          <w:sz w:val="20"/>
          <w:szCs w:val="20"/>
        </w:rPr>
        <w:t xml:space="preserve">. </w:t>
      </w:r>
      <w:r w:rsidRPr="007A3962">
        <w:rPr>
          <w:rFonts w:ascii="Arial" w:hAnsi="Arial" w:cs="Arial"/>
          <w:i/>
          <w:iCs/>
          <w:noProof/>
          <w:sz w:val="20"/>
          <w:szCs w:val="20"/>
        </w:rPr>
        <w:t>2</w:t>
      </w:r>
      <w:r w:rsidRPr="007A3962">
        <w:rPr>
          <w:rFonts w:ascii="Arial" w:hAnsi="Arial" w:cs="Arial"/>
          <w:noProof/>
          <w:sz w:val="20"/>
          <w:szCs w:val="20"/>
        </w:rPr>
        <w:t>(6), 56–59.</w:t>
      </w:r>
    </w:p>
    <w:p w14:paraId="14B90362"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Behera, B. C., Yadav, H., Singh, S. K., Mishra, R. R., Sethi, B. K., Dutta, S. K., &amp; Thatoi, H. N. (2017). Phosphate solubilization and acid phosphatase activity of Serratia sp. isolated from mangrove soil of Mahanadi river delta, Odisha, India. </w:t>
      </w:r>
      <w:r w:rsidRPr="007A3962">
        <w:rPr>
          <w:rFonts w:ascii="Arial" w:hAnsi="Arial" w:cs="Arial"/>
          <w:i/>
          <w:iCs/>
          <w:noProof/>
          <w:sz w:val="20"/>
          <w:szCs w:val="20"/>
        </w:rPr>
        <w:t>Journal of Genetic Engineering and Biotechnology</w:t>
      </w:r>
      <w:r w:rsidRPr="007A3962">
        <w:rPr>
          <w:rFonts w:ascii="Arial" w:hAnsi="Arial" w:cs="Arial"/>
          <w:noProof/>
          <w:sz w:val="20"/>
          <w:szCs w:val="20"/>
        </w:rPr>
        <w:t xml:space="preserve">, </w:t>
      </w:r>
      <w:r w:rsidRPr="007A3962">
        <w:rPr>
          <w:rFonts w:ascii="Arial" w:hAnsi="Arial" w:cs="Arial"/>
          <w:i/>
          <w:iCs/>
          <w:noProof/>
          <w:sz w:val="20"/>
          <w:szCs w:val="20"/>
        </w:rPr>
        <w:t>15</w:t>
      </w:r>
      <w:r w:rsidRPr="007A3962">
        <w:rPr>
          <w:rFonts w:ascii="Arial" w:hAnsi="Arial" w:cs="Arial"/>
          <w:noProof/>
          <w:sz w:val="20"/>
          <w:szCs w:val="20"/>
        </w:rPr>
        <w:t>(1). https://doi.org/10.1016/j.jgeb.2017.01.003</w:t>
      </w:r>
    </w:p>
    <w:p w14:paraId="18C37A88"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Bhagat, S. A., &amp; Kokitkar, S. S. (2021). Isolation and identification of bacteria with cellulose-degrading potential from soil and optimization of cellulase production. </w:t>
      </w:r>
      <w:r w:rsidRPr="007A3962">
        <w:rPr>
          <w:rFonts w:ascii="Arial" w:hAnsi="Arial" w:cs="Arial"/>
          <w:i/>
          <w:iCs/>
          <w:noProof/>
          <w:sz w:val="20"/>
          <w:szCs w:val="20"/>
        </w:rPr>
        <w:t>Journal of Applied Biology and Biotechnology</w:t>
      </w:r>
      <w:r w:rsidRPr="007A3962">
        <w:rPr>
          <w:rFonts w:ascii="Arial" w:hAnsi="Arial" w:cs="Arial"/>
          <w:noProof/>
          <w:sz w:val="20"/>
          <w:szCs w:val="20"/>
        </w:rPr>
        <w:t xml:space="preserve">, </w:t>
      </w:r>
      <w:r w:rsidRPr="007A3962">
        <w:rPr>
          <w:rFonts w:ascii="Arial" w:hAnsi="Arial" w:cs="Arial"/>
          <w:i/>
          <w:iCs/>
          <w:noProof/>
          <w:sz w:val="20"/>
          <w:szCs w:val="20"/>
        </w:rPr>
        <w:t>9</w:t>
      </w:r>
      <w:r w:rsidRPr="007A3962">
        <w:rPr>
          <w:rFonts w:ascii="Arial" w:hAnsi="Arial" w:cs="Arial"/>
          <w:noProof/>
          <w:sz w:val="20"/>
          <w:szCs w:val="20"/>
        </w:rPr>
        <w:t>(6), 154–161. https://doi.org/10.7324/JABB.2021.96020</w:t>
      </w:r>
    </w:p>
    <w:p w14:paraId="1E40622A"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Bhatt, P. V., Rajiv, B., &amp; Vyas, M. (2014). </w:t>
      </w:r>
      <w:r w:rsidRPr="007A3962">
        <w:rPr>
          <w:rFonts w:ascii="Arial" w:hAnsi="Arial" w:cs="Arial"/>
          <w:i/>
          <w:iCs/>
          <w:noProof/>
          <w:sz w:val="20"/>
          <w:szCs w:val="20"/>
        </w:rPr>
        <w:t>Original Research Article Screening and Characterization of Plant Growth and Health Promoting Rhizobacteria</w:t>
      </w:r>
      <w:r w:rsidRPr="007A3962">
        <w:rPr>
          <w:rFonts w:ascii="Arial" w:hAnsi="Arial" w:cs="Arial"/>
          <w:noProof/>
          <w:sz w:val="20"/>
          <w:szCs w:val="20"/>
        </w:rPr>
        <w:t xml:space="preserve">. </w:t>
      </w:r>
      <w:r w:rsidRPr="007A3962">
        <w:rPr>
          <w:rFonts w:ascii="Arial" w:hAnsi="Arial" w:cs="Arial"/>
          <w:i/>
          <w:iCs/>
          <w:noProof/>
          <w:sz w:val="20"/>
          <w:szCs w:val="20"/>
        </w:rPr>
        <w:t>3</w:t>
      </w:r>
      <w:r w:rsidRPr="007A3962">
        <w:rPr>
          <w:rFonts w:ascii="Arial" w:hAnsi="Arial" w:cs="Arial"/>
          <w:noProof/>
          <w:sz w:val="20"/>
          <w:szCs w:val="20"/>
        </w:rPr>
        <w:t>(6), 139–155.</w:t>
      </w:r>
    </w:p>
    <w:p w14:paraId="2702A5EC"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Braz, R. R., &amp; Nahas, E. (2012). Synergistic action of both Aspergillus niger and Burkholderia cepacea in co-culture increases phosphate solubilization in growth medium. </w:t>
      </w:r>
      <w:r w:rsidRPr="007A3962">
        <w:rPr>
          <w:rFonts w:ascii="Arial" w:hAnsi="Arial" w:cs="Arial"/>
          <w:i/>
          <w:iCs/>
          <w:noProof/>
          <w:sz w:val="20"/>
          <w:szCs w:val="20"/>
        </w:rPr>
        <w:t>FEMS Microbiology Letters</w:t>
      </w:r>
      <w:r w:rsidRPr="007A3962">
        <w:rPr>
          <w:rFonts w:ascii="Arial" w:hAnsi="Arial" w:cs="Arial"/>
          <w:noProof/>
          <w:sz w:val="20"/>
          <w:szCs w:val="20"/>
        </w:rPr>
        <w:t xml:space="preserve">, </w:t>
      </w:r>
      <w:r w:rsidRPr="007A3962">
        <w:rPr>
          <w:rFonts w:ascii="Arial" w:hAnsi="Arial" w:cs="Arial"/>
          <w:i/>
          <w:iCs/>
          <w:noProof/>
          <w:sz w:val="20"/>
          <w:szCs w:val="20"/>
        </w:rPr>
        <w:t>332</w:t>
      </w:r>
      <w:r w:rsidRPr="007A3962">
        <w:rPr>
          <w:rFonts w:ascii="Arial" w:hAnsi="Arial" w:cs="Arial"/>
          <w:noProof/>
          <w:sz w:val="20"/>
          <w:szCs w:val="20"/>
        </w:rPr>
        <w:t>(1), 84–90. https://doi.org/10.1111/j.1574-6968.2012.02580.x</w:t>
      </w:r>
    </w:p>
    <w:p w14:paraId="2BA41F35"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Chaia, R. E. Z., &amp; Gonza, S. (1999). </w:t>
      </w:r>
      <w:r w:rsidRPr="007A3962">
        <w:rPr>
          <w:rFonts w:ascii="Arial" w:hAnsi="Arial" w:cs="Arial"/>
          <w:i/>
          <w:iCs/>
          <w:noProof/>
          <w:sz w:val="20"/>
          <w:szCs w:val="20"/>
        </w:rPr>
        <w:t>Lactobacilli Isolated from Chicken Intestines : Potential Use as Probiotics</w:t>
      </w:r>
      <w:r w:rsidRPr="007A3962">
        <w:rPr>
          <w:rFonts w:ascii="Arial" w:hAnsi="Arial" w:cs="Arial"/>
          <w:noProof/>
          <w:sz w:val="20"/>
          <w:szCs w:val="20"/>
        </w:rPr>
        <w:t xml:space="preserve">. </w:t>
      </w:r>
      <w:r w:rsidRPr="007A3962">
        <w:rPr>
          <w:rFonts w:ascii="Arial" w:hAnsi="Arial" w:cs="Arial"/>
          <w:i/>
          <w:iCs/>
          <w:noProof/>
          <w:sz w:val="20"/>
          <w:szCs w:val="20"/>
        </w:rPr>
        <w:t>62</w:t>
      </w:r>
      <w:r w:rsidRPr="007A3962">
        <w:rPr>
          <w:rFonts w:ascii="Arial" w:hAnsi="Arial" w:cs="Arial"/>
          <w:noProof/>
          <w:sz w:val="20"/>
          <w:szCs w:val="20"/>
        </w:rPr>
        <w:t>(3), 252–256.</w:t>
      </w:r>
    </w:p>
    <w:p w14:paraId="524E113D"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Chotchutima, S., Tudsri, S., Kangvansaichol, K., &amp; Sripichitt, P. (2016). Effects of sulfur and phosphorus application on the growth, biomass yield and fuel properties of leucaena (Leucaena leucocephala (Lam.) de Wit.) as bioenergy crop on sandy infertile soil. </w:t>
      </w:r>
      <w:r w:rsidRPr="007A3962">
        <w:rPr>
          <w:rFonts w:ascii="Arial" w:hAnsi="Arial" w:cs="Arial"/>
          <w:i/>
          <w:iCs/>
          <w:noProof/>
          <w:sz w:val="20"/>
          <w:szCs w:val="20"/>
        </w:rPr>
        <w:t>Agriculture and Natural Resources</w:t>
      </w:r>
      <w:r w:rsidRPr="007A3962">
        <w:rPr>
          <w:rFonts w:ascii="Arial" w:hAnsi="Arial" w:cs="Arial"/>
          <w:noProof/>
          <w:sz w:val="20"/>
          <w:szCs w:val="20"/>
        </w:rPr>
        <w:t xml:space="preserve">, </w:t>
      </w:r>
      <w:r w:rsidRPr="007A3962">
        <w:rPr>
          <w:rFonts w:ascii="Arial" w:hAnsi="Arial" w:cs="Arial"/>
          <w:i/>
          <w:iCs/>
          <w:noProof/>
          <w:sz w:val="20"/>
          <w:szCs w:val="20"/>
        </w:rPr>
        <w:t>50</w:t>
      </w:r>
      <w:r w:rsidRPr="007A3962">
        <w:rPr>
          <w:rFonts w:ascii="Arial" w:hAnsi="Arial" w:cs="Arial"/>
          <w:noProof/>
          <w:sz w:val="20"/>
          <w:szCs w:val="20"/>
        </w:rPr>
        <w:t>(1), 54–59. https://doi.org/10.1016/j.anres.2015.09.002</w:t>
      </w:r>
    </w:p>
    <w:p w14:paraId="17F83AF6"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Chowdhury, T., &amp; Islam, S. (2016). </w:t>
      </w:r>
      <w:r w:rsidRPr="007A3962">
        <w:rPr>
          <w:rFonts w:ascii="Arial" w:hAnsi="Arial" w:cs="Arial"/>
          <w:i/>
          <w:iCs/>
          <w:noProof/>
          <w:sz w:val="20"/>
          <w:szCs w:val="20"/>
        </w:rPr>
        <w:t>Isolation, Identification and Determination of Probiotic potential of Lactic Acid Bacteria from Local Curd</w:t>
      </w:r>
      <w:r w:rsidRPr="007A3962">
        <w:rPr>
          <w:rFonts w:ascii="Arial" w:hAnsi="Arial" w:cs="Arial"/>
          <w:noProof/>
          <w:sz w:val="20"/>
          <w:szCs w:val="20"/>
        </w:rPr>
        <w:t xml:space="preserve">. </w:t>
      </w:r>
      <w:r w:rsidRPr="007A3962">
        <w:rPr>
          <w:rFonts w:ascii="Arial" w:hAnsi="Arial" w:cs="Arial"/>
          <w:i/>
          <w:iCs/>
          <w:noProof/>
          <w:sz w:val="20"/>
          <w:szCs w:val="20"/>
        </w:rPr>
        <w:t>7</w:t>
      </w:r>
      <w:r w:rsidRPr="007A3962">
        <w:rPr>
          <w:rFonts w:ascii="Arial" w:hAnsi="Arial" w:cs="Arial"/>
          <w:noProof/>
          <w:sz w:val="20"/>
          <w:szCs w:val="20"/>
        </w:rPr>
        <w:t>(4), 263–267.</w:t>
      </w:r>
    </w:p>
    <w:p w14:paraId="28FAB521"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Das, P., Mandal, S., Khan, A., Manna, S. K., &amp; Ghosh, K. (2014). Distribution of extracellular enzyme-</w:t>
      </w:r>
      <w:r w:rsidRPr="007A3962">
        <w:rPr>
          <w:rFonts w:ascii="Arial" w:hAnsi="Arial" w:cs="Arial"/>
          <w:noProof/>
          <w:sz w:val="20"/>
          <w:szCs w:val="20"/>
        </w:rPr>
        <w:lastRenderedPageBreak/>
        <w:t xml:space="preserve">producing bacteria in the digestive tracts of 4 brackish water fish species. </w:t>
      </w:r>
      <w:r w:rsidRPr="007A3962">
        <w:rPr>
          <w:rFonts w:ascii="Arial" w:hAnsi="Arial" w:cs="Arial"/>
          <w:i/>
          <w:iCs/>
          <w:noProof/>
          <w:sz w:val="20"/>
          <w:szCs w:val="20"/>
        </w:rPr>
        <w:t>Turkish Journal of Zoology</w:t>
      </w:r>
      <w:r w:rsidRPr="007A3962">
        <w:rPr>
          <w:rFonts w:ascii="Arial" w:hAnsi="Arial" w:cs="Arial"/>
          <w:noProof/>
          <w:sz w:val="20"/>
          <w:szCs w:val="20"/>
        </w:rPr>
        <w:t xml:space="preserve">, </w:t>
      </w:r>
      <w:r w:rsidRPr="007A3962">
        <w:rPr>
          <w:rFonts w:ascii="Arial" w:hAnsi="Arial" w:cs="Arial"/>
          <w:i/>
          <w:iCs/>
          <w:noProof/>
          <w:sz w:val="20"/>
          <w:szCs w:val="20"/>
        </w:rPr>
        <w:t>38</w:t>
      </w:r>
      <w:r w:rsidRPr="007A3962">
        <w:rPr>
          <w:rFonts w:ascii="Arial" w:hAnsi="Arial" w:cs="Arial"/>
          <w:noProof/>
          <w:sz w:val="20"/>
          <w:szCs w:val="20"/>
        </w:rPr>
        <w:t>(1), 79–88. https://doi.org/10.3906/zoo-1205-3</w:t>
      </w:r>
    </w:p>
    <w:p w14:paraId="35036A96"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Dey, A., Ghosh, K., &amp; Hazra, N. (2016). Evaluation of extracellular enzyme-producing autochthonous gut bacteria in walking catfish, Clarias batrachus (L.). </w:t>
      </w:r>
      <w:r w:rsidRPr="007A3962">
        <w:rPr>
          <w:rFonts w:ascii="Arial" w:hAnsi="Arial" w:cs="Arial"/>
          <w:i/>
          <w:iCs/>
          <w:noProof/>
          <w:sz w:val="20"/>
          <w:szCs w:val="20"/>
        </w:rPr>
        <w:t>Journal of Fisheries</w:t>
      </w:r>
      <w:r w:rsidRPr="007A3962">
        <w:rPr>
          <w:rFonts w:ascii="Arial" w:hAnsi="Arial" w:cs="Arial"/>
          <w:noProof/>
          <w:sz w:val="20"/>
          <w:szCs w:val="20"/>
        </w:rPr>
        <w:t xml:space="preserve">, </w:t>
      </w:r>
      <w:r w:rsidRPr="007A3962">
        <w:rPr>
          <w:rFonts w:ascii="Arial" w:hAnsi="Arial" w:cs="Arial"/>
          <w:i/>
          <w:iCs/>
          <w:noProof/>
          <w:sz w:val="20"/>
          <w:szCs w:val="20"/>
        </w:rPr>
        <w:t>4</w:t>
      </w:r>
      <w:r w:rsidRPr="007A3962">
        <w:rPr>
          <w:rFonts w:ascii="Arial" w:hAnsi="Arial" w:cs="Arial"/>
          <w:noProof/>
          <w:sz w:val="20"/>
          <w:szCs w:val="20"/>
        </w:rPr>
        <w:t>(1), 345. https://doi.org/10.17017/jfish.v4i1.2016.115</w:t>
      </w:r>
    </w:p>
    <w:p w14:paraId="5F1CCDCA"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Doroshenko, E. V, Boulygina, E. S., Spiridonova, E. M., Tourova, T. P., &amp; Kravchenko, I. K. (2007). </w:t>
      </w:r>
      <w:r w:rsidRPr="007A3962">
        <w:rPr>
          <w:rFonts w:ascii="Arial" w:hAnsi="Arial" w:cs="Arial"/>
          <w:i/>
          <w:iCs/>
          <w:noProof/>
          <w:sz w:val="20"/>
          <w:szCs w:val="20"/>
        </w:rPr>
        <w:t>Isolation and Characterization of Nitrogen-Fixing Bacteria of the Genus Azospirillum from the Soil of a Sphagnum Peat Bog</w:t>
      </w:r>
      <w:r w:rsidRPr="007A3962">
        <w:rPr>
          <w:rFonts w:ascii="Arial" w:hAnsi="Arial" w:cs="Arial"/>
          <w:noProof/>
          <w:sz w:val="20"/>
          <w:szCs w:val="20"/>
        </w:rPr>
        <w:t xml:space="preserve">. </w:t>
      </w:r>
      <w:r w:rsidRPr="007A3962">
        <w:rPr>
          <w:rFonts w:ascii="Arial" w:hAnsi="Arial" w:cs="Arial"/>
          <w:i/>
          <w:iCs/>
          <w:noProof/>
          <w:sz w:val="20"/>
          <w:szCs w:val="20"/>
        </w:rPr>
        <w:t>76</w:t>
      </w:r>
      <w:r w:rsidRPr="007A3962">
        <w:rPr>
          <w:rFonts w:ascii="Arial" w:hAnsi="Arial" w:cs="Arial"/>
          <w:noProof/>
          <w:sz w:val="20"/>
          <w:szCs w:val="20"/>
        </w:rPr>
        <w:t>(1), 107–115. https://doi.org/10.1134/S0026261707010134</w:t>
      </w:r>
    </w:p>
    <w:p w14:paraId="6F0F9B4B"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Dowarah, R., Verma, A. K., Agarwal, N., &amp; Singh, P. (2018). </w:t>
      </w:r>
      <w:r w:rsidRPr="007A3962">
        <w:rPr>
          <w:rFonts w:ascii="Arial" w:hAnsi="Arial" w:cs="Arial"/>
          <w:i/>
          <w:iCs/>
          <w:noProof/>
          <w:sz w:val="20"/>
          <w:szCs w:val="20"/>
        </w:rPr>
        <w:t>Selection and characterization of probiotic lactic acid bacteria and its impact on growth , nutrient digestibility , health and antioxidant status in weaned piglets</w:t>
      </w:r>
      <w:r w:rsidRPr="007A3962">
        <w:rPr>
          <w:rFonts w:ascii="Arial" w:hAnsi="Arial" w:cs="Arial"/>
          <w:noProof/>
          <w:sz w:val="20"/>
          <w:szCs w:val="20"/>
        </w:rPr>
        <w:t>.</w:t>
      </w:r>
    </w:p>
    <w:p w14:paraId="44C56F14"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Elias, F., Woyessa, D., &amp; Muleta, D. (2016). </w:t>
      </w:r>
      <w:r w:rsidRPr="007A3962">
        <w:rPr>
          <w:rFonts w:ascii="Arial" w:hAnsi="Arial" w:cs="Arial"/>
          <w:i/>
          <w:iCs/>
          <w:noProof/>
          <w:sz w:val="20"/>
          <w:szCs w:val="20"/>
        </w:rPr>
        <w:t>Phosphate Solubilization Potential of Rhizosphere Fungi Isolated from Plants in Jimma Zone , Southwest Ethiopia</w:t>
      </w:r>
      <w:r w:rsidRPr="007A3962">
        <w:rPr>
          <w:rFonts w:ascii="Arial" w:hAnsi="Arial" w:cs="Arial"/>
          <w:noProof/>
          <w:sz w:val="20"/>
          <w:szCs w:val="20"/>
        </w:rPr>
        <w:t xml:space="preserve">. </w:t>
      </w:r>
      <w:r w:rsidRPr="007A3962">
        <w:rPr>
          <w:rFonts w:ascii="Arial" w:hAnsi="Arial" w:cs="Arial"/>
          <w:i/>
          <w:iCs/>
          <w:noProof/>
          <w:sz w:val="20"/>
          <w:szCs w:val="20"/>
        </w:rPr>
        <w:t>2016</w:t>
      </w:r>
      <w:r w:rsidRPr="007A3962">
        <w:rPr>
          <w:rFonts w:ascii="Arial" w:hAnsi="Arial" w:cs="Arial"/>
          <w:noProof/>
          <w:sz w:val="20"/>
          <w:szCs w:val="20"/>
        </w:rPr>
        <w:t>(1).</w:t>
      </w:r>
    </w:p>
    <w:p w14:paraId="65431C38"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Firmani, U. (2022). Molecular Identification of Amylolytic Bacteria Isolated from Digestive Tract of Milkfish (Chanos chanos Forskal) based on 16S rRNA Gene Sequences. </w:t>
      </w:r>
      <w:r w:rsidRPr="007A3962">
        <w:rPr>
          <w:rFonts w:ascii="Arial" w:hAnsi="Arial" w:cs="Arial"/>
          <w:i/>
          <w:iCs/>
          <w:noProof/>
          <w:sz w:val="20"/>
          <w:szCs w:val="20"/>
        </w:rPr>
        <w:t>Pakistan Journal of Zoology</w:t>
      </w:r>
      <w:r w:rsidRPr="007A3962">
        <w:rPr>
          <w:rFonts w:ascii="Arial" w:hAnsi="Arial" w:cs="Arial"/>
          <w:noProof/>
          <w:sz w:val="20"/>
          <w:szCs w:val="20"/>
        </w:rPr>
        <w:t>. https://doi.org/10.17582/journal.pjz/20220216070257</w:t>
      </w:r>
    </w:p>
    <w:p w14:paraId="5A9E74E5"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Ghevariya, K., &amp; Desai, P. (2015). </w:t>
      </w:r>
      <w:r w:rsidRPr="007A3962">
        <w:rPr>
          <w:rFonts w:ascii="Arial" w:hAnsi="Arial" w:cs="Arial"/>
          <w:i/>
          <w:iCs/>
          <w:noProof/>
          <w:sz w:val="20"/>
          <w:szCs w:val="20"/>
        </w:rPr>
        <w:t>Zinc Solubilizing Rhizobacteria Associated with Sugarcane from South Gujarat Region</w:t>
      </w:r>
      <w:r w:rsidRPr="007A3962">
        <w:rPr>
          <w:rFonts w:ascii="Arial" w:hAnsi="Arial" w:cs="Arial"/>
          <w:noProof/>
          <w:sz w:val="20"/>
          <w:szCs w:val="20"/>
        </w:rPr>
        <w:t xml:space="preserve">. </w:t>
      </w:r>
      <w:r w:rsidRPr="007A3962">
        <w:rPr>
          <w:rFonts w:ascii="Arial" w:hAnsi="Arial" w:cs="Arial"/>
          <w:i/>
          <w:iCs/>
          <w:noProof/>
          <w:sz w:val="20"/>
          <w:szCs w:val="20"/>
        </w:rPr>
        <w:t>4</w:t>
      </w:r>
      <w:r w:rsidRPr="007A3962">
        <w:rPr>
          <w:rFonts w:ascii="Arial" w:hAnsi="Arial" w:cs="Arial"/>
          <w:noProof/>
          <w:sz w:val="20"/>
          <w:szCs w:val="20"/>
        </w:rPr>
        <w:t>(12), 2235–2238.</w:t>
      </w:r>
    </w:p>
    <w:p w14:paraId="0BF76C42"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Goswami, M., &amp; Deka, S. (2020). Isolation of a novel rhizobacteria having multiple plant growth promoting traits and antifungal activity against certain phytopathogens. </w:t>
      </w:r>
      <w:r w:rsidRPr="007A3962">
        <w:rPr>
          <w:rFonts w:ascii="Arial" w:hAnsi="Arial" w:cs="Arial"/>
          <w:i/>
          <w:iCs/>
          <w:noProof/>
          <w:sz w:val="20"/>
          <w:szCs w:val="20"/>
        </w:rPr>
        <w:t>Microbiological Research</w:t>
      </w:r>
      <w:r w:rsidRPr="007A3962">
        <w:rPr>
          <w:rFonts w:ascii="Arial" w:hAnsi="Arial" w:cs="Arial"/>
          <w:noProof/>
          <w:sz w:val="20"/>
          <w:szCs w:val="20"/>
        </w:rPr>
        <w:t xml:space="preserve">, </w:t>
      </w:r>
      <w:r w:rsidRPr="007A3962">
        <w:rPr>
          <w:rFonts w:ascii="Arial" w:hAnsi="Arial" w:cs="Arial"/>
          <w:i/>
          <w:iCs/>
          <w:noProof/>
          <w:sz w:val="20"/>
          <w:szCs w:val="20"/>
        </w:rPr>
        <w:t>240</w:t>
      </w:r>
      <w:r w:rsidRPr="007A3962">
        <w:rPr>
          <w:rFonts w:ascii="Arial" w:hAnsi="Arial" w:cs="Arial"/>
          <w:noProof/>
          <w:sz w:val="20"/>
          <w:szCs w:val="20"/>
        </w:rPr>
        <w:t>(May), 126516. https://doi.org/10.1016/j.micres.2020.126516</w:t>
      </w:r>
    </w:p>
    <w:p w14:paraId="2E00C524"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Gupta, M., Kiran, S., Gulati, A., Singh, B., &amp; Tewari, R. (2012). Isolation and identification of phosphate solubilizing bacteria able to enhance the growth and aloin-A biosynthesis of Aloe barbadensis Miller. </w:t>
      </w:r>
      <w:r w:rsidRPr="007A3962">
        <w:rPr>
          <w:rFonts w:ascii="Arial" w:hAnsi="Arial" w:cs="Arial"/>
          <w:i/>
          <w:iCs/>
          <w:noProof/>
          <w:sz w:val="20"/>
          <w:szCs w:val="20"/>
        </w:rPr>
        <w:t>Microbiological Research</w:t>
      </w:r>
      <w:r w:rsidRPr="007A3962">
        <w:rPr>
          <w:rFonts w:ascii="Arial" w:hAnsi="Arial" w:cs="Arial"/>
          <w:noProof/>
          <w:sz w:val="20"/>
          <w:szCs w:val="20"/>
        </w:rPr>
        <w:t xml:space="preserve">, </w:t>
      </w:r>
      <w:r w:rsidRPr="007A3962">
        <w:rPr>
          <w:rFonts w:ascii="Arial" w:hAnsi="Arial" w:cs="Arial"/>
          <w:i/>
          <w:iCs/>
          <w:noProof/>
          <w:sz w:val="20"/>
          <w:szCs w:val="20"/>
        </w:rPr>
        <w:t>167</w:t>
      </w:r>
      <w:r w:rsidRPr="007A3962">
        <w:rPr>
          <w:rFonts w:ascii="Arial" w:hAnsi="Arial" w:cs="Arial"/>
          <w:noProof/>
          <w:sz w:val="20"/>
          <w:szCs w:val="20"/>
        </w:rPr>
        <w:t>(6), 358–363. https://doi.org/10.1016/j.micres.2012.02.004</w:t>
      </w:r>
    </w:p>
    <w:p w14:paraId="6E97D383"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Hajjam, Y., &amp; Cherkaoui, S. (2017). </w:t>
      </w:r>
      <w:r w:rsidRPr="007A3962">
        <w:rPr>
          <w:rFonts w:ascii="Arial" w:hAnsi="Arial" w:cs="Arial"/>
          <w:i/>
          <w:iCs/>
          <w:noProof/>
          <w:sz w:val="20"/>
          <w:szCs w:val="20"/>
        </w:rPr>
        <w:t xml:space="preserve">The influence of phosphate solubilizing microorganisms on symbiotic </w:t>
      </w:r>
      <w:r w:rsidRPr="007A3962">
        <w:rPr>
          <w:rFonts w:ascii="Arial" w:hAnsi="Arial" w:cs="Arial"/>
          <w:i/>
          <w:iCs/>
          <w:noProof/>
          <w:sz w:val="20"/>
          <w:szCs w:val="20"/>
        </w:rPr>
        <w:lastRenderedPageBreak/>
        <w:t>nitrogen fixation : Perspectives for sustainable agriculture</w:t>
      </w:r>
      <w:r w:rsidRPr="007A3962">
        <w:rPr>
          <w:rFonts w:ascii="Arial" w:hAnsi="Arial" w:cs="Arial"/>
          <w:noProof/>
          <w:sz w:val="20"/>
          <w:szCs w:val="20"/>
        </w:rPr>
        <w:t xml:space="preserve">. </w:t>
      </w:r>
      <w:r w:rsidRPr="007A3962">
        <w:rPr>
          <w:rFonts w:ascii="Arial" w:hAnsi="Arial" w:cs="Arial"/>
          <w:i/>
          <w:iCs/>
          <w:noProof/>
          <w:sz w:val="20"/>
          <w:szCs w:val="20"/>
        </w:rPr>
        <w:t>8</w:t>
      </w:r>
      <w:r w:rsidRPr="007A3962">
        <w:rPr>
          <w:rFonts w:ascii="Arial" w:hAnsi="Arial" w:cs="Arial"/>
          <w:noProof/>
          <w:sz w:val="20"/>
          <w:szCs w:val="20"/>
        </w:rPr>
        <w:t>(3), 801–808.</w:t>
      </w:r>
    </w:p>
    <w:p w14:paraId="519A35D6"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Hameeda, B., Harini, G., Rupela, O. P., Wani, S. P., &amp; Reddy, G. (2008). </w:t>
      </w:r>
      <w:r w:rsidRPr="007A3962">
        <w:rPr>
          <w:rFonts w:ascii="Arial" w:hAnsi="Arial" w:cs="Arial"/>
          <w:i/>
          <w:iCs/>
          <w:noProof/>
          <w:sz w:val="20"/>
          <w:szCs w:val="20"/>
        </w:rPr>
        <w:t>Growth promotion of maize by phosphate- solubilizing bacteria isolated from composts and macrofauna</w:t>
      </w:r>
      <w:r w:rsidRPr="007A3962">
        <w:rPr>
          <w:rFonts w:ascii="Arial" w:hAnsi="Arial" w:cs="Arial"/>
          <w:noProof/>
          <w:sz w:val="20"/>
          <w:szCs w:val="20"/>
        </w:rPr>
        <w:t xml:space="preserve">. </w:t>
      </w:r>
      <w:r w:rsidRPr="007A3962">
        <w:rPr>
          <w:rFonts w:ascii="Arial" w:hAnsi="Arial" w:cs="Arial"/>
          <w:i/>
          <w:iCs/>
          <w:noProof/>
          <w:sz w:val="20"/>
          <w:szCs w:val="20"/>
        </w:rPr>
        <w:t>163</w:t>
      </w:r>
      <w:r w:rsidRPr="007A3962">
        <w:rPr>
          <w:rFonts w:ascii="Arial" w:hAnsi="Arial" w:cs="Arial"/>
          <w:noProof/>
          <w:sz w:val="20"/>
          <w:szCs w:val="20"/>
        </w:rPr>
        <w:t>, 234–242. https://doi.org/10.1016/j.micres.2006.05.009</w:t>
      </w:r>
    </w:p>
    <w:p w14:paraId="2410264A"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Hardy, T., Kanyama-phiri, G., Kumwenda, J., Mann, C., Mughogho, S., Phiri, A., &amp; Blackie, M. (1998). </w:t>
      </w:r>
      <w:r w:rsidRPr="007A3962">
        <w:rPr>
          <w:rFonts w:ascii="Arial" w:hAnsi="Arial" w:cs="Arial"/>
          <w:i/>
          <w:iCs/>
          <w:noProof/>
          <w:sz w:val="20"/>
          <w:szCs w:val="20"/>
        </w:rPr>
        <w:t>MALAWI : SOIL FERTILITY ISSUES AND OPTIONS</w:t>
      </w:r>
      <w:r w:rsidRPr="007A3962">
        <w:rPr>
          <w:rFonts w:ascii="Arial" w:hAnsi="Arial" w:cs="Arial"/>
          <w:noProof/>
          <w:sz w:val="20"/>
          <w:szCs w:val="20"/>
        </w:rPr>
        <w:t xml:space="preserve">. </w:t>
      </w:r>
      <w:r w:rsidRPr="007A3962">
        <w:rPr>
          <w:rFonts w:ascii="Arial" w:hAnsi="Arial" w:cs="Arial"/>
          <w:i/>
          <w:iCs/>
          <w:noProof/>
          <w:sz w:val="20"/>
          <w:szCs w:val="20"/>
        </w:rPr>
        <w:t>May</w:t>
      </w:r>
      <w:r w:rsidRPr="007A3962">
        <w:rPr>
          <w:rFonts w:ascii="Arial" w:hAnsi="Arial" w:cs="Arial"/>
          <w:noProof/>
          <w:sz w:val="20"/>
          <w:szCs w:val="20"/>
        </w:rPr>
        <w:t>, 1–55.</w:t>
      </w:r>
    </w:p>
    <w:p w14:paraId="1A99ACAB"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Hossain, M. K., Iehata, S., Noordin, N. M., Kader, M. A., Emilia, S. N., Sung, Y. Y., &amp; Abol-Munafi, A. B. (2022). Isolation and identification of potential host probiotic bacteria from Malaysian mahseer, Tor tambroides for aquaculture practices. </w:t>
      </w:r>
      <w:r w:rsidRPr="007A3962">
        <w:rPr>
          <w:rFonts w:ascii="Arial" w:hAnsi="Arial" w:cs="Arial"/>
          <w:i/>
          <w:iCs/>
          <w:noProof/>
          <w:sz w:val="20"/>
          <w:szCs w:val="20"/>
        </w:rPr>
        <w:t>Biodiversitas</w:t>
      </w:r>
      <w:r w:rsidRPr="007A3962">
        <w:rPr>
          <w:rFonts w:ascii="Arial" w:hAnsi="Arial" w:cs="Arial"/>
          <w:noProof/>
          <w:sz w:val="20"/>
          <w:szCs w:val="20"/>
        </w:rPr>
        <w:t xml:space="preserve">, </w:t>
      </w:r>
      <w:r w:rsidRPr="007A3962">
        <w:rPr>
          <w:rFonts w:ascii="Arial" w:hAnsi="Arial" w:cs="Arial"/>
          <w:i/>
          <w:iCs/>
          <w:noProof/>
          <w:sz w:val="20"/>
          <w:szCs w:val="20"/>
        </w:rPr>
        <w:t>23</w:t>
      </w:r>
      <w:r w:rsidRPr="007A3962">
        <w:rPr>
          <w:rFonts w:ascii="Arial" w:hAnsi="Arial" w:cs="Arial"/>
          <w:noProof/>
          <w:sz w:val="20"/>
          <w:szCs w:val="20"/>
        </w:rPr>
        <w:t>(10), 5423–5430. https://doi.org/10.13057/biodiv/d231053</w:t>
      </w:r>
    </w:p>
    <w:p w14:paraId="1481D00D"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Hossain, T. J., Chowdhury, S. I., Mozumder, H. A., Chowdhury, M. N. A., Ali, F., Rahman, N., &amp; Dey, S. (2020). Hydrolytic Exoenzymes Produced by Bacteria Isolated and Identified From the Gastrointestinal Tract of Bombay Duck. </w:t>
      </w:r>
      <w:r w:rsidRPr="007A3962">
        <w:rPr>
          <w:rFonts w:ascii="Arial" w:hAnsi="Arial" w:cs="Arial"/>
          <w:i/>
          <w:iCs/>
          <w:noProof/>
          <w:sz w:val="20"/>
          <w:szCs w:val="20"/>
        </w:rPr>
        <w:t>Frontiers in Microbiology</w:t>
      </w:r>
      <w:r w:rsidRPr="007A3962">
        <w:rPr>
          <w:rFonts w:ascii="Arial" w:hAnsi="Arial" w:cs="Arial"/>
          <w:noProof/>
          <w:sz w:val="20"/>
          <w:szCs w:val="20"/>
        </w:rPr>
        <w:t xml:space="preserve">, </w:t>
      </w:r>
      <w:r w:rsidRPr="007A3962">
        <w:rPr>
          <w:rFonts w:ascii="Arial" w:hAnsi="Arial" w:cs="Arial"/>
          <w:i/>
          <w:iCs/>
          <w:noProof/>
          <w:sz w:val="20"/>
          <w:szCs w:val="20"/>
        </w:rPr>
        <w:t>11</w:t>
      </w:r>
      <w:r w:rsidRPr="007A3962">
        <w:rPr>
          <w:rFonts w:ascii="Arial" w:hAnsi="Arial" w:cs="Arial"/>
          <w:noProof/>
          <w:sz w:val="20"/>
          <w:szCs w:val="20"/>
        </w:rPr>
        <w:t>. https://doi.org/10.3389/fmicb.2020.02097</w:t>
      </w:r>
    </w:p>
    <w:p w14:paraId="5317317A"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Investigación, A. D. E., Patricia, Á., Quevedo, M., Walter, N., Vega, O., Augusto, O., &amp; Murillo, G. (2015). </w:t>
      </w:r>
      <w:r w:rsidRPr="007A3962">
        <w:rPr>
          <w:rFonts w:ascii="Arial" w:hAnsi="Arial" w:cs="Arial"/>
          <w:i/>
          <w:iCs/>
          <w:noProof/>
          <w:sz w:val="20"/>
          <w:szCs w:val="20"/>
        </w:rPr>
        <w:t xml:space="preserve">In vitro </w:t>
      </w:r>
      <w:r w:rsidR="00167541" w:rsidRPr="007A3962">
        <w:rPr>
          <w:rFonts w:ascii="Arial" w:hAnsi="Arial" w:cs="Arial"/>
          <w:i/>
          <w:iCs/>
          <w:noProof/>
          <w:sz w:val="20"/>
          <w:szCs w:val="20"/>
        </w:rPr>
        <w:t>dissolution of acidulated rock phosphate by phosphate solubilizing microorganisms</w:t>
      </w:r>
      <w:r w:rsidRPr="007A3962">
        <w:rPr>
          <w:rFonts w:ascii="Arial" w:hAnsi="Arial" w:cs="Arial"/>
          <w:i/>
          <w:iCs/>
          <w:noProof/>
          <w:sz w:val="20"/>
          <w:szCs w:val="20"/>
        </w:rPr>
        <w:t xml:space="preserve"> Disolución in vitro de rocas fosfóricas aciduladas por microorganismos solubilizadores de fósforo</w:t>
      </w:r>
      <w:r w:rsidRPr="007A3962">
        <w:rPr>
          <w:rFonts w:ascii="Arial" w:hAnsi="Arial" w:cs="Arial"/>
          <w:noProof/>
          <w:sz w:val="20"/>
          <w:szCs w:val="20"/>
        </w:rPr>
        <w:t xml:space="preserve">. </w:t>
      </w:r>
      <w:r w:rsidRPr="007A3962">
        <w:rPr>
          <w:rFonts w:ascii="Arial" w:hAnsi="Arial" w:cs="Arial"/>
          <w:i/>
          <w:iCs/>
          <w:noProof/>
          <w:sz w:val="20"/>
          <w:szCs w:val="20"/>
        </w:rPr>
        <w:t>20</w:t>
      </w:r>
      <w:r w:rsidRPr="007A3962">
        <w:rPr>
          <w:rFonts w:ascii="Arial" w:hAnsi="Arial" w:cs="Arial"/>
          <w:noProof/>
          <w:sz w:val="20"/>
          <w:szCs w:val="20"/>
        </w:rPr>
        <w:t>(2), 65–71.</w:t>
      </w:r>
    </w:p>
    <w:p w14:paraId="3BD1FC59"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Isolation and characterization of Rhodococcus qingshengii, a cellulolytic bacteria from Cnaphalocrocis medinalis (Lepidoptera: Crambidae) gut. (2021). </w:t>
      </w:r>
      <w:r w:rsidRPr="007A3962">
        <w:rPr>
          <w:rFonts w:ascii="Arial" w:hAnsi="Arial" w:cs="Arial"/>
          <w:i/>
          <w:iCs/>
          <w:noProof/>
          <w:sz w:val="20"/>
          <w:szCs w:val="20"/>
        </w:rPr>
        <w:t>Environmental and Experimental Biology</w:t>
      </w:r>
      <w:r w:rsidRPr="007A3962">
        <w:rPr>
          <w:rFonts w:ascii="Arial" w:hAnsi="Arial" w:cs="Arial"/>
          <w:noProof/>
          <w:sz w:val="20"/>
          <w:szCs w:val="20"/>
        </w:rPr>
        <w:t xml:space="preserve">, </w:t>
      </w:r>
      <w:r w:rsidRPr="007A3962">
        <w:rPr>
          <w:rFonts w:ascii="Arial" w:hAnsi="Arial" w:cs="Arial"/>
          <w:i/>
          <w:iCs/>
          <w:noProof/>
          <w:sz w:val="20"/>
          <w:szCs w:val="20"/>
        </w:rPr>
        <w:t>19</w:t>
      </w:r>
      <w:r w:rsidRPr="007A3962">
        <w:rPr>
          <w:rFonts w:ascii="Arial" w:hAnsi="Arial" w:cs="Arial"/>
          <w:noProof/>
          <w:sz w:val="20"/>
          <w:szCs w:val="20"/>
        </w:rPr>
        <w:t>(4). https://doi.org/10.22364/eeb.19.19</w:t>
      </w:r>
    </w:p>
    <w:p w14:paraId="01CAB2CF"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Jayasuyra Sathish Kumar, R. T., &amp; Arif Nisha, S. (2020). I</w:t>
      </w:r>
      <w:r w:rsidR="0003336A" w:rsidRPr="007A3962">
        <w:rPr>
          <w:rFonts w:ascii="Arial" w:hAnsi="Arial" w:cs="Arial"/>
          <w:noProof/>
          <w:sz w:val="20"/>
          <w:szCs w:val="20"/>
        </w:rPr>
        <w:t>solation and characterization of cellulolytic bacteria enterobacter xiangfangensis from the gut of armoured catfish pterygoplichthys multiradiatus.</w:t>
      </w:r>
      <w:r w:rsidRPr="007A3962">
        <w:rPr>
          <w:rFonts w:ascii="Arial" w:hAnsi="Arial" w:cs="Arial"/>
          <w:noProof/>
          <w:sz w:val="20"/>
          <w:szCs w:val="20"/>
        </w:rPr>
        <w:t xml:space="preserve"> In </w:t>
      </w:r>
      <w:r w:rsidRPr="007A3962">
        <w:rPr>
          <w:rFonts w:ascii="Arial" w:hAnsi="Arial" w:cs="Arial"/>
          <w:i/>
          <w:iCs/>
          <w:noProof/>
          <w:sz w:val="20"/>
          <w:szCs w:val="20"/>
        </w:rPr>
        <w:t>International Journal of Engineering Applied Sciences and Technology</w:t>
      </w:r>
      <w:r w:rsidRPr="007A3962">
        <w:rPr>
          <w:rFonts w:ascii="Arial" w:hAnsi="Arial" w:cs="Arial"/>
          <w:noProof/>
          <w:sz w:val="20"/>
          <w:szCs w:val="20"/>
        </w:rPr>
        <w:t xml:space="preserve"> (Vol. 5). http://www.ijeast.com</w:t>
      </w:r>
    </w:p>
    <w:p w14:paraId="583A65D2"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Kabwe, G., &amp; Bigsby, H. R. (2016). </w:t>
      </w:r>
      <w:r w:rsidRPr="007A3962">
        <w:rPr>
          <w:rFonts w:ascii="Arial" w:hAnsi="Arial" w:cs="Arial"/>
          <w:i/>
          <w:iCs/>
          <w:noProof/>
          <w:sz w:val="20"/>
          <w:szCs w:val="20"/>
        </w:rPr>
        <w:t xml:space="preserve">Why is adoption of agroforestry stymied in Zambia ? Perspectives from </w:t>
      </w:r>
      <w:r w:rsidRPr="007A3962">
        <w:rPr>
          <w:rFonts w:ascii="Arial" w:hAnsi="Arial" w:cs="Arial"/>
          <w:i/>
          <w:iCs/>
          <w:noProof/>
          <w:sz w:val="20"/>
          <w:szCs w:val="20"/>
        </w:rPr>
        <w:lastRenderedPageBreak/>
        <w:t>the ground-up Why is adoption of agroforestry stymied in Zambia ? Perspectives from the ground-up</w:t>
      </w:r>
      <w:r w:rsidRPr="007A3962">
        <w:rPr>
          <w:rFonts w:ascii="Arial" w:hAnsi="Arial" w:cs="Arial"/>
          <w:noProof/>
          <w:sz w:val="20"/>
          <w:szCs w:val="20"/>
        </w:rPr>
        <w:t xml:space="preserve">. </w:t>
      </w:r>
      <w:r w:rsidRPr="007A3962">
        <w:rPr>
          <w:rFonts w:ascii="Arial" w:hAnsi="Arial" w:cs="Arial"/>
          <w:i/>
          <w:iCs/>
          <w:noProof/>
          <w:sz w:val="20"/>
          <w:szCs w:val="20"/>
        </w:rPr>
        <w:t>November</w:t>
      </w:r>
      <w:r w:rsidRPr="007A3962">
        <w:rPr>
          <w:rFonts w:ascii="Arial" w:hAnsi="Arial" w:cs="Arial"/>
          <w:noProof/>
          <w:sz w:val="20"/>
          <w:szCs w:val="20"/>
        </w:rPr>
        <w:t>. https://doi.org/10.5897/AJAR2016.10952</w:t>
      </w:r>
    </w:p>
    <w:p w14:paraId="53611317"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Kadiri, D. D., Gorle, N., Varada, K., Peetala, R., &amp; Peela, S. (2013). </w:t>
      </w:r>
      <w:r w:rsidRPr="007A3962">
        <w:rPr>
          <w:rFonts w:ascii="Arial" w:hAnsi="Arial" w:cs="Arial"/>
          <w:i/>
          <w:iCs/>
          <w:noProof/>
          <w:sz w:val="20"/>
          <w:szCs w:val="20"/>
        </w:rPr>
        <w:t>I</w:t>
      </w:r>
      <w:r w:rsidR="00167541" w:rsidRPr="00167541">
        <w:rPr>
          <w:rFonts w:ascii="Arial" w:hAnsi="Arial" w:cs="Arial"/>
          <w:iCs/>
          <w:noProof/>
          <w:sz w:val="20"/>
          <w:szCs w:val="20"/>
        </w:rPr>
        <w:t>solation , screening and identification of phosphate solubilizing bacteria from different regions</w:t>
      </w:r>
      <w:r w:rsidRPr="007A3962">
        <w:rPr>
          <w:rFonts w:ascii="Arial" w:hAnsi="Arial" w:cs="Arial"/>
          <w:noProof/>
          <w:sz w:val="20"/>
          <w:szCs w:val="20"/>
        </w:rPr>
        <w:t xml:space="preserve">. </w:t>
      </w:r>
      <w:r w:rsidRPr="007A3962">
        <w:rPr>
          <w:rFonts w:ascii="Arial" w:hAnsi="Arial" w:cs="Arial"/>
          <w:i/>
          <w:iCs/>
          <w:noProof/>
          <w:sz w:val="20"/>
          <w:szCs w:val="20"/>
        </w:rPr>
        <w:t>4</w:t>
      </w:r>
      <w:r w:rsidRPr="007A3962">
        <w:rPr>
          <w:rFonts w:ascii="Arial" w:hAnsi="Arial" w:cs="Arial"/>
          <w:noProof/>
          <w:sz w:val="20"/>
          <w:szCs w:val="20"/>
        </w:rPr>
        <w:t>(4), 518–526.</w:t>
      </w:r>
    </w:p>
    <w:p w14:paraId="4E26361E"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Karpagam, T., &amp; Nagalakshmi, P. K. (2014). </w:t>
      </w:r>
      <w:r w:rsidRPr="007A3962">
        <w:rPr>
          <w:rFonts w:ascii="Arial" w:hAnsi="Arial" w:cs="Arial"/>
          <w:i/>
          <w:iCs/>
          <w:noProof/>
          <w:sz w:val="20"/>
          <w:szCs w:val="20"/>
        </w:rPr>
        <w:t>Original Research Article Isolation and characterization of Phosphate Solubilizing Microbes from Agricultural soil</w:t>
      </w:r>
      <w:r w:rsidRPr="007A3962">
        <w:rPr>
          <w:rFonts w:ascii="Arial" w:hAnsi="Arial" w:cs="Arial"/>
          <w:noProof/>
          <w:sz w:val="20"/>
          <w:szCs w:val="20"/>
        </w:rPr>
        <w:t xml:space="preserve">. </w:t>
      </w:r>
      <w:r w:rsidRPr="007A3962">
        <w:rPr>
          <w:rFonts w:ascii="Arial" w:hAnsi="Arial" w:cs="Arial"/>
          <w:i/>
          <w:iCs/>
          <w:noProof/>
          <w:sz w:val="20"/>
          <w:szCs w:val="20"/>
        </w:rPr>
        <w:t>3</w:t>
      </w:r>
      <w:r w:rsidRPr="007A3962">
        <w:rPr>
          <w:rFonts w:ascii="Arial" w:hAnsi="Arial" w:cs="Arial"/>
          <w:noProof/>
          <w:sz w:val="20"/>
          <w:szCs w:val="20"/>
        </w:rPr>
        <w:t>(3), 601–614.</w:t>
      </w:r>
    </w:p>
    <w:p w14:paraId="2AF6F1CB"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Khan, M. S., Zaidi, A., Wani, P. A., Khan, M. S., Zaidi, A., &amp; Wani, P. A. (2007). </w:t>
      </w:r>
      <w:r w:rsidRPr="007A3962">
        <w:rPr>
          <w:rFonts w:ascii="Arial" w:hAnsi="Arial" w:cs="Arial"/>
          <w:i/>
          <w:iCs/>
          <w:noProof/>
          <w:sz w:val="20"/>
          <w:szCs w:val="20"/>
        </w:rPr>
        <w:t>Role of phosphate-solubilizing microorganisms in sustainable agriculture - A review To cite this version : Review article Role of phosphate-solubilizing microorganisms in sustainable agriculture – A review</w:t>
      </w:r>
      <w:r w:rsidRPr="007A3962">
        <w:rPr>
          <w:rFonts w:ascii="Arial" w:hAnsi="Arial" w:cs="Arial"/>
          <w:noProof/>
          <w:sz w:val="20"/>
          <w:szCs w:val="20"/>
        </w:rPr>
        <w:t>. https://doi.org/10.1051/agro</w:t>
      </w:r>
    </w:p>
    <w:p w14:paraId="5EA6CADE"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Khan, S., Zaidi, A., &amp; Ahmad, E. (n.d.). </w:t>
      </w:r>
      <w:r w:rsidRPr="007A3962">
        <w:rPr>
          <w:rFonts w:ascii="Arial" w:hAnsi="Arial" w:cs="Arial"/>
          <w:i/>
          <w:iCs/>
          <w:noProof/>
          <w:sz w:val="20"/>
          <w:szCs w:val="20"/>
        </w:rPr>
        <w:t>Mechanism of Phosphate Solubilization and Physiological Functions of Phosphate-Solubilizing Microorganisms</w:t>
      </w:r>
      <w:r w:rsidRPr="007A3962">
        <w:rPr>
          <w:rFonts w:ascii="Arial" w:hAnsi="Arial" w:cs="Arial"/>
          <w:noProof/>
          <w:sz w:val="20"/>
          <w:szCs w:val="20"/>
        </w:rPr>
        <w:t>. https://doi.org/10.1007/978-3-319-08216-5</w:t>
      </w:r>
    </w:p>
    <w:p w14:paraId="3FC1837C"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Kumar, V. (2012). </w:t>
      </w:r>
      <w:r w:rsidRPr="007A3962">
        <w:rPr>
          <w:rFonts w:ascii="Arial" w:hAnsi="Arial" w:cs="Arial"/>
          <w:i/>
          <w:iCs/>
          <w:noProof/>
          <w:sz w:val="20"/>
          <w:szCs w:val="20"/>
        </w:rPr>
        <w:t>Phosphate Solubilizing Activity of Some Bacterial Strains Isolated from Chemical Pesticide Exposed Agriculture Soil</w:t>
      </w:r>
      <w:r w:rsidRPr="007A3962">
        <w:rPr>
          <w:rFonts w:ascii="Arial" w:hAnsi="Arial" w:cs="Arial"/>
          <w:noProof/>
          <w:sz w:val="20"/>
          <w:szCs w:val="20"/>
        </w:rPr>
        <w:t xml:space="preserve">. </w:t>
      </w:r>
      <w:r w:rsidRPr="007A3962">
        <w:rPr>
          <w:rFonts w:ascii="Arial" w:hAnsi="Arial" w:cs="Arial"/>
          <w:i/>
          <w:iCs/>
          <w:noProof/>
          <w:sz w:val="20"/>
          <w:szCs w:val="20"/>
        </w:rPr>
        <w:t>3</w:t>
      </w:r>
      <w:r w:rsidRPr="007A3962">
        <w:rPr>
          <w:rFonts w:ascii="Arial" w:hAnsi="Arial" w:cs="Arial"/>
          <w:noProof/>
          <w:sz w:val="20"/>
          <w:szCs w:val="20"/>
        </w:rPr>
        <w:t>(9), 1–6.</w:t>
      </w:r>
    </w:p>
    <w:p w14:paraId="7DDE07E8"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Kumar, V., &amp; Sharma, N. (2017). </w:t>
      </w:r>
      <w:r w:rsidRPr="007A3962">
        <w:rPr>
          <w:rFonts w:ascii="Arial" w:hAnsi="Arial" w:cs="Arial"/>
          <w:i/>
          <w:iCs/>
          <w:noProof/>
          <w:sz w:val="20"/>
          <w:szCs w:val="20"/>
        </w:rPr>
        <w:t>Plant Growth Promoting Rhizobacteria as Growth Promoters for Wheat : A Review</w:t>
      </w:r>
      <w:r w:rsidRPr="007A3962">
        <w:rPr>
          <w:rFonts w:ascii="Arial" w:hAnsi="Arial" w:cs="Arial"/>
          <w:noProof/>
          <w:sz w:val="20"/>
          <w:szCs w:val="20"/>
        </w:rPr>
        <w:t xml:space="preserve">. </w:t>
      </w:r>
      <w:r w:rsidRPr="007A3962">
        <w:rPr>
          <w:rFonts w:ascii="Arial" w:hAnsi="Arial" w:cs="Arial"/>
          <w:i/>
          <w:iCs/>
          <w:noProof/>
          <w:sz w:val="20"/>
          <w:szCs w:val="20"/>
        </w:rPr>
        <w:t>12</w:t>
      </w:r>
      <w:r w:rsidRPr="007A3962">
        <w:rPr>
          <w:rFonts w:ascii="Arial" w:hAnsi="Arial" w:cs="Arial"/>
          <w:noProof/>
          <w:sz w:val="20"/>
          <w:szCs w:val="20"/>
        </w:rPr>
        <w:t>(4). https://doi.org/10.19080/ARTOAJ.2017.12.555857</w:t>
      </w:r>
    </w:p>
    <w:p w14:paraId="49E243A5"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Kumssa, D. B., Mossa, A. W., Amede, T., Ander, E. L., Bailey, E. H., Botoman, L., Chagumaira, C., Chimungu, J. G., Davis, K., Gameda, S., Haefele, S. M., Hailu, K., Joy, E. J. M., Lark, R. M., Ligowe, I. S., McGrath, S. P., Milne, A., Muleya, P., Munthali, M., … Nalivata, P. C. (2022). Cereal grain mineral micronutrient and soil chemistry data from GeoNutrition surveys in Ethiopia and Malawi. </w:t>
      </w:r>
      <w:r w:rsidRPr="007A3962">
        <w:rPr>
          <w:rFonts w:ascii="Arial" w:hAnsi="Arial" w:cs="Arial"/>
          <w:i/>
          <w:iCs/>
          <w:noProof/>
          <w:sz w:val="20"/>
          <w:szCs w:val="20"/>
        </w:rPr>
        <w:t>Scientific Data</w:t>
      </w:r>
      <w:r w:rsidRPr="007A3962">
        <w:rPr>
          <w:rFonts w:ascii="Arial" w:hAnsi="Arial" w:cs="Arial"/>
          <w:noProof/>
          <w:sz w:val="20"/>
          <w:szCs w:val="20"/>
        </w:rPr>
        <w:t xml:space="preserve">, </w:t>
      </w:r>
      <w:r w:rsidRPr="007A3962">
        <w:rPr>
          <w:rFonts w:ascii="Arial" w:hAnsi="Arial" w:cs="Arial"/>
          <w:i/>
          <w:iCs/>
          <w:noProof/>
          <w:sz w:val="20"/>
          <w:szCs w:val="20"/>
        </w:rPr>
        <w:t>9</w:t>
      </w:r>
      <w:r w:rsidRPr="007A3962">
        <w:rPr>
          <w:rFonts w:ascii="Arial" w:hAnsi="Arial" w:cs="Arial"/>
          <w:noProof/>
          <w:sz w:val="20"/>
          <w:szCs w:val="20"/>
        </w:rPr>
        <w:t>(1), 1–12. https://doi.org/10.1038/s41597-022-01500-5</w:t>
      </w:r>
    </w:p>
    <w:p w14:paraId="0849EE3B"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Leontidou, K., Genitsaris, S., Papadopoulou, A., Kamou, N., Bosmali, I., Matsi, T., Madesis, P., Vokou, D., Karamanoli, K., &amp; Mellidou, I. (2020). Plant growth promoting rhizobacteria isolated from halophytes and drought-tolerant plants: genomic characterisation and exploration of phyto-beneficial traits. </w:t>
      </w:r>
      <w:r w:rsidRPr="007A3962">
        <w:rPr>
          <w:rFonts w:ascii="Arial" w:hAnsi="Arial" w:cs="Arial"/>
          <w:i/>
          <w:iCs/>
          <w:noProof/>
          <w:sz w:val="20"/>
          <w:szCs w:val="20"/>
        </w:rPr>
        <w:t>Scientific Reports</w:t>
      </w:r>
      <w:r w:rsidRPr="007A3962">
        <w:rPr>
          <w:rFonts w:ascii="Arial" w:hAnsi="Arial" w:cs="Arial"/>
          <w:noProof/>
          <w:sz w:val="20"/>
          <w:szCs w:val="20"/>
        </w:rPr>
        <w:t xml:space="preserve">, </w:t>
      </w:r>
      <w:r w:rsidRPr="007A3962">
        <w:rPr>
          <w:rFonts w:ascii="Arial" w:hAnsi="Arial" w:cs="Arial"/>
          <w:i/>
          <w:iCs/>
          <w:noProof/>
          <w:sz w:val="20"/>
          <w:szCs w:val="20"/>
        </w:rPr>
        <w:t>10</w:t>
      </w:r>
      <w:r w:rsidRPr="007A3962">
        <w:rPr>
          <w:rFonts w:ascii="Arial" w:hAnsi="Arial" w:cs="Arial"/>
          <w:noProof/>
          <w:sz w:val="20"/>
          <w:szCs w:val="20"/>
        </w:rPr>
        <w:t>(1), 1–15. https://doi.org/10.1038/s41598-020-71652-0</w:t>
      </w:r>
    </w:p>
    <w:p w14:paraId="17450662"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lastRenderedPageBreak/>
        <w:t xml:space="preserve">Li, Y., Liu, X., Hao, T., &amp; Chen, S. (2017). </w:t>
      </w:r>
      <w:r w:rsidRPr="007A3962">
        <w:rPr>
          <w:rFonts w:ascii="Arial" w:hAnsi="Arial" w:cs="Arial"/>
          <w:i/>
          <w:iCs/>
          <w:noProof/>
          <w:sz w:val="20"/>
          <w:szCs w:val="20"/>
        </w:rPr>
        <w:t>Colonization and Maize Growth Promotion Induced by Phosphate Solubilizing Bacterial Isolates</w:t>
      </w:r>
      <w:r w:rsidRPr="007A3962">
        <w:rPr>
          <w:rFonts w:ascii="Arial" w:hAnsi="Arial" w:cs="Arial"/>
          <w:noProof/>
          <w:sz w:val="20"/>
          <w:szCs w:val="20"/>
        </w:rPr>
        <w:t>. https://doi.org/10.3390/ijms18071253</w:t>
      </w:r>
    </w:p>
    <w:p w14:paraId="4E1292E0"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Li, Z., Bai, T., Dai, L., Wang, F., Tao, J., Meng, S., Hu, Y., Wang, S., &amp; Hu, S. (2016). A study of organic acid production in contrasts between two phosphate solubilizing fungi: Penicillium oxalicum and Aspergillus Niger. </w:t>
      </w:r>
      <w:r w:rsidRPr="007A3962">
        <w:rPr>
          <w:rFonts w:ascii="Arial" w:hAnsi="Arial" w:cs="Arial"/>
          <w:i/>
          <w:iCs/>
          <w:noProof/>
          <w:sz w:val="20"/>
          <w:szCs w:val="20"/>
        </w:rPr>
        <w:t>Scientific Reports</w:t>
      </w:r>
      <w:r w:rsidRPr="007A3962">
        <w:rPr>
          <w:rFonts w:ascii="Arial" w:hAnsi="Arial" w:cs="Arial"/>
          <w:noProof/>
          <w:sz w:val="20"/>
          <w:szCs w:val="20"/>
        </w:rPr>
        <w:t xml:space="preserve">, </w:t>
      </w:r>
      <w:r w:rsidRPr="007A3962">
        <w:rPr>
          <w:rFonts w:ascii="Arial" w:hAnsi="Arial" w:cs="Arial"/>
          <w:i/>
          <w:iCs/>
          <w:noProof/>
          <w:sz w:val="20"/>
          <w:szCs w:val="20"/>
        </w:rPr>
        <w:t>6</w:t>
      </w:r>
      <w:r w:rsidRPr="007A3962">
        <w:rPr>
          <w:rFonts w:ascii="Arial" w:hAnsi="Arial" w:cs="Arial"/>
          <w:noProof/>
          <w:sz w:val="20"/>
          <w:szCs w:val="20"/>
        </w:rPr>
        <w:t>. https://doi.org/10.1038/srep25313</w:t>
      </w:r>
    </w:p>
    <w:p w14:paraId="39997AD6"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Liu, M., Liu, X., Cheng, B., Ma, X., Lyu, X., Zhao, X., Ju, Y., &amp; Min, Z. (2016). </w:t>
      </w:r>
      <w:r w:rsidRPr="007A3962">
        <w:rPr>
          <w:rFonts w:ascii="Arial" w:hAnsi="Arial" w:cs="Arial"/>
          <w:i/>
          <w:iCs/>
          <w:noProof/>
          <w:sz w:val="20"/>
          <w:szCs w:val="20"/>
        </w:rPr>
        <w:t>Selection and evaluation of phosphate-solubilizing bacteria from grapevine rhizospheres for use as biofertilizers</w:t>
      </w:r>
      <w:r w:rsidRPr="007A3962">
        <w:rPr>
          <w:rFonts w:ascii="Arial" w:hAnsi="Arial" w:cs="Arial"/>
          <w:noProof/>
          <w:sz w:val="20"/>
          <w:szCs w:val="20"/>
        </w:rPr>
        <w:t xml:space="preserve">. </w:t>
      </w:r>
      <w:r w:rsidRPr="007A3962">
        <w:rPr>
          <w:rFonts w:ascii="Arial" w:hAnsi="Arial" w:cs="Arial"/>
          <w:i/>
          <w:iCs/>
          <w:noProof/>
          <w:sz w:val="20"/>
          <w:szCs w:val="20"/>
        </w:rPr>
        <w:t>14</w:t>
      </w:r>
      <w:r w:rsidRPr="007A3962">
        <w:rPr>
          <w:rFonts w:ascii="Arial" w:hAnsi="Arial" w:cs="Arial"/>
          <w:noProof/>
          <w:sz w:val="20"/>
          <w:szCs w:val="20"/>
        </w:rPr>
        <w:t>(4).</w:t>
      </w:r>
    </w:p>
    <w:p w14:paraId="500A26F4"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López-ortega, M. P., Criollo-campos, P. J., &amp; Gómez-vargas, R. M. (2013). </w:t>
      </w:r>
      <w:r w:rsidRPr="007A3962">
        <w:rPr>
          <w:rFonts w:ascii="Arial" w:hAnsi="Arial" w:cs="Arial"/>
          <w:i/>
          <w:iCs/>
          <w:noProof/>
          <w:sz w:val="20"/>
          <w:szCs w:val="20"/>
        </w:rPr>
        <w:t>Characterization of diazotrophic phosphate solubilizing bacteria as growth promoters of maize plants Caracterización de bacterias diazotróficas solublizadoras de fosfato como promotoras de crecimiento en plantas de maíz</w:t>
      </w:r>
      <w:r w:rsidRPr="007A3962">
        <w:rPr>
          <w:rFonts w:ascii="Arial" w:hAnsi="Arial" w:cs="Arial"/>
          <w:noProof/>
          <w:sz w:val="20"/>
          <w:szCs w:val="20"/>
        </w:rPr>
        <w:t xml:space="preserve">. </w:t>
      </w:r>
      <w:r w:rsidRPr="007A3962">
        <w:rPr>
          <w:rFonts w:ascii="Arial" w:hAnsi="Arial" w:cs="Arial"/>
          <w:i/>
          <w:iCs/>
          <w:noProof/>
          <w:sz w:val="20"/>
          <w:szCs w:val="20"/>
        </w:rPr>
        <w:t>di</w:t>
      </w:r>
      <w:r w:rsidRPr="007A3962">
        <w:rPr>
          <w:rFonts w:ascii="Arial" w:hAnsi="Arial" w:cs="Arial"/>
          <w:noProof/>
          <w:sz w:val="20"/>
          <w:szCs w:val="20"/>
        </w:rPr>
        <w:t>(2), 115–123.</w:t>
      </w:r>
    </w:p>
    <w:p w14:paraId="308535DC"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Lunduka, B. R., &amp; Kelly, V. (2012). </w:t>
      </w:r>
      <w:r w:rsidRPr="007A3962">
        <w:rPr>
          <w:rFonts w:ascii="Arial" w:hAnsi="Arial" w:cs="Arial"/>
          <w:i/>
          <w:iCs/>
          <w:noProof/>
          <w:sz w:val="20"/>
          <w:szCs w:val="20"/>
        </w:rPr>
        <w:t>Economic benefits of integrated soil fert i lity management ( ISFM )</w:t>
      </w:r>
      <w:r w:rsidRPr="007A3962">
        <w:rPr>
          <w:rFonts w:ascii="Arial" w:hAnsi="Arial" w:cs="Arial"/>
          <w:noProof/>
          <w:sz w:val="20"/>
          <w:szCs w:val="20"/>
        </w:rPr>
        <w:t xml:space="preserve">. </w:t>
      </w:r>
      <w:r w:rsidRPr="007A3962">
        <w:rPr>
          <w:rFonts w:ascii="Arial" w:hAnsi="Arial" w:cs="Arial"/>
          <w:i/>
          <w:iCs/>
          <w:noProof/>
          <w:sz w:val="20"/>
          <w:szCs w:val="20"/>
        </w:rPr>
        <w:t>May</w:t>
      </w:r>
      <w:r w:rsidRPr="007A3962">
        <w:rPr>
          <w:rFonts w:ascii="Arial" w:hAnsi="Arial" w:cs="Arial"/>
          <w:noProof/>
          <w:sz w:val="20"/>
          <w:szCs w:val="20"/>
        </w:rPr>
        <w:t>, 1–4.</w:t>
      </w:r>
    </w:p>
    <w:p w14:paraId="016FFCE3"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Maji, U. J., Mohanty, S., Mahapatra, A. S., &amp; Maiti, N. K. (2016). </w:t>
      </w:r>
      <w:r w:rsidRPr="007A3962">
        <w:rPr>
          <w:rFonts w:ascii="Arial" w:hAnsi="Arial" w:cs="Arial"/>
          <w:i/>
          <w:iCs/>
          <w:noProof/>
          <w:sz w:val="20"/>
          <w:szCs w:val="20"/>
        </w:rPr>
        <w:t>Diversity and Probiotic Potentials of Putative Lactic Acid Bacteria for Application in Freshwater Aquaculture</w:t>
      </w:r>
      <w:r w:rsidRPr="007A3962">
        <w:rPr>
          <w:rFonts w:ascii="Arial" w:hAnsi="Arial" w:cs="Arial"/>
          <w:noProof/>
          <w:sz w:val="20"/>
          <w:szCs w:val="20"/>
        </w:rPr>
        <w:t xml:space="preserve">. </w:t>
      </w:r>
      <w:r w:rsidRPr="007A3962">
        <w:rPr>
          <w:rFonts w:ascii="Arial" w:hAnsi="Arial" w:cs="Arial"/>
          <w:i/>
          <w:iCs/>
          <w:noProof/>
          <w:sz w:val="20"/>
          <w:szCs w:val="20"/>
        </w:rPr>
        <w:t>818</w:t>
      </w:r>
      <w:r w:rsidRPr="007A3962">
        <w:rPr>
          <w:rFonts w:ascii="Arial" w:hAnsi="Arial" w:cs="Arial"/>
          <w:noProof/>
          <w:sz w:val="20"/>
          <w:szCs w:val="20"/>
        </w:rPr>
        <w:t>, 805–818. https://doi.org/10.4194/1303-2712-v16</w:t>
      </w:r>
    </w:p>
    <w:p w14:paraId="40453A46"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Markowiak, P., &amp; Ślizewska, K. (2018). The role of probiotics, prebiotics and synbiotics in animal nutrition. In </w:t>
      </w:r>
      <w:r w:rsidRPr="007A3962">
        <w:rPr>
          <w:rFonts w:ascii="Arial" w:hAnsi="Arial" w:cs="Arial"/>
          <w:i/>
          <w:iCs/>
          <w:noProof/>
          <w:sz w:val="20"/>
          <w:szCs w:val="20"/>
        </w:rPr>
        <w:t>Gut Pathogens</w:t>
      </w:r>
      <w:r w:rsidRPr="007A3962">
        <w:rPr>
          <w:rFonts w:ascii="Arial" w:hAnsi="Arial" w:cs="Arial"/>
          <w:noProof/>
          <w:sz w:val="20"/>
          <w:szCs w:val="20"/>
        </w:rPr>
        <w:t xml:space="preserve"> (Vol. 10, Issue 1). BioMed Central Ltd. https://doi.org/10.1186/s13099-018-0250-0</w:t>
      </w:r>
    </w:p>
    <w:p w14:paraId="3AD976E8"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Mawardi, M., Indrawati, A., Wibawan, I. W. T., &amp; Lusiastuti, A. M. (2023). Antimicrobial susceptibility test and antimicrobial resistance gene detection of extracellular enzyme bacteria isolated from tilapia (Oreochromis niloticus) for probiotic candidates. </w:t>
      </w:r>
      <w:r w:rsidRPr="007A3962">
        <w:rPr>
          <w:rFonts w:ascii="Arial" w:hAnsi="Arial" w:cs="Arial"/>
          <w:i/>
          <w:iCs/>
          <w:noProof/>
          <w:sz w:val="20"/>
          <w:szCs w:val="20"/>
        </w:rPr>
        <w:t>Veterinary World</w:t>
      </w:r>
      <w:r w:rsidRPr="007A3962">
        <w:rPr>
          <w:rFonts w:ascii="Arial" w:hAnsi="Arial" w:cs="Arial"/>
          <w:noProof/>
          <w:sz w:val="20"/>
          <w:szCs w:val="20"/>
        </w:rPr>
        <w:t>, 264–271. https://doi.org/10.14202/vetworld.2023.264-271</w:t>
      </w:r>
    </w:p>
    <w:p w14:paraId="43B381AA"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Mehrvarz, S., &amp; Chaichi, M. R. (2008). </w:t>
      </w:r>
      <w:r w:rsidRPr="007A3962">
        <w:rPr>
          <w:rFonts w:ascii="Arial" w:hAnsi="Arial" w:cs="Arial"/>
          <w:i/>
          <w:iCs/>
          <w:noProof/>
          <w:sz w:val="20"/>
          <w:szCs w:val="20"/>
        </w:rPr>
        <w:t>Effect of Phosphate Solubilizing Microorganisms and Phosphorus Chemical Fertilizer on Forage and Grain Quality of Barely ( Hordeum vulgare L .)</w:t>
      </w:r>
      <w:r w:rsidRPr="007A3962">
        <w:rPr>
          <w:rFonts w:ascii="Arial" w:hAnsi="Arial" w:cs="Arial"/>
          <w:noProof/>
          <w:sz w:val="20"/>
          <w:szCs w:val="20"/>
        </w:rPr>
        <w:t xml:space="preserve">. </w:t>
      </w:r>
      <w:r w:rsidRPr="007A3962">
        <w:rPr>
          <w:rFonts w:ascii="Arial" w:hAnsi="Arial" w:cs="Arial"/>
          <w:i/>
          <w:iCs/>
          <w:noProof/>
          <w:sz w:val="20"/>
          <w:szCs w:val="20"/>
        </w:rPr>
        <w:t>3</w:t>
      </w:r>
      <w:r w:rsidRPr="007A3962">
        <w:rPr>
          <w:rFonts w:ascii="Arial" w:hAnsi="Arial" w:cs="Arial"/>
          <w:noProof/>
          <w:sz w:val="20"/>
          <w:szCs w:val="20"/>
        </w:rPr>
        <w:t>(6), 855–860.</w:t>
      </w:r>
    </w:p>
    <w:p w14:paraId="5882395D"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Mendes, G. D. O., Luiz, A., &amp; Freitas, M. De. (2014). </w:t>
      </w:r>
      <w:r w:rsidRPr="007A3962">
        <w:rPr>
          <w:rFonts w:ascii="Arial" w:hAnsi="Arial" w:cs="Arial"/>
          <w:i/>
          <w:iCs/>
          <w:noProof/>
          <w:sz w:val="20"/>
          <w:szCs w:val="20"/>
        </w:rPr>
        <w:t xml:space="preserve">Mechanisms of phosphate solubilization by fungal </w:t>
      </w:r>
      <w:r w:rsidRPr="007A3962">
        <w:rPr>
          <w:rFonts w:ascii="Arial" w:hAnsi="Arial" w:cs="Arial"/>
          <w:i/>
          <w:iCs/>
          <w:noProof/>
          <w:sz w:val="20"/>
          <w:szCs w:val="20"/>
        </w:rPr>
        <w:lastRenderedPageBreak/>
        <w:t>isolates when exposed to different P sources</w:t>
      </w:r>
      <w:r w:rsidRPr="007A3962">
        <w:rPr>
          <w:rFonts w:ascii="Arial" w:hAnsi="Arial" w:cs="Arial"/>
          <w:noProof/>
          <w:sz w:val="20"/>
          <w:szCs w:val="20"/>
        </w:rPr>
        <w:t>. 239–249. https://doi.org/10.1007/s13213-013-0656-3</w:t>
      </w:r>
    </w:p>
    <w:p w14:paraId="16DF8020"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Menon, S., &amp; Mohan, V. (2007). </w:t>
      </w:r>
      <w:r w:rsidRPr="007A3962">
        <w:rPr>
          <w:rFonts w:ascii="Arial" w:hAnsi="Arial" w:cs="Arial"/>
          <w:i/>
          <w:iCs/>
          <w:noProof/>
          <w:sz w:val="20"/>
          <w:szCs w:val="20"/>
        </w:rPr>
        <w:t>Isolation of Potential Phosphate Solubilizing Bacteria from the Rhizosphere of Fast Growing Native Tree Species</w:t>
      </w:r>
      <w:r w:rsidRPr="007A3962">
        <w:rPr>
          <w:rFonts w:ascii="Arial" w:hAnsi="Arial" w:cs="Arial"/>
          <w:noProof/>
          <w:sz w:val="20"/>
          <w:szCs w:val="20"/>
        </w:rPr>
        <w:t>. 98–105.</w:t>
      </w:r>
    </w:p>
    <w:p w14:paraId="17430F37"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Mikkelsen, R. (2004). Managing phosphorus for maximum alfalfa yield and quality. </w:t>
      </w:r>
      <w:r w:rsidRPr="007A3962">
        <w:rPr>
          <w:rFonts w:ascii="Arial" w:hAnsi="Arial" w:cs="Arial"/>
          <w:i/>
          <w:iCs/>
          <w:noProof/>
          <w:sz w:val="20"/>
          <w:szCs w:val="20"/>
        </w:rPr>
        <w:t>… , National Alfalfa Symposium. UC Cooperative …</w:t>
      </w:r>
      <w:r w:rsidRPr="007A3962">
        <w:rPr>
          <w:rFonts w:ascii="Arial" w:hAnsi="Arial" w:cs="Arial"/>
          <w:noProof/>
          <w:sz w:val="20"/>
          <w:szCs w:val="20"/>
        </w:rPr>
        <w:t>. http://alfalfa.ucdavis.edu/+symposium/proceedings/2004/04-173.pdf</w:t>
      </w:r>
    </w:p>
    <w:p w14:paraId="02AB5E51"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Mukhtar, S., Shahid, I., Mehnaz, S., &amp; Malik, K. A. (2017). Assessment of two carrier materials for phosphate solubilizing biofertilizers and their effect on growth of wheat (Triticum aestivum L.). </w:t>
      </w:r>
      <w:r w:rsidRPr="007A3962">
        <w:rPr>
          <w:rFonts w:ascii="Arial" w:hAnsi="Arial" w:cs="Arial"/>
          <w:i/>
          <w:iCs/>
          <w:noProof/>
          <w:sz w:val="20"/>
          <w:szCs w:val="20"/>
        </w:rPr>
        <w:t>Microbiological Research</w:t>
      </w:r>
      <w:r w:rsidRPr="007A3962">
        <w:rPr>
          <w:rFonts w:ascii="Arial" w:hAnsi="Arial" w:cs="Arial"/>
          <w:noProof/>
          <w:sz w:val="20"/>
          <w:szCs w:val="20"/>
        </w:rPr>
        <w:t xml:space="preserve">, </w:t>
      </w:r>
      <w:r w:rsidRPr="007A3962">
        <w:rPr>
          <w:rFonts w:ascii="Arial" w:hAnsi="Arial" w:cs="Arial"/>
          <w:i/>
          <w:iCs/>
          <w:noProof/>
          <w:sz w:val="20"/>
          <w:szCs w:val="20"/>
        </w:rPr>
        <w:t>205</w:t>
      </w:r>
      <w:r w:rsidRPr="007A3962">
        <w:rPr>
          <w:rFonts w:ascii="Arial" w:hAnsi="Arial" w:cs="Arial"/>
          <w:noProof/>
          <w:sz w:val="20"/>
          <w:szCs w:val="20"/>
        </w:rPr>
        <w:t>. https://doi.org/10.1016/j.micres.2017.08.011</w:t>
      </w:r>
    </w:p>
    <w:p w14:paraId="034DF8C9"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Mwafulirwa, S. (2023a). </w:t>
      </w:r>
      <w:r w:rsidRPr="007A3962">
        <w:rPr>
          <w:rFonts w:ascii="Arial" w:hAnsi="Arial" w:cs="Arial"/>
          <w:i/>
          <w:iCs/>
          <w:noProof/>
          <w:sz w:val="20"/>
          <w:szCs w:val="20"/>
        </w:rPr>
        <w:t>Evaluation of Mbeya Based Organic Fertilizer on Maize Yield and Yield Components in Malawi</w:t>
      </w:r>
      <w:r w:rsidRPr="007A3962">
        <w:rPr>
          <w:rFonts w:ascii="Arial" w:hAnsi="Arial" w:cs="Arial"/>
          <w:noProof/>
          <w:sz w:val="20"/>
          <w:szCs w:val="20"/>
        </w:rPr>
        <w:t xml:space="preserve">. </w:t>
      </w:r>
      <w:r w:rsidRPr="007A3962">
        <w:rPr>
          <w:rFonts w:ascii="Arial" w:hAnsi="Arial" w:cs="Arial"/>
          <w:i/>
          <w:iCs/>
          <w:noProof/>
          <w:sz w:val="20"/>
          <w:szCs w:val="20"/>
        </w:rPr>
        <w:t>xx</w:t>
      </w:r>
      <w:r w:rsidRPr="007A3962">
        <w:rPr>
          <w:rFonts w:ascii="Arial" w:hAnsi="Arial" w:cs="Arial"/>
          <w:noProof/>
          <w:sz w:val="20"/>
          <w:szCs w:val="20"/>
        </w:rPr>
        <w:t>(XX). https://doi.org/10.9734/APRJ/20</w:t>
      </w:r>
    </w:p>
    <w:p w14:paraId="614DE2B4"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Mwafulirwa, S. (2023b). </w:t>
      </w:r>
      <w:r w:rsidRPr="007A3962">
        <w:rPr>
          <w:rFonts w:ascii="Arial" w:hAnsi="Arial" w:cs="Arial"/>
          <w:i/>
          <w:iCs/>
          <w:noProof/>
          <w:sz w:val="20"/>
          <w:szCs w:val="20"/>
        </w:rPr>
        <w:t>Isolation Characterization and Diversity of Indigenous Pesticide Degrading Microbes from Selected Agro Ecological Zones of Malawi</w:t>
      </w:r>
      <w:r w:rsidRPr="007A3962">
        <w:rPr>
          <w:rFonts w:ascii="Arial" w:hAnsi="Arial" w:cs="Arial"/>
          <w:noProof/>
          <w:sz w:val="20"/>
          <w:szCs w:val="20"/>
        </w:rPr>
        <w:t xml:space="preserve">. </w:t>
      </w:r>
      <w:r w:rsidRPr="007A3962">
        <w:rPr>
          <w:rFonts w:ascii="Arial" w:hAnsi="Arial" w:cs="Arial"/>
          <w:i/>
          <w:iCs/>
          <w:noProof/>
          <w:sz w:val="20"/>
          <w:szCs w:val="20"/>
        </w:rPr>
        <w:t>11</w:t>
      </w:r>
      <w:r w:rsidRPr="007A3962">
        <w:rPr>
          <w:rFonts w:ascii="Arial" w:hAnsi="Arial" w:cs="Arial"/>
          <w:noProof/>
          <w:sz w:val="20"/>
          <w:szCs w:val="20"/>
        </w:rPr>
        <w:t>(3), 29–40. https://doi.org/10.9734/APRJ/2023/v11i3213</w:t>
      </w:r>
    </w:p>
    <w:p w14:paraId="03FF0043"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Mwafulirwa, S., Obiero, G., Mpeketula, P., &amp; Aboge, G. (2017). </w:t>
      </w:r>
      <w:r w:rsidRPr="007A3962">
        <w:rPr>
          <w:rFonts w:ascii="Arial" w:hAnsi="Arial" w:cs="Arial"/>
          <w:i/>
          <w:iCs/>
          <w:noProof/>
          <w:sz w:val="20"/>
          <w:szCs w:val="20"/>
        </w:rPr>
        <w:t>Isolation of indigenous glyphosate degrading microbes from selected agro ecological zones of Malawi</w:t>
      </w:r>
      <w:r w:rsidRPr="007A3962">
        <w:rPr>
          <w:rFonts w:ascii="Arial" w:hAnsi="Arial" w:cs="Arial"/>
          <w:noProof/>
          <w:sz w:val="20"/>
          <w:szCs w:val="20"/>
        </w:rPr>
        <w:t xml:space="preserve">. </w:t>
      </w:r>
      <w:r w:rsidRPr="007A3962">
        <w:rPr>
          <w:rFonts w:ascii="Arial" w:hAnsi="Arial" w:cs="Arial"/>
          <w:i/>
          <w:iCs/>
          <w:noProof/>
          <w:sz w:val="20"/>
          <w:szCs w:val="20"/>
        </w:rPr>
        <w:t>6</w:t>
      </w:r>
      <w:r w:rsidRPr="007A3962">
        <w:rPr>
          <w:rFonts w:ascii="Arial" w:hAnsi="Arial" w:cs="Arial"/>
          <w:noProof/>
          <w:sz w:val="20"/>
          <w:szCs w:val="20"/>
        </w:rPr>
        <w:t>(12), 1–9.</w:t>
      </w:r>
    </w:p>
    <w:p w14:paraId="68B9B340"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Nathanailides, C., Kolygas, M., Choremi, K., Mavraganis, T., Gouva, E., Vidalis, K., &amp; Athanassopoulou, F. (2021). Probiotics have the potential to significantly mitigate the environmental impact of freshwater fish farms. In </w:t>
      </w:r>
      <w:r w:rsidRPr="007A3962">
        <w:rPr>
          <w:rFonts w:ascii="Arial" w:hAnsi="Arial" w:cs="Arial"/>
          <w:i/>
          <w:iCs/>
          <w:noProof/>
          <w:sz w:val="20"/>
          <w:szCs w:val="20"/>
        </w:rPr>
        <w:t>Fishes</w:t>
      </w:r>
      <w:r w:rsidRPr="007A3962">
        <w:rPr>
          <w:rFonts w:ascii="Arial" w:hAnsi="Arial" w:cs="Arial"/>
          <w:noProof/>
          <w:sz w:val="20"/>
          <w:szCs w:val="20"/>
        </w:rPr>
        <w:t xml:space="preserve"> (Vol. 6, Issue 4). MDPI. https://doi.org/10.3390/fishes6040076</w:t>
      </w:r>
    </w:p>
    <w:p w14:paraId="371E7ED5"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Navarro-noya, Y. E., Hernández-mendoza, E., Morales-jiménez, J., Jan-roblero, J., Martínez-romero, E., &amp; Hernández-rodríguez, C. (2012). Isolation and characterization of nitrogen fixing heterotrophic bacteria from the rhizosphere of pioneer plants growing on mine tailings. </w:t>
      </w:r>
      <w:r w:rsidRPr="007A3962">
        <w:rPr>
          <w:rFonts w:ascii="Arial" w:hAnsi="Arial" w:cs="Arial"/>
          <w:i/>
          <w:iCs/>
          <w:noProof/>
          <w:sz w:val="20"/>
          <w:szCs w:val="20"/>
        </w:rPr>
        <w:t>Applied Soil Ecology</w:t>
      </w:r>
      <w:r w:rsidRPr="007A3962">
        <w:rPr>
          <w:rFonts w:ascii="Arial" w:hAnsi="Arial" w:cs="Arial"/>
          <w:noProof/>
          <w:sz w:val="20"/>
          <w:szCs w:val="20"/>
        </w:rPr>
        <w:t xml:space="preserve">, </w:t>
      </w:r>
      <w:r w:rsidRPr="007A3962">
        <w:rPr>
          <w:rFonts w:ascii="Arial" w:hAnsi="Arial" w:cs="Arial"/>
          <w:i/>
          <w:iCs/>
          <w:noProof/>
          <w:sz w:val="20"/>
          <w:szCs w:val="20"/>
        </w:rPr>
        <w:t>62</w:t>
      </w:r>
      <w:r w:rsidRPr="007A3962">
        <w:rPr>
          <w:rFonts w:ascii="Arial" w:hAnsi="Arial" w:cs="Arial"/>
          <w:noProof/>
          <w:sz w:val="20"/>
          <w:szCs w:val="20"/>
        </w:rPr>
        <w:t>, 52–60. https://doi.org/10.1016/j.apsoil.2012.07.011</w:t>
      </w:r>
    </w:p>
    <w:p w14:paraId="27F49064"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Nosrati, R., Owlia, P., Saderi, H., Rasooli, I., &amp; Malboobi, M. A. (2014). </w:t>
      </w:r>
      <w:r w:rsidRPr="007A3962">
        <w:rPr>
          <w:rFonts w:ascii="Arial" w:hAnsi="Arial" w:cs="Arial"/>
          <w:i/>
          <w:iCs/>
          <w:noProof/>
          <w:sz w:val="20"/>
          <w:szCs w:val="20"/>
        </w:rPr>
        <w:t>Phosphate solubilization characteristics of efficient nitrogen fixing soil Azotobacter strains</w:t>
      </w:r>
      <w:r w:rsidRPr="007A3962">
        <w:rPr>
          <w:rFonts w:ascii="Arial" w:hAnsi="Arial" w:cs="Arial"/>
          <w:noProof/>
          <w:sz w:val="20"/>
          <w:szCs w:val="20"/>
        </w:rPr>
        <w:t xml:space="preserve">. </w:t>
      </w:r>
      <w:r w:rsidRPr="007A3962">
        <w:rPr>
          <w:rFonts w:ascii="Arial" w:hAnsi="Arial" w:cs="Arial"/>
          <w:i/>
          <w:iCs/>
          <w:noProof/>
          <w:sz w:val="20"/>
          <w:szCs w:val="20"/>
        </w:rPr>
        <w:t>6</w:t>
      </w:r>
      <w:r w:rsidRPr="007A3962">
        <w:rPr>
          <w:rFonts w:ascii="Arial" w:hAnsi="Arial" w:cs="Arial"/>
          <w:noProof/>
          <w:sz w:val="20"/>
          <w:szCs w:val="20"/>
        </w:rPr>
        <w:t>(4), 285–295.</w:t>
      </w:r>
    </w:p>
    <w:p w14:paraId="6C540C17"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lastRenderedPageBreak/>
        <w:t xml:space="preserve">Park, J. H., Bolan, N., Megharaj, M., &amp; Naidu, R. (2011). Comparative value of phosphate sources on the immobilization of lead, and leaching of lead and phosphorus in lead contaminated soils. </w:t>
      </w:r>
      <w:r w:rsidRPr="007A3962">
        <w:rPr>
          <w:rFonts w:ascii="Arial" w:hAnsi="Arial" w:cs="Arial"/>
          <w:i/>
          <w:iCs/>
          <w:noProof/>
          <w:sz w:val="20"/>
          <w:szCs w:val="20"/>
        </w:rPr>
        <w:t>Science of the Total Environment</w:t>
      </w:r>
      <w:r w:rsidRPr="007A3962">
        <w:rPr>
          <w:rFonts w:ascii="Arial" w:hAnsi="Arial" w:cs="Arial"/>
          <w:noProof/>
          <w:sz w:val="20"/>
          <w:szCs w:val="20"/>
        </w:rPr>
        <w:t xml:space="preserve">, </w:t>
      </w:r>
      <w:r w:rsidRPr="007A3962">
        <w:rPr>
          <w:rFonts w:ascii="Arial" w:hAnsi="Arial" w:cs="Arial"/>
          <w:i/>
          <w:iCs/>
          <w:noProof/>
          <w:sz w:val="20"/>
          <w:szCs w:val="20"/>
        </w:rPr>
        <w:t>409</w:t>
      </w:r>
      <w:r w:rsidRPr="007A3962">
        <w:rPr>
          <w:rFonts w:ascii="Arial" w:hAnsi="Arial" w:cs="Arial"/>
          <w:noProof/>
          <w:sz w:val="20"/>
          <w:szCs w:val="20"/>
        </w:rPr>
        <w:t>(4). https://doi.org/10.1016/j.scitotenv.2010.11.003</w:t>
      </w:r>
    </w:p>
    <w:p w14:paraId="6F60BE4C"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Pilar, M., Jimena, P., Milena, R., &amp; Fernanda, M. (2013). </w:t>
      </w:r>
      <w:r w:rsidRPr="007A3962">
        <w:rPr>
          <w:rFonts w:ascii="Arial" w:hAnsi="Arial" w:cs="Arial"/>
          <w:i/>
          <w:iCs/>
          <w:noProof/>
          <w:sz w:val="20"/>
          <w:szCs w:val="20"/>
        </w:rPr>
        <w:t>Characterization of diazotrophic phosphate solubilizing bacteria as growth promoters of maize plants Caracterización de bacterias diazotróficas solublizadoras de fosfato como promotoras de crecimiento en plantas de maíz</w:t>
      </w:r>
      <w:r w:rsidRPr="007A3962">
        <w:rPr>
          <w:rFonts w:ascii="Arial" w:hAnsi="Arial" w:cs="Arial"/>
          <w:noProof/>
          <w:sz w:val="20"/>
          <w:szCs w:val="20"/>
        </w:rPr>
        <w:t>.</w:t>
      </w:r>
    </w:p>
    <w:p w14:paraId="6D7151D5"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Prabhu, N., Borkar, S., &amp; Garg, S. (2019). Phosphate solubilization by microorganisms: Overview, mechanisms, applications and advances. In </w:t>
      </w:r>
      <w:r w:rsidRPr="007A3962">
        <w:rPr>
          <w:rFonts w:ascii="Arial" w:hAnsi="Arial" w:cs="Arial"/>
          <w:i/>
          <w:iCs/>
          <w:noProof/>
          <w:sz w:val="20"/>
          <w:szCs w:val="20"/>
        </w:rPr>
        <w:t>Advances in Biological Science Research: A Practical Approach</w:t>
      </w:r>
      <w:r w:rsidRPr="007A3962">
        <w:rPr>
          <w:rFonts w:ascii="Arial" w:hAnsi="Arial" w:cs="Arial"/>
          <w:noProof/>
          <w:sz w:val="20"/>
          <w:szCs w:val="20"/>
        </w:rPr>
        <w:t>. https://doi.org/10.1016/B978-0-12-817497-5.00011-2</w:t>
      </w:r>
    </w:p>
    <w:p w14:paraId="2F5D4BB2"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Qarni, A., Billah, M., Hussain, K., Shah, S. H., Ahmed, W., Alam, S., Sheikh, A. A., Jafri, L., Munir, A., Malik, K. M., &amp; Khan, N. (2021). </w:t>
      </w:r>
      <w:r w:rsidRPr="007A3962">
        <w:rPr>
          <w:rFonts w:ascii="Arial" w:hAnsi="Arial" w:cs="Arial"/>
          <w:i/>
          <w:iCs/>
          <w:noProof/>
          <w:sz w:val="20"/>
          <w:szCs w:val="20"/>
        </w:rPr>
        <w:t>Isolation and Characterization of Phosphate Solubilizing Microbes from Rock Phosphate Mines and Their Potential Effect for Sustainable Agriculture</w:t>
      </w:r>
      <w:r w:rsidRPr="007A3962">
        <w:rPr>
          <w:rFonts w:ascii="Arial" w:hAnsi="Arial" w:cs="Arial"/>
          <w:noProof/>
          <w:sz w:val="20"/>
          <w:szCs w:val="20"/>
        </w:rPr>
        <w:t>.</w:t>
      </w:r>
    </w:p>
    <w:p w14:paraId="292DB41F"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R, M. S., Arumugam, P., Palavesam, A., &amp; B, C. W. (2017). </w:t>
      </w:r>
      <w:r w:rsidRPr="007A3962">
        <w:rPr>
          <w:rFonts w:ascii="Arial" w:hAnsi="Arial" w:cs="Arial"/>
          <w:i/>
          <w:iCs/>
          <w:noProof/>
          <w:sz w:val="20"/>
          <w:szCs w:val="20"/>
        </w:rPr>
        <w:t>Isolation and Determination of Protease Enzyme Synthesized by Pseudomonas Sp . from the Gut of Estuarine Fish Etroplus suratensis</w:t>
      </w:r>
      <w:r w:rsidRPr="007A3962">
        <w:rPr>
          <w:rFonts w:ascii="Arial" w:hAnsi="Arial" w:cs="Arial"/>
          <w:noProof/>
          <w:sz w:val="20"/>
          <w:szCs w:val="20"/>
        </w:rPr>
        <w:t xml:space="preserve">. </w:t>
      </w:r>
      <w:r w:rsidRPr="007A3962">
        <w:rPr>
          <w:rFonts w:ascii="Arial" w:hAnsi="Arial" w:cs="Arial"/>
          <w:i/>
          <w:iCs/>
          <w:noProof/>
          <w:sz w:val="20"/>
          <w:szCs w:val="20"/>
        </w:rPr>
        <w:t>2</w:t>
      </w:r>
      <w:r w:rsidRPr="007A3962">
        <w:rPr>
          <w:rFonts w:ascii="Arial" w:hAnsi="Arial" w:cs="Arial"/>
          <w:noProof/>
          <w:sz w:val="20"/>
          <w:szCs w:val="20"/>
        </w:rPr>
        <w:t>(3), 1–6. https://doi.org/10.19080/JOJMS.2017.02.555586</w:t>
      </w:r>
    </w:p>
    <w:p w14:paraId="5963D58A"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RAJAWAT, M. V. S., SINGH, S., TYAGI, S. P., &amp; SAXENA, A. K. (2016). A Modified Plate Assay for Rapid Screening of Potassium-Solubilizing Bacteria. In </w:t>
      </w:r>
      <w:r w:rsidRPr="007A3962">
        <w:rPr>
          <w:rFonts w:ascii="Arial" w:hAnsi="Arial" w:cs="Arial"/>
          <w:i/>
          <w:iCs/>
          <w:noProof/>
          <w:sz w:val="20"/>
          <w:szCs w:val="20"/>
        </w:rPr>
        <w:t>Pedosphere</w:t>
      </w:r>
      <w:r w:rsidRPr="007A3962">
        <w:rPr>
          <w:rFonts w:ascii="Arial" w:hAnsi="Arial" w:cs="Arial"/>
          <w:noProof/>
          <w:sz w:val="20"/>
          <w:szCs w:val="20"/>
        </w:rPr>
        <w:t xml:space="preserve"> (Vol. 26, Issue 5). https://doi.org/10.1016/S1002-0160(15)60080-7</w:t>
      </w:r>
    </w:p>
    <w:p w14:paraId="6603E586"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Mubarik, N. R., Wibowo, R. H., Angraini, E., Mursyida, E., &amp; Wahdi, E. (2014). </w:t>
      </w:r>
      <w:r w:rsidRPr="007A3962">
        <w:rPr>
          <w:rFonts w:ascii="Arial" w:hAnsi="Arial" w:cs="Arial"/>
          <w:i/>
          <w:iCs/>
          <w:noProof/>
          <w:sz w:val="20"/>
          <w:szCs w:val="20"/>
        </w:rPr>
        <w:t>Exploration of Bacterial Diversity at Cirebon Quarry by Nisa Rachmania Mubarik * Risky Hadi Wibowo Erni Angraini Eliya Mursyida Emil Wahdi</w:t>
      </w:r>
      <w:r w:rsidRPr="007A3962">
        <w:rPr>
          <w:rFonts w:ascii="Arial" w:hAnsi="Arial" w:cs="Arial"/>
          <w:noProof/>
          <w:sz w:val="20"/>
          <w:szCs w:val="20"/>
        </w:rPr>
        <w:t xml:space="preserve">. </w:t>
      </w:r>
      <w:r w:rsidRPr="007A3962">
        <w:rPr>
          <w:rFonts w:ascii="Arial" w:hAnsi="Arial" w:cs="Arial"/>
          <w:i/>
          <w:iCs/>
          <w:noProof/>
          <w:sz w:val="20"/>
          <w:szCs w:val="20"/>
        </w:rPr>
        <w:t>September</w:t>
      </w:r>
      <w:r w:rsidRPr="007A3962">
        <w:rPr>
          <w:rFonts w:ascii="Arial" w:hAnsi="Arial" w:cs="Arial"/>
          <w:noProof/>
          <w:sz w:val="20"/>
          <w:szCs w:val="20"/>
        </w:rPr>
        <w:t>, 1–13.</w:t>
      </w:r>
    </w:p>
    <w:p w14:paraId="3E893014"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Sachdev, D. P., Chaudhari, H. G., Kasture, V. M., Dhavale, D. D., &amp; Chopade, B. A. (2009). </w:t>
      </w:r>
      <w:r w:rsidRPr="007A3962">
        <w:rPr>
          <w:rFonts w:ascii="Arial" w:hAnsi="Arial" w:cs="Arial"/>
          <w:i/>
          <w:iCs/>
          <w:noProof/>
          <w:sz w:val="20"/>
          <w:szCs w:val="20"/>
        </w:rPr>
        <w:t>Isolation and characterization of indole acetic acid ( IAA ) producing Klebsiella pneumoniae strains from rhizosphere of wheat ( Triticum aestivum ) and their effect on plant growth</w:t>
      </w:r>
      <w:r w:rsidRPr="007A3962">
        <w:rPr>
          <w:rFonts w:ascii="Arial" w:hAnsi="Arial" w:cs="Arial"/>
          <w:noProof/>
          <w:sz w:val="20"/>
          <w:szCs w:val="20"/>
        </w:rPr>
        <w:t xml:space="preserve">. </w:t>
      </w:r>
      <w:r w:rsidRPr="007A3962">
        <w:rPr>
          <w:rFonts w:ascii="Arial" w:hAnsi="Arial" w:cs="Arial"/>
          <w:i/>
          <w:iCs/>
          <w:noProof/>
          <w:sz w:val="20"/>
          <w:szCs w:val="20"/>
        </w:rPr>
        <w:t>47</w:t>
      </w:r>
      <w:r w:rsidRPr="007A3962">
        <w:rPr>
          <w:rFonts w:ascii="Arial" w:hAnsi="Arial" w:cs="Arial"/>
          <w:noProof/>
          <w:sz w:val="20"/>
          <w:szCs w:val="20"/>
        </w:rPr>
        <w:t>(December), 993–1000.</w:t>
      </w:r>
    </w:p>
    <w:p w14:paraId="30064669"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Saha, M., Maurya, B. R., Meena, V. S., Bahadur, I., &amp; Kumar, A. (2016). Identification and characterization </w:t>
      </w:r>
      <w:r w:rsidRPr="007A3962">
        <w:rPr>
          <w:rFonts w:ascii="Arial" w:hAnsi="Arial" w:cs="Arial"/>
          <w:noProof/>
          <w:sz w:val="20"/>
          <w:szCs w:val="20"/>
        </w:rPr>
        <w:lastRenderedPageBreak/>
        <w:t xml:space="preserve">of potassium solubilizing bacteria (KSB) from Indo-Gangetic Plains of India. </w:t>
      </w:r>
      <w:r w:rsidRPr="007A3962">
        <w:rPr>
          <w:rFonts w:ascii="Arial" w:hAnsi="Arial" w:cs="Arial"/>
          <w:i/>
          <w:iCs/>
          <w:noProof/>
          <w:sz w:val="20"/>
          <w:szCs w:val="20"/>
        </w:rPr>
        <w:t>Biocatalysis and Agricultural Biotechnology</w:t>
      </w:r>
      <w:r w:rsidRPr="007A3962">
        <w:rPr>
          <w:rFonts w:ascii="Arial" w:hAnsi="Arial" w:cs="Arial"/>
          <w:noProof/>
          <w:sz w:val="20"/>
          <w:szCs w:val="20"/>
        </w:rPr>
        <w:t xml:space="preserve">, </w:t>
      </w:r>
      <w:r w:rsidRPr="007A3962">
        <w:rPr>
          <w:rFonts w:ascii="Arial" w:hAnsi="Arial" w:cs="Arial"/>
          <w:i/>
          <w:iCs/>
          <w:noProof/>
          <w:sz w:val="20"/>
          <w:szCs w:val="20"/>
        </w:rPr>
        <w:t>7</w:t>
      </w:r>
      <w:r w:rsidRPr="007A3962">
        <w:rPr>
          <w:rFonts w:ascii="Arial" w:hAnsi="Arial" w:cs="Arial"/>
          <w:noProof/>
          <w:sz w:val="20"/>
          <w:szCs w:val="20"/>
        </w:rPr>
        <w:t>. https://doi.org/10.1016/j.bcab.2016.06.007</w:t>
      </w:r>
    </w:p>
    <w:p w14:paraId="7BC7E722"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Sahoo, H. R., &amp; Gupta, N. (2016). </w:t>
      </w:r>
      <w:r w:rsidRPr="007A3962">
        <w:rPr>
          <w:rFonts w:ascii="Arial" w:hAnsi="Arial" w:cs="Arial"/>
          <w:i/>
          <w:iCs/>
          <w:noProof/>
          <w:sz w:val="20"/>
          <w:szCs w:val="20"/>
        </w:rPr>
        <w:t>Variation in rock phosphate solubilization by three isolates of Aspergillus niger van Tieghem grown in liquid media supplemented with different carbon and nitrogen sources</w:t>
      </w:r>
      <w:r w:rsidRPr="007A3962">
        <w:rPr>
          <w:rFonts w:ascii="Arial" w:hAnsi="Arial" w:cs="Arial"/>
          <w:noProof/>
          <w:sz w:val="20"/>
          <w:szCs w:val="20"/>
        </w:rPr>
        <w:t xml:space="preserve">. </w:t>
      </w:r>
      <w:r w:rsidRPr="007A3962">
        <w:rPr>
          <w:rFonts w:ascii="Arial" w:hAnsi="Arial" w:cs="Arial"/>
          <w:i/>
          <w:iCs/>
          <w:noProof/>
          <w:sz w:val="20"/>
          <w:szCs w:val="20"/>
        </w:rPr>
        <w:t>3</w:t>
      </w:r>
      <w:r w:rsidRPr="007A3962">
        <w:rPr>
          <w:rFonts w:ascii="Arial" w:hAnsi="Arial" w:cs="Arial"/>
          <w:noProof/>
          <w:sz w:val="20"/>
          <w:szCs w:val="20"/>
        </w:rPr>
        <w:t>(April), 243–248.</w:t>
      </w:r>
    </w:p>
    <w:p w14:paraId="3EFAFE02"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Sánchez-Ortiz, A. C., Luna-González, A., Campa-Córdova, Á. I., Escamilla-Montes, R., Carmen Flores-Miranda, M. Del, &amp; Mazón-Suástegui, J. M. (2015). Aislamiento y caracterización de bacterias de la almeja “pata de mula” (anadara tuberculosa) con potencial probiótico para el cultivo de camarón. </w:t>
      </w:r>
      <w:r w:rsidRPr="007A3962">
        <w:rPr>
          <w:rFonts w:ascii="Arial" w:hAnsi="Arial" w:cs="Arial"/>
          <w:i/>
          <w:iCs/>
          <w:noProof/>
          <w:sz w:val="20"/>
          <w:szCs w:val="20"/>
        </w:rPr>
        <w:t>Latin American Journal of Aquatic Research</w:t>
      </w:r>
      <w:r w:rsidRPr="007A3962">
        <w:rPr>
          <w:rFonts w:ascii="Arial" w:hAnsi="Arial" w:cs="Arial"/>
          <w:noProof/>
          <w:sz w:val="20"/>
          <w:szCs w:val="20"/>
        </w:rPr>
        <w:t xml:space="preserve">, </w:t>
      </w:r>
      <w:r w:rsidRPr="007A3962">
        <w:rPr>
          <w:rFonts w:ascii="Arial" w:hAnsi="Arial" w:cs="Arial"/>
          <w:i/>
          <w:iCs/>
          <w:noProof/>
          <w:sz w:val="20"/>
          <w:szCs w:val="20"/>
        </w:rPr>
        <w:t>43</w:t>
      </w:r>
      <w:r w:rsidRPr="007A3962">
        <w:rPr>
          <w:rFonts w:ascii="Arial" w:hAnsi="Arial" w:cs="Arial"/>
          <w:noProof/>
          <w:sz w:val="20"/>
          <w:szCs w:val="20"/>
        </w:rPr>
        <w:t>(1), 123–136. https://doi.org/10.3856/vol43-issue1-fulltext-11</w:t>
      </w:r>
    </w:p>
    <w:p w14:paraId="3DEF79E7"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Sane, S. A., &amp; Mehta, S. K. (2015). </w:t>
      </w:r>
      <w:r w:rsidRPr="007A3962">
        <w:rPr>
          <w:rFonts w:ascii="Arial" w:hAnsi="Arial" w:cs="Arial"/>
          <w:i/>
          <w:iCs/>
          <w:noProof/>
          <w:sz w:val="20"/>
          <w:szCs w:val="20"/>
        </w:rPr>
        <w:t>Journal of Fertilizers &amp; Pesticides Isolation and Evaluation of Rock Phosphate Solubilizing Fungi as Potential Bio- fertilizer</w:t>
      </w:r>
      <w:r w:rsidRPr="007A3962">
        <w:rPr>
          <w:rFonts w:ascii="Arial" w:hAnsi="Arial" w:cs="Arial"/>
          <w:noProof/>
          <w:sz w:val="20"/>
          <w:szCs w:val="20"/>
        </w:rPr>
        <w:t xml:space="preserve">. </w:t>
      </w:r>
      <w:r w:rsidRPr="007A3962">
        <w:rPr>
          <w:rFonts w:ascii="Arial" w:hAnsi="Arial" w:cs="Arial"/>
          <w:i/>
          <w:iCs/>
          <w:noProof/>
          <w:sz w:val="20"/>
          <w:szCs w:val="20"/>
        </w:rPr>
        <w:t>6</w:t>
      </w:r>
      <w:r w:rsidRPr="007A3962">
        <w:rPr>
          <w:rFonts w:ascii="Arial" w:hAnsi="Arial" w:cs="Arial"/>
          <w:noProof/>
          <w:sz w:val="20"/>
          <w:szCs w:val="20"/>
        </w:rPr>
        <w:t>(2). https://doi.org/10.4172/2471-2728.1000156</w:t>
      </w:r>
    </w:p>
    <w:p w14:paraId="27247154"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Sarathambal, C., &amp; Ilamurugu, K. (2014). </w:t>
      </w:r>
      <w:r w:rsidRPr="007A3962">
        <w:rPr>
          <w:rFonts w:ascii="Arial" w:hAnsi="Arial" w:cs="Arial"/>
          <w:i/>
          <w:iCs/>
          <w:noProof/>
          <w:sz w:val="20"/>
          <w:szCs w:val="20"/>
        </w:rPr>
        <w:t>Phosphate solubilising diazotrophic bacteria associated with rhizosphere of weedy grasses</w:t>
      </w:r>
      <w:r w:rsidRPr="007A3962">
        <w:rPr>
          <w:rFonts w:ascii="Arial" w:hAnsi="Arial" w:cs="Arial"/>
          <w:noProof/>
          <w:sz w:val="20"/>
          <w:szCs w:val="20"/>
        </w:rPr>
        <w:t xml:space="preserve">. </w:t>
      </w:r>
      <w:r w:rsidRPr="007A3962">
        <w:rPr>
          <w:rFonts w:ascii="Arial" w:hAnsi="Arial" w:cs="Arial"/>
          <w:i/>
          <w:iCs/>
          <w:noProof/>
          <w:sz w:val="20"/>
          <w:szCs w:val="20"/>
        </w:rPr>
        <w:t>46</w:t>
      </w:r>
      <w:r w:rsidRPr="007A3962">
        <w:rPr>
          <w:rFonts w:ascii="Arial" w:hAnsi="Arial" w:cs="Arial"/>
          <w:noProof/>
          <w:sz w:val="20"/>
          <w:szCs w:val="20"/>
        </w:rPr>
        <w:t>(4), 364–369.</w:t>
      </w:r>
    </w:p>
    <w:p w14:paraId="3C1C7843"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Savci, S. (2012). Investigation of Effect of Chemical Fertilizers on Environment. </w:t>
      </w:r>
      <w:r w:rsidRPr="007A3962">
        <w:rPr>
          <w:rFonts w:ascii="Arial" w:hAnsi="Arial" w:cs="Arial"/>
          <w:i/>
          <w:iCs/>
          <w:noProof/>
          <w:sz w:val="20"/>
          <w:szCs w:val="20"/>
        </w:rPr>
        <w:t>APCBEE Procedia</w:t>
      </w:r>
      <w:r w:rsidRPr="007A3962">
        <w:rPr>
          <w:rFonts w:ascii="Arial" w:hAnsi="Arial" w:cs="Arial"/>
          <w:noProof/>
          <w:sz w:val="20"/>
          <w:szCs w:val="20"/>
        </w:rPr>
        <w:t xml:space="preserve">, </w:t>
      </w:r>
      <w:r w:rsidRPr="007A3962">
        <w:rPr>
          <w:rFonts w:ascii="Arial" w:hAnsi="Arial" w:cs="Arial"/>
          <w:i/>
          <w:iCs/>
          <w:noProof/>
          <w:sz w:val="20"/>
          <w:szCs w:val="20"/>
        </w:rPr>
        <w:t>1</w:t>
      </w:r>
      <w:r w:rsidRPr="007A3962">
        <w:rPr>
          <w:rFonts w:ascii="Arial" w:hAnsi="Arial" w:cs="Arial"/>
          <w:noProof/>
          <w:sz w:val="20"/>
          <w:szCs w:val="20"/>
        </w:rPr>
        <w:t>(January), 287–292. https://doi.org/10.1016/j.apcbee.2012.03.047</w:t>
      </w:r>
    </w:p>
    <w:p w14:paraId="2B3E6687"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Sharma, S. B., Sayyed, R. Z., Trivedi, M. H., &amp; Gobi, T. A. (2013). </w:t>
      </w:r>
      <w:r w:rsidRPr="007A3962">
        <w:rPr>
          <w:rFonts w:ascii="Arial" w:hAnsi="Arial" w:cs="Arial"/>
          <w:i/>
          <w:iCs/>
          <w:noProof/>
          <w:sz w:val="20"/>
          <w:szCs w:val="20"/>
        </w:rPr>
        <w:t>Phosphate solubilizing microbes : sustainable approach for managing phosphorus deficiency in agricultural soils</w:t>
      </w:r>
      <w:r w:rsidRPr="007A3962">
        <w:rPr>
          <w:rFonts w:ascii="Arial" w:hAnsi="Arial" w:cs="Arial"/>
          <w:noProof/>
          <w:sz w:val="20"/>
          <w:szCs w:val="20"/>
        </w:rPr>
        <w:t xml:space="preserve">. </w:t>
      </w:r>
      <w:r w:rsidRPr="007A3962">
        <w:rPr>
          <w:rFonts w:ascii="Arial" w:hAnsi="Arial" w:cs="Arial"/>
          <w:i/>
          <w:iCs/>
          <w:noProof/>
          <w:sz w:val="20"/>
          <w:szCs w:val="20"/>
        </w:rPr>
        <w:t>Richardson 1994</w:t>
      </w:r>
      <w:r w:rsidRPr="007A3962">
        <w:rPr>
          <w:rFonts w:ascii="Arial" w:hAnsi="Arial" w:cs="Arial"/>
          <w:noProof/>
          <w:sz w:val="20"/>
          <w:szCs w:val="20"/>
        </w:rPr>
        <w:t>, 1–14.</w:t>
      </w:r>
    </w:p>
    <w:p w14:paraId="13F007C3"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Shehata, M. G., Sohaimy, S. A. El, El-sahn, M. A., &amp; Youssef, M. M. (2016). Screening of isolated potential probiotic lactic acid bacteria for cholesterol lowering property and bile salt hydrolase activity. </w:t>
      </w:r>
      <w:r w:rsidRPr="007A3962">
        <w:rPr>
          <w:rFonts w:ascii="Arial" w:hAnsi="Arial" w:cs="Arial"/>
          <w:i/>
          <w:iCs/>
          <w:noProof/>
          <w:sz w:val="20"/>
          <w:szCs w:val="20"/>
        </w:rPr>
        <w:t>ANNALS OF AGRICULTURAL SCIENCES</w:t>
      </w:r>
      <w:r w:rsidRPr="007A3962">
        <w:rPr>
          <w:rFonts w:ascii="Arial" w:hAnsi="Arial" w:cs="Arial"/>
          <w:noProof/>
          <w:sz w:val="20"/>
          <w:szCs w:val="20"/>
        </w:rPr>
        <w:t xml:space="preserve">, </w:t>
      </w:r>
      <w:r w:rsidRPr="007A3962">
        <w:rPr>
          <w:rFonts w:ascii="Arial" w:hAnsi="Arial" w:cs="Arial"/>
          <w:i/>
          <w:iCs/>
          <w:noProof/>
          <w:sz w:val="20"/>
          <w:szCs w:val="20"/>
        </w:rPr>
        <w:t>April</w:t>
      </w:r>
      <w:r w:rsidRPr="007A3962">
        <w:rPr>
          <w:rFonts w:ascii="Arial" w:hAnsi="Arial" w:cs="Arial"/>
          <w:noProof/>
          <w:sz w:val="20"/>
          <w:szCs w:val="20"/>
        </w:rPr>
        <w:t>. https://doi.org/10.1016/j.aoas.2016.03.001</w:t>
      </w:r>
    </w:p>
    <w:p w14:paraId="7A667896"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Sony, I. S., &amp; Potty, V. P. (2016). </w:t>
      </w:r>
      <w:r w:rsidRPr="007A3962">
        <w:rPr>
          <w:rFonts w:ascii="Arial" w:hAnsi="Arial" w:cs="Arial"/>
          <w:i/>
          <w:iCs/>
          <w:noProof/>
          <w:sz w:val="20"/>
          <w:szCs w:val="20"/>
        </w:rPr>
        <w:t>Isolation and Identification of Protease Producing Bacteria from Food Processing Industries</w:t>
      </w:r>
      <w:r w:rsidRPr="007A3962">
        <w:rPr>
          <w:rFonts w:ascii="Arial" w:hAnsi="Arial" w:cs="Arial"/>
          <w:noProof/>
          <w:sz w:val="20"/>
          <w:szCs w:val="20"/>
        </w:rPr>
        <w:t xml:space="preserve">. </w:t>
      </w:r>
      <w:r w:rsidRPr="007A3962">
        <w:rPr>
          <w:rFonts w:ascii="Arial" w:hAnsi="Arial" w:cs="Arial"/>
          <w:i/>
          <w:iCs/>
          <w:noProof/>
          <w:sz w:val="20"/>
          <w:szCs w:val="20"/>
        </w:rPr>
        <w:t>5</w:t>
      </w:r>
      <w:r w:rsidRPr="007A3962">
        <w:rPr>
          <w:rFonts w:ascii="Arial" w:hAnsi="Arial" w:cs="Arial"/>
          <w:noProof/>
          <w:sz w:val="20"/>
          <w:szCs w:val="20"/>
        </w:rPr>
        <w:t>(3), 181–189.</w:t>
      </w:r>
    </w:p>
    <w:p w14:paraId="482D0DE6"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lastRenderedPageBreak/>
        <w:t xml:space="preserve">Stella, M., &amp; Halimi, M. S. (2015). </w:t>
      </w:r>
      <w:r w:rsidRPr="007A3962">
        <w:rPr>
          <w:rFonts w:ascii="Arial" w:hAnsi="Arial" w:cs="Arial"/>
          <w:i/>
          <w:iCs/>
          <w:noProof/>
          <w:sz w:val="20"/>
          <w:szCs w:val="20"/>
        </w:rPr>
        <w:t>Gluconic acid production by bacteria to liberate phosphorus from insoluble phosphate complexes</w:t>
      </w:r>
      <w:r w:rsidRPr="007A3962">
        <w:rPr>
          <w:rFonts w:ascii="Arial" w:hAnsi="Arial" w:cs="Arial"/>
          <w:noProof/>
          <w:sz w:val="20"/>
          <w:szCs w:val="20"/>
        </w:rPr>
        <w:t xml:space="preserve">. </w:t>
      </w:r>
      <w:r w:rsidRPr="007A3962">
        <w:rPr>
          <w:rFonts w:ascii="Arial" w:hAnsi="Arial" w:cs="Arial"/>
          <w:i/>
          <w:iCs/>
          <w:noProof/>
          <w:sz w:val="20"/>
          <w:szCs w:val="20"/>
        </w:rPr>
        <w:t>43</w:t>
      </w:r>
      <w:r w:rsidRPr="007A3962">
        <w:rPr>
          <w:rFonts w:ascii="Arial" w:hAnsi="Arial" w:cs="Arial"/>
          <w:noProof/>
          <w:sz w:val="20"/>
          <w:szCs w:val="20"/>
        </w:rPr>
        <w:t>(1), 41–53.</w:t>
      </w:r>
    </w:p>
    <w:p w14:paraId="037B10B1"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Sumatera, N. (2016). </w:t>
      </w:r>
      <w:r w:rsidRPr="007A3962">
        <w:rPr>
          <w:rFonts w:ascii="Arial" w:hAnsi="Arial" w:cs="Arial"/>
          <w:i/>
          <w:iCs/>
          <w:noProof/>
          <w:sz w:val="20"/>
          <w:szCs w:val="20"/>
        </w:rPr>
        <w:t>Effect of Microbes Phosphate Solubilizing and Organic Matter to Status the Phosphate on Andisol Impacted by Mount Sinabung</w:t>
      </w:r>
      <w:r w:rsidRPr="007A3962">
        <w:rPr>
          <w:rFonts w:ascii="Arial" w:hAnsi="Arial" w:cs="Arial"/>
          <w:noProof/>
          <w:sz w:val="20"/>
          <w:szCs w:val="20"/>
        </w:rPr>
        <w:t xml:space="preserve">. </w:t>
      </w:r>
      <w:r w:rsidRPr="007A3962">
        <w:rPr>
          <w:rFonts w:ascii="Arial" w:hAnsi="Arial" w:cs="Arial"/>
          <w:i/>
          <w:iCs/>
          <w:noProof/>
          <w:sz w:val="20"/>
          <w:szCs w:val="20"/>
        </w:rPr>
        <w:t>4</w:t>
      </w:r>
      <w:r w:rsidRPr="007A3962">
        <w:rPr>
          <w:rFonts w:ascii="Arial" w:hAnsi="Arial" w:cs="Arial"/>
          <w:noProof/>
          <w:sz w:val="20"/>
          <w:szCs w:val="20"/>
        </w:rPr>
        <w:t>.</w:t>
      </w:r>
    </w:p>
    <w:p w14:paraId="233C0B81"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Sumathi, C., &amp; Priya, D. M. (2011). Analysis of Enzyme Activities of the Gut Bacterial Communities in Labeo rohita fed Differentially Treated Animal Fleshing Diets. </w:t>
      </w:r>
      <w:r w:rsidRPr="007A3962">
        <w:rPr>
          <w:rFonts w:ascii="Arial" w:hAnsi="Arial" w:cs="Arial"/>
          <w:i/>
          <w:iCs/>
          <w:noProof/>
          <w:sz w:val="20"/>
          <w:szCs w:val="20"/>
        </w:rPr>
        <w:t>Journal of Microbial &amp; Biochemical Technology</w:t>
      </w:r>
      <w:r w:rsidRPr="007A3962">
        <w:rPr>
          <w:rFonts w:ascii="Arial" w:hAnsi="Arial" w:cs="Arial"/>
          <w:noProof/>
          <w:sz w:val="20"/>
          <w:szCs w:val="20"/>
        </w:rPr>
        <w:t xml:space="preserve">, </w:t>
      </w:r>
      <w:r w:rsidRPr="007A3962">
        <w:rPr>
          <w:rFonts w:ascii="Arial" w:hAnsi="Arial" w:cs="Arial"/>
          <w:i/>
          <w:iCs/>
          <w:noProof/>
          <w:sz w:val="20"/>
          <w:szCs w:val="20"/>
        </w:rPr>
        <w:t>3</w:t>
      </w:r>
      <w:r w:rsidRPr="007A3962">
        <w:rPr>
          <w:rFonts w:ascii="Arial" w:hAnsi="Arial" w:cs="Arial"/>
          <w:noProof/>
          <w:sz w:val="20"/>
          <w:szCs w:val="20"/>
        </w:rPr>
        <w:t>(5). https://doi.org/10.4172/1948-5948.1000061</w:t>
      </w:r>
    </w:p>
    <w:p w14:paraId="519205FD"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Swift, R. G., Murdoch, H., &amp; Swift, R. G. (2016). </w:t>
      </w:r>
      <w:r w:rsidRPr="007A3962">
        <w:rPr>
          <w:rFonts w:ascii="Arial" w:hAnsi="Arial" w:cs="Arial"/>
          <w:i/>
          <w:iCs/>
          <w:noProof/>
          <w:sz w:val="20"/>
          <w:szCs w:val="20"/>
        </w:rPr>
        <w:t>Plant growth-promoting bacteria from Western Australian soils</w:t>
      </w:r>
      <w:r w:rsidRPr="007A3962">
        <w:rPr>
          <w:rFonts w:ascii="Arial" w:hAnsi="Arial" w:cs="Arial"/>
          <w:noProof/>
          <w:sz w:val="20"/>
          <w:szCs w:val="20"/>
        </w:rPr>
        <w:t xml:space="preserve">. </w:t>
      </w:r>
      <w:r w:rsidRPr="007A3962">
        <w:rPr>
          <w:rFonts w:ascii="Arial" w:hAnsi="Arial" w:cs="Arial"/>
          <w:i/>
          <w:iCs/>
          <w:noProof/>
          <w:sz w:val="20"/>
          <w:szCs w:val="20"/>
        </w:rPr>
        <w:t>December</w:t>
      </w:r>
      <w:r w:rsidRPr="007A3962">
        <w:rPr>
          <w:rFonts w:ascii="Arial" w:hAnsi="Arial" w:cs="Arial"/>
          <w:noProof/>
          <w:sz w:val="20"/>
          <w:szCs w:val="20"/>
        </w:rPr>
        <w:t>.</w:t>
      </w:r>
    </w:p>
    <w:p w14:paraId="69FCA89A"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Taheri, H. R., Moravej, H., Tabandeh, F., Zaghari, M., &amp; Shivazad, M. (2009). Screening of lactic acid bacteria toward their selection as a source of chicken probiotic. </w:t>
      </w:r>
      <w:r w:rsidRPr="007A3962">
        <w:rPr>
          <w:rFonts w:ascii="Arial" w:hAnsi="Arial" w:cs="Arial"/>
          <w:i/>
          <w:iCs/>
          <w:noProof/>
          <w:sz w:val="20"/>
          <w:szCs w:val="20"/>
        </w:rPr>
        <w:t>Poultry Science</w:t>
      </w:r>
      <w:r w:rsidRPr="007A3962">
        <w:rPr>
          <w:rFonts w:ascii="Arial" w:hAnsi="Arial" w:cs="Arial"/>
          <w:noProof/>
          <w:sz w:val="20"/>
          <w:szCs w:val="20"/>
        </w:rPr>
        <w:t xml:space="preserve">, </w:t>
      </w:r>
      <w:r w:rsidRPr="007A3962">
        <w:rPr>
          <w:rFonts w:ascii="Arial" w:hAnsi="Arial" w:cs="Arial"/>
          <w:i/>
          <w:iCs/>
          <w:noProof/>
          <w:sz w:val="20"/>
          <w:szCs w:val="20"/>
        </w:rPr>
        <w:t>88</w:t>
      </w:r>
      <w:r w:rsidRPr="007A3962">
        <w:rPr>
          <w:rFonts w:ascii="Arial" w:hAnsi="Arial" w:cs="Arial"/>
          <w:noProof/>
          <w:sz w:val="20"/>
          <w:szCs w:val="20"/>
        </w:rPr>
        <w:t>(8), 1586–1593. https://doi.org/10.3382/ps.2009-00041</w:t>
      </w:r>
    </w:p>
    <w:p w14:paraId="1CDD1927"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Upadhyaya, S. K., Manandhar, A., Mainali, H., Pokhrel, A. R., Rijal, A., Pradhan, B., &amp; Koirala, B. (2012). Subodh K. Upadhyaya et al.: Isolation and characterization of cellulolytic bacteria from gut of termite Isolation and Characterization of Cellulolytic Bacteria from Gut of Termite. In </w:t>
      </w:r>
      <w:r w:rsidRPr="007A3962">
        <w:rPr>
          <w:rFonts w:ascii="Arial" w:hAnsi="Arial" w:cs="Arial"/>
          <w:i/>
          <w:iCs/>
          <w:noProof/>
          <w:sz w:val="20"/>
          <w:szCs w:val="20"/>
        </w:rPr>
        <w:t>Rentech Symposium Compendium</w:t>
      </w:r>
      <w:r w:rsidRPr="007A3962">
        <w:rPr>
          <w:rFonts w:ascii="Arial" w:hAnsi="Arial" w:cs="Arial"/>
          <w:noProof/>
          <w:sz w:val="20"/>
          <w:szCs w:val="20"/>
        </w:rPr>
        <w:t xml:space="preserve"> (Vol. 1).</w:t>
      </w:r>
    </w:p>
    <w:p w14:paraId="691AB4A6"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Vishwavidyalaya, K. S. (2012). </w:t>
      </w:r>
      <w:r w:rsidRPr="007A3962">
        <w:rPr>
          <w:rFonts w:ascii="Arial" w:hAnsi="Arial" w:cs="Arial"/>
          <w:i/>
          <w:iCs/>
          <w:noProof/>
          <w:sz w:val="20"/>
          <w:szCs w:val="20"/>
        </w:rPr>
        <w:t>Published on : 1 st May 2012 I</w:t>
      </w:r>
      <w:r w:rsidR="0003336A" w:rsidRPr="007A3962">
        <w:rPr>
          <w:rFonts w:ascii="Arial" w:hAnsi="Arial" w:cs="Arial"/>
          <w:i/>
          <w:iCs/>
          <w:noProof/>
          <w:sz w:val="20"/>
          <w:szCs w:val="20"/>
        </w:rPr>
        <w:t>solation of two potassium solubilizing fungi from ceramic industry soils</w:t>
      </w:r>
      <w:r w:rsidR="0003336A" w:rsidRPr="007A3962">
        <w:rPr>
          <w:rFonts w:ascii="Arial" w:hAnsi="Arial" w:cs="Arial"/>
          <w:noProof/>
          <w:sz w:val="20"/>
          <w:szCs w:val="20"/>
        </w:rPr>
        <w:t>.</w:t>
      </w:r>
      <w:r w:rsidRPr="007A3962">
        <w:rPr>
          <w:rFonts w:ascii="Arial" w:hAnsi="Arial" w:cs="Arial"/>
          <w:noProof/>
          <w:sz w:val="20"/>
          <w:szCs w:val="20"/>
        </w:rPr>
        <w:t xml:space="preserve"> </w:t>
      </w:r>
      <w:r w:rsidRPr="007A3962">
        <w:rPr>
          <w:rFonts w:ascii="Arial" w:hAnsi="Arial" w:cs="Arial"/>
          <w:i/>
          <w:iCs/>
          <w:noProof/>
          <w:sz w:val="20"/>
          <w:szCs w:val="20"/>
        </w:rPr>
        <w:t>4297</w:t>
      </w:r>
      <w:r w:rsidRPr="007A3962">
        <w:rPr>
          <w:rFonts w:ascii="Arial" w:hAnsi="Arial" w:cs="Arial"/>
          <w:noProof/>
          <w:sz w:val="20"/>
          <w:szCs w:val="20"/>
        </w:rPr>
        <w:t>(May), 71–75.</w:t>
      </w:r>
    </w:p>
    <w:p w14:paraId="40912915" w14:textId="77777777" w:rsidR="000C0C03" w:rsidRPr="007A3962" w:rsidRDefault="005C020D" w:rsidP="00BE3179">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Walpola, B. C., &amp; Yoon, M. (2013). </w:t>
      </w:r>
      <w:r w:rsidRPr="007A3962">
        <w:rPr>
          <w:rFonts w:ascii="Arial" w:hAnsi="Arial" w:cs="Arial"/>
          <w:i/>
          <w:iCs/>
          <w:noProof/>
          <w:sz w:val="20"/>
          <w:szCs w:val="20"/>
        </w:rPr>
        <w:t>Isolation and characterization of phosphate solubilizing bacteria and their co-inoculation efficiency on tomato plant growth and phosphorous uptake</w:t>
      </w:r>
      <w:r w:rsidRPr="007A3962">
        <w:rPr>
          <w:rFonts w:ascii="Arial" w:hAnsi="Arial" w:cs="Arial"/>
          <w:noProof/>
          <w:sz w:val="20"/>
          <w:szCs w:val="20"/>
        </w:rPr>
        <w:t xml:space="preserve">. </w:t>
      </w:r>
      <w:r w:rsidRPr="007A3962">
        <w:rPr>
          <w:rFonts w:ascii="Arial" w:hAnsi="Arial" w:cs="Arial"/>
          <w:i/>
          <w:iCs/>
          <w:noProof/>
          <w:sz w:val="20"/>
          <w:szCs w:val="20"/>
        </w:rPr>
        <w:t>7</w:t>
      </w:r>
      <w:r w:rsidRPr="007A3962">
        <w:rPr>
          <w:rFonts w:ascii="Arial" w:hAnsi="Arial" w:cs="Arial"/>
          <w:noProof/>
          <w:sz w:val="20"/>
          <w:szCs w:val="20"/>
        </w:rPr>
        <w:t>(3), 266–275. http</w:t>
      </w:r>
      <w:r w:rsidR="00BE3179">
        <w:rPr>
          <w:rFonts w:ascii="Arial" w:hAnsi="Arial" w:cs="Arial"/>
          <w:noProof/>
          <w:sz w:val="20"/>
          <w:szCs w:val="20"/>
        </w:rPr>
        <w:t>s://doi.org/10.5897/AJMR12.2282</w:t>
      </w:r>
      <w:r w:rsidR="00203939" w:rsidRPr="007A3962">
        <w:rPr>
          <w:rFonts w:ascii="Arial" w:hAnsi="Arial" w:cs="Arial"/>
          <w:sz w:val="20"/>
          <w:szCs w:val="20"/>
        </w:rPr>
        <w:fldChar w:fldCharType="end"/>
      </w:r>
    </w:p>
    <w:sectPr w:rsidR="000C0C03" w:rsidRPr="007A396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1DFFF" w14:textId="77777777" w:rsidR="004F02C7" w:rsidRDefault="004F02C7" w:rsidP="00FF7F6A">
      <w:pPr>
        <w:spacing w:after="0" w:line="240" w:lineRule="auto"/>
      </w:pPr>
      <w:r>
        <w:separator/>
      </w:r>
    </w:p>
  </w:endnote>
  <w:endnote w:type="continuationSeparator" w:id="0">
    <w:p w14:paraId="07B14595" w14:textId="77777777" w:rsidR="004F02C7" w:rsidRDefault="004F02C7" w:rsidP="00FF7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OpenSans">
    <w:altName w:val="Times New Roman"/>
    <w:panose1 w:val="00000000000000000000"/>
    <w:charset w:val="00"/>
    <w:family w:val="roman"/>
    <w:notTrueType/>
    <w:pitch w:val="default"/>
  </w:font>
  <w:font w:name="MinionPro-It">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TeX_CM_Maths_Symbols">
    <w:altName w:val="Times New Roman"/>
    <w:panose1 w:val="00000000000000000000"/>
    <w:charset w:val="00"/>
    <w:family w:val="roman"/>
    <w:notTrueType/>
    <w:pitch w:val="default"/>
  </w:font>
  <w:font w:name="PI_chars_3">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21FC9" w14:textId="77777777" w:rsidR="00FF7F6A" w:rsidRDefault="00FF7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06F8B" w14:textId="77777777" w:rsidR="00FF7F6A" w:rsidRDefault="00FF7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93B22" w14:textId="77777777" w:rsidR="00FF7F6A" w:rsidRDefault="00FF7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09ABE" w14:textId="77777777" w:rsidR="004F02C7" w:rsidRDefault="004F02C7" w:rsidP="00FF7F6A">
      <w:pPr>
        <w:spacing w:after="0" w:line="240" w:lineRule="auto"/>
      </w:pPr>
      <w:r>
        <w:separator/>
      </w:r>
    </w:p>
  </w:footnote>
  <w:footnote w:type="continuationSeparator" w:id="0">
    <w:p w14:paraId="68BBB4B2" w14:textId="77777777" w:rsidR="004F02C7" w:rsidRDefault="004F02C7" w:rsidP="00FF7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02225" w14:textId="5E51E85A" w:rsidR="00FF7F6A" w:rsidRDefault="00FF7F6A">
    <w:pPr>
      <w:pStyle w:val="Header"/>
    </w:pPr>
    <w:r>
      <w:rPr>
        <w:noProof/>
      </w:rPr>
      <w:pict w14:anchorId="4AEC1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866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2910C" w14:textId="5DAEB465" w:rsidR="00FF7F6A" w:rsidRDefault="00FF7F6A">
    <w:pPr>
      <w:pStyle w:val="Header"/>
    </w:pPr>
    <w:r>
      <w:rPr>
        <w:noProof/>
      </w:rPr>
      <w:pict w14:anchorId="38242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866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63518" w14:textId="36F577DA" w:rsidR="00FF7F6A" w:rsidRDefault="00FF7F6A">
    <w:pPr>
      <w:pStyle w:val="Header"/>
    </w:pPr>
    <w:r>
      <w:rPr>
        <w:noProof/>
      </w:rPr>
      <w:pict w14:anchorId="44BA3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866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0ECB"/>
    <w:multiLevelType w:val="multilevel"/>
    <w:tmpl w:val="AA3AE0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9E3828"/>
    <w:multiLevelType w:val="multilevel"/>
    <w:tmpl w:val="AA3AE0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5B0E41"/>
    <w:multiLevelType w:val="hybridMultilevel"/>
    <w:tmpl w:val="B7968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D5EBC"/>
    <w:multiLevelType w:val="hybridMultilevel"/>
    <w:tmpl w:val="02C47F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A5B22"/>
    <w:multiLevelType w:val="multilevel"/>
    <w:tmpl w:val="1B249B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E71057"/>
    <w:multiLevelType w:val="hybridMultilevel"/>
    <w:tmpl w:val="6C6CF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0A52C0"/>
    <w:multiLevelType w:val="multilevel"/>
    <w:tmpl w:val="DD6C3B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1ADF0FCA"/>
    <w:multiLevelType w:val="hybridMultilevel"/>
    <w:tmpl w:val="EAC04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D46E4"/>
    <w:multiLevelType w:val="multilevel"/>
    <w:tmpl w:val="0C8E09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23371E00"/>
    <w:multiLevelType w:val="multilevel"/>
    <w:tmpl w:val="BB32F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B3011F5"/>
    <w:multiLevelType w:val="multilevel"/>
    <w:tmpl w:val="AE243BF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D9E4804"/>
    <w:multiLevelType w:val="multilevel"/>
    <w:tmpl w:val="AE243BF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FDB3122"/>
    <w:multiLevelType w:val="multilevel"/>
    <w:tmpl w:val="4BC061D8"/>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13" w15:restartNumberingAfterBreak="0">
    <w:nsid w:val="362E41E2"/>
    <w:multiLevelType w:val="multilevel"/>
    <w:tmpl w:val="AE243BF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F491AB4"/>
    <w:multiLevelType w:val="multilevel"/>
    <w:tmpl w:val="AE243BF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82A3121"/>
    <w:multiLevelType w:val="hybridMultilevel"/>
    <w:tmpl w:val="02C47F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1B7C6C"/>
    <w:multiLevelType w:val="multilevel"/>
    <w:tmpl w:val="0A7C82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7E5023"/>
    <w:multiLevelType w:val="multilevel"/>
    <w:tmpl w:val="DD6C3B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8" w15:restartNumberingAfterBreak="0">
    <w:nsid w:val="4ECF1563"/>
    <w:multiLevelType w:val="multilevel"/>
    <w:tmpl w:val="BB32F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4EA575F"/>
    <w:multiLevelType w:val="multilevel"/>
    <w:tmpl w:val="DD6C3B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0" w15:restartNumberingAfterBreak="0">
    <w:nsid w:val="561F343D"/>
    <w:multiLevelType w:val="multilevel"/>
    <w:tmpl w:val="B4D03F9E"/>
    <w:lvl w:ilvl="0">
      <w:start w:val="1"/>
      <w:numFmt w:val="lowerRoman"/>
      <w:lvlText w:val="%1."/>
      <w:lvlJc w:val="righ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1" w15:restartNumberingAfterBreak="0">
    <w:nsid w:val="564908F0"/>
    <w:multiLevelType w:val="multilevel"/>
    <w:tmpl w:val="5396FC8E"/>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2" w15:restartNumberingAfterBreak="0">
    <w:nsid w:val="56DC7B19"/>
    <w:multiLevelType w:val="hybridMultilevel"/>
    <w:tmpl w:val="C31CC58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AC1062"/>
    <w:multiLevelType w:val="multilevel"/>
    <w:tmpl w:val="DD6C3B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15:restartNumberingAfterBreak="0">
    <w:nsid w:val="5AEF58C1"/>
    <w:multiLevelType w:val="hybridMultilevel"/>
    <w:tmpl w:val="4B02D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BE64CE"/>
    <w:multiLevelType w:val="multilevel"/>
    <w:tmpl w:val="1B249B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10831C0"/>
    <w:multiLevelType w:val="multilevel"/>
    <w:tmpl w:val="DD6C3B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7" w15:restartNumberingAfterBreak="0">
    <w:nsid w:val="61891262"/>
    <w:multiLevelType w:val="multilevel"/>
    <w:tmpl w:val="DD6C3B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15:restartNumberingAfterBreak="0">
    <w:nsid w:val="664C4679"/>
    <w:multiLevelType w:val="multilevel"/>
    <w:tmpl w:val="AA3AE0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7D8086A"/>
    <w:multiLevelType w:val="multilevel"/>
    <w:tmpl w:val="125E2034"/>
    <w:lvl w:ilvl="0">
      <w:start w:val="3"/>
      <w:numFmt w:val="decimal"/>
      <w:lvlText w:val="%1"/>
      <w:lvlJc w:val="left"/>
      <w:pPr>
        <w:ind w:left="360" w:hanging="360"/>
      </w:pPr>
      <w:rPr>
        <w:rFonts w:eastAsiaTheme="minorHAnsi" w:hint="default"/>
      </w:rPr>
    </w:lvl>
    <w:lvl w:ilvl="1">
      <w:start w:val="2"/>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30" w15:restartNumberingAfterBreak="0">
    <w:nsid w:val="68765788"/>
    <w:multiLevelType w:val="multilevel"/>
    <w:tmpl w:val="6A8C175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1" w15:restartNumberingAfterBreak="0">
    <w:nsid w:val="694713F2"/>
    <w:multiLevelType w:val="multilevel"/>
    <w:tmpl w:val="DD6C3B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2" w15:restartNumberingAfterBreak="0">
    <w:nsid w:val="6DD01852"/>
    <w:multiLevelType w:val="multilevel"/>
    <w:tmpl w:val="AE243BF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2905198"/>
    <w:multiLevelType w:val="multilevel"/>
    <w:tmpl w:val="AA3AE0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2EE7055"/>
    <w:multiLevelType w:val="multilevel"/>
    <w:tmpl w:val="DD6C3B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5" w15:restartNumberingAfterBreak="0">
    <w:nsid w:val="7361317D"/>
    <w:multiLevelType w:val="multilevel"/>
    <w:tmpl w:val="DD6C3B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6" w15:restartNumberingAfterBreak="0">
    <w:nsid w:val="766F4F75"/>
    <w:multiLevelType w:val="hybridMultilevel"/>
    <w:tmpl w:val="BC4EA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BA1CCF"/>
    <w:multiLevelType w:val="multilevel"/>
    <w:tmpl w:val="1B249B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7E60C7F"/>
    <w:multiLevelType w:val="hybridMultilevel"/>
    <w:tmpl w:val="75FE1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864346"/>
    <w:multiLevelType w:val="hybridMultilevel"/>
    <w:tmpl w:val="272AE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5"/>
  </w:num>
  <w:num w:numId="3">
    <w:abstractNumId w:val="4"/>
  </w:num>
  <w:num w:numId="4">
    <w:abstractNumId w:val="11"/>
  </w:num>
  <w:num w:numId="5">
    <w:abstractNumId w:val="21"/>
  </w:num>
  <w:num w:numId="6">
    <w:abstractNumId w:val="38"/>
  </w:num>
  <w:num w:numId="7">
    <w:abstractNumId w:val="24"/>
  </w:num>
  <w:num w:numId="8">
    <w:abstractNumId w:val="12"/>
  </w:num>
  <w:num w:numId="9">
    <w:abstractNumId w:val="20"/>
  </w:num>
  <w:num w:numId="10">
    <w:abstractNumId w:val="36"/>
  </w:num>
  <w:num w:numId="11">
    <w:abstractNumId w:val="5"/>
  </w:num>
  <w:num w:numId="12">
    <w:abstractNumId w:val="28"/>
  </w:num>
  <w:num w:numId="13">
    <w:abstractNumId w:val="30"/>
  </w:num>
  <w:num w:numId="14">
    <w:abstractNumId w:val="0"/>
  </w:num>
  <w:num w:numId="15">
    <w:abstractNumId w:val="10"/>
  </w:num>
  <w:num w:numId="16">
    <w:abstractNumId w:val="32"/>
  </w:num>
  <w:num w:numId="17">
    <w:abstractNumId w:val="13"/>
  </w:num>
  <w:num w:numId="18">
    <w:abstractNumId w:val="14"/>
  </w:num>
  <w:num w:numId="19">
    <w:abstractNumId w:val="1"/>
  </w:num>
  <w:num w:numId="20">
    <w:abstractNumId w:val="33"/>
  </w:num>
  <w:num w:numId="21">
    <w:abstractNumId w:val="8"/>
  </w:num>
  <w:num w:numId="22">
    <w:abstractNumId w:val="22"/>
  </w:num>
  <w:num w:numId="23">
    <w:abstractNumId w:val="7"/>
  </w:num>
  <w:num w:numId="24">
    <w:abstractNumId w:val="15"/>
  </w:num>
  <w:num w:numId="25">
    <w:abstractNumId w:val="11"/>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6"/>
  </w:num>
  <w:num w:numId="29">
    <w:abstractNumId w:val="19"/>
  </w:num>
  <w:num w:numId="30">
    <w:abstractNumId w:val="34"/>
  </w:num>
  <w:num w:numId="31">
    <w:abstractNumId w:val="26"/>
  </w:num>
  <w:num w:numId="32">
    <w:abstractNumId w:val="23"/>
  </w:num>
  <w:num w:numId="33">
    <w:abstractNumId w:val="27"/>
  </w:num>
  <w:num w:numId="34">
    <w:abstractNumId w:val="35"/>
  </w:num>
  <w:num w:numId="35">
    <w:abstractNumId w:val="16"/>
  </w:num>
  <w:num w:numId="36">
    <w:abstractNumId w:val="3"/>
  </w:num>
  <w:num w:numId="37">
    <w:abstractNumId w:val="2"/>
  </w:num>
  <w:num w:numId="38">
    <w:abstractNumId w:val="18"/>
  </w:num>
  <w:num w:numId="39">
    <w:abstractNumId w:val="37"/>
  </w:num>
  <w:num w:numId="40">
    <w:abstractNumId w:val="39"/>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E25"/>
    <w:rsid w:val="00010DDE"/>
    <w:rsid w:val="0003336A"/>
    <w:rsid w:val="0006492B"/>
    <w:rsid w:val="0006696E"/>
    <w:rsid w:val="00082E25"/>
    <w:rsid w:val="0008715B"/>
    <w:rsid w:val="00087D1F"/>
    <w:rsid w:val="000C0C03"/>
    <w:rsid w:val="000C1A59"/>
    <w:rsid w:val="000E6451"/>
    <w:rsid w:val="00134322"/>
    <w:rsid w:val="00151891"/>
    <w:rsid w:val="00152AE4"/>
    <w:rsid w:val="00161F58"/>
    <w:rsid w:val="001649A9"/>
    <w:rsid w:val="00167541"/>
    <w:rsid w:val="00181BAD"/>
    <w:rsid w:val="00183D22"/>
    <w:rsid w:val="0018464C"/>
    <w:rsid w:val="00194CED"/>
    <w:rsid w:val="00197EBF"/>
    <w:rsid w:val="001A1F8C"/>
    <w:rsid w:val="001C3A59"/>
    <w:rsid w:val="00203939"/>
    <w:rsid w:val="00205669"/>
    <w:rsid w:val="0021392E"/>
    <w:rsid w:val="002145BE"/>
    <w:rsid w:val="002218EE"/>
    <w:rsid w:val="002327FF"/>
    <w:rsid w:val="00257AA3"/>
    <w:rsid w:val="00265130"/>
    <w:rsid w:val="00281785"/>
    <w:rsid w:val="0029088A"/>
    <w:rsid w:val="002A64C8"/>
    <w:rsid w:val="002F2CA5"/>
    <w:rsid w:val="002F51C3"/>
    <w:rsid w:val="00317BF9"/>
    <w:rsid w:val="003313E7"/>
    <w:rsid w:val="003379A7"/>
    <w:rsid w:val="00360DB0"/>
    <w:rsid w:val="00363042"/>
    <w:rsid w:val="00382E30"/>
    <w:rsid w:val="003851CE"/>
    <w:rsid w:val="003C44D0"/>
    <w:rsid w:val="003D5C78"/>
    <w:rsid w:val="003E57A6"/>
    <w:rsid w:val="003F1976"/>
    <w:rsid w:val="004D0CE8"/>
    <w:rsid w:val="004D6466"/>
    <w:rsid w:val="004F02C7"/>
    <w:rsid w:val="00504664"/>
    <w:rsid w:val="005116C3"/>
    <w:rsid w:val="00546CEA"/>
    <w:rsid w:val="00555567"/>
    <w:rsid w:val="0056638E"/>
    <w:rsid w:val="00566CDD"/>
    <w:rsid w:val="00581ECE"/>
    <w:rsid w:val="005B6FFA"/>
    <w:rsid w:val="005C020D"/>
    <w:rsid w:val="005D00CA"/>
    <w:rsid w:val="005E499E"/>
    <w:rsid w:val="0060737F"/>
    <w:rsid w:val="00611F69"/>
    <w:rsid w:val="00614EB2"/>
    <w:rsid w:val="00621B24"/>
    <w:rsid w:val="0069249E"/>
    <w:rsid w:val="006A08E1"/>
    <w:rsid w:val="006C69F9"/>
    <w:rsid w:val="006F57E7"/>
    <w:rsid w:val="0071289E"/>
    <w:rsid w:val="007173E6"/>
    <w:rsid w:val="007234F2"/>
    <w:rsid w:val="00730B0B"/>
    <w:rsid w:val="00730C50"/>
    <w:rsid w:val="00747539"/>
    <w:rsid w:val="007949F2"/>
    <w:rsid w:val="00796281"/>
    <w:rsid w:val="007963B2"/>
    <w:rsid w:val="007A3962"/>
    <w:rsid w:val="007B1887"/>
    <w:rsid w:val="007C199C"/>
    <w:rsid w:val="007D038F"/>
    <w:rsid w:val="00826835"/>
    <w:rsid w:val="008376D0"/>
    <w:rsid w:val="0087787D"/>
    <w:rsid w:val="008F7B14"/>
    <w:rsid w:val="009349FA"/>
    <w:rsid w:val="00992E78"/>
    <w:rsid w:val="0099570E"/>
    <w:rsid w:val="0099782A"/>
    <w:rsid w:val="009F211A"/>
    <w:rsid w:val="009F6531"/>
    <w:rsid w:val="00A24878"/>
    <w:rsid w:val="00A47C53"/>
    <w:rsid w:val="00AA6660"/>
    <w:rsid w:val="00AB0D3E"/>
    <w:rsid w:val="00AD0082"/>
    <w:rsid w:val="00AD584A"/>
    <w:rsid w:val="00B4030D"/>
    <w:rsid w:val="00B566D1"/>
    <w:rsid w:val="00B637D7"/>
    <w:rsid w:val="00B843A4"/>
    <w:rsid w:val="00BB3E68"/>
    <w:rsid w:val="00BC16E0"/>
    <w:rsid w:val="00BD4220"/>
    <w:rsid w:val="00BE13F0"/>
    <w:rsid w:val="00BE3179"/>
    <w:rsid w:val="00C078E0"/>
    <w:rsid w:val="00C53A43"/>
    <w:rsid w:val="00C84D1D"/>
    <w:rsid w:val="00CA2C5E"/>
    <w:rsid w:val="00CB5112"/>
    <w:rsid w:val="00CD0663"/>
    <w:rsid w:val="00CE774E"/>
    <w:rsid w:val="00D017FD"/>
    <w:rsid w:val="00D045F7"/>
    <w:rsid w:val="00D57BF6"/>
    <w:rsid w:val="00D67132"/>
    <w:rsid w:val="00DA585A"/>
    <w:rsid w:val="00DA5C6B"/>
    <w:rsid w:val="00DA7AAC"/>
    <w:rsid w:val="00DC0A8E"/>
    <w:rsid w:val="00DD7F46"/>
    <w:rsid w:val="00E03D84"/>
    <w:rsid w:val="00E11222"/>
    <w:rsid w:val="00E26F27"/>
    <w:rsid w:val="00E3768E"/>
    <w:rsid w:val="00E63FF3"/>
    <w:rsid w:val="00E955EB"/>
    <w:rsid w:val="00EA1F71"/>
    <w:rsid w:val="00EF13D3"/>
    <w:rsid w:val="00F03C12"/>
    <w:rsid w:val="00F12D9B"/>
    <w:rsid w:val="00F37979"/>
    <w:rsid w:val="00F502CC"/>
    <w:rsid w:val="00FB772D"/>
    <w:rsid w:val="00FC1DAC"/>
    <w:rsid w:val="00FF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68569F"/>
  <w15:chartTrackingRefBased/>
  <w15:docId w15:val="{B3EB3DBE-E8C3-41B8-BA43-B07ECD9E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2E25"/>
  </w:style>
  <w:style w:type="paragraph" w:styleId="Heading1">
    <w:name w:val="heading 1"/>
    <w:basedOn w:val="Normal"/>
    <w:next w:val="Normal"/>
    <w:link w:val="Heading1Char"/>
    <w:uiPriority w:val="9"/>
    <w:qFormat/>
    <w:rsid w:val="002056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F51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F51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843A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A7AA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A7AA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66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F51C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F51C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843A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A7AA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A7AAC"/>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082E25"/>
    <w:rPr>
      <w:i/>
      <w:iCs/>
    </w:rPr>
  </w:style>
  <w:style w:type="character" w:styleId="Hyperlink">
    <w:name w:val="Hyperlink"/>
    <w:basedOn w:val="DefaultParagraphFont"/>
    <w:uiPriority w:val="99"/>
    <w:unhideWhenUsed/>
    <w:rsid w:val="002F51C3"/>
    <w:rPr>
      <w:color w:val="0000FF"/>
      <w:u w:val="single"/>
    </w:rPr>
  </w:style>
  <w:style w:type="paragraph" w:styleId="NormalWeb">
    <w:name w:val="Normal (Web)"/>
    <w:basedOn w:val="Normal"/>
    <w:uiPriority w:val="99"/>
    <w:unhideWhenUsed/>
    <w:rsid w:val="002F51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2F51C3"/>
  </w:style>
  <w:style w:type="character" w:styleId="FootnoteReference">
    <w:name w:val="footnote reference"/>
    <w:basedOn w:val="DefaultParagraphFont"/>
    <w:uiPriority w:val="99"/>
    <w:semiHidden/>
    <w:unhideWhenUsed/>
    <w:rsid w:val="002F51C3"/>
    <w:rPr>
      <w:vertAlign w:val="superscript"/>
    </w:rPr>
  </w:style>
  <w:style w:type="paragraph" w:styleId="HTMLPreformatted">
    <w:name w:val="HTML Preformatted"/>
    <w:basedOn w:val="Normal"/>
    <w:link w:val="HTMLPreformattedChar"/>
    <w:uiPriority w:val="99"/>
    <w:unhideWhenUsed/>
    <w:rsid w:val="003C4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C44D0"/>
    <w:rPr>
      <w:rFonts w:ascii="Courier New" w:eastAsia="Times New Roman" w:hAnsi="Courier New" w:cs="Courier New"/>
      <w:sz w:val="20"/>
      <w:szCs w:val="20"/>
    </w:rPr>
  </w:style>
  <w:style w:type="paragraph" w:customStyle="1" w:styleId="sub-subsec">
    <w:name w:val="sub-subsec"/>
    <w:basedOn w:val="Normal"/>
    <w:rsid w:val="00B843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guretitle">
    <w:name w:val="figuretitle"/>
    <w:basedOn w:val="DefaultParagraphFont"/>
    <w:rsid w:val="00504664"/>
  </w:style>
  <w:style w:type="character" w:customStyle="1" w:styleId="apple-converted-space">
    <w:name w:val="apple-converted-space"/>
    <w:basedOn w:val="DefaultParagraphFont"/>
    <w:rsid w:val="00504664"/>
  </w:style>
  <w:style w:type="table" w:styleId="TableGrid">
    <w:name w:val="Table Grid"/>
    <w:basedOn w:val="TableNormal"/>
    <w:uiPriority w:val="39"/>
    <w:rsid w:val="00232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327FF"/>
    <w:pPr>
      <w:spacing w:after="200" w:line="240" w:lineRule="auto"/>
    </w:pPr>
    <w:rPr>
      <w:i/>
      <w:iCs/>
      <w:color w:val="44546A" w:themeColor="text2"/>
      <w:sz w:val="18"/>
      <w:szCs w:val="18"/>
    </w:rPr>
  </w:style>
  <w:style w:type="character" w:customStyle="1" w:styleId="jpfdse">
    <w:name w:val="jpfdse"/>
    <w:basedOn w:val="DefaultParagraphFont"/>
    <w:rsid w:val="00DA7AAC"/>
  </w:style>
  <w:style w:type="character" w:customStyle="1" w:styleId="fontstyle01">
    <w:name w:val="fontstyle01"/>
    <w:basedOn w:val="DefaultParagraphFont"/>
    <w:rsid w:val="00DA7AAC"/>
    <w:rPr>
      <w:rFonts w:ascii="OpenSans" w:hAnsi="OpenSans" w:hint="default"/>
      <w:b w:val="0"/>
      <w:bCs w:val="0"/>
      <w:i w:val="0"/>
      <w:iCs w:val="0"/>
      <w:color w:val="000000"/>
      <w:sz w:val="36"/>
      <w:szCs w:val="36"/>
    </w:rPr>
  </w:style>
  <w:style w:type="character" w:customStyle="1" w:styleId="fontstyle21">
    <w:name w:val="fontstyle21"/>
    <w:basedOn w:val="DefaultParagraphFont"/>
    <w:rsid w:val="00DA7AAC"/>
    <w:rPr>
      <w:rFonts w:ascii="MinionPro-It" w:hAnsi="MinionPro-It" w:hint="default"/>
      <w:b w:val="0"/>
      <w:bCs w:val="0"/>
      <w:i/>
      <w:iCs/>
      <w:color w:val="000000"/>
      <w:sz w:val="20"/>
      <w:szCs w:val="20"/>
    </w:rPr>
  </w:style>
  <w:style w:type="character" w:customStyle="1" w:styleId="fontstyle31">
    <w:name w:val="fontstyle31"/>
    <w:basedOn w:val="DefaultParagraphFont"/>
    <w:rsid w:val="00DA7AAC"/>
    <w:rPr>
      <w:rFonts w:ascii="MinionPro-Bold" w:hAnsi="MinionPro-Bold" w:hint="default"/>
      <w:b/>
      <w:bCs/>
      <w:i w:val="0"/>
      <w:iCs w:val="0"/>
      <w:color w:val="000000"/>
      <w:sz w:val="24"/>
      <w:szCs w:val="24"/>
    </w:rPr>
  </w:style>
  <w:style w:type="character" w:customStyle="1" w:styleId="fontstyle41">
    <w:name w:val="fontstyle41"/>
    <w:basedOn w:val="DefaultParagraphFont"/>
    <w:rsid w:val="00DA7AAC"/>
    <w:rPr>
      <w:rFonts w:ascii="MinionPro-It" w:hAnsi="MinionPro-It" w:hint="default"/>
      <w:b w:val="0"/>
      <w:bCs w:val="0"/>
      <w:i/>
      <w:iCs/>
      <w:color w:val="000000"/>
      <w:sz w:val="20"/>
      <w:szCs w:val="20"/>
    </w:rPr>
  </w:style>
  <w:style w:type="character" w:customStyle="1" w:styleId="fontstyle51">
    <w:name w:val="fontstyle51"/>
    <w:basedOn w:val="DefaultParagraphFont"/>
    <w:rsid w:val="00DA7AAC"/>
    <w:rPr>
      <w:rFonts w:ascii="TeX_CM_Maths_Symbols" w:hAnsi="TeX_CM_Maths_Symbols" w:hint="default"/>
      <w:b w:val="0"/>
      <w:bCs w:val="0"/>
      <w:i w:val="0"/>
      <w:iCs w:val="0"/>
      <w:color w:val="000000"/>
      <w:sz w:val="20"/>
      <w:szCs w:val="20"/>
    </w:rPr>
  </w:style>
  <w:style w:type="character" w:customStyle="1" w:styleId="fontstyle61">
    <w:name w:val="fontstyle61"/>
    <w:basedOn w:val="DefaultParagraphFont"/>
    <w:rsid w:val="00DA7AAC"/>
    <w:rPr>
      <w:rFonts w:ascii="PI_chars_3" w:hAnsi="PI_chars_3" w:hint="default"/>
      <w:b w:val="0"/>
      <w:bCs w:val="0"/>
      <w:i w:val="0"/>
      <w:iCs w:val="0"/>
      <w:color w:val="000000"/>
      <w:sz w:val="20"/>
      <w:szCs w:val="20"/>
    </w:rPr>
  </w:style>
  <w:style w:type="paragraph" w:styleId="ListParagraph">
    <w:name w:val="List Paragraph"/>
    <w:basedOn w:val="Normal"/>
    <w:uiPriority w:val="34"/>
    <w:qFormat/>
    <w:rsid w:val="00DA7AAC"/>
    <w:pPr>
      <w:spacing w:after="200" w:line="276" w:lineRule="auto"/>
      <w:ind w:left="720"/>
      <w:contextualSpacing/>
    </w:pPr>
    <w:rPr>
      <w:lang w:val="en-IN"/>
    </w:rPr>
  </w:style>
  <w:style w:type="character" w:customStyle="1" w:styleId="ilfuvd">
    <w:name w:val="ilfuvd"/>
    <w:basedOn w:val="DefaultParagraphFont"/>
    <w:rsid w:val="00DA7AAC"/>
  </w:style>
  <w:style w:type="character" w:styleId="Strong">
    <w:name w:val="Strong"/>
    <w:basedOn w:val="DefaultParagraphFont"/>
    <w:uiPriority w:val="22"/>
    <w:qFormat/>
    <w:rsid w:val="00DA7AAC"/>
    <w:rPr>
      <w:b/>
      <w:bCs/>
    </w:rPr>
  </w:style>
  <w:style w:type="paragraph" w:styleId="TOC1">
    <w:name w:val="toc 1"/>
    <w:basedOn w:val="Normal"/>
    <w:next w:val="Normal"/>
    <w:autoRedefine/>
    <w:uiPriority w:val="39"/>
    <w:unhideWhenUsed/>
    <w:rsid w:val="00DA7AAC"/>
    <w:pPr>
      <w:spacing w:after="100"/>
    </w:pPr>
  </w:style>
  <w:style w:type="paragraph" w:styleId="TOC2">
    <w:name w:val="toc 2"/>
    <w:basedOn w:val="Normal"/>
    <w:next w:val="Normal"/>
    <w:autoRedefine/>
    <w:uiPriority w:val="39"/>
    <w:unhideWhenUsed/>
    <w:rsid w:val="00DA7AAC"/>
    <w:pPr>
      <w:spacing w:after="100"/>
      <w:ind w:left="220"/>
    </w:pPr>
  </w:style>
  <w:style w:type="paragraph" w:styleId="TOC3">
    <w:name w:val="toc 3"/>
    <w:basedOn w:val="Normal"/>
    <w:next w:val="Normal"/>
    <w:autoRedefine/>
    <w:uiPriority w:val="39"/>
    <w:unhideWhenUsed/>
    <w:rsid w:val="00DA7AAC"/>
    <w:pPr>
      <w:tabs>
        <w:tab w:val="left" w:pos="1320"/>
        <w:tab w:val="right" w:leader="dot" w:pos="9350"/>
      </w:tabs>
      <w:spacing w:after="100" w:line="360" w:lineRule="auto"/>
      <w:ind w:left="440"/>
      <w:jc w:val="both"/>
    </w:pPr>
  </w:style>
  <w:style w:type="paragraph" w:customStyle="1" w:styleId="p">
    <w:name w:val="p"/>
    <w:basedOn w:val="Normal"/>
    <w:rsid w:val="00DA7A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1">
    <w:name w:val="fontstyle11"/>
    <w:basedOn w:val="DefaultParagraphFont"/>
    <w:rsid w:val="00DA7AAC"/>
    <w:rPr>
      <w:rFonts w:ascii="Symbol" w:hAnsi="Symbol" w:hint="default"/>
      <w:b w:val="0"/>
      <w:bCs w:val="0"/>
      <w:i w:val="0"/>
      <w:iCs w:val="0"/>
      <w:color w:val="000000"/>
      <w:sz w:val="16"/>
      <w:szCs w:val="16"/>
    </w:rPr>
  </w:style>
  <w:style w:type="paragraph" w:styleId="Header">
    <w:name w:val="header"/>
    <w:basedOn w:val="Normal"/>
    <w:link w:val="HeaderChar"/>
    <w:uiPriority w:val="99"/>
    <w:unhideWhenUsed/>
    <w:rsid w:val="00DA7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AAC"/>
  </w:style>
  <w:style w:type="paragraph" w:styleId="Footer">
    <w:name w:val="footer"/>
    <w:basedOn w:val="Normal"/>
    <w:link w:val="FooterChar"/>
    <w:uiPriority w:val="99"/>
    <w:unhideWhenUsed/>
    <w:rsid w:val="00DA7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AAC"/>
  </w:style>
  <w:style w:type="paragraph" w:styleId="TOCHeading">
    <w:name w:val="TOC Heading"/>
    <w:basedOn w:val="Heading1"/>
    <w:next w:val="Normal"/>
    <w:uiPriority w:val="39"/>
    <w:unhideWhenUsed/>
    <w:qFormat/>
    <w:rsid w:val="00DA7AAC"/>
    <w:pPr>
      <w:outlineLvl w:val="9"/>
    </w:pPr>
  </w:style>
  <w:style w:type="paragraph" w:styleId="NoSpacing">
    <w:name w:val="No Spacing"/>
    <w:link w:val="NoSpacingChar"/>
    <w:uiPriority w:val="1"/>
    <w:qFormat/>
    <w:rsid w:val="00DA7AAC"/>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A7AAC"/>
    <w:rPr>
      <w:rFonts w:ascii="Calibri" w:eastAsia="Times New Roman" w:hAnsi="Calibri" w:cs="Times New Roman"/>
    </w:rPr>
  </w:style>
  <w:style w:type="paragraph" w:styleId="BodyText">
    <w:name w:val="Body Text"/>
    <w:basedOn w:val="Normal"/>
    <w:link w:val="BodyTextChar"/>
    <w:uiPriority w:val="99"/>
    <w:unhideWhenUsed/>
    <w:rsid w:val="00DA7AAC"/>
    <w:pPr>
      <w:spacing w:after="120" w:line="480" w:lineRule="auto"/>
    </w:pPr>
    <w:rPr>
      <w:rFonts w:ascii="Calibri" w:eastAsia="Calibri" w:hAnsi="Calibri" w:cs="Times New Roman"/>
      <w:sz w:val="20"/>
      <w:szCs w:val="20"/>
      <w:lang w:val="x-none" w:eastAsia="x-none"/>
    </w:rPr>
  </w:style>
  <w:style w:type="character" w:customStyle="1" w:styleId="BodyTextChar">
    <w:name w:val="Body Text Char"/>
    <w:basedOn w:val="DefaultParagraphFont"/>
    <w:link w:val="BodyText"/>
    <w:uiPriority w:val="99"/>
    <w:rsid w:val="00DA7AAC"/>
    <w:rPr>
      <w:rFonts w:ascii="Calibri" w:eastAsia="Calibri" w:hAnsi="Calibri" w:cs="Times New Roman"/>
      <w:sz w:val="20"/>
      <w:szCs w:val="20"/>
      <w:lang w:val="x-none" w:eastAsia="x-none"/>
    </w:rPr>
  </w:style>
  <w:style w:type="paragraph" w:styleId="Title">
    <w:name w:val="Title"/>
    <w:basedOn w:val="Normal"/>
    <w:next w:val="Normal"/>
    <w:link w:val="TitleChar"/>
    <w:uiPriority w:val="10"/>
    <w:qFormat/>
    <w:rsid w:val="00DA7AAC"/>
    <w:pPr>
      <w:spacing w:after="0" w:line="480" w:lineRule="auto"/>
    </w:pPr>
    <w:rPr>
      <w:rFonts w:ascii="Times New Roman" w:eastAsia="Calibri" w:hAnsi="Times New Roman" w:cs="Times New Roman"/>
      <w:b/>
      <w:sz w:val="24"/>
      <w:szCs w:val="24"/>
      <w:lang w:val="en-ZA"/>
    </w:rPr>
  </w:style>
  <w:style w:type="character" w:customStyle="1" w:styleId="TitleChar">
    <w:name w:val="Title Char"/>
    <w:basedOn w:val="DefaultParagraphFont"/>
    <w:link w:val="Title"/>
    <w:uiPriority w:val="10"/>
    <w:rsid w:val="00DA7AAC"/>
    <w:rPr>
      <w:rFonts w:ascii="Times New Roman" w:eastAsia="Calibri" w:hAnsi="Times New Roman" w:cs="Times New Roman"/>
      <w:b/>
      <w:sz w:val="24"/>
      <w:szCs w:val="24"/>
      <w:lang w:val="en-ZA"/>
    </w:rPr>
  </w:style>
  <w:style w:type="paragraph" w:customStyle="1" w:styleId="reference">
    <w:name w:val="reference"/>
    <w:basedOn w:val="Normal"/>
    <w:rsid w:val="00DA7AAC"/>
    <w:pPr>
      <w:spacing w:before="100" w:beforeAutospacing="1" w:after="100" w:afterAutospacing="1"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DA7AAC"/>
    <w:pPr>
      <w:spacing w:after="0"/>
      <w:ind w:left="440" w:hanging="440"/>
    </w:pPr>
    <w:rPr>
      <w:rFonts w:cstheme="minorHAnsi"/>
      <w:smallCaps/>
      <w:sz w:val="20"/>
      <w:szCs w:val="20"/>
    </w:rPr>
  </w:style>
  <w:style w:type="table" w:styleId="PlainTable5">
    <w:name w:val="Plain Table 5"/>
    <w:basedOn w:val="TableNormal"/>
    <w:uiPriority w:val="45"/>
    <w:rsid w:val="003630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5D00C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CA2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95752">
      <w:bodyDiv w:val="1"/>
      <w:marLeft w:val="0"/>
      <w:marRight w:val="0"/>
      <w:marTop w:val="0"/>
      <w:marBottom w:val="0"/>
      <w:divBdr>
        <w:top w:val="none" w:sz="0" w:space="0" w:color="auto"/>
        <w:left w:val="none" w:sz="0" w:space="0" w:color="auto"/>
        <w:bottom w:val="none" w:sz="0" w:space="0" w:color="auto"/>
        <w:right w:val="none" w:sz="0" w:space="0" w:color="auto"/>
      </w:divBdr>
    </w:div>
    <w:div w:id="916599736">
      <w:bodyDiv w:val="1"/>
      <w:marLeft w:val="0"/>
      <w:marRight w:val="0"/>
      <w:marTop w:val="0"/>
      <w:marBottom w:val="0"/>
      <w:divBdr>
        <w:top w:val="none" w:sz="0" w:space="0" w:color="auto"/>
        <w:left w:val="none" w:sz="0" w:space="0" w:color="auto"/>
        <w:bottom w:val="none" w:sz="0" w:space="0" w:color="auto"/>
        <w:right w:val="none" w:sz="0" w:space="0" w:color="auto"/>
      </w:divBdr>
    </w:div>
    <w:div w:id="131950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ast.ncbi.nlm.nih.gov/Blast.cgi" TargetMode="External"/><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amuel%20mwafulirwa\Desktop\NEW%20PUBLICATIONS\PSM%20(Autosav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muel%20mwafulirwa\Desktop\NEW%20PUBLICATIONS\PSM%20(Autosav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amuel%20mwafulirwa\Desktop\NEW%20PUBLICATIONS\PSM.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amuel%20mwafulirwa\Desktop\NEW%20PUBLICATIONS\PSM.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81714785651793"/>
          <c:y val="5.0925925925925923E-2"/>
          <c:w val="0.49886001749781278"/>
          <c:h val="0.6869349664625255"/>
        </c:manualLayout>
      </c:layout>
      <c:barChart>
        <c:barDir val="col"/>
        <c:grouping val="clustered"/>
        <c:varyColors val="0"/>
        <c:ser>
          <c:idx val="0"/>
          <c:order val="0"/>
          <c:tx>
            <c:strRef>
              <c:f>Sheet1!$R$3</c:f>
              <c:strCache>
                <c:ptCount val="1"/>
                <c:pt idx="0">
                  <c:v>SI-tricalcium phosphate</c:v>
                </c:pt>
              </c:strCache>
            </c:strRef>
          </c:tx>
          <c:spPr>
            <a:solidFill>
              <a:schemeClr val="accent1"/>
            </a:solidFill>
            <a:ln>
              <a:noFill/>
            </a:ln>
            <a:effectLst/>
          </c:spPr>
          <c:invertIfNegative val="0"/>
          <c:cat>
            <c:strRef>
              <c:f>Sheet1!$Q$4:$Q$10</c:f>
              <c:strCache>
                <c:ptCount val="7"/>
                <c:pt idx="0">
                  <c:v>82B2</c:v>
                </c:pt>
                <c:pt idx="1">
                  <c:v>58F1</c:v>
                </c:pt>
                <c:pt idx="2">
                  <c:v>5005</c:v>
                </c:pt>
                <c:pt idx="3">
                  <c:v>23F3</c:v>
                </c:pt>
                <c:pt idx="4">
                  <c:v>57F1</c:v>
                </c:pt>
                <c:pt idx="5">
                  <c:v>63F3</c:v>
                </c:pt>
                <c:pt idx="6">
                  <c:v>conco</c:v>
                </c:pt>
              </c:strCache>
            </c:strRef>
          </c:cat>
          <c:val>
            <c:numRef>
              <c:f>Sheet1!$R$4:$R$10</c:f>
              <c:numCache>
                <c:formatCode>General</c:formatCode>
                <c:ptCount val="7"/>
                <c:pt idx="0">
                  <c:v>3.7</c:v>
                </c:pt>
                <c:pt idx="1">
                  <c:v>4</c:v>
                </c:pt>
                <c:pt idx="2">
                  <c:v>4.3</c:v>
                </c:pt>
                <c:pt idx="3">
                  <c:v>3.7</c:v>
                </c:pt>
                <c:pt idx="4">
                  <c:v>3.8</c:v>
                </c:pt>
                <c:pt idx="5">
                  <c:v>3.7</c:v>
                </c:pt>
                <c:pt idx="6">
                  <c:v>5.7</c:v>
                </c:pt>
              </c:numCache>
            </c:numRef>
          </c:val>
          <c:extLst>
            <c:ext xmlns:c16="http://schemas.microsoft.com/office/drawing/2014/chart" uri="{C3380CC4-5D6E-409C-BE32-E72D297353CC}">
              <c16:uniqueId val="{00000000-32AB-4A4D-8E7A-EEC56A12D7C7}"/>
            </c:ext>
          </c:extLst>
        </c:ser>
        <c:ser>
          <c:idx val="2"/>
          <c:order val="2"/>
          <c:tx>
            <c:strRef>
              <c:f>Sheet1!$U$3</c:f>
              <c:strCache>
                <c:ptCount val="1"/>
                <c:pt idx="0">
                  <c:v>SI-aluminum phosphate</c:v>
                </c:pt>
              </c:strCache>
            </c:strRef>
          </c:tx>
          <c:spPr>
            <a:solidFill>
              <a:schemeClr val="accent3"/>
            </a:solidFill>
            <a:ln>
              <a:noFill/>
            </a:ln>
            <a:effectLst/>
          </c:spPr>
          <c:invertIfNegative val="0"/>
          <c:cat>
            <c:strRef>
              <c:f>Sheet1!$Q$4:$Q$10</c:f>
              <c:strCache>
                <c:ptCount val="7"/>
                <c:pt idx="0">
                  <c:v>82B2</c:v>
                </c:pt>
                <c:pt idx="1">
                  <c:v>58F1</c:v>
                </c:pt>
                <c:pt idx="2">
                  <c:v>5005</c:v>
                </c:pt>
                <c:pt idx="3">
                  <c:v>23F3</c:v>
                </c:pt>
                <c:pt idx="4">
                  <c:v>57F1</c:v>
                </c:pt>
                <c:pt idx="5">
                  <c:v>63F3</c:v>
                </c:pt>
                <c:pt idx="6">
                  <c:v>conco</c:v>
                </c:pt>
              </c:strCache>
            </c:strRef>
          </c:cat>
          <c:val>
            <c:numRef>
              <c:f>Sheet1!$U$4:$U$10</c:f>
              <c:numCache>
                <c:formatCode>General</c:formatCode>
                <c:ptCount val="7"/>
                <c:pt idx="0">
                  <c:v>3.4</c:v>
                </c:pt>
                <c:pt idx="1">
                  <c:v>3</c:v>
                </c:pt>
                <c:pt idx="2">
                  <c:v>4.0999999999999996</c:v>
                </c:pt>
                <c:pt idx="3">
                  <c:v>4</c:v>
                </c:pt>
                <c:pt idx="4">
                  <c:v>3.9</c:v>
                </c:pt>
                <c:pt idx="5">
                  <c:v>3.9</c:v>
                </c:pt>
                <c:pt idx="6">
                  <c:v>5.7</c:v>
                </c:pt>
              </c:numCache>
            </c:numRef>
          </c:val>
          <c:extLst>
            <c:ext xmlns:c16="http://schemas.microsoft.com/office/drawing/2014/chart" uri="{C3380CC4-5D6E-409C-BE32-E72D297353CC}">
              <c16:uniqueId val="{00000001-32AB-4A4D-8E7A-EEC56A12D7C7}"/>
            </c:ext>
          </c:extLst>
        </c:ser>
        <c:dLbls>
          <c:showLegendKey val="0"/>
          <c:showVal val="0"/>
          <c:showCatName val="0"/>
          <c:showSerName val="0"/>
          <c:showPercent val="0"/>
          <c:showBubbleSize val="0"/>
        </c:dLbls>
        <c:gapWidth val="150"/>
        <c:axId val="37152144"/>
        <c:axId val="37163792"/>
      </c:barChart>
      <c:scatterChart>
        <c:scatterStyle val="lineMarker"/>
        <c:varyColors val="0"/>
        <c:ser>
          <c:idx val="3"/>
          <c:order val="3"/>
          <c:tx>
            <c:strRef>
              <c:f>Sheet1!$V$3</c:f>
              <c:strCache>
                <c:ptCount val="1"/>
                <c:pt idx="0">
                  <c:v>pH-aluminum phosphate</c:v>
                </c:pt>
              </c:strCache>
            </c:strRef>
          </c:tx>
          <c:spPr>
            <a:ln w="25400" cap="rnd">
              <a:noFill/>
              <a:round/>
            </a:ln>
            <a:effectLst/>
          </c:spPr>
          <c:marker>
            <c:symbol val="circle"/>
            <c:size val="5"/>
            <c:spPr>
              <a:solidFill>
                <a:schemeClr val="accent4"/>
              </a:solidFill>
              <a:ln w="9525">
                <a:solidFill>
                  <a:schemeClr val="accent4"/>
                </a:solidFill>
              </a:ln>
              <a:effectLst/>
            </c:spPr>
          </c:marker>
          <c:xVal>
            <c:strRef>
              <c:f>Sheet1!$Q$4:$Q$10</c:f>
              <c:strCache>
                <c:ptCount val="7"/>
                <c:pt idx="0">
                  <c:v>82B2</c:v>
                </c:pt>
                <c:pt idx="1">
                  <c:v>58F1</c:v>
                </c:pt>
                <c:pt idx="2">
                  <c:v>5005</c:v>
                </c:pt>
                <c:pt idx="3">
                  <c:v>23F3</c:v>
                </c:pt>
                <c:pt idx="4">
                  <c:v>57F1</c:v>
                </c:pt>
                <c:pt idx="5">
                  <c:v>63F3</c:v>
                </c:pt>
                <c:pt idx="6">
                  <c:v>conco</c:v>
                </c:pt>
              </c:strCache>
            </c:strRef>
          </c:xVal>
          <c:yVal>
            <c:numRef>
              <c:f>Sheet1!$V$4:$V$10</c:f>
              <c:numCache>
                <c:formatCode>General</c:formatCode>
                <c:ptCount val="7"/>
                <c:pt idx="0">
                  <c:v>4</c:v>
                </c:pt>
                <c:pt idx="1">
                  <c:v>4.5</c:v>
                </c:pt>
                <c:pt idx="2">
                  <c:v>4.0999999999999996</c:v>
                </c:pt>
                <c:pt idx="3">
                  <c:v>4</c:v>
                </c:pt>
                <c:pt idx="4">
                  <c:v>3.9</c:v>
                </c:pt>
                <c:pt idx="5">
                  <c:v>3.9</c:v>
                </c:pt>
                <c:pt idx="6">
                  <c:v>5.7</c:v>
                </c:pt>
              </c:numCache>
            </c:numRef>
          </c:yVal>
          <c:smooth val="0"/>
          <c:extLst>
            <c:ext xmlns:c16="http://schemas.microsoft.com/office/drawing/2014/chart" uri="{C3380CC4-5D6E-409C-BE32-E72D297353CC}">
              <c16:uniqueId val="{00000002-32AB-4A4D-8E7A-EEC56A12D7C7}"/>
            </c:ext>
          </c:extLst>
        </c:ser>
        <c:dLbls>
          <c:showLegendKey val="0"/>
          <c:showVal val="0"/>
          <c:showCatName val="0"/>
          <c:showSerName val="0"/>
          <c:showPercent val="0"/>
          <c:showBubbleSize val="0"/>
        </c:dLbls>
        <c:axId val="37152144"/>
        <c:axId val="37163792"/>
      </c:scatterChart>
      <c:scatterChart>
        <c:scatterStyle val="lineMarker"/>
        <c:varyColors val="0"/>
        <c:ser>
          <c:idx val="1"/>
          <c:order val="1"/>
          <c:tx>
            <c:strRef>
              <c:f>Sheet1!$S$3</c:f>
              <c:strCache>
                <c:ptCount val="1"/>
                <c:pt idx="0">
                  <c:v>pH-SI-tricalcium phosphate</c:v>
                </c:pt>
              </c:strCache>
            </c:strRef>
          </c:tx>
          <c:spPr>
            <a:ln w="25400" cap="rnd">
              <a:noFill/>
              <a:round/>
            </a:ln>
            <a:effectLst/>
          </c:spPr>
          <c:marker>
            <c:symbol val="circle"/>
            <c:size val="5"/>
            <c:spPr>
              <a:solidFill>
                <a:schemeClr val="accent2"/>
              </a:solidFill>
              <a:ln w="9525">
                <a:solidFill>
                  <a:schemeClr val="accent2"/>
                </a:solidFill>
              </a:ln>
              <a:effectLst/>
            </c:spPr>
          </c:marker>
          <c:xVal>
            <c:strRef>
              <c:f>Sheet1!$Q$4:$Q$10</c:f>
              <c:strCache>
                <c:ptCount val="7"/>
                <c:pt idx="0">
                  <c:v>82B2</c:v>
                </c:pt>
                <c:pt idx="1">
                  <c:v>58F1</c:v>
                </c:pt>
                <c:pt idx="2">
                  <c:v>5005</c:v>
                </c:pt>
                <c:pt idx="3">
                  <c:v>23F3</c:v>
                </c:pt>
                <c:pt idx="4">
                  <c:v>57F1</c:v>
                </c:pt>
                <c:pt idx="5">
                  <c:v>63F3</c:v>
                </c:pt>
                <c:pt idx="6">
                  <c:v>conco</c:v>
                </c:pt>
              </c:strCache>
            </c:strRef>
          </c:xVal>
          <c:yVal>
            <c:numRef>
              <c:f>Sheet1!$S$4:$S$10</c:f>
              <c:numCache>
                <c:formatCode>General</c:formatCode>
                <c:ptCount val="7"/>
                <c:pt idx="0">
                  <c:v>4.5</c:v>
                </c:pt>
                <c:pt idx="1">
                  <c:v>4</c:v>
                </c:pt>
                <c:pt idx="2">
                  <c:v>4.3</c:v>
                </c:pt>
                <c:pt idx="3">
                  <c:v>4</c:v>
                </c:pt>
                <c:pt idx="4">
                  <c:v>4</c:v>
                </c:pt>
                <c:pt idx="5">
                  <c:v>3.9</c:v>
                </c:pt>
                <c:pt idx="6">
                  <c:v>4</c:v>
                </c:pt>
              </c:numCache>
            </c:numRef>
          </c:yVal>
          <c:smooth val="0"/>
          <c:extLst>
            <c:ext xmlns:c16="http://schemas.microsoft.com/office/drawing/2014/chart" uri="{C3380CC4-5D6E-409C-BE32-E72D297353CC}">
              <c16:uniqueId val="{00000003-32AB-4A4D-8E7A-EEC56A12D7C7}"/>
            </c:ext>
          </c:extLst>
        </c:ser>
        <c:dLbls>
          <c:showLegendKey val="0"/>
          <c:showVal val="0"/>
          <c:showCatName val="0"/>
          <c:showSerName val="0"/>
          <c:showPercent val="0"/>
          <c:showBubbleSize val="0"/>
        </c:dLbls>
        <c:axId val="741646896"/>
        <c:axId val="741638160"/>
      </c:scatterChart>
      <c:catAx>
        <c:axId val="37152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Strains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163792"/>
        <c:crosses val="autoZero"/>
        <c:auto val="1"/>
        <c:lblAlgn val="ctr"/>
        <c:lblOffset val="100"/>
        <c:noMultiLvlLbl val="0"/>
      </c:catAx>
      <c:valAx>
        <c:axId val="37163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Solubilisation Index</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152144"/>
        <c:crosses val="autoZero"/>
        <c:crossBetween val="between"/>
      </c:valAx>
      <c:valAx>
        <c:axId val="741638160"/>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pH values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41646896"/>
        <c:crosses val="max"/>
        <c:crossBetween val="midCat"/>
      </c:valAx>
      <c:valAx>
        <c:axId val="741646896"/>
        <c:scaling>
          <c:orientation val="minMax"/>
        </c:scaling>
        <c:delete val="1"/>
        <c:axPos val="b"/>
        <c:numFmt formatCode="General" sourceLinked="1"/>
        <c:majorTickMark val="out"/>
        <c:minorTickMark val="none"/>
        <c:tickLblPos val="nextTo"/>
        <c:crossAx val="741638160"/>
        <c:crosses val="autoZero"/>
        <c:crossBetween val="midCat"/>
      </c:valAx>
      <c:spPr>
        <a:noFill/>
        <a:ln>
          <a:noFill/>
        </a:ln>
        <a:effectLst/>
      </c:spPr>
    </c:plotArea>
    <c:legend>
      <c:legendPos val="r"/>
      <c:layout>
        <c:manualLayout>
          <c:xMode val="edge"/>
          <c:yMode val="edge"/>
          <c:x val="0.729577646544182"/>
          <c:y val="0.44117927967337417"/>
          <c:w val="0.25931124234470693"/>
          <c:h val="0.548613298337707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18038056992789"/>
          <c:y val="5.0925925925925923E-2"/>
          <c:w val="0.61145813739792987"/>
          <c:h val="0.75240740740740741"/>
        </c:manualLayout>
      </c:layout>
      <c:barChart>
        <c:barDir val="col"/>
        <c:grouping val="clustered"/>
        <c:varyColors val="0"/>
        <c:ser>
          <c:idx val="0"/>
          <c:order val="0"/>
          <c:tx>
            <c:strRef>
              <c:f>Sheet1!$T$3</c:f>
              <c:strCache>
                <c:ptCount val="1"/>
                <c:pt idx="0">
                  <c:v>tricalcium phosphate invitro solubilisation</c:v>
                </c:pt>
              </c:strCache>
            </c:strRef>
          </c:tx>
          <c:spPr>
            <a:solidFill>
              <a:schemeClr val="accent1"/>
            </a:solidFill>
            <a:ln>
              <a:noFill/>
            </a:ln>
            <a:effectLst/>
          </c:spPr>
          <c:invertIfNegative val="0"/>
          <c:cat>
            <c:strRef>
              <c:f>Sheet1!$Q$4:$Q$10</c:f>
              <c:strCache>
                <c:ptCount val="7"/>
                <c:pt idx="0">
                  <c:v>82B2</c:v>
                </c:pt>
                <c:pt idx="1">
                  <c:v>58F1</c:v>
                </c:pt>
                <c:pt idx="2">
                  <c:v>5005</c:v>
                </c:pt>
                <c:pt idx="3">
                  <c:v>23F3</c:v>
                </c:pt>
                <c:pt idx="4">
                  <c:v>57F1</c:v>
                </c:pt>
                <c:pt idx="5">
                  <c:v>63F3</c:v>
                </c:pt>
                <c:pt idx="6">
                  <c:v>conco</c:v>
                </c:pt>
              </c:strCache>
            </c:strRef>
          </c:cat>
          <c:val>
            <c:numRef>
              <c:f>Sheet1!$T$4:$T$10</c:f>
              <c:numCache>
                <c:formatCode>General</c:formatCode>
                <c:ptCount val="7"/>
                <c:pt idx="0">
                  <c:v>850</c:v>
                </c:pt>
                <c:pt idx="1">
                  <c:v>900</c:v>
                </c:pt>
                <c:pt idx="2">
                  <c:v>950</c:v>
                </c:pt>
                <c:pt idx="3">
                  <c:v>860</c:v>
                </c:pt>
                <c:pt idx="4">
                  <c:v>875</c:v>
                </c:pt>
                <c:pt idx="5">
                  <c:v>863</c:v>
                </c:pt>
                <c:pt idx="6">
                  <c:v>1015</c:v>
                </c:pt>
              </c:numCache>
            </c:numRef>
          </c:val>
          <c:extLst>
            <c:ext xmlns:c16="http://schemas.microsoft.com/office/drawing/2014/chart" uri="{C3380CC4-5D6E-409C-BE32-E72D297353CC}">
              <c16:uniqueId val="{00000000-B1BD-4AF5-ACB1-955A5339AAB3}"/>
            </c:ext>
          </c:extLst>
        </c:ser>
        <c:ser>
          <c:idx val="1"/>
          <c:order val="1"/>
          <c:tx>
            <c:strRef>
              <c:f>Sheet1!$W$3</c:f>
              <c:strCache>
                <c:ptCount val="1"/>
                <c:pt idx="0">
                  <c:v>Aluminum phosphateinvitro solubilisation</c:v>
                </c:pt>
              </c:strCache>
            </c:strRef>
          </c:tx>
          <c:spPr>
            <a:solidFill>
              <a:schemeClr val="accent2"/>
            </a:solidFill>
            <a:ln>
              <a:noFill/>
            </a:ln>
            <a:effectLst/>
          </c:spPr>
          <c:invertIfNegative val="0"/>
          <c:cat>
            <c:strRef>
              <c:f>Sheet1!$Q$4:$Q$10</c:f>
              <c:strCache>
                <c:ptCount val="7"/>
                <c:pt idx="0">
                  <c:v>82B2</c:v>
                </c:pt>
                <c:pt idx="1">
                  <c:v>58F1</c:v>
                </c:pt>
                <c:pt idx="2">
                  <c:v>5005</c:v>
                </c:pt>
                <c:pt idx="3">
                  <c:v>23F3</c:v>
                </c:pt>
                <c:pt idx="4">
                  <c:v>57F1</c:v>
                </c:pt>
                <c:pt idx="5">
                  <c:v>63F3</c:v>
                </c:pt>
                <c:pt idx="6">
                  <c:v>conco</c:v>
                </c:pt>
              </c:strCache>
            </c:strRef>
          </c:cat>
          <c:val>
            <c:numRef>
              <c:f>Sheet1!$W$4:$W$10</c:f>
              <c:numCache>
                <c:formatCode>General</c:formatCode>
                <c:ptCount val="7"/>
                <c:pt idx="0">
                  <c:v>880</c:v>
                </c:pt>
                <c:pt idx="1">
                  <c:v>800</c:v>
                </c:pt>
                <c:pt idx="2">
                  <c:v>970</c:v>
                </c:pt>
                <c:pt idx="3">
                  <c:v>957</c:v>
                </c:pt>
                <c:pt idx="4">
                  <c:v>920</c:v>
                </c:pt>
                <c:pt idx="5">
                  <c:v>990</c:v>
                </c:pt>
                <c:pt idx="6">
                  <c:v>1020</c:v>
                </c:pt>
              </c:numCache>
            </c:numRef>
          </c:val>
          <c:extLst>
            <c:ext xmlns:c16="http://schemas.microsoft.com/office/drawing/2014/chart" uri="{C3380CC4-5D6E-409C-BE32-E72D297353CC}">
              <c16:uniqueId val="{00000001-B1BD-4AF5-ACB1-955A5339AAB3}"/>
            </c:ext>
          </c:extLst>
        </c:ser>
        <c:dLbls>
          <c:showLegendKey val="0"/>
          <c:showVal val="0"/>
          <c:showCatName val="0"/>
          <c:showSerName val="0"/>
          <c:showPercent val="0"/>
          <c:showBubbleSize val="0"/>
        </c:dLbls>
        <c:gapWidth val="150"/>
        <c:axId val="1183765663"/>
        <c:axId val="1183778975"/>
      </c:barChart>
      <c:catAx>
        <c:axId val="11837656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Isolated Strains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83778975"/>
        <c:crosses val="autoZero"/>
        <c:auto val="1"/>
        <c:lblAlgn val="ctr"/>
        <c:lblOffset val="100"/>
        <c:noMultiLvlLbl val="0"/>
      </c:catAx>
      <c:valAx>
        <c:axId val="11837789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Solubilisation values mg/L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83765663"/>
        <c:crosses val="autoZero"/>
        <c:crossBetween val="between"/>
      </c:valAx>
      <c:spPr>
        <a:noFill/>
        <a:ln>
          <a:noFill/>
        </a:ln>
        <a:effectLst/>
      </c:spPr>
    </c:plotArea>
    <c:legend>
      <c:legendPos val="r"/>
      <c:layout>
        <c:manualLayout>
          <c:xMode val="edge"/>
          <c:yMode val="edge"/>
          <c:x val="0.74578242012810469"/>
          <c:y val="0.36978492271799357"/>
          <c:w val="0.24050172663152505"/>
          <c:h val="0.399319043452901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Sheet1!$E$7</c:f>
              <c:strCache>
                <c:ptCount val="1"/>
                <c:pt idx="0">
                  <c:v>82B2</c:v>
                </c:pt>
              </c:strCache>
            </c:strRef>
          </c:tx>
          <c:spPr>
            <a:ln w="28575" cap="rnd">
              <a:solidFill>
                <a:schemeClr val="accent1"/>
              </a:solidFill>
              <a:round/>
            </a:ln>
            <a:effectLst/>
          </c:spPr>
          <c:marker>
            <c:symbol val="none"/>
          </c:marker>
          <c:cat>
            <c:strRef>
              <c:f>Sheet1!$F$6:$J$6</c:f>
              <c:strCache>
                <c:ptCount val="5"/>
                <c:pt idx="0">
                  <c:v>RP-1</c:v>
                </c:pt>
                <c:pt idx="1">
                  <c:v>RP-2</c:v>
                </c:pt>
                <c:pt idx="2">
                  <c:v>RP-3</c:v>
                </c:pt>
                <c:pt idx="3">
                  <c:v>RP-4</c:v>
                </c:pt>
                <c:pt idx="4">
                  <c:v>RP-5</c:v>
                </c:pt>
              </c:strCache>
            </c:strRef>
          </c:cat>
          <c:val>
            <c:numRef>
              <c:f>Sheet1!$F$7:$J$7</c:f>
              <c:numCache>
                <c:formatCode>General</c:formatCode>
                <c:ptCount val="5"/>
                <c:pt idx="0">
                  <c:v>100</c:v>
                </c:pt>
                <c:pt idx="1">
                  <c:v>150</c:v>
                </c:pt>
                <c:pt idx="2">
                  <c:v>170</c:v>
                </c:pt>
                <c:pt idx="3">
                  <c:v>180</c:v>
                </c:pt>
                <c:pt idx="4">
                  <c:v>250</c:v>
                </c:pt>
              </c:numCache>
            </c:numRef>
          </c:val>
          <c:smooth val="0"/>
          <c:extLst>
            <c:ext xmlns:c16="http://schemas.microsoft.com/office/drawing/2014/chart" uri="{C3380CC4-5D6E-409C-BE32-E72D297353CC}">
              <c16:uniqueId val="{00000000-15C2-47EB-AC79-9D358D135BF1}"/>
            </c:ext>
          </c:extLst>
        </c:ser>
        <c:ser>
          <c:idx val="1"/>
          <c:order val="1"/>
          <c:tx>
            <c:strRef>
              <c:f>Sheet1!$E$8</c:f>
              <c:strCache>
                <c:ptCount val="1"/>
                <c:pt idx="0">
                  <c:v>58F1</c:v>
                </c:pt>
              </c:strCache>
            </c:strRef>
          </c:tx>
          <c:spPr>
            <a:ln w="28575" cap="rnd">
              <a:solidFill>
                <a:schemeClr val="accent2"/>
              </a:solidFill>
              <a:round/>
            </a:ln>
            <a:effectLst/>
          </c:spPr>
          <c:marker>
            <c:symbol val="none"/>
          </c:marker>
          <c:cat>
            <c:strRef>
              <c:f>Sheet1!$F$6:$J$6</c:f>
              <c:strCache>
                <c:ptCount val="5"/>
                <c:pt idx="0">
                  <c:v>RP-1</c:v>
                </c:pt>
                <c:pt idx="1">
                  <c:v>RP-2</c:v>
                </c:pt>
                <c:pt idx="2">
                  <c:v>RP-3</c:v>
                </c:pt>
                <c:pt idx="3">
                  <c:v>RP-4</c:v>
                </c:pt>
                <c:pt idx="4">
                  <c:v>RP-5</c:v>
                </c:pt>
              </c:strCache>
            </c:strRef>
          </c:cat>
          <c:val>
            <c:numRef>
              <c:f>Sheet1!$F$8:$J$8</c:f>
              <c:numCache>
                <c:formatCode>General</c:formatCode>
                <c:ptCount val="5"/>
                <c:pt idx="0">
                  <c:v>76</c:v>
                </c:pt>
                <c:pt idx="1">
                  <c:v>120</c:v>
                </c:pt>
                <c:pt idx="2">
                  <c:v>180</c:v>
                </c:pt>
                <c:pt idx="3">
                  <c:v>240</c:v>
                </c:pt>
                <c:pt idx="4">
                  <c:v>350</c:v>
                </c:pt>
              </c:numCache>
            </c:numRef>
          </c:val>
          <c:smooth val="0"/>
          <c:extLst>
            <c:ext xmlns:c16="http://schemas.microsoft.com/office/drawing/2014/chart" uri="{C3380CC4-5D6E-409C-BE32-E72D297353CC}">
              <c16:uniqueId val="{00000001-15C2-47EB-AC79-9D358D135BF1}"/>
            </c:ext>
          </c:extLst>
        </c:ser>
        <c:ser>
          <c:idx val="2"/>
          <c:order val="2"/>
          <c:tx>
            <c:strRef>
              <c:f>Sheet1!$E$9</c:f>
              <c:strCache>
                <c:ptCount val="1"/>
                <c:pt idx="0">
                  <c:v>5005</c:v>
                </c:pt>
              </c:strCache>
            </c:strRef>
          </c:tx>
          <c:spPr>
            <a:ln w="28575" cap="rnd">
              <a:solidFill>
                <a:schemeClr val="accent3"/>
              </a:solidFill>
              <a:round/>
            </a:ln>
            <a:effectLst/>
          </c:spPr>
          <c:marker>
            <c:symbol val="none"/>
          </c:marker>
          <c:cat>
            <c:strRef>
              <c:f>Sheet1!$F$6:$J$6</c:f>
              <c:strCache>
                <c:ptCount val="5"/>
                <c:pt idx="0">
                  <c:v>RP-1</c:v>
                </c:pt>
                <c:pt idx="1">
                  <c:v>RP-2</c:v>
                </c:pt>
                <c:pt idx="2">
                  <c:v>RP-3</c:v>
                </c:pt>
                <c:pt idx="3">
                  <c:v>RP-4</c:v>
                </c:pt>
                <c:pt idx="4">
                  <c:v>RP-5</c:v>
                </c:pt>
              </c:strCache>
            </c:strRef>
          </c:cat>
          <c:val>
            <c:numRef>
              <c:f>Sheet1!$F$9:$J$9</c:f>
              <c:numCache>
                <c:formatCode>General</c:formatCode>
                <c:ptCount val="5"/>
                <c:pt idx="0">
                  <c:v>120</c:v>
                </c:pt>
                <c:pt idx="1">
                  <c:v>143</c:v>
                </c:pt>
                <c:pt idx="2">
                  <c:v>203</c:v>
                </c:pt>
                <c:pt idx="3">
                  <c:v>263</c:v>
                </c:pt>
                <c:pt idx="4">
                  <c:v>373</c:v>
                </c:pt>
              </c:numCache>
            </c:numRef>
          </c:val>
          <c:smooth val="0"/>
          <c:extLst>
            <c:ext xmlns:c16="http://schemas.microsoft.com/office/drawing/2014/chart" uri="{C3380CC4-5D6E-409C-BE32-E72D297353CC}">
              <c16:uniqueId val="{00000002-15C2-47EB-AC79-9D358D135BF1}"/>
            </c:ext>
          </c:extLst>
        </c:ser>
        <c:ser>
          <c:idx val="3"/>
          <c:order val="3"/>
          <c:tx>
            <c:strRef>
              <c:f>Sheet1!$E$10</c:f>
              <c:strCache>
                <c:ptCount val="1"/>
                <c:pt idx="0">
                  <c:v>23F3</c:v>
                </c:pt>
              </c:strCache>
            </c:strRef>
          </c:tx>
          <c:spPr>
            <a:ln w="28575" cap="rnd">
              <a:solidFill>
                <a:schemeClr val="accent4"/>
              </a:solidFill>
              <a:round/>
            </a:ln>
            <a:effectLst/>
          </c:spPr>
          <c:marker>
            <c:symbol val="none"/>
          </c:marker>
          <c:cat>
            <c:strRef>
              <c:f>Sheet1!$F$6:$J$6</c:f>
              <c:strCache>
                <c:ptCount val="5"/>
                <c:pt idx="0">
                  <c:v>RP-1</c:v>
                </c:pt>
                <c:pt idx="1">
                  <c:v>RP-2</c:v>
                </c:pt>
                <c:pt idx="2">
                  <c:v>RP-3</c:v>
                </c:pt>
                <c:pt idx="3">
                  <c:v>RP-4</c:v>
                </c:pt>
                <c:pt idx="4">
                  <c:v>RP-5</c:v>
                </c:pt>
              </c:strCache>
            </c:strRef>
          </c:cat>
          <c:val>
            <c:numRef>
              <c:f>Sheet1!$F$10:$J$10</c:f>
              <c:numCache>
                <c:formatCode>General</c:formatCode>
                <c:ptCount val="5"/>
                <c:pt idx="0">
                  <c:v>98.666666666666671</c:v>
                </c:pt>
                <c:pt idx="1">
                  <c:v>137.66666666666666</c:v>
                </c:pt>
                <c:pt idx="2">
                  <c:v>184.33333333333334</c:v>
                </c:pt>
                <c:pt idx="3">
                  <c:v>227.66666666666666</c:v>
                </c:pt>
                <c:pt idx="4">
                  <c:v>324.33333333333331</c:v>
                </c:pt>
              </c:numCache>
            </c:numRef>
          </c:val>
          <c:smooth val="0"/>
          <c:extLst>
            <c:ext xmlns:c16="http://schemas.microsoft.com/office/drawing/2014/chart" uri="{C3380CC4-5D6E-409C-BE32-E72D297353CC}">
              <c16:uniqueId val="{00000003-15C2-47EB-AC79-9D358D135BF1}"/>
            </c:ext>
          </c:extLst>
        </c:ser>
        <c:ser>
          <c:idx val="4"/>
          <c:order val="4"/>
          <c:tx>
            <c:strRef>
              <c:f>Sheet1!$E$11</c:f>
              <c:strCache>
                <c:ptCount val="1"/>
                <c:pt idx="0">
                  <c:v>57F1</c:v>
                </c:pt>
              </c:strCache>
            </c:strRef>
          </c:tx>
          <c:spPr>
            <a:ln w="28575" cap="rnd">
              <a:solidFill>
                <a:schemeClr val="accent5"/>
              </a:solidFill>
              <a:round/>
            </a:ln>
            <a:effectLst/>
          </c:spPr>
          <c:marker>
            <c:symbol val="none"/>
          </c:marker>
          <c:cat>
            <c:strRef>
              <c:f>Sheet1!$F$6:$J$6</c:f>
              <c:strCache>
                <c:ptCount val="5"/>
                <c:pt idx="0">
                  <c:v>RP-1</c:v>
                </c:pt>
                <c:pt idx="1">
                  <c:v>RP-2</c:v>
                </c:pt>
                <c:pt idx="2">
                  <c:v>RP-3</c:v>
                </c:pt>
                <c:pt idx="3">
                  <c:v>RP-4</c:v>
                </c:pt>
                <c:pt idx="4">
                  <c:v>RP-5</c:v>
                </c:pt>
              </c:strCache>
            </c:strRef>
          </c:cat>
          <c:val>
            <c:numRef>
              <c:f>Sheet1!$F$11:$J$11</c:f>
              <c:numCache>
                <c:formatCode>General</c:formatCode>
                <c:ptCount val="5"/>
                <c:pt idx="0">
                  <c:v>80</c:v>
                </c:pt>
                <c:pt idx="1">
                  <c:v>164</c:v>
                </c:pt>
                <c:pt idx="2">
                  <c:v>184</c:v>
                </c:pt>
                <c:pt idx="3">
                  <c:v>194</c:v>
                </c:pt>
                <c:pt idx="4">
                  <c:v>264</c:v>
                </c:pt>
              </c:numCache>
            </c:numRef>
          </c:val>
          <c:smooth val="0"/>
          <c:extLst>
            <c:ext xmlns:c16="http://schemas.microsoft.com/office/drawing/2014/chart" uri="{C3380CC4-5D6E-409C-BE32-E72D297353CC}">
              <c16:uniqueId val="{00000004-15C2-47EB-AC79-9D358D135BF1}"/>
            </c:ext>
          </c:extLst>
        </c:ser>
        <c:ser>
          <c:idx val="5"/>
          <c:order val="5"/>
          <c:tx>
            <c:strRef>
              <c:f>Sheet1!$E$12</c:f>
              <c:strCache>
                <c:ptCount val="1"/>
                <c:pt idx="0">
                  <c:v>63F3</c:v>
                </c:pt>
              </c:strCache>
            </c:strRef>
          </c:tx>
          <c:spPr>
            <a:ln w="28575" cap="rnd">
              <a:solidFill>
                <a:schemeClr val="accent6"/>
              </a:solidFill>
              <a:round/>
            </a:ln>
            <a:effectLst/>
          </c:spPr>
          <c:marker>
            <c:symbol val="none"/>
          </c:marker>
          <c:cat>
            <c:strRef>
              <c:f>Sheet1!$F$6:$J$6</c:f>
              <c:strCache>
                <c:ptCount val="5"/>
                <c:pt idx="0">
                  <c:v>RP-1</c:v>
                </c:pt>
                <c:pt idx="1">
                  <c:v>RP-2</c:v>
                </c:pt>
                <c:pt idx="2">
                  <c:v>RP-3</c:v>
                </c:pt>
                <c:pt idx="3">
                  <c:v>RP-4</c:v>
                </c:pt>
                <c:pt idx="4">
                  <c:v>RP-5</c:v>
                </c:pt>
              </c:strCache>
            </c:strRef>
          </c:cat>
          <c:val>
            <c:numRef>
              <c:f>Sheet1!$F$12:$J$12</c:f>
              <c:numCache>
                <c:formatCode>General</c:formatCode>
                <c:ptCount val="5"/>
                <c:pt idx="0">
                  <c:v>114</c:v>
                </c:pt>
                <c:pt idx="1">
                  <c:v>164</c:v>
                </c:pt>
                <c:pt idx="2">
                  <c:v>184</c:v>
                </c:pt>
                <c:pt idx="3">
                  <c:v>194</c:v>
                </c:pt>
                <c:pt idx="4">
                  <c:v>264</c:v>
                </c:pt>
              </c:numCache>
            </c:numRef>
          </c:val>
          <c:smooth val="0"/>
          <c:extLst>
            <c:ext xmlns:c16="http://schemas.microsoft.com/office/drawing/2014/chart" uri="{C3380CC4-5D6E-409C-BE32-E72D297353CC}">
              <c16:uniqueId val="{00000005-15C2-47EB-AC79-9D358D135BF1}"/>
            </c:ext>
          </c:extLst>
        </c:ser>
        <c:ser>
          <c:idx val="6"/>
          <c:order val="6"/>
          <c:tx>
            <c:strRef>
              <c:f>Sheet1!$E$13</c:f>
              <c:strCache>
                <c:ptCount val="1"/>
                <c:pt idx="0">
                  <c:v>conco</c:v>
                </c:pt>
              </c:strCache>
            </c:strRef>
          </c:tx>
          <c:spPr>
            <a:ln w="28575" cap="rnd">
              <a:solidFill>
                <a:schemeClr val="accent1">
                  <a:lumMod val="60000"/>
                </a:schemeClr>
              </a:solidFill>
              <a:round/>
            </a:ln>
            <a:effectLst/>
          </c:spPr>
          <c:marker>
            <c:symbol val="none"/>
          </c:marker>
          <c:cat>
            <c:strRef>
              <c:f>Sheet1!$F$6:$J$6</c:f>
              <c:strCache>
                <c:ptCount val="5"/>
                <c:pt idx="0">
                  <c:v>RP-1</c:v>
                </c:pt>
                <c:pt idx="1">
                  <c:v>RP-2</c:v>
                </c:pt>
                <c:pt idx="2">
                  <c:v>RP-3</c:v>
                </c:pt>
                <c:pt idx="3">
                  <c:v>RP-4</c:v>
                </c:pt>
                <c:pt idx="4">
                  <c:v>RP-5</c:v>
                </c:pt>
              </c:strCache>
            </c:strRef>
          </c:cat>
          <c:val>
            <c:numRef>
              <c:f>Sheet1!$F$13:$J$13</c:f>
              <c:numCache>
                <c:formatCode>General</c:formatCode>
                <c:ptCount val="5"/>
                <c:pt idx="0">
                  <c:v>150</c:v>
                </c:pt>
                <c:pt idx="1">
                  <c:v>200</c:v>
                </c:pt>
                <c:pt idx="2">
                  <c:v>250</c:v>
                </c:pt>
                <c:pt idx="3">
                  <c:v>350</c:v>
                </c:pt>
                <c:pt idx="4">
                  <c:v>412</c:v>
                </c:pt>
              </c:numCache>
            </c:numRef>
          </c:val>
          <c:smooth val="0"/>
          <c:extLst>
            <c:ext xmlns:c16="http://schemas.microsoft.com/office/drawing/2014/chart" uri="{C3380CC4-5D6E-409C-BE32-E72D297353CC}">
              <c16:uniqueId val="{00000006-15C2-47EB-AC79-9D358D135BF1}"/>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smooth val="0"/>
        <c:axId val="10316064"/>
        <c:axId val="10331040"/>
      </c:lineChart>
      <c:catAx>
        <c:axId val="103160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a:t>
                </a:r>
                <a:r>
                  <a:rPr lang="en-US" baseline="0"/>
                  <a:t> of analysis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31040"/>
        <c:crosses val="autoZero"/>
        <c:auto val="1"/>
        <c:lblAlgn val="ctr"/>
        <c:lblOffset val="100"/>
        <c:noMultiLvlLbl val="0"/>
      </c:catAx>
      <c:valAx>
        <c:axId val="10331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
                </a:r>
                <a:r>
                  <a:rPr lang="en-US" baseline="0"/>
                  <a:t> Solubilisation mg/kg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60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Sheet1!$M$15</c:f>
              <c:strCache>
                <c:ptCount val="1"/>
                <c:pt idx="0">
                  <c:v>82B2</c:v>
                </c:pt>
              </c:strCache>
            </c:strRef>
          </c:tx>
          <c:spPr>
            <a:ln w="28575" cap="rnd">
              <a:solidFill>
                <a:schemeClr val="accent1"/>
              </a:solidFill>
              <a:round/>
            </a:ln>
            <a:effectLst/>
          </c:spPr>
          <c:marker>
            <c:symbol val="none"/>
          </c:marker>
          <c:cat>
            <c:strRef>
              <c:f>Sheet1!$N$14:$R$14</c:f>
              <c:strCache>
                <c:ptCount val="5"/>
                <c:pt idx="0">
                  <c:v>SS-1</c:v>
                </c:pt>
                <c:pt idx="1">
                  <c:v>SS-2</c:v>
                </c:pt>
                <c:pt idx="2">
                  <c:v>SS-3</c:v>
                </c:pt>
                <c:pt idx="3">
                  <c:v>SS-4</c:v>
                </c:pt>
                <c:pt idx="4">
                  <c:v>SS-5</c:v>
                </c:pt>
              </c:strCache>
            </c:strRef>
          </c:cat>
          <c:val>
            <c:numRef>
              <c:f>Sheet1!$N$15:$R$15</c:f>
              <c:numCache>
                <c:formatCode>General</c:formatCode>
                <c:ptCount val="5"/>
                <c:pt idx="0">
                  <c:v>50</c:v>
                </c:pt>
                <c:pt idx="1">
                  <c:v>80</c:v>
                </c:pt>
                <c:pt idx="2">
                  <c:v>100</c:v>
                </c:pt>
                <c:pt idx="3">
                  <c:v>140</c:v>
                </c:pt>
                <c:pt idx="4">
                  <c:v>180</c:v>
                </c:pt>
              </c:numCache>
            </c:numRef>
          </c:val>
          <c:smooth val="0"/>
          <c:extLst>
            <c:ext xmlns:c16="http://schemas.microsoft.com/office/drawing/2014/chart" uri="{C3380CC4-5D6E-409C-BE32-E72D297353CC}">
              <c16:uniqueId val="{00000000-040D-496F-950E-726BBAB65158}"/>
            </c:ext>
          </c:extLst>
        </c:ser>
        <c:ser>
          <c:idx val="1"/>
          <c:order val="1"/>
          <c:tx>
            <c:strRef>
              <c:f>Sheet1!$M$16</c:f>
              <c:strCache>
                <c:ptCount val="1"/>
                <c:pt idx="0">
                  <c:v>58F1</c:v>
                </c:pt>
              </c:strCache>
            </c:strRef>
          </c:tx>
          <c:spPr>
            <a:ln w="28575" cap="rnd">
              <a:solidFill>
                <a:schemeClr val="accent2"/>
              </a:solidFill>
              <a:round/>
            </a:ln>
            <a:effectLst/>
          </c:spPr>
          <c:marker>
            <c:symbol val="none"/>
          </c:marker>
          <c:cat>
            <c:strRef>
              <c:f>Sheet1!$N$14:$R$14</c:f>
              <c:strCache>
                <c:ptCount val="5"/>
                <c:pt idx="0">
                  <c:v>SS-1</c:v>
                </c:pt>
                <c:pt idx="1">
                  <c:v>SS-2</c:v>
                </c:pt>
                <c:pt idx="2">
                  <c:v>SS-3</c:v>
                </c:pt>
                <c:pt idx="3">
                  <c:v>SS-4</c:v>
                </c:pt>
                <c:pt idx="4">
                  <c:v>SS-5</c:v>
                </c:pt>
              </c:strCache>
            </c:strRef>
          </c:cat>
          <c:val>
            <c:numRef>
              <c:f>Sheet1!$N$16:$R$16</c:f>
              <c:numCache>
                <c:formatCode>General</c:formatCode>
                <c:ptCount val="5"/>
                <c:pt idx="0">
                  <c:v>62</c:v>
                </c:pt>
                <c:pt idx="1">
                  <c:v>89</c:v>
                </c:pt>
                <c:pt idx="2">
                  <c:v>89</c:v>
                </c:pt>
                <c:pt idx="3">
                  <c:v>90</c:v>
                </c:pt>
                <c:pt idx="4">
                  <c:v>92</c:v>
                </c:pt>
              </c:numCache>
            </c:numRef>
          </c:val>
          <c:smooth val="0"/>
          <c:extLst>
            <c:ext xmlns:c16="http://schemas.microsoft.com/office/drawing/2014/chart" uri="{C3380CC4-5D6E-409C-BE32-E72D297353CC}">
              <c16:uniqueId val="{00000001-040D-496F-950E-726BBAB65158}"/>
            </c:ext>
          </c:extLst>
        </c:ser>
        <c:ser>
          <c:idx val="2"/>
          <c:order val="2"/>
          <c:tx>
            <c:strRef>
              <c:f>Sheet1!$M$17</c:f>
              <c:strCache>
                <c:ptCount val="1"/>
                <c:pt idx="0">
                  <c:v>5005</c:v>
                </c:pt>
              </c:strCache>
            </c:strRef>
          </c:tx>
          <c:spPr>
            <a:ln w="28575" cap="rnd">
              <a:solidFill>
                <a:schemeClr val="accent3"/>
              </a:solidFill>
              <a:round/>
            </a:ln>
            <a:effectLst/>
          </c:spPr>
          <c:marker>
            <c:symbol val="none"/>
          </c:marker>
          <c:cat>
            <c:strRef>
              <c:f>Sheet1!$N$14:$R$14</c:f>
              <c:strCache>
                <c:ptCount val="5"/>
                <c:pt idx="0">
                  <c:v>SS-1</c:v>
                </c:pt>
                <c:pt idx="1">
                  <c:v>SS-2</c:v>
                </c:pt>
                <c:pt idx="2">
                  <c:v>SS-3</c:v>
                </c:pt>
                <c:pt idx="3">
                  <c:v>SS-4</c:v>
                </c:pt>
                <c:pt idx="4">
                  <c:v>SS-5</c:v>
                </c:pt>
              </c:strCache>
            </c:strRef>
          </c:cat>
          <c:val>
            <c:numRef>
              <c:f>Sheet1!$N$17:$R$17</c:f>
              <c:numCache>
                <c:formatCode>General</c:formatCode>
                <c:ptCount val="5"/>
                <c:pt idx="0">
                  <c:v>85</c:v>
                </c:pt>
                <c:pt idx="1">
                  <c:v>112</c:v>
                </c:pt>
                <c:pt idx="2">
                  <c:v>112</c:v>
                </c:pt>
                <c:pt idx="3">
                  <c:v>113</c:v>
                </c:pt>
                <c:pt idx="4">
                  <c:v>115</c:v>
                </c:pt>
              </c:numCache>
            </c:numRef>
          </c:val>
          <c:smooth val="0"/>
          <c:extLst>
            <c:ext xmlns:c16="http://schemas.microsoft.com/office/drawing/2014/chart" uri="{C3380CC4-5D6E-409C-BE32-E72D297353CC}">
              <c16:uniqueId val="{00000002-040D-496F-950E-726BBAB65158}"/>
            </c:ext>
          </c:extLst>
        </c:ser>
        <c:ser>
          <c:idx val="3"/>
          <c:order val="3"/>
          <c:tx>
            <c:strRef>
              <c:f>Sheet1!$M$18</c:f>
              <c:strCache>
                <c:ptCount val="1"/>
                <c:pt idx="0">
                  <c:v>23F3</c:v>
                </c:pt>
              </c:strCache>
            </c:strRef>
          </c:tx>
          <c:spPr>
            <a:ln w="28575" cap="rnd">
              <a:solidFill>
                <a:schemeClr val="accent4"/>
              </a:solidFill>
              <a:round/>
            </a:ln>
            <a:effectLst/>
          </c:spPr>
          <c:marker>
            <c:symbol val="none"/>
          </c:marker>
          <c:cat>
            <c:strRef>
              <c:f>Sheet1!$N$14:$R$14</c:f>
              <c:strCache>
                <c:ptCount val="5"/>
                <c:pt idx="0">
                  <c:v>SS-1</c:v>
                </c:pt>
                <c:pt idx="1">
                  <c:v>SS-2</c:v>
                </c:pt>
                <c:pt idx="2">
                  <c:v>SS-3</c:v>
                </c:pt>
                <c:pt idx="3">
                  <c:v>SS-4</c:v>
                </c:pt>
                <c:pt idx="4">
                  <c:v>SS-5</c:v>
                </c:pt>
              </c:strCache>
            </c:strRef>
          </c:cat>
          <c:val>
            <c:numRef>
              <c:f>Sheet1!$N$18:$R$18</c:f>
              <c:numCache>
                <c:formatCode>General</c:formatCode>
                <c:ptCount val="5"/>
                <c:pt idx="0">
                  <c:v>65.666666666666671</c:v>
                </c:pt>
                <c:pt idx="1">
                  <c:v>93.666666666666671</c:v>
                </c:pt>
                <c:pt idx="2">
                  <c:v>100.33333333333333</c:v>
                </c:pt>
                <c:pt idx="3">
                  <c:v>114.33333333333333</c:v>
                </c:pt>
                <c:pt idx="4">
                  <c:v>129</c:v>
                </c:pt>
              </c:numCache>
            </c:numRef>
          </c:val>
          <c:smooth val="0"/>
          <c:extLst>
            <c:ext xmlns:c16="http://schemas.microsoft.com/office/drawing/2014/chart" uri="{C3380CC4-5D6E-409C-BE32-E72D297353CC}">
              <c16:uniqueId val="{00000003-040D-496F-950E-726BBAB65158}"/>
            </c:ext>
          </c:extLst>
        </c:ser>
        <c:ser>
          <c:idx val="4"/>
          <c:order val="4"/>
          <c:tx>
            <c:strRef>
              <c:f>Sheet1!$M$19</c:f>
              <c:strCache>
                <c:ptCount val="1"/>
                <c:pt idx="0">
                  <c:v>57F1</c:v>
                </c:pt>
              </c:strCache>
            </c:strRef>
          </c:tx>
          <c:spPr>
            <a:ln w="28575" cap="rnd">
              <a:solidFill>
                <a:schemeClr val="accent5"/>
              </a:solidFill>
              <a:round/>
            </a:ln>
            <a:effectLst/>
          </c:spPr>
          <c:marker>
            <c:symbol val="none"/>
          </c:marker>
          <c:cat>
            <c:strRef>
              <c:f>Sheet1!$N$14:$R$14</c:f>
              <c:strCache>
                <c:ptCount val="5"/>
                <c:pt idx="0">
                  <c:v>SS-1</c:v>
                </c:pt>
                <c:pt idx="1">
                  <c:v>SS-2</c:v>
                </c:pt>
                <c:pt idx="2">
                  <c:v>SS-3</c:v>
                </c:pt>
                <c:pt idx="3">
                  <c:v>SS-4</c:v>
                </c:pt>
                <c:pt idx="4">
                  <c:v>SS-5</c:v>
                </c:pt>
              </c:strCache>
            </c:strRef>
          </c:cat>
          <c:val>
            <c:numRef>
              <c:f>Sheet1!$N$19:$R$19</c:f>
              <c:numCache>
                <c:formatCode>General</c:formatCode>
                <c:ptCount val="5"/>
                <c:pt idx="0">
                  <c:v>54</c:v>
                </c:pt>
                <c:pt idx="1">
                  <c:v>57</c:v>
                </c:pt>
                <c:pt idx="2">
                  <c:v>77</c:v>
                </c:pt>
                <c:pt idx="3">
                  <c:v>117</c:v>
                </c:pt>
                <c:pt idx="4">
                  <c:v>157</c:v>
                </c:pt>
              </c:numCache>
            </c:numRef>
          </c:val>
          <c:smooth val="0"/>
          <c:extLst>
            <c:ext xmlns:c16="http://schemas.microsoft.com/office/drawing/2014/chart" uri="{C3380CC4-5D6E-409C-BE32-E72D297353CC}">
              <c16:uniqueId val="{00000004-040D-496F-950E-726BBAB65158}"/>
            </c:ext>
          </c:extLst>
        </c:ser>
        <c:ser>
          <c:idx val="5"/>
          <c:order val="5"/>
          <c:tx>
            <c:strRef>
              <c:f>Sheet1!$M$20</c:f>
              <c:strCache>
                <c:ptCount val="1"/>
                <c:pt idx="0">
                  <c:v>63F3</c:v>
                </c:pt>
              </c:strCache>
            </c:strRef>
          </c:tx>
          <c:spPr>
            <a:ln w="28575" cap="rnd">
              <a:solidFill>
                <a:schemeClr val="accent6"/>
              </a:solidFill>
              <a:round/>
            </a:ln>
            <a:effectLst/>
          </c:spPr>
          <c:marker>
            <c:symbol val="none"/>
          </c:marker>
          <c:cat>
            <c:strRef>
              <c:f>Sheet1!$N$14:$R$14</c:f>
              <c:strCache>
                <c:ptCount val="5"/>
                <c:pt idx="0">
                  <c:v>SS-1</c:v>
                </c:pt>
                <c:pt idx="1">
                  <c:v>SS-2</c:v>
                </c:pt>
                <c:pt idx="2">
                  <c:v>SS-3</c:v>
                </c:pt>
                <c:pt idx="3">
                  <c:v>SS-4</c:v>
                </c:pt>
                <c:pt idx="4">
                  <c:v>SS-5</c:v>
                </c:pt>
              </c:strCache>
            </c:strRef>
          </c:cat>
          <c:val>
            <c:numRef>
              <c:f>Sheet1!$N$20:$R$20</c:f>
              <c:numCache>
                <c:formatCode>General</c:formatCode>
                <c:ptCount val="5"/>
                <c:pt idx="0">
                  <c:v>68</c:v>
                </c:pt>
                <c:pt idx="1">
                  <c:v>98</c:v>
                </c:pt>
                <c:pt idx="2">
                  <c:v>118</c:v>
                </c:pt>
                <c:pt idx="3">
                  <c:v>158</c:v>
                </c:pt>
                <c:pt idx="4">
                  <c:v>198</c:v>
                </c:pt>
              </c:numCache>
            </c:numRef>
          </c:val>
          <c:smooth val="0"/>
          <c:extLst>
            <c:ext xmlns:c16="http://schemas.microsoft.com/office/drawing/2014/chart" uri="{C3380CC4-5D6E-409C-BE32-E72D297353CC}">
              <c16:uniqueId val="{00000005-040D-496F-950E-726BBAB65158}"/>
            </c:ext>
          </c:extLst>
        </c:ser>
        <c:ser>
          <c:idx val="6"/>
          <c:order val="6"/>
          <c:tx>
            <c:strRef>
              <c:f>Sheet1!$M$21</c:f>
              <c:strCache>
                <c:ptCount val="1"/>
                <c:pt idx="0">
                  <c:v>conco</c:v>
                </c:pt>
              </c:strCache>
            </c:strRef>
          </c:tx>
          <c:spPr>
            <a:ln w="28575" cap="rnd">
              <a:solidFill>
                <a:schemeClr val="accent1">
                  <a:lumMod val="60000"/>
                </a:schemeClr>
              </a:solidFill>
              <a:round/>
            </a:ln>
            <a:effectLst/>
          </c:spPr>
          <c:marker>
            <c:symbol val="none"/>
          </c:marker>
          <c:cat>
            <c:strRef>
              <c:f>Sheet1!$N$14:$R$14</c:f>
              <c:strCache>
                <c:ptCount val="5"/>
                <c:pt idx="0">
                  <c:v>SS-1</c:v>
                </c:pt>
                <c:pt idx="1">
                  <c:v>SS-2</c:v>
                </c:pt>
                <c:pt idx="2">
                  <c:v>SS-3</c:v>
                </c:pt>
                <c:pt idx="3">
                  <c:v>SS-4</c:v>
                </c:pt>
                <c:pt idx="4">
                  <c:v>SS-5</c:v>
                </c:pt>
              </c:strCache>
            </c:strRef>
          </c:cat>
          <c:val>
            <c:numRef>
              <c:f>Sheet1!$N$21:$R$21</c:f>
              <c:numCache>
                <c:formatCode>General</c:formatCode>
                <c:ptCount val="5"/>
                <c:pt idx="0">
                  <c:v>80</c:v>
                </c:pt>
                <c:pt idx="1">
                  <c:v>120</c:v>
                </c:pt>
                <c:pt idx="2">
                  <c:v>200</c:v>
                </c:pt>
                <c:pt idx="3">
                  <c:v>212</c:v>
                </c:pt>
                <c:pt idx="4">
                  <c:v>212</c:v>
                </c:pt>
              </c:numCache>
            </c:numRef>
          </c:val>
          <c:smooth val="0"/>
          <c:extLst>
            <c:ext xmlns:c16="http://schemas.microsoft.com/office/drawing/2014/chart" uri="{C3380CC4-5D6E-409C-BE32-E72D297353CC}">
              <c16:uniqueId val="{00000006-040D-496F-950E-726BBAB65158}"/>
            </c:ext>
          </c:extLst>
        </c:ser>
        <c:dLbls>
          <c:showLegendKey val="0"/>
          <c:showVal val="0"/>
          <c:showCatName val="0"/>
          <c:showSerName val="0"/>
          <c:showPercent val="0"/>
          <c:showBubbleSize val="0"/>
        </c:dLbls>
        <c:dropLines>
          <c:spPr>
            <a:ln w="9525" cap="flat" cmpd="sng" algn="ctr">
              <a:solidFill>
                <a:schemeClr val="tx1">
                  <a:lumMod val="35000"/>
                  <a:lumOff val="65000"/>
                </a:schemeClr>
              </a:solidFill>
              <a:round/>
            </a:ln>
            <a:effectLst/>
          </c:spPr>
        </c:dropLines>
        <c:smooth val="0"/>
        <c:axId val="108671263"/>
        <c:axId val="108646303"/>
      </c:lineChart>
      <c:catAx>
        <c:axId val="1086712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a:t>
                </a:r>
                <a:r>
                  <a:rPr lang="en-US" baseline="0"/>
                  <a:t> of analysis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646303"/>
        <c:crosses val="autoZero"/>
        <c:auto val="1"/>
        <c:lblAlgn val="ctr"/>
        <c:lblOffset val="100"/>
        <c:noMultiLvlLbl val="0"/>
      </c:catAx>
      <c:valAx>
        <c:axId val="1086463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rPr>
                  <a:t>P- Solubilisation mg/kg</a:t>
                </a:r>
                <a:endParaRPr lang="en-US" sz="1200">
                  <a:effectLst/>
                </a:endParaRPr>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67126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2B55B-86AA-4F7F-B019-E41546DB7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7312</TotalTime>
  <Pages>30</Pages>
  <Words>33172</Words>
  <Characters>189082</Characters>
  <Application>Microsoft Office Word</Application>
  <DocSecurity>0</DocSecurity>
  <Lines>1575</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mwafulirwa</dc:creator>
  <cp:keywords/>
  <dc:description/>
  <cp:lastModifiedBy>SDI 1084</cp:lastModifiedBy>
  <cp:revision>42</cp:revision>
  <dcterms:created xsi:type="dcterms:W3CDTF">2024-12-27T17:11:00Z</dcterms:created>
  <dcterms:modified xsi:type="dcterms:W3CDTF">2025-02-18T11:18:00Z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95c79862-29a7-38a3-b09d-0a34fee47495</vt:lpwstr>
  </property>
</Properties>
</file>