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D7E1" w14:textId="77777777" w:rsidR="00B03E20" w:rsidRDefault="00B03E20" w:rsidP="00AB3BC2">
      <w:pPr>
        <w:pStyle w:val="Author"/>
        <w:spacing w:line="240" w:lineRule="auto"/>
        <w:rPr>
          <w:rFonts w:ascii="Arial" w:hAnsi="Arial" w:cs="Arial"/>
          <w:sz w:val="36"/>
          <w:szCs w:val="36"/>
        </w:rPr>
      </w:pPr>
      <w:r w:rsidRPr="00B03E20">
        <w:rPr>
          <w:rFonts w:ascii="Arial" w:hAnsi="Arial" w:cs="Arial"/>
          <w:sz w:val="36"/>
          <w:szCs w:val="36"/>
        </w:rPr>
        <w:t>Original Research Article</w:t>
      </w:r>
    </w:p>
    <w:p w14:paraId="64908066" w14:textId="77777777" w:rsidR="00B03E20" w:rsidRDefault="00B03E20" w:rsidP="00AB3BC2">
      <w:pPr>
        <w:pStyle w:val="Author"/>
        <w:spacing w:line="240" w:lineRule="auto"/>
        <w:rPr>
          <w:rFonts w:ascii="Arial" w:hAnsi="Arial" w:cs="Arial"/>
          <w:sz w:val="36"/>
          <w:szCs w:val="36"/>
        </w:rPr>
      </w:pPr>
    </w:p>
    <w:p w14:paraId="53E06C6E" w14:textId="0C66F34D" w:rsidR="00A258C3" w:rsidRDefault="00AB3BC2" w:rsidP="00AB3BC2">
      <w:pPr>
        <w:pStyle w:val="Author"/>
        <w:spacing w:line="240" w:lineRule="auto"/>
        <w:rPr>
          <w:rFonts w:ascii="Arial" w:hAnsi="Arial" w:cs="Arial"/>
          <w:sz w:val="36"/>
          <w:szCs w:val="36"/>
        </w:rPr>
      </w:pPr>
      <w:r w:rsidRPr="00AB3BC2">
        <w:rPr>
          <w:rFonts w:ascii="Arial" w:hAnsi="Arial" w:cs="Arial"/>
          <w:sz w:val="36"/>
          <w:szCs w:val="36"/>
        </w:rPr>
        <w:t>FEAR OF FAILURE IN LEARNING MATHEMATICS AND ITS EFFECT ON ACADEMIC PROCRASTINATION AMONG PRE-SERVICE TEACHERS</w:t>
      </w:r>
    </w:p>
    <w:p w14:paraId="37D8712E" w14:textId="77777777" w:rsidR="00B03E20" w:rsidRPr="00A42C97" w:rsidRDefault="00B03E20" w:rsidP="00AB3BC2">
      <w:pPr>
        <w:pStyle w:val="Author"/>
        <w:spacing w:line="240" w:lineRule="auto"/>
        <w:rPr>
          <w:rFonts w:ascii="Arial" w:hAnsi="Arial" w:cs="Arial"/>
          <w:sz w:val="36"/>
        </w:rPr>
      </w:pPr>
    </w:p>
    <w:p w14:paraId="1F7FFCF1" w14:textId="77777777" w:rsidR="005018EB" w:rsidRDefault="005018EB" w:rsidP="00441B6F">
      <w:pPr>
        <w:pStyle w:val="AbstHead"/>
        <w:spacing w:after="0"/>
        <w:jc w:val="both"/>
        <w:rPr>
          <w:rFonts w:ascii="Arial" w:hAnsi="Arial" w:cs="Arial"/>
        </w:rPr>
      </w:pPr>
    </w:p>
    <w:p w14:paraId="7C29DB3B" w14:textId="77777777" w:rsidR="005018EB" w:rsidRDefault="005018EB" w:rsidP="00441B6F">
      <w:pPr>
        <w:pStyle w:val="AbstHead"/>
        <w:spacing w:after="0"/>
        <w:jc w:val="both"/>
        <w:rPr>
          <w:rFonts w:ascii="Arial" w:hAnsi="Arial" w:cs="Arial"/>
        </w:rPr>
      </w:pPr>
    </w:p>
    <w:p w14:paraId="2519515B" w14:textId="0C177D2D" w:rsidR="00B01FCD" w:rsidRPr="00A42C97" w:rsidRDefault="00B01FCD" w:rsidP="00441B6F">
      <w:pPr>
        <w:pStyle w:val="AbstHead"/>
        <w:spacing w:after="0"/>
        <w:jc w:val="both"/>
        <w:rPr>
          <w:rFonts w:ascii="Arial" w:hAnsi="Arial" w:cs="Arial"/>
        </w:rPr>
      </w:pPr>
      <w:r w:rsidRPr="00A42C97">
        <w:rPr>
          <w:rFonts w:ascii="Arial" w:hAnsi="Arial" w:cs="Arial"/>
        </w:rPr>
        <w:t>ABSTRACT</w:t>
      </w:r>
      <w:r w:rsidR="0066510A" w:rsidRPr="00A42C97">
        <w:rPr>
          <w:rFonts w:ascii="Arial" w:hAnsi="Arial" w:cs="Arial"/>
        </w:rPr>
        <w:t xml:space="preserve"> </w:t>
      </w:r>
    </w:p>
    <w:p w14:paraId="5752E7A6" w14:textId="77777777" w:rsidR="00790ADA" w:rsidRPr="00A42C97"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A42C97" w14:paraId="0A74FF64" w14:textId="77777777" w:rsidTr="001E44FE">
        <w:tc>
          <w:tcPr>
            <w:tcW w:w="9576" w:type="dxa"/>
            <w:shd w:val="clear" w:color="auto" w:fill="F2F2F2"/>
          </w:tcPr>
          <w:p w14:paraId="4C08D8E1" w14:textId="29249CC3" w:rsidR="00505F06" w:rsidRPr="00A42C97" w:rsidRDefault="00760516" w:rsidP="00D85FA7">
            <w:pPr>
              <w:jc w:val="both"/>
              <w:rPr>
                <w:rFonts w:ascii="Arial" w:hAnsi="Arial" w:cs="Arial"/>
              </w:rPr>
            </w:pPr>
            <w:r w:rsidRPr="00A42C97">
              <w:rPr>
                <w:rFonts w:ascii="Arial" w:hAnsi="Arial" w:cs="Arial"/>
              </w:rPr>
              <w:t>This study aimed to determine the levels of fear of failure in learning mathematics and academic procrastination among college students in Davao Occidental. The participants included first-year to fourth-year students enrolled in a Bachelor of Secondary Education major in Mathematics during the first semester of the school year 2023–2024. Using a descriptive-correlational research design, the study examined the relationship between fear of failure in learning mathematics and academic procrastination among 113 randomly selected respondents. Results showed that students had a high level of fear of failure in learning mathematics, indicating that they are often anxious about performance but still manage to complete tasks on time. However, academic procrastination was also reported at a high level, suggesting that many students tend to delay tasks, occasionally miss deadlines, and experience added stress. Correlation analysis revealed a significant relationship between fear of failure and academic procrastination. Specifically, fear of disappointing important others and the possibility of feeling shame or embarrassment were key factors that contributed to students’ procrastination in learning mathematics.</w:t>
            </w:r>
          </w:p>
        </w:tc>
      </w:tr>
    </w:tbl>
    <w:p w14:paraId="45765607" w14:textId="77777777" w:rsidR="00636EB2" w:rsidRPr="00A42C97" w:rsidRDefault="00636EB2" w:rsidP="00441B6F">
      <w:pPr>
        <w:pStyle w:val="Body"/>
        <w:spacing w:after="0"/>
        <w:rPr>
          <w:rFonts w:ascii="Arial" w:hAnsi="Arial" w:cs="Arial"/>
          <w:i/>
        </w:rPr>
      </w:pPr>
    </w:p>
    <w:p w14:paraId="67CF14F2" w14:textId="110D5A71" w:rsidR="00A24E7E" w:rsidRPr="00A42C97" w:rsidRDefault="00A24E7E" w:rsidP="00D85FA7">
      <w:pPr>
        <w:pStyle w:val="Body"/>
        <w:ind w:left="1080" w:hanging="1080"/>
        <w:rPr>
          <w:rFonts w:ascii="Arial" w:hAnsi="Arial" w:cs="Arial"/>
          <w:i/>
        </w:rPr>
      </w:pPr>
      <w:r w:rsidRPr="00A42C97">
        <w:rPr>
          <w:rFonts w:ascii="Arial" w:hAnsi="Arial" w:cs="Arial"/>
          <w:i/>
        </w:rPr>
        <w:t xml:space="preserve">Keywords: </w:t>
      </w:r>
      <w:r w:rsidR="006D3B1B" w:rsidRPr="00A42C97">
        <w:rPr>
          <w:rFonts w:ascii="Arial" w:hAnsi="Arial" w:cs="Arial"/>
          <w:i/>
        </w:rPr>
        <w:t>Academic Procrastination, Fear of Failure</w:t>
      </w:r>
      <w:r w:rsidR="00760516" w:rsidRPr="00A42C97">
        <w:rPr>
          <w:rFonts w:ascii="Arial" w:hAnsi="Arial" w:cs="Arial"/>
          <w:i/>
        </w:rPr>
        <w:t xml:space="preserve"> in </w:t>
      </w:r>
      <w:r w:rsidR="006D3B1B" w:rsidRPr="00A42C97">
        <w:rPr>
          <w:rFonts w:ascii="Arial" w:hAnsi="Arial" w:cs="Arial"/>
          <w:i/>
        </w:rPr>
        <w:t>Learning Mathematics</w:t>
      </w:r>
      <w:r w:rsidR="00D85FA7" w:rsidRPr="00A42C97">
        <w:rPr>
          <w:rFonts w:ascii="Arial" w:hAnsi="Arial" w:cs="Arial"/>
          <w:i/>
        </w:rPr>
        <w:t>,</w:t>
      </w:r>
      <w:r w:rsidR="006D3B1B" w:rsidRPr="00A42C97">
        <w:rPr>
          <w:rFonts w:ascii="Arial" w:hAnsi="Arial" w:cs="Arial"/>
          <w:i/>
        </w:rPr>
        <w:t xml:space="preserve"> </w:t>
      </w:r>
      <w:r w:rsidR="00D85FA7" w:rsidRPr="00A42C97">
        <w:rPr>
          <w:rFonts w:ascii="Arial" w:hAnsi="Arial" w:cs="Arial"/>
          <w:i/>
        </w:rPr>
        <w:t>College Students</w:t>
      </w:r>
    </w:p>
    <w:p w14:paraId="0E636FEB" w14:textId="77777777" w:rsidR="00790ADA" w:rsidRPr="00A42C97" w:rsidRDefault="00790ADA" w:rsidP="00441B6F">
      <w:pPr>
        <w:pStyle w:val="Body"/>
        <w:spacing w:after="0"/>
        <w:rPr>
          <w:rFonts w:ascii="Arial" w:hAnsi="Arial" w:cs="Arial"/>
          <w:i/>
        </w:rPr>
      </w:pPr>
    </w:p>
    <w:p w14:paraId="10D49600" w14:textId="77777777" w:rsidR="00505F06" w:rsidRPr="00A42C97" w:rsidRDefault="00505F06" w:rsidP="00441B6F">
      <w:pPr>
        <w:pStyle w:val="Body"/>
        <w:spacing w:after="0"/>
        <w:rPr>
          <w:rFonts w:ascii="Arial" w:hAnsi="Arial" w:cs="Arial"/>
          <w:i/>
        </w:rPr>
      </w:pPr>
    </w:p>
    <w:p w14:paraId="468B415C" w14:textId="4D777373" w:rsidR="007F7B32" w:rsidRPr="00A42C97" w:rsidRDefault="00902823" w:rsidP="00441B6F">
      <w:pPr>
        <w:pStyle w:val="AbstHead"/>
        <w:spacing w:after="0"/>
        <w:jc w:val="both"/>
        <w:rPr>
          <w:rFonts w:ascii="Arial" w:hAnsi="Arial" w:cs="Arial"/>
        </w:rPr>
      </w:pPr>
      <w:r w:rsidRPr="00A42C97">
        <w:rPr>
          <w:rFonts w:ascii="Arial" w:hAnsi="Arial" w:cs="Arial"/>
        </w:rPr>
        <w:t xml:space="preserve">1. </w:t>
      </w:r>
      <w:r w:rsidR="00B01FCD" w:rsidRPr="00A42C97">
        <w:rPr>
          <w:rFonts w:ascii="Arial" w:hAnsi="Arial" w:cs="Arial"/>
        </w:rPr>
        <w:t>INTRODUCTION</w:t>
      </w:r>
      <w:r w:rsidR="007F7B32" w:rsidRPr="00A42C97">
        <w:rPr>
          <w:rFonts w:ascii="Arial" w:hAnsi="Arial" w:cs="Arial"/>
        </w:rPr>
        <w:t xml:space="preserve"> </w:t>
      </w:r>
    </w:p>
    <w:p w14:paraId="7A94EE72" w14:textId="77777777" w:rsidR="00F14BE4" w:rsidRPr="00A42C97" w:rsidRDefault="00F14BE4" w:rsidP="00441B6F">
      <w:pPr>
        <w:pStyle w:val="AbstHead"/>
        <w:spacing w:after="0"/>
        <w:jc w:val="both"/>
        <w:rPr>
          <w:rFonts w:ascii="Arial" w:hAnsi="Arial" w:cs="Arial"/>
        </w:rPr>
      </w:pPr>
    </w:p>
    <w:p w14:paraId="473C8B91" w14:textId="171F2FE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Mathematics holds a vital place in the school curriculum because of its strong link to better academic and career opportunities (Akinsola &amp; Tella, 2003). It is often considered more demanding and important than other subjects. However, a concerning trend has been observed among college students majoring in mathematics—many </w:t>
      </w:r>
      <w:proofErr w:type="gramStart"/>
      <w:r w:rsidRPr="00A42C97">
        <w:rPr>
          <w:rFonts w:ascii="Arial" w:eastAsia="Times New Roman" w:hAnsi="Arial"/>
          <w:sz w:val="20"/>
          <w:szCs w:val="20"/>
        </w:rPr>
        <w:t>struggle</w:t>
      </w:r>
      <w:proofErr w:type="gramEnd"/>
      <w:r w:rsidRPr="00A42C97">
        <w:rPr>
          <w:rFonts w:ascii="Arial" w:eastAsia="Times New Roman" w:hAnsi="Arial"/>
          <w:sz w:val="20"/>
          <w:szCs w:val="20"/>
        </w:rPr>
        <w:t xml:space="preserve"> with performance, which may be linked to academic procrastination (</w:t>
      </w:r>
      <w:proofErr w:type="spellStart"/>
      <w:r w:rsidRPr="00A42C97">
        <w:rPr>
          <w:rFonts w:ascii="Arial" w:eastAsia="Times New Roman" w:hAnsi="Arial"/>
          <w:sz w:val="20"/>
          <w:szCs w:val="20"/>
        </w:rPr>
        <w:t>Asikhia</w:t>
      </w:r>
      <w:proofErr w:type="spellEnd"/>
      <w:r w:rsidRPr="00A42C97">
        <w:rPr>
          <w:rFonts w:ascii="Arial" w:eastAsia="Times New Roman" w:hAnsi="Arial"/>
          <w:sz w:val="20"/>
          <w:szCs w:val="20"/>
        </w:rPr>
        <w:t>, 2010)</w:t>
      </w:r>
      <w:r w:rsidR="003F7E4F" w:rsidRPr="00A42C97">
        <w:rPr>
          <w:rFonts w:ascii="Arial" w:eastAsia="Times New Roman" w:hAnsi="Arial"/>
          <w:sz w:val="20"/>
          <w:szCs w:val="20"/>
        </w:rPr>
        <w:t xml:space="preserve">. </w:t>
      </w:r>
    </w:p>
    <w:p w14:paraId="78C319BB" w14:textId="77777777" w:rsidR="00F52353" w:rsidRPr="00A42C97" w:rsidRDefault="00F52353" w:rsidP="00F52353">
      <w:pPr>
        <w:pStyle w:val="NoSpacing1"/>
        <w:jc w:val="both"/>
        <w:rPr>
          <w:rFonts w:ascii="Arial" w:eastAsia="Times New Roman" w:hAnsi="Arial"/>
          <w:sz w:val="20"/>
          <w:szCs w:val="20"/>
        </w:rPr>
      </w:pPr>
    </w:p>
    <w:p w14:paraId="6FBF15E3" w14:textId="4918561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Despite the global push to strengthen mathematics education, results from international assessments show that students are falling behind expected proficiency levels. For instance, the </w:t>
      </w:r>
      <w:proofErr w:type="spellStart"/>
      <w:r w:rsidRPr="00A42C97">
        <w:rPr>
          <w:rFonts w:ascii="Arial" w:eastAsia="Times New Roman" w:hAnsi="Arial"/>
          <w:sz w:val="20"/>
          <w:szCs w:val="20"/>
        </w:rPr>
        <w:t>Programme</w:t>
      </w:r>
      <w:proofErr w:type="spellEnd"/>
      <w:r w:rsidRPr="00A42C97">
        <w:rPr>
          <w:rFonts w:ascii="Arial" w:eastAsia="Times New Roman" w:hAnsi="Arial"/>
          <w:sz w:val="20"/>
          <w:szCs w:val="20"/>
        </w:rPr>
        <w:t xml:space="preserve"> for International Student Assessment (PISA) conducted by the OECD in 2018 tested around 600,000 fifteen-year-old students in science, reading, and mathematics. Filipino students ranked lowest among 79 countries in all three areas</w:t>
      </w:r>
      <w:r w:rsidR="001038E7" w:rsidRPr="00A42C97">
        <w:rPr>
          <w:rFonts w:ascii="Arial" w:eastAsia="Times New Roman" w:hAnsi="Arial"/>
          <w:sz w:val="20"/>
          <w:szCs w:val="20"/>
        </w:rPr>
        <w:t xml:space="preserve"> (DepEd, 2019)</w:t>
      </w:r>
      <w:r w:rsidRPr="00A42C97">
        <w:rPr>
          <w:rFonts w:ascii="Arial" w:eastAsia="Times New Roman" w:hAnsi="Arial"/>
          <w:sz w:val="20"/>
          <w:szCs w:val="20"/>
        </w:rPr>
        <w:t>. This trend was also seen in the 2019 Trends in International Mathematics and Science Study (TIMSS), where the Philippines placed last out of 58 participating countries</w:t>
      </w:r>
      <w:r w:rsidR="001038E7" w:rsidRPr="00A42C97">
        <w:rPr>
          <w:rFonts w:ascii="Arial" w:eastAsia="Times New Roman" w:hAnsi="Arial"/>
          <w:sz w:val="20"/>
          <w:szCs w:val="20"/>
        </w:rPr>
        <w:t xml:space="preserve">  </w:t>
      </w:r>
    </w:p>
    <w:p w14:paraId="10B7A885" w14:textId="77777777" w:rsidR="00F52353" w:rsidRPr="00A42C97" w:rsidRDefault="00F52353" w:rsidP="00F52353">
      <w:pPr>
        <w:pStyle w:val="NoSpacing1"/>
        <w:jc w:val="both"/>
        <w:rPr>
          <w:rFonts w:ascii="Arial" w:eastAsia="Times New Roman" w:hAnsi="Arial"/>
          <w:sz w:val="20"/>
          <w:szCs w:val="20"/>
        </w:rPr>
      </w:pPr>
    </w:p>
    <w:p w14:paraId="70C89DF3" w14:textId="3BBD508A"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lastRenderedPageBreak/>
        <w:t>Fear of failure is a common cause of procrastination. It often emerges as a response to the fear of poor results (Balkis &amp; Duru, 2012). Procrastinators may delay tasks as a way to protect their self-worth. According to Burka and Yuen (2008), these individuals tie their self-value to success or failure. When they feel unsatisfied with a task, they may become overwhelmed and view themselves as failures (</w:t>
      </w:r>
      <w:bookmarkStart w:id="0" w:name="_Hlk197853555"/>
      <w:r w:rsidRPr="00A42C97">
        <w:rPr>
          <w:rFonts w:ascii="Arial" w:eastAsia="Times New Roman" w:hAnsi="Arial"/>
          <w:sz w:val="20"/>
          <w:szCs w:val="20"/>
        </w:rPr>
        <w:t>Zarrin et al., 2020</w:t>
      </w:r>
      <w:bookmarkEnd w:id="0"/>
      <w:r w:rsidRPr="00A42C97">
        <w:rPr>
          <w:rFonts w:ascii="Arial" w:eastAsia="Times New Roman" w:hAnsi="Arial"/>
          <w:sz w:val="20"/>
          <w:szCs w:val="20"/>
        </w:rPr>
        <w:t>)</w:t>
      </w:r>
      <w:r w:rsidR="003F7E4F" w:rsidRPr="00A42C97">
        <w:rPr>
          <w:rFonts w:ascii="Arial" w:eastAsia="Times New Roman" w:hAnsi="Arial"/>
          <w:sz w:val="20"/>
          <w:szCs w:val="20"/>
        </w:rPr>
        <w:t xml:space="preserve">, (Akmal et al., 2017).  </w:t>
      </w:r>
    </w:p>
    <w:p w14:paraId="5B6076DA" w14:textId="77777777" w:rsidR="00F52353" w:rsidRPr="00A42C97" w:rsidRDefault="00F52353" w:rsidP="00F52353">
      <w:pPr>
        <w:pStyle w:val="NoSpacing1"/>
        <w:jc w:val="both"/>
        <w:rPr>
          <w:rFonts w:ascii="Arial" w:eastAsia="Times New Roman" w:hAnsi="Arial"/>
          <w:sz w:val="20"/>
          <w:szCs w:val="20"/>
        </w:rPr>
      </w:pPr>
    </w:p>
    <w:p w14:paraId="1EBC618A" w14:textId="1CD0F5E3"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Academic procrastination is widespread, affecting more than 70% of college students. It is linked to poor academic performance, stress, anxiety, and lower overall well-being (Hen &amp; </w:t>
      </w:r>
      <w:proofErr w:type="spellStart"/>
      <w:r w:rsidRPr="00A42C97">
        <w:rPr>
          <w:rFonts w:ascii="Arial" w:eastAsia="Times New Roman" w:hAnsi="Arial"/>
          <w:sz w:val="20"/>
          <w:szCs w:val="20"/>
        </w:rPr>
        <w:t>Goroshit</w:t>
      </w:r>
      <w:proofErr w:type="spellEnd"/>
      <w:r w:rsidRPr="00A42C97">
        <w:rPr>
          <w:rFonts w:ascii="Arial" w:eastAsia="Times New Roman" w:hAnsi="Arial"/>
          <w:sz w:val="20"/>
          <w:szCs w:val="20"/>
        </w:rPr>
        <w:t>, 2020). Factors such as task aversiveness, low self-efficacy, impulsiveness, and lack of conscientiousness often contribute to this behavior (</w:t>
      </w:r>
      <w:r w:rsidR="00B640CC" w:rsidRPr="00A42C97">
        <w:rPr>
          <w:rFonts w:ascii="Arial" w:eastAsia="Times New Roman" w:hAnsi="Arial"/>
          <w:sz w:val="20"/>
          <w:szCs w:val="20"/>
        </w:rPr>
        <w:t>Kljajic et al., 2023</w:t>
      </w:r>
      <w:r w:rsidRPr="00A42C97">
        <w:rPr>
          <w:rFonts w:ascii="Arial" w:eastAsia="Times New Roman" w:hAnsi="Arial"/>
          <w:sz w:val="20"/>
          <w:szCs w:val="20"/>
        </w:rPr>
        <w:t>). These psychological factors intersect with academic habits and motivation, which are especially critical in mathematics learning</w:t>
      </w:r>
      <w:r w:rsidR="00B640CC" w:rsidRPr="00A42C97">
        <w:rPr>
          <w:rFonts w:ascii="Arial" w:eastAsia="Times New Roman" w:hAnsi="Arial"/>
          <w:sz w:val="20"/>
          <w:szCs w:val="20"/>
        </w:rPr>
        <w:t xml:space="preserve"> (Miranda, 2018)</w:t>
      </w:r>
      <w:r w:rsidRPr="00A42C97">
        <w:rPr>
          <w:rFonts w:ascii="Arial" w:eastAsia="Times New Roman" w:hAnsi="Arial"/>
          <w:sz w:val="20"/>
          <w:szCs w:val="20"/>
        </w:rPr>
        <w:t>.</w:t>
      </w:r>
    </w:p>
    <w:p w14:paraId="3BF6A487" w14:textId="77777777" w:rsidR="00F52353" w:rsidRPr="00A42C97" w:rsidRDefault="00F52353" w:rsidP="00F52353">
      <w:pPr>
        <w:pStyle w:val="NoSpacing1"/>
        <w:jc w:val="both"/>
        <w:rPr>
          <w:rFonts w:ascii="Arial" w:eastAsia="Times New Roman" w:hAnsi="Arial"/>
          <w:sz w:val="20"/>
          <w:szCs w:val="20"/>
        </w:rPr>
      </w:pPr>
    </w:p>
    <w:p w14:paraId="3D08F4AB" w14:textId="3E8B83E4"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 xml:space="preserve">Recent local studies further highlight the complex relationship between affective factors and mathematics performance. </w:t>
      </w:r>
      <w:proofErr w:type="spellStart"/>
      <w:r w:rsidRPr="00A42C97">
        <w:rPr>
          <w:rFonts w:ascii="Arial" w:eastAsia="Times New Roman" w:hAnsi="Arial"/>
          <w:sz w:val="20"/>
          <w:szCs w:val="20"/>
        </w:rPr>
        <w:t>Lumoto</w:t>
      </w:r>
      <w:proofErr w:type="spellEnd"/>
      <w:r w:rsidRPr="00A42C97">
        <w:rPr>
          <w:rFonts w:ascii="Arial" w:eastAsia="Times New Roman" w:hAnsi="Arial"/>
          <w:sz w:val="20"/>
          <w:szCs w:val="20"/>
        </w:rPr>
        <w:t xml:space="preserve"> et al. (2024) emphasized the role of self-regulated learning in improving students’ mathematics outcomes, especially when learners are able to manage their time and emotions effectively. In a related study, Baclay et al. (2025) found that motivational strategies—such as setting goals and maintaining persistence—were strong predictors of students’ success in mathematics. Other studies have emphasized emotional and self-perception components. Agtarap and Miranda (2022) found that students’ resilience mediates the relationship between self-concept and mathematics achievement. Similarly, </w:t>
      </w:r>
      <w:proofErr w:type="spellStart"/>
      <w:r w:rsidRPr="00A42C97">
        <w:rPr>
          <w:rFonts w:ascii="Arial" w:eastAsia="Times New Roman" w:hAnsi="Arial"/>
          <w:sz w:val="20"/>
          <w:szCs w:val="20"/>
        </w:rPr>
        <w:t>Adlawon</w:t>
      </w:r>
      <w:proofErr w:type="spellEnd"/>
      <w:r w:rsidRPr="00A42C97">
        <w:rPr>
          <w:rFonts w:ascii="Arial" w:eastAsia="Times New Roman" w:hAnsi="Arial"/>
          <w:sz w:val="20"/>
          <w:szCs w:val="20"/>
        </w:rPr>
        <w:t xml:space="preserve"> et al. (2022) underscored that students with a more positive self-concept tend to perform better in college mathematics, particularly in the new normal learning environment. Furthermore, Villegas et al. (2024) demonstrated that students’ appraisals of their problem-solving ability—an aspect closely tied to confidence and fear of failure—are key predictors of math achievement.</w:t>
      </w:r>
    </w:p>
    <w:p w14:paraId="1B9F13D9" w14:textId="77777777" w:rsidR="00F52353" w:rsidRPr="00A42C97" w:rsidRDefault="00F52353" w:rsidP="00F52353">
      <w:pPr>
        <w:pStyle w:val="NoSpacing1"/>
        <w:jc w:val="both"/>
        <w:rPr>
          <w:rFonts w:ascii="Arial" w:eastAsia="Times New Roman" w:hAnsi="Arial"/>
          <w:sz w:val="20"/>
          <w:szCs w:val="20"/>
        </w:rPr>
      </w:pPr>
    </w:p>
    <w:p w14:paraId="0049D9C9" w14:textId="542B684A" w:rsidR="00F52353" w:rsidRPr="004B4DCE" w:rsidRDefault="004B4DCE" w:rsidP="004B4DCE">
      <w:pPr>
        <w:pStyle w:val="NoSpacing1"/>
        <w:ind w:firstLine="720"/>
        <w:jc w:val="both"/>
        <w:rPr>
          <w:rFonts w:ascii="Arial" w:eastAsia="Times New Roman" w:hAnsi="Arial"/>
          <w:sz w:val="20"/>
          <w:szCs w:val="20"/>
        </w:rPr>
      </w:pPr>
      <w:r w:rsidRPr="004B4DCE">
        <w:rPr>
          <w:rFonts w:ascii="Arial" w:eastAsia="Times New Roman" w:hAnsi="Arial"/>
          <w:sz w:val="20"/>
          <w:szCs w:val="20"/>
        </w:rPr>
        <w:t>These findings suggest that academic performance in mathematics is influenced not only by intellectual capacity but also by emotional responses and motivational patterns. While many studies have explored fear of failure and academic procrastination separately, few have examined how they interact—especially in the context of college mathematics learning. Most past research has also focused on younger learners. Notably, Cabalquinto and Magallanes (2022) underscored the importance of non-cognitive factors, such as motivation, attitude, and self-efficacy, in shaping students’ mathematics performance, reinforcing the need to study affective dimensions in higher education settings.</w:t>
      </w:r>
    </w:p>
    <w:p w14:paraId="1A288A8A" w14:textId="77777777" w:rsidR="004B4DCE" w:rsidRPr="00A42C97" w:rsidRDefault="004B4DCE" w:rsidP="00F52353">
      <w:pPr>
        <w:pStyle w:val="NoSpacing1"/>
        <w:jc w:val="both"/>
        <w:rPr>
          <w:rFonts w:ascii="Arial" w:eastAsia="Times New Roman" w:hAnsi="Arial"/>
          <w:sz w:val="20"/>
          <w:szCs w:val="20"/>
        </w:rPr>
      </w:pPr>
    </w:p>
    <w:p w14:paraId="2C34B608" w14:textId="77777777" w:rsidR="00F52353" w:rsidRPr="00A42C97" w:rsidRDefault="00F52353" w:rsidP="00F52353">
      <w:pPr>
        <w:pStyle w:val="NoSpacing1"/>
        <w:ind w:firstLine="720"/>
        <w:jc w:val="both"/>
        <w:rPr>
          <w:rFonts w:ascii="Arial" w:eastAsia="Times New Roman" w:hAnsi="Arial"/>
          <w:sz w:val="20"/>
          <w:szCs w:val="20"/>
        </w:rPr>
      </w:pPr>
      <w:r w:rsidRPr="00A42C97">
        <w:rPr>
          <w:rFonts w:ascii="Arial" w:eastAsia="Times New Roman" w:hAnsi="Arial"/>
          <w:sz w:val="20"/>
          <w:szCs w:val="20"/>
        </w:rPr>
        <w:t>This study aims to explore how fear of failure contributes to academic procrastination in mathematics among college students. By addressing both cognitive and emotional dimensions of learning, this research seeks to offer valuable insights for educators, students, and academic leaders on how to better support learners' needs in mathematics education.</w:t>
      </w:r>
    </w:p>
    <w:p w14:paraId="0E398458" w14:textId="77777777" w:rsidR="006D3B1B" w:rsidRPr="00A42C97" w:rsidRDefault="006D3B1B" w:rsidP="00136432">
      <w:pPr>
        <w:pStyle w:val="NoSpacing1"/>
        <w:jc w:val="both"/>
        <w:rPr>
          <w:rFonts w:ascii="Arial" w:eastAsia="SimSun" w:hAnsi="Arial"/>
          <w:sz w:val="20"/>
          <w:szCs w:val="20"/>
          <w:shd w:val="clear" w:color="auto" w:fill="FFFFFF"/>
        </w:rPr>
      </w:pPr>
    </w:p>
    <w:p w14:paraId="61F65846" w14:textId="08054EA3" w:rsidR="002826D0" w:rsidRPr="00A42C97" w:rsidRDefault="00B8361D" w:rsidP="00264A68">
      <w:pPr>
        <w:pStyle w:val="AbstHead"/>
        <w:spacing w:after="0"/>
        <w:jc w:val="both"/>
        <w:rPr>
          <w:rFonts w:ascii="Arial" w:hAnsi="Arial" w:cs="Arial"/>
        </w:rPr>
      </w:pPr>
      <w:r w:rsidRPr="00A42C97">
        <w:rPr>
          <w:rFonts w:ascii="Arial" w:hAnsi="Arial" w:cs="Arial"/>
        </w:rPr>
        <w:t>2</w:t>
      </w:r>
      <w:r w:rsidR="00264A68" w:rsidRPr="00A42C97">
        <w:rPr>
          <w:rFonts w:ascii="Arial" w:hAnsi="Arial" w:cs="Arial"/>
        </w:rPr>
        <w:t xml:space="preserve">. OBJECTIVES </w:t>
      </w:r>
    </w:p>
    <w:p w14:paraId="4EA688F9" w14:textId="77777777" w:rsidR="00F14BE4" w:rsidRPr="00A42C97" w:rsidRDefault="00F14BE4" w:rsidP="00264A68">
      <w:pPr>
        <w:pStyle w:val="AbstHead"/>
        <w:spacing w:after="0"/>
        <w:jc w:val="both"/>
        <w:rPr>
          <w:rFonts w:ascii="Arial" w:hAnsi="Arial" w:cs="Arial"/>
        </w:rPr>
      </w:pPr>
    </w:p>
    <w:p w14:paraId="62CDCF40" w14:textId="77777777"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study focused on how fear of failure in learning mathematics influences the academic procrastination of college students in Davao Occidental during the first semester of the school year 2023–2024.</w:t>
      </w:r>
    </w:p>
    <w:p w14:paraId="0C94B720" w14:textId="77777777" w:rsidR="00F52353" w:rsidRPr="00A42C97" w:rsidRDefault="00F52353" w:rsidP="00F52353">
      <w:pPr>
        <w:pStyle w:val="NoSpacing1"/>
        <w:jc w:val="both"/>
        <w:rPr>
          <w:rFonts w:ascii="Arial" w:eastAsia="SimSun" w:hAnsi="Arial"/>
          <w:sz w:val="20"/>
          <w:szCs w:val="20"/>
          <w:shd w:val="clear" w:color="auto" w:fill="FFFFFF"/>
        </w:rPr>
      </w:pPr>
    </w:p>
    <w:p w14:paraId="4041F72E" w14:textId="77777777" w:rsidR="00F52353" w:rsidRPr="00A42C97" w:rsidRDefault="00F52353" w:rsidP="00F52353">
      <w:pPr>
        <w:pStyle w:val="NoSpacing1"/>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Specifically, it aimed to:</w:t>
      </w:r>
    </w:p>
    <w:p w14:paraId="3DB46E29" w14:textId="77777777" w:rsidR="00F52353" w:rsidRPr="00A42C97" w:rsidRDefault="00F52353" w:rsidP="00F52353">
      <w:pPr>
        <w:pStyle w:val="NoSpacing1"/>
        <w:jc w:val="both"/>
        <w:rPr>
          <w:rFonts w:ascii="Arial" w:eastAsia="SimSun" w:hAnsi="Arial"/>
          <w:sz w:val="20"/>
          <w:szCs w:val="20"/>
          <w:shd w:val="clear" w:color="auto" w:fill="FFFFFF"/>
        </w:rPr>
      </w:pPr>
    </w:p>
    <w:p w14:paraId="4DF2FB8D"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level of fear of failure in learning mathematics in terms of:</w:t>
      </w:r>
    </w:p>
    <w:p w14:paraId="7DA93632"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1.1 Experiencing shame and embarrassment</w:t>
      </w:r>
    </w:p>
    <w:p w14:paraId="5F912488"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1.2 Devaluing one’s self-estimate</w:t>
      </w:r>
    </w:p>
    <w:p w14:paraId="5E3365B9"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1.3 Having an uncertain future</w:t>
      </w:r>
    </w:p>
    <w:p w14:paraId="74D24EC2"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1.4 Important others losing interest</w:t>
      </w:r>
    </w:p>
    <w:p w14:paraId="43245F8A" w14:textId="77777777" w:rsidR="00F52353" w:rsidRPr="00A42C97" w:rsidRDefault="00F52353" w:rsidP="00F52353">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1.5 Upsetting important others</w:t>
      </w:r>
    </w:p>
    <w:p w14:paraId="60F99CB3"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level of academic procrastination in terms of:</w:t>
      </w:r>
    </w:p>
    <w:p w14:paraId="62FD6826"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2.1 Time management</w:t>
      </w:r>
    </w:p>
    <w:p w14:paraId="2E9173F0"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2.2 Aversiveness of the task</w:t>
      </w:r>
    </w:p>
    <w:p w14:paraId="1D199AE0"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2.3 Sincerity</w:t>
      </w:r>
    </w:p>
    <w:p w14:paraId="7A57514C" w14:textId="77777777" w:rsidR="00F52353" w:rsidRPr="00A42C97" w:rsidRDefault="00F52353" w:rsidP="00F52353">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2.4 Personal initiative</w:t>
      </w:r>
    </w:p>
    <w:p w14:paraId="058B9385"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Determine the significant relationship between fear of failure in learning mathematics and academic procrastination among college students in Davao Occidental.</w:t>
      </w:r>
    </w:p>
    <w:p w14:paraId="62E946D0" w14:textId="77777777" w:rsidR="00F52353" w:rsidRPr="00A42C97" w:rsidRDefault="00F52353">
      <w:pPr>
        <w:pStyle w:val="NoSpacing1"/>
        <w:numPr>
          <w:ilvl w:val="0"/>
          <w:numId w:val="3"/>
        </w:numPr>
        <w:ind w:left="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Identify which domain(s) of fear of failure in learning mathematics significantly influence academic procrastination among college students in Davao Occidental.</w:t>
      </w:r>
    </w:p>
    <w:p w14:paraId="7F1602E6" w14:textId="06918E1C" w:rsidR="002826D0" w:rsidRPr="00A42C97" w:rsidRDefault="00F611D1" w:rsidP="00136432">
      <w:pPr>
        <w:pStyle w:val="NoSpacing1"/>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 </w:t>
      </w:r>
    </w:p>
    <w:p w14:paraId="43CE00A5" w14:textId="77777777" w:rsidR="002C0EF8" w:rsidRPr="00A42C97" w:rsidRDefault="002C0EF8" w:rsidP="00136432">
      <w:pPr>
        <w:pStyle w:val="NoSpacing1"/>
        <w:jc w:val="both"/>
        <w:rPr>
          <w:rFonts w:ascii="Arial" w:eastAsia="SimSun" w:hAnsi="Arial"/>
          <w:sz w:val="20"/>
          <w:szCs w:val="20"/>
          <w:shd w:val="clear" w:color="auto" w:fill="FFFFFF"/>
        </w:rPr>
      </w:pPr>
    </w:p>
    <w:p w14:paraId="33194E7F" w14:textId="7850368A" w:rsidR="00400EB5" w:rsidRPr="00A42C97" w:rsidRDefault="00400EB5" w:rsidP="00400EB5">
      <w:pPr>
        <w:pStyle w:val="AbstHead"/>
        <w:spacing w:after="0"/>
        <w:jc w:val="both"/>
        <w:rPr>
          <w:rFonts w:ascii="Arial" w:hAnsi="Arial" w:cs="Arial"/>
        </w:rPr>
      </w:pPr>
      <w:r w:rsidRPr="00A42C97">
        <w:rPr>
          <w:rFonts w:ascii="Arial" w:hAnsi="Arial" w:cs="Arial"/>
        </w:rPr>
        <w:t xml:space="preserve">3. MATERIALS AND METHODS </w:t>
      </w:r>
    </w:p>
    <w:p w14:paraId="744F8E52" w14:textId="68360CB6" w:rsidR="000E1D50" w:rsidRPr="00A42C97" w:rsidRDefault="000E1D50" w:rsidP="00136432">
      <w:pPr>
        <w:pStyle w:val="NoSpacing1"/>
        <w:jc w:val="both"/>
        <w:rPr>
          <w:rFonts w:ascii="Arial" w:eastAsia="SimSun" w:hAnsi="Arial"/>
          <w:sz w:val="20"/>
          <w:szCs w:val="20"/>
          <w:shd w:val="clear" w:color="auto" w:fill="FFFFFF"/>
        </w:rPr>
      </w:pPr>
    </w:p>
    <w:p w14:paraId="73A8806A" w14:textId="410F61EE" w:rsidR="000E1D50" w:rsidRPr="00A42C97" w:rsidRDefault="00136318"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Research Design</w:t>
      </w:r>
    </w:p>
    <w:p w14:paraId="0DA8EF8C" w14:textId="54A91FC0" w:rsidR="000E1D50" w:rsidRPr="00A42C97" w:rsidRDefault="000E1D50" w:rsidP="00136432">
      <w:pPr>
        <w:pStyle w:val="NoSpacing1"/>
        <w:jc w:val="both"/>
        <w:rPr>
          <w:rFonts w:ascii="Arial" w:eastAsia="SimSun" w:hAnsi="Arial"/>
          <w:sz w:val="20"/>
          <w:szCs w:val="20"/>
          <w:shd w:val="clear" w:color="auto" w:fill="FFFFFF"/>
        </w:rPr>
      </w:pPr>
    </w:p>
    <w:p w14:paraId="57AFC63C" w14:textId="77777777"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This study employed a descriptive-correlational research design. The design was appropriate for describing the variables and examining the natural relationships between them without manipulating any factors. It was chosen to explore the connection between fear of failure in learning mathematics and academic procrastination among college students in Davao Occidental.</w:t>
      </w:r>
    </w:p>
    <w:p w14:paraId="730DD226" w14:textId="0D54CF74" w:rsidR="002C0EF8"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researchers aimed to determine the levels of fear of failure and academic procrastination, as well as to investigate whether a significant relationship exists between the two variables during the first semester of the school year 2023–2024. A descriptive survey method was used, utilizing a questionnaire to assess the levels of academic procrastination in relation to fear of failure.</w:t>
      </w:r>
    </w:p>
    <w:p w14:paraId="00AAC918" w14:textId="0C9CB664" w:rsidR="00136318" w:rsidRPr="00A42C97" w:rsidRDefault="00F611D1" w:rsidP="002C0EF8">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 </w:t>
      </w:r>
    </w:p>
    <w:p w14:paraId="4651083F" w14:textId="32E89865" w:rsidR="00136318" w:rsidRPr="00A42C97" w:rsidRDefault="009A18CF"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Research Instrument</w:t>
      </w:r>
    </w:p>
    <w:p w14:paraId="79C59901" w14:textId="77777777" w:rsidR="009A18CF" w:rsidRPr="00A42C97" w:rsidRDefault="009A18CF" w:rsidP="009A18CF">
      <w:pPr>
        <w:pStyle w:val="NoSpacing1"/>
        <w:jc w:val="both"/>
        <w:rPr>
          <w:rFonts w:ascii="Arial" w:eastAsia="SimSun" w:hAnsi="Arial"/>
          <w:sz w:val="20"/>
          <w:szCs w:val="20"/>
          <w:shd w:val="clear" w:color="auto" w:fill="FFFFFF"/>
        </w:rPr>
      </w:pPr>
    </w:p>
    <w:p w14:paraId="026A07BF" w14:textId="335ED2ED" w:rsidR="00F52353"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instrument used to measure fear of failure was the Performance Failure Appraisal Inventory (PFAI) developed by Conroy</w:t>
      </w:r>
      <w:r w:rsidR="00880E16" w:rsidRPr="00A42C97">
        <w:rPr>
          <w:rFonts w:ascii="Arial" w:eastAsia="SimSun" w:hAnsi="Arial"/>
          <w:sz w:val="20"/>
          <w:szCs w:val="20"/>
          <w:shd w:val="clear" w:color="auto" w:fill="FFFFFF"/>
        </w:rPr>
        <w:t xml:space="preserve"> et al.</w:t>
      </w:r>
      <w:r w:rsidRPr="00A42C97">
        <w:rPr>
          <w:rFonts w:ascii="Arial" w:eastAsia="SimSun" w:hAnsi="Arial"/>
          <w:sz w:val="20"/>
          <w:szCs w:val="20"/>
          <w:shd w:val="clear" w:color="auto" w:fill="FFFFFF"/>
        </w:rPr>
        <w:t xml:space="preserve"> (2002). This adopted survey consisted of 20 items measured on a 5-point Likert scale. The items were grouped into five domains: experiencing shame and embarrassment, devaluing one's self-estimate, having an uncertain future, important others losing interest, and upsetting important others.</w:t>
      </w:r>
    </w:p>
    <w:p w14:paraId="027B37D3" w14:textId="75B5C2CA" w:rsidR="00136318" w:rsidRPr="00A42C97" w:rsidRDefault="00F52353" w:rsidP="00F5235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To measure academic procrastination, the researchers used a second adopted questionnaire from </w:t>
      </w:r>
      <w:r w:rsidR="001038E7" w:rsidRPr="00A42C97">
        <w:rPr>
          <w:rFonts w:ascii="Arial" w:eastAsia="SimSun" w:hAnsi="Arial"/>
          <w:sz w:val="20"/>
          <w:szCs w:val="20"/>
          <w:shd w:val="clear" w:color="auto" w:fill="FFFFFF"/>
        </w:rPr>
        <w:t>Zarrin et al., 2020</w:t>
      </w:r>
      <w:r w:rsidRPr="00A42C97">
        <w:rPr>
          <w:rFonts w:ascii="Arial" w:eastAsia="SimSun" w:hAnsi="Arial"/>
          <w:sz w:val="20"/>
          <w:szCs w:val="20"/>
          <w:shd w:val="clear" w:color="auto" w:fill="FFFFFF"/>
        </w:rPr>
        <w:t>. This instrument also consisted of 20 items on a 5-point Likert scale. The items were categorized into four domains: time management, aversiveness of the task, sincerity, and personal initiative. This tool helped capture both the presence of procrastination and the reasons behind students’ delays in completing academic tasks, specifically in the context of learning mathematics.</w:t>
      </w:r>
    </w:p>
    <w:p w14:paraId="79052FA1" w14:textId="77777777" w:rsidR="002C0EF8" w:rsidRPr="00A42C97" w:rsidRDefault="002C0EF8" w:rsidP="002C0EF8">
      <w:pPr>
        <w:pStyle w:val="NoSpacing1"/>
        <w:jc w:val="both"/>
        <w:rPr>
          <w:rFonts w:ascii="Arial" w:eastAsia="SimSun" w:hAnsi="Arial"/>
          <w:sz w:val="20"/>
          <w:szCs w:val="20"/>
          <w:shd w:val="clear" w:color="auto" w:fill="FFFFFF"/>
        </w:rPr>
      </w:pPr>
    </w:p>
    <w:p w14:paraId="252B4171" w14:textId="5838C24F" w:rsidR="00136318" w:rsidRPr="00A42C97" w:rsidRDefault="00610532"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Respondents of the Study</w:t>
      </w:r>
    </w:p>
    <w:p w14:paraId="343C1FA7" w14:textId="738408EC" w:rsidR="00136318" w:rsidRPr="00A42C97" w:rsidRDefault="00136318" w:rsidP="00136432">
      <w:pPr>
        <w:pStyle w:val="NoSpacing1"/>
        <w:jc w:val="both"/>
        <w:rPr>
          <w:rFonts w:ascii="Arial" w:eastAsia="SimSun" w:hAnsi="Arial"/>
          <w:sz w:val="20"/>
          <w:szCs w:val="20"/>
          <w:shd w:val="clear" w:color="auto" w:fill="FFFFFF"/>
        </w:rPr>
      </w:pPr>
    </w:p>
    <w:p w14:paraId="2BF96EFD" w14:textId="4E174AD0" w:rsidR="002C0EF8" w:rsidRPr="00A42C97" w:rsidRDefault="00F52353" w:rsidP="00610532">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respondents were randomly selected college students enrolled in a Bachelor of Secondary Education major in Mathematics program in Davao Occidental. The total population of students from first to fourth year was 156, from which a sample of 113 respondents was determined using stratified random sampling. The distribution is presented in Table 1.</w:t>
      </w:r>
      <w:r w:rsidR="00610532" w:rsidRPr="00A42C97">
        <w:rPr>
          <w:rFonts w:ascii="Arial" w:eastAsia="SimSun" w:hAnsi="Arial"/>
          <w:sz w:val="20"/>
          <w:szCs w:val="20"/>
          <w:shd w:val="clear" w:color="auto" w:fill="FFFFFF"/>
        </w:rPr>
        <w:t xml:space="preserve"> </w:t>
      </w:r>
    </w:p>
    <w:p w14:paraId="0B9077DA" w14:textId="77777777" w:rsidR="002C0EF8" w:rsidRPr="00A42C97" w:rsidRDefault="002C0EF8" w:rsidP="00610532">
      <w:pPr>
        <w:pStyle w:val="NoSpacing1"/>
        <w:rPr>
          <w:rFonts w:ascii="Arial" w:eastAsia="SimSun" w:hAnsi="Arial"/>
          <w:sz w:val="20"/>
          <w:szCs w:val="20"/>
          <w:shd w:val="clear" w:color="auto" w:fill="FFFFFF"/>
        </w:rPr>
      </w:pPr>
    </w:p>
    <w:p w14:paraId="071D17C3" w14:textId="137BB30B" w:rsidR="00610532" w:rsidRPr="00A42C97" w:rsidRDefault="00610532" w:rsidP="00610532">
      <w:pPr>
        <w:pStyle w:val="NoSpacing1"/>
        <w:rPr>
          <w:rFonts w:ascii="Arial" w:eastAsia="SimSun" w:hAnsi="Arial"/>
          <w:sz w:val="20"/>
          <w:szCs w:val="20"/>
          <w:shd w:val="clear" w:color="auto" w:fill="FFFFFF"/>
        </w:rPr>
      </w:pPr>
      <w:r w:rsidRPr="00A42C97">
        <w:rPr>
          <w:rFonts w:ascii="Arial" w:eastAsia="SimSun" w:hAnsi="Arial"/>
          <w:sz w:val="20"/>
          <w:szCs w:val="20"/>
          <w:shd w:val="clear" w:color="auto" w:fill="FFFFFF"/>
        </w:rPr>
        <w:t>Table 1. Distribution of Respondents</w:t>
      </w:r>
    </w:p>
    <w:tbl>
      <w:tblPr>
        <w:tblStyle w:val="LightShading"/>
        <w:tblW w:w="8190" w:type="dxa"/>
        <w:tblBorders>
          <w:top w:val="none" w:sz="0" w:space="0" w:color="auto"/>
          <w:bottom w:val="none" w:sz="0" w:space="0" w:color="auto"/>
        </w:tblBorders>
        <w:tblLook w:val="0660" w:firstRow="1" w:lastRow="1" w:firstColumn="0" w:lastColumn="0" w:noHBand="1" w:noVBand="1"/>
      </w:tblPr>
      <w:tblGrid>
        <w:gridCol w:w="1440"/>
        <w:gridCol w:w="2250"/>
        <w:gridCol w:w="1980"/>
        <w:gridCol w:w="2520"/>
      </w:tblGrid>
      <w:tr w:rsidR="00610532" w:rsidRPr="00A42C97" w14:paraId="21E38964" w14:textId="77777777" w:rsidTr="00FD1928">
        <w:trPr>
          <w:cnfStyle w:val="100000000000" w:firstRow="1" w:lastRow="0" w:firstColumn="0" w:lastColumn="0" w:oddVBand="0" w:evenVBand="0" w:oddHBand="0" w:evenHBand="0" w:firstRowFirstColumn="0" w:firstRowLastColumn="0" w:lastRowFirstColumn="0" w:lastRowLastColumn="0"/>
          <w:trHeight w:val="91"/>
        </w:trPr>
        <w:tc>
          <w:tcPr>
            <w:tcW w:w="1440" w:type="dxa"/>
            <w:tcBorders>
              <w:top w:val="thinThickSmallGap" w:sz="24" w:space="0" w:color="auto"/>
              <w:left w:val="none" w:sz="0" w:space="0" w:color="auto"/>
              <w:bottom w:val="single" w:sz="4" w:space="0" w:color="auto"/>
              <w:right w:val="none" w:sz="0" w:space="0" w:color="auto"/>
            </w:tcBorders>
            <w:vAlign w:val="bottom"/>
          </w:tcPr>
          <w:p w14:paraId="02254945" w14:textId="62B9353F" w:rsidR="00610532" w:rsidRPr="00A42C97" w:rsidRDefault="00F52353"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Year Level</w:t>
            </w:r>
          </w:p>
          <w:p w14:paraId="6B787CBC" w14:textId="77777777" w:rsidR="00610532" w:rsidRPr="00A42C97" w:rsidRDefault="00610532" w:rsidP="00B6656C">
            <w:pPr>
              <w:pStyle w:val="NoSpacing1"/>
              <w:jc w:val="center"/>
              <w:rPr>
                <w:rFonts w:ascii="Arial" w:eastAsia="SimSun" w:hAnsi="Arial"/>
                <w:sz w:val="20"/>
                <w:szCs w:val="20"/>
                <w:shd w:val="clear" w:color="auto" w:fill="FFFFFF"/>
              </w:rPr>
            </w:pPr>
          </w:p>
        </w:tc>
        <w:tc>
          <w:tcPr>
            <w:tcW w:w="2250" w:type="dxa"/>
            <w:tcBorders>
              <w:top w:val="thinThickSmallGap" w:sz="24" w:space="0" w:color="auto"/>
              <w:left w:val="none" w:sz="0" w:space="0" w:color="auto"/>
              <w:bottom w:val="single" w:sz="4" w:space="0" w:color="auto"/>
              <w:right w:val="none" w:sz="0" w:space="0" w:color="auto"/>
            </w:tcBorders>
            <w:vAlign w:val="bottom"/>
          </w:tcPr>
          <w:p w14:paraId="085619A3"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POPULATION</w:t>
            </w:r>
          </w:p>
          <w:p w14:paraId="6A222474"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(N)</w:t>
            </w:r>
          </w:p>
        </w:tc>
        <w:tc>
          <w:tcPr>
            <w:tcW w:w="1980" w:type="dxa"/>
            <w:tcBorders>
              <w:top w:val="thinThickSmallGap" w:sz="24" w:space="0" w:color="auto"/>
              <w:left w:val="none" w:sz="0" w:space="0" w:color="auto"/>
              <w:bottom w:val="single" w:sz="4" w:space="0" w:color="auto"/>
              <w:right w:val="none" w:sz="0" w:space="0" w:color="auto"/>
            </w:tcBorders>
            <w:vAlign w:val="bottom"/>
          </w:tcPr>
          <w:p w14:paraId="3ADD76B8"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SAMPLE SIZE</w:t>
            </w:r>
          </w:p>
          <w:p w14:paraId="5D203EFE"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(n)</w:t>
            </w:r>
          </w:p>
        </w:tc>
        <w:tc>
          <w:tcPr>
            <w:tcW w:w="2520" w:type="dxa"/>
            <w:tcBorders>
              <w:top w:val="thinThickSmallGap" w:sz="24" w:space="0" w:color="auto"/>
              <w:left w:val="none" w:sz="0" w:space="0" w:color="auto"/>
              <w:bottom w:val="single" w:sz="4" w:space="0" w:color="auto"/>
              <w:right w:val="none" w:sz="0" w:space="0" w:color="auto"/>
            </w:tcBorders>
            <w:vAlign w:val="bottom"/>
          </w:tcPr>
          <w:p w14:paraId="391D816C"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PERCENTAGE</w:t>
            </w:r>
          </w:p>
          <w:p w14:paraId="3BFADC55" w14:textId="77777777" w:rsidR="00610532" w:rsidRPr="00A42C97" w:rsidRDefault="00610532" w:rsidP="00B6656C">
            <w:pPr>
              <w:pStyle w:val="NoSpacing1"/>
              <w:jc w:val="center"/>
              <w:rPr>
                <w:rFonts w:ascii="Arial" w:eastAsia="SimSun" w:hAnsi="Arial"/>
                <w:sz w:val="20"/>
                <w:szCs w:val="20"/>
                <w:shd w:val="clear" w:color="auto" w:fill="FFFFFF"/>
              </w:rPr>
            </w:pPr>
            <w:r w:rsidRPr="00A42C97">
              <w:rPr>
                <w:rFonts w:ascii="Arial" w:eastAsia="SimSun" w:hAnsi="Arial"/>
                <w:sz w:val="20"/>
                <w:szCs w:val="20"/>
                <w:shd w:val="clear" w:color="auto" w:fill="FFFFFF"/>
              </w:rPr>
              <w:t>(%)</w:t>
            </w:r>
          </w:p>
        </w:tc>
      </w:tr>
      <w:tr w:rsidR="000B345D" w:rsidRPr="00A42C97" w14:paraId="0D985C06" w14:textId="77777777" w:rsidTr="007E5531">
        <w:trPr>
          <w:trHeight w:val="87"/>
        </w:trPr>
        <w:tc>
          <w:tcPr>
            <w:tcW w:w="1440" w:type="dxa"/>
            <w:tcBorders>
              <w:top w:val="single" w:sz="4" w:space="0" w:color="auto"/>
            </w:tcBorders>
            <w:vAlign w:val="center"/>
          </w:tcPr>
          <w:p w14:paraId="311A7302" w14:textId="1C73CFAE"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lastRenderedPageBreak/>
              <w:t>1</w:t>
            </w:r>
          </w:p>
        </w:tc>
        <w:tc>
          <w:tcPr>
            <w:tcW w:w="2250" w:type="dxa"/>
            <w:tcBorders>
              <w:top w:val="single" w:sz="4" w:space="0" w:color="auto"/>
            </w:tcBorders>
          </w:tcPr>
          <w:p w14:paraId="5EBAD79C" w14:textId="44D87442" w:rsidR="000B345D" w:rsidRPr="00A42C97" w:rsidRDefault="000B345D" w:rsidP="000B345D">
            <w:pPr>
              <w:pStyle w:val="NoSpacing1"/>
              <w:jc w:val="center"/>
              <w:rPr>
                <w:rFonts w:ascii="Arial" w:eastAsia="SimSun" w:hAnsi="Arial"/>
                <w:sz w:val="20"/>
                <w:szCs w:val="20"/>
                <w:shd w:val="clear" w:color="auto" w:fill="FFFFFF"/>
              </w:rPr>
            </w:pPr>
            <w:r w:rsidRPr="00A42C97">
              <w:t>4</w:t>
            </w:r>
            <w:r w:rsidR="002C0EF8" w:rsidRPr="00A42C97">
              <w:t>0</w:t>
            </w:r>
          </w:p>
        </w:tc>
        <w:tc>
          <w:tcPr>
            <w:tcW w:w="1980" w:type="dxa"/>
            <w:tcBorders>
              <w:top w:val="single" w:sz="4" w:space="0" w:color="auto"/>
            </w:tcBorders>
          </w:tcPr>
          <w:p w14:paraId="40EE6B3E" w14:textId="28433E73"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29</w:t>
            </w:r>
          </w:p>
        </w:tc>
        <w:tc>
          <w:tcPr>
            <w:tcW w:w="2520" w:type="dxa"/>
            <w:tcBorders>
              <w:top w:val="single" w:sz="4" w:space="0" w:color="auto"/>
            </w:tcBorders>
          </w:tcPr>
          <w:p w14:paraId="1594EEC3" w14:textId="148FB9A3" w:rsidR="000B345D" w:rsidRPr="00A42C97" w:rsidRDefault="000B345D" w:rsidP="000B345D">
            <w:pPr>
              <w:pStyle w:val="NoSpacing1"/>
              <w:jc w:val="center"/>
              <w:rPr>
                <w:rFonts w:ascii="Arial" w:eastAsia="SimSun" w:hAnsi="Arial"/>
                <w:sz w:val="20"/>
                <w:szCs w:val="20"/>
                <w:shd w:val="clear" w:color="auto" w:fill="FFFFFF"/>
              </w:rPr>
            </w:pPr>
            <w:r w:rsidRPr="00A42C97">
              <w:t>2</w:t>
            </w:r>
            <w:r w:rsidR="002C0EF8" w:rsidRPr="00A42C97">
              <w:t>5.66</w:t>
            </w:r>
          </w:p>
        </w:tc>
      </w:tr>
      <w:tr w:rsidR="000B345D" w:rsidRPr="00A42C97" w14:paraId="7E2281D9" w14:textId="77777777" w:rsidTr="007E5531">
        <w:trPr>
          <w:trHeight w:val="87"/>
        </w:trPr>
        <w:tc>
          <w:tcPr>
            <w:tcW w:w="1440" w:type="dxa"/>
            <w:vAlign w:val="center"/>
          </w:tcPr>
          <w:p w14:paraId="290F19F6" w14:textId="0427A6AB"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2</w:t>
            </w:r>
          </w:p>
        </w:tc>
        <w:tc>
          <w:tcPr>
            <w:tcW w:w="2250" w:type="dxa"/>
          </w:tcPr>
          <w:p w14:paraId="4363CCA8" w14:textId="53D89749"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33</w:t>
            </w:r>
          </w:p>
        </w:tc>
        <w:tc>
          <w:tcPr>
            <w:tcW w:w="1980" w:type="dxa"/>
          </w:tcPr>
          <w:p w14:paraId="66AF1E26" w14:textId="5895212F"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24</w:t>
            </w:r>
          </w:p>
        </w:tc>
        <w:tc>
          <w:tcPr>
            <w:tcW w:w="2520" w:type="dxa"/>
          </w:tcPr>
          <w:p w14:paraId="67247ED4" w14:textId="27841ED6"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21.24</w:t>
            </w:r>
          </w:p>
        </w:tc>
      </w:tr>
      <w:tr w:rsidR="000B345D" w:rsidRPr="00A42C97" w14:paraId="03019CC0" w14:textId="77777777" w:rsidTr="007E5531">
        <w:trPr>
          <w:trHeight w:val="87"/>
        </w:trPr>
        <w:tc>
          <w:tcPr>
            <w:tcW w:w="1440" w:type="dxa"/>
            <w:vAlign w:val="center"/>
          </w:tcPr>
          <w:p w14:paraId="0CDC652F" w14:textId="0DAEFE20"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3</w:t>
            </w:r>
          </w:p>
        </w:tc>
        <w:tc>
          <w:tcPr>
            <w:tcW w:w="2250" w:type="dxa"/>
          </w:tcPr>
          <w:p w14:paraId="7E227F95" w14:textId="25CDA051"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50</w:t>
            </w:r>
          </w:p>
        </w:tc>
        <w:tc>
          <w:tcPr>
            <w:tcW w:w="1980" w:type="dxa"/>
          </w:tcPr>
          <w:p w14:paraId="0C856A39" w14:textId="34F42711"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36</w:t>
            </w:r>
          </w:p>
        </w:tc>
        <w:tc>
          <w:tcPr>
            <w:tcW w:w="2520" w:type="dxa"/>
          </w:tcPr>
          <w:p w14:paraId="7548C02E" w14:textId="3421F50F"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31.86</w:t>
            </w:r>
          </w:p>
        </w:tc>
      </w:tr>
      <w:tr w:rsidR="000B345D" w:rsidRPr="00A42C97" w14:paraId="427811E6" w14:textId="77777777" w:rsidTr="007E5531">
        <w:trPr>
          <w:trHeight w:val="45"/>
        </w:trPr>
        <w:tc>
          <w:tcPr>
            <w:tcW w:w="1440" w:type="dxa"/>
            <w:tcBorders>
              <w:bottom w:val="single" w:sz="4" w:space="0" w:color="auto"/>
            </w:tcBorders>
            <w:vAlign w:val="center"/>
          </w:tcPr>
          <w:p w14:paraId="6FE724EC" w14:textId="7AF4F932"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4</w:t>
            </w:r>
          </w:p>
        </w:tc>
        <w:tc>
          <w:tcPr>
            <w:tcW w:w="2250" w:type="dxa"/>
            <w:tcBorders>
              <w:bottom w:val="single" w:sz="4" w:space="0" w:color="auto"/>
            </w:tcBorders>
          </w:tcPr>
          <w:p w14:paraId="11807444" w14:textId="5672FAE9"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33</w:t>
            </w:r>
          </w:p>
        </w:tc>
        <w:tc>
          <w:tcPr>
            <w:tcW w:w="1980" w:type="dxa"/>
            <w:tcBorders>
              <w:bottom w:val="single" w:sz="4" w:space="0" w:color="auto"/>
            </w:tcBorders>
          </w:tcPr>
          <w:p w14:paraId="07F908EF" w14:textId="02FE04A8"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24</w:t>
            </w:r>
          </w:p>
        </w:tc>
        <w:tc>
          <w:tcPr>
            <w:tcW w:w="2520" w:type="dxa"/>
            <w:tcBorders>
              <w:bottom w:val="single" w:sz="4" w:space="0" w:color="auto"/>
            </w:tcBorders>
          </w:tcPr>
          <w:p w14:paraId="77D85D16" w14:textId="0254DAE0"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21.24</w:t>
            </w:r>
          </w:p>
        </w:tc>
      </w:tr>
      <w:tr w:rsidR="000B345D" w:rsidRPr="00A42C97" w14:paraId="4521A3C8" w14:textId="77777777" w:rsidTr="007E5531">
        <w:trPr>
          <w:cnfStyle w:val="010000000000" w:firstRow="0" w:lastRow="1" w:firstColumn="0" w:lastColumn="0" w:oddVBand="0" w:evenVBand="0" w:oddHBand="0" w:evenHBand="0" w:firstRowFirstColumn="0" w:firstRowLastColumn="0" w:lastRowFirstColumn="0" w:lastRowLastColumn="0"/>
          <w:trHeight w:val="41"/>
        </w:trPr>
        <w:tc>
          <w:tcPr>
            <w:tcW w:w="1440" w:type="dxa"/>
            <w:tcBorders>
              <w:top w:val="single" w:sz="4" w:space="0" w:color="auto"/>
              <w:left w:val="none" w:sz="0" w:space="0" w:color="auto"/>
              <w:bottom w:val="thickThinSmallGap" w:sz="24" w:space="0" w:color="auto"/>
              <w:right w:val="none" w:sz="0" w:space="0" w:color="auto"/>
            </w:tcBorders>
          </w:tcPr>
          <w:p w14:paraId="1353769B" w14:textId="157C13A2" w:rsidR="000B345D" w:rsidRPr="00A42C97" w:rsidRDefault="000B345D" w:rsidP="000B345D">
            <w:pPr>
              <w:pStyle w:val="NoSpacing1"/>
              <w:jc w:val="center"/>
              <w:rPr>
                <w:rFonts w:ascii="Arial" w:eastAsia="SimSun" w:hAnsi="Arial"/>
                <w:sz w:val="20"/>
                <w:szCs w:val="20"/>
                <w:shd w:val="clear" w:color="auto" w:fill="FFFFFF"/>
              </w:rPr>
            </w:pPr>
            <w:r w:rsidRPr="00A42C97">
              <w:rPr>
                <w:rFonts w:ascii="Arial" w:eastAsia="Tahoma" w:hAnsi="Arial"/>
                <w:sz w:val="20"/>
                <w:szCs w:val="20"/>
              </w:rPr>
              <w:t>Total:</w:t>
            </w:r>
          </w:p>
        </w:tc>
        <w:tc>
          <w:tcPr>
            <w:tcW w:w="2250" w:type="dxa"/>
            <w:tcBorders>
              <w:top w:val="single" w:sz="4" w:space="0" w:color="auto"/>
              <w:left w:val="none" w:sz="0" w:space="0" w:color="auto"/>
              <w:bottom w:val="thickThinSmallGap" w:sz="24" w:space="0" w:color="auto"/>
              <w:right w:val="none" w:sz="0" w:space="0" w:color="auto"/>
            </w:tcBorders>
          </w:tcPr>
          <w:p w14:paraId="03F9C7D1" w14:textId="6BEEF90D"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156</w:t>
            </w:r>
          </w:p>
        </w:tc>
        <w:tc>
          <w:tcPr>
            <w:tcW w:w="1980" w:type="dxa"/>
            <w:tcBorders>
              <w:top w:val="single" w:sz="4" w:space="0" w:color="auto"/>
              <w:left w:val="none" w:sz="0" w:space="0" w:color="auto"/>
              <w:bottom w:val="thickThinSmallGap" w:sz="24" w:space="0" w:color="auto"/>
              <w:right w:val="none" w:sz="0" w:space="0" w:color="auto"/>
            </w:tcBorders>
          </w:tcPr>
          <w:p w14:paraId="2073568C" w14:textId="410952FD" w:rsidR="000B345D" w:rsidRPr="00A42C97" w:rsidRDefault="002C0EF8" w:rsidP="000B345D">
            <w:pPr>
              <w:pStyle w:val="NoSpacing1"/>
              <w:jc w:val="center"/>
              <w:rPr>
                <w:rFonts w:ascii="Arial" w:eastAsia="SimSun" w:hAnsi="Arial"/>
                <w:sz w:val="20"/>
                <w:szCs w:val="20"/>
                <w:shd w:val="clear" w:color="auto" w:fill="FFFFFF"/>
              </w:rPr>
            </w:pPr>
            <w:r w:rsidRPr="00A42C97">
              <w:rPr>
                <w:rFonts w:hAnsi="Arial"/>
                <w:shd w:val="clear" w:color="auto" w:fill="FFFFFF"/>
              </w:rPr>
              <w:t>113</w:t>
            </w:r>
          </w:p>
        </w:tc>
        <w:tc>
          <w:tcPr>
            <w:tcW w:w="2520" w:type="dxa"/>
            <w:tcBorders>
              <w:top w:val="single" w:sz="4" w:space="0" w:color="auto"/>
              <w:left w:val="none" w:sz="0" w:space="0" w:color="auto"/>
              <w:bottom w:val="thickThinSmallGap" w:sz="24" w:space="0" w:color="auto"/>
              <w:right w:val="none" w:sz="0" w:space="0" w:color="auto"/>
            </w:tcBorders>
          </w:tcPr>
          <w:p w14:paraId="03CC067D" w14:textId="1640F8C5" w:rsidR="000B345D" w:rsidRPr="00A42C97" w:rsidRDefault="000B345D" w:rsidP="000B345D">
            <w:pPr>
              <w:pStyle w:val="NoSpacing1"/>
              <w:jc w:val="center"/>
              <w:rPr>
                <w:rFonts w:ascii="Arial" w:eastAsia="SimSun" w:hAnsi="Arial"/>
                <w:sz w:val="20"/>
                <w:szCs w:val="20"/>
                <w:shd w:val="clear" w:color="auto" w:fill="FFFFFF"/>
              </w:rPr>
            </w:pPr>
            <w:r w:rsidRPr="00A42C97">
              <w:t>100.00</w:t>
            </w:r>
          </w:p>
        </w:tc>
      </w:tr>
    </w:tbl>
    <w:p w14:paraId="3694F63D" w14:textId="77777777" w:rsidR="00610532" w:rsidRPr="00A42C97" w:rsidRDefault="00610532" w:rsidP="00610532">
      <w:pPr>
        <w:pStyle w:val="NoSpacing1"/>
        <w:rPr>
          <w:rFonts w:ascii="Arial" w:eastAsia="SimSun" w:hAnsi="Arial"/>
          <w:b/>
          <w:sz w:val="20"/>
          <w:szCs w:val="20"/>
          <w:shd w:val="clear" w:color="auto" w:fill="FFFFFF"/>
        </w:rPr>
      </w:pPr>
    </w:p>
    <w:p w14:paraId="130EDBD8" w14:textId="423B3F22" w:rsidR="00610532" w:rsidRPr="00A42C97" w:rsidRDefault="00B6656C" w:rsidP="00136432">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Data Gathering</w:t>
      </w:r>
    </w:p>
    <w:p w14:paraId="0483CD23" w14:textId="4F96EBEF" w:rsidR="00610532" w:rsidRPr="00A42C97" w:rsidRDefault="00610532" w:rsidP="00136432">
      <w:pPr>
        <w:pStyle w:val="NoSpacing1"/>
        <w:jc w:val="both"/>
        <w:rPr>
          <w:rFonts w:ascii="Arial" w:eastAsia="SimSun" w:hAnsi="Arial"/>
          <w:sz w:val="20"/>
          <w:szCs w:val="20"/>
          <w:shd w:val="clear" w:color="auto" w:fill="FFFFFF"/>
        </w:rPr>
      </w:pPr>
    </w:p>
    <w:p w14:paraId="23F84DFA" w14:textId="15F94C38" w:rsidR="004040AD" w:rsidRPr="00A42C97" w:rsidRDefault="00830ADC" w:rsidP="00830ADC">
      <w:pPr>
        <w:pStyle w:val="AbstHead"/>
        <w:ind w:firstLine="720"/>
        <w:jc w:val="both"/>
        <w:rPr>
          <w:rFonts w:ascii="Arial" w:hAnsi="Arial" w:cs="Arial"/>
        </w:rPr>
      </w:pPr>
      <w:r w:rsidRPr="00A42C97">
        <w:rPr>
          <w:rFonts w:ascii="Arial" w:eastAsia="SimSun" w:hAnsi="Arial" w:cs="Arial"/>
          <w:b w:val="0"/>
          <w:caps w:val="0"/>
          <w:sz w:val="20"/>
          <w:shd w:val="clear" w:color="auto" w:fill="FFFFFF"/>
        </w:rPr>
        <w:t>Before collecting data, the necessary permits to conduct the study were secured from the appropriate offices and authorities. Once approval was obtained, the researchers proceeded with the distribution of questionnaires. An adopted questionnaire was used as the main tool for gathering data. The survey was administered using a paper-and-pencil method, and respondents were guided with general instructions before answering. The researchers were present during the process to monitor and provide support as needed. To encourage honesty, respondents were assured that their answers would remain anonymous. They were also informed that participation was voluntary and that they could opt out at any point if they felt uncomfortable. Once the questionnaires were completed, the responses were collected, tallied, and organized. The data were then tabulated and processed using appropriate statistical tools, with the help of statistical software, to generate summaries and analyses relevant to the study’s objectives.</w:t>
      </w:r>
    </w:p>
    <w:p w14:paraId="3653C762" w14:textId="6F978C8F" w:rsidR="00F76E5D" w:rsidRPr="00A42C97" w:rsidRDefault="00F76E5D" w:rsidP="00F76E5D">
      <w:pPr>
        <w:pStyle w:val="AbstHead"/>
        <w:spacing w:after="0"/>
        <w:jc w:val="both"/>
        <w:rPr>
          <w:rFonts w:ascii="Arial" w:hAnsi="Arial" w:cs="Arial"/>
        </w:rPr>
      </w:pPr>
      <w:r w:rsidRPr="00A42C97">
        <w:rPr>
          <w:rFonts w:ascii="Arial" w:hAnsi="Arial" w:cs="Arial"/>
        </w:rPr>
        <w:t xml:space="preserve">4. RESULTS AND DISCUSSION </w:t>
      </w:r>
    </w:p>
    <w:p w14:paraId="321CB24D" w14:textId="4D3F752E" w:rsidR="00B6656C" w:rsidRPr="00A42C97" w:rsidRDefault="00B6656C" w:rsidP="00136432">
      <w:pPr>
        <w:pStyle w:val="NoSpacing1"/>
        <w:jc w:val="both"/>
        <w:rPr>
          <w:rFonts w:ascii="Arial" w:eastAsia="SimSun" w:hAnsi="Arial"/>
          <w:sz w:val="20"/>
          <w:szCs w:val="20"/>
          <w:shd w:val="clear" w:color="auto" w:fill="FFFFFF"/>
        </w:rPr>
      </w:pPr>
    </w:p>
    <w:p w14:paraId="167F4C71" w14:textId="5F86FBB3" w:rsidR="00F76E5D" w:rsidRPr="00A42C97" w:rsidRDefault="005F53A9" w:rsidP="00797D8A">
      <w:pPr>
        <w:pStyle w:val="NoSpacing1"/>
        <w:jc w:val="center"/>
        <w:rPr>
          <w:rFonts w:ascii="Arial" w:eastAsia="SimSun" w:hAnsi="Arial"/>
          <w:b/>
          <w:bCs/>
          <w:shd w:val="clear" w:color="auto" w:fill="FFFFFF"/>
        </w:rPr>
      </w:pPr>
      <w:r w:rsidRPr="00A42C97">
        <w:rPr>
          <w:rFonts w:ascii="Arial" w:eastAsia="SimSun" w:hAnsi="Arial"/>
          <w:b/>
          <w:bCs/>
          <w:shd w:val="clear" w:color="auto" w:fill="FFFFFF"/>
        </w:rPr>
        <w:t xml:space="preserve">Level of Fear of Failure among </w:t>
      </w:r>
      <w:r w:rsidR="00797D8A" w:rsidRPr="00A42C97">
        <w:rPr>
          <w:rFonts w:ascii="Arial" w:eastAsia="SimSun" w:hAnsi="Arial"/>
          <w:b/>
          <w:bCs/>
          <w:shd w:val="clear" w:color="auto" w:fill="FFFFFF"/>
        </w:rPr>
        <w:t>College Students</w:t>
      </w:r>
    </w:p>
    <w:p w14:paraId="6777C988" w14:textId="77777777" w:rsidR="00797D8A" w:rsidRPr="00A42C97" w:rsidRDefault="00797D8A" w:rsidP="00797D8A">
      <w:pPr>
        <w:pStyle w:val="NoSpacing1"/>
        <w:jc w:val="center"/>
        <w:rPr>
          <w:rFonts w:ascii="Arial" w:eastAsia="SimSun" w:hAnsi="Arial"/>
          <w:b/>
          <w:bCs/>
          <w:sz w:val="20"/>
          <w:szCs w:val="20"/>
          <w:shd w:val="clear" w:color="auto" w:fill="FFFFFF"/>
        </w:rPr>
      </w:pPr>
    </w:p>
    <w:p w14:paraId="191D9D29" w14:textId="5EA13805" w:rsidR="00E44474" w:rsidRPr="00A42C97" w:rsidRDefault="00E44474" w:rsidP="00E44474">
      <w:pPr>
        <w:keepNext/>
        <w:keepLines/>
        <w:ind w:left="360" w:hanging="360"/>
        <w:jc w:val="both"/>
        <w:outlineLvl w:val="1"/>
        <w:rPr>
          <w:rFonts w:ascii="Arial" w:eastAsia="SimSun" w:hAnsi="Arial" w:cstheme="majorBidi"/>
          <w:b/>
          <w:bCs/>
          <w:sz w:val="22"/>
          <w:szCs w:val="26"/>
          <w:shd w:val="clear" w:color="auto" w:fill="FFFFFF"/>
        </w:rPr>
      </w:pPr>
      <w:r w:rsidRPr="00A42C97">
        <w:rPr>
          <w:rFonts w:ascii="Arial" w:eastAsia="SimSun" w:hAnsi="Arial" w:cstheme="majorBidi"/>
          <w:b/>
          <w:bCs/>
          <w:sz w:val="22"/>
          <w:szCs w:val="26"/>
          <w:shd w:val="clear" w:color="auto" w:fill="FFFFFF"/>
        </w:rPr>
        <w:t>4.1</w:t>
      </w:r>
      <w:r w:rsidRPr="00A42C97">
        <w:rPr>
          <w:rFonts w:ascii="Arial" w:eastAsia="SimSun" w:hAnsi="Arial" w:cstheme="majorBidi"/>
          <w:b/>
          <w:bCs/>
          <w:sz w:val="22"/>
          <w:szCs w:val="26"/>
          <w:shd w:val="clear" w:color="auto" w:fill="FFFFFF"/>
        </w:rPr>
        <w:tab/>
      </w:r>
      <w:r w:rsidR="005F53A9" w:rsidRPr="00A42C97">
        <w:rPr>
          <w:rFonts w:ascii="Arial" w:eastAsia="SimSun" w:hAnsi="Arial" w:cstheme="majorBidi"/>
          <w:b/>
          <w:bCs/>
          <w:sz w:val="22"/>
          <w:szCs w:val="26"/>
          <w:shd w:val="clear" w:color="auto" w:fill="FFFFFF"/>
        </w:rPr>
        <w:t>Level of Fear of Failure among College Students</w:t>
      </w:r>
    </w:p>
    <w:p w14:paraId="2022F9F3" w14:textId="77777777" w:rsidR="00E44474" w:rsidRPr="00A42C97" w:rsidRDefault="00E44474" w:rsidP="00E44474">
      <w:pPr>
        <w:rPr>
          <w:rFonts w:ascii="Arial" w:eastAsia="SimSun" w:hAnsi="Arial" w:cs="Arial"/>
          <w:b/>
          <w:bCs/>
          <w:sz w:val="16"/>
          <w:szCs w:val="16"/>
          <w:shd w:val="clear" w:color="auto" w:fill="FFFFFF"/>
        </w:rPr>
      </w:pPr>
    </w:p>
    <w:p w14:paraId="366703BF" w14:textId="3743E6AE"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overall mean score of students’ fear of failure across all domains was 3.09, which falls under the moderate level. This suggests that students occasionally put off tasks, which may result in mild stress and occasional pressure to meet deadlines. Among the five domains, experiencing shame and embarrassment recorded the highest mean score of 3.41, described as high. This implies that students with this type of fear of failure rarely delay tasks, tend to complete projects on time, and generally manage stress effectively.</w:t>
      </w:r>
    </w:p>
    <w:p w14:paraId="3F27E46E" w14:textId="4382A77A"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domain having an uncertain future had a mean of 3.13, while devaluing one’s self-estimate had a close mean of 3.08. Both fall under the moderate category, indicating that while students may sometimes experience doubt or hesitation, this does not frequently interfere with task completion. However, they may occasionally feel tension or pressure when deadlines approach. The domain upsetting important others yielded a mean score of 3.00, also categorized as moderate. This suggests that students may sometimes procrastinate when worried about disappointing others, which can contribute to mild anxiety and time constraints. Lastly, important others losing interest had the lowest domain mean of 2.85, but still within the moderate range. This indicates that fear of disapproval or neglect from significant people may occasionally lead to delays in task completion and associated stress.</w:t>
      </w:r>
    </w:p>
    <w:p w14:paraId="1CDABAC8" w14:textId="45A9001C" w:rsidR="00BD6BED" w:rsidRPr="00A42C97" w:rsidRDefault="00BD6BED" w:rsidP="00BD6BED">
      <w:pPr>
        <w:pStyle w:val="NoSpacing1"/>
        <w:ind w:firstLine="36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These findings align with recent studies highlighting the impact of fear of failure on students' academic behaviors. For instance, a study by Unlu </w:t>
      </w:r>
      <w:r w:rsidR="00880E16" w:rsidRPr="00A42C97">
        <w:rPr>
          <w:rFonts w:ascii="Arial" w:eastAsia="SimSun" w:hAnsi="Arial"/>
          <w:sz w:val="20"/>
          <w:szCs w:val="20"/>
          <w:shd w:val="clear" w:color="auto" w:fill="FFFFFF"/>
        </w:rPr>
        <w:t xml:space="preserve">&amp; Ertekin </w:t>
      </w:r>
      <w:r w:rsidRPr="00A42C97">
        <w:rPr>
          <w:rFonts w:ascii="Arial" w:eastAsia="SimSun" w:hAnsi="Arial"/>
          <w:sz w:val="20"/>
          <w:szCs w:val="20"/>
          <w:shd w:val="clear" w:color="auto" w:fill="FFFFFF"/>
        </w:rPr>
        <w:t xml:space="preserve">(2017) observed a similar level of apprehension towards mathematics among college students, noting that such fear can lead to avoidance behaviors and reduced academic engagement. Similarly, Samuel and Warner (2021) reported that first-year college students often experience moderate levels of fear when learning mathematics, which can hinder their academic performance. Further supporting this, a study by Sudirman et al. (2023) emphasized the importance of balancing high academic standards with emotional resilience to maintain mental well-being. They found </w:t>
      </w:r>
      <w:r w:rsidRPr="00A42C97">
        <w:rPr>
          <w:rFonts w:ascii="Arial" w:eastAsia="SimSun" w:hAnsi="Arial"/>
          <w:sz w:val="20"/>
          <w:szCs w:val="20"/>
          <w:shd w:val="clear" w:color="auto" w:fill="FFFFFF"/>
        </w:rPr>
        <w:lastRenderedPageBreak/>
        <w:t xml:space="preserve">that students who set high expectations without adequate coping mechanisms are more susceptible to stress and burnout. Additionally, Kurtovic et al. (2019) concluded that fear of failure often leads to self-doubt, diminished belief in personal success, missed opportunities, and a tendency to procrastinate. Moreover, a recent study by Tan and </w:t>
      </w:r>
      <w:proofErr w:type="spellStart"/>
      <w:r w:rsidRPr="00A42C97">
        <w:rPr>
          <w:rFonts w:ascii="Arial" w:eastAsia="SimSun" w:hAnsi="Arial"/>
          <w:sz w:val="20"/>
          <w:szCs w:val="20"/>
          <w:shd w:val="clear" w:color="auto" w:fill="FFFFFF"/>
        </w:rPr>
        <w:t>Prihadi</w:t>
      </w:r>
      <w:proofErr w:type="spellEnd"/>
      <w:r w:rsidRPr="00A42C97">
        <w:rPr>
          <w:rFonts w:ascii="Arial" w:eastAsia="SimSun" w:hAnsi="Arial"/>
          <w:sz w:val="20"/>
          <w:szCs w:val="20"/>
          <w:shd w:val="clear" w:color="auto" w:fill="FFFFFF"/>
        </w:rPr>
        <w:t xml:space="preserve"> (2022) found that fear of failure positively predicts academic procrastination, suggesting that students who fear failure are more likely to delay academic tasks as a coping mechanism. This aligns with the findings of the current study, where moderate levels of fear of failure correspond with occasional procrastination behaviors among students.</w:t>
      </w:r>
    </w:p>
    <w:p w14:paraId="50C9146C" w14:textId="12342FB4" w:rsidR="005A523D" w:rsidRPr="00A42C97" w:rsidRDefault="00BD6BED" w:rsidP="00BD6BED">
      <w:pPr>
        <w:pStyle w:val="NoSpacing1"/>
        <w:ind w:firstLine="360"/>
        <w:jc w:val="both"/>
        <w:rPr>
          <w:rFonts w:ascii="Arial" w:hAnsi="Arial"/>
        </w:rPr>
      </w:pPr>
      <w:r w:rsidRPr="00A42C97">
        <w:rPr>
          <w:rFonts w:ascii="Arial" w:eastAsia="SimSun" w:hAnsi="Arial"/>
          <w:sz w:val="20"/>
          <w:szCs w:val="20"/>
          <w:shd w:val="clear" w:color="auto" w:fill="FFFFFF"/>
        </w:rPr>
        <w:t>In light of these findings, it is essential for educational institutions to implement strategies that help students manage their fear of failure. This includes providing resources for effective time management (Mariano et al., 2022), stress reduction techniques, and fostering a learning environment that encourages resilience and a growth mindset. By addressing these factors, students can better navigate academic challenges and reduce the negative impact of fear of failure on their academic performance.</w:t>
      </w:r>
      <w:r w:rsidR="002927E6" w:rsidRPr="00A42C97">
        <w:rPr>
          <w:rFonts w:ascii="Arial" w:eastAsia="SimSun" w:hAnsi="Arial"/>
          <w:sz w:val="20"/>
          <w:szCs w:val="20"/>
          <w:shd w:val="clear" w:color="auto" w:fill="FFFFFF"/>
        </w:rPr>
        <w:t xml:space="preserve"> </w:t>
      </w:r>
      <w:r w:rsidR="00267786" w:rsidRPr="00A42C97">
        <w:rPr>
          <w:rFonts w:ascii="Arial" w:eastAsia="SimSun" w:hAnsi="Arial"/>
          <w:sz w:val="20"/>
          <w:szCs w:val="20"/>
          <w:shd w:val="clear" w:color="auto" w:fill="FFFFFF"/>
        </w:rPr>
        <w:t xml:space="preserve">One promising approach is cultivating mathematical curiosity, which has been shown to positively influence academic performance. According to </w:t>
      </w:r>
      <w:proofErr w:type="spellStart"/>
      <w:r w:rsidR="00267786" w:rsidRPr="00A42C97">
        <w:rPr>
          <w:rFonts w:ascii="Arial" w:eastAsia="SimSun" w:hAnsi="Arial"/>
          <w:sz w:val="20"/>
          <w:szCs w:val="20"/>
          <w:shd w:val="clear" w:color="auto" w:fill="FFFFFF"/>
        </w:rPr>
        <w:t>Caliosan</w:t>
      </w:r>
      <w:proofErr w:type="spellEnd"/>
      <w:r w:rsidR="00267786" w:rsidRPr="00A42C97">
        <w:rPr>
          <w:rFonts w:ascii="Arial" w:eastAsia="SimSun" w:hAnsi="Arial"/>
          <w:sz w:val="20"/>
          <w:szCs w:val="20"/>
          <w:shd w:val="clear" w:color="auto" w:fill="FFFFFF"/>
        </w:rPr>
        <w:t xml:space="preserve"> et al., (2025), students with higher levels of mathematical curiosity tend to engage more deeply with mathematical tasks and perform better academically. By nurturing curiosity, educators can help students approach challenging topics with interest and persistence rather than fear.</w:t>
      </w:r>
      <w:r w:rsidR="00C476F4" w:rsidRPr="00A42C97">
        <w:rPr>
          <w:rFonts w:ascii="Arial" w:eastAsia="SimSun" w:hAnsi="Arial"/>
          <w:sz w:val="20"/>
          <w:szCs w:val="20"/>
          <w:shd w:val="clear" w:color="auto" w:fill="FFFFFF"/>
        </w:rPr>
        <w:t xml:space="preserve"> </w:t>
      </w:r>
    </w:p>
    <w:p w14:paraId="7531B014" w14:textId="77777777" w:rsidR="00BD6BED" w:rsidRPr="00A42C97" w:rsidRDefault="00BD6BED" w:rsidP="00797D8A">
      <w:pPr>
        <w:tabs>
          <w:tab w:val="left" w:pos="2173"/>
        </w:tabs>
        <w:ind w:right="-630"/>
        <w:jc w:val="both"/>
        <w:rPr>
          <w:rFonts w:ascii="Arial" w:hAnsi="Arial" w:cs="Arial"/>
        </w:rPr>
      </w:pPr>
    </w:p>
    <w:p w14:paraId="540D3010" w14:textId="4B96D9E3" w:rsidR="00797D8A" w:rsidRPr="00A42C97" w:rsidRDefault="00797D8A" w:rsidP="00797D8A">
      <w:pPr>
        <w:tabs>
          <w:tab w:val="left" w:pos="2173"/>
        </w:tabs>
        <w:ind w:right="-630"/>
        <w:jc w:val="both"/>
        <w:rPr>
          <w:rFonts w:ascii="Arial" w:hAnsi="Arial" w:cs="Arial"/>
        </w:rPr>
      </w:pPr>
      <w:r w:rsidRPr="00A42C97">
        <w:rPr>
          <w:rFonts w:ascii="Arial" w:hAnsi="Arial" w:cs="Arial"/>
        </w:rPr>
        <w:t xml:space="preserve">Table 2: The Respondents’ </w:t>
      </w:r>
      <w:r w:rsidR="0026177E" w:rsidRPr="00A42C97">
        <w:rPr>
          <w:rFonts w:ascii="Arial" w:hAnsi="Arial" w:cs="Arial"/>
        </w:rPr>
        <w:t xml:space="preserve">Level of </w:t>
      </w:r>
      <w:r w:rsidR="00CA246E" w:rsidRPr="00A42C97">
        <w:rPr>
          <w:rFonts w:ascii="Arial" w:hAnsi="Arial" w:cs="Arial"/>
        </w:rPr>
        <w:t>Fear of Failure</w:t>
      </w:r>
    </w:p>
    <w:p w14:paraId="18F9AE9B" w14:textId="77777777" w:rsidR="00797D8A" w:rsidRPr="00A42C97" w:rsidRDefault="00797D8A" w:rsidP="00797D8A">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5A523D" w:rsidRPr="00A42C97" w14:paraId="09BABF62" w14:textId="77777777" w:rsidTr="00A838DF">
        <w:trPr>
          <w:trHeight w:val="253"/>
        </w:trPr>
        <w:tc>
          <w:tcPr>
            <w:tcW w:w="2960" w:type="pct"/>
            <w:tcBorders>
              <w:top w:val="thinThickSmallGap" w:sz="18" w:space="0" w:color="auto"/>
              <w:bottom w:val="single" w:sz="4" w:space="0" w:color="auto"/>
            </w:tcBorders>
          </w:tcPr>
          <w:p w14:paraId="113F742F" w14:textId="77777777" w:rsidR="005A523D" w:rsidRPr="00A42C97" w:rsidRDefault="005A523D" w:rsidP="00A838DF">
            <w:pPr>
              <w:rPr>
                <w:rFonts w:ascii="Arial" w:hAnsi="Arial" w:cs="Arial"/>
                <w:b/>
                <w:bCs/>
                <w:sz w:val="20"/>
                <w:szCs w:val="20"/>
              </w:rPr>
            </w:pPr>
            <w:r w:rsidRPr="00A42C97">
              <w:rPr>
                <w:rFonts w:ascii="Arial" w:hAnsi="Arial" w:cs="Arial"/>
                <w:b/>
                <w:bCs/>
                <w:sz w:val="20"/>
                <w:szCs w:val="20"/>
              </w:rPr>
              <w:t>INDICATORS</w:t>
            </w:r>
          </w:p>
        </w:tc>
        <w:tc>
          <w:tcPr>
            <w:tcW w:w="513" w:type="pct"/>
            <w:tcBorders>
              <w:top w:val="thinThickSmallGap" w:sz="18" w:space="0" w:color="auto"/>
              <w:bottom w:val="single" w:sz="4" w:space="0" w:color="auto"/>
            </w:tcBorders>
          </w:tcPr>
          <w:p w14:paraId="4A58EE04"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MEAN</w:t>
            </w:r>
          </w:p>
        </w:tc>
        <w:tc>
          <w:tcPr>
            <w:tcW w:w="516" w:type="pct"/>
            <w:tcBorders>
              <w:top w:val="thinThickSmallGap" w:sz="18" w:space="0" w:color="auto"/>
              <w:bottom w:val="single" w:sz="4" w:space="0" w:color="auto"/>
            </w:tcBorders>
          </w:tcPr>
          <w:p w14:paraId="50AFD91B"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SD</w:t>
            </w:r>
          </w:p>
        </w:tc>
        <w:tc>
          <w:tcPr>
            <w:tcW w:w="1011" w:type="pct"/>
            <w:tcBorders>
              <w:top w:val="thinThickSmallGap" w:sz="18" w:space="0" w:color="auto"/>
              <w:bottom w:val="single" w:sz="4" w:space="0" w:color="auto"/>
            </w:tcBorders>
          </w:tcPr>
          <w:p w14:paraId="0528CFDB" w14:textId="77777777" w:rsidR="005A523D" w:rsidRPr="00A42C97" w:rsidRDefault="005A523D" w:rsidP="00A838DF">
            <w:pPr>
              <w:jc w:val="center"/>
              <w:rPr>
                <w:rFonts w:ascii="Arial" w:hAnsi="Arial" w:cs="Arial"/>
                <w:b/>
                <w:bCs/>
                <w:sz w:val="20"/>
                <w:szCs w:val="20"/>
              </w:rPr>
            </w:pPr>
            <w:r w:rsidRPr="00A42C97">
              <w:rPr>
                <w:rFonts w:ascii="Arial" w:hAnsi="Arial" w:cs="Arial"/>
                <w:b/>
                <w:bCs/>
                <w:sz w:val="20"/>
                <w:szCs w:val="20"/>
              </w:rPr>
              <w:t>DESCRIPTION</w:t>
            </w:r>
          </w:p>
        </w:tc>
      </w:tr>
      <w:tr w:rsidR="00C476F4" w:rsidRPr="00A42C97" w14:paraId="14A28E2C" w14:textId="77777777" w:rsidTr="00A838DF">
        <w:trPr>
          <w:trHeight w:val="253"/>
        </w:trPr>
        <w:tc>
          <w:tcPr>
            <w:tcW w:w="2960" w:type="pct"/>
            <w:tcBorders>
              <w:top w:val="single" w:sz="4" w:space="0" w:color="auto"/>
            </w:tcBorders>
          </w:tcPr>
          <w:p w14:paraId="5C4CB644" w14:textId="400E2864" w:rsidR="00C476F4" w:rsidRPr="00A42C97" w:rsidRDefault="0069153D" w:rsidP="00C476F4">
            <w:pPr>
              <w:rPr>
                <w:rFonts w:ascii="Arial" w:hAnsi="Arial" w:cs="Arial"/>
                <w:sz w:val="20"/>
                <w:szCs w:val="20"/>
              </w:rPr>
            </w:pPr>
            <w:r w:rsidRPr="00A42C97">
              <w:rPr>
                <w:rFonts w:ascii="Arial" w:hAnsi="Arial" w:cs="Arial"/>
                <w:sz w:val="20"/>
                <w:szCs w:val="20"/>
              </w:rPr>
              <w:t>Experiencing Shame and Embarrassment</w:t>
            </w:r>
          </w:p>
        </w:tc>
        <w:tc>
          <w:tcPr>
            <w:tcW w:w="513" w:type="pct"/>
            <w:tcBorders>
              <w:top w:val="single" w:sz="4" w:space="0" w:color="auto"/>
            </w:tcBorders>
          </w:tcPr>
          <w:p w14:paraId="05F93A3B" w14:textId="66B71E31"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41</w:t>
            </w:r>
          </w:p>
        </w:tc>
        <w:tc>
          <w:tcPr>
            <w:tcW w:w="516" w:type="pct"/>
            <w:tcBorders>
              <w:top w:val="single" w:sz="4" w:space="0" w:color="auto"/>
            </w:tcBorders>
          </w:tcPr>
          <w:p w14:paraId="453B8FA6" w14:textId="5C88C400"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82</w:t>
            </w:r>
          </w:p>
        </w:tc>
        <w:tc>
          <w:tcPr>
            <w:tcW w:w="1011" w:type="pct"/>
            <w:tcBorders>
              <w:top w:val="single" w:sz="4" w:space="0" w:color="auto"/>
            </w:tcBorders>
          </w:tcPr>
          <w:p w14:paraId="19029F36" w14:textId="0D35DE25" w:rsidR="00C476F4" w:rsidRPr="00A42C97" w:rsidRDefault="00C476F4" w:rsidP="00C476F4">
            <w:pPr>
              <w:jc w:val="center"/>
              <w:rPr>
                <w:rFonts w:ascii="Arial" w:hAnsi="Arial" w:cs="Arial"/>
                <w:sz w:val="20"/>
                <w:szCs w:val="20"/>
              </w:rPr>
            </w:pPr>
            <w:r w:rsidRPr="00A42C97">
              <w:rPr>
                <w:rFonts w:ascii="Arial" w:hAnsi="Arial" w:cs="Arial"/>
                <w:sz w:val="20"/>
                <w:szCs w:val="20"/>
              </w:rPr>
              <w:t>High</w:t>
            </w:r>
          </w:p>
        </w:tc>
      </w:tr>
      <w:tr w:rsidR="00C476F4" w:rsidRPr="00A42C97" w14:paraId="4CEC4413" w14:textId="77777777" w:rsidTr="00C476F4">
        <w:trPr>
          <w:trHeight w:val="253"/>
        </w:trPr>
        <w:tc>
          <w:tcPr>
            <w:tcW w:w="2960" w:type="pct"/>
          </w:tcPr>
          <w:p w14:paraId="3B34E043" w14:textId="72664FB7" w:rsidR="00C476F4" w:rsidRPr="00A42C97" w:rsidRDefault="0069153D" w:rsidP="00C476F4">
            <w:pPr>
              <w:rPr>
                <w:rFonts w:ascii="Arial" w:hAnsi="Arial" w:cs="Arial"/>
                <w:sz w:val="20"/>
                <w:szCs w:val="20"/>
              </w:rPr>
            </w:pPr>
            <w:r w:rsidRPr="00A42C97">
              <w:rPr>
                <w:rFonts w:ascii="Arial" w:hAnsi="Arial" w:cs="Arial"/>
                <w:sz w:val="20"/>
                <w:szCs w:val="20"/>
              </w:rPr>
              <w:t>Devaluing One’s Self-Estimate</w:t>
            </w:r>
          </w:p>
        </w:tc>
        <w:tc>
          <w:tcPr>
            <w:tcW w:w="513" w:type="pct"/>
          </w:tcPr>
          <w:p w14:paraId="768C3F9B" w14:textId="1E5A562C"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08</w:t>
            </w:r>
          </w:p>
        </w:tc>
        <w:tc>
          <w:tcPr>
            <w:tcW w:w="516" w:type="pct"/>
          </w:tcPr>
          <w:p w14:paraId="7D711245" w14:textId="1B6EA4BC"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85</w:t>
            </w:r>
          </w:p>
        </w:tc>
        <w:tc>
          <w:tcPr>
            <w:tcW w:w="1011" w:type="pct"/>
          </w:tcPr>
          <w:p w14:paraId="75D6CFBC" w14:textId="0B4AF9EB"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2548695A" w14:textId="77777777" w:rsidTr="00A838DF">
        <w:trPr>
          <w:trHeight w:val="253"/>
        </w:trPr>
        <w:tc>
          <w:tcPr>
            <w:tcW w:w="2960" w:type="pct"/>
          </w:tcPr>
          <w:p w14:paraId="2A74EDF0" w14:textId="28C6A0BB" w:rsidR="00C476F4" w:rsidRPr="00A42C97" w:rsidRDefault="0069153D" w:rsidP="00C476F4">
            <w:pPr>
              <w:rPr>
                <w:rFonts w:ascii="Arial" w:hAnsi="Arial" w:cs="Arial"/>
                <w:sz w:val="20"/>
                <w:szCs w:val="20"/>
              </w:rPr>
            </w:pPr>
            <w:r w:rsidRPr="00A42C97">
              <w:rPr>
                <w:rFonts w:ascii="Arial" w:hAnsi="Arial" w:cs="Arial"/>
                <w:sz w:val="20"/>
                <w:szCs w:val="20"/>
              </w:rPr>
              <w:t>Having Uncertain Future</w:t>
            </w:r>
          </w:p>
        </w:tc>
        <w:tc>
          <w:tcPr>
            <w:tcW w:w="513" w:type="pct"/>
          </w:tcPr>
          <w:p w14:paraId="62D8DF89" w14:textId="7090609E"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13</w:t>
            </w:r>
          </w:p>
        </w:tc>
        <w:tc>
          <w:tcPr>
            <w:tcW w:w="516" w:type="pct"/>
          </w:tcPr>
          <w:p w14:paraId="35047252" w14:textId="0426CFF2"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99</w:t>
            </w:r>
          </w:p>
        </w:tc>
        <w:tc>
          <w:tcPr>
            <w:tcW w:w="1011" w:type="pct"/>
          </w:tcPr>
          <w:p w14:paraId="06A28EAE" w14:textId="3D905C9D"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66813737" w14:textId="77777777" w:rsidTr="00C476F4">
        <w:trPr>
          <w:trHeight w:val="253"/>
        </w:trPr>
        <w:tc>
          <w:tcPr>
            <w:tcW w:w="2960" w:type="pct"/>
          </w:tcPr>
          <w:p w14:paraId="62B99674" w14:textId="3E389F64" w:rsidR="00C476F4" w:rsidRPr="00A42C97" w:rsidRDefault="0069153D" w:rsidP="00C476F4">
            <w:pPr>
              <w:rPr>
                <w:rFonts w:ascii="Arial" w:hAnsi="Arial" w:cs="Arial"/>
                <w:sz w:val="20"/>
                <w:szCs w:val="20"/>
              </w:rPr>
            </w:pPr>
            <w:r w:rsidRPr="00A42C97">
              <w:rPr>
                <w:rFonts w:ascii="Arial" w:hAnsi="Arial" w:cs="Arial"/>
                <w:sz w:val="20"/>
                <w:szCs w:val="20"/>
              </w:rPr>
              <w:t>Important Others Losing Interest</w:t>
            </w:r>
          </w:p>
        </w:tc>
        <w:tc>
          <w:tcPr>
            <w:tcW w:w="513" w:type="pct"/>
          </w:tcPr>
          <w:p w14:paraId="04CDD82E" w14:textId="48CB8752" w:rsidR="00C476F4" w:rsidRPr="00A42C97" w:rsidRDefault="0069153D" w:rsidP="00C476F4">
            <w:pPr>
              <w:jc w:val="center"/>
              <w:rPr>
                <w:rFonts w:ascii="Arial" w:hAnsi="Arial" w:cs="Arial"/>
                <w:sz w:val="20"/>
                <w:szCs w:val="20"/>
              </w:rPr>
            </w:pPr>
            <w:r w:rsidRPr="00A42C97">
              <w:rPr>
                <w:rFonts w:ascii="Arial" w:hAnsi="Arial" w:cs="Arial"/>
                <w:sz w:val="20"/>
                <w:szCs w:val="20"/>
              </w:rPr>
              <w:t>2.85</w:t>
            </w:r>
          </w:p>
        </w:tc>
        <w:tc>
          <w:tcPr>
            <w:tcW w:w="516" w:type="pct"/>
          </w:tcPr>
          <w:p w14:paraId="67EB0FBC" w14:textId="605B1403"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97</w:t>
            </w:r>
          </w:p>
        </w:tc>
        <w:tc>
          <w:tcPr>
            <w:tcW w:w="1011" w:type="pct"/>
          </w:tcPr>
          <w:p w14:paraId="3FC793E3" w14:textId="683601FE"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17BF8E45" w14:textId="77777777" w:rsidTr="00C476F4">
        <w:trPr>
          <w:trHeight w:val="253"/>
        </w:trPr>
        <w:tc>
          <w:tcPr>
            <w:tcW w:w="2960" w:type="pct"/>
            <w:tcBorders>
              <w:bottom w:val="single" w:sz="4" w:space="0" w:color="auto"/>
            </w:tcBorders>
          </w:tcPr>
          <w:p w14:paraId="1EFC7295" w14:textId="67A7CBA4" w:rsidR="00C476F4" w:rsidRPr="00A42C97" w:rsidRDefault="0069153D" w:rsidP="00C476F4">
            <w:pPr>
              <w:rPr>
                <w:rFonts w:ascii="Arial" w:hAnsi="Arial" w:cs="Arial"/>
                <w:sz w:val="20"/>
                <w:szCs w:val="20"/>
              </w:rPr>
            </w:pPr>
            <w:r w:rsidRPr="00A42C97">
              <w:rPr>
                <w:rFonts w:ascii="Arial" w:hAnsi="Arial" w:cs="Arial"/>
                <w:sz w:val="20"/>
                <w:szCs w:val="20"/>
              </w:rPr>
              <w:t>Upsetting Important Others</w:t>
            </w:r>
          </w:p>
        </w:tc>
        <w:tc>
          <w:tcPr>
            <w:tcW w:w="513" w:type="pct"/>
            <w:tcBorders>
              <w:bottom w:val="single" w:sz="4" w:space="0" w:color="auto"/>
            </w:tcBorders>
          </w:tcPr>
          <w:p w14:paraId="55C48443" w14:textId="08B8D2DE" w:rsidR="00C476F4" w:rsidRPr="00A42C97" w:rsidRDefault="00C476F4" w:rsidP="00C476F4">
            <w:pPr>
              <w:jc w:val="center"/>
              <w:rPr>
                <w:rFonts w:ascii="Arial" w:hAnsi="Arial" w:cs="Arial"/>
                <w:sz w:val="20"/>
                <w:szCs w:val="20"/>
              </w:rPr>
            </w:pPr>
            <w:r w:rsidRPr="00A42C97">
              <w:rPr>
                <w:rFonts w:ascii="Arial" w:hAnsi="Arial" w:cs="Arial"/>
                <w:sz w:val="20"/>
                <w:szCs w:val="20"/>
              </w:rPr>
              <w:t>3.</w:t>
            </w:r>
            <w:r w:rsidR="0069153D" w:rsidRPr="00A42C97">
              <w:rPr>
                <w:rFonts w:ascii="Arial" w:hAnsi="Arial" w:cs="Arial"/>
                <w:sz w:val="20"/>
                <w:szCs w:val="20"/>
              </w:rPr>
              <w:t>00</w:t>
            </w:r>
          </w:p>
        </w:tc>
        <w:tc>
          <w:tcPr>
            <w:tcW w:w="516" w:type="pct"/>
            <w:tcBorders>
              <w:bottom w:val="single" w:sz="4" w:space="0" w:color="auto"/>
            </w:tcBorders>
          </w:tcPr>
          <w:p w14:paraId="6F12D8C7" w14:textId="2CB55FEB" w:rsidR="00C476F4" w:rsidRPr="00A42C97" w:rsidRDefault="00C476F4" w:rsidP="00C476F4">
            <w:pPr>
              <w:jc w:val="center"/>
              <w:rPr>
                <w:rFonts w:ascii="Arial" w:hAnsi="Arial" w:cs="Arial"/>
                <w:sz w:val="20"/>
                <w:szCs w:val="20"/>
              </w:rPr>
            </w:pPr>
            <w:r w:rsidRPr="00A42C97">
              <w:rPr>
                <w:rFonts w:ascii="Arial" w:hAnsi="Arial" w:cs="Arial"/>
                <w:sz w:val="20"/>
                <w:szCs w:val="20"/>
              </w:rPr>
              <w:t>0.</w:t>
            </w:r>
            <w:r w:rsidR="0069153D" w:rsidRPr="00A42C97">
              <w:rPr>
                <w:rFonts w:ascii="Arial" w:hAnsi="Arial" w:cs="Arial"/>
                <w:sz w:val="20"/>
                <w:szCs w:val="20"/>
              </w:rPr>
              <w:t>92</w:t>
            </w:r>
          </w:p>
        </w:tc>
        <w:tc>
          <w:tcPr>
            <w:tcW w:w="1011" w:type="pct"/>
            <w:tcBorders>
              <w:bottom w:val="single" w:sz="4" w:space="0" w:color="auto"/>
            </w:tcBorders>
          </w:tcPr>
          <w:p w14:paraId="41132D59" w14:textId="766DEEBB" w:rsidR="00C476F4" w:rsidRPr="00A42C97" w:rsidRDefault="0069153D" w:rsidP="00C476F4">
            <w:pPr>
              <w:jc w:val="center"/>
              <w:rPr>
                <w:rFonts w:ascii="Arial" w:hAnsi="Arial" w:cs="Arial"/>
                <w:sz w:val="20"/>
                <w:szCs w:val="20"/>
              </w:rPr>
            </w:pPr>
            <w:r w:rsidRPr="00A42C97">
              <w:rPr>
                <w:rFonts w:ascii="Arial" w:hAnsi="Arial" w:cs="Arial"/>
                <w:sz w:val="20"/>
                <w:szCs w:val="20"/>
              </w:rPr>
              <w:t>Moderate</w:t>
            </w:r>
          </w:p>
        </w:tc>
      </w:tr>
      <w:tr w:rsidR="00C476F4" w:rsidRPr="00A42C97" w14:paraId="257C0874" w14:textId="77777777" w:rsidTr="00A838DF">
        <w:trPr>
          <w:trHeight w:val="253"/>
        </w:trPr>
        <w:tc>
          <w:tcPr>
            <w:tcW w:w="2960" w:type="pct"/>
            <w:tcBorders>
              <w:top w:val="single" w:sz="4" w:space="0" w:color="auto"/>
              <w:bottom w:val="thickThinSmallGap" w:sz="18" w:space="0" w:color="auto"/>
            </w:tcBorders>
          </w:tcPr>
          <w:p w14:paraId="2AC1A5DD" w14:textId="3D44B2C6" w:rsidR="00C476F4" w:rsidRPr="00A42C97" w:rsidRDefault="00CA246E" w:rsidP="00C476F4">
            <w:pPr>
              <w:rPr>
                <w:rFonts w:ascii="Arial" w:hAnsi="Arial" w:cs="Arial"/>
                <w:b/>
                <w:bCs/>
                <w:sz w:val="20"/>
                <w:szCs w:val="20"/>
              </w:rPr>
            </w:pPr>
            <w:r w:rsidRPr="00A42C97">
              <w:rPr>
                <w:rFonts w:ascii="Arial" w:hAnsi="Arial" w:cs="Arial"/>
                <w:b/>
                <w:bCs/>
                <w:sz w:val="20"/>
                <w:szCs w:val="20"/>
              </w:rPr>
              <w:t>Fear of Failure</w:t>
            </w:r>
            <w:r w:rsidR="00C476F4" w:rsidRPr="00A42C97">
              <w:rPr>
                <w:rFonts w:ascii="Arial" w:hAnsi="Arial" w:cs="Arial"/>
                <w:b/>
                <w:bCs/>
                <w:sz w:val="20"/>
                <w:szCs w:val="20"/>
              </w:rPr>
              <w:t xml:space="preserve"> (Overall)</w:t>
            </w:r>
          </w:p>
        </w:tc>
        <w:tc>
          <w:tcPr>
            <w:tcW w:w="513" w:type="pct"/>
            <w:tcBorders>
              <w:top w:val="single" w:sz="4" w:space="0" w:color="auto"/>
              <w:bottom w:val="thickThinSmallGap" w:sz="18" w:space="0" w:color="auto"/>
            </w:tcBorders>
          </w:tcPr>
          <w:p w14:paraId="6204DCFC" w14:textId="7A40DABD" w:rsidR="00C476F4" w:rsidRPr="00A42C97" w:rsidRDefault="00C476F4" w:rsidP="00C476F4">
            <w:pPr>
              <w:jc w:val="center"/>
              <w:rPr>
                <w:rFonts w:ascii="Arial" w:hAnsi="Arial" w:cs="Arial"/>
                <w:b/>
                <w:bCs/>
                <w:sz w:val="20"/>
                <w:szCs w:val="20"/>
              </w:rPr>
            </w:pPr>
            <w:r w:rsidRPr="00A42C97">
              <w:rPr>
                <w:rFonts w:ascii="Arial" w:hAnsi="Arial" w:cs="Arial"/>
                <w:b/>
                <w:bCs/>
                <w:sz w:val="20"/>
                <w:szCs w:val="20"/>
              </w:rPr>
              <w:t>3.</w:t>
            </w:r>
            <w:r w:rsidR="0069153D" w:rsidRPr="00A42C97">
              <w:rPr>
                <w:rFonts w:ascii="Arial" w:hAnsi="Arial" w:cs="Arial"/>
                <w:b/>
                <w:bCs/>
                <w:sz w:val="20"/>
                <w:szCs w:val="20"/>
              </w:rPr>
              <w:t>09</w:t>
            </w:r>
          </w:p>
        </w:tc>
        <w:tc>
          <w:tcPr>
            <w:tcW w:w="516" w:type="pct"/>
            <w:tcBorders>
              <w:top w:val="single" w:sz="4" w:space="0" w:color="auto"/>
              <w:bottom w:val="thickThinSmallGap" w:sz="18" w:space="0" w:color="auto"/>
            </w:tcBorders>
          </w:tcPr>
          <w:p w14:paraId="6F9E973F" w14:textId="39269CDC" w:rsidR="00C476F4" w:rsidRPr="00A42C97" w:rsidRDefault="00C476F4" w:rsidP="00C476F4">
            <w:pPr>
              <w:jc w:val="center"/>
              <w:rPr>
                <w:rFonts w:ascii="Arial" w:hAnsi="Arial" w:cs="Arial"/>
                <w:b/>
                <w:bCs/>
                <w:sz w:val="20"/>
                <w:szCs w:val="20"/>
              </w:rPr>
            </w:pPr>
            <w:r w:rsidRPr="00A42C97">
              <w:rPr>
                <w:rFonts w:ascii="Arial" w:hAnsi="Arial" w:cs="Arial"/>
                <w:b/>
                <w:bCs/>
                <w:sz w:val="20"/>
                <w:szCs w:val="20"/>
              </w:rPr>
              <w:t>0.</w:t>
            </w:r>
            <w:r w:rsidR="0069153D" w:rsidRPr="00A42C97">
              <w:rPr>
                <w:rFonts w:ascii="Arial" w:hAnsi="Arial" w:cs="Arial"/>
                <w:b/>
                <w:bCs/>
                <w:sz w:val="20"/>
                <w:szCs w:val="20"/>
              </w:rPr>
              <w:t>72</w:t>
            </w:r>
          </w:p>
        </w:tc>
        <w:tc>
          <w:tcPr>
            <w:tcW w:w="1011" w:type="pct"/>
            <w:tcBorders>
              <w:top w:val="single" w:sz="4" w:space="0" w:color="auto"/>
              <w:bottom w:val="thickThinSmallGap" w:sz="18" w:space="0" w:color="auto"/>
            </w:tcBorders>
          </w:tcPr>
          <w:p w14:paraId="321D34B6" w14:textId="65D73E10" w:rsidR="00C476F4" w:rsidRPr="00A42C97" w:rsidRDefault="0069153D" w:rsidP="00C476F4">
            <w:pPr>
              <w:jc w:val="center"/>
              <w:rPr>
                <w:rFonts w:ascii="Arial" w:hAnsi="Arial" w:cs="Arial"/>
                <w:b/>
                <w:bCs/>
                <w:sz w:val="20"/>
                <w:szCs w:val="20"/>
              </w:rPr>
            </w:pPr>
            <w:r w:rsidRPr="00A42C97">
              <w:rPr>
                <w:rFonts w:ascii="Arial" w:hAnsi="Arial" w:cs="Arial"/>
                <w:b/>
                <w:bCs/>
                <w:sz w:val="20"/>
                <w:szCs w:val="20"/>
              </w:rPr>
              <w:t>Moderate</w:t>
            </w:r>
          </w:p>
        </w:tc>
      </w:tr>
    </w:tbl>
    <w:p w14:paraId="35AC989B" w14:textId="77777777" w:rsidR="00797D8A" w:rsidRPr="00A42C97" w:rsidRDefault="00797D8A" w:rsidP="00797D8A">
      <w:pPr>
        <w:tabs>
          <w:tab w:val="left" w:pos="2173"/>
        </w:tabs>
        <w:ind w:right="-630"/>
        <w:jc w:val="both"/>
        <w:rPr>
          <w:rFonts w:ascii="Arial" w:hAnsi="Arial" w:cs="Arial"/>
        </w:rPr>
      </w:pPr>
    </w:p>
    <w:p w14:paraId="2089A287" w14:textId="0DB4A51A" w:rsidR="00797D8A" w:rsidRPr="00A42C97" w:rsidRDefault="00797D8A" w:rsidP="00327B77">
      <w:pPr>
        <w:tabs>
          <w:tab w:val="left" w:pos="2173"/>
        </w:tabs>
        <w:ind w:right="-72"/>
        <w:jc w:val="center"/>
        <w:rPr>
          <w:rFonts w:ascii="Arial" w:hAnsi="Arial" w:cs="Arial"/>
          <w:b/>
          <w:sz w:val="22"/>
          <w:szCs w:val="22"/>
        </w:rPr>
      </w:pPr>
      <w:bookmarkStart w:id="1" w:name="_Hlk172126520"/>
      <w:r w:rsidRPr="00A42C97">
        <w:rPr>
          <w:rFonts w:ascii="Arial" w:hAnsi="Arial" w:cs="Arial"/>
          <w:b/>
          <w:sz w:val="22"/>
          <w:szCs w:val="22"/>
        </w:rPr>
        <w:t xml:space="preserve">Level of </w:t>
      </w:r>
      <w:r w:rsidR="00CA246E" w:rsidRPr="00A42C97">
        <w:rPr>
          <w:rFonts w:ascii="Arial" w:hAnsi="Arial" w:cs="Arial"/>
          <w:b/>
          <w:sz w:val="22"/>
          <w:szCs w:val="22"/>
        </w:rPr>
        <w:t>Academic Procrastination of College Students</w:t>
      </w:r>
    </w:p>
    <w:p w14:paraId="12660DDF" w14:textId="77777777" w:rsidR="00797D8A" w:rsidRPr="00A42C97" w:rsidRDefault="00797D8A" w:rsidP="00327B77">
      <w:pPr>
        <w:tabs>
          <w:tab w:val="left" w:pos="2173"/>
        </w:tabs>
        <w:ind w:right="-72"/>
        <w:jc w:val="center"/>
        <w:rPr>
          <w:rFonts w:ascii="Arial" w:hAnsi="Arial" w:cs="Arial"/>
          <w:b/>
        </w:rPr>
      </w:pPr>
    </w:p>
    <w:bookmarkEnd w:id="1"/>
    <w:p w14:paraId="6A509AAA" w14:textId="45D7254C" w:rsidR="00CB1198" w:rsidRPr="00A42C97" w:rsidRDefault="00797D8A" w:rsidP="00CB1198">
      <w:pPr>
        <w:jc w:val="both"/>
        <w:rPr>
          <w:rFonts w:ascii="Arial" w:hAnsi="Arial" w:cs="Arial"/>
        </w:rPr>
      </w:pPr>
      <w:r w:rsidRPr="00A42C97">
        <w:rPr>
          <w:rFonts w:ascii="Arial" w:hAnsi="Arial" w:cs="Arial"/>
        </w:rPr>
        <w:tab/>
      </w:r>
      <w:r w:rsidR="00CB1198" w:rsidRPr="00A42C97">
        <w:rPr>
          <w:rFonts w:ascii="Arial" w:hAnsi="Arial" w:cs="Arial"/>
        </w:rPr>
        <w:t xml:space="preserve">The level of academic procrastination among college students in Davao Occidental, based on the results, the overall mean score across all domains was 3.16, which falls under the moderate level. This suggests that students occasionally delay academic tasks, leading to manageable stress and occasional deadline pressures. Among the four domains, aversiveness of the task recorded the highest mean score of 3.41, described as high. This indicates that students frequently postpone tasks they find unpleasant or uninteresting, which can result in missed deadlines and heightened stress. This finding aligns with the study by Afzal and Jami (2018), who identified task aversiveness as a significant predictor of academic procrastination among university students. The domain personal initiative had a mean of 3.26, falling under the moderate category. This suggests that while students generally take responsibility for initiating tasks, there are instances where they delay starting assignments, impacting their academic performance. Time management yielded a mean score of 3.01, also categorized as moderate. This implies that students occasionally struggle with organizing their schedules effectively, leading to procrastination. </w:t>
      </w:r>
      <w:r w:rsidR="00AE53F0" w:rsidRPr="00A42C97">
        <w:rPr>
          <w:rFonts w:ascii="Arial" w:hAnsi="Arial" w:cs="Arial"/>
        </w:rPr>
        <w:t>Alves</w:t>
      </w:r>
      <w:r w:rsidR="00CB1198" w:rsidRPr="00A42C97">
        <w:rPr>
          <w:rFonts w:ascii="Arial" w:hAnsi="Arial" w:cs="Arial"/>
        </w:rPr>
        <w:t xml:space="preserve"> et al. (202</w:t>
      </w:r>
      <w:r w:rsidR="00AE53F0" w:rsidRPr="00A42C97">
        <w:rPr>
          <w:rFonts w:ascii="Arial" w:hAnsi="Arial" w:cs="Arial"/>
        </w:rPr>
        <w:t>4</w:t>
      </w:r>
      <w:r w:rsidR="00CB1198" w:rsidRPr="00A42C97">
        <w:rPr>
          <w:rFonts w:ascii="Arial" w:hAnsi="Arial" w:cs="Arial"/>
        </w:rPr>
        <w:t xml:space="preserve">) emphasized that poor time management is a prevalent reason for academic procrastination among college students. Lastly, sincerity had the lowest domain mean of 2.96, but still within the moderate range. This indicates that students sometimes lack genuine engagement with their academic tasks, which can contribute to delays in task completion. </w:t>
      </w:r>
      <w:proofErr w:type="spellStart"/>
      <w:r w:rsidR="00CB1198" w:rsidRPr="00A42C97">
        <w:rPr>
          <w:rFonts w:ascii="Arial" w:hAnsi="Arial" w:cs="Arial"/>
        </w:rPr>
        <w:t>Wirajaya</w:t>
      </w:r>
      <w:proofErr w:type="spellEnd"/>
      <w:r w:rsidR="00CB1198" w:rsidRPr="00A42C97">
        <w:rPr>
          <w:rFonts w:ascii="Arial" w:hAnsi="Arial" w:cs="Arial"/>
        </w:rPr>
        <w:t xml:space="preserve"> (2020) highlighted the importance of sincerity in maintaining focus and dedication to academic responsibilities.</w:t>
      </w:r>
    </w:p>
    <w:p w14:paraId="0DB71C2B" w14:textId="77777777" w:rsidR="00267786" w:rsidRPr="00A42C97" w:rsidRDefault="00267786" w:rsidP="00267786">
      <w:pPr>
        <w:ind w:firstLine="720"/>
        <w:jc w:val="both"/>
        <w:rPr>
          <w:rFonts w:ascii="Arial" w:hAnsi="Arial" w:cs="Arial"/>
        </w:rPr>
      </w:pPr>
      <w:r w:rsidRPr="00A42C97">
        <w:rPr>
          <w:rFonts w:ascii="Arial" w:hAnsi="Arial" w:cs="Arial"/>
        </w:rPr>
        <w:lastRenderedPageBreak/>
        <w:t>These findings are further supported by Cortez et al. (2025), who found that college students’ coping strategies in learning mathematics play a role in managing performance-related stress—highlighting that students who adopt adaptive coping mechanisms may be less prone to procrastination. Similarly, Mangal et al. (2025) reported that higher levels of mathematical creativity self-efficacy among pre-service teachers were linked to greater academic confidence and engagement, which can counteract procrastination by promoting intrinsic motivation and reducing task aversion. Together, these insights suggest that addressing emotional, cognitive, and motivational factors—such as promoting curiosity, enhancing coping skills, and building academic self-belief—can help reduce academic procrastination and improve learning outcomes (</w:t>
      </w:r>
      <w:proofErr w:type="spellStart"/>
      <w:r w:rsidRPr="00A42C97">
        <w:rPr>
          <w:rFonts w:ascii="Arial" w:hAnsi="Arial" w:cs="Arial"/>
        </w:rPr>
        <w:t>Santyasa</w:t>
      </w:r>
      <w:proofErr w:type="spellEnd"/>
      <w:r w:rsidRPr="00A42C97">
        <w:rPr>
          <w:rFonts w:ascii="Arial" w:hAnsi="Arial" w:cs="Arial"/>
        </w:rPr>
        <w:t xml:space="preserve"> et al., 2020).</w:t>
      </w:r>
    </w:p>
    <w:p w14:paraId="0E7B12C7" w14:textId="7F7D8729" w:rsidR="00797D8A" w:rsidRPr="00A42C97" w:rsidRDefault="00EE3AC1" w:rsidP="009537E3">
      <w:pPr>
        <w:ind w:firstLine="720"/>
        <w:jc w:val="both"/>
        <w:rPr>
          <w:rFonts w:ascii="Arial" w:hAnsi="Arial" w:cs="Arial"/>
        </w:rPr>
      </w:pPr>
      <w:r w:rsidRPr="00A42C97">
        <w:rPr>
          <w:rFonts w:ascii="Arial" w:eastAsia="SimSun" w:hAnsi="Arial"/>
          <w:shd w:val="clear" w:color="auto" w:fill="FFFFFF"/>
        </w:rPr>
        <w:t>.</w:t>
      </w:r>
    </w:p>
    <w:p w14:paraId="4DFF0D05" w14:textId="77777777" w:rsidR="00CA246E" w:rsidRPr="00A42C97" w:rsidRDefault="00CA246E" w:rsidP="00CA246E">
      <w:pPr>
        <w:jc w:val="both"/>
        <w:rPr>
          <w:rFonts w:ascii="Arial" w:hAnsi="Arial" w:cs="Arial"/>
        </w:rPr>
      </w:pPr>
    </w:p>
    <w:p w14:paraId="228C2666" w14:textId="78C390D6" w:rsidR="00797D8A" w:rsidRPr="00A42C97" w:rsidRDefault="00797D8A" w:rsidP="00327B77">
      <w:pPr>
        <w:tabs>
          <w:tab w:val="left" w:pos="2173"/>
        </w:tabs>
        <w:ind w:right="-72"/>
        <w:jc w:val="both"/>
        <w:rPr>
          <w:rFonts w:ascii="Arial" w:hAnsi="Arial" w:cs="Arial"/>
        </w:rPr>
      </w:pPr>
      <w:r w:rsidRPr="00A42C97">
        <w:rPr>
          <w:rFonts w:ascii="Arial" w:hAnsi="Arial" w:cs="Arial"/>
        </w:rPr>
        <w:t xml:space="preserve">Table 3: The Respondents’ Level of </w:t>
      </w:r>
      <w:r w:rsidR="00CA246E" w:rsidRPr="00A42C97">
        <w:rPr>
          <w:rFonts w:ascii="Arial" w:hAnsi="Arial" w:cs="Arial"/>
        </w:rPr>
        <w:t>Academic Procrastination</w:t>
      </w:r>
    </w:p>
    <w:p w14:paraId="6D720C16" w14:textId="77777777" w:rsidR="00CA246E" w:rsidRPr="00A42C97" w:rsidRDefault="00CA246E" w:rsidP="00CA246E">
      <w:pPr>
        <w:tabs>
          <w:tab w:val="left" w:pos="2173"/>
        </w:tabs>
        <w:ind w:right="-630"/>
        <w:jc w:val="both"/>
        <w:rPr>
          <w:rFonts w:ascii="Arial" w:hAnsi="Arial" w:cs="Arial"/>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842"/>
        <w:gridCol w:w="847"/>
        <w:gridCol w:w="1660"/>
      </w:tblGrid>
      <w:tr w:rsidR="00CA246E" w:rsidRPr="00A42C97" w14:paraId="40E09D00" w14:textId="77777777" w:rsidTr="00F77E9D">
        <w:trPr>
          <w:trHeight w:val="253"/>
        </w:trPr>
        <w:tc>
          <w:tcPr>
            <w:tcW w:w="2960" w:type="pct"/>
            <w:tcBorders>
              <w:top w:val="thinThickSmallGap" w:sz="18" w:space="0" w:color="auto"/>
              <w:bottom w:val="single" w:sz="4" w:space="0" w:color="auto"/>
            </w:tcBorders>
          </w:tcPr>
          <w:p w14:paraId="4B469816" w14:textId="77777777" w:rsidR="00CA246E" w:rsidRPr="00A42C97" w:rsidRDefault="00CA246E" w:rsidP="00F77E9D">
            <w:pPr>
              <w:rPr>
                <w:rFonts w:ascii="Arial" w:hAnsi="Arial" w:cs="Arial"/>
                <w:b/>
                <w:bCs/>
                <w:sz w:val="20"/>
                <w:szCs w:val="20"/>
              </w:rPr>
            </w:pPr>
            <w:r w:rsidRPr="00A42C97">
              <w:rPr>
                <w:rFonts w:ascii="Arial" w:hAnsi="Arial" w:cs="Arial"/>
                <w:b/>
                <w:bCs/>
                <w:sz w:val="20"/>
                <w:szCs w:val="20"/>
              </w:rPr>
              <w:t>INDICATORS</w:t>
            </w:r>
          </w:p>
        </w:tc>
        <w:tc>
          <w:tcPr>
            <w:tcW w:w="513" w:type="pct"/>
            <w:tcBorders>
              <w:top w:val="thinThickSmallGap" w:sz="18" w:space="0" w:color="auto"/>
              <w:bottom w:val="single" w:sz="4" w:space="0" w:color="auto"/>
            </w:tcBorders>
          </w:tcPr>
          <w:p w14:paraId="6E4553A3"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MEAN</w:t>
            </w:r>
          </w:p>
        </w:tc>
        <w:tc>
          <w:tcPr>
            <w:tcW w:w="516" w:type="pct"/>
            <w:tcBorders>
              <w:top w:val="thinThickSmallGap" w:sz="18" w:space="0" w:color="auto"/>
              <w:bottom w:val="single" w:sz="4" w:space="0" w:color="auto"/>
            </w:tcBorders>
          </w:tcPr>
          <w:p w14:paraId="74A697A3"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SD</w:t>
            </w:r>
          </w:p>
        </w:tc>
        <w:tc>
          <w:tcPr>
            <w:tcW w:w="1011" w:type="pct"/>
            <w:tcBorders>
              <w:top w:val="thinThickSmallGap" w:sz="18" w:space="0" w:color="auto"/>
              <w:bottom w:val="single" w:sz="4" w:space="0" w:color="auto"/>
            </w:tcBorders>
          </w:tcPr>
          <w:p w14:paraId="36143922"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DESCRIPTION</w:t>
            </w:r>
          </w:p>
        </w:tc>
      </w:tr>
      <w:tr w:rsidR="00CA246E" w:rsidRPr="00A42C97" w14:paraId="06192E2C" w14:textId="77777777" w:rsidTr="00F77E9D">
        <w:trPr>
          <w:trHeight w:val="253"/>
        </w:trPr>
        <w:tc>
          <w:tcPr>
            <w:tcW w:w="2960" w:type="pct"/>
            <w:tcBorders>
              <w:top w:val="single" w:sz="4" w:space="0" w:color="auto"/>
            </w:tcBorders>
          </w:tcPr>
          <w:p w14:paraId="03F3E611" w14:textId="301BEB74" w:rsidR="00CA246E" w:rsidRPr="00A42C97" w:rsidRDefault="00CA246E" w:rsidP="00F77E9D">
            <w:pPr>
              <w:rPr>
                <w:rFonts w:ascii="Arial" w:hAnsi="Arial" w:cs="Arial"/>
                <w:sz w:val="20"/>
                <w:szCs w:val="20"/>
              </w:rPr>
            </w:pPr>
            <w:r w:rsidRPr="00A42C97">
              <w:rPr>
                <w:rFonts w:ascii="Arial" w:hAnsi="Arial" w:cs="Arial"/>
                <w:sz w:val="20"/>
                <w:szCs w:val="20"/>
              </w:rPr>
              <w:t>Time Management</w:t>
            </w:r>
          </w:p>
        </w:tc>
        <w:tc>
          <w:tcPr>
            <w:tcW w:w="513" w:type="pct"/>
            <w:tcBorders>
              <w:top w:val="single" w:sz="4" w:space="0" w:color="auto"/>
            </w:tcBorders>
          </w:tcPr>
          <w:p w14:paraId="3ECDBE37" w14:textId="6BE41C82" w:rsidR="00CA246E" w:rsidRPr="00A42C97" w:rsidRDefault="00CA246E" w:rsidP="00F77E9D">
            <w:pPr>
              <w:jc w:val="center"/>
              <w:rPr>
                <w:rFonts w:ascii="Arial" w:hAnsi="Arial" w:cs="Arial"/>
                <w:sz w:val="20"/>
                <w:szCs w:val="20"/>
              </w:rPr>
            </w:pPr>
            <w:r w:rsidRPr="00A42C97">
              <w:rPr>
                <w:rFonts w:ascii="Arial" w:hAnsi="Arial" w:cs="Arial"/>
                <w:sz w:val="20"/>
                <w:szCs w:val="20"/>
              </w:rPr>
              <w:t>3.01</w:t>
            </w:r>
          </w:p>
        </w:tc>
        <w:tc>
          <w:tcPr>
            <w:tcW w:w="516" w:type="pct"/>
            <w:tcBorders>
              <w:top w:val="single" w:sz="4" w:space="0" w:color="auto"/>
            </w:tcBorders>
          </w:tcPr>
          <w:p w14:paraId="76072BFA" w14:textId="5AA5AD17" w:rsidR="00CA246E" w:rsidRPr="00A42C97" w:rsidRDefault="00CA246E" w:rsidP="00F77E9D">
            <w:pPr>
              <w:jc w:val="center"/>
              <w:rPr>
                <w:rFonts w:ascii="Arial" w:hAnsi="Arial" w:cs="Arial"/>
                <w:sz w:val="20"/>
                <w:szCs w:val="20"/>
              </w:rPr>
            </w:pPr>
            <w:r w:rsidRPr="00A42C97">
              <w:rPr>
                <w:rFonts w:ascii="Arial" w:hAnsi="Arial" w:cs="Arial"/>
                <w:sz w:val="20"/>
                <w:szCs w:val="20"/>
              </w:rPr>
              <w:t>0.71</w:t>
            </w:r>
          </w:p>
        </w:tc>
        <w:tc>
          <w:tcPr>
            <w:tcW w:w="1011" w:type="pct"/>
            <w:tcBorders>
              <w:top w:val="single" w:sz="4" w:space="0" w:color="auto"/>
            </w:tcBorders>
          </w:tcPr>
          <w:p w14:paraId="0C2F1A86" w14:textId="70674562" w:rsidR="00CA246E" w:rsidRPr="00A42C97" w:rsidRDefault="00BA56CF"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78B25B01" w14:textId="77777777" w:rsidTr="00F77E9D">
        <w:trPr>
          <w:trHeight w:val="253"/>
        </w:trPr>
        <w:tc>
          <w:tcPr>
            <w:tcW w:w="2960" w:type="pct"/>
          </w:tcPr>
          <w:p w14:paraId="0F0CF6E6" w14:textId="108B6D7B" w:rsidR="00CA246E" w:rsidRPr="00A42C97" w:rsidRDefault="00CA246E" w:rsidP="00F77E9D">
            <w:pPr>
              <w:rPr>
                <w:rFonts w:ascii="Arial" w:hAnsi="Arial" w:cs="Arial"/>
                <w:sz w:val="20"/>
                <w:szCs w:val="20"/>
              </w:rPr>
            </w:pPr>
            <w:r w:rsidRPr="00A42C97">
              <w:rPr>
                <w:rFonts w:ascii="Arial" w:hAnsi="Arial" w:cs="Arial"/>
                <w:sz w:val="20"/>
                <w:szCs w:val="20"/>
              </w:rPr>
              <w:t>Aversiveness of the Task</w:t>
            </w:r>
          </w:p>
        </w:tc>
        <w:tc>
          <w:tcPr>
            <w:tcW w:w="513" w:type="pct"/>
          </w:tcPr>
          <w:p w14:paraId="7F688FC5" w14:textId="29D36151" w:rsidR="00CA246E" w:rsidRPr="00A42C97" w:rsidRDefault="00CA246E" w:rsidP="00F77E9D">
            <w:pPr>
              <w:jc w:val="center"/>
              <w:rPr>
                <w:rFonts w:ascii="Arial" w:hAnsi="Arial" w:cs="Arial"/>
                <w:sz w:val="20"/>
                <w:szCs w:val="20"/>
              </w:rPr>
            </w:pPr>
            <w:r w:rsidRPr="00A42C97">
              <w:rPr>
                <w:rFonts w:ascii="Arial" w:hAnsi="Arial" w:cs="Arial"/>
                <w:sz w:val="20"/>
                <w:szCs w:val="20"/>
              </w:rPr>
              <w:t>3.41</w:t>
            </w:r>
          </w:p>
        </w:tc>
        <w:tc>
          <w:tcPr>
            <w:tcW w:w="516" w:type="pct"/>
          </w:tcPr>
          <w:p w14:paraId="69607DF0" w14:textId="67BE1B9B" w:rsidR="00CA246E" w:rsidRPr="00A42C97" w:rsidRDefault="00CA246E" w:rsidP="00F77E9D">
            <w:pPr>
              <w:jc w:val="center"/>
              <w:rPr>
                <w:rFonts w:ascii="Arial" w:hAnsi="Arial" w:cs="Arial"/>
                <w:sz w:val="20"/>
                <w:szCs w:val="20"/>
              </w:rPr>
            </w:pPr>
            <w:r w:rsidRPr="00A42C97">
              <w:rPr>
                <w:rFonts w:ascii="Arial" w:hAnsi="Arial" w:cs="Arial"/>
                <w:sz w:val="20"/>
                <w:szCs w:val="20"/>
              </w:rPr>
              <w:t>0.74</w:t>
            </w:r>
          </w:p>
        </w:tc>
        <w:tc>
          <w:tcPr>
            <w:tcW w:w="1011" w:type="pct"/>
          </w:tcPr>
          <w:p w14:paraId="35CC4651" w14:textId="1FFBDF5B" w:rsidR="00CA246E" w:rsidRPr="00A42C97" w:rsidRDefault="00BA56CF" w:rsidP="00F77E9D">
            <w:pPr>
              <w:jc w:val="center"/>
              <w:rPr>
                <w:rFonts w:ascii="Arial" w:hAnsi="Arial" w:cs="Arial"/>
                <w:sz w:val="20"/>
                <w:szCs w:val="20"/>
              </w:rPr>
            </w:pPr>
            <w:r w:rsidRPr="00A42C97">
              <w:rPr>
                <w:rFonts w:ascii="Arial" w:hAnsi="Arial" w:cs="Arial"/>
                <w:sz w:val="20"/>
                <w:szCs w:val="20"/>
              </w:rPr>
              <w:t>High</w:t>
            </w:r>
          </w:p>
        </w:tc>
      </w:tr>
      <w:tr w:rsidR="00CA246E" w:rsidRPr="00A42C97" w14:paraId="606B365A" w14:textId="77777777" w:rsidTr="00F77E9D">
        <w:trPr>
          <w:trHeight w:val="253"/>
        </w:trPr>
        <w:tc>
          <w:tcPr>
            <w:tcW w:w="2960" w:type="pct"/>
          </w:tcPr>
          <w:p w14:paraId="6D5A1D70" w14:textId="29834C04" w:rsidR="00CA246E" w:rsidRPr="00A42C97" w:rsidRDefault="00CA246E" w:rsidP="00F77E9D">
            <w:pPr>
              <w:rPr>
                <w:rFonts w:ascii="Arial" w:hAnsi="Arial" w:cs="Arial"/>
                <w:sz w:val="20"/>
                <w:szCs w:val="20"/>
              </w:rPr>
            </w:pPr>
            <w:r w:rsidRPr="00A42C97">
              <w:rPr>
                <w:rFonts w:ascii="Arial" w:hAnsi="Arial" w:cs="Arial"/>
                <w:sz w:val="20"/>
                <w:szCs w:val="20"/>
              </w:rPr>
              <w:t>Sincerity</w:t>
            </w:r>
          </w:p>
        </w:tc>
        <w:tc>
          <w:tcPr>
            <w:tcW w:w="513" w:type="pct"/>
          </w:tcPr>
          <w:p w14:paraId="35283711" w14:textId="6ACC171D" w:rsidR="00CA246E" w:rsidRPr="00A42C97" w:rsidRDefault="00CA246E" w:rsidP="00F77E9D">
            <w:pPr>
              <w:jc w:val="center"/>
              <w:rPr>
                <w:rFonts w:ascii="Arial" w:hAnsi="Arial" w:cs="Arial"/>
                <w:sz w:val="20"/>
                <w:szCs w:val="20"/>
              </w:rPr>
            </w:pPr>
            <w:r w:rsidRPr="00A42C97">
              <w:rPr>
                <w:rFonts w:ascii="Arial" w:hAnsi="Arial" w:cs="Arial"/>
                <w:sz w:val="20"/>
                <w:szCs w:val="20"/>
              </w:rPr>
              <w:t>2.96</w:t>
            </w:r>
          </w:p>
        </w:tc>
        <w:tc>
          <w:tcPr>
            <w:tcW w:w="516" w:type="pct"/>
          </w:tcPr>
          <w:p w14:paraId="62D557DF" w14:textId="33FC0505" w:rsidR="00CA246E" w:rsidRPr="00A42C97" w:rsidRDefault="00CA246E" w:rsidP="00F77E9D">
            <w:pPr>
              <w:jc w:val="center"/>
              <w:rPr>
                <w:rFonts w:ascii="Arial" w:hAnsi="Arial" w:cs="Arial"/>
                <w:sz w:val="20"/>
                <w:szCs w:val="20"/>
              </w:rPr>
            </w:pPr>
            <w:r w:rsidRPr="00A42C97">
              <w:rPr>
                <w:rFonts w:ascii="Arial" w:hAnsi="Arial" w:cs="Arial"/>
                <w:sz w:val="20"/>
                <w:szCs w:val="20"/>
              </w:rPr>
              <w:t>0.80</w:t>
            </w:r>
          </w:p>
        </w:tc>
        <w:tc>
          <w:tcPr>
            <w:tcW w:w="1011" w:type="pct"/>
          </w:tcPr>
          <w:p w14:paraId="2D98F7E7" w14:textId="77777777" w:rsidR="00CA246E" w:rsidRPr="00A42C97" w:rsidRDefault="00CA246E"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2EE8F61E" w14:textId="77777777" w:rsidTr="00F77E9D">
        <w:trPr>
          <w:trHeight w:val="253"/>
        </w:trPr>
        <w:tc>
          <w:tcPr>
            <w:tcW w:w="2960" w:type="pct"/>
          </w:tcPr>
          <w:p w14:paraId="0C1107F2" w14:textId="07785647" w:rsidR="00CA246E" w:rsidRPr="00A42C97" w:rsidRDefault="00CA246E" w:rsidP="00F77E9D">
            <w:pPr>
              <w:rPr>
                <w:rFonts w:ascii="Arial" w:hAnsi="Arial" w:cs="Arial"/>
                <w:sz w:val="20"/>
                <w:szCs w:val="20"/>
              </w:rPr>
            </w:pPr>
            <w:r w:rsidRPr="00A42C97">
              <w:rPr>
                <w:rFonts w:ascii="Arial" w:hAnsi="Arial" w:cs="Arial"/>
                <w:sz w:val="20"/>
                <w:szCs w:val="20"/>
              </w:rPr>
              <w:t>Personal Initiative</w:t>
            </w:r>
          </w:p>
        </w:tc>
        <w:tc>
          <w:tcPr>
            <w:tcW w:w="513" w:type="pct"/>
          </w:tcPr>
          <w:p w14:paraId="046A7BF3" w14:textId="3357B0A1" w:rsidR="00CA246E" w:rsidRPr="00A42C97" w:rsidRDefault="00CA246E" w:rsidP="00F77E9D">
            <w:pPr>
              <w:jc w:val="center"/>
              <w:rPr>
                <w:rFonts w:ascii="Arial" w:hAnsi="Arial" w:cs="Arial"/>
                <w:sz w:val="20"/>
                <w:szCs w:val="20"/>
              </w:rPr>
            </w:pPr>
            <w:r w:rsidRPr="00A42C97">
              <w:rPr>
                <w:rFonts w:ascii="Arial" w:hAnsi="Arial" w:cs="Arial"/>
                <w:sz w:val="20"/>
                <w:szCs w:val="20"/>
              </w:rPr>
              <w:t>3.26</w:t>
            </w:r>
          </w:p>
        </w:tc>
        <w:tc>
          <w:tcPr>
            <w:tcW w:w="516" w:type="pct"/>
          </w:tcPr>
          <w:p w14:paraId="0421D320" w14:textId="7DCF51A7" w:rsidR="00CA246E" w:rsidRPr="00A42C97" w:rsidRDefault="00CA246E" w:rsidP="00F77E9D">
            <w:pPr>
              <w:jc w:val="center"/>
              <w:rPr>
                <w:rFonts w:ascii="Arial" w:hAnsi="Arial" w:cs="Arial"/>
                <w:sz w:val="20"/>
                <w:szCs w:val="20"/>
              </w:rPr>
            </w:pPr>
            <w:r w:rsidRPr="00A42C97">
              <w:rPr>
                <w:rFonts w:ascii="Arial" w:hAnsi="Arial" w:cs="Arial"/>
                <w:sz w:val="20"/>
                <w:szCs w:val="20"/>
              </w:rPr>
              <w:t>0.74</w:t>
            </w:r>
          </w:p>
        </w:tc>
        <w:tc>
          <w:tcPr>
            <w:tcW w:w="1011" w:type="pct"/>
          </w:tcPr>
          <w:p w14:paraId="20AD2ECB" w14:textId="77777777" w:rsidR="00CA246E" w:rsidRPr="00A42C97" w:rsidRDefault="00CA246E" w:rsidP="00F77E9D">
            <w:pPr>
              <w:jc w:val="center"/>
              <w:rPr>
                <w:rFonts w:ascii="Arial" w:hAnsi="Arial" w:cs="Arial"/>
                <w:sz w:val="20"/>
                <w:szCs w:val="20"/>
              </w:rPr>
            </w:pPr>
            <w:r w:rsidRPr="00A42C97">
              <w:rPr>
                <w:rFonts w:ascii="Arial" w:hAnsi="Arial" w:cs="Arial"/>
                <w:sz w:val="20"/>
                <w:szCs w:val="20"/>
              </w:rPr>
              <w:t>Moderate</w:t>
            </w:r>
          </w:p>
        </w:tc>
      </w:tr>
      <w:tr w:rsidR="00CA246E" w:rsidRPr="00A42C97" w14:paraId="2E6D92EA" w14:textId="77777777" w:rsidTr="00F77E9D">
        <w:trPr>
          <w:trHeight w:val="253"/>
        </w:trPr>
        <w:tc>
          <w:tcPr>
            <w:tcW w:w="2960" w:type="pct"/>
            <w:tcBorders>
              <w:top w:val="single" w:sz="4" w:space="0" w:color="auto"/>
              <w:bottom w:val="thickThinSmallGap" w:sz="18" w:space="0" w:color="auto"/>
            </w:tcBorders>
          </w:tcPr>
          <w:p w14:paraId="3100AE9F" w14:textId="00FE2A9E" w:rsidR="00CA246E" w:rsidRPr="00A42C97" w:rsidRDefault="00CA246E" w:rsidP="00F77E9D">
            <w:pPr>
              <w:rPr>
                <w:rFonts w:ascii="Arial" w:hAnsi="Arial" w:cs="Arial"/>
                <w:b/>
                <w:bCs/>
                <w:sz w:val="20"/>
                <w:szCs w:val="20"/>
              </w:rPr>
            </w:pPr>
            <w:r w:rsidRPr="00A42C97">
              <w:rPr>
                <w:rFonts w:ascii="Arial" w:hAnsi="Arial" w:cs="Arial"/>
                <w:b/>
                <w:bCs/>
                <w:sz w:val="20"/>
                <w:szCs w:val="20"/>
              </w:rPr>
              <w:t>Academic Procrastination (Overall)</w:t>
            </w:r>
          </w:p>
        </w:tc>
        <w:tc>
          <w:tcPr>
            <w:tcW w:w="513" w:type="pct"/>
            <w:tcBorders>
              <w:top w:val="single" w:sz="4" w:space="0" w:color="auto"/>
              <w:bottom w:val="thickThinSmallGap" w:sz="18" w:space="0" w:color="auto"/>
            </w:tcBorders>
          </w:tcPr>
          <w:p w14:paraId="0237CB54" w14:textId="41F60915"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3.16</w:t>
            </w:r>
          </w:p>
        </w:tc>
        <w:tc>
          <w:tcPr>
            <w:tcW w:w="516" w:type="pct"/>
            <w:tcBorders>
              <w:top w:val="single" w:sz="4" w:space="0" w:color="auto"/>
              <w:bottom w:val="thickThinSmallGap" w:sz="18" w:space="0" w:color="auto"/>
            </w:tcBorders>
          </w:tcPr>
          <w:p w14:paraId="31800685" w14:textId="1644440E"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0.</w:t>
            </w:r>
            <w:r w:rsidR="00BA56CF" w:rsidRPr="00A42C97">
              <w:rPr>
                <w:rFonts w:ascii="Arial" w:hAnsi="Arial" w:cs="Arial"/>
                <w:b/>
                <w:bCs/>
                <w:sz w:val="20"/>
                <w:szCs w:val="20"/>
              </w:rPr>
              <w:t>63</w:t>
            </w:r>
          </w:p>
        </w:tc>
        <w:tc>
          <w:tcPr>
            <w:tcW w:w="1011" w:type="pct"/>
            <w:tcBorders>
              <w:top w:val="single" w:sz="4" w:space="0" w:color="auto"/>
              <w:bottom w:val="thickThinSmallGap" w:sz="18" w:space="0" w:color="auto"/>
            </w:tcBorders>
          </w:tcPr>
          <w:p w14:paraId="1786EE38" w14:textId="77777777" w:rsidR="00CA246E" w:rsidRPr="00A42C97" w:rsidRDefault="00CA246E" w:rsidP="00F77E9D">
            <w:pPr>
              <w:jc w:val="center"/>
              <w:rPr>
                <w:rFonts w:ascii="Arial" w:hAnsi="Arial" w:cs="Arial"/>
                <w:b/>
                <w:bCs/>
                <w:sz w:val="20"/>
                <w:szCs w:val="20"/>
              </w:rPr>
            </w:pPr>
            <w:r w:rsidRPr="00A42C97">
              <w:rPr>
                <w:rFonts w:ascii="Arial" w:hAnsi="Arial" w:cs="Arial"/>
                <w:b/>
                <w:bCs/>
                <w:sz w:val="20"/>
                <w:szCs w:val="20"/>
              </w:rPr>
              <w:t>Moderate</w:t>
            </w:r>
          </w:p>
        </w:tc>
      </w:tr>
    </w:tbl>
    <w:p w14:paraId="46EFBF38" w14:textId="77777777" w:rsidR="009B66B4" w:rsidRPr="00A42C97" w:rsidRDefault="009B66B4" w:rsidP="00CA246E">
      <w:pPr>
        <w:ind w:right="-72"/>
        <w:rPr>
          <w:rFonts w:ascii="Arial" w:hAnsi="Arial" w:cs="Arial"/>
          <w:b/>
          <w:bCs/>
        </w:rPr>
      </w:pPr>
    </w:p>
    <w:p w14:paraId="416CC881" w14:textId="13BB1CA6" w:rsidR="00E44474" w:rsidRPr="00A42C97" w:rsidRDefault="00E44474" w:rsidP="00E44474">
      <w:pPr>
        <w:pStyle w:val="Heading2"/>
        <w:ind w:left="360" w:hanging="360"/>
        <w:jc w:val="both"/>
        <w:rPr>
          <w:rFonts w:ascii="Arial" w:eastAsia="Times New Roman" w:hAnsi="Arial" w:cs="Arial"/>
          <w:b/>
          <w:bCs/>
          <w:color w:val="000000" w:themeColor="text1"/>
          <w:sz w:val="22"/>
          <w:szCs w:val="22"/>
        </w:rPr>
      </w:pPr>
      <w:r w:rsidRPr="00A42C97">
        <w:rPr>
          <w:rFonts w:ascii="Arial" w:eastAsia="Times New Roman" w:hAnsi="Arial" w:cs="Arial"/>
          <w:b/>
          <w:bCs/>
          <w:color w:val="000000" w:themeColor="text1"/>
          <w:sz w:val="22"/>
          <w:szCs w:val="22"/>
        </w:rPr>
        <w:t>4.</w:t>
      </w:r>
      <w:r w:rsidR="00BA56CF" w:rsidRPr="00A42C97">
        <w:rPr>
          <w:rFonts w:ascii="Arial" w:eastAsia="Times New Roman" w:hAnsi="Arial" w:cs="Arial"/>
          <w:b/>
          <w:bCs/>
          <w:color w:val="000000" w:themeColor="text1"/>
          <w:sz w:val="22"/>
          <w:szCs w:val="22"/>
        </w:rPr>
        <w:t>2</w:t>
      </w:r>
      <w:r w:rsidRPr="00A42C97">
        <w:rPr>
          <w:rFonts w:ascii="Arial" w:eastAsia="Times New Roman" w:hAnsi="Arial" w:cs="Arial"/>
          <w:b/>
          <w:bCs/>
          <w:color w:val="000000" w:themeColor="text1"/>
          <w:sz w:val="22"/>
          <w:szCs w:val="22"/>
        </w:rPr>
        <w:tab/>
      </w:r>
      <w:r w:rsidR="00BA56CF" w:rsidRPr="00A42C97">
        <w:rPr>
          <w:rFonts w:ascii="Arial" w:eastAsia="Times New Roman" w:hAnsi="Arial" w:cs="Arial"/>
          <w:b/>
          <w:bCs/>
          <w:color w:val="000000" w:themeColor="text1"/>
          <w:sz w:val="22"/>
          <w:szCs w:val="22"/>
        </w:rPr>
        <w:t>Relationship between Fear of Failure in Learning Mathematics and Academic Procrastination</w:t>
      </w:r>
    </w:p>
    <w:p w14:paraId="0554D941" w14:textId="77777777" w:rsidR="00E44474" w:rsidRPr="00A42C97" w:rsidRDefault="00E44474" w:rsidP="00E44474">
      <w:pPr>
        <w:jc w:val="both"/>
        <w:rPr>
          <w:rFonts w:ascii="Arial" w:eastAsia="SimSun" w:hAnsi="Arial" w:cs="Arial"/>
          <w:shd w:val="clear" w:color="auto" w:fill="FFFFFF"/>
        </w:rPr>
      </w:pPr>
    </w:p>
    <w:p w14:paraId="6C086601" w14:textId="27D6B50B" w:rsidR="00CB1198" w:rsidRPr="00A42C97" w:rsidRDefault="00CB1198" w:rsidP="00CB1198">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The results of the study revealed a significant positive relationship between fear of failure in learning mathematics and academic procrastination among college students in Davao Occidental. The computed correlation coefficient was 0.317 with a p-value of 0.003, indicating a low but statistically significant correlation. This means that as students’ fear of failure increases, their likelihood of engaging in academic procrastination also tends to increase.</w:t>
      </w:r>
    </w:p>
    <w:p w14:paraId="7FC18F75" w14:textId="77777777"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When broken down by specific domains of fear of failure, all indicators showed positive correlations with academic procrastination. The domain upsetting important others had the strongest correlation at r = 0.384, followed by important others losing interest at r = 0.320, and experiencing shame and embarrassment at r = 0.314. Devaluing one’s self-estimate and having an uncertain future also correlated positively, with </w:t>
      </w:r>
      <w:proofErr w:type="spellStart"/>
      <w:r w:rsidRPr="00A42C97">
        <w:rPr>
          <w:rFonts w:ascii="Arial" w:eastAsia="SimSun" w:hAnsi="Arial" w:cs="Arial"/>
          <w:shd w:val="clear" w:color="auto" w:fill="FFFFFF"/>
        </w:rPr>
        <w:t>r-values</w:t>
      </w:r>
      <w:proofErr w:type="spellEnd"/>
      <w:r w:rsidRPr="00A42C97">
        <w:rPr>
          <w:rFonts w:ascii="Arial" w:eastAsia="SimSun" w:hAnsi="Arial" w:cs="Arial"/>
          <w:shd w:val="clear" w:color="auto" w:fill="FFFFFF"/>
        </w:rPr>
        <w:t xml:space="preserve"> of 0.285 and 0.239 respectively. These results suggest that interpersonal and emotional concerns, particularly the fear of disappointing others, are strongly linked to students’ tendency to delay academic tasks.</w:t>
      </w:r>
    </w:p>
    <w:p w14:paraId="63B3C3CF" w14:textId="4A24F31F"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These findings are consistent with those of Zarrin et al. (2020), who found that fear of failure is significantly associated with academic procrastination and is often rooted in self-worth protection and anxiety. Similarly, Javanmard </w:t>
      </w:r>
      <w:r w:rsidR="009537E3" w:rsidRPr="00A42C97">
        <w:rPr>
          <w:rFonts w:ascii="Arial" w:eastAsia="SimSun" w:hAnsi="Arial" w:cs="Arial"/>
          <w:shd w:val="clear" w:color="auto" w:fill="FFFFFF"/>
        </w:rPr>
        <w:t xml:space="preserve">and </w:t>
      </w:r>
      <w:r w:rsidR="009537E3" w:rsidRPr="00A42C97">
        <w:rPr>
          <w:rFonts w:ascii="Arial" w:eastAsia="SimSun" w:hAnsi="Arial"/>
          <w:shd w:val="clear" w:color="auto" w:fill="FFFFFF"/>
        </w:rPr>
        <w:t>Mohammadi</w:t>
      </w:r>
      <w:r w:rsidR="009537E3" w:rsidRPr="00A42C97">
        <w:rPr>
          <w:rFonts w:ascii="Arial" w:eastAsia="SimSun" w:hAnsi="Arial" w:cs="Arial"/>
          <w:shd w:val="clear" w:color="auto" w:fill="FFFFFF"/>
        </w:rPr>
        <w:t xml:space="preserve"> </w:t>
      </w:r>
      <w:r w:rsidRPr="00A42C97">
        <w:rPr>
          <w:rFonts w:ascii="Arial" w:eastAsia="SimSun" w:hAnsi="Arial" w:cs="Arial"/>
          <w:shd w:val="clear" w:color="auto" w:fill="FFFFFF"/>
        </w:rPr>
        <w:t xml:space="preserve">(2017) confirmed a positive relationship between these variables, emphasizing that fear of failure can predict procrastination tendencies. The same pattern was observed in a study by </w:t>
      </w:r>
      <w:proofErr w:type="spellStart"/>
      <w:r w:rsidRPr="00A42C97">
        <w:rPr>
          <w:rFonts w:ascii="Arial" w:eastAsia="SimSun" w:hAnsi="Arial" w:cs="Arial"/>
          <w:shd w:val="clear" w:color="auto" w:fill="FFFFFF"/>
        </w:rPr>
        <w:t>Obenza</w:t>
      </w:r>
      <w:proofErr w:type="spellEnd"/>
      <w:r w:rsidRPr="00A42C97">
        <w:rPr>
          <w:rFonts w:ascii="Arial" w:eastAsia="SimSun" w:hAnsi="Arial" w:cs="Arial"/>
          <w:shd w:val="clear" w:color="auto" w:fill="FFFFFF"/>
        </w:rPr>
        <w:t xml:space="preserve"> et al. (2024), which found that academic stress mediates the relationship between fear of failure and procrastination, underscoring how emotional strain contributes to task avoidance.</w:t>
      </w:r>
    </w:p>
    <w:p w14:paraId="796A0CD8" w14:textId="77777777" w:rsidR="00CB1198"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Additionally, Tan and </w:t>
      </w:r>
      <w:proofErr w:type="spellStart"/>
      <w:r w:rsidRPr="00A42C97">
        <w:rPr>
          <w:rFonts w:ascii="Arial" w:eastAsia="SimSun" w:hAnsi="Arial" w:cs="Arial"/>
          <w:shd w:val="clear" w:color="auto" w:fill="FFFFFF"/>
        </w:rPr>
        <w:t>Prihadi</w:t>
      </w:r>
      <w:proofErr w:type="spellEnd"/>
      <w:r w:rsidRPr="00A42C97">
        <w:rPr>
          <w:rFonts w:ascii="Arial" w:eastAsia="SimSun" w:hAnsi="Arial" w:cs="Arial"/>
          <w:shd w:val="clear" w:color="auto" w:fill="FFFFFF"/>
        </w:rPr>
        <w:t xml:space="preserve"> (2022) explained that fear of receiving low grades often leads students to procrastinate; however, if students develop a more positive perception of completing tasks early, they are more likely to change their behavior. </w:t>
      </w:r>
      <w:proofErr w:type="spellStart"/>
      <w:r w:rsidRPr="00A42C97">
        <w:rPr>
          <w:rFonts w:ascii="Arial" w:eastAsia="SimSun" w:hAnsi="Arial" w:cs="Arial"/>
          <w:shd w:val="clear" w:color="auto" w:fill="FFFFFF"/>
        </w:rPr>
        <w:t>Widhiastuti</w:t>
      </w:r>
      <w:proofErr w:type="spellEnd"/>
      <w:r w:rsidRPr="00A42C97">
        <w:rPr>
          <w:rFonts w:ascii="Arial" w:eastAsia="SimSun" w:hAnsi="Arial" w:cs="Arial"/>
          <w:shd w:val="clear" w:color="auto" w:fill="FFFFFF"/>
        </w:rPr>
        <w:t xml:space="preserve"> and Kanaka (2021) further argued that fear of failure negatively impacts self-esteem and encourages avoidance behaviors, such as procrastination, as a way to escape evaluation anxiety.</w:t>
      </w:r>
    </w:p>
    <w:p w14:paraId="4D0C11AD" w14:textId="4967A4BA" w:rsidR="0040362E" w:rsidRPr="00A42C97" w:rsidRDefault="00CB1198" w:rsidP="00142023">
      <w:pPr>
        <w:spacing w:after="4"/>
        <w:ind w:right="8" w:firstLine="360"/>
        <w:jc w:val="both"/>
        <w:rPr>
          <w:rFonts w:ascii="Arial" w:eastAsia="SimSun" w:hAnsi="Arial" w:cs="Arial"/>
          <w:shd w:val="clear" w:color="auto" w:fill="FFFFFF"/>
        </w:rPr>
      </w:pPr>
      <w:r w:rsidRPr="00A42C97">
        <w:rPr>
          <w:rFonts w:ascii="Arial" w:eastAsia="SimSun" w:hAnsi="Arial" w:cs="Arial"/>
          <w:shd w:val="clear" w:color="auto" w:fill="FFFFFF"/>
        </w:rPr>
        <w:t xml:space="preserve">The results of the present study confirm that fear of failure plays a contributing role in academic procrastination, as students who anticipate failure often delay their work to protect themselves from the negative emotional consequences of poor performance. This behavior, while momentarily comforting, may reinforce cycles of avoidance and hinder academic growth. </w:t>
      </w:r>
      <w:r w:rsidRPr="00A42C97">
        <w:rPr>
          <w:rFonts w:ascii="Arial" w:eastAsia="SimSun" w:hAnsi="Arial" w:cs="Arial"/>
          <w:shd w:val="clear" w:color="auto" w:fill="FFFFFF"/>
        </w:rPr>
        <w:lastRenderedPageBreak/>
        <w:t>Addressing this issue requires the development of time management skills, realistic goal-setting, emotional resilience, and the cultivation of a growth mindset. As Sudirman et al. (2023) recommended, overcoming fear of failure and improving motivation are crucial steps to reducing procrastination and improving academic outcomes.</w:t>
      </w:r>
    </w:p>
    <w:p w14:paraId="4A260472" w14:textId="394E0FEB" w:rsidR="00BA56CF" w:rsidRPr="00A42C97" w:rsidRDefault="00BA56CF" w:rsidP="00BA56CF">
      <w:pPr>
        <w:spacing w:after="4"/>
        <w:ind w:right="8"/>
        <w:jc w:val="both"/>
        <w:rPr>
          <w:rFonts w:ascii="Arial" w:hAnsi="Arial" w:cs="Arial"/>
          <w:b/>
          <w:bCs/>
          <w:color w:val="000000"/>
          <w:lang w:eastAsia="en-PH" w:bidi="en-PH"/>
        </w:rPr>
      </w:pPr>
    </w:p>
    <w:p w14:paraId="02C58EEE" w14:textId="77777777" w:rsidR="00142023" w:rsidRPr="00A42C97" w:rsidRDefault="00142023" w:rsidP="00BA56CF">
      <w:pPr>
        <w:spacing w:after="4"/>
        <w:ind w:right="8"/>
        <w:jc w:val="both"/>
        <w:rPr>
          <w:rFonts w:ascii="Arial" w:hAnsi="Arial" w:cs="Arial"/>
          <w:b/>
          <w:bCs/>
          <w:color w:val="000000"/>
          <w:lang w:eastAsia="en-PH" w:bidi="en-PH"/>
        </w:rPr>
      </w:pPr>
    </w:p>
    <w:p w14:paraId="19BBA963" w14:textId="59404E2D" w:rsidR="005C4629" w:rsidRPr="00A42C97" w:rsidRDefault="005C4629" w:rsidP="005B6488">
      <w:pPr>
        <w:spacing w:after="4"/>
        <w:ind w:left="900" w:right="8" w:hanging="900"/>
        <w:rPr>
          <w:rFonts w:ascii="Arial" w:hAnsi="Arial" w:cs="Arial"/>
          <w:color w:val="000000"/>
          <w:lang w:eastAsia="en-PH" w:bidi="en-PH"/>
        </w:rPr>
      </w:pPr>
      <w:r w:rsidRPr="00A42C97">
        <w:rPr>
          <w:rFonts w:ascii="Arial" w:hAnsi="Arial" w:cs="Arial"/>
          <w:b/>
          <w:bCs/>
          <w:color w:val="000000"/>
          <w:lang w:eastAsia="en-PH" w:bidi="en-PH"/>
        </w:rPr>
        <w:t xml:space="preserve">Table 4. </w:t>
      </w:r>
      <w:r w:rsidR="00BA56CF" w:rsidRPr="00A42C97">
        <w:rPr>
          <w:rFonts w:ascii="Arial" w:hAnsi="Arial" w:cs="Arial"/>
          <w:color w:val="000000"/>
          <w:lang w:eastAsia="en-PH" w:bidi="en-PH"/>
        </w:rPr>
        <w:t>Relationship between Fear of Failure in Learning Mathematics and Academic Procrastination</w:t>
      </w:r>
    </w:p>
    <w:tbl>
      <w:tblPr>
        <w:tblStyle w:val="TableGrid0"/>
        <w:tblW w:w="0" w:type="auto"/>
        <w:tblInd w:w="-10" w:type="dxa"/>
        <w:tblLook w:val="04A0" w:firstRow="1" w:lastRow="0" w:firstColumn="1" w:lastColumn="0" w:noHBand="0" w:noVBand="1"/>
      </w:tblPr>
      <w:tblGrid>
        <w:gridCol w:w="3340"/>
        <w:gridCol w:w="1620"/>
        <w:gridCol w:w="1890"/>
        <w:gridCol w:w="1350"/>
      </w:tblGrid>
      <w:tr w:rsidR="00C90E4D" w:rsidRPr="00A42C97" w14:paraId="3F9B945A" w14:textId="77777777" w:rsidTr="00FD753E">
        <w:tc>
          <w:tcPr>
            <w:tcW w:w="3340" w:type="dxa"/>
            <w:tcBorders>
              <w:top w:val="thinThickSmallGap" w:sz="24" w:space="0" w:color="auto"/>
              <w:bottom w:val="single" w:sz="4" w:space="0" w:color="auto"/>
            </w:tcBorders>
          </w:tcPr>
          <w:p w14:paraId="4F5E0D16" w14:textId="77777777"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INDICATORS</w:t>
            </w:r>
          </w:p>
        </w:tc>
        <w:tc>
          <w:tcPr>
            <w:tcW w:w="1620" w:type="dxa"/>
            <w:tcBorders>
              <w:top w:val="thinThickSmallGap" w:sz="24" w:space="0" w:color="auto"/>
              <w:bottom w:val="single" w:sz="4" w:space="0" w:color="auto"/>
            </w:tcBorders>
          </w:tcPr>
          <w:p w14:paraId="6628E1D4" w14:textId="52405254" w:rsidR="00C90E4D" w:rsidRPr="00A42C97" w:rsidRDefault="00C90E4D" w:rsidP="001A218C">
            <w:pPr>
              <w:jc w:val="center"/>
              <w:rPr>
                <w:rFonts w:ascii="Arial" w:eastAsia="Tahoma" w:hAnsi="Arial" w:cs="Arial"/>
                <w:b/>
                <w:bCs/>
                <w:color w:val="000000"/>
                <w:sz w:val="20"/>
                <w:szCs w:val="20"/>
                <w:lang w:eastAsia="en-PH" w:bidi="en-PH"/>
              </w:rPr>
            </w:pPr>
            <w:proofErr w:type="spellStart"/>
            <w:r w:rsidRPr="00A42C97">
              <w:rPr>
                <w:rFonts w:ascii="Arial" w:eastAsia="Tahoma" w:hAnsi="Arial" w:cs="Arial"/>
                <w:b/>
                <w:bCs/>
                <w:color w:val="000000"/>
                <w:sz w:val="20"/>
                <w:szCs w:val="20"/>
                <w:lang w:eastAsia="en-PH" w:bidi="en-PH"/>
              </w:rPr>
              <w:t>r-VALUE</w:t>
            </w:r>
            <w:proofErr w:type="spellEnd"/>
          </w:p>
        </w:tc>
        <w:tc>
          <w:tcPr>
            <w:tcW w:w="1890" w:type="dxa"/>
            <w:tcBorders>
              <w:top w:val="thinThickSmallGap" w:sz="24" w:space="0" w:color="auto"/>
              <w:bottom w:val="single" w:sz="4" w:space="0" w:color="auto"/>
            </w:tcBorders>
          </w:tcPr>
          <w:p w14:paraId="496C5DE1" w14:textId="77777777"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DESCRIPTION</w:t>
            </w:r>
          </w:p>
        </w:tc>
        <w:tc>
          <w:tcPr>
            <w:tcW w:w="1350" w:type="dxa"/>
            <w:tcBorders>
              <w:top w:val="thinThickSmallGap" w:sz="24" w:space="0" w:color="auto"/>
              <w:bottom w:val="single" w:sz="4" w:space="0" w:color="auto"/>
            </w:tcBorders>
          </w:tcPr>
          <w:p w14:paraId="5D5A4EBD" w14:textId="5623FECF" w:rsidR="00C90E4D" w:rsidRPr="00A42C97" w:rsidRDefault="00C90E4D" w:rsidP="001A218C">
            <w:pPr>
              <w:jc w:val="center"/>
              <w:rPr>
                <w:rFonts w:ascii="Arial" w:eastAsia="Tahoma" w:hAnsi="Arial" w:cs="Arial"/>
                <w:b/>
                <w:bCs/>
                <w:color w:val="000000"/>
                <w:sz w:val="20"/>
                <w:szCs w:val="20"/>
                <w:lang w:eastAsia="en-PH" w:bidi="en-PH"/>
              </w:rPr>
            </w:pPr>
            <w:r w:rsidRPr="00A42C97">
              <w:rPr>
                <w:rFonts w:ascii="Arial" w:eastAsia="Tahoma" w:hAnsi="Arial" w:cs="Arial"/>
                <w:b/>
                <w:bCs/>
                <w:color w:val="000000"/>
                <w:sz w:val="20"/>
                <w:szCs w:val="20"/>
                <w:lang w:eastAsia="en-PH" w:bidi="en-PH"/>
              </w:rPr>
              <w:t>p-VALUE</w:t>
            </w:r>
          </w:p>
        </w:tc>
      </w:tr>
      <w:tr w:rsidR="00BA56CF" w:rsidRPr="00A42C97" w14:paraId="08CF0A5B" w14:textId="77777777" w:rsidTr="00FD753E">
        <w:trPr>
          <w:trHeight w:val="197"/>
        </w:trPr>
        <w:tc>
          <w:tcPr>
            <w:tcW w:w="3340" w:type="dxa"/>
            <w:tcBorders>
              <w:top w:val="single" w:sz="4" w:space="0" w:color="auto"/>
            </w:tcBorders>
          </w:tcPr>
          <w:p w14:paraId="4E972087" w14:textId="48EF5B7A"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Experiencing Shame and Embarrassment</w:t>
            </w:r>
          </w:p>
        </w:tc>
        <w:tc>
          <w:tcPr>
            <w:tcW w:w="1620" w:type="dxa"/>
            <w:tcBorders>
              <w:top w:val="single" w:sz="4" w:space="0" w:color="auto"/>
            </w:tcBorders>
          </w:tcPr>
          <w:p w14:paraId="16C7C119" w14:textId="5CFA82B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0.314</w:t>
            </w:r>
          </w:p>
        </w:tc>
        <w:tc>
          <w:tcPr>
            <w:tcW w:w="1890" w:type="dxa"/>
            <w:tcBorders>
              <w:top w:val="single" w:sz="4" w:space="0" w:color="auto"/>
            </w:tcBorders>
          </w:tcPr>
          <w:p w14:paraId="08479EB2" w14:textId="2D6A2C2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Borders>
              <w:top w:val="single" w:sz="4" w:space="0" w:color="auto"/>
            </w:tcBorders>
          </w:tcPr>
          <w:p w14:paraId="3E9FD87F" w14:textId="503E507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0.001</w:t>
            </w:r>
          </w:p>
        </w:tc>
      </w:tr>
      <w:tr w:rsidR="00BA56CF" w:rsidRPr="00A42C97" w14:paraId="2F20AD89" w14:textId="77777777" w:rsidTr="00FD753E">
        <w:tc>
          <w:tcPr>
            <w:tcW w:w="3340" w:type="dxa"/>
          </w:tcPr>
          <w:p w14:paraId="09CCFBFC" w14:textId="74497B07"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Devaluing One’s Self-Estimate</w:t>
            </w:r>
          </w:p>
        </w:tc>
        <w:tc>
          <w:tcPr>
            <w:tcW w:w="1620" w:type="dxa"/>
          </w:tcPr>
          <w:p w14:paraId="17EBAB7F" w14:textId="41C607A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0.285</w:t>
            </w:r>
          </w:p>
        </w:tc>
        <w:tc>
          <w:tcPr>
            <w:tcW w:w="1890" w:type="dxa"/>
          </w:tcPr>
          <w:p w14:paraId="471EDC69" w14:textId="54FF6107"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Pr>
          <w:p w14:paraId="05FA879B" w14:textId="436BA319"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0.002</w:t>
            </w:r>
          </w:p>
        </w:tc>
      </w:tr>
      <w:tr w:rsidR="00BA56CF" w:rsidRPr="00A42C97" w14:paraId="56C81BB2" w14:textId="77777777" w:rsidTr="00FD753E">
        <w:tc>
          <w:tcPr>
            <w:tcW w:w="3340" w:type="dxa"/>
          </w:tcPr>
          <w:p w14:paraId="3DD880CA" w14:textId="56F6E6DB" w:rsidR="00BA56CF" w:rsidRPr="00A42C97" w:rsidRDefault="00BA56CF" w:rsidP="00BA56CF">
            <w:pPr>
              <w:rPr>
                <w:rFonts w:ascii="Arial" w:hAnsi="Arial" w:cs="Arial"/>
                <w:sz w:val="20"/>
                <w:szCs w:val="20"/>
              </w:rPr>
            </w:pPr>
            <w:r w:rsidRPr="00A42C97">
              <w:rPr>
                <w:rFonts w:ascii="Arial" w:hAnsi="Arial" w:cs="Arial"/>
                <w:sz w:val="20"/>
                <w:szCs w:val="20"/>
              </w:rPr>
              <w:t>Having Uncertain Future</w:t>
            </w:r>
          </w:p>
        </w:tc>
        <w:tc>
          <w:tcPr>
            <w:tcW w:w="1620" w:type="dxa"/>
          </w:tcPr>
          <w:p w14:paraId="35D1A990" w14:textId="4B150E81" w:rsidR="00BA56CF" w:rsidRPr="00A42C97" w:rsidRDefault="00BA56CF" w:rsidP="00BA56CF">
            <w:pPr>
              <w:jc w:val="center"/>
              <w:rPr>
                <w:rFonts w:ascii="Arial" w:hAnsi="Arial" w:cs="Arial"/>
                <w:sz w:val="20"/>
                <w:szCs w:val="20"/>
              </w:rPr>
            </w:pPr>
            <w:r w:rsidRPr="00A42C97">
              <w:rPr>
                <w:rFonts w:ascii="Arial" w:hAnsi="Arial" w:cs="Arial"/>
                <w:sz w:val="20"/>
                <w:szCs w:val="20"/>
              </w:rPr>
              <w:t>0.239</w:t>
            </w:r>
          </w:p>
        </w:tc>
        <w:tc>
          <w:tcPr>
            <w:tcW w:w="1890" w:type="dxa"/>
          </w:tcPr>
          <w:p w14:paraId="4762CD88" w14:textId="263C9EDD" w:rsidR="00BA56CF" w:rsidRPr="00A42C97" w:rsidRDefault="00BA56CF" w:rsidP="00BA56CF">
            <w:pPr>
              <w:jc w:val="center"/>
              <w:rPr>
                <w:rFonts w:ascii="Arial" w:hAnsi="Arial" w:cs="Arial"/>
                <w:sz w:val="20"/>
                <w:szCs w:val="20"/>
              </w:rPr>
            </w:pPr>
            <w:r w:rsidRPr="00A42C97">
              <w:rPr>
                <w:rFonts w:ascii="Arial" w:eastAsia="Tahoma" w:hAnsi="Arial" w:cs="Arial"/>
                <w:color w:val="000000"/>
                <w:sz w:val="20"/>
                <w:szCs w:val="20"/>
                <w:lang w:bidi="en-PH"/>
              </w:rPr>
              <w:t xml:space="preserve">Low Correlation </w:t>
            </w:r>
          </w:p>
        </w:tc>
        <w:tc>
          <w:tcPr>
            <w:tcW w:w="1350" w:type="dxa"/>
          </w:tcPr>
          <w:p w14:paraId="3473BA8A" w14:textId="63A60236"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0.011</w:t>
            </w:r>
          </w:p>
        </w:tc>
      </w:tr>
      <w:tr w:rsidR="00BA56CF" w:rsidRPr="00A42C97" w14:paraId="66B4FDE5" w14:textId="77777777" w:rsidTr="000A7305">
        <w:tc>
          <w:tcPr>
            <w:tcW w:w="3340" w:type="dxa"/>
          </w:tcPr>
          <w:p w14:paraId="264E322E" w14:textId="70163DAD" w:rsidR="00BA56CF" w:rsidRPr="00A42C97" w:rsidRDefault="00BA56CF" w:rsidP="00BA56CF">
            <w:pPr>
              <w:rPr>
                <w:rFonts w:ascii="Arial" w:hAnsi="Arial" w:cs="Arial"/>
                <w:sz w:val="20"/>
                <w:szCs w:val="20"/>
              </w:rPr>
            </w:pPr>
            <w:r w:rsidRPr="00A42C97">
              <w:rPr>
                <w:rFonts w:ascii="Arial" w:hAnsi="Arial" w:cs="Arial"/>
                <w:sz w:val="20"/>
                <w:szCs w:val="20"/>
              </w:rPr>
              <w:t>Important Others Losing Interest</w:t>
            </w:r>
          </w:p>
        </w:tc>
        <w:tc>
          <w:tcPr>
            <w:tcW w:w="1620" w:type="dxa"/>
          </w:tcPr>
          <w:p w14:paraId="20E7E854" w14:textId="71F5F5E3" w:rsidR="00BA56CF" w:rsidRPr="00A42C97" w:rsidRDefault="00BA56CF" w:rsidP="00BA56CF">
            <w:pPr>
              <w:jc w:val="center"/>
              <w:rPr>
                <w:rFonts w:ascii="Arial" w:hAnsi="Arial" w:cs="Arial"/>
                <w:sz w:val="20"/>
                <w:szCs w:val="20"/>
              </w:rPr>
            </w:pPr>
            <w:r w:rsidRPr="00A42C97">
              <w:rPr>
                <w:rFonts w:ascii="Arial" w:hAnsi="Arial" w:cs="Arial"/>
                <w:sz w:val="20"/>
                <w:szCs w:val="20"/>
              </w:rPr>
              <w:t>0.320</w:t>
            </w:r>
          </w:p>
        </w:tc>
        <w:tc>
          <w:tcPr>
            <w:tcW w:w="1890" w:type="dxa"/>
          </w:tcPr>
          <w:p w14:paraId="7BC89B47" w14:textId="70B3FE44" w:rsidR="00BA56CF" w:rsidRPr="00A42C97" w:rsidRDefault="00BA56CF" w:rsidP="00BA56CF">
            <w:pPr>
              <w:jc w:val="center"/>
              <w:rPr>
                <w:rFonts w:ascii="Arial" w:hAnsi="Arial" w:cs="Arial"/>
                <w:sz w:val="20"/>
                <w:szCs w:val="20"/>
              </w:rPr>
            </w:pPr>
            <w:r w:rsidRPr="00A42C97">
              <w:rPr>
                <w:rFonts w:ascii="Arial" w:eastAsia="Tahoma" w:hAnsi="Arial" w:cs="Arial"/>
                <w:color w:val="000000"/>
                <w:sz w:val="20"/>
                <w:szCs w:val="20"/>
                <w:lang w:bidi="en-PH"/>
              </w:rPr>
              <w:t xml:space="preserve">Low Correlation </w:t>
            </w:r>
          </w:p>
        </w:tc>
        <w:tc>
          <w:tcPr>
            <w:tcW w:w="1350" w:type="dxa"/>
          </w:tcPr>
          <w:p w14:paraId="59F9FEE8" w14:textId="4465880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0.001</w:t>
            </w:r>
          </w:p>
        </w:tc>
      </w:tr>
      <w:tr w:rsidR="00BA56CF" w:rsidRPr="00A42C97" w14:paraId="661676BE" w14:textId="77777777" w:rsidTr="000A7305">
        <w:tc>
          <w:tcPr>
            <w:tcW w:w="3340" w:type="dxa"/>
            <w:tcBorders>
              <w:bottom w:val="single" w:sz="4" w:space="0" w:color="auto"/>
            </w:tcBorders>
          </w:tcPr>
          <w:p w14:paraId="13AE24BC" w14:textId="2B844911" w:rsidR="00BA56CF" w:rsidRPr="00A42C97" w:rsidRDefault="00BA56CF" w:rsidP="00BA56CF">
            <w:pPr>
              <w:rPr>
                <w:rFonts w:ascii="Arial" w:eastAsia="Tahoma" w:hAnsi="Arial" w:cs="Arial"/>
                <w:color w:val="000000"/>
                <w:sz w:val="20"/>
                <w:szCs w:val="20"/>
                <w:lang w:eastAsia="en-PH" w:bidi="en-PH"/>
              </w:rPr>
            </w:pPr>
            <w:r w:rsidRPr="00A42C97">
              <w:rPr>
                <w:rFonts w:ascii="Arial" w:hAnsi="Arial" w:cs="Arial"/>
                <w:sz w:val="20"/>
                <w:szCs w:val="20"/>
              </w:rPr>
              <w:t>Upsetting Important Others</w:t>
            </w:r>
          </w:p>
        </w:tc>
        <w:tc>
          <w:tcPr>
            <w:tcW w:w="1620" w:type="dxa"/>
            <w:tcBorders>
              <w:bottom w:val="single" w:sz="4" w:space="0" w:color="auto"/>
            </w:tcBorders>
          </w:tcPr>
          <w:p w14:paraId="1AC3EA1C" w14:textId="2475C267"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0.384</w:t>
            </w:r>
          </w:p>
        </w:tc>
        <w:tc>
          <w:tcPr>
            <w:tcW w:w="1890" w:type="dxa"/>
            <w:tcBorders>
              <w:bottom w:val="single" w:sz="4" w:space="0" w:color="auto"/>
            </w:tcBorders>
          </w:tcPr>
          <w:p w14:paraId="68F8F548" w14:textId="4571F594"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eastAsia="Tahoma" w:hAnsi="Arial" w:cs="Arial"/>
                <w:color w:val="000000"/>
                <w:sz w:val="20"/>
                <w:szCs w:val="20"/>
                <w:lang w:bidi="en-PH"/>
              </w:rPr>
              <w:t xml:space="preserve">Low Correlation </w:t>
            </w:r>
          </w:p>
        </w:tc>
        <w:tc>
          <w:tcPr>
            <w:tcW w:w="1350" w:type="dxa"/>
            <w:tcBorders>
              <w:bottom w:val="single" w:sz="4" w:space="0" w:color="auto"/>
            </w:tcBorders>
          </w:tcPr>
          <w:p w14:paraId="31E6C571" w14:textId="74C35B2F" w:rsidR="00BA56CF" w:rsidRPr="00A42C97" w:rsidRDefault="00BA56CF" w:rsidP="00BA56CF">
            <w:pPr>
              <w:jc w:val="center"/>
              <w:rPr>
                <w:rFonts w:ascii="Arial" w:eastAsia="Tahoma" w:hAnsi="Arial" w:cs="Arial"/>
                <w:color w:val="000000"/>
                <w:sz w:val="20"/>
                <w:szCs w:val="20"/>
                <w:lang w:eastAsia="en-PH" w:bidi="en-PH"/>
              </w:rPr>
            </w:pPr>
            <w:r w:rsidRPr="00A42C97">
              <w:rPr>
                <w:rFonts w:ascii="Arial" w:hAnsi="Arial" w:cs="Arial"/>
                <w:sz w:val="20"/>
                <w:szCs w:val="20"/>
              </w:rPr>
              <w:t>0.000</w:t>
            </w:r>
          </w:p>
        </w:tc>
      </w:tr>
      <w:tr w:rsidR="000A7305" w:rsidRPr="00A42C97" w14:paraId="75CBD10B" w14:textId="77777777" w:rsidTr="000A7305">
        <w:tc>
          <w:tcPr>
            <w:tcW w:w="3340" w:type="dxa"/>
            <w:tcBorders>
              <w:top w:val="single" w:sz="4" w:space="0" w:color="auto"/>
              <w:bottom w:val="thickThinSmallGap" w:sz="24" w:space="0" w:color="auto"/>
            </w:tcBorders>
          </w:tcPr>
          <w:p w14:paraId="7DE36C98" w14:textId="30CCA300" w:rsidR="000A7305" w:rsidRPr="00A42C97" w:rsidRDefault="00BA56CF" w:rsidP="000A7305">
            <w:pPr>
              <w:rPr>
                <w:rFonts w:ascii="Arial" w:eastAsia="Tahoma" w:hAnsi="Arial" w:cs="Arial"/>
                <w:b/>
                <w:bCs/>
                <w:color w:val="000000"/>
                <w:sz w:val="20"/>
                <w:szCs w:val="20"/>
                <w:lang w:eastAsia="en-PH" w:bidi="en-PH"/>
              </w:rPr>
            </w:pPr>
            <w:r w:rsidRPr="00A42C97">
              <w:rPr>
                <w:rFonts w:ascii="Arial" w:hAnsi="Arial" w:cs="Arial"/>
                <w:b/>
                <w:bCs/>
                <w:sz w:val="20"/>
                <w:szCs w:val="20"/>
              </w:rPr>
              <w:t>Fear of Failure</w:t>
            </w:r>
            <w:r w:rsidR="000A7305" w:rsidRPr="00A42C97">
              <w:rPr>
                <w:rFonts w:ascii="Arial" w:hAnsi="Arial" w:cs="Arial"/>
                <w:b/>
                <w:bCs/>
                <w:sz w:val="20"/>
                <w:szCs w:val="20"/>
              </w:rPr>
              <w:t xml:space="preserve"> (Overall)</w:t>
            </w:r>
          </w:p>
        </w:tc>
        <w:tc>
          <w:tcPr>
            <w:tcW w:w="1620" w:type="dxa"/>
            <w:tcBorders>
              <w:top w:val="single" w:sz="4" w:space="0" w:color="auto"/>
              <w:bottom w:val="thickThinSmallGap" w:sz="24" w:space="0" w:color="auto"/>
            </w:tcBorders>
          </w:tcPr>
          <w:p w14:paraId="18CA07D8" w14:textId="46A2EC9C" w:rsidR="000A7305" w:rsidRPr="00A42C97" w:rsidRDefault="000A7305" w:rsidP="000A7305">
            <w:pPr>
              <w:jc w:val="center"/>
              <w:rPr>
                <w:rFonts w:ascii="Arial" w:eastAsia="Tahoma" w:hAnsi="Arial" w:cs="Arial"/>
                <w:b/>
                <w:bCs/>
                <w:color w:val="000000"/>
                <w:sz w:val="20"/>
                <w:szCs w:val="20"/>
                <w:lang w:eastAsia="en-PH" w:bidi="en-PH"/>
              </w:rPr>
            </w:pPr>
            <w:r w:rsidRPr="00A42C97">
              <w:rPr>
                <w:rFonts w:ascii="Arial" w:hAnsi="Arial" w:cs="Arial"/>
                <w:b/>
                <w:bCs/>
                <w:sz w:val="20"/>
                <w:szCs w:val="20"/>
              </w:rPr>
              <w:t>0.</w:t>
            </w:r>
            <w:r w:rsidR="00BA56CF" w:rsidRPr="00A42C97">
              <w:rPr>
                <w:rFonts w:ascii="Arial" w:hAnsi="Arial" w:cs="Arial"/>
                <w:b/>
                <w:bCs/>
                <w:sz w:val="20"/>
                <w:szCs w:val="20"/>
              </w:rPr>
              <w:t>317</w:t>
            </w:r>
          </w:p>
        </w:tc>
        <w:tc>
          <w:tcPr>
            <w:tcW w:w="1890" w:type="dxa"/>
            <w:tcBorders>
              <w:top w:val="single" w:sz="4" w:space="0" w:color="auto"/>
              <w:bottom w:val="thickThinSmallGap" w:sz="24" w:space="0" w:color="auto"/>
            </w:tcBorders>
          </w:tcPr>
          <w:p w14:paraId="199BB06E" w14:textId="655A1606" w:rsidR="000A7305" w:rsidRPr="00A42C97" w:rsidRDefault="00BA56CF" w:rsidP="000A7305">
            <w:pPr>
              <w:jc w:val="center"/>
              <w:rPr>
                <w:rFonts w:ascii="Arial" w:eastAsia="Tahoma" w:hAnsi="Arial" w:cs="Arial"/>
                <w:b/>
                <w:bCs/>
                <w:color w:val="000000"/>
                <w:sz w:val="20"/>
                <w:szCs w:val="20"/>
                <w:lang w:eastAsia="en-PH" w:bidi="en-PH"/>
              </w:rPr>
            </w:pPr>
            <w:r w:rsidRPr="00A42C97">
              <w:rPr>
                <w:rFonts w:ascii="Arial" w:eastAsia="Tahoma" w:hAnsi="Arial" w:cs="Arial"/>
                <w:color w:val="000000"/>
                <w:sz w:val="20"/>
                <w:szCs w:val="20"/>
                <w:lang w:bidi="en-PH"/>
              </w:rPr>
              <w:t>Low Correlation</w:t>
            </w:r>
          </w:p>
        </w:tc>
        <w:tc>
          <w:tcPr>
            <w:tcW w:w="1350" w:type="dxa"/>
            <w:tcBorders>
              <w:top w:val="single" w:sz="4" w:space="0" w:color="auto"/>
              <w:bottom w:val="thickThinSmallGap" w:sz="24" w:space="0" w:color="auto"/>
            </w:tcBorders>
          </w:tcPr>
          <w:p w14:paraId="04CC1FF7" w14:textId="7B31E437" w:rsidR="000A7305" w:rsidRPr="00A42C97" w:rsidRDefault="000A7305" w:rsidP="000A7305">
            <w:pPr>
              <w:jc w:val="center"/>
              <w:rPr>
                <w:rFonts w:ascii="Arial" w:eastAsia="Tahoma" w:hAnsi="Arial" w:cs="Arial"/>
                <w:b/>
                <w:bCs/>
                <w:color w:val="000000"/>
                <w:sz w:val="20"/>
                <w:szCs w:val="20"/>
                <w:lang w:eastAsia="en-PH" w:bidi="en-PH"/>
              </w:rPr>
            </w:pPr>
            <w:r w:rsidRPr="00A42C97">
              <w:rPr>
                <w:rFonts w:ascii="Arial" w:hAnsi="Arial" w:cs="Arial"/>
                <w:b/>
                <w:bCs/>
                <w:sz w:val="20"/>
                <w:szCs w:val="20"/>
              </w:rPr>
              <w:t>0.00</w:t>
            </w:r>
            <w:r w:rsidR="00BA56CF" w:rsidRPr="00A42C97">
              <w:rPr>
                <w:rFonts w:ascii="Arial" w:hAnsi="Arial" w:cs="Arial"/>
                <w:b/>
                <w:bCs/>
                <w:sz w:val="20"/>
                <w:szCs w:val="20"/>
              </w:rPr>
              <w:t>3</w:t>
            </w:r>
          </w:p>
        </w:tc>
      </w:tr>
    </w:tbl>
    <w:p w14:paraId="271F8A35" w14:textId="77777777" w:rsidR="005C4629" w:rsidRPr="00A42C97" w:rsidRDefault="005C4629" w:rsidP="005C4629">
      <w:pPr>
        <w:spacing w:line="480" w:lineRule="auto"/>
        <w:jc w:val="both"/>
        <w:rPr>
          <w:rFonts w:ascii="Arial" w:hAnsi="Arial" w:cs="Arial"/>
        </w:rPr>
      </w:pPr>
    </w:p>
    <w:p w14:paraId="75971038" w14:textId="168787D8" w:rsidR="004E53E4" w:rsidRPr="00A42C97" w:rsidRDefault="00E06867" w:rsidP="005B6488">
      <w:pPr>
        <w:pStyle w:val="NoSpacing1"/>
        <w:jc w:val="center"/>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Regression Analysis of Fear of Failure in Learning Mathematics and Academic Procrastination</w:t>
      </w:r>
    </w:p>
    <w:p w14:paraId="03CF6DB4" w14:textId="3982F62C" w:rsidR="00C90E4D" w:rsidRPr="00A42C97" w:rsidRDefault="00C90E4D" w:rsidP="004E53E4">
      <w:pPr>
        <w:pStyle w:val="NoSpacing1"/>
        <w:jc w:val="both"/>
        <w:rPr>
          <w:rFonts w:ascii="Arial" w:eastAsia="SimSun" w:hAnsi="Arial"/>
          <w:sz w:val="20"/>
          <w:szCs w:val="20"/>
          <w:shd w:val="clear" w:color="auto" w:fill="FFFFFF"/>
        </w:rPr>
      </w:pPr>
    </w:p>
    <w:p w14:paraId="3ACEF8CD" w14:textId="77777777" w:rsidR="00142023" w:rsidRPr="00A42C97" w:rsidRDefault="00457AD2" w:rsidP="00142023">
      <w:pPr>
        <w:tabs>
          <w:tab w:val="left" w:pos="720"/>
        </w:tabs>
        <w:autoSpaceDE w:val="0"/>
        <w:autoSpaceDN w:val="0"/>
        <w:adjustRightInd w:val="0"/>
        <w:jc w:val="both"/>
        <w:rPr>
          <w:rFonts w:ascii="Arial" w:hAnsi="Arial" w:cs="Arial"/>
        </w:rPr>
      </w:pPr>
      <w:r w:rsidRPr="00A42C97">
        <w:rPr>
          <w:rFonts w:ascii="Arial" w:hAnsi="Arial" w:cs="Arial"/>
        </w:rPr>
        <w:tab/>
      </w:r>
      <w:r w:rsidR="00142023" w:rsidRPr="00A42C97">
        <w:rPr>
          <w:rFonts w:ascii="Arial" w:hAnsi="Arial" w:cs="Arial"/>
        </w:rPr>
        <w:t>The results of the stepwise multiple regression analysis are presented in Table 5. Among the five domains of fear of failure in learning mathematics, only two were found to significantly predict academic procrastination: upsetting important others and experiencing shame and embarrassment. The domain upsetting important others had a standardized coefficient of 0.213 with a p-value of 0.001, while experiencing shame and embarrassment had a standardized coefficient of 0.152 with a p-value of 0.038. These findings indicate that students who fear disappointing others and who experience feelings of shame and embarrassment are more likely to engage in academic procrastination.</w:t>
      </w:r>
    </w:p>
    <w:p w14:paraId="6FBC3890" w14:textId="23581431"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 xml:space="preserve">The derived regression model is </w:t>
      </w:r>
      <m:oMath>
        <m:r>
          <w:rPr>
            <w:rFonts w:ascii="Cambria Math" w:hAnsi="Cambria Math" w:cs="Arial"/>
          </w:rPr>
          <m:t>z = 2.006 + 0.213x + 0.152y</m:t>
        </m:r>
      </m:oMath>
      <w:r w:rsidRPr="00A42C97">
        <w:rPr>
          <w:rFonts w:ascii="Arial" w:hAnsi="Arial" w:cs="Arial"/>
        </w:rPr>
        <w:t xml:space="preserve">, where z represents academic procrastination, x is the fear of upsetting important others, and y is the fear of experiencing shame and embarrassment. The coefficient of determination, </w:t>
      </w:r>
      <m:oMath>
        <m:r>
          <w:rPr>
            <w:rFonts w:ascii="Cambria Math" w:hAnsi="Cambria Math" w:cs="Arial"/>
          </w:rPr>
          <m:t>r² = 0.193</m:t>
        </m:r>
      </m:oMath>
      <w:r w:rsidRPr="00A42C97">
        <w:rPr>
          <w:rFonts w:ascii="Arial" w:hAnsi="Arial" w:cs="Arial"/>
        </w:rPr>
        <w:t>, suggests that 19.3% of the variance in academic procrastination is explained by these two predictors. This result supports the rejection of the null hypothesis, confirming that fear of failure—particularly in terms of shame and fear of disappointing others—significantly influences academic procrastination among the respondents.</w:t>
      </w:r>
    </w:p>
    <w:p w14:paraId="113590CA" w14:textId="0D159FC2"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The role of shame and embarrassment as significant predictors is supported by Kumari and Malik (2021), who noted that students often procrastinate to avoid the emotional discomfort associated with failing. Covington (1992) further argued that procrastination serves as a protective mechanism, helping students preserve their self-worth by avoiding situations where failure might lead to feelings of incompetence or humiliation. This self-protective tendency is often reinforced by students' belief that failing due to lack of effort (i.e., procrastination) is less damaging to their self-image than failing despite trying hard.</w:t>
      </w:r>
    </w:p>
    <w:p w14:paraId="51A2BB77" w14:textId="658B758E" w:rsidR="00142023" w:rsidRPr="00A42C97" w:rsidRDefault="00142023" w:rsidP="00142023">
      <w:pPr>
        <w:tabs>
          <w:tab w:val="left" w:pos="720"/>
        </w:tabs>
        <w:autoSpaceDE w:val="0"/>
        <w:autoSpaceDN w:val="0"/>
        <w:adjustRightInd w:val="0"/>
        <w:jc w:val="both"/>
        <w:rPr>
          <w:rFonts w:ascii="Arial" w:hAnsi="Arial" w:cs="Arial"/>
        </w:rPr>
      </w:pPr>
      <w:r w:rsidRPr="00A42C97">
        <w:rPr>
          <w:rFonts w:ascii="Arial" w:hAnsi="Arial" w:cs="Arial"/>
        </w:rPr>
        <w:tab/>
        <w:t xml:space="preserve">Rahimi, Hall, and </w:t>
      </w:r>
      <w:r w:rsidR="00651C96" w:rsidRPr="00A42C97">
        <w:rPr>
          <w:rFonts w:ascii="Arial" w:hAnsi="Arial" w:cs="Arial"/>
        </w:rPr>
        <w:t>Sticca</w:t>
      </w:r>
      <w:r w:rsidRPr="00A42C97">
        <w:rPr>
          <w:rFonts w:ascii="Arial" w:hAnsi="Arial" w:cs="Arial"/>
        </w:rPr>
        <w:t xml:space="preserve"> (</w:t>
      </w:r>
      <w:r w:rsidR="00651C96" w:rsidRPr="00A42C97">
        <w:rPr>
          <w:rFonts w:ascii="Arial" w:hAnsi="Arial" w:cs="Arial"/>
        </w:rPr>
        <w:t>2023</w:t>
      </w:r>
      <w:r w:rsidRPr="00A42C97">
        <w:rPr>
          <w:rFonts w:ascii="Arial" w:hAnsi="Arial" w:cs="Arial"/>
        </w:rPr>
        <w:t xml:space="preserve">) also contributed to this perspective by explaining how students rationalize procrastination. While they may judge others harshly for delaying tasks, they often view their own procrastination as situational or justifiable, even when they are aware of its consequences. This cognitive dissonance reflects an internal struggle between maintaining self-image and managing academic demands. Additionally, upsetting important others was identified as a key predictor of procrastination, highlighting how students' concerns about disappointing those who matter to them—such as parents or mentors—can increase anxiety and delay academic action. Kallevig (2015) explained that this domain reflects the belief that failure could jeopardize the affection and support of significant others. This fear may </w:t>
      </w:r>
      <w:r w:rsidRPr="00A42C97">
        <w:rPr>
          <w:rFonts w:ascii="Arial" w:hAnsi="Arial" w:cs="Arial"/>
        </w:rPr>
        <w:lastRenderedPageBreak/>
        <w:t>prompt avoidance behaviors as a way of evading perceived rejection. Interestingly, studies by Mohamed et al. (2022) and Roberts et al. (2014) emphasized that such fears may be moderated by conscientiousness, a personality trait characterized by organization, responsibility, and impulse control. Students high in conscientiousness may be less susceptible to procrastination, even if they fear upsetting others, as they tend to adopt structured and goal-oriented behaviors.</w:t>
      </w:r>
    </w:p>
    <w:p w14:paraId="473370FE" w14:textId="670BF638" w:rsidR="00142023" w:rsidRPr="00A42C97" w:rsidRDefault="00A24B24" w:rsidP="00142023">
      <w:pPr>
        <w:tabs>
          <w:tab w:val="left" w:pos="720"/>
        </w:tabs>
        <w:autoSpaceDE w:val="0"/>
        <w:autoSpaceDN w:val="0"/>
        <w:adjustRightInd w:val="0"/>
        <w:jc w:val="both"/>
        <w:rPr>
          <w:rFonts w:ascii="Arial" w:hAnsi="Arial" w:cs="Arial"/>
        </w:rPr>
      </w:pPr>
      <w:r w:rsidRPr="00A42C97">
        <w:rPr>
          <w:rFonts w:ascii="Arial" w:hAnsi="Arial" w:cs="Arial"/>
        </w:rPr>
        <w:tab/>
      </w:r>
      <w:r w:rsidR="00651C96" w:rsidRPr="00A42C97">
        <w:rPr>
          <w:rFonts w:ascii="Arial" w:hAnsi="Arial" w:cs="Arial"/>
        </w:rPr>
        <w:t>T</w:t>
      </w:r>
      <w:r w:rsidR="00142023" w:rsidRPr="00A42C97">
        <w:rPr>
          <w:rFonts w:ascii="Arial" w:hAnsi="Arial" w:cs="Arial"/>
        </w:rPr>
        <w:t>hese findings suggest that emotional and interpersonal aspects of fear of failure—specifically shame and the fear of disappointing others—are important psychological drivers of academic procrastination. Addressing these concerns through supportive feedback, emotional regulation strategies, and self-compassion training may help students manage their academic tasks more effectively.</w:t>
      </w:r>
    </w:p>
    <w:p w14:paraId="3C9EC11D" w14:textId="1B829BC3" w:rsidR="000235AA" w:rsidRPr="00A42C97" w:rsidRDefault="000235AA" w:rsidP="00142023">
      <w:pPr>
        <w:tabs>
          <w:tab w:val="left" w:pos="720"/>
        </w:tabs>
        <w:autoSpaceDE w:val="0"/>
        <w:autoSpaceDN w:val="0"/>
        <w:adjustRightInd w:val="0"/>
        <w:jc w:val="both"/>
        <w:rPr>
          <w:rFonts w:ascii="Arial" w:hAnsi="Arial" w:cs="Arial"/>
        </w:rPr>
      </w:pPr>
    </w:p>
    <w:p w14:paraId="7179B30B" w14:textId="77777777" w:rsidR="00E06867" w:rsidRPr="00A42C97" w:rsidRDefault="00E06867" w:rsidP="00E06867">
      <w:pPr>
        <w:tabs>
          <w:tab w:val="left" w:pos="720"/>
        </w:tabs>
        <w:autoSpaceDE w:val="0"/>
        <w:autoSpaceDN w:val="0"/>
        <w:adjustRightInd w:val="0"/>
        <w:jc w:val="both"/>
        <w:rPr>
          <w:rFonts w:ascii="Arial" w:hAnsi="Arial" w:cs="Arial"/>
        </w:rPr>
      </w:pPr>
    </w:p>
    <w:p w14:paraId="24A7D132" w14:textId="041B14A6" w:rsidR="00C90E4D" w:rsidRPr="00A42C97" w:rsidRDefault="00C90E4D" w:rsidP="000B4189">
      <w:pPr>
        <w:autoSpaceDE w:val="0"/>
        <w:autoSpaceDN w:val="0"/>
        <w:adjustRightInd w:val="0"/>
        <w:ind w:firstLine="720"/>
        <w:jc w:val="both"/>
        <w:rPr>
          <w:rFonts w:ascii="Arial" w:hAnsi="Arial" w:cs="Arial"/>
          <w:b/>
        </w:rPr>
      </w:pPr>
      <w:r w:rsidRPr="00A42C97">
        <w:rPr>
          <w:rFonts w:ascii="Arial" w:hAnsi="Arial" w:cs="Arial"/>
        </w:rPr>
        <w:t xml:space="preserve">Table </w:t>
      </w:r>
      <w:r w:rsidR="000B4189" w:rsidRPr="00A42C97">
        <w:rPr>
          <w:rFonts w:ascii="Arial" w:hAnsi="Arial" w:cs="Arial"/>
        </w:rPr>
        <w:t>5</w:t>
      </w:r>
      <w:r w:rsidRPr="00A42C97">
        <w:rPr>
          <w:rFonts w:ascii="Arial" w:hAnsi="Arial" w:cs="Arial"/>
        </w:rPr>
        <w:t xml:space="preserve">.  Summary of Stepwise Multiple Regression Analysis </w:t>
      </w:r>
    </w:p>
    <w:tbl>
      <w:tblPr>
        <w:tblStyle w:val="TableGrid"/>
        <w:tblW w:w="8055" w:type="dxa"/>
        <w:tblInd w:w="135" w:type="dxa"/>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105"/>
        <w:gridCol w:w="1710"/>
        <w:gridCol w:w="1845"/>
        <w:gridCol w:w="1395"/>
      </w:tblGrid>
      <w:tr w:rsidR="000B4189" w:rsidRPr="00A42C97" w14:paraId="67A08FE4" w14:textId="77777777" w:rsidTr="000B4189">
        <w:tc>
          <w:tcPr>
            <w:tcW w:w="3105" w:type="dxa"/>
            <w:tcBorders>
              <w:top w:val="thinThickSmallGap" w:sz="24" w:space="0" w:color="auto"/>
              <w:bottom w:val="single" w:sz="4" w:space="0" w:color="auto"/>
            </w:tcBorders>
          </w:tcPr>
          <w:p w14:paraId="5511242F" w14:textId="77777777" w:rsidR="00C90E4D" w:rsidRPr="00A42C97" w:rsidRDefault="00C90E4D" w:rsidP="001A218C">
            <w:pPr>
              <w:tabs>
                <w:tab w:val="left" w:pos="1680"/>
              </w:tabs>
              <w:autoSpaceDE w:val="0"/>
              <w:autoSpaceDN w:val="0"/>
              <w:adjustRightInd w:val="0"/>
              <w:rPr>
                <w:rFonts w:ascii="Arial" w:hAnsi="Arial" w:cs="Arial"/>
                <w:b/>
                <w:sz w:val="20"/>
                <w:szCs w:val="20"/>
              </w:rPr>
            </w:pPr>
            <w:r w:rsidRPr="00A42C97">
              <w:rPr>
                <w:rFonts w:ascii="Arial" w:hAnsi="Arial" w:cs="Arial"/>
                <w:sz w:val="20"/>
                <w:szCs w:val="20"/>
              </w:rPr>
              <w:t>Predictor</w:t>
            </w:r>
          </w:p>
        </w:tc>
        <w:tc>
          <w:tcPr>
            <w:tcW w:w="1710" w:type="dxa"/>
            <w:tcBorders>
              <w:top w:val="thinThickSmallGap" w:sz="24" w:space="0" w:color="auto"/>
              <w:bottom w:val="single" w:sz="4" w:space="0" w:color="auto"/>
            </w:tcBorders>
          </w:tcPr>
          <w:p w14:paraId="0DA601AF" w14:textId="77777777" w:rsidR="00C90E4D" w:rsidRPr="00A42C97" w:rsidRDefault="00C90E4D" w:rsidP="000B4189">
            <w:pPr>
              <w:tabs>
                <w:tab w:val="left" w:pos="1680"/>
              </w:tabs>
              <w:autoSpaceDE w:val="0"/>
              <w:autoSpaceDN w:val="0"/>
              <w:adjustRightInd w:val="0"/>
              <w:jc w:val="center"/>
              <w:rPr>
                <w:rFonts w:ascii="Arial" w:hAnsi="Arial" w:cs="Arial"/>
                <w:b/>
                <w:sz w:val="20"/>
                <w:szCs w:val="20"/>
              </w:rPr>
            </w:pPr>
            <w:r w:rsidRPr="00A42C97">
              <w:rPr>
                <w:rFonts w:ascii="Arial" w:hAnsi="Arial" w:cs="Arial"/>
                <w:color w:val="000000"/>
                <w:sz w:val="20"/>
                <w:szCs w:val="20"/>
              </w:rPr>
              <w:t>Unstandardized Coefficients</w:t>
            </w:r>
          </w:p>
        </w:tc>
        <w:tc>
          <w:tcPr>
            <w:tcW w:w="1845" w:type="dxa"/>
            <w:tcBorders>
              <w:top w:val="thinThickSmallGap" w:sz="24" w:space="0" w:color="auto"/>
              <w:bottom w:val="single" w:sz="4" w:space="0" w:color="auto"/>
            </w:tcBorders>
          </w:tcPr>
          <w:p w14:paraId="349B4B8D" w14:textId="77777777" w:rsidR="00C90E4D" w:rsidRPr="00A42C97" w:rsidRDefault="00C90E4D" w:rsidP="000B4189">
            <w:pPr>
              <w:tabs>
                <w:tab w:val="left" w:pos="1680"/>
              </w:tabs>
              <w:autoSpaceDE w:val="0"/>
              <w:autoSpaceDN w:val="0"/>
              <w:adjustRightInd w:val="0"/>
              <w:jc w:val="center"/>
              <w:rPr>
                <w:rFonts w:ascii="Arial" w:hAnsi="Arial" w:cs="Arial"/>
                <w:b/>
                <w:color w:val="000000"/>
                <w:sz w:val="20"/>
                <w:szCs w:val="20"/>
              </w:rPr>
            </w:pPr>
            <w:r w:rsidRPr="00A42C97">
              <w:rPr>
                <w:rFonts w:ascii="Arial" w:hAnsi="Arial" w:cs="Arial"/>
                <w:color w:val="000000"/>
                <w:sz w:val="20"/>
                <w:szCs w:val="20"/>
              </w:rPr>
              <w:t>p-value</w:t>
            </w:r>
          </w:p>
        </w:tc>
        <w:tc>
          <w:tcPr>
            <w:tcW w:w="1395" w:type="dxa"/>
            <w:tcBorders>
              <w:top w:val="thinThickSmallGap" w:sz="24" w:space="0" w:color="auto"/>
              <w:bottom w:val="single" w:sz="4" w:space="0" w:color="auto"/>
            </w:tcBorders>
          </w:tcPr>
          <w:p w14:paraId="44AE23CF" w14:textId="77777777" w:rsidR="00C90E4D" w:rsidRPr="00A42C97" w:rsidRDefault="00C90E4D" w:rsidP="000B4189">
            <w:pPr>
              <w:tabs>
                <w:tab w:val="left" w:pos="1680"/>
              </w:tabs>
              <w:autoSpaceDE w:val="0"/>
              <w:autoSpaceDN w:val="0"/>
              <w:adjustRightInd w:val="0"/>
              <w:jc w:val="center"/>
              <w:rPr>
                <w:rFonts w:ascii="Arial" w:hAnsi="Arial" w:cs="Arial"/>
                <w:b/>
                <w:color w:val="000000"/>
                <w:sz w:val="20"/>
                <w:szCs w:val="20"/>
              </w:rPr>
            </w:pPr>
            <w:r w:rsidRPr="00A42C97">
              <w:rPr>
                <w:rFonts w:ascii="Arial" w:hAnsi="Arial" w:cs="Arial"/>
                <w:color w:val="000000"/>
                <w:sz w:val="20"/>
                <w:szCs w:val="20"/>
              </w:rPr>
              <w:t>Interpretation</w:t>
            </w:r>
          </w:p>
        </w:tc>
      </w:tr>
      <w:tr w:rsidR="000235AA" w:rsidRPr="00A42C97" w14:paraId="0F40C5F0" w14:textId="77777777" w:rsidTr="000834C5">
        <w:tc>
          <w:tcPr>
            <w:tcW w:w="3105" w:type="dxa"/>
            <w:tcBorders>
              <w:top w:val="single" w:sz="4" w:space="0" w:color="auto"/>
              <w:left w:val="nil"/>
              <w:bottom w:val="nil"/>
              <w:right w:val="nil"/>
            </w:tcBorders>
          </w:tcPr>
          <w:p w14:paraId="15BD19EA" w14:textId="6EE60A38" w:rsidR="000235AA" w:rsidRPr="00A42C97" w:rsidRDefault="000235AA"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(Constant)</w:t>
            </w:r>
          </w:p>
        </w:tc>
        <w:tc>
          <w:tcPr>
            <w:tcW w:w="1710" w:type="dxa"/>
            <w:tcBorders>
              <w:top w:val="single" w:sz="4" w:space="0" w:color="auto"/>
              <w:left w:val="nil"/>
              <w:bottom w:val="nil"/>
              <w:right w:val="nil"/>
            </w:tcBorders>
          </w:tcPr>
          <w:p w14:paraId="1297D1B2" w14:textId="41FEF67D" w:rsidR="000235AA" w:rsidRPr="00A42C97" w:rsidRDefault="00E06867" w:rsidP="000235AA">
            <w:pPr>
              <w:autoSpaceDE w:val="0"/>
              <w:autoSpaceDN w:val="0"/>
              <w:adjustRightInd w:val="0"/>
              <w:ind w:left="60" w:right="60"/>
              <w:jc w:val="center"/>
              <w:rPr>
                <w:rFonts w:ascii="Arial" w:hAnsi="Arial" w:cs="Arial"/>
                <w:color w:val="000000"/>
                <w:sz w:val="20"/>
                <w:szCs w:val="20"/>
              </w:rPr>
            </w:pPr>
            <w:r w:rsidRPr="00A42C97">
              <w:rPr>
                <w:rFonts w:ascii="Arial" w:hAnsi="Arial" w:cs="Arial"/>
                <w:color w:val="000000"/>
                <w:sz w:val="20"/>
                <w:szCs w:val="20"/>
              </w:rPr>
              <w:t>2.006</w:t>
            </w:r>
          </w:p>
        </w:tc>
        <w:tc>
          <w:tcPr>
            <w:tcW w:w="1845" w:type="dxa"/>
            <w:tcBorders>
              <w:top w:val="single" w:sz="4" w:space="0" w:color="auto"/>
              <w:left w:val="nil"/>
              <w:bottom w:val="nil"/>
              <w:right w:val="nil"/>
            </w:tcBorders>
          </w:tcPr>
          <w:p w14:paraId="6554492B" w14:textId="654A6370" w:rsidR="000235AA" w:rsidRPr="00A42C97" w:rsidRDefault="00D21AF9" w:rsidP="000235AA">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w:t>
            </w:r>
            <w:r w:rsidR="000235AA" w:rsidRPr="00A42C97">
              <w:rPr>
                <w:rFonts w:ascii="Arial" w:hAnsi="Arial" w:cs="Arial"/>
                <w:sz w:val="20"/>
                <w:szCs w:val="20"/>
              </w:rPr>
              <w:t>.000</w:t>
            </w:r>
          </w:p>
        </w:tc>
        <w:tc>
          <w:tcPr>
            <w:tcW w:w="1395" w:type="dxa"/>
            <w:tcBorders>
              <w:top w:val="single" w:sz="4" w:space="0" w:color="auto"/>
              <w:left w:val="nil"/>
              <w:bottom w:val="nil"/>
              <w:right w:val="nil"/>
            </w:tcBorders>
          </w:tcPr>
          <w:p w14:paraId="6D87D69A" w14:textId="77777777" w:rsidR="000235AA" w:rsidRPr="00A42C97" w:rsidRDefault="000235AA" w:rsidP="000235AA">
            <w:pPr>
              <w:autoSpaceDE w:val="0"/>
              <w:autoSpaceDN w:val="0"/>
              <w:adjustRightInd w:val="0"/>
              <w:ind w:left="60" w:right="60"/>
              <w:jc w:val="center"/>
              <w:rPr>
                <w:rFonts w:ascii="Arial" w:hAnsi="Arial" w:cs="Arial"/>
                <w:b/>
                <w:color w:val="000000"/>
                <w:sz w:val="20"/>
                <w:szCs w:val="20"/>
              </w:rPr>
            </w:pPr>
            <w:r w:rsidRPr="00A42C97">
              <w:rPr>
                <w:rFonts w:ascii="Arial" w:hAnsi="Arial" w:cs="Arial"/>
                <w:color w:val="000000"/>
                <w:sz w:val="20"/>
                <w:szCs w:val="20"/>
              </w:rPr>
              <w:t>Significant</w:t>
            </w:r>
          </w:p>
        </w:tc>
      </w:tr>
      <w:tr w:rsidR="00E06867" w:rsidRPr="00A42C97" w14:paraId="3B96D29F" w14:textId="77777777" w:rsidTr="000834C5">
        <w:tc>
          <w:tcPr>
            <w:tcW w:w="3105" w:type="dxa"/>
            <w:tcBorders>
              <w:top w:val="nil"/>
              <w:left w:val="nil"/>
              <w:bottom w:val="nil"/>
              <w:right w:val="nil"/>
            </w:tcBorders>
          </w:tcPr>
          <w:p w14:paraId="2CD78B1B" w14:textId="415BF94E" w:rsidR="00E06867" w:rsidRPr="00A42C97" w:rsidRDefault="00E06867"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Upsetting Important Others</w:t>
            </w:r>
          </w:p>
        </w:tc>
        <w:tc>
          <w:tcPr>
            <w:tcW w:w="1710" w:type="dxa"/>
            <w:tcBorders>
              <w:top w:val="nil"/>
              <w:left w:val="nil"/>
              <w:bottom w:val="nil"/>
              <w:right w:val="nil"/>
            </w:tcBorders>
          </w:tcPr>
          <w:p w14:paraId="640046F9" w14:textId="5FE8ED49"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0.213</w:t>
            </w:r>
          </w:p>
        </w:tc>
        <w:tc>
          <w:tcPr>
            <w:tcW w:w="1845" w:type="dxa"/>
            <w:tcBorders>
              <w:top w:val="nil"/>
              <w:left w:val="nil"/>
              <w:bottom w:val="nil"/>
              <w:right w:val="nil"/>
            </w:tcBorders>
          </w:tcPr>
          <w:p w14:paraId="79AFB930" w14:textId="77D98B8D"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0.001</w:t>
            </w:r>
          </w:p>
        </w:tc>
        <w:tc>
          <w:tcPr>
            <w:tcW w:w="1395" w:type="dxa"/>
            <w:tcBorders>
              <w:top w:val="nil"/>
              <w:left w:val="nil"/>
              <w:bottom w:val="nil"/>
              <w:right w:val="nil"/>
            </w:tcBorders>
          </w:tcPr>
          <w:p w14:paraId="65605481" w14:textId="45F294D5" w:rsidR="00E06867" w:rsidRPr="00A42C97" w:rsidRDefault="00E06867" w:rsidP="00E06867">
            <w:pPr>
              <w:autoSpaceDE w:val="0"/>
              <w:autoSpaceDN w:val="0"/>
              <w:adjustRightInd w:val="0"/>
              <w:ind w:left="60" w:right="60"/>
              <w:jc w:val="center"/>
              <w:rPr>
                <w:rFonts w:ascii="Arial" w:hAnsi="Arial" w:cs="Arial"/>
                <w:color w:val="000000"/>
                <w:sz w:val="20"/>
                <w:szCs w:val="20"/>
              </w:rPr>
            </w:pPr>
            <w:r w:rsidRPr="00A42C97">
              <w:rPr>
                <w:rFonts w:ascii="Arial" w:hAnsi="Arial" w:cs="Arial"/>
                <w:color w:val="000000"/>
                <w:sz w:val="20"/>
                <w:szCs w:val="20"/>
              </w:rPr>
              <w:t>Significant</w:t>
            </w:r>
          </w:p>
        </w:tc>
      </w:tr>
      <w:tr w:rsidR="003F7E4F" w:rsidRPr="00A42C97" w14:paraId="796CB04D" w14:textId="77777777" w:rsidTr="00E068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
        </w:trPr>
        <w:tc>
          <w:tcPr>
            <w:tcW w:w="3105" w:type="dxa"/>
            <w:tcBorders>
              <w:top w:val="nil"/>
              <w:left w:val="nil"/>
              <w:bottom w:val="thickThinSmallGap" w:sz="24" w:space="0" w:color="auto"/>
              <w:right w:val="nil"/>
            </w:tcBorders>
          </w:tcPr>
          <w:p w14:paraId="42F6428F" w14:textId="3E58FA65" w:rsidR="003F7E4F" w:rsidRPr="00A42C97" w:rsidRDefault="003F7E4F" w:rsidP="003F7E4F">
            <w:pPr>
              <w:autoSpaceDE w:val="0"/>
              <w:autoSpaceDN w:val="0"/>
              <w:adjustRightInd w:val="0"/>
              <w:ind w:right="60"/>
              <w:rPr>
                <w:rFonts w:ascii="Arial" w:hAnsi="Arial" w:cs="Arial"/>
                <w:color w:val="000000"/>
                <w:sz w:val="20"/>
                <w:szCs w:val="20"/>
              </w:rPr>
            </w:pPr>
            <w:r w:rsidRPr="00A42C97">
              <w:rPr>
                <w:rFonts w:ascii="Arial" w:hAnsi="Arial" w:cs="Arial"/>
                <w:sz w:val="20"/>
                <w:szCs w:val="20"/>
              </w:rPr>
              <w:t>Experiencing Shame and Embarrassment</w:t>
            </w:r>
          </w:p>
        </w:tc>
        <w:tc>
          <w:tcPr>
            <w:tcW w:w="1710" w:type="dxa"/>
            <w:tcBorders>
              <w:top w:val="nil"/>
              <w:left w:val="nil"/>
              <w:bottom w:val="thickThinSmallGap" w:sz="24" w:space="0" w:color="auto"/>
              <w:right w:val="nil"/>
            </w:tcBorders>
          </w:tcPr>
          <w:p w14:paraId="7C642E87" w14:textId="768ACDA1" w:rsidR="003F7E4F" w:rsidRPr="00A42C97" w:rsidRDefault="003F7E4F" w:rsidP="003F7E4F">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0.152</w:t>
            </w:r>
          </w:p>
        </w:tc>
        <w:tc>
          <w:tcPr>
            <w:tcW w:w="1845" w:type="dxa"/>
            <w:tcBorders>
              <w:top w:val="nil"/>
              <w:left w:val="nil"/>
              <w:bottom w:val="thickThinSmallGap" w:sz="24" w:space="0" w:color="auto"/>
              <w:right w:val="nil"/>
            </w:tcBorders>
          </w:tcPr>
          <w:p w14:paraId="2A59F54B" w14:textId="45FF8AA1" w:rsidR="003F7E4F" w:rsidRPr="00A42C97" w:rsidRDefault="003F7E4F" w:rsidP="003F7E4F">
            <w:pPr>
              <w:autoSpaceDE w:val="0"/>
              <w:autoSpaceDN w:val="0"/>
              <w:adjustRightInd w:val="0"/>
              <w:ind w:left="60" w:right="60"/>
              <w:jc w:val="center"/>
              <w:rPr>
                <w:rFonts w:ascii="Arial" w:hAnsi="Arial" w:cs="Arial"/>
                <w:color w:val="000000"/>
                <w:sz w:val="20"/>
                <w:szCs w:val="20"/>
              </w:rPr>
            </w:pPr>
            <w:r w:rsidRPr="00A42C97">
              <w:rPr>
                <w:rFonts w:ascii="Arial" w:hAnsi="Arial" w:cs="Arial"/>
                <w:sz w:val="20"/>
                <w:szCs w:val="20"/>
              </w:rPr>
              <w:t>0.038</w:t>
            </w:r>
          </w:p>
        </w:tc>
        <w:tc>
          <w:tcPr>
            <w:tcW w:w="1395" w:type="dxa"/>
            <w:tcBorders>
              <w:top w:val="nil"/>
              <w:left w:val="nil"/>
              <w:bottom w:val="thickThinSmallGap" w:sz="24" w:space="0" w:color="auto"/>
              <w:right w:val="nil"/>
            </w:tcBorders>
          </w:tcPr>
          <w:p w14:paraId="582408A6" w14:textId="7776271D" w:rsidR="003F7E4F" w:rsidRPr="00A42C97" w:rsidRDefault="003F7E4F" w:rsidP="003F7E4F">
            <w:pPr>
              <w:jc w:val="center"/>
              <w:rPr>
                <w:rFonts w:ascii="Arial" w:hAnsi="Arial" w:cs="Arial"/>
                <w:sz w:val="20"/>
                <w:szCs w:val="20"/>
              </w:rPr>
            </w:pPr>
            <w:r w:rsidRPr="00A42C97">
              <w:rPr>
                <w:rFonts w:ascii="Arial" w:hAnsi="Arial" w:cs="Arial"/>
                <w:color w:val="000000"/>
                <w:sz w:val="20"/>
                <w:szCs w:val="20"/>
              </w:rPr>
              <w:t>Significant</w:t>
            </w:r>
          </w:p>
        </w:tc>
      </w:tr>
    </w:tbl>
    <w:p w14:paraId="59B47EAB" w14:textId="61B96352" w:rsidR="00C90E4D" w:rsidRPr="00A42C97" w:rsidRDefault="00000000" w:rsidP="00C90E4D">
      <w:pPr>
        <w:tabs>
          <w:tab w:val="left" w:pos="1680"/>
        </w:tabs>
        <w:autoSpaceDE w:val="0"/>
        <w:autoSpaceDN w:val="0"/>
        <w:adjustRightInd w:val="0"/>
        <w:rPr>
          <w:rFonts w:ascii="Arial" w:hAnsi="Arial" w:cs="Arial"/>
        </w:rPr>
      </w:pPr>
      <m:oMath>
        <m:sSup>
          <m:sSupPr>
            <m:ctrlPr>
              <w:rPr>
                <w:rFonts w:ascii="Cambria Math" w:hAnsi="Cambria Math" w:cs="Arial"/>
                <w:i/>
              </w:rPr>
            </m:ctrlPr>
          </m:sSupPr>
          <m:e>
            <m:r>
              <w:rPr>
                <w:rFonts w:ascii="Cambria Math" w:hAnsi="Cambria Math" w:cs="Arial"/>
              </w:rPr>
              <m:t xml:space="preserve">     r</m:t>
            </m:r>
          </m:e>
          <m:sup>
            <m:r>
              <w:rPr>
                <w:rFonts w:ascii="Cambria Math" w:hAnsi="Cambria Math" w:cs="Arial"/>
              </w:rPr>
              <m:t>2</m:t>
            </m:r>
          </m:sup>
        </m:sSup>
        <m:r>
          <w:rPr>
            <w:rFonts w:ascii="Cambria Math" w:hAnsi="Cambria Math" w:cs="Arial"/>
          </w:rPr>
          <m:t>=</m:t>
        </m:r>
        <m:r>
          <m:rPr>
            <m:sty m:val="p"/>
          </m:rPr>
          <w:rPr>
            <w:rFonts w:ascii="Cambria Math" w:hAnsi="Cambria Math" w:cs="Arial"/>
            <w:color w:val="000000"/>
          </w:rPr>
          <m:t>0.193</m:t>
        </m:r>
      </m:oMath>
      <w:r w:rsidR="00C90E4D" w:rsidRPr="00A42C97">
        <w:rPr>
          <w:rFonts w:ascii="Arial" w:hAnsi="Arial" w:cs="Arial"/>
          <w:color w:val="000000"/>
        </w:rPr>
        <w:t xml:space="preserve"> </w:t>
      </w:r>
    </w:p>
    <w:p w14:paraId="7C6C5A55" w14:textId="77777777" w:rsidR="00C90E4D" w:rsidRPr="00A42C97" w:rsidRDefault="00C90E4D" w:rsidP="00C90E4D">
      <w:pPr>
        <w:pStyle w:val="NoSpacing"/>
        <w:tabs>
          <w:tab w:val="left" w:pos="6510"/>
        </w:tabs>
        <w:ind w:left="1260" w:hanging="1260"/>
        <w:jc w:val="both"/>
        <w:rPr>
          <w:rFonts w:ascii="Arial" w:hAnsi="Arial" w:cs="Arial"/>
          <w:color w:val="000000" w:themeColor="text1"/>
          <w:sz w:val="20"/>
          <w:szCs w:val="20"/>
        </w:rPr>
      </w:pPr>
    </w:p>
    <w:p w14:paraId="0334A71B" w14:textId="50747689" w:rsidR="00C90E4D" w:rsidRPr="00A42C97" w:rsidRDefault="00C90E4D" w:rsidP="004E53E4">
      <w:pPr>
        <w:pStyle w:val="NoSpacing1"/>
        <w:jc w:val="both"/>
        <w:rPr>
          <w:rFonts w:ascii="Arial" w:eastAsia="SimSun" w:hAnsi="Arial"/>
          <w:sz w:val="20"/>
          <w:szCs w:val="20"/>
          <w:shd w:val="clear" w:color="auto" w:fill="FFFFFF"/>
        </w:rPr>
      </w:pPr>
    </w:p>
    <w:p w14:paraId="2556A430" w14:textId="38698E86" w:rsidR="0026177E" w:rsidRPr="00A42C97" w:rsidRDefault="0026177E" w:rsidP="0026177E">
      <w:pPr>
        <w:pStyle w:val="AbstHead"/>
        <w:spacing w:after="0"/>
        <w:jc w:val="both"/>
        <w:rPr>
          <w:rFonts w:ascii="Arial" w:hAnsi="Arial" w:cs="Arial"/>
        </w:rPr>
      </w:pPr>
      <w:r w:rsidRPr="00A42C97">
        <w:rPr>
          <w:rFonts w:ascii="Arial" w:hAnsi="Arial" w:cs="Arial"/>
        </w:rPr>
        <w:t xml:space="preserve">5. CONCLUSIONS AND RECOMMENDATIONS </w:t>
      </w:r>
    </w:p>
    <w:p w14:paraId="1EF43ABE" w14:textId="0DB80408" w:rsidR="0026177E" w:rsidRPr="00A42C97" w:rsidRDefault="0026177E" w:rsidP="004E53E4">
      <w:pPr>
        <w:pStyle w:val="NoSpacing1"/>
        <w:jc w:val="both"/>
        <w:rPr>
          <w:rFonts w:ascii="Arial" w:eastAsia="SimSun" w:hAnsi="Arial"/>
          <w:sz w:val="20"/>
          <w:szCs w:val="20"/>
          <w:shd w:val="clear" w:color="auto" w:fill="FFFFFF"/>
        </w:rPr>
      </w:pPr>
    </w:p>
    <w:p w14:paraId="677F6013" w14:textId="36831556" w:rsidR="0026177E" w:rsidRPr="00A42C97" w:rsidRDefault="0026177E" w:rsidP="004E53E4">
      <w:pPr>
        <w:pStyle w:val="NoSpacing1"/>
        <w:jc w:val="both"/>
        <w:rPr>
          <w:rFonts w:ascii="Arial" w:eastAsia="SimSun" w:hAnsi="Arial"/>
          <w:b/>
          <w:bCs/>
          <w:sz w:val="20"/>
          <w:szCs w:val="20"/>
          <w:shd w:val="clear" w:color="auto" w:fill="FFFFFF"/>
        </w:rPr>
      </w:pPr>
      <w:r w:rsidRPr="00A42C97">
        <w:rPr>
          <w:rFonts w:ascii="Arial" w:eastAsia="SimSun" w:hAnsi="Arial"/>
          <w:b/>
          <w:bCs/>
          <w:sz w:val="20"/>
          <w:szCs w:val="20"/>
          <w:shd w:val="clear" w:color="auto" w:fill="FFFFFF"/>
        </w:rPr>
        <w:t>Conclusion</w:t>
      </w:r>
      <w:r w:rsidRPr="00A42C97">
        <w:rPr>
          <w:rFonts w:ascii="Arial" w:eastAsia="SimSun" w:hAnsi="Arial"/>
          <w:b/>
          <w:bCs/>
          <w:sz w:val="20"/>
          <w:szCs w:val="20"/>
          <w:shd w:val="clear" w:color="auto" w:fill="FFFFFF"/>
        </w:rPr>
        <w:br/>
      </w:r>
    </w:p>
    <w:p w14:paraId="075BD6F1" w14:textId="1F8FDBEF" w:rsidR="0026177E" w:rsidRPr="00A42C97" w:rsidRDefault="00142023" w:rsidP="00142023">
      <w:pPr>
        <w:pStyle w:val="NoSpacing1"/>
        <w:ind w:firstLine="72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This section summarizes the main findings of the study in a concise manner. Based on the results, several conclusions were drawn. First, the level of fear of failure in learning mathematics among college students in Davao Occidental was found to be moderate. This suggests that students occasionally delay tasks, which can lead to manageable stress and some pressure as deadlines approach. Second, the level of academic procrastination was also found to be moderate, indicating that students sometimes postpone academic responsibilities, which may result in occasional time pressure and stress. Third, a significant positive relationship was found between fear of failure and academic procrastination. This means that as students’ fear of failure increases, their tendency to procrastinate also increases. Therefore, the null hypothesis was rejected, confirming that fear of failure in learning mathematics significantly affects students’ academic behaviors, including procrastination. Lastly, among the domains of fear of failure, experiencing shame and embarrassment and upsetting important others were found to significantly influence academic procrastination. This suggests that emotional concerns, particularly those related to self-image and relationships, are key factors contributing to students’ tendency to delay academic tasks. The second null hypothesis was also rejected, confirming that these two domains are significant predictors of procrastination.</w:t>
      </w:r>
    </w:p>
    <w:p w14:paraId="70A6E61C" w14:textId="77777777" w:rsidR="00E06867" w:rsidRPr="00A42C97" w:rsidRDefault="00E06867" w:rsidP="004E53E4">
      <w:pPr>
        <w:pStyle w:val="NoSpacing1"/>
        <w:jc w:val="both"/>
        <w:rPr>
          <w:rFonts w:ascii="Arial" w:eastAsia="SimSun" w:hAnsi="Arial"/>
          <w:sz w:val="20"/>
          <w:szCs w:val="20"/>
          <w:shd w:val="clear" w:color="auto" w:fill="FFFFFF"/>
        </w:rPr>
      </w:pPr>
    </w:p>
    <w:p w14:paraId="1D6F0EAF" w14:textId="02F44860" w:rsidR="0026177E" w:rsidRPr="00A42C97" w:rsidRDefault="00B511B7" w:rsidP="004E53E4">
      <w:pPr>
        <w:pStyle w:val="NoSpacing1"/>
        <w:jc w:val="both"/>
        <w:rPr>
          <w:rFonts w:ascii="Arial" w:eastAsia="SimSun" w:hAnsi="Arial"/>
          <w:sz w:val="20"/>
          <w:szCs w:val="20"/>
          <w:shd w:val="clear" w:color="auto" w:fill="FFFFFF"/>
        </w:rPr>
      </w:pPr>
      <w:r w:rsidRPr="00A42C97">
        <w:rPr>
          <w:rFonts w:ascii="Arial" w:eastAsia="SimSun" w:hAnsi="Arial"/>
          <w:b/>
          <w:bCs/>
          <w:sz w:val="20"/>
          <w:szCs w:val="20"/>
          <w:shd w:val="clear" w:color="auto" w:fill="FFFFFF"/>
        </w:rPr>
        <w:t>Recommendation</w:t>
      </w:r>
    </w:p>
    <w:p w14:paraId="30414E73" w14:textId="43D30431" w:rsidR="0026177E" w:rsidRPr="00A42C97" w:rsidRDefault="0026177E" w:rsidP="004E53E4">
      <w:pPr>
        <w:pStyle w:val="NoSpacing1"/>
        <w:jc w:val="both"/>
        <w:rPr>
          <w:rFonts w:ascii="Arial" w:eastAsia="SimSun" w:hAnsi="Arial"/>
          <w:sz w:val="20"/>
          <w:szCs w:val="20"/>
          <w:shd w:val="clear" w:color="auto" w:fill="FFFFFF"/>
        </w:rPr>
      </w:pPr>
    </w:p>
    <w:p w14:paraId="4A7B2A08"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Since students demonstrated a moderate level of fear of failure, it is recommended that they develop stronger time management skills. This includes prioritizing tasks, setting SMART goals, and conducting regular self-assessments. Keeping important people (e.g., teachers, mentors, and peers) informed, while fostering a growth mindset that embraces failure as part of the learning process, can help reduce fear and improve academic focus.</w:t>
      </w:r>
    </w:p>
    <w:p w14:paraId="4185C0CB"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To reduce academic procrastination, institutions should offer proactive support through workshops on study habits, stress management, and goal-setting. Creating accessible resources and a supportive academic environment can encourage open discussions about challenges and empower students to take control of their schedules and responsibilities.</w:t>
      </w:r>
    </w:p>
    <w:p w14:paraId="58F984D9"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Since fear of failure is associated with procrastination, and the domain having an uncertain future showed the weakest correlation, schools may consider offering counseling services and math support programs. These can help students manage academic anxiety and build confidence in challenging subjects like mathematics.</w:t>
      </w:r>
    </w:p>
    <w:p w14:paraId="49816DA6" w14:textId="77777777"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The regression analysis revealed that experiencing shame and embarrassment and upsetting important others are significant predictors of academic procrastination. Given these findings, it is recommended that guidance counselors and educators implement interventions focused on emotional self-regulation, including strategies that help students cope with feelings of shame, fear of judgment, and social pressures. Creating safe classroom spaces where mistakes are normalized can also reduce the emotional burden associated with academic tasks.</w:t>
      </w:r>
    </w:p>
    <w:p w14:paraId="6B791E48" w14:textId="2AA26B49" w:rsidR="007A1883" w:rsidRPr="00A42C97" w:rsidRDefault="007A1883">
      <w:pPr>
        <w:pStyle w:val="NoSpacing1"/>
        <w:numPr>
          <w:ilvl w:val="0"/>
          <w:numId w:val="4"/>
        </w:numPr>
        <w:ind w:left="45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For future researchers, it is recommended to conduct further studies that expand and refine the current model. Since the r² value was 0.193, this suggests that approximately 19.3% of the variance in academic procrastination was explained by fear of failure. Future studies can explore additional variables—such as academic self-efficacy, motivation, mental health factors, or family expectations—that may better account for the unexplained variance. Moreover, researchers may consider developing and testing intervention-based models to assess the effectiveness of strategies designed to reduce both fear of failure and procrastination in mathematics.</w:t>
      </w:r>
    </w:p>
    <w:p w14:paraId="456187D9" w14:textId="77777777" w:rsidR="007A1883" w:rsidRPr="00A42C97" w:rsidRDefault="007A1883" w:rsidP="00507CE7">
      <w:pPr>
        <w:pStyle w:val="NoSpacing1"/>
        <w:jc w:val="both"/>
        <w:rPr>
          <w:rFonts w:ascii="Arial" w:eastAsia="SimSun" w:hAnsi="Arial"/>
          <w:b/>
          <w:bCs/>
          <w:sz w:val="20"/>
          <w:szCs w:val="20"/>
          <w:shd w:val="clear" w:color="auto" w:fill="FFFFFF"/>
        </w:rPr>
      </w:pPr>
    </w:p>
    <w:p w14:paraId="32FD6034" w14:textId="77777777" w:rsidR="005F6E16" w:rsidRDefault="005F6E16" w:rsidP="004E53E4">
      <w:pPr>
        <w:pStyle w:val="NoSpacing1"/>
        <w:jc w:val="both"/>
        <w:rPr>
          <w:rFonts w:ascii="Arial" w:eastAsia="SimSun" w:hAnsi="Arial"/>
          <w:sz w:val="20"/>
          <w:szCs w:val="20"/>
          <w:shd w:val="clear" w:color="auto" w:fill="FFFFFF"/>
        </w:rPr>
      </w:pPr>
    </w:p>
    <w:p w14:paraId="7A2F69FA" w14:textId="77777777" w:rsidR="005018EB" w:rsidRPr="00A42C97" w:rsidRDefault="005018EB" w:rsidP="004E53E4">
      <w:pPr>
        <w:pStyle w:val="NoSpacing1"/>
        <w:jc w:val="both"/>
        <w:rPr>
          <w:rFonts w:ascii="Arial" w:eastAsia="SimSun" w:hAnsi="Arial"/>
          <w:sz w:val="20"/>
          <w:szCs w:val="20"/>
          <w:shd w:val="clear" w:color="auto" w:fill="FFFFFF"/>
        </w:rPr>
      </w:pPr>
    </w:p>
    <w:p w14:paraId="0FA9514D" w14:textId="77777777" w:rsidR="00C54719" w:rsidRPr="00A42C97" w:rsidRDefault="00C54719" w:rsidP="00C54719">
      <w:pPr>
        <w:pStyle w:val="NoSpacing1"/>
        <w:jc w:val="both"/>
        <w:rPr>
          <w:rFonts w:ascii="Arial" w:eastAsia="SimSun" w:hAnsi="Arial"/>
          <w:b/>
          <w:bCs/>
          <w:sz w:val="20"/>
          <w:szCs w:val="20"/>
          <w:shd w:val="clear" w:color="auto" w:fill="FFFFFF"/>
        </w:rPr>
      </w:pPr>
      <w:bookmarkStart w:id="2" w:name="_Hlk197766655"/>
      <w:r w:rsidRPr="00A42C97">
        <w:rPr>
          <w:rFonts w:ascii="Arial" w:eastAsia="SimSun" w:hAnsi="Arial"/>
          <w:b/>
          <w:bCs/>
          <w:sz w:val="20"/>
          <w:szCs w:val="20"/>
          <w:shd w:val="clear" w:color="auto" w:fill="FFFFFF"/>
        </w:rPr>
        <w:t>REFERENCES</w:t>
      </w:r>
    </w:p>
    <w:p w14:paraId="6DA0ACFE" w14:textId="77777777" w:rsidR="00C54719" w:rsidRPr="00A42C97" w:rsidRDefault="00C54719" w:rsidP="00C54719">
      <w:pPr>
        <w:pStyle w:val="NoSpacing1"/>
        <w:jc w:val="both"/>
        <w:rPr>
          <w:rFonts w:ascii="Arial" w:eastAsia="SimSun" w:hAnsi="Arial"/>
          <w:sz w:val="20"/>
          <w:szCs w:val="20"/>
          <w:shd w:val="clear" w:color="auto" w:fill="FFFFFF"/>
        </w:rPr>
      </w:pPr>
    </w:p>
    <w:bookmarkEnd w:id="2"/>
    <w:p w14:paraId="03A9DAA5" w14:textId="77777777" w:rsidR="00A42C97" w:rsidRPr="00A42C97" w:rsidRDefault="00A42C97" w:rsidP="00A42C97">
      <w:pPr>
        <w:ind w:left="810" w:hanging="450"/>
        <w:jc w:val="both"/>
        <w:rPr>
          <w:rFonts w:ascii="Arial" w:eastAsia="SimSun" w:hAnsi="Arial"/>
          <w:bCs/>
          <w:shd w:val="clear" w:color="auto" w:fill="FFFFFF"/>
        </w:rPr>
      </w:pPr>
      <w:proofErr w:type="spellStart"/>
      <w:r w:rsidRPr="00A42C97">
        <w:rPr>
          <w:rFonts w:ascii="Arial" w:eastAsia="SimSun" w:hAnsi="Arial"/>
          <w:bCs/>
          <w:shd w:val="clear" w:color="auto" w:fill="FFFFFF"/>
        </w:rPr>
        <w:t>Adlawon</w:t>
      </w:r>
      <w:proofErr w:type="spellEnd"/>
      <w:r w:rsidRPr="00A42C97">
        <w:rPr>
          <w:rFonts w:ascii="Arial" w:eastAsia="SimSun" w:hAnsi="Arial"/>
          <w:bCs/>
          <w:shd w:val="clear" w:color="auto" w:fill="FFFFFF"/>
        </w:rPr>
        <w:t xml:space="preserve">, C. M., </w:t>
      </w:r>
      <w:proofErr w:type="spellStart"/>
      <w:r w:rsidRPr="00A42C97">
        <w:rPr>
          <w:rFonts w:ascii="Arial" w:eastAsia="SimSun" w:hAnsi="Arial"/>
          <w:bCs/>
          <w:shd w:val="clear" w:color="auto" w:fill="FFFFFF"/>
        </w:rPr>
        <w:t>Valdevarona</w:t>
      </w:r>
      <w:proofErr w:type="spellEnd"/>
      <w:r w:rsidRPr="00A42C97">
        <w:rPr>
          <w:rFonts w:ascii="Arial" w:eastAsia="SimSun" w:hAnsi="Arial"/>
          <w:bCs/>
          <w:shd w:val="clear" w:color="auto" w:fill="FFFFFF"/>
        </w:rPr>
        <w:t>, A. M., &amp; Miranda, A. (2022). The relationship of self-concept and mathematics performance of college students in the new normal. Asian Journal of Education and Social Studies, 37(3), 39–47.</w:t>
      </w:r>
    </w:p>
    <w:p w14:paraId="2635AD81"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Afzal, S., &amp; Jami, H. (2018). Prevalence of academic procrastination and reasons for academic procrastination in university students. </w:t>
      </w:r>
      <w:r w:rsidRPr="00A42C97">
        <w:rPr>
          <w:rFonts w:ascii="Arial" w:eastAsia="SimSun" w:hAnsi="Arial"/>
          <w:i/>
          <w:iCs/>
          <w:sz w:val="20"/>
          <w:szCs w:val="20"/>
          <w:shd w:val="clear" w:color="auto" w:fill="FFFFFF"/>
        </w:rPr>
        <w:t xml:space="preserve">Journal of </w:t>
      </w:r>
      <w:proofErr w:type="spellStart"/>
      <w:r w:rsidRPr="00A42C97">
        <w:rPr>
          <w:rFonts w:ascii="Arial" w:eastAsia="SimSun" w:hAnsi="Arial"/>
          <w:i/>
          <w:iCs/>
          <w:sz w:val="20"/>
          <w:szCs w:val="20"/>
          <w:shd w:val="clear" w:color="auto" w:fill="FFFFFF"/>
        </w:rPr>
        <w:t>Behavioural</w:t>
      </w:r>
      <w:proofErr w:type="spellEnd"/>
      <w:r w:rsidRPr="00A42C97">
        <w:rPr>
          <w:rFonts w:ascii="Arial" w:eastAsia="SimSun" w:hAnsi="Arial"/>
          <w:i/>
          <w:iCs/>
          <w:sz w:val="20"/>
          <w:szCs w:val="20"/>
          <w:shd w:val="clear" w:color="auto" w:fill="FFFFFF"/>
        </w:rPr>
        <w:t xml:space="preserve"> Sciences, 28</w:t>
      </w:r>
      <w:r w:rsidRPr="00A42C97">
        <w:rPr>
          <w:rFonts w:ascii="Arial" w:eastAsia="SimSun" w:hAnsi="Arial"/>
          <w:sz w:val="20"/>
          <w:szCs w:val="20"/>
          <w:shd w:val="clear" w:color="auto" w:fill="FFFFFF"/>
        </w:rPr>
        <w:t>(1), 51–69.</w:t>
      </w:r>
    </w:p>
    <w:p w14:paraId="744E053A"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Agtarap, R., &amp; Miranda, A. T. (2022). The mediating effect of students’ resiliency on the relationship of self-concept and mathematics performance. Asian Journal of Education and Social Studies, 36(2), 1–10.</w:t>
      </w:r>
    </w:p>
    <w:p w14:paraId="702B7A54"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Akinsola, M. K., &amp; Tella, A. (2003). Effectiveness of individualistic and cooperative teaching strategies in learning geometry and problem solving in mathematics among junior secondary schools in Nigeria. </w:t>
      </w:r>
      <w:r w:rsidRPr="00A42C97">
        <w:rPr>
          <w:rFonts w:ascii="Arial" w:eastAsia="SimSun" w:hAnsi="Arial"/>
          <w:i/>
          <w:iCs/>
          <w:sz w:val="20"/>
          <w:szCs w:val="20"/>
          <w:shd w:val="clear" w:color="auto" w:fill="FFFFFF"/>
        </w:rPr>
        <w:t xml:space="preserve">Personality Study and </w:t>
      </w:r>
      <w:proofErr w:type="spellStart"/>
      <w:r w:rsidRPr="00A42C97">
        <w:rPr>
          <w:rFonts w:ascii="Arial" w:eastAsia="SimSun" w:hAnsi="Arial"/>
          <w:i/>
          <w:iCs/>
          <w:sz w:val="20"/>
          <w:szCs w:val="20"/>
          <w:shd w:val="clear" w:color="auto" w:fill="FFFFFF"/>
        </w:rPr>
        <w:t>Behaviour</w:t>
      </w:r>
      <w:proofErr w:type="spellEnd"/>
      <w:r w:rsidRPr="00A42C97">
        <w:rPr>
          <w:rFonts w:ascii="Arial" w:eastAsia="SimSun" w:hAnsi="Arial"/>
          <w:i/>
          <w:iCs/>
          <w:sz w:val="20"/>
          <w:szCs w:val="20"/>
          <w:shd w:val="clear" w:color="auto" w:fill="FFFFFF"/>
        </w:rPr>
        <w:t>, 23</w:t>
      </w:r>
      <w:r w:rsidRPr="00A42C97">
        <w:rPr>
          <w:rFonts w:ascii="Arial" w:eastAsia="SimSun" w:hAnsi="Arial"/>
          <w:sz w:val="20"/>
          <w:szCs w:val="20"/>
          <w:shd w:val="clear" w:color="auto" w:fill="FFFFFF"/>
        </w:rPr>
        <w:t>, 95–105.</w:t>
      </w:r>
    </w:p>
    <w:p w14:paraId="4F00D6E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Akmal, S. Z., </w:t>
      </w:r>
      <w:proofErr w:type="spellStart"/>
      <w:r w:rsidRPr="00A42C97">
        <w:rPr>
          <w:rFonts w:ascii="Arial" w:eastAsia="SimSun" w:hAnsi="Arial"/>
          <w:sz w:val="20"/>
          <w:szCs w:val="20"/>
          <w:shd w:val="clear" w:color="auto" w:fill="FFFFFF"/>
        </w:rPr>
        <w:t>Arlinkasari</w:t>
      </w:r>
      <w:proofErr w:type="spellEnd"/>
      <w:r w:rsidRPr="00A42C97">
        <w:rPr>
          <w:rFonts w:ascii="Arial" w:eastAsia="SimSun" w:hAnsi="Arial"/>
          <w:sz w:val="20"/>
          <w:szCs w:val="20"/>
          <w:shd w:val="clear" w:color="auto" w:fill="FFFFFF"/>
        </w:rPr>
        <w:t xml:space="preserve">, F., &amp; </w:t>
      </w:r>
      <w:proofErr w:type="spellStart"/>
      <w:r w:rsidRPr="00A42C97">
        <w:rPr>
          <w:rFonts w:ascii="Arial" w:eastAsia="SimSun" w:hAnsi="Arial"/>
          <w:sz w:val="20"/>
          <w:szCs w:val="20"/>
          <w:shd w:val="clear" w:color="auto" w:fill="FFFFFF"/>
        </w:rPr>
        <w:t>Febriani</w:t>
      </w:r>
      <w:proofErr w:type="spellEnd"/>
      <w:r w:rsidRPr="00A42C97">
        <w:rPr>
          <w:rFonts w:ascii="Arial" w:eastAsia="SimSun" w:hAnsi="Arial"/>
          <w:sz w:val="20"/>
          <w:szCs w:val="20"/>
          <w:shd w:val="clear" w:color="auto" w:fill="FFFFFF"/>
        </w:rPr>
        <w:t xml:space="preserve">, A. U. (2017). Hope of success and fear of failure predicting academic procrastination students who working on a thesis. </w:t>
      </w:r>
      <w:proofErr w:type="spellStart"/>
      <w:r w:rsidRPr="00A42C97">
        <w:rPr>
          <w:rFonts w:ascii="Arial" w:eastAsia="SimSun" w:hAnsi="Arial"/>
          <w:i/>
          <w:iCs/>
          <w:sz w:val="20"/>
          <w:szCs w:val="20"/>
          <w:shd w:val="clear" w:color="auto" w:fill="FFFFFF"/>
        </w:rPr>
        <w:t>Guidena</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Jurnal</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Ilmu</w:t>
      </w:r>
      <w:proofErr w:type="spellEnd"/>
      <w:r w:rsidRPr="00A42C97">
        <w:rPr>
          <w:rFonts w:ascii="Arial" w:eastAsia="SimSun" w:hAnsi="Arial"/>
          <w:i/>
          <w:iCs/>
          <w:sz w:val="20"/>
          <w:szCs w:val="20"/>
          <w:shd w:val="clear" w:color="auto" w:fill="FFFFFF"/>
        </w:rPr>
        <w:t xml:space="preserve"> Pendidikan, </w:t>
      </w:r>
      <w:proofErr w:type="spellStart"/>
      <w:r w:rsidRPr="00A42C97">
        <w:rPr>
          <w:rFonts w:ascii="Arial" w:eastAsia="SimSun" w:hAnsi="Arial"/>
          <w:i/>
          <w:iCs/>
          <w:sz w:val="20"/>
          <w:szCs w:val="20"/>
          <w:shd w:val="clear" w:color="auto" w:fill="FFFFFF"/>
        </w:rPr>
        <w:t>Psikologi</w:t>
      </w:r>
      <w:proofErr w:type="spellEnd"/>
      <w:r w:rsidRPr="00A42C97">
        <w:rPr>
          <w:rFonts w:ascii="Arial" w:eastAsia="SimSun" w:hAnsi="Arial"/>
          <w:i/>
          <w:iCs/>
          <w:sz w:val="20"/>
          <w:szCs w:val="20"/>
          <w:shd w:val="clear" w:color="auto" w:fill="FFFFFF"/>
        </w:rPr>
        <w:t xml:space="preserve">, </w:t>
      </w:r>
      <w:proofErr w:type="spellStart"/>
      <w:r w:rsidRPr="00A42C97">
        <w:rPr>
          <w:rFonts w:ascii="Arial" w:eastAsia="SimSun" w:hAnsi="Arial"/>
          <w:i/>
          <w:iCs/>
          <w:sz w:val="20"/>
          <w:szCs w:val="20"/>
          <w:shd w:val="clear" w:color="auto" w:fill="FFFFFF"/>
        </w:rPr>
        <w:t>Bimbingan</w:t>
      </w:r>
      <w:proofErr w:type="spellEnd"/>
      <w:r w:rsidRPr="00A42C97">
        <w:rPr>
          <w:rFonts w:ascii="Arial" w:eastAsia="SimSun" w:hAnsi="Arial"/>
          <w:i/>
          <w:iCs/>
          <w:sz w:val="20"/>
          <w:szCs w:val="20"/>
          <w:shd w:val="clear" w:color="auto" w:fill="FFFFFF"/>
        </w:rPr>
        <w:t xml:space="preserve"> dan </w:t>
      </w:r>
      <w:proofErr w:type="spellStart"/>
      <w:r w:rsidRPr="00A42C97">
        <w:rPr>
          <w:rFonts w:ascii="Arial" w:eastAsia="SimSun" w:hAnsi="Arial"/>
          <w:i/>
          <w:iCs/>
          <w:sz w:val="20"/>
          <w:szCs w:val="20"/>
          <w:shd w:val="clear" w:color="auto" w:fill="FFFFFF"/>
        </w:rPr>
        <w:t>Konseling</w:t>
      </w:r>
      <w:proofErr w:type="spellEnd"/>
      <w:r w:rsidRPr="00A42C97">
        <w:rPr>
          <w:rFonts w:ascii="Arial" w:eastAsia="SimSun" w:hAnsi="Arial"/>
          <w:i/>
          <w:iCs/>
          <w:sz w:val="20"/>
          <w:szCs w:val="20"/>
          <w:shd w:val="clear" w:color="auto" w:fill="FFFFFF"/>
        </w:rPr>
        <w:t>, 7</w:t>
      </w:r>
      <w:r w:rsidRPr="00A42C97">
        <w:rPr>
          <w:rFonts w:ascii="Arial" w:eastAsia="SimSun" w:hAnsi="Arial"/>
          <w:sz w:val="20"/>
          <w:szCs w:val="20"/>
          <w:shd w:val="clear" w:color="auto" w:fill="FFFFFF"/>
        </w:rPr>
        <w:t>(1), 78–86.</w:t>
      </w:r>
    </w:p>
    <w:p w14:paraId="6E408B5E"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Alves, P. R. S. D. S., Soares, A. B., &amp; Jardim, M. E. D. M. (2024). Procrastination, time management and self-efficacy among university students. </w:t>
      </w:r>
      <w:proofErr w:type="spellStart"/>
      <w:r w:rsidRPr="00A42C97">
        <w:rPr>
          <w:rFonts w:ascii="Arial" w:eastAsia="SimSun" w:hAnsi="Arial"/>
          <w:bCs/>
          <w:i/>
          <w:iCs/>
          <w:shd w:val="clear" w:color="auto" w:fill="FFFFFF"/>
        </w:rPr>
        <w:t>Psico</w:t>
      </w:r>
      <w:proofErr w:type="spellEnd"/>
      <w:r w:rsidRPr="00A42C97">
        <w:rPr>
          <w:rFonts w:ascii="Arial" w:eastAsia="SimSun" w:hAnsi="Arial"/>
          <w:bCs/>
          <w:i/>
          <w:iCs/>
          <w:shd w:val="clear" w:color="auto" w:fill="FFFFFF"/>
        </w:rPr>
        <w:t>-USF</w:t>
      </w:r>
      <w:r w:rsidRPr="00A42C97">
        <w:rPr>
          <w:rFonts w:ascii="Arial" w:eastAsia="SimSun" w:hAnsi="Arial"/>
          <w:bCs/>
          <w:shd w:val="clear" w:color="auto" w:fill="FFFFFF"/>
        </w:rPr>
        <w:t>, </w:t>
      </w:r>
      <w:r w:rsidRPr="00A42C97">
        <w:rPr>
          <w:rFonts w:ascii="Arial" w:eastAsia="SimSun" w:hAnsi="Arial"/>
          <w:bCs/>
          <w:i/>
          <w:iCs/>
          <w:shd w:val="clear" w:color="auto" w:fill="FFFFFF"/>
        </w:rPr>
        <w:t>29</w:t>
      </w:r>
      <w:r w:rsidRPr="00A42C97">
        <w:rPr>
          <w:rFonts w:ascii="Arial" w:eastAsia="SimSun" w:hAnsi="Arial"/>
          <w:bCs/>
          <w:shd w:val="clear" w:color="auto" w:fill="FFFFFF"/>
        </w:rPr>
        <w:t>, e272658.</w:t>
      </w:r>
    </w:p>
    <w:p w14:paraId="3D2F8B3C"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Asikhia</w:t>
      </w:r>
      <w:proofErr w:type="spellEnd"/>
      <w:r w:rsidRPr="00A42C97">
        <w:rPr>
          <w:rFonts w:ascii="Arial" w:eastAsia="SimSun" w:hAnsi="Arial"/>
          <w:sz w:val="20"/>
          <w:szCs w:val="20"/>
          <w:shd w:val="clear" w:color="auto" w:fill="FFFFFF"/>
        </w:rPr>
        <w:t xml:space="preserve">, O. A. (2010). Academic procrastination in mathematics: Causes, dangers and implications of counselling for effective learning. </w:t>
      </w:r>
      <w:r w:rsidRPr="00A42C97">
        <w:rPr>
          <w:rFonts w:ascii="Arial" w:eastAsia="SimSun" w:hAnsi="Arial"/>
          <w:i/>
          <w:iCs/>
          <w:sz w:val="20"/>
          <w:szCs w:val="20"/>
          <w:shd w:val="clear" w:color="auto" w:fill="FFFFFF"/>
        </w:rPr>
        <w:t>International Education Studies, 3</w:t>
      </w:r>
      <w:r w:rsidRPr="00A42C97">
        <w:rPr>
          <w:rFonts w:ascii="Arial" w:eastAsia="SimSun" w:hAnsi="Arial"/>
          <w:sz w:val="20"/>
          <w:szCs w:val="20"/>
          <w:shd w:val="clear" w:color="auto" w:fill="FFFFFF"/>
        </w:rPr>
        <w:t>(3), 205–210.</w:t>
      </w:r>
    </w:p>
    <w:p w14:paraId="63FD60D3"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Baclay, M. A. G., Cortado, C. D. M. M., Acosta, V. A. D., &amp; Miranda, A. (2025). Relationship between Motivational Strategies and Mathematics Performance among First-year Students at A State College in the Davao Region. </w:t>
      </w:r>
      <w:r w:rsidRPr="00A42C97">
        <w:rPr>
          <w:rFonts w:ascii="Arial" w:eastAsia="SimSun" w:hAnsi="Arial"/>
          <w:bCs/>
          <w:i/>
          <w:iCs/>
          <w:sz w:val="20"/>
          <w:szCs w:val="20"/>
          <w:shd w:val="clear" w:color="auto" w:fill="FFFFFF"/>
        </w:rPr>
        <w:t>Asian Journal of Education and Social Studies</w:t>
      </w:r>
      <w:r w:rsidRPr="00A42C97">
        <w:rPr>
          <w:rFonts w:ascii="Arial" w:eastAsia="SimSun" w:hAnsi="Arial"/>
          <w:bCs/>
          <w:sz w:val="20"/>
          <w:szCs w:val="20"/>
          <w:shd w:val="clear" w:color="auto" w:fill="FFFFFF"/>
        </w:rPr>
        <w:t>, </w:t>
      </w:r>
      <w:r w:rsidRPr="00A42C97">
        <w:rPr>
          <w:rFonts w:ascii="Arial" w:eastAsia="SimSun" w:hAnsi="Arial"/>
          <w:bCs/>
          <w:i/>
          <w:iCs/>
          <w:sz w:val="20"/>
          <w:szCs w:val="20"/>
          <w:shd w:val="clear" w:color="auto" w:fill="FFFFFF"/>
        </w:rPr>
        <w:t>51</w:t>
      </w:r>
      <w:r w:rsidRPr="00A42C97">
        <w:rPr>
          <w:rFonts w:ascii="Arial" w:eastAsia="SimSun" w:hAnsi="Arial"/>
          <w:bCs/>
          <w:sz w:val="20"/>
          <w:szCs w:val="20"/>
          <w:shd w:val="clear" w:color="auto" w:fill="FFFFFF"/>
        </w:rPr>
        <w:t>(5), 422-433.</w:t>
      </w:r>
    </w:p>
    <w:p w14:paraId="0A786B4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lastRenderedPageBreak/>
        <w:t xml:space="preserve">Balkis, M., &amp; Duru, E. (2012). The direct and indirect role of self-esteem and procrastination in the relation to fear of failure and self-worth. </w:t>
      </w:r>
      <w:r w:rsidRPr="00A42C97">
        <w:rPr>
          <w:rFonts w:ascii="Arial" w:eastAsia="SimSun" w:hAnsi="Arial"/>
          <w:i/>
          <w:iCs/>
          <w:sz w:val="20"/>
          <w:szCs w:val="20"/>
          <w:shd w:val="clear" w:color="auto" w:fill="FFFFFF"/>
        </w:rPr>
        <w:t>Journal of Human Sciences, 9</w:t>
      </w:r>
      <w:r w:rsidRPr="00A42C97">
        <w:rPr>
          <w:rFonts w:ascii="Arial" w:eastAsia="SimSun" w:hAnsi="Arial"/>
          <w:sz w:val="20"/>
          <w:szCs w:val="20"/>
          <w:shd w:val="clear" w:color="auto" w:fill="FFFFFF"/>
        </w:rPr>
        <w:t>(2), 1075–1093.</w:t>
      </w:r>
    </w:p>
    <w:p w14:paraId="48B92AFC" w14:textId="2A15115A" w:rsid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Burka, J. B., &amp; Yuen, L. M. (2008). </w:t>
      </w:r>
      <w:r w:rsidRPr="00A42C97">
        <w:rPr>
          <w:rFonts w:ascii="Arial" w:eastAsia="SimSun" w:hAnsi="Arial"/>
          <w:i/>
          <w:iCs/>
          <w:sz w:val="20"/>
          <w:szCs w:val="20"/>
          <w:shd w:val="clear" w:color="auto" w:fill="FFFFFF"/>
        </w:rPr>
        <w:t>Procrastination: Why you do it, what to do about it now</w:t>
      </w:r>
      <w:r w:rsidRPr="00A42C97">
        <w:rPr>
          <w:rFonts w:ascii="Arial" w:eastAsia="SimSun" w:hAnsi="Arial"/>
          <w:sz w:val="20"/>
          <w:szCs w:val="20"/>
          <w:shd w:val="clear" w:color="auto" w:fill="FFFFFF"/>
        </w:rPr>
        <w:t>. Da Capo Press.</w:t>
      </w:r>
    </w:p>
    <w:p w14:paraId="05476E55" w14:textId="04BC80DE" w:rsidR="005B4969" w:rsidRPr="005B4969" w:rsidRDefault="005B4969" w:rsidP="00A42C97">
      <w:pPr>
        <w:pStyle w:val="NoSpacing1"/>
        <w:ind w:left="810" w:hanging="450"/>
        <w:jc w:val="both"/>
        <w:rPr>
          <w:rFonts w:ascii="Arial" w:eastAsia="SimSun" w:hAnsi="Arial"/>
          <w:sz w:val="20"/>
          <w:szCs w:val="20"/>
          <w:shd w:val="clear" w:color="auto" w:fill="FFFFFF"/>
        </w:rPr>
      </w:pPr>
      <w:r w:rsidRPr="005B4969">
        <w:rPr>
          <w:rFonts w:ascii="Arial" w:eastAsia="SimSun" w:hAnsi="Arial"/>
          <w:sz w:val="20"/>
          <w:szCs w:val="20"/>
          <w:shd w:val="clear" w:color="auto" w:fill="FFFFFF"/>
        </w:rPr>
        <w:t xml:space="preserve">Cabalquinto, K. E., &amp; Magallanes, A. O. (2022). Non-cognitive factors affecting mathematics performance using structural equation modeling: Basis for a mathematics learning intervention framework. </w:t>
      </w:r>
      <w:r w:rsidRPr="005B4969">
        <w:rPr>
          <w:rFonts w:ascii="Arial" w:eastAsia="SimSun" w:hAnsi="Arial"/>
          <w:i/>
          <w:iCs/>
          <w:sz w:val="20"/>
          <w:szCs w:val="20"/>
          <w:shd w:val="clear" w:color="auto" w:fill="FFFFFF"/>
        </w:rPr>
        <w:t>Asian Journal of Education and Social Studies, 36</w:t>
      </w:r>
      <w:r w:rsidRPr="005B4969">
        <w:rPr>
          <w:rFonts w:ascii="Arial" w:eastAsia="SimSun" w:hAnsi="Arial"/>
          <w:sz w:val="20"/>
          <w:szCs w:val="20"/>
          <w:shd w:val="clear" w:color="auto" w:fill="FFFFFF"/>
        </w:rPr>
        <w:t xml:space="preserve">(3), 43–55. </w:t>
      </w:r>
      <w:hyperlink r:id="rId8" w:tgtFrame="_new" w:history="1">
        <w:r w:rsidRPr="005B4969">
          <w:rPr>
            <w:rStyle w:val="Hyperlink"/>
            <w:rFonts w:ascii="Arial" w:eastAsia="SimSun" w:hAnsi="Arial"/>
            <w:sz w:val="20"/>
            <w:szCs w:val="20"/>
            <w:shd w:val="clear" w:color="auto" w:fill="FFFFFF"/>
          </w:rPr>
          <w:t>https://doi.org/10.9734/ajess/2022/v36i3781</w:t>
        </w:r>
      </w:hyperlink>
    </w:p>
    <w:p w14:paraId="02B2E05D"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proofErr w:type="spellStart"/>
      <w:r w:rsidRPr="00A42C97">
        <w:rPr>
          <w:rFonts w:ascii="Arial" w:eastAsia="SimSun" w:hAnsi="Arial"/>
          <w:bCs/>
          <w:sz w:val="20"/>
          <w:szCs w:val="20"/>
          <w:shd w:val="clear" w:color="auto" w:fill="FFFFFF"/>
        </w:rPr>
        <w:t>Caliosan</w:t>
      </w:r>
      <w:proofErr w:type="spellEnd"/>
      <w:r w:rsidRPr="00A42C97">
        <w:rPr>
          <w:rFonts w:ascii="Arial" w:eastAsia="SimSun" w:hAnsi="Arial"/>
          <w:bCs/>
          <w:sz w:val="20"/>
          <w:szCs w:val="20"/>
          <w:shd w:val="clear" w:color="auto" w:fill="FFFFFF"/>
        </w:rPr>
        <w:t xml:space="preserve">, R. M. A., </w:t>
      </w:r>
      <w:proofErr w:type="spellStart"/>
      <w:r w:rsidRPr="00A42C97">
        <w:rPr>
          <w:rFonts w:ascii="Arial" w:eastAsia="SimSun" w:hAnsi="Arial"/>
          <w:bCs/>
          <w:sz w:val="20"/>
          <w:szCs w:val="20"/>
          <w:shd w:val="clear" w:color="auto" w:fill="FFFFFF"/>
        </w:rPr>
        <w:t>Cutay</w:t>
      </w:r>
      <w:proofErr w:type="spellEnd"/>
      <w:r w:rsidRPr="00A42C97">
        <w:rPr>
          <w:rFonts w:ascii="Arial" w:eastAsia="SimSun" w:hAnsi="Arial"/>
          <w:bCs/>
          <w:sz w:val="20"/>
          <w:szCs w:val="20"/>
          <w:shd w:val="clear" w:color="auto" w:fill="FFFFFF"/>
        </w:rPr>
        <w:t xml:space="preserve">, C. J. C., Lagat, R. A., &amp; Miranda, A. T. (2025). </w:t>
      </w:r>
      <w:r w:rsidRPr="00A42C97">
        <w:rPr>
          <w:rFonts w:ascii="Arial" w:eastAsia="SimSun" w:hAnsi="Arial"/>
          <w:bCs/>
          <w:i/>
          <w:iCs/>
          <w:sz w:val="20"/>
          <w:szCs w:val="20"/>
          <w:shd w:val="clear" w:color="auto" w:fill="FFFFFF"/>
        </w:rPr>
        <w:t>Mathematical curiosity and mathematics performance of pre-service teachers</w:t>
      </w:r>
      <w:r w:rsidRPr="00A42C97">
        <w:rPr>
          <w:rFonts w:ascii="Arial" w:eastAsia="SimSun" w:hAnsi="Arial"/>
          <w:bCs/>
          <w:sz w:val="20"/>
          <w:szCs w:val="20"/>
          <w:shd w:val="clear" w:color="auto" w:fill="FFFFFF"/>
        </w:rPr>
        <w:t xml:space="preserve">. In </w:t>
      </w:r>
      <w:r w:rsidRPr="00A42C97">
        <w:rPr>
          <w:rFonts w:ascii="Arial" w:eastAsia="SimSun" w:hAnsi="Arial"/>
          <w:bCs/>
          <w:i/>
          <w:iCs/>
          <w:sz w:val="20"/>
          <w:szCs w:val="20"/>
          <w:shd w:val="clear" w:color="auto" w:fill="FFFFFF"/>
        </w:rPr>
        <w:t>Proceedings of the 8th International Ankara Multidisciplinary Studies Congress</w:t>
      </w:r>
      <w:r w:rsidRPr="00A42C97">
        <w:rPr>
          <w:rFonts w:ascii="Arial" w:eastAsia="SimSun" w:hAnsi="Arial"/>
          <w:bCs/>
          <w:sz w:val="20"/>
          <w:szCs w:val="20"/>
          <w:shd w:val="clear" w:color="auto" w:fill="FFFFFF"/>
        </w:rPr>
        <w:t xml:space="preserve">. Retrieved from </w:t>
      </w:r>
      <w:hyperlink r:id="rId9" w:history="1">
        <w:r w:rsidRPr="00A42C97">
          <w:rPr>
            <w:rStyle w:val="Hyperlink"/>
            <w:rFonts w:ascii="Arial" w:eastAsia="SimSun" w:hAnsi="Arial"/>
            <w:bCs/>
            <w:sz w:val="20"/>
            <w:szCs w:val="20"/>
            <w:shd w:val="clear" w:color="auto" w:fill="FFFFFF"/>
          </w:rPr>
          <w:t>https://www.academia.edu/128471771/Mathematical_curiosity_and_mathematics_performance_of_pre_service_teachers</w:t>
        </w:r>
      </w:hyperlink>
      <w:r w:rsidRPr="00A42C97">
        <w:rPr>
          <w:rFonts w:ascii="Arial" w:eastAsia="SimSun" w:hAnsi="Arial"/>
          <w:bCs/>
          <w:sz w:val="20"/>
          <w:szCs w:val="20"/>
          <w:shd w:val="clear" w:color="auto" w:fill="FFFFFF"/>
        </w:rPr>
        <w:t xml:space="preserve"> </w:t>
      </w:r>
    </w:p>
    <w:p w14:paraId="235608F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Conroy, D. E., Willow, J. P., &amp; Metzler, J. N. (2002). Multidimensional fear of failure measurement: The performance failure appraisal inventory. </w:t>
      </w:r>
      <w:r w:rsidRPr="00A42C97">
        <w:rPr>
          <w:rFonts w:ascii="Arial" w:eastAsia="SimSun" w:hAnsi="Arial"/>
          <w:i/>
          <w:iCs/>
          <w:sz w:val="20"/>
          <w:szCs w:val="20"/>
          <w:shd w:val="clear" w:color="auto" w:fill="FFFFFF"/>
        </w:rPr>
        <w:t>Journal of Applied Sport Psychology, 14</w:t>
      </w:r>
      <w:r w:rsidRPr="00A42C97">
        <w:rPr>
          <w:rFonts w:ascii="Arial" w:eastAsia="SimSun" w:hAnsi="Arial"/>
          <w:sz w:val="20"/>
          <w:szCs w:val="20"/>
          <w:shd w:val="clear" w:color="auto" w:fill="FFFFFF"/>
        </w:rPr>
        <w:t>, 76–90.</w:t>
      </w:r>
    </w:p>
    <w:p w14:paraId="36A26930" w14:textId="77777777" w:rsidR="00A42C97" w:rsidRPr="00EE3AC1" w:rsidRDefault="00A42C97" w:rsidP="00A42C97">
      <w:pPr>
        <w:pStyle w:val="NoSpacing1"/>
        <w:ind w:left="810" w:hanging="450"/>
        <w:jc w:val="both"/>
        <w:rPr>
          <w:rFonts w:ascii="Arial" w:eastAsia="SimSun" w:hAnsi="Arial"/>
          <w:bCs/>
          <w:sz w:val="20"/>
          <w:szCs w:val="20"/>
          <w:shd w:val="clear" w:color="auto" w:fill="FFFFFF"/>
        </w:rPr>
      </w:pPr>
      <w:r w:rsidRPr="00EE3AC1">
        <w:rPr>
          <w:rFonts w:ascii="Arial" w:eastAsia="SimSun" w:hAnsi="Arial"/>
          <w:bCs/>
          <w:sz w:val="20"/>
          <w:szCs w:val="20"/>
          <w:shd w:val="clear" w:color="auto" w:fill="FFFFFF"/>
        </w:rPr>
        <w:t xml:space="preserve">Cortez, N. S., </w:t>
      </w:r>
      <w:proofErr w:type="spellStart"/>
      <w:r w:rsidRPr="00EE3AC1">
        <w:rPr>
          <w:rFonts w:ascii="Arial" w:eastAsia="SimSun" w:hAnsi="Arial"/>
          <w:bCs/>
          <w:sz w:val="20"/>
          <w:szCs w:val="20"/>
          <w:shd w:val="clear" w:color="auto" w:fill="FFFFFF"/>
        </w:rPr>
        <w:t>Duay</w:t>
      </w:r>
      <w:proofErr w:type="spellEnd"/>
      <w:r w:rsidRPr="00EE3AC1">
        <w:rPr>
          <w:rFonts w:ascii="Arial" w:eastAsia="SimSun" w:hAnsi="Arial"/>
          <w:bCs/>
          <w:sz w:val="20"/>
          <w:szCs w:val="20"/>
          <w:shd w:val="clear" w:color="auto" w:fill="FFFFFF"/>
        </w:rPr>
        <w:t xml:space="preserve">, E. A., Balandra, C. B., &amp; Miranda, A. T. (2025). </w:t>
      </w:r>
      <w:r w:rsidRPr="00EE3AC1">
        <w:rPr>
          <w:rFonts w:ascii="Arial" w:eastAsia="SimSun" w:hAnsi="Arial"/>
          <w:bCs/>
          <w:i/>
          <w:iCs/>
          <w:sz w:val="20"/>
          <w:szCs w:val="20"/>
          <w:shd w:val="clear" w:color="auto" w:fill="FFFFFF"/>
        </w:rPr>
        <w:t>Coping strategies in learning mathematics and mathematics performance of college students</w:t>
      </w:r>
      <w:r w:rsidRPr="00EE3AC1">
        <w:rPr>
          <w:rFonts w:ascii="Arial" w:eastAsia="SimSun" w:hAnsi="Arial"/>
          <w:bCs/>
          <w:sz w:val="20"/>
          <w:szCs w:val="20"/>
          <w:shd w:val="clear" w:color="auto" w:fill="FFFFFF"/>
        </w:rPr>
        <w:t xml:space="preserve">. In </w:t>
      </w:r>
      <w:r w:rsidRPr="00EE3AC1">
        <w:rPr>
          <w:rFonts w:ascii="Arial" w:eastAsia="SimSun" w:hAnsi="Arial"/>
          <w:bCs/>
          <w:i/>
          <w:iCs/>
          <w:sz w:val="20"/>
          <w:szCs w:val="20"/>
          <w:shd w:val="clear" w:color="auto" w:fill="FFFFFF"/>
        </w:rPr>
        <w:t>Proceedings of the 8th International Ankara Multidisciplinary Studies Congress</w:t>
      </w:r>
      <w:r w:rsidRPr="00EE3AC1">
        <w:rPr>
          <w:rFonts w:ascii="Arial" w:eastAsia="SimSun" w:hAnsi="Arial"/>
          <w:bCs/>
          <w:sz w:val="20"/>
          <w:szCs w:val="20"/>
          <w:shd w:val="clear" w:color="auto" w:fill="FFFFFF"/>
        </w:rPr>
        <w:t xml:space="preserve">. Retrieved from </w:t>
      </w:r>
      <w:hyperlink r:id="rId10" w:tgtFrame="_new" w:history="1">
        <w:r w:rsidRPr="00EE3AC1">
          <w:rPr>
            <w:rStyle w:val="Hyperlink"/>
            <w:rFonts w:ascii="Arial" w:eastAsia="SimSun" w:hAnsi="Arial"/>
            <w:bCs/>
            <w:sz w:val="20"/>
            <w:szCs w:val="20"/>
            <w:shd w:val="clear" w:color="auto" w:fill="FFFFFF"/>
          </w:rPr>
          <w:t>https://www.academia.edu/128471907/Coping_strategies_in_learning_mathematics_and_mathematics_performance_of_college_students</w:t>
        </w:r>
      </w:hyperlink>
    </w:p>
    <w:p w14:paraId="0FAA1A2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Covington, M. V. (1992). </w:t>
      </w:r>
      <w:r w:rsidRPr="00A42C97">
        <w:rPr>
          <w:rFonts w:ascii="Arial" w:eastAsia="SimSun" w:hAnsi="Arial"/>
          <w:i/>
          <w:iCs/>
          <w:sz w:val="20"/>
          <w:szCs w:val="20"/>
          <w:shd w:val="clear" w:color="auto" w:fill="FFFFFF"/>
        </w:rPr>
        <w:t>Making the grade: A self-worth perspective on motivation and school reform</w:t>
      </w:r>
      <w:r w:rsidRPr="00A42C97">
        <w:rPr>
          <w:rFonts w:ascii="Arial" w:eastAsia="SimSun" w:hAnsi="Arial"/>
          <w:sz w:val="20"/>
          <w:szCs w:val="20"/>
          <w:shd w:val="clear" w:color="auto" w:fill="FFFFFF"/>
        </w:rPr>
        <w:t>. Cambridge University Press.</w:t>
      </w:r>
    </w:p>
    <w:p w14:paraId="0BBAEB9F"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 xml:space="preserve">Department of Education (DepEd). (2019). PISA 2018 Philippine national report. Department of Education. </w:t>
      </w:r>
      <w:hyperlink r:id="rId11" w:history="1">
        <w:r w:rsidRPr="00A42C97">
          <w:rPr>
            <w:rStyle w:val="Hyperlink"/>
            <w:rFonts w:ascii="Arial" w:eastAsia="SimSun" w:hAnsi="Arial"/>
            <w:bCs/>
            <w:sz w:val="20"/>
            <w:szCs w:val="20"/>
            <w:shd w:val="clear" w:color="auto" w:fill="FFFFFF"/>
          </w:rPr>
          <w:t>https://www.deped.gov.ph/wp-content/uploads/2019/12/PISA-2018-Philippine-National-Report.pdf</w:t>
        </w:r>
      </w:hyperlink>
      <w:r w:rsidRPr="00A42C97">
        <w:rPr>
          <w:rFonts w:ascii="Arial" w:eastAsia="SimSun" w:hAnsi="Arial"/>
          <w:bCs/>
          <w:sz w:val="20"/>
          <w:szCs w:val="20"/>
          <w:shd w:val="clear" w:color="auto" w:fill="FFFFFF"/>
        </w:rPr>
        <w:t xml:space="preserve"> </w:t>
      </w:r>
    </w:p>
    <w:p w14:paraId="1CEDD9E0"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Hen, M., &amp; </w:t>
      </w:r>
      <w:proofErr w:type="spellStart"/>
      <w:r w:rsidRPr="00A42C97">
        <w:rPr>
          <w:rFonts w:ascii="Arial" w:eastAsia="SimSun" w:hAnsi="Arial"/>
          <w:sz w:val="20"/>
          <w:szCs w:val="20"/>
          <w:shd w:val="clear" w:color="auto" w:fill="FFFFFF"/>
        </w:rPr>
        <w:t>Goroshit</w:t>
      </w:r>
      <w:proofErr w:type="spellEnd"/>
      <w:r w:rsidRPr="00A42C97">
        <w:rPr>
          <w:rFonts w:ascii="Arial" w:eastAsia="SimSun" w:hAnsi="Arial"/>
          <w:sz w:val="20"/>
          <w:szCs w:val="20"/>
          <w:shd w:val="clear" w:color="auto" w:fill="FFFFFF"/>
        </w:rPr>
        <w:t xml:space="preserve">, M. (2020). The effects of decisional and academic procrastination on students’ feelings toward academic procrastination. </w:t>
      </w:r>
      <w:r w:rsidRPr="00A42C97">
        <w:rPr>
          <w:rFonts w:ascii="Arial" w:eastAsia="SimSun" w:hAnsi="Arial"/>
          <w:i/>
          <w:iCs/>
          <w:sz w:val="20"/>
          <w:szCs w:val="20"/>
          <w:shd w:val="clear" w:color="auto" w:fill="FFFFFF"/>
        </w:rPr>
        <w:t>Current Psychology, 39</w:t>
      </w:r>
      <w:r w:rsidRPr="00A42C97">
        <w:rPr>
          <w:rFonts w:ascii="Arial" w:eastAsia="SimSun" w:hAnsi="Arial"/>
          <w:sz w:val="20"/>
          <w:szCs w:val="20"/>
          <w:shd w:val="clear" w:color="auto" w:fill="FFFFFF"/>
        </w:rPr>
        <w:t>(2), 556–563. https://doi.org/10.1007/s12144-018-9784-4</w:t>
      </w:r>
    </w:p>
    <w:p w14:paraId="6BCC392B"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Kallevig, K. A. (2015). </w:t>
      </w:r>
      <w:r w:rsidRPr="00A42C97">
        <w:rPr>
          <w:rFonts w:ascii="Arial" w:eastAsia="SimSun" w:hAnsi="Arial"/>
          <w:i/>
          <w:iCs/>
          <w:sz w:val="20"/>
          <w:szCs w:val="20"/>
          <w:shd w:val="clear" w:color="auto" w:fill="FFFFFF"/>
        </w:rPr>
        <w:t>Perceptions of failure in education: Changing the fear of failure through gamification</w:t>
      </w:r>
      <w:r w:rsidRPr="00A42C97">
        <w:rPr>
          <w:rFonts w:ascii="Arial" w:eastAsia="SimSun" w:hAnsi="Arial"/>
          <w:sz w:val="20"/>
          <w:szCs w:val="20"/>
          <w:shd w:val="clear" w:color="auto" w:fill="FFFFFF"/>
        </w:rPr>
        <w:t xml:space="preserve"> (Doctoral dissertation, Pepperdine University).</w:t>
      </w:r>
    </w:p>
    <w:p w14:paraId="14BA1BD0"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eastAsia="SimSun" w:hAnsi="Arial"/>
          <w:bCs/>
          <w:sz w:val="20"/>
          <w:szCs w:val="20"/>
          <w:shd w:val="clear" w:color="auto" w:fill="FFFFFF"/>
        </w:rPr>
        <w:t xml:space="preserve">Kljajic, K., Schellenberg, B. J. I., &amp; Gaudreau, P. (2023). Academic procrastination mediates the relation between conscientiousness and academic achievement. </w:t>
      </w:r>
      <w:r w:rsidRPr="00A42C97">
        <w:rPr>
          <w:rFonts w:ascii="Arial" w:eastAsia="SimSun" w:hAnsi="Arial"/>
          <w:bCs/>
          <w:i/>
          <w:iCs/>
          <w:sz w:val="20"/>
          <w:szCs w:val="20"/>
          <w:shd w:val="clear" w:color="auto" w:fill="FFFFFF"/>
        </w:rPr>
        <w:t>Personality and Individual Differences, 203</w:t>
      </w:r>
      <w:r w:rsidRPr="00A42C97">
        <w:rPr>
          <w:rFonts w:ascii="Arial" w:eastAsia="SimSun" w:hAnsi="Arial"/>
          <w:bCs/>
          <w:sz w:val="20"/>
          <w:szCs w:val="20"/>
          <w:shd w:val="clear" w:color="auto" w:fill="FFFFFF"/>
        </w:rPr>
        <w:t xml:space="preserve">, 111980. </w:t>
      </w:r>
      <w:hyperlink r:id="rId12" w:history="1">
        <w:r w:rsidRPr="00A42C97">
          <w:rPr>
            <w:rStyle w:val="Hyperlink"/>
            <w:rFonts w:ascii="Arial" w:eastAsia="SimSun" w:hAnsi="Arial"/>
            <w:bCs/>
            <w:sz w:val="20"/>
            <w:szCs w:val="20"/>
            <w:shd w:val="clear" w:color="auto" w:fill="FFFFFF"/>
          </w:rPr>
          <w:t>https://doi.org/10.1016/j.paid.2023.111980</w:t>
        </w:r>
      </w:hyperlink>
    </w:p>
    <w:p w14:paraId="42C9B156"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Kumari, G., &amp; Malik, S. (2021). Impulsiveness and fear of failure as predictors of academic procrastination. </w:t>
      </w:r>
      <w:r w:rsidRPr="00A42C97">
        <w:rPr>
          <w:rFonts w:ascii="Arial" w:eastAsia="SimSun" w:hAnsi="Arial"/>
          <w:i/>
          <w:iCs/>
          <w:sz w:val="20"/>
          <w:szCs w:val="20"/>
          <w:shd w:val="clear" w:color="auto" w:fill="FFFFFF"/>
        </w:rPr>
        <w:t>Journal of Education and Health Promotion, 10</w:t>
      </w:r>
      <w:r w:rsidRPr="00A42C97">
        <w:rPr>
          <w:rFonts w:ascii="Arial" w:eastAsia="SimSun" w:hAnsi="Arial"/>
          <w:sz w:val="20"/>
          <w:szCs w:val="20"/>
          <w:shd w:val="clear" w:color="auto" w:fill="FFFFFF"/>
        </w:rPr>
        <w:t>, 65. https://doi.org/10.4103/jehp.jehp_223_20</w:t>
      </w:r>
    </w:p>
    <w:p w14:paraId="4EA5019D"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Kurtovic, A., Vrdoljak, G., &amp; </w:t>
      </w:r>
      <w:proofErr w:type="spellStart"/>
      <w:r w:rsidRPr="00A42C97">
        <w:rPr>
          <w:rFonts w:ascii="Arial" w:eastAsia="SimSun" w:hAnsi="Arial"/>
          <w:sz w:val="20"/>
          <w:szCs w:val="20"/>
          <w:shd w:val="clear" w:color="auto" w:fill="FFFFFF"/>
        </w:rPr>
        <w:t>Idzanovic</w:t>
      </w:r>
      <w:proofErr w:type="spellEnd"/>
      <w:r w:rsidRPr="00A42C97">
        <w:rPr>
          <w:rFonts w:ascii="Arial" w:eastAsia="SimSun" w:hAnsi="Arial"/>
          <w:sz w:val="20"/>
          <w:szCs w:val="20"/>
          <w:shd w:val="clear" w:color="auto" w:fill="FFFFFF"/>
        </w:rPr>
        <w:t xml:space="preserve">, A. (2019). Predicting procrastination: The role of academic achievement, self-efficacy and perfectionism. </w:t>
      </w:r>
      <w:r w:rsidRPr="00A42C97">
        <w:rPr>
          <w:rFonts w:ascii="Arial" w:eastAsia="SimSun" w:hAnsi="Arial"/>
          <w:i/>
          <w:iCs/>
          <w:sz w:val="20"/>
          <w:szCs w:val="20"/>
          <w:shd w:val="clear" w:color="auto" w:fill="FFFFFF"/>
        </w:rPr>
        <w:t>International Journal of Educational Psychology, 8</w:t>
      </w:r>
      <w:r w:rsidRPr="00A42C97">
        <w:rPr>
          <w:rFonts w:ascii="Arial" w:eastAsia="SimSun" w:hAnsi="Arial"/>
          <w:sz w:val="20"/>
          <w:szCs w:val="20"/>
          <w:shd w:val="clear" w:color="auto" w:fill="FFFFFF"/>
        </w:rPr>
        <w:t>(1), 1–26. https://doi.org/10.17583/ijep.2019.2993</w:t>
      </w:r>
    </w:p>
    <w:p w14:paraId="2B3BC7EB"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Lumoto</w:t>
      </w:r>
      <w:proofErr w:type="spellEnd"/>
      <w:r w:rsidRPr="00A42C97">
        <w:rPr>
          <w:rFonts w:ascii="Arial" w:eastAsia="SimSun" w:hAnsi="Arial"/>
          <w:sz w:val="20"/>
          <w:szCs w:val="20"/>
          <w:shd w:val="clear" w:color="auto" w:fill="FFFFFF"/>
        </w:rPr>
        <w:t xml:space="preserve">, H. Q. A., </w:t>
      </w:r>
      <w:proofErr w:type="spellStart"/>
      <w:r w:rsidRPr="00A42C97">
        <w:rPr>
          <w:rFonts w:ascii="Arial" w:eastAsia="SimSun" w:hAnsi="Arial"/>
          <w:sz w:val="20"/>
          <w:szCs w:val="20"/>
          <w:shd w:val="clear" w:color="auto" w:fill="FFFFFF"/>
        </w:rPr>
        <w:t>Decolas</w:t>
      </w:r>
      <w:proofErr w:type="spellEnd"/>
      <w:r w:rsidRPr="00A42C97">
        <w:rPr>
          <w:rFonts w:ascii="Arial" w:eastAsia="SimSun" w:hAnsi="Arial"/>
          <w:sz w:val="20"/>
          <w:szCs w:val="20"/>
          <w:shd w:val="clear" w:color="auto" w:fill="FFFFFF"/>
        </w:rPr>
        <w:t>, C. C., Cabalquinto, K. E., &amp; Miranda, A. T. (2024). Exploring students’ mathematics performance through self-regulated learning. Asian Journal of Education and Social Studies, 50(8), 240–250.</w:t>
      </w:r>
    </w:p>
    <w:p w14:paraId="2F713AB8" w14:textId="77777777" w:rsidR="00A42C97" w:rsidRPr="00EE3AC1" w:rsidRDefault="00A42C97" w:rsidP="00A42C97">
      <w:pPr>
        <w:pStyle w:val="NoSpacing1"/>
        <w:ind w:left="810" w:hanging="450"/>
        <w:jc w:val="both"/>
        <w:rPr>
          <w:rFonts w:ascii="Arial" w:eastAsia="SimSun" w:hAnsi="Arial"/>
          <w:sz w:val="20"/>
          <w:szCs w:val="20"/>
          <w:shd w:val="clear" w:color="auto" w:fill="FFFFFF"/>
        </w:rPr>
      </w:pPr>
      <w:r w:rsidRPr="00EE3AC1">
        <w:rPr>
          <w:rFonts w:ascii="Arial" w:eastAsia="SimSun" w:hAnsi="Arial"/>
          <w:sz w:val="20"/>
          <w:szCs w:val="20"/>
          <w:shd w:val="clear" w:color="auto" w:fill="FFFFFF"/>
        </w:rPr>
        <w:t xml:space="preserve">Mangal, N. R., </w:t>
      </w:r>
      <w:proofErr w:type="spellStart"/>
      <w:r w:rsidRPr="00EE3AC1">
        <w:rPr>
          <w:rFonts w:ascii="Arial" w:eastAsia="SimSun" w:hAnsi="Arial"/>
          <w:sz w:val="20"/>
          <w:szCs w:val="20"/>
          <w:shd w:val="clear" w:color="auto" w:fill="FFFFFF"/>
        </w:rPr>
        <w:t>Sagang</w:t>
      </w:r>
      <w:proofErr w:type="spellEnd"/>
      <w:r w:rsidRPr="00EE3AC1">
        <w:rPr>
          <w:rFonts w:ascii="Arial" w:eastAsia="SimSun" w:hAnsi="Arial"/>
          <w:sz w:val="20"/>
          <w:szCs w:val="20"/>
          <w:shd w:val="clear" w:color="auto" w:fill="FFFFFF"/>
        </w:rPr>
        <w:t xml:space="preserve">, V., Acosta, V. A. D., &amp; Miranda, A. T. (2025). </w:t>
      </w:r>
      <w:r w:rsidRPr="00EE3AC1">
        <w:rPr>
          <w:rFonts w:ascii="Arial" w:eastAsia="SimSun" w:hAnsi="Arial"/>
          <w:i/>
          <w:iCs/>
          <w:sz w:val="20"/>
          <w:szCs w:val="20"/>
          <w:shd w:val="clear" w:color="auto" w:fill="FFFFFF"/>
        </w:rPr>
        <w:t>Mathematical creativity self-efficacy perception of pre-service mathematics teachers</w:t>
      </w:r>
      <w:r w:rsidRPr="00EE3AC1">
        <w:rPr>
          <w:rFonts w:ascii="Arial" w:eastAsia="SimSun" w:hAnsi="Arial"/>
          <w:sz w:val="20"/>
          <w:szCs w:val="20"/>
          <w:shd w:val="clear" w:color="auto" w:fill="FFFFFF"/>
        </w:rPr>
        <w:t xml:space="preserve">. In </w:t>
      </w:r>
      <w:r w:rsidRPr="00EE3AC1">
        <w:rPr>
          <w:rFonts w:ascii="Arial" w:eastAsia="SimSun" w:hAnsi="Arial"/>
          <w:i/>
          <w:iCs/>
          <w:sz w:val="20"/>
          <w:szCs w:val="20"/>
          <w:shd w:val="clear" w:color="auto" w:fill="FFFFFF"/>
        </w:rPr>
        <w:t>Proceedings of the 8th International Ankara Multidisciplinary Studies Congress</w:t>
      </w:r>
      <w:r w:rsidRPr="00EE3AC1">
        <w:rPr>
          <w:rFonts w:ascii="Arial" w:eastAsia="SimSun" w:hAnsi="Arial"/>
          <w:sz w:val="20"/>
          <w:szCs w:val="20"/>
          <w:shd w:val="clear" w:color="auto" w:fill="FFFFFF"/>
        </w:rPr>
        <w:t xml:space="preserve">. Retrieved from </w:t>
      </w:r>
      <w:hyperlink r:id="rId13" w:history="1">
        <w:r w:rsidRPr="00EE3AC1">
          <w:rPr>
            <w:rStyle w:val="Hyperlink"/>
            <w:rFonts w:ascii="Arial" w:eastAsia="SimSun" w:hAnsi="Arial"/>
            <w:sz w:val="20"/>
            <w:szCs w:val="20"/>
            <w:shd w:val="clear" w:color="auto" w:fill="FFFFFF"/>
          </w:rPr>
          <w:t>https://www.academia.edu/128471907/Mathematical_Creativity_Self_Efficacy_Perception_of_Pre_Service_Mathematics_Teachers</w:t>
        </w:r>
      </w:hyperlink>
      <w:r w:rsidRPr="00A42C97">
        <w:rPr>
          <w:rFonts w:ascii="Arial" w:eastAsia="SimSun" w:hAnsi="Arial"/>
          <w:sz w:val="20"/>
          <w:szCs w:val="20"/>
          <w:shd w:val="clear" w:color="auto" w:fill="FFFFFF"/>
        </w:rPr>
        <w:t xml:space="preserve"> </w:t>
      </w:r>
    </w:p>
    <w:p w14:paraId="25E66F19"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lastRenderedPageBreak/>
        <w:t>Mariano, L. A., Madel, N. S., &amp; Miranda, A. T. (2022). The relationship between time management skills and academic performance of working students in open high school program. Asian Journal of Education and Social Studies, 36(2), 61–66.</w:t>
      </w:r>
    </w:p>
    <w:p w14:paraId="1440EC26" w14:textId="77777777" w:rsidR="00A42C97" w:rsidRPr="00A42C97" w:rsidRDefault="00A42C97" w:rsidP="00A42C97">
      <w:pPr>
        <w:pStyle w:val="NoSpacing1"/>
        <w:ind w:left="810" w:hanging="450"/>
        <w:jc w:val="both"/>
        <w:rPr>
          <w:rFonts w:ascii="Arial" w:eastAsia="SimSun" w:hAnsi="Arial"/>
          <w:bCs/>
          <w:sz w:val="20"/>
          <w:szCs w:val="20"/>
          <w:shd w:val="clear" w:color="auto" w:fill="FFFFFF"/>
        </w:rPr>
      </w:pPr>
      <w:r w:rsidRPr="00A42C97">
        <w:rPr>
          <w:rFonts w:ascii="Arial" w:hAnsi="Arial"/>
          <w:color w:val="222222"/>
          <w:sz w:val="20"/>
          <w:szCs w:val="20"/>
          <w:shd w:val="clear" w:color="auto" w:fill="FFFFFF"/>
        </w:rPr>
        <w:t>Miranda, A. T. (2018). Cognitive Ability, Psycho-sociological Characteristics and Study Habits of Students: A Structural Model on Mathematics Performance. </w:t>
      </w:r>
      <w:r w:rsidRPr="00A42C97">
        <w:rPr>
          <w:rFonts w:ascii="Arial" w:hAnsi="Arial"/>
          <w:i/>
          <w:iCs/>
          <w:color w:val="222222"/>
          <w:sz w:val="20"/>
          <w:szCs w:val="20"/>
          <w:shd w:val="clear" w:color="auto" w:fill="FFFFFF"/>
        </w:rPr>
        <w:t>Asian Journal of Multidisciplinary Studies</w:t>
      </w:r>
      <w:r w:rsidRPr="00A42C97">
        <w:rPr>
          <w:rFonts w:ascii="Arial" w:hAnsi="Arial"/>
          <w:color w:val="222222"/>
          <w:sz w:val="20"/>
          <w:szCs w:val="20"/>
          <w:shd w:val="clear" w:color="auto" w:fill="FFFFFF"/>
        </w:rPr>
        <w:t>, </w:t>
      </w:r>
      <w:r w:rsidRPr="00A42C97">
        <w:rPr>
          <w:rFonts w:ascii="Arial" w:hAnsi="Arial"/>
          <w:i/>
          <w:iCs/>
          <w:color w:val="222222"/>
          <w:sz w:val="20"/>
          <w:szCs w:val="20"/>
          <w:shd w:val="clear" w:color="auto" w:fill="FFFFFF"/>
        </w:rPr>
        <w:t>1</w:t>
      </w:r>
      <w:r w:rsidRPr="00A42C97">
        <w:rPr>
          <w:rFonts w:ascii="Arial" w:hAnsi="Arial"/>
          <w:color w:val="222222"/>
          <w:sz w:val="20"/>
          <w:szCs w:val="20"/>
          <w:shd w:val="clear" w:color="auto" w:fill="FFFFFF"/>
        </w:rPr>
        <w:t>(3), 51-57.</w:t>
      </w:r>
    </w:p>
    <w:p w14:paraId="19B02E0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Mohamed, A., </w:t>
      </w:r>
      <w:proofErr w:type="spellStart"/>
      <w:r w:rsidRPr="00A42C97">
        <w:rPr>
          <w:rFonts w:ascii="Arial" w:eastAsia="SimSun" w:hAnsi="Arial"/>
          <w:sz w:val="20"/>
          <w:szCs w:val="20"/>
          <w:shd w:val="clear" w:color="auto" w:fill="FFFFFF"/>
        </w:rPr>
        <w:t>Touheed</w:t>
      </w:r>
      <w:proofErr w:type="spellEnd"/>
      <w:r w:rsidRPr="00A42C97">
        <w:rPr>
          <w:rFonts w:ascii="Arial" w:eastAsia="SimSun" w:hAnsi="Arial"/>
          <w:sz w:val="20"/>
          <w:szCs w:val="20"/>
          <w:shd w:val="clear" w:color="auto" w:fill="FFFFFF"/>
        </w:rPr>
        <w:t xml:space="preserve">, S., Ahmed, M., Hor, M., &amp; Fatima, S. (2022). The efficacy of psychedelic-assisted therapy in managing post-traumatic stress disorder (PTSD): A new frontier? </w:t>
      </w:r>
      <w:r w:rsidRPr="00A42C97">
        <w:rPr>
          <w:rFonts w:ascii="Arial" w:eastAsia="SimSun" w:hAnsi="Arial"/>
          <w:i/>
          <w:iCs/>
          <w:sz w:val="20"/>
          <w:szCs w:val="20"/>
          <w:shd w:val="clear" w:color="auto" w:fill="FFFFFF"/>
        </w:rPr>
        <w:t>Cureus, 14</w:t>
      </w:r>
      <w:r w:rsidRPr="00A42C97">
        <w:rPr>
          <w:rFonts w:ascii="Arial" w:eastAsia="SimSun" w:hAnsi="Arial"/>
          <w:sz w:val="20"/>
          <w:szCs w:val="20"/>
          <w:shd w:val="clear" w:color="auto" w:fill="FFFFFF"/>
        </w:rPr>
        <w:t>(10), e30565. https://doi.org/10.7759/cureus.30565</w:t>
      </w:r>
    </w:p>
    <w:p w14:paraId="16E242D8" w14:textId="77777777" w:rsidR="00A42C97" w:rsidRPr="00A42C97" w:rsidRDefault="00A42C97" w:rsidP="00A42C97">
      <w:pPr>
        <w:ind w:left="810" w:hanging="450"/>
        <w:jc w:val="both"/>
        <w:rPr>
          <w:rFonts w:ascii="Arial" w:eastAsia="SimSun" w:hAnsi="Arial"/>
          <w:bCs/>
          <w:shd w:val="clear" w:color="auto" w:fill="FFFFFF"/>
        </w:rPr>
      </w:pPr>
      <w:proofErr w:type="spellStart"/>
      <w:r w:rsidRPr="00A42C97">
        <w:rPr>
          <w:rFonts w:ascii="Arial" w:eastAsia="SimSun" w:hAnsi="Arial"/>
          <w:bCs/>
          <w:shd w:val="clear" w:color="auto" w:fill="FFFFFF"/>
        </w:rPr>
        <w:t>Obenza</w:t>
      </w:r>
      <w:proofErr w:type="spellEnd"/>
      <w:r w:rsidRPr="00A42C97">
        <w:rPr>
          <w:rFonts w:ascii="Arial" w:eastAsia="SimSun" w:hAnsi="Arial"/>
          <w:bCs/>
          <w:shd w:val="clear" w:color="auto" w:fill="FFFFFF"/>
        </w:rPr>
        <w:t xml:space="preserve">, B. N., Kileste, F. L., </w:t>
      </w:r>
      <w:proofErr w:type="spellStart"/>
      <w:r w:rsidRPr="00A42C97">
        <w:rPr>
          <w:rFonts w:ascii="Arial" w:eastAsia="SimSun" w:hAnsi="Arial"/>
          <w:bCs/>
          <w:shd w:val="clear" w:color="auto" w:fill="FFFFFF"/>
        </w:rPr>
        <w:t>Mesajon</w:t>
      </w:r>
      <w:proofErr w:type="spellEnd"/>
      <w:r w:rsidRPr="00A42C97">
        <w:rPr>
          <w:rFonts w:ascii="Arial" w:eastAsia="SimSun" w:hAnsi="Arial"/>
          <w:bCs/>
          <w:shd w:val="clear" w:color="auto" w:fill="FFFFFF"/>
        </w:rPr>
        <w:t xml:space="preserve">, J., </w:t>
      </w:r>
      <w:proofErr w:type="spellStart"/>
      <w:r w:rsidRPr="00A42C97">
        <w:rPr>
          <w:rFonts w:ascii="Arial" w:eastAsia="SimSun" w:hAnsi="Arial"/>
          <w:bCs/>
          <w:shd w:val="clear" w:color="auto" w:fill="FFFFFF"/>
        </w:rPr>
        <w:t>Canciller</w:t>
      </w:r>
      <w:proofErr w:type="spellEnd"/>
      <w:r w:rsidRPr="00A42C97">
        <w:rPr>
          <w:rFonts w:ascii="Arial" w:eastAsia="SimSun" w:hAnsi="Arial"/>
          <w:bCs/>
          <w:shd w:val="clear" w:color="auto" w:fill="FFFFFF"/>
        </w:rPr>
        <w:t xml:space="preserve">, C., Escudero, M. J. F., </w:t>
      </w:r>
      <w:proofErr w:type="spellStart"/>
      <w:r w:rsidRPr="00A42C97">
        <w:rPr>
          <w:rFonts w:ascii="Arial" w:eastAsia="SimSun" w:hAnsi="Arial"/>
          <w:bCs/>
          <w:shd w:val="clear" w:color="auto" w:fill="FFFFFF"/>
        </w:rPr>
        <w:t>Ligasan</w:t>
      </w:r>
      <w:proofErr w:type="spellEnd"/>
      <w:r w:rsidRPr="00A42C97">
        <w:rPr>
          <w:rFonts w:ascii="Arial" w:eastAsia="SimSun" w:hAnsi="Arial"/>
          <w:bCs/>
          <w:shd w:val="clear" w:color="auto" w:fill="FFFFFF"/>
        </w:rPr>
        <w:t>, N. G., ... &amp; Solis, J. (2024). The Mediating Effect of Academic Stress on Fear of Failure and Academic Procrastination of College Students. </w:t>
      </w:r>
      <w:r w:rsidRPr="00A42C97">
        <w:rPr>
          <w:rFonts w:ascii="Arial" w:eastAsia="SimSun" w:hAnsi="Arial"/>
          <w:bCs/>
          <w:i/>
          <w:iCs/>
          <w:shd w:val="clear" w:color="auto" w:fill="FFFFFF"/>
        </w:rPr>
        <w:t>International Journal of Humanities, Management and Social Science (IJ-</w:t>
      </w:r>
      <w:proofErr w:type="spellStart"/>
      <w:r w:rsidRPr="00A42C97">
        <w:rPr>
          <w:rFonts w:ascii="Arial" w:eastAsia="SimSun" w:hAnsi="Arial"/>
          <w:bCs/>
          <w:i/>
          <w:iCs/>
          <w:shd w:val="clear" w:color="auto" w:fill="FFFFFF"/>
        </w:rPr>
        <w:t>HuMaSS</w:t>
      </w:r>
      <w:proofErr w:type="spellEnd"/>
      <w:r w:rsidRPr="00A42C97">
        <w:rPr>
          <w:rFonts w:ascii="Arial" w:eastAsia="SimSun" w:hAnsi="Arial"/>
          <w:bCs/>
          <w:i/>
          <w:iCs/>
          <w:shd w:val="clear" w:color="auto" w:fill="FFFFFF"/>
        </w:rPr>
        <w:t>)</w:t>
      </w:r>
      <w:r w:rsidRPr="00A42C97">
        <w:rPr>
          <w:rFonts w:ascii="Arial" w:eastAsia="SimSun" w:hAnsi="Arial"/>
          <w:bCs/>
          <w:shd w:val="clear" w:color="auto" w:fill="FFFFFF"/>
        </w:rPr>
        <w:t>, </w:t>
      </w:r>
      <w:r w:rsidRPr="00A42C97">
        <w:rPr>
          <w:rFonts w:ascii="Arial" w:eastAsia="SimSun" w:hAnsi="Arial"/>
          <w:bCs/>
          <w:i/>
          <w:iCs/>
          <w:shd w:val="clear" w:color="auto" w:fill="FFFFFF"/>
        </w:rPr>
        <w:t>7</w:t>
      </w:r>
      <w:r w:rsidRPr="00A42C97">
        <w:rPr>
          <w:rFonts w:ascii="Arial" w:eastAsia="SimSun" w:hAnsi="Arial"/>
          <w:bCs/>
          <w:shd w:val="clear" w:color="auto" w:fill="FFFFFF"/>
        </w:rPr>
        <w:t>(2), 63-73.</w:t>
      </w:r>
    </w:p>
    <w:p w14:paraId="012B27D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Rahimi, S., Hall, N. C., &amp; Sticca, F. (2023). Understanding academic procrastination: A longitudinal analysis of procrastination and emotions in undergraduate and graduate students. Motivation and Emotion, 47(4), 554-574.</w:t>
      </w:r>
    </w:p>
    <w:p w14:paraId="6FA36479"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Rahmani Javanmard, S., &amp; Mohammadi, S. (2017). The role of positive and negative affect, fear of failure and goal achievement orientation in predicting academic procrastination amongst students. </w:t>
      </w:r>
      <w:r w:rsidRPr="00A42C97">
        <w:rPr>
          <w:rFonts w:ascii="Arial" w:eastAsia="SimSun" w:hAnsi="Arial"/>
          <w:i/>
          <w:iCs/>
          <w:sz w:val="20"/>
          <w:szCs w:val="20"/>
          <w:shd w:val="clear" w:color="auto" w:fill="FFFFFF"/>
        </w:rPr>
        <w:t>Knowledge &amp; Research in Applied Psychology, 18</w:t>
      </w:r>
      <w:r w:rsidRPr="00A42C97">
        <w:rPr>
          <w:rFonts w:ascii="Arial" w:eastAsia="SimSun" w:hAnsi="Arial"/>
          <w:sz w:val="20"/>
          <w:szCs w:val="20"/>
          <w:shd w:val="clear" w:color="auto" w:fill="FFFFFF"/>
        </w:rPr>
        <w:t>(1), 110–118.</w:t>
      </w:r>
    </w:p>
    <w:p w14:paraId="6A527735"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Roberts, B. W., </w:t>
      </w:r>
      <w:proofErr w:type="spellStart"/>
      <w:r w:rsidRPr="00A42C97">
        <w:rPr>
          <w:rFonts w:ascii="Arial" w:eastAsia="SimSun" w:hAnsi="Arial"/>
          <w:sz w:val="20"/>
          <w:szCs w:val="20"/>
          <w:shd w:val="clear" w:color="auto" w:fill="FFFFFF"/>
        </w:rPr>
        <w:t>Lejuez</w:t>
      </w:r>
      <w:proofErr w:type="spellEnd"/>
      <w:r w:rsidRPr="00A42C97">
        <w:rPr>
          <w:rFonts w:ascii="Arial" w:eastAsia="SimSun" w:hAnsi="Arial"/>
          <w:sz w:val="20"/>
          <w:szCs w:val="20"/>
          <w:shd w:val="clear" w:color="auto" w:fill="FFFFFF"/>
        </w:rPr>
        <w:t xml:space="preserve">, C., Krueger, R. F., Richards, J. M., &amp; Hill, P. L. (2014). What is conscientiousness and how can it be assessed? </w:t>
      </w:r>
      <w:r w:rsidRPr="00A42C97">
        <w:rPr>
          <w:rFonts w:ascii="Arial" w:eastAsia="SimSun" w:hAnsi="Arial"/>
          <w:i/>
          <w:iCs/>
          <w:sz w:val="20"/>
          <w:szCs w:val="20"/>
          <w:shd w:val="clear" w:color="auto" w:fill="FFFFFF"/>
        </w:rPr>
        <w:t>Developmental Psychology, 50</w:t>
      </w:r>
      <w:r w:rsidRPr="00A42C97">
        <w:rPr>
          <w:rFonts w:ascii="Arial" w:eastAsia="SimSun" w:hAnsi="Arial"/>
          <w:sz w:val="20"/>
          <w:szCs w:val="20"/>
          <w:shd w:val="clear" w:color="auto" w:fill="FFFFFF"/>
        </w:rPr>
        <w:t>(5), 1315–1330. https://doi.org/10.1037/a0031109</w:t>
      </w:r>
    </w:p>
    <w:p w14:paraId="78B41E5E"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Samuel, T. S., &amp; Warner, J. (2021). “I can math!”: Reducing math anxiety and increasing math self-efficacy using a mindfulness and growth mindset-based intervention in first-year students. </w:t>
      </w:r>
      <w:r w:rsidRPr="00A42C97">
        <w:rPr>
          <w:rFonts w:ascii="Arial" w:eastAsia="SimSun" w:hAnsi="Arial"/>
          <w:i/>
          <w:iCs/>
          <w:sz w:val="20"/>
          <w:szCs w:val="20"/>
          <w:shd w:val="clear" w:color="auto" w:fill="FFFFFF"/>
        </w:rPr>
        <w:t>Community College Journal of Research and Practice, 45</w:t>
      </w:r>
      <w:r w:rsidRPr="00A42C97">
        <w:rPr>
          <w:rFonts w:ascii="Arial" w:eastAsia="SimSun" w:hAnsi="Arial"/>
          <w:sz w:val="20"/>
          <w:szCs w:val="20"/>
          <w:shd w:val="clear" w:color="auto" w:fill="FFFFFF"/>
        </w:rPr>
        <w:t>(3), 205–222. https://doi.org/10.1080/10668926.2019.1645056</w:t>
      </w:r>
    </w:p>
    <w:p w14:paraId="30FDEE7E"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Santyasa</w:t>
      </w:r>
      <w:proofErr w:type="spellEnd"/>
      <w:r w:rsidRPr="00A42C97">
        <w:rPr>
          <w:rFonts w:ascii="Arial" w:eastAsia="SimSun" w:hAnsi="Arial"/>
          <w:sz w:val="20"/>
          <w:szCs w:val="20"/>
          <w:shd w:val="clear" w:color="auto" w:fill="FFFFFF"/>
        </w:rPr>
        <w:t xml:space="preserve">, I. W., Rapi, N. K., &amp; Sara, I. (2020). Project-based learning and academic procrastination of students in learning physics. </w:t>
      </w:r>
      <w:r w:rsidRPr="00A42C97">
        <w:rPr>
          <w:rFonts w:ascii="Arial" w:eastAsia="SimSun" w:hAnsi="Arial"/>
          <w:i/>
          <w:iCs/>
          <w:sz w:val="20"/>
          <w:szCs w:val="20"/>
          <w:shd w:val="clear" w:color="auto" w:fill="FFFFFF"/>
        </w:rPr>
        <w:t>International Journal of Instruction, 13</w:t>
      </w:r>
      <w:r w:rsidRPr="00A42C97">
        <w:rPr>
          <w:rFonts w:ascii="Arial" w:eastAsia="SimSun" w:hAnsi="Arial"/>
          <w:sz w:val="20"/>
          <w:szCs w:val="20"/>
          <w:shd w:val="clear" w:color="auto" w:fill="FFFFFF"/>
        </w:rPr>
        <w:t>(1), 489–508. https://doi.org/10.29333/iji.2020.13132a</w:t>
      </w:r>
    </w:p>
    <w:p w14:paraId="18B3127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Sudirman, S. A., Reza, F. A., Yusri, N. A., Rina, R., &amp; Bah, M. (2023). Putting off until tomorrow: Academic procrastination, perfectionism, and fear of failure. </w:t>
      </w:r>
      <w:r w:rsidRPr="00A42C97">
        <w:rPr>
          <w:rFonts w:ascii="Arial" w:eastAsia="SimSun" w:hAnsi="Arial"/>
          <w:i/>
          <w:iCs/>
          <w:sz w:val="20"/>
          <w:szCs w:val="20"/>
          <w:shd w:val="clear" w:color="auto" w:fill="FFFFFF"/>
        </w:rPr>
        <w:t>International Journal of Islamic Educational Psychology, 4</w:t>
      </w:r>
      <w:r w:rsidRPr="00A42C97">
        <w:rPr>
          <w:rFonts w:ascii="Arial" w:eastAsia="SimSun" w:hAnsi="Arial"/>
          <w:sz w:val="20"/>
          <w:szCs w:val="20"/>
          <w:shd w:val="clear" w:color="auto" w:fill="FFFFFF"/>
        </w:rPr>
        <w:t>(1), 136–153. https://doi.org/10.18196/ijiep.v4i1.17227</w:t>
      </w:r>
    </w:p>
    <w:p w14:paraId="28D75B82"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Tan, E. W. T., &amp; </w:t>
      </w:r>
      <w:proofErr w:type="spellStart"/>
      <w:r w:rsidRPr="00A42C97">
        <w:rPr>
          <w:rFonts w:ascii="Arial" w:eastAsia="SimSun" w:hAnsi="Arial"/>
          <w:sz w:val="20"/>
          <w:szCs w:val="20"/>
          <w:shd w:val="clear" w:color="auto" w:fill="FFFFFF"/>
        </w:rPr>
        <w:t>Prihadi</w:t>
      </w:r>
      <w:proofErr w:type="spellEnd"/>
      <w:r w:rsidRPr="00A42C97">
        <w:rPr>
          <w:rFonts w:ascii="Arial" w:eastAsia="SimSun" w:hAnsi="Arial"/>
          <w:sz w:val="20"/>
          <w:szCs w:val="20"/>
          <w:shd w:val="clear" w:color="auto" w:fill="FFFFFF"/>
        </w:rPr>
        <w:t xml:space="preserve">, K. D. (2022). Fear of failure and academic procrastination among university students: The role of achievement expectancy and year of study. </w:t>
      </w:r>
      <w:r w:rsidRPr="00A42C97">
        <w:rPr>
          <w:rFonts w:ascii="Arial" w:eastAsia="SimSun" w:hAnsi="Arial"/>
          <w:i/>
          <w:iCs/>
          <w:sz w:val="20"/>
          <w:szCs w:val="20"/>
          <w:shd w:val="clear" w:color="auto" w:fill="FFFFFF"/>
        </w:rPr>
        <w:t>International Journal of Evaluation and Research in Education, 11</w:t>
      </w:r>
      <w:r w:rsidRPr="00A42C97">
        <w:rPr>
          <w:rFonts w:ascii="Arial" w:eastAsia="SimSun" w:hAnsi="Arial"/>
          <w:sz w:val="20"/>
          <w:szCs w:val="20"/>
          <w:shd w:val="clear" w:color="auto" w:fill="FFFFFF"/>
        </w:rPr>
        <w:t>(1), 69–77. https://doi.org/10.11591/ijere.v11i1.21747</w:t>
      </w:r>
    </w:p>
    <w:p w14:paraId="68DE57A0"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Ünlü, M., &amp; </w:t>
      </w:r>
      <w:bookmarkStart w:id="3" w:name="_Hlk197855763"/>
      <w:r w:rsidRPr="00A42C97">
        <w:rPr>
          <w:rFonts w:ascii="Arial" w:eastAsia="SimSun" w:hAnsi="Arial"/>
          <w:sz w:val="20"/>
          <w:szCs w:val="20"/>
          <w:shd w:val="clear" w:color="auto" w:fill="FFFFFF"/>
        </w:rPr>
        <w:t>Ertekin</w:t>
      </w:r>
      <w:bookmarkEnd w:id="3"/>
      <w:r w:rsidRPr="00A42C97">
        <w:rPr>
          <w:rFonts w:ascii="Arial" w:eastAsia="SimSun" w:hAnsi="Arial"/>
          <w:sz w:val="20"/>
          <w:szCs w:val="20"/>
          <w:shd w:val="clear" w:color="auto" w:fill="FFFFFF"/>
        </w:rPr>
        <w:t xml:space="preserve">, E. (2017). A structural equation model for factors affecting eighth graders’ geometry achievement. </w:t>
      </w:r>
      <w:r w:rsidRPr="00A42C97">
        <w:rPr>
          <w:rFonts w:ascii="Arial" w:eastAsia="SimSun" w:hAnsi="Arial"/>
          <w:i/>
          <w:iCs/>
          <w:sz w:val="20"/>
          <w:szCs w:val="20"/>
          <w:shd w:val="clear" w:color="auto" w:fill="FFFFFF"/>
        </w:rPr>
        <w:t>European Journal of Educational Research, 6</w:t>
      </w:r>
      <w:r w:rsidRPr="00A42C97">
        <w:rPr>
          <w:rFonts w:ascii="Arial" w:eastAsia="SimSun" w:hAnsi="Arial"/>
          <w:sz w:val="20"/>
          <w:szCs w:val="20"/>
          <w:shd w:val="clear" w:color="auto" w:fill="FFFFFF"/>
        </w:rPr>
        <w:t>(2), 141–157. https://doi.org/10.12973/eu-jer.6.2.141</w:t>
      </w:r>
    </w:p>
    <w:p w14:paraId="34D48751" w14:textId="77777777" w:rsidR="00A42C97" w:rsidRPr="00A42C97" w:rsidRDefault="00A42C97" w:rsidP="00A42C97">
      <w:pPr>
        <w:ind w:left="810" w:hanging="450"/>
        <w:jc w:val="both"/>
        <w:rPr>
          <w:rFonts w:ascii="Arial" w:eastAsia="SimSun" w:hAnsi="Arial"/>
          <w:bCs/>
          <w:shd w:val="clear" w:color="auto" w:fill="FFFFFF"/>
        </w:rPr>
      </w:pPr>
      <w:r w:rsidRPr="00A42C97">
        <w:rPr>
          <w:rFonts w:ascii="Arial" w:eastAsia="SimSun" w:hAnsi="Arial"/>
          <w:bCs/>
          <w:shd w:val="clear" w:color="auto" w:fill="FFFFFF"/>
        </w:rPr>
        <w:t xml:space="preserve">Villegas, C. T., </w:t>
      </w:r>
      <w:proofErr w:type="spellStart"/>
      <w:r w:rsidRPr="00A42C97">
        <w:rPr>
          <w:rFonts w:ascii="Arial" w:eastAsia="SimSun" w:hAnsi="Arial"/>
          <w:bCs/>
          <w:shd w:val="clear" w:color="auto" w:fill="FFFFFF"/>
        </w:rPr>
        <w:t>Estopa</w:t>
      </w:r>
      <w:proofErr w:type="spellEnd"/>
      <w:r w:rsidRPr="00A42C97">
        <w:rPr>
          <w:rFonts w:ascii="Arial" w:eastAsia="SimSun" w:hAnsi="Arial"/>
          <w:bCs/>
          <w:shd w:val="clear" w:color="auto" w:fill="FFFFFF"/>
        </w:rPr>
        <w:t>, M. M. J. S., Lagat, R. A., &amp; Miranda, A. T. (2024). Problem-Solving Appraisals as Predictors of Mathematics Performance among College Students. Asian Journal of Education and Social Studies 50 (10), 362-372.</w:t>
      </w:r>
    </w:p>
    <w:p w14:paraId="5858015F"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Widhiastuti</w:t>
      </w:r>
      <w:proofErr w:type="spellEnd"/>
      <w:r w:rsidRPr="00A42C97">
        <w:rPr>
          <w:rFonts w:ascii="Arial" w:eastAsia="SimSun" w:hAnsi="Arial"/>
          <w:sz w:val="20"/>
          <w:szCs w:val="20"/>
          <w:shd w:val="clear" w:color="auto" w:fill="FFFFFF"/>
        </w:rPr>
        <w:t xml:space="preserve">, R., &amp; Kanaka, S. (2021). Academic procrastination with self-control as moderator. </w:t>
      </w:r>
      <w:r w:rsidRPr="00A42C97">
        <w:rPr>
          <w:rFonts w:ascii="Arial" w:eastAsia="SimSun" w:hAnsi="Arial"/>
          <w:i/>
          <w:iCs/>
          <w:sz w:val="20"/>
          <w:szCs w:val="20"/>
          <w:shd w:val="clear" w:color="auto" w:fill="FFFFFF"/>
        </w:rPr>
        <w:t>Economic Education Analysis Journal, 10</w:t>
      </w:r>
      <w:r w:rsidRPr="00A42C97">
        <w:rPr>
          <w:rFonts w:ascii="Arial" w:eastAsia="SimSun" w:hAnsi="Arial"/>
          <w:sz w:val="20"/>
          <w:szCs w:val="20"/>
          <w:shd w:val="clear" w:color="auto" w:fill="FFFFFF"/>
        </w:rPr>
        <w:t>(2), 240–252. https://journal.unnes.ac.id/sju/index.php/eeaj/article/view/42268</w:t>
      </w:r>
    </w:p>
    <w:p w14:paraId="43397646"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proofErr w:type="spellStart"/>
      <w:r w:rsidRPr="00A42C97">
        <w:rPr>
          <w:rFonts w:ascii="Arial" w:eastAsia="SimSun" w:hAnsi="Arial"/>
          <w:sz w:val="20"/>
          <w:szCs w:val="20"/>
          <w:shd w:val="clear" w:color="auto" w:fill="FFFFFF"/>
        </w:rPr>
        <w:t>Wirajaya</w:t>
      </w:r>
      <w:proofErr w:type="spellEnd"/>
      <w:r w:rsidRPr="00A42C97">
        <w:rPr>
          <w:rFonts w:ascii="Arial" w:eastAsia="SimSun" w:hAnsi="Arial"/>
          <w:sz w:val="20"/>
          <w:szCs w:val="20"/>
          <w:shd w:val="clear" w:color="auto" w:fill="FFFFFF"/>
        </w:rPr>
        <w:t xml:space="preserve">, M. M. (2020). Investigating the academic procrastination of EFL students. </w:t>
      </w:r>
      <w:proofErr w:type="spellStart"/>
      <w:r w:rsidRPr="00A42C97">
        <w:rPr>
          <w:rFonts w:ascii="Arial" w:eastAsia="SimSun" w:hAnsi="Arial"/>
          <w:i/>
          <w:iCs/>
          <w:sz w:val="20"/>
          <w:szCs w:val="20"/>
          <w:shd w:val="clear" w:color="auto" w:fill="FFFFFF"/>
        </w:rPr>
        <w:t>Jurnal</w:t>
      </w:r>
      <w:proofErr w:type="spellEnd"/>
      <w:r w:rsidRPr="00A42C97">
        <w:rPr>
          <w:rFonts w:ascii="Arial" w:eastAsia="SimSun" w:hAnsi="Arial"/>
          <w:i/>
          <w:iCs/>
          <w:sz w:val="20"/>
          <w:szCs w:val="20"/>
          <w:shd w:val="clear" w:color="auto" w:fill="FFFFFF"/>
        </w:rPr>
        <w:t xml:space="preserve"> Pendidikan Bahasa </w:t>
      </w:r>
      <w:proofErr w:type="spellStart"/>
      <w:r w:rsidRPr="00A42C97">
        <w:rPr>
          <w:rFonts w:ascii="Arial" w:eastAsia="SimSun" w:hAnsi="Arial"/>
          <w:i/>
          <w:iCs/>
          <w:sz w:val="20"/>
          <w:szCs w:val="20"/>
          <w:shd w:val="clear" w:color="auto" w:fill="FFFFFF"/>
        </w:rPr>
        <w:t>Inggris</w:t>
      </w:r>
      <w:proofErr w:type="spellEnd"/>
      <w:r w:rsidRPr="00A42C97">
        <w:rPr>
          <w:rFonts w:ascii="Arial" w:eastAsia="SimSun" w:hAnsi="Arial"/>
          <w:i/>
          <w:iCs/>
          <w:sz w:val="20"/>
          <w:szCs w:val="20"/>
          <w:shd w:val="clear" w:color="auto" w:fill="FFFFFF"/>
        </w:rPr>
        <w:t xml:space="preserve"> Indonesia, 8</w:t>
      </w:r>
      <w:r w:rsidRPr="00A42C97">
        <w:rPr>
          <w:rFonts w:ascii="Arial" w:eastAsia="SimSun" w:hAnsi="Arial"/>
          <w:sz w:val="20"/>
          <w:szCs w:val="20"/>
          <w:shd w:val="clear" w:color="auto" w:fill="FFFFFF"/>
        </w:rPr>
        <w:t>(2), 67–77.</w:t>
      </w:r>
    </w:p>
    <w:p w14:paraId="0E7B3054" w14:textId="77777777" w:rsidR="00A42C97" w:rsidRPr="00A42C97" w:rsidRDefault="00A42C97" w:rsidP="00A42C97">
      <w:pPr>
        <w:pStyle w:val="NoSpacing1"/>
        <w:ind w:left="810" w:hanging="450"/>
        <w:jc w:val="both"/>
        <w:rPr>
          <w:rFonts w:ascii="Arial" w:eastAsia="SimSun" w:hAnsi="Arial"/>
          <w:sz w:val="20"/>
          <w:szCs w:val="20"/>
          <w:shd w:val="clear" w:color="auto" w:fill="FFFFFF"/>
        </w:rPr>
      </w:pPr>
      <w:r w:rsidRPr="00A42C97">
        <w:rPr>
          <w:rFonts w:ascii="Arial" w:eastAsia="SimSun" w:hAnsi="Arial"/>
          <w:sz w:val="20"/>
          <w:szCs w:val="20"/>
          <w:shd w:val="clear" w:color="auto" w:fill="FFFFFF"/>
        </w:rPr>
        <w:t xml:space="preserve">Zarrin, S. A., Gracia, E., &amp; Paixão, M. P. (2020). Prediction of academic procrastination by fear of failure and self-regulation. </w:t>
      </w:r>
      <w:r w:rsidRPr="00A42C97">
        <w:rPr>
          <w:rFonts w:ascii="Arial" w:eastAsia="SimSun" w:hAnsi="Arial"/>
          <w:i/>
          <w:iCs/>
          <w:sz w:val="20"/>
          <w:szCs w:val="20"/>
          <w:shd w:val="clear" w:color="auto" w:fill="FFFFFF"/>
        </w:rPr>
        <w:t>Educational Sciences: Theory &amp; Practice, 20</w:t>
      </w:r>
      <w:r w:rsidRPr="00A42C97">
        <w:rPr>
          <w:rFonts w:ascii="Arial" w:eastAsia="SimSun" w:hAnsi="Arial"/>
          <w:sz w:val="20"/>
          <w:szCs w:val="20"/>
          <w:shd w:val="clear" w:color="auto" w:fill="FFFFFF"/>
        </w:rPr>
        <w:t>(3), 34–43. https://doi.org/10.12738/jestp.2020.3.003</w:t>
      </w:r>
    </w:p>
    <w:sectPr w:rsidR="00A42C97" w:rsidRPr="00A42C97" w:rsidSect="005018EB">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0797D" w14:textId="77777777" w:rsidR="00E21BA9" w:rsidRDefault="00E21BA9" w:rsidP="00C37E61">
      <w:r>
        <w:separator/>
      </w:r>
    </w:p>
  </w:endnote>
  <w:endnote w:type="continuationSeparator" w:id="0">
    <w:p w14:paraId="004F4264" w14:textId="77777777" w:rsidR="00E21BA9" w:rsidRDefault="00E21B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roid Sans">
    <w:altName w:val="Segoe UI"/>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1A38" w14:textId="77777777" w:rsidR="005018EB" w:rsidRDefault="0050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B7A1" w14:textId="77777777" w:rsidR="00DE6F50" w:rsidRPr="00C37E61" w:rsidRDefault="00DE6F50"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1EE1" w14:textId="77777777" w:rsidR="005018EB" w:rsidRDefault="0050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B3AF7" w14:textId="77777777" w:rsidR="00E21BA9" w:rsidRDefault="00E21BA9" w:rsidP="00C37E61">
      <w:r>
        <w:separator/>
      </w:r>
    </w:p>
  </w:footnote>
  <w:footnote w:type="continuationSeparator" w:id="0">
    <w:p w14:paraId="2FF6B147" w14:textId="77777777" w:rsidR="00E21BA9" w:rsidRDefault="00E21B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E541" w14:textId="4652B23C" w:rsidR="005018EB" w:rsidRDefault="005018EB">
    <w:pPr>
      <w:pStyle w:val="Header"/>
    </w:pPr>
    <w:r>
      <w:rPr>
        <w:noProof/>
      </w:rPr>
      <w:pict w14:anchorId="1E769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4EE1" w14:textId="5D6C549A" w:rsidR="005018EB" w:rsidRDefault="005018EB">
    <w:pPr>
      <w:pStyle w:val="Header"/>
    </w:pPr>
    <w:r>
      <w:rPr>
        <w:noProof/>
      </w:rPr>
      <w:pict w14:anchorId="41D32C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24CC" w14:textId="2ADD6E2F" w:rsidR="005018EB" w:rsidRDefault="005018EB">
    <w:pPr>
      <w:pStyle w:val="Header"/>
    </w:pPr>
    <w:r>
      <w:rPr>
        <w:noProof/>
      </w:rPr>
      <w:pict w14:anchorId="26266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7594203"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A4DCB"/>
    <w:multiLevelType w:val="hybridMultilevel"/>
    <w:tmpl w:val="EAAA003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010D05"/>
    <w:multiLevelType w:val="hybridMultilevel"/>
    <w:tmpl w:val="563EF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32E082F"/>
    <w:multiLevelType w:val="hybridMultilevel"/>
    <w:tmpl w:val="0ABE6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16cid:durableId="1664044331">
    <w:abstractNumId w:val="3"/>
  </w:num>
  <w:num w:numId="2" w16cid:durableId="506478475">
    <w:abstractNumId w:val="0"/>
  </w:num>
  <w:num w:numId="3" w16cid:durableId="2055617020">
    <w:abstractNumId w:val="2"/>
  </w:num>
  <w:num w:numId="4" w16cid:durableId="84659886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35AA"/>
    <w:rsid w:val="00024365"/>
    <w:rsid w:val="00024686"/>
    <w:rsid w:val="00024AA2"/>
    <w:rsid w:val="00030174"/>
    <w:rsid w:val="00040516"/>
    <w:rsid w:val="0004579C"/>
    <w:rsid w:val="000466AB"/>
    <w:rsid w:val="00064727"/>
    <w:rsid w:val="000812DA"/>
    <w:rsid w:val="00083E54"/>
    <w:rsid w:val="0008594A"/>
    <w:rsid w:val="000929CF"/>
    <w:rsid w:val="00093625"/>
    <w:rsid w:val="000970E9"/>
    <w:rsid w:val="000A23DA"/>
    <w:rsid w:val="000A471C"/>
    <w:rsid w:val="000A47FA"/>
    <w:rsid w:val="000A65D3"/>
    <w:rsid w:val="000A7160"/>
    <w:rsid w:val="000A7305"/>
    <w:rsid w:val="000A7A12"/>
    <w:rsid w:val="000B0532"/>
    <w:rsid w:val="000B1E33"/>
    <w:rsid w:val="000B345D"/>
    <w:rsid w:val="000B4189"/>
    <w:rsid w:val="000B43B0"/>
    <w:rsid w:val="000D689F"/>
    <w:rsid w:val="000D6B8D"/>
    <w:rsid w:val="000E1D50"/>
    <w:rsid w:val="000E3E41"/>
    <w:rsid w:val="000E7B7B"/>
    <w:rsid w:val="000E7D62"/>
    <w:rsid w:val="000F1703"/>
    <w:rsid w:val="000F2394"/>
    <w:rsid w:val="00100165"/>
    <w:rsid w:val="00100745"/>
    <w:rsid w:val="00103357"/>
    <w:rsid w:val="001038E7"/>
    <w:rsid w:val="00105CE3"/>
    <w:rsid w:val="00115C1B"/>
    <w:rsid w:val="00123C9F"/>
    <w:rsid w:val="00125FBE"/>
    <w:rsid w:val="00126190"/>
    <w:rsid w:val="00130F17"/>
    <w:rsid w:val="001320BF"/>
    <w:rsid w:val="00136318"/>
    <w:rsid w:val="00136432"/>
    <w:rsid w:val="00142023"/>
    <w:rsid w:val="001516B7"/>
    <w:rsid w:val="0015295A"/>
    <w:rsid w:val="0015397B"/>
    <w:rsid w:val="00163BC4"/>
    <w:rsid w:val="00166D4C"/>
    <w:rsid w:val="00172FFF"/>
    <w:rsid w:val="001758D3"/>
    <w:rsid w:val="001773F7"/>
    <w:rsid w:val="001774F8"/>
    <w:rsid w:val="00182BC1"/>
    <w:rsid w:val="00191062"/>
    <w:rsid w:val="0019284F"/>
    <w:rsid w:val="00192B72"/>
    <w:rsid w:val="001A29D8"/>
    <w:rsid w:val="001A5B5F"/>
    <w:rsid w:val="001A5CAA"/>
    <w:rsid w:val="001A5D93"/>
    <w:rsid w:val="001A6EB0"/>
    <w:rsid w:val="001B0427"/>
    <w:rsid w:val="001B2CF9"/>
    <w:rsid w:val="001B42CC"/>
    <w:rsid w:val="001C29DA"/>
    <w:rsid w:val="001D3A51"/>
    <w:rsid w:val="001E10D2"/>
    <w:rsid w:val="001E25B4"/>
    <w:rsid w:val="001E2F1D"/>
    <w:rsid w:val="001E44FE"/>
    <w:rsid w:val="001E50C8"/>
    <w:rsid w:val="00200595"/>
    <w:rsid w:val="00200B59"/>
    <w:rsid w:val="00204835"/>
    <w:rsid w:val="00210FD5"/>
    <w:rsid w:val="00212A50"/>
    <w:rsid w:val="00216771"/>
    <w:rsid w:val="002177DC"/>
    <w:rsid w:val="002214AB"/>
    <w:rsid w:val="00231920"/>
    <w:rsid w:val="0023195C"/>
    <w:rsid w:val="0024282C"/>
    <w:rsid w:val="00245B13"/>
    <w:rsid w:val="002460DC"/>
    <w:rsid w:val="00247F61"/>
    <w:rsid w:val="00250985"/>
    <w:rsid w:val="0025301C"/>
    <w:rsid w:val="002556F6"/>
    <w:rsid w:val="00256073"/>
    <w:rsid w:val="002572B1"/>
    <w:rsid w:val="0026177E"/>
    <w:rsid w:val="00261AC3"/>
    <w:rsid w:val="00263CBC"/>
    <w:rsid w:val="00264A68"/>
    <w:rsid w:val="00265C9A"/>
    <w:rsid w:val="00267786"/>
    <w:rsid w:val="002677F5"/>
    <w:rsid w:val="002826D0"/>
    <w:rsid w:val="00283105"/>
    <w:rsid w:val="00284C4C"/>
    <w:rsid w:val="002927E6"/>
    <w:rsid w:val="00296529"/>
    <w:rsid w:val="002B27FB"/>
    <w:rsid w:val="002B6432"/>
    <w:rsid w:val="002B685A"/>
    <w:rsid w:val="002B7CAC"/>
    <w:rsid w:val="002C0EF8"/>
    <w:rsid w:val="002C57D2"/>
    <w:rsid w:val="002D4CE0"/>
    <w:rsid w:val="002D5527"/>
    <w:rsid w:val="002E0D56"/>
    <w:rsid w:val="002E19B4"/>
    <w:rsid w:val="002E5F11"/>
    <w:rsid w:val="0030046A"/>
    <w:rsid w:val="0030231A"/>
    <w:rsid w:val="00302543"/>
    <w:rsid w:val="0031223D"/>
    <w:rsid w:val="00315186"/>
    <w:rsid w:val="00316417"/>
    <w:rsid w:val="003205A8"/>
    <w:rsid w:val="00327B77"/>
    <w:rsid w:val="00332D99"/>
    <w:rsid w:val="0033343E"/>
    <w:rsid w:val="003358B2"/>
    <w:rsid w:val="0034322E"/>
    <w:rsid w:val="00343A77"/>
    <w:rsid w:val="003512C2"/>
    <w:rsid w:val="003558B2"/>
    <w:rsid w:val="0036753B"/>
    <w:rsid w:val="00371FB6"/>
    <w:rsid w:val="00373A25"/>
    <w:rsid w:val="003763C1"/>
    <w:rsid w:val="00376BBE"/>
    <w:rsid w:val="0037775B"/>
    <w:rsid w:val="00382B8A"/>
    <w:rsid w:val="003874E0"/>
    <w:rsid w:val="0039224F"/>
    <w:rsid w:val="003962AF"/>
    <w:rsid w:val="003A43A4"/>
    <w:rsid w:val="003A7E18"/>
    <w:rsid w:val="003B2F8B"/>
    <w:rsid w:val="003B4C52"/>
    <w:rsid w:val="003C4C86"/>
    <w:rsid w:val="003C6258"/>
    <w:rsid w:val="003E2747"/>
    <w:rsid w:val="003E2904"/>
    <w:rsid w:val="003E55AF"/>
    <w:rsid w:val="003F366A"/>
    <w:rsid w:val="003F7E4F"/>
    <w:rsid w:val="00400EB5"/>
    <w:rsid w:val="00401927"/>
    <w:rsid w:val="0040362E"/>
    <w:rsid w:val="004040AD"/>
    <w:rsid w:val="00405B19"/>
    <w:rsid w:val="0041027F"/>
    <w:rsid w:val="00412475"/>
    <w:rsid w:val="00414155"/>
    <w:rsid w:val="00423789"/>
    <w:rsid w:val="00425F88"/>
    <w:rsid w:val="0043166E"/>
    <w:rsid w:val="00440F43"/>
    <w:rsid w:val="00441B6F"/>
    <w:rsid w:val="00442F25"/>
    <w:rsid w:val="00446221"/>
    <w:rsid w:val="00447CD8"/>
    <w:rsid w:val="004505D6"/>
    <w:rsid w:val="00450E62"/>
    <w:rsid w:val="004515B6"/>
    <w:rsid w:val="004517FE"/>
    <w:rsid w:val="004539DB"/>
    <w:rsid w:val="00454813"/>
    <w:rsid w:val="00457594"/>
    <w:rsid w:val="00457AD2"/>
    <w:rsid w:val="004608B3"/>
    <w:rsid w:val="00467D43"/>
    <w:rsid w:val="00471A80"/>
    <w:rsid w:val="00482896"/>
    <w:rsid w:val="004828EF"/>
    <w:rsid w:val="004842CF"/>
    <w:rsid w:val="00484879"/>
    <w:rsid w:val="00487A8F"/>
    <w:rsid w:val="00494E74"/>
    <w:rsid w:val="004A030D"/>
    <w:rsid w:val="004A3F44"/>
    <w:rsid w:val="004B3C28"/>
    <w:rsid w:val="004B4DCE"/>
    <w:rsid w:val="004C20FA"/>
    <w:rsid w:val="004C525C"/>
    <w:rsid w:val="004C6BBE"/>
    <w:rsid w:val="004D2AED"/>
    <w:rsid w:val="004D305E"/>
    <w:rsid w:val="004D4277"/>
    <w:rsid w:val="004E24B4"/>
    <w:rsid w:val="004E53E4"/>
    <w:rsid w:val="004E7827"/>
    <w:rsid w:val="004F4041"/>
    <w:rsid w:val="005018EB"/>
    <w:rsid w:val="00502516"/>
    <w:rsid w:val="00505F06"/>
    <w:rsid w:val="00506828"/>
    <w:rsid w:val="00507CE7"/>
    <w:rsid w:val="00514B1C"/>
    <w:rsid w:val="0053056E"/>
    <w:rsid w:val="00537F3C"/>
    <w:rsid w:val="005448F5"/>
    <w:rsid w:val="00547520"/>
    <w:rsid w:val="00554FDA"/>
    <w:rsid w:val="00562B97"/>
    <w:rsid w:val="00587DCF"/>
    <w:rsid w:val="005A3374"/>
    <w:rsid w:val="005A523D"/>
    <w:rsid w:val="005B4969"/>
    <w:rsid w:val="005B50EC"/>
    <w:rsid w:val="005B6488"/>
    <w:rsid w:val="005C4629"/>
    <w:rsid w:val="005C6558"/>
    <w:rsid w:val="005C784C"/>
    <w:rsid w:val="005D17F6"/>
    <w:rsid w:val="005D331B"/>
    <w:rsid w:val="005D4C51"/>
    <w:rsid w:val="005E547F"/>
    <w:rsid w:val="005E5539"/>
    <w:rsid w:val="005E6E94"/>
    <w:rsid w:val="005F2EC1"/>
    <w:rsid w:val="005F38CE"/>
    <w:rsid w:val="005F53A9"/>
    <w:rsid w:val="005F57A1"/>
    <w:rsid w:val="005F6E16"/>
    <w:rsid w:val="00600620"/>
    <w:rsid w:val="00602BF5"/>
    <w:rsid w:val="00607972"/>
    <w:rsid w:val="00610532"/>
    <w:rsid w:val="00617FDD"/>
    <w:rsid w:val="00633614"/>
    <w:rsid w:val="00633F68"/>
    <w:rsid w:val="00636EB2"/>
    <w:rsid w:val="00636FD0"/>
    <w:rsid w:val="006375B8"/>
    <w:rsid w:val="00642443"/>
    <w:rsid w:val="00651C96"/>
    <w:rsid w:val="006540C0"/>
    <w:rsid w:val="00664F34"/>
    <w:rsid w:val="0066510A"/>
    <w:rsid w:val="00667E2B"/>
    <w:rsid w:val="00673F9F"/>
    <w:rsid w:val="00676EC5"/>
    <w:rsid w:val="006824B0"/>
    <w:rsid w:val="00686953"/>
    <w:rsid w:val="00687DEA"/>
    <w:rsid w:val="00687E67"/>
    <w:rsid w:val="0069153D"/>
    <w:rsid w:val="006967F7"/>
    <w:rsid w:val="00697EA2"/>
    <w:rsid w:val="006A250C"/>
    <w:rsid w:val="006B21D3"/>
    <w:rsid w:val="006B2F35"/>
    <w:rsid w:val="006B57D0"/>
    <w:rsid w:val="006B63A8"/>
    <w:rsid w:val="006B6ED9"/>
    <w:rsid w:val="006C77CB"/>
    <w:rsid w:val="006D30FF"/>
    <w:rsid w:val="006D3B1B"/>
    <w:rsid w:val="006D421F"/>
    <w:rsid w:val="006D46FF"/>
    <w:rsid w:val="006D6940"/>
    <w:rsid w:val="006D6BB1"/>
    <w:rsid w:val="006E441C"/>
    <w:rsid w:val="006E6351"/>
    <w:rsid w:val="006F11EC"/>
    <w:rsid w:val="006F1DEF"/>
    <w:rsid w:val="006F2EEF"/>
    <w:rsid w:val="0070082C"/>
    <w:rsid w:val="007022DA"/>
    <w:rsid w:val="00702E0E"/>
    <w:rsid w:val="00705353"/>
    <w:rsid w:val="00707DFD"/>
    <w:rsid w:val="00710625"/>
    <w:rsid w:val="00711AAB"/>
    <w:rsid w:val="00735DE5"/>
    <w:rsid w:val="007369E6"/>
    <w:rsid w:val="00746E59"/>
    <w:rsid w:val="00754960"/>
    <w:rsid w:val="00754B4C"/>
    <w:rsid w:val="00754C9A"/>
    <w:rsid w:val="0075599A"/>
    <w:rsid w:val="00760516"/>
    <w:rsid w:val="00761D52"/>
    <w:rsid w:val="00764185"/>
    <w:rsid w:val="0077749E"/>
    <w:rsid w:val="007862D6"/>
    <w:rsid w:val="00790ADA"/>
    <w:rsid w:val="00797D8A"/>
    <w:rsid w:val="007A1883"/>
    <w:rsid w:val="007A30BE"/>
    <w:rsid w:val="007A6B2A"/>
    <w:rsid w:val="007A78D1"/>
    <w:rsid w:val="007B2814"/>
    <w:rsid w:val="007B4753"/>
    <w:rsid w:val="007B60B7"/>
    <w:rsid w:val="007B72EA"/>
    <w:rsid w:val="007C19E8"/>
    <w:rsid w:val="007D0525"/>
    <w:rsid w:val="007D2288"/>
    <w:rsid w:val="007D5603"/>
    <w:rsid w:val="007D7CC2"/>
    <w:rsid w:val="007E088F"/>
    <w:rsid w:val="007F7B32"/>
    <w:rsid w:val="00804BC2"/>
    <w:rsid w:val="0081431A"/>
    <w:rsid w:val="008168F3"/>
    <w:rsid w:val="0082252A"/>
    <w:rsid w:val="008263A3"/>
    <w:rsid w:val="00830238"/>
    <w:rsid w:val="00830ADC"/>
    <w:rsid w:val="0083216F"/>
    <w:rsid w:val="00842128"/>
    <w:rsid w:val="00860000"/>
    <w:rsid w:val="008627F6"/>
    <w:rsid w:val="00862956"/>
    <w:rsid w:val="00863BD3"/>
    <w:rsid w:val="00866D66"/>
    <w:rsid w:val="00866ECC"/>
    <w:rsid w:val="008671C6"/>
    <w:rsid w:val="00871180"/>
    <w:rsid w:val="00875803"/>
    <w:rsid w:val="008766A2"/>
    <w:rsid w:val="0087783E"/>
    <w:rsid w:val="00880E16"/>
    <w:rsid w:val="008851FE"/>
    <w:rsid w:val="00895C28"/>
    <w:rsid w:val="00895EC6"/>
    <w:rsid w:val="008A29D8"/>
    <w:rsid w:val="008A7DB0"/>
    <w:rsid w:val="008B459E"/>
    <w:rsid w:val="008B526C"/>
    <w:rsid w:val="008B558B"/>
    <w:rsid w:val="008C4814"/>
    <w:rsid w:val="008D3689"/>
    <w:rsid w:val="008E08ED"/>
    <w:rsid w:val="008E13AE"/>
    <w:rsid w:val="008E1506"/>
    <w:rsid w:val="008E67F3"/>
    <w:rsid w:val="008E710C"/>
    <w:rsid w:val="008F69D6"/>
    <w:rsid w:val="00902823"/>
    <w:rsid w:val="0090487C"/>
    <w:rsid w:val="009156DE"/>
    <w:rsid w:val="00915CA6"/>
    <w:rsid w:val="00916505"/>
    <w:rsid w:val="00927834"/>
    <w:rsid w:val="00933E85"/>
    <w:rsid w:val="009410BD"/>
    <w:rsid w:val="00943D3F"/>
    <w:rsid w:val="009500A6"/>
    <w:rsid w:val="009537E3"/>
    <w:rsid w:val="00953B14"/>
    <w:rsid w:val="00957C18"/>
    <w:rsid w:val="009659BA"/>
    <w:rsid w:val="00966BB2"/>
    <w:rsid w:val="009813DF"/>
    <w:rsid w:val="009818A0"/>
    <w:rsid w:val="00983040"/>
    <w:rsid w:val="00986761"/>
    <w:rsid w:val="009A18CF"/>
    <w:rsid w:val="009A53B5"/>
    <w:rsid w:val="009B3FB9"/>
    <w:rsid w:val="009B66B4"/>
    <w:rsid w:val="009C2465"/>
    <w:rsid w:val="009C55B9"/>
    <w:rsid w:val="009C76F7"/>
    <w:rsid w:val="009D35A0"/>
    <w:rsid w:val="009D4A14"/>
    <w:rsid w:val="009D7EB7"/>
    <w:rsid w:val="009E048A"/>
    <w:rsid w:val="009E08E9"/>
    <w:rsid w:val="009E3DB9"/>
    <w:rsid w:val="009E6E35"/>
    <w:rsid w:val="009F0EDA"/>
    <w:rsid w:val="009F45A1"/>
    <w:rsid w:val="00A00470"/>
    <w:rsid w:val="00A03B96"/>
    <w:rsid w:val="00A049E2"/>
    <w:rsid w:val="00A05B19"/>
    <w:rsid w:val="00A1134E"/>
    <w:rsid w:val="00A24B24"/>
    <w:rsid w:val="00A24E7E"/>
    <w:rsid w:val="00A258C3"/>
    <w:rsid w:val="00A328C2"/>
    <w:rsid w:val="00A347C0"/>
    <w:rsid w:val="00A42C97"/>
    <w:rsid w:val="00A51431"/>
    <w:rsid w:val="00A539AD"/>
    <w:rsid w:val="00A71653"/>
    <w:rsid w:val="00A7351F"/>
    <w:rsid w:val="00A823C2"/>
    <w:rsid w:val="00A90A61"/>
    <w:rsid w:val="00A94063"/>
    <w:rsid w:val="00A94F6E"/>
    <w:rsid w:val="00AA197F"/>
    <w:rsid w:val="00AA6219"/>
    <w:rsid w:val="00AA74E0"/>
    <w:rsid w:val="00AB3BC2"/>
    <w:rsid w:val="00AB703F"/>
    <w:rsid w:val="00AB7EBB"/>
    <w:rsid w:val="00AC6BB8"/>
    <w:rsid w:val="00AD42EE"/>
    <w:rsid w:val="00AD5088"/>
    <w:rsid w:val="00AD5B56"/>
    <w:rsid w:val="00AD6021"/>
    <w:rsid w:val="00AE008F"/>
    <w:rsid w:val="00AE53F0"/>
    <w:rsid w:val="00AF26A0"/>
    <w:rsid w:val="00B01FCD"/>
    <w:rsid w:val="00B03E20"/>
    <w:rsid w:val="00B07A9F"/>
    <w:rsid w:val="00B13509"/>
    <w:rsid w:val="00B1776C"/>
    <w:rsid w:val="00B26CC5"/>
    <w:rsid w:val="00B3146E"/>
    <w:rsid w:val="00B511B7"/>
    <w:rsid w:val="00B51BD5"/>
    <w:rsid w:val="00B52896"/>
    <w:rsid w:val="00B56856"/>
    <w:rsid w:val="00B63364"/>
    <w:rsid w:val="00B640CC"/>
    <w:rsid w:val="00B6656C"/>
    <w:rsid w:val="00B73A64"/>
    <w:rsid w:val="00B74EA2"/>
    <w:rsid w:val="00B8361D"/>
    <w:rsid w:val="00B86163"/>
    <w:rsid w:val="00B8786D"/>
    <w:rsid w:val="00B91ECC"/>
    <w:rsid w:val="00B95236"/>
    <w:rsid w:val="00B96BD9"/>
    <w:rsid w:val="00BA1B01"/>
    <w:rsid w:val="00BA2641"/>
    <w:rsid w:val="00BA56CF"/>
    <w:rsid w:val="00BB1669"/>
    <w:rsid w:val="00BB37AA"/>
    <w:rsid w:val="00BB4D7A"/>
    <w:rsid w:val="00BB53BB"/>
    <w:rsid w:val="00BC2F2C"/>
    <w:rsid w:val="00BC4275"/>
    <w:rsid w:val="00BC53A0"/>
    <w:rsid w:val="00BD6BED"/>
    <w:rsid w:val="00BE18D5"/>
    <w:rsid w:val="00BE62AD"/>
    <w:rsid w:val="00BE6DFC"/>
    <w:rsid w:val="00BF121F"/>
    <w:rsid w:val="00BF1F80"/>
    <w:rsid w:val="00BF7CBE"/>
    <w:rsid w:val="00C00BB9"/>
    <w:rsid w:val="00C036B1"/>
    <w:rsid w:val="00C11D26"/>
    <w:rsid w:val="00C166EF"/>
    <w:rsid w:val="00C17EB0"/>
    <w:rsid w:val="00C2186E"/>
    <w:rsid w:val="00C27F5F"/>
    <w:rsid w:val="00C30A0F"/>
    <w:rsid w:val="00C37E61"/>
    <w:rsid w:val="00C43D45"/>
    <w:rsid w:val="00C4645E"/>
    <w:rsid w:val="00C476F4"/>
    <w:rsid w:val="00C50BAA"/>
    <w:rsid w:val="00C54719"/>
    <w:rsid w:val="00C5541D"/>
    <w:rsid w:val="00C602D2"/>
    <w:rsid w:val="00C621DB"/>
    <w:rsid w:val="00C630B2"/>
    <w:rsid w:val="00C6430C"/>
    <w:rsid w:val="00C70F1B"/>
    <w:rsid w:val="00C71A47"/>
    <w:rsid w:val="00C74068"/>
    <w:rsid w:val="00C7464C"/>
    <w:rsid w:val="00C77310"/>
    <w:rsid w:val="00C85588"/>
    <w:rsid w:val="00C858ED"/>
    <w:rsid w:val="00C8629F"/>
    <w:rsid w:val="00C90E4D"/>
    <w:rsid w:val="00C928AE"/>
    <w:rsid w:val="00C97743"/>
    <w:rsid w:val="00CA0BBB"/>
    <w:rsid w:val="00CA246E"/>
    <w:rsid w:val="00CB1198"/>
    <w:rsid w:val="00CC46AB"/>
    <w:rsid w:val="00CD237C"/>
    <w:rsid w:val="00CD421E"/>
    <w:rsid w:val="00CD6755"/>
    <w:rsid w:val="00CD6856"/>
    <w:rsid w:val="00CE0089"/>
    <w:rsid w:val="00CE2E7A"/>
    <w:rsid w:val="00CE793C"/>
    <w:rsid w:val="00CF71B2"/>
    <w:rsid w:val="00D049A4"/>
    <w:rsid w:val="00D105E4"/>
    <w:rsid w:val="00D14BAB"/>
    <w:rsid w:val="00D173F1"/>
    <w:rsid w:val="00D21AF9"/>
    <w:rsid w:val="00D32CB7"/>
    <w:rsid w:val="00D441DE"/>
    <w:rsid w:val="00D44F60"/>
    <w:rsid w:val="00D60562"/>
    <w:rsid w:val="00D61417"/>
    <w:rsid w:val="00D61F34"/>
    <w:rsid w:val="00D643D5"/>
    <w:rsid w:val="00D64FDA"/>
    <w:rsid w:val="00D6792F"/>
    <w:rsid w:val="00D75B9C"/>
    <w:rsid w:val="00D8295D"/>
    <w:rsid w:val="00D85FA7"/>
    <w:rsid w:val="00D92B78"/>
    <w:rsid w:val="00D959A1"/>
    <w:rsid w:val="00DA3C35"/>
    <w:rsid w:val="00DB7560"/>
    <w:rsid w:val="00DB768D"/>
    <w:rsid w:val="00DC2A65"/>
    <w:rsid w:val="00DC324D"/>
    <w:rsid w:val="00DD5D93"/>
    <w:rsid w:val="00DE15F0"/>
    <w:rsid w:val="00DE5663"/>
    <w:rsid w:val="00DE6F50"/>
    <w:rsid w:val="00DE78AA"/>
    <w:rsid w:val="00DF5CC0"/>
    <w:rsid w:val="00E00698"/>
    <w:rsid w:val="00E053D0"/>
    <w:rsid w:val="00E06867"/>
    <w:rsid w:val="00E1330E"/>
    <w:rsid w:val="00E157DD"/>
    <w:rsid w:val="00E15994"/>
    <w:rsid w:val="00E21BA9"/>
    <w:rsid w:val="00E2279A"/>
    <w:rsid w:val="00E26575"/>
    <w:rsid w:val="00E27A69"/>
    <w:rsid w:val="00E3114E"/>
    <w:rsid w:val="00E31A70"/>
    <w:rsid w:val="00E341B8"/>
    <w:rsid w:val="00E35B02"/>
    <w:rsid w:val="00E40034"/>
    <w:rsid w:val="00E423BB"/>
    <w:rsid w:val="00E44474"/>
    <w:rsid w:val="00E46782"/>
    <w:rsid w:val="00E473B0"/>
    <w:rsid w:val="00E57B17"/>
    <w:rsid w:val="00E603D6"/>
    <w:rsid w:val="00E61E7D"/>
    <w:rsid w:val="00E66496"/>
    <w:rsid w:val="00E664DA"/>
    <w:rsid w:val="00E66B35"/>
    <w:rsid w:val="00E66E10"/>
    <w:rsid w:val="00E716B7"/>
    <w:rsid w:val="00E73A29"/>
    <w:rsid w:val="00E769F6"/>
    <w:rsid w:val="00E80455"/>
    <w:rsid w:val="00E8407C"/>
    <w:rsid w:val="00E84F3C"/>
    <w:rsid w:val="00E8563D"/>
    <w:rsid w:val="00E91A1A"/>
    <w:rsid w:val="00EA012C"/>
    <w:rsid w:val="00EA4FA7"/>
    <w:rsid w:val="00EB09EC"/>
    <w:rsid w:val="00EC3220"/>
    <w:rsid w:val="00EC6799"/>
    <w:rsid w:val="00EC753F"/>
    <w:rsid w:val="00ED0288"/>
    <w:rsid w:val="00EE3AC1"/>
    <w:rsid w:val="00EE52CB"/>
    <w:rsid w:val="00EF3CBE"/>
    <w:rsid w:val="00EF581D"/>
    <w:rsid w:val="00EF6568"/>
    <w:rsid w:val="00EF7FD8"/>
    <w:rsid w:val="00F06F59"/>
    <w:rsid w:val="00F14BE4"/>
    <w:rsid w:val="00F17988"/>
    <w:rsid w:val="00F20284"/>
    <w:rsid w:val="00F2316C"/>
    <w:rsid w:val="00F31B7E"/>
    <w:rsid w:val="00F469F0"/>
    <w:rsid w:val="00F51BEA"/>
    <w:rsid w:val="00F52353"/>
    <w:rsid w:val="00F53273"/>
    <w:rsid w:val="00F611D1"/>
    <w:rsid w:val="00F63290"/>
    <w:rsid w:val="00F674B3"/>
    <w:rsid w:val="00F71026"/>
    <w:rsid w:val="00F755E4"/>
    <w:rsid w:val="00F76E5D"/>
    <w:rsid w:val="00F77179"/>
    <w:rsid w:val="00F77830"/>
    <w:rsid w:val="00F77D02"/>
    <w:rsid w:val="00FB0824"/>
    <w:rsid w:val="00FB3A86"/>
    <w:rsid w:val="00FB48E6"/>
    <w:rsid w:val="00FC0AAF"/>
    <w:rsid w:val="00FC46A7"/>
    <w:rsid w:val="00FD1928"/>
    <w:rsid w:val="00FD36C8"/>
    <w:rsid w:val="00FD6B63"/>
    <w:rsid w:val="00FD753E"/>
    <w:rsid w:val="00FD7818"/>
    <w:rsid w:val="00FE021A"/>
    <w:rsid w:val="00FE1968"/>
    <w:rsid w:val="00FE4783"/>
    <w:rsid w:val="00FE4902"/>
    <w:rsid w:val="00FE5CDE"/>
    <w:rsid w:val="00FF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2C9BE"/>
  <w15:docId w15:val="{A3DEC399-8A1F-4CFF-833B-EE7B3A7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4752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qFormat/>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NoSpacing">
    <w:name w:val="No Spacing"/>
    <w:link w:val="NoSpacingChar"/>
    <w:uiPriority w:val="1"/>
    <w:qFormat/>
    <w:rsid w:val="00EC6799"/>
    <w:rPr>
      <w:rFonts w:asciiTheme="minorHAnsi" w:eastAsiaTheme="minorHAnsi" w:hAnsiTheme="minorHAnsi" w:cstheme="minorBidi"/>
      <w:sz w:val="22"/>
      <w:szCs w:val="22"/>
    </w:rPr>
  </w:style>
  <w:style w:type="paragraph" w:styleId="ListParagraph">
    <w:name w:val="List Paragraph"/>
    <w:basedOn w:val="Normal"/>
    <w:uiPriority w:val="34"/>
    <w:unhideWhenUsed/>
    <w:qFormat/>
    <w:rsid w:val="00EC6799"/>
    <w:pPr>
      <w:spacing w:after="200" w:line="276" w:lineRule="auto"/>
      <w:ind w:left="720"/>
      <w:contextualSpacing/>
    </w:pPr>
    <w:rPr>
      <w:rFonts w:ascii="Arial Unicode MS" w:eastAsia="Calibri" w:hAnsi="Arial Unicode MS" w:cs="Arial"/>
      <w:b/>
      <w:sz w:val="22"/>
      <w:szCs w:val="22"/>
      <w:lang w:val="en-PH"/>
    </w:rPr>
  </w:style>
  <w:style w:type="character" w:customStyle="1" w:styleId="NoSpacingChar">
    <w:name w:val="No Spacing Char"/>
    <w:link w:val="NoSpacing"/>
    <w:uiPriority w:val="1"/>
    <w:qFormat/>
    <w:locked/>
    <w:rsid w:val="00EC6799"/>
    <w:rPr>
      <w:rFonts w:asciiTheme="minorHAnsi" w:eastAsiaTheme="minorHAnsi" w:hAnsiTheme="minorHAnsi" w:cstheme="minorBidi"/>
      <w:sz w:val="22"/>
      <w:szCs w:val="22"/>
    </w:rPr>
  </w:style>
  <w:style w:type="character" w:customStyle="1" w:styleId="TitleChar">
    <w:name w:val="Title Char"/>
    <w:basedOn w:val="DefaultParagraphFont"/>
    <w:link w:val="Title"/>
    <w:qFormat/>
    <w:rsid w:val="00EC6799"/>
    <w:rPr>
      <w:rFonts w:ascii="Helvetica" w:hAnsi="Helvetica"/>
      <w:b/>
      <w:kern w:val="28"/>
      <w:sz w:val="36"/>
    </w:rPr>
  </w:style>
  <w:style w:type="character" w:customStyle="1" w:styleId="HeaderChar">
    <w:name w:val="Header Char"/>
    <w:basedOn w:val="DefaultParagraphFont"/>
    <w:link w:val="Header"/>
    <w:uiPriority w:val="99"/>
    <w:qFormat/>
    <w:rsid w:val="0030231A"/>
    <w:rPr>
      <w:rFonts w:ascii="Helvetica" w:hAnsi="Helvetica"/>
    </w:rPr>
  </w:style>
  <w:style w:type="table" w:styleId="ListTable6Colorful">
    <w:name w:val="List Table 6 Colorful"/>
    <w:basedOn w:val="TableNormal"/>
    <w:uiPriority w:val="51"/>
    <w:rsid w:val="00E00698"/>
    <w:rPr>
      <w:rFonts w:eastAsia="SimSu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NoSpacing1">
    <w:name w:val="No Spacing1"/>
    <w:rsid w:val="00DE6F50"/>
    <w:rPr>
      <w:rFonts w:ascii="Droid Sans" w:eastAsia="Droid Sans" w:cs="Arial"/>
      <w:sz w:val="22"/>
      <w:szCs w:val="22"/>
    </w:rPr>
  </w:style>
  <w:style w:type="paragraph" w:customStyle="1" w:styleId="ListParagraph1">
    <w:name w:val="List Paragraph1"/>
    <w:basedOn w:val="Normal"/>
    <w:rsid w:val="00DE6F50"/>
    <w:pPr>
      <w:spacing w:after="200" w:line="276" w:lineRule="auto"/>
      <w:ind w:left="720"/>
      <w:contextualSpacing/>
    </w:pPr>
    <w:rPr>
      <w:rFonts w:ascii="Arial Unicode MS" w:eastAsia="Calibri" w:hAnsi="Arial Unicode MS" w:cs="Arial"/>
      <w:b/>
      <w:sz w:val="22"/>
      <w:szCs w:val="22"/>
      <w:lang w:val="en-PH"/>
    </w:rPr>
  </w:style>
  <w:style w:type="paragraph" w:customStyle="1" w:styleId="Default">
    <w:name w:val="Default"/>
    <w:rsid w:val="009818A0"/>
    <w:pPr>
      <w:autoSpaceDE w:val="0"/>
      <w:autoSpaceDN w:val="0"/>
      <w:adjustRightInd w:val="0"/>
    </w:pPr>
    <w:rPr>
      <w:rFonts w:ascii="Arial" w:hAnsi="Arial" w:cs="Arial"/>
      <w:color w:val="000000"/>
      <w:sz w:val="24"/>
      <w:szCs w:val="24"/>
      <w:lang w:val="en-PH"/>
    </w:rPr>
  </w:style>
  <w:style w:type="character" w:styleId="UnresolvedMention">
    <w:name w:val="Unresolved Mention"/>
    <w:basedOn w:val="DefaultParagraphFont"/>
    <w:uiPriority w:val="99"/>
    <w:semiHidden/>
    <w:unhideWhenUsed/>
    <w:rsid w:val="002826D0"/>
    <w:rPr>
      <w:color w:val="605E5C"/>
      <w:shd w:val="clear" w:color="auto" w:fill="E1DFDD"/>
    </w:rPr>
  </w:style>
  <w:style w:type="table" w:styleId="LightShading">
    <w:name w:val="Light Shading"/>
    <w:basedOn w:val="TableNormal"/>
    <w:uiPriority w:val="60"/>
    <w:unhideWhenUsed/>
    <w:rsid w:val="00610532"/>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0">
    <w:name w:val="TableGrid"/>
    <w:rsid w:val="00797D8A"/>
    <w:rPr>
      <w:rFonts w:asciiTheme="minorHAnsi" w:hAnsiTheme="minorHAnsi" w:cstheme="minorBidi"/>
      <w:sz w:val="22"/>
      <w:szCs w:val="22"/>
      <w:lang w:eastAsia="zh-CN"/>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47520"/>
    <w:rPr>
      <w:rFonts w:asciiTheme="majorHAnsi" w:eastAsiaTheme="majorEastAsia" w:hAnsiTheme="majorHAnsi" w:cstheme="majorBidi"/>
      <w:color w:val="365F91" w:themeColor="accent1" w:themeShade="BF"/>
      <w:sz w:val="26"/>
      <w:szCs w:val="26"/>
    </w:rPr>
  </w:style>
  <w:style w:type="table" w:customStyle="1" w:styleId="TableGrid1">
    <w:name w:val="Table Grid1"/>
    <w:basedOn w:val="TableNormal"/>
    <w:next w:val="TableGrid"/>
    <w:uiPriority w:val="59"/>
    <w:unhideWhenUsed/>
    <w:rsid w:val="00C7731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306070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5730831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4858592">
      <w:bodyDiv w:val="1"/>
      <w:marLeft w:val="0"/>
      <w:marRight w:val="0"/>
      <w:marTop w:val="0"/>
      <w:marBottom w:val="0"/>
      <w:divBdr>
        <w:top w:val="none" w:sz="0" w:space="0" w:color="auto"/>
        <w:left w:val="none" w:sz="0" w:space="0" w:color="auto"/>
        <w:bottom w:val="none" w:sz="0" w:space="0" w:color="auto"/>
        <w:right w:val="none" w:sz="0" w:space="0" w:color="auto"/>
      </w:divBdr>
    </w:div>
    <w:div w:id="1233194295">
      <w:bodyDiv w:val="1"/>
      <w:marLeft w:val="0"/>
      <w:marRight w:val="0"/>
      <w:marTop w:val="0"/>
      <w:marBottom w:val="0"/>
      <w:divBdr>
        <w:top w:val="none" w:sz="0" w:space="0" w:color="auto"/>
        <w:left w:val="none" w:sz="0" w:space="0" w:color="auto"/>
        <w:bottom w:val="none" w:sz="0" w:space="0" w:color="auto"/>
        <w:right w:val="none" w:sz="0" w:space="0" w:color="auto"/>
      </w:divBdr>
    </w:div>
    <w:div w:id="1494108496">
      <w:bodyDiv w:val="1"/>
      <w:marLeft w:val="0"/>
      <w:marRight w:val="0"/>
      <w:marTop w:val="0"/>
      <w:marBottom w:val="0"/>
      <w:divBdr>
        <w:top w:val="none" w:sz="0" w:space="0" w:color="auto"/>
        <w:left w:val="none" w:sz="0" w:space="0" w:color="auto"/>
        <w:bottom w:val="none" w:sz="0" w:space="0" w:color="auto"/>
        <w:right w:val="none" w:sz="0" w:space="0" w:color="auto"/>
      </w:divBdr>
    </w:div>
    <w:div w:id="158121218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ajess/2022/v36i3781" TargetMode="External"/><Relationship Id="rId13" Type="http://schemas.openxmlformats.org/officeDocument/2006/relationships/hyperlink" Target="https://www.academia.edu/128471907/Mathematical_Creativity_Self_Efficacy_Perception_of_Pre_Service_Mathematics_Teach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16/j.paid.2023.11198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ped.gov.ph/wp-content/uploads/2019/12/PISA-2018-Philippine-National-Report.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academia.edu/128471907/Coping_strategies_in_learning_mathematics_and_mathematics_performance_of_college_student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academia.edu/128471771/Mathematical_curiosity_and_mathematics_performance_of_pre_service_teachers"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DA863-CE73-4884-9696-BD7256B9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456</TotalTime>
  <Pages>11</Pages>
  <Words>5696</Words>
  <Characters>32468</Characters>
  <Application>Microsoft Office Word</Application>
  <DocSecurity>0</DocSecurity>
  <Lines>270</Lines>
  <Paragraphs>76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Paper Template</vt:lpstr>
      <vt:lpstr>    4.1	Level of Fear of Failure among College Students</vt:lpstr>
      <vt:lpstr>    4.2	Relationship between Fear of Failure in Learning Mathematics and Academic Pr</vt:lpstr>
    </vt:vector>
  </TitlesOfParts>
  <Company>aaaa</Company>
  <LinksUpToDate>false</LinksUpToDate>
  <CharactersWithSpaces>38088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18</cp:revision>
  <cp:lastPrinted>2025-04-25T00:56:00Z</cp:lastPrinted>
  <dcterms:created xsi:type="dcterms:W3CDTF">2025-05-09T09:15:00Z</dcterms:created>
  <dcterms:modified xsi:type="dcterms:W3CDTF">2025-05-13T10:28:00Z</dcterms:modified>
</cp:coreProperties>
</file>