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69755" w14:textId="77777777" w:rsidR="00754C9A" w:rsidRDefault="00754C9A" w:rsidP="00441B6F">
      <w:pPr>
        <w:pStyle w:val="Title"/>
        <w:spacing w:after="0"/>
        <w:jc w:val="both"/>
        <w:rPr>
          <w:rFonts w:ascii="Arial" w:hAnsi="Arial" w:cs="Arial"/>
        </w:rPr>
      </w:pPr>
      <w:bookmarkStart w:id="0" w:name="_GoBack"/>
      <w:bookmarkEnd w:id="0"/>
    </w:p>
    <w:p w14:paraId="0478241D" w14:textId="77777777" w:rsidR="00385B81" w:rsidRPr="00385B81" w:rsidRDefault="00385B81" w:rsidP="00385B81">
      <w:pPr>
        <w:jc w:val="center"/>
        <w:rPr>
          <w:rFonts w:ascii="Arial" w:hAnsi="Arial" w:cs="Arial"/>
          <w:b/>
          <w:bCs/>
          <w:i/>
          <w:iCs/>
          <w:kern w:val="28"/>
          <w:sz w:val="36"/>
          <w:u w:val="single"/>
        </w:rPr>
      </w:pPr>
      <w:r w:rsidRPr="00385B81">
        <w:rPr>
          <w:rFonts w:ascii="Arial" w:hAnsi="Arial" w:cs="Arial"/>
          <w:b/>
          <w:bCs/>
          <w:i/>
          <w:iCs/>
          <w:kern w:val="28"/>
          <w:sz w:val="36"/>
          <w:u w:val="single"/>
        </w:rPr>
        <w:t>Original Research Article</w:t>
      </w:r>
    </w:p>
    <w:p w14:paraId="7DCBA3C8" w14:textId="28C792EC" w:rsidR="00EB0E69" w:rsidRPr="00A76BB7" w:rsidRDefault="00EB0E69" w:rsidP="00EB0E69">
      <w:pPr>
        <w:jc w:val="center"/>
        <w:rPr>
          <w:rFonts w:ascii="Arial" w:hAnsi="Arial" w:cs="Arial"/>
          <w:b/>
          <w:bCs/>
          <w:iCs/>
          <w:kern w:val="28"/>
          <w:sz w:val="36"/>
        </w:rPr>
      </w:pPr>
      <w:r w:rsidRPr="00A76BB7">
        <w:rPr>
          <w:rFonts w:ascii="Arial" w:hAnsi="Arial" w:cs="Arial"/>
          <w:b/>
          <w:bCs/>
          <w:iCs/>
          <w:kern w:val="28"/>
          <w:sz w:val="36"/>
        </w:rPr>
        <w:t>Convergent Thinking and Academic Achievement</w:t>
      </w:r>
      <w:r w:rsidR="00E0058B">
        <w:rPr>
          <w:rFonts w:ascii="Arial" w:hAnsi="Arial" w:cs="Arial"/>
          <w:b/>
          <w:bCs/>
          <w:iCs/>
          <w:kern w:val="28"/>
          <w:sz w:val="36"/>
        </w:rPr>
        <w:t xml:space="preserve"> in Mathematics</w:t>
      </w:r>
      <w:r w:rsidRPr="00A76BB7">
        <w:rPr>
          <w:rFonts w:ascii="Arial" w:hAnsi="Arial" w:cs="Arial"/>
          <w:b/>
          <w:bCs/>
          <w:iCs/>
          <w:kern w:val="28"/>
          <w:sz w:val="36"/>
        </w:rPr>
        <w:t>: An Empirical Evidence</w:t>
      </w:r>
    </w:p>
    <w:p w14:paraId="1757B3F6" w14:textId="77777777" w:rsidR="00A258C3" w:rsidRPr="00790ADA" w:rsidRDefault="00A258C3" w:rsidP="00441B6F">
      <w:pPr>
        <w:pStyle w:val="Author"/>
        <w:spacing w:line="240" w:lineRule="auto"/>
        <w:jc w:val="both"/>
        <w:rPr>
          <w:rFonts w:ascii="Arial" w:hAnsi="Arial" w:cs="Arial"/>
          <w:sz w:val="36"/>
        </w:rPr>
      </w:pPr>
    </w:p>
    <w:p w14:paraId="20FC2530" w14:textId="77777777" w:rsidR="00B01FCD" w:rsidRPr="00FB3A86" w:rsidRDefault="00A10CBC" w:rsidP="00441B6F">
      <w:pPr>
        <w:pStyle w:val="Copyright"/>
        <w:spacing w:after="0" w:line="240" w:lineRule="auto"/>
        <w:jc w:val="both"/>
        <w:rPr>
          <w:rFonts w:ascii="Arial" w:hAnsi="Arial" w:cs="Arial"/>
        </w:rPr>
        <w:sectPr w:rsidR="00B01FCD" w:rsidRPr="00FB3A86" w:rsidSect="006D35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40D43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2B5924" w14:textId="79A9E491" w:rsidR="00B01FCD" w:rsidRDefault="00B01FCD" w:rsidP="00441B6F">
      <w:pPr>
        <w:pStyle w:val="AbstHead"/>
        <w:spacing w:after="0"/>
        <w:jc w:val="both"/>
        <w:rPr>
          <w:rFonts w:ascii="Arial" w:hAnsi="Arial" w:cs="Arial"/>
        </w:rPr>
      </w:pPr>
      <w:r w:rsidRPr="00FB3A86">
        <w:rPr>
          <w:rFonts w:ascii="Arial" w:hAnsi="Arial" w:cs="Arial"/>
        </w:rPr>
        <w:t>ABSTRACT</w:t>
      </w:r>
    </w:p>
    <w:p w14:paraId="0E075E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3D5A0FD" w14:textId="77777777" w:rsidTr="001E44FE">
        <w:tc>
          <w:tcPr>
            <w:tcW w:w="9576" w:type="dxa"/>
            <w:shd w:val="clear" w:color="auto" w:fill="F2F2F2"/>
          </w:tcPr>
          <w:p w14:paraId="04C1A4A2" w14:textId="1C06962B" w:rsidR="00505F06" w:rsidRPr="00CA15B8" w:rsidRDefault="00CA15B8" w:rsidP="00CA15B8">
            <w:pPr>
              <w:pStyle w:val="Body"/>
              <w:rPr>
                <w:rFonts w:ascii="Arial" w:eastAsia="Calibri" w:hAnsi="Arial" w:cs="Arial"/>
                <w:szCs w:val="22"/>
                <w:lang w:val="en-IN"/>
              </w:rPr>
            </w:pPr>
            <w:r w:rsidRPr="00CA15B8">
              <w:rPr>
                <w:rFonts w:ascii="Arial" w:eastAsia="Calibri" w:hAnsi="Arial" w:cs="Arial"/>
                <w:szCs w:val="22"/>
                <w:lang w:val="en-IN"/>
              </w:rPr>
              <w:t>This study investigates how higher secondary students' academic achievement</w:t>
            </w:r>
            <w:r w:rsidR="00E0058B">
              <w:rPr>
                <w:rFonts w:ascii="Arial" w:eastAsia="Calibri" w:hAnsi="Arial" w:cs="Arial"/>
                <w:szCs w:val="22"/>
                <w:lang w:val="en-IN"/>
              </w:rPr>
              <w:t xml:space="preserve"> in mathematics</w:t>
            </w:r>
            <w:r w:rsidRPr="00CA15B8">
              <w:rPr>
                <w:rFonts w:ascii="Arial" w:eastAsia="Calibri" w:hAnsi="Arial" w:cs="Arial"/>
                <w:szCs w:val="22"/>
                <w:lang w:val="en-IN"/>
              </w:rPr>
              <w:t xml:space="preserve"> and convergent thinking relate to one another. Convergent thinking, characterized by the ability to logically and systematically arrive at a single correct solution, is crucial in subjects that require precise problem-solving skills. The research draws upon Guilford's structure of intellect model and existing literature to explore how this cognitive process influences student performance. A sample of 100 </w:t>
            </w:r>
            <w:r w:rsidR="00B01F3C">
              <w:rPr>
                <w:rFonts w:ascii="Arial" w:eastAsia="Calibri" w:hAnsi="Arial" w:cs="Arial"/>
                <w:szCs w:val="22"/>
                <w:lang w:val="en-IN"/>
              </w:rPr>
              <w:t>higher secondary students</w:t>
            </w:r>
            <w:r w:rsidRPr="00CA15B8">
              <w:rPr>
                <w:rFonts w:ascii="Arial" w:eastAsia="Calibri" w:hAnsi="Arial" w:cs="Arial"/>
                <w:szCs w:val="22"/>
                <w:lang w:val="en-IN"/>
              </w:rPr>
              <w:t xml:space="preserve"> </w:t>
            </w:r>
            <w:r w:rsidR="00B01F3C">
              <w:rPr>
                <w:rFonts w:ascii="Arial" w:eastAsia="Calibri" w:hAnsi="Arial" w:cs="Arial"/>
                <w:szCs w:val="22"/>
                <w:lang w:val="en-IN"/>
              </w:rPr>
              <w:t>were</w:t>
            </w:r>
            <w:r w:rsidRPr="00CA15B8">
              <w:rPr>
                <w:rFonts w:ascii="Arial" w:eastAsia="Calibri" w:hAnsi="Arial" w:cs="Arial"/>
                <w:szCs w:val="22"/>
                <w:lang w:val="en-IN"/>
              </w:rPr>
              <w:t xml:space="preserve"> assessed using standardized tests to measure convergent thinking developed by the investigator and </w:t>
            </w:r>
            <w:bookmarkStart w:id="1" w:name="_Hlk197190440"/>
            <w:r w:rsidRPr="00CA15B8">
              <w:rPr>
                <w:rFonts w:ascii="Arial" w:eastAsia="Calibri" w:hAnsi="Arial" w:cs="Arial"/>
                <w:szCs w:val="22"/>
                <w:lang w:val="en-IN"/>
              </w:rPr>
              <w:t>the students' scores on the HSSLC exam were used to measure their academic achievement</w:t>
            </w:r>
            <w:r w:rsidR="00E0058B">
              <w:rPr>
                <w:rFonts w:ascii="Arial" w:eastAsia="Calibri" w:hAnsi="Arial" w:cs="Arial"/>
                <w:szCs w:val="22"/>
                <w:lang w:val="en-IN"/>
              </w:rPr>
              <w:t xml:space="preserve"> in mathematics</w:t>
            </w:r>
            <w:bookmarkEnd w:id="1"/>
            <w:r w:rsidRPr="00CA15B8">
              <w:rPr>
                <w:rFonts w:ascii="Arial" w:eastAsia="Calibri" w:hAnsi="Arial" w:cs="Arial"/>
                <w:szCs w:val="22"/>
                <w:lang w:val="en-IN"/>
              </w:rPr>
              <w:t>. The results revealed a significant positive correlation between convergent thinking and academic success</w:t>
            </w:r>
            <w:r w:rsidR="00E0058B">
              <w:rPr>
                <w:rFonts w:ascii="Arial" w:eastAsia="Calibri" w:hAnsi="Arial" w:cs="Arial"/>
                <w:szCs w:val="22"/>
                <w:lang w:val="en-IN"/>
              </w:rPr>
              <w:t xml:space="preserve"> in mathematics</w:t>
            </w:r>
            <w:r w:rsidRPr="00CA15B8">
              <w:rPr>
                <w:rFonts w:ascii="Arial" w:eastAsia="Calibri" w:hAnsi="Arial" w:cs="Arial"/>
                <w:szCs w:val="22"/>
                <w:lang w:val="en-IN"/>
              </w:rPr>
              <w:t xml:space="preserve">. The findings suggest that students with higher levels of convergent thinking tend to perform better academically. The study </w:t>
            </w:r>
            <w:r w:rsidR="00B01F3C">
              <w:rPr>
                <w:rFonts w:ascii="Arial" w:eastAsia="Calibri" w:hAnsi="Arial" w:cs="Arial"/>
                <w:szCs w:val="22"/>
                <w:lang w:val="en-IN"/>
              </w:rPr>
              <w:t>emphasizes</w:t>
            </w:r>
            <w:r w:rsidRPr="00CA15B8">
              <w:rPr>
                <w:rFonts w:ascii="Arial" w:eastAsia="Calibri" w:hAnsi="Arial" w:cs="Arial"/>
                <w:szCs w:val="22"/>
                <w:lang w:val="en-IN"/>
              </w:rPr>
              <w:t xml:space="preserve"> the importance of fostering convergent thinking skills in educational settings, highlighting its potential to enhance academic outcomes</w:t>
            </w:r>
            <w:r w:rsidR="00E0058B">
              <w:rPr>
                <w:rFonts w:ascii="Arial" w:eastAsia="Calibri" w:hAnsi="Arial" w:cs="Arial"/>
                <w:szCs w:val="22"/>
                <w:lang w:val="en-IN"/>
              </w:rPr>
              <w:t xml:space="preserve"> especially in mathematics</w:t>
            </w:r>
            <w:r w:rsidRPr="00CA15B8">
              <w:rPr>
                <w:rFonts w:ascii="Arial" w:eastAsia="Calibri" w:hAnsi="Arial" w:cs="Arial"/>
                <w:szCs w:val="22"/>
                <w:lang w:val="en-IN"/>
              </w:rPr>
              <w:t>.</w:t>
            </w:r>
          </w:p>
        </w:tc>
      </w:tr>
    </w:tbl>
    <w:p w14:paraId="058DBDFD" w14:textId="77777777" w:rsidR="00636EB2" w:rsidRDefault="00636EB2" w:rsidP="00441B6F">
      <w:pPr>
        <w:pStyle w:val="Body"/>
        <w:spacing w:after="0"/>
        <w:rPr>
          <w:rFonts w:ascii="Arial" w:hAnsi="Arial" w:cs="Arial"/>
          <w:i/>
        </w:rPr>
      </w:pPr>
    </w:p>
    <w:p w14:paraId="019FF827" w14:textId="2FFD4152" w:rsidR="0024282C" w:rsidRPr="00C96F57" w:rsidRDefault="00A24E7E" w:rsidP="00441B6F">
      <w:pPr>
        <w:pStyle w:val="Body"/>
        <w:spacing w:after="0"/>
        <w:rPr>
          <w:rFonts w:ascii="Arial" w:hAnsi="Arial" w:cs="Arial"/>
          <w:i/>
          <w:iCs/>
        </w:rPr>
      </w:pPr>
      <w:r>
        <w:rPr>
          <w:rFonts w:ascii="Arial" w:hAnsi="Arial" w:cs="Arial"/>
          <w:i/>
        </w:rPr>
        <w:t xml:space="preserve">Keywords: </w:t>
      </w:r>
      <w:r w:rsidR="00CA15B8" w:rsidRPr="00C96F57">
        <w:rPr>
          <w:rFonts w:ascii="Arial" w:hAnsi="Arial" w:cs="Arial"/>
          <w:i/>
          <w:iCs/>
          <w:lang w:val="en-IN"/>
        </w:rPr>
        <w:t>convergent thinking, academic achievement,</w:t>
      </w:r>
      <w:r w:rsidR="00E0058B">
        <w:rPr>
          <w:rFonts w:ascii="Arial" w:hAnsi="Arial" w:cs="Arial"/>
          <w:i/>
          <w:iCs/>
          <w:lang w:val="en-IN"/>
        </w:rPr>
        <w:t xml:space="preserve"> mathematics,</w:t>
      </w:r>
      <w:r w:rsidR="00CA15B8" w:rsidRPr="00C96F57">
        <w:rPr>
          <w:rFonts w:ascii="Arial" w:hAnsi="Arial" w:cs="Arial"/>
          <w:i/>
          <w:iCs/>
          <w:lang w:val="en-IN"/>
        </w:rPr>
        <w:t xml:space="preserve"> higher secondary students</w:t>
      </w:r>
      <w:r w:rsidR="00C96F57" w:rsidRPr="00C96F57">
        <w:rPr>
          <w:rFonts w:ascii="Arial" w:hAnsi="Arial" w:cs="Arial"/>
          <w:i/>
          <w:iCs/>
          <w:lang w:val="en-IN"/>
        </w:rPr>
        <w:t>,</w:t>
      </w:r>
      <w:r w:rsidR="00C96F57">
        <w:rPr>
          <w:rFonts w:ascii="Arial" w:hAnsi="Arial" w:cs="Arial"/>
          <w:i/>
          <w:iCs/>
          <w:lang w:val="en-IN"/>
        </w:rPr>
        <w:t xml:space="preserve"> </w:t>
      </w:r>
      <w:r w:rsidR="00C96F57" w:rsidRPr="00C96F57">
        <w:rPr>
          <w:rFonts w:ascii="Arial" w:hAnsi="Arial" w:cs="Arial"/>
          <w:i/>
          <w:iCs/>
          <w:lang w:val="en-IN"/>
        </w:rPr>
        <w:t>educational</w:t>
      </w:r>
    </w:p>
    <w:p w14:paraId="70FFAAE9" w14:textId="77777777" w:rsidR="00505F06" w:rsidRPr="00C96F57" w:rsidRDefault="00505F06" w:rsidP="00441B6F">
      <w:pPr>
        <w:pStyle w:val="Body"/>
        <w:spacing w:after="0"/>
        <w:rPr>
          <w:rFonts w:ascii="Arial" w:hAnsi="Arial" w:cs="Arial"/>
          <w:i/>
          <w:iCs/>
        </w:rPr>
      </w:pPr>
    </w:p>
    <w:p w14:paraId="1B4C9613" w14:textId="0B8CDE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426056E" w14:textId="77777777" w:rsidR="00790ADA" w:rsidRPr="00FB3A86" w:rsidRDefault="00790ADA" w:rsidP="00441B6F">
      <w:pPr>
        <w:pStyle w:val="AbstHead"/>
        <w:spacing w:after="0"/>
        <w:jc w:val="both"/>
        <w:rPr>
          <w:rFonts w:ascii="Arial" w:hAnsi="Arial" w:cs="Arial"/>
        </w:rPr>
      </w:pPr>
    </w:p>
    <w:p w14:paraId="660986BC" w14:textId="01CE5D0F" w:rsidR="00F375DB" w:rsidRPr="00F375DB" w:rsidRDefault="00F375DB" w:rsidP="00F375DB">
      <w:pPr>
        <w:pStyle w:val="Body"/>
        <w:rPr>
          <w:rFonts w:ascii="Arial" w:hAnsi="Arial" w:cs="Arial"/>
        </w:rPr>
      </w:pPr>
      <w:r w:rsidRPr="0020308D">
        <w:rPr>
          <w:rFonts w:ascii="Arial" w:hAnsi="Arial" w:cs="Arial"/>
        </w:rPr>
        <w:t>J. P. Guilford,</w:t>
      </w:r>
      <w:r w:rsidRPr="00F375DB">
        <w:rPr>
          <w:rFonts w:ascii="Arial" w:hAnsi="Arial" w:cs="Arial"/>
        </w:rPr>
        <w:t xml:space="preserve"> a psychologist, created the terms convergent and divergent thinking in </w:t>
      </w:r>
      <w:r w:rsidRPr="0020308D">
        <w:rPr>
          <w:rFonts w:ascii="Arial" w:hAnsi="Arial" w:cs="Arial"/>
        </w:rPr>
        <w:t>1956.</w:t>
      </w:r>
      <w:r w:rsidRPr="00F375DB">
        <w:rPr>
          <w:rFonts w:ascii="Arial" w:hAnsi="Arial" w:cs="Arial"/>
        </w:rPr>
        <w:t xml:space="preserve"> Convergent thinking focuses on reaching one well-defined solution to a problem. This type of thinking is best suited for tasks that involve logic as opposed to creativity, such as answering multiple-choice tests or solving a problem where you know there are no other possible solutions. Divergent thinking is the opposite of convergent thinking and involves more creativity (</w:t>
      </w:r>
      <w:proofErr w:type="spellStart"/>
      <w:r w:rsidRPr="00F375DB">
        <w:rPr>
          <w:rFonts w:ascii="Arial" w:hAnsi="Arial" w:cs="Arial"/>
        </w:rPr>
        <w:t>Mengjing</w:t>
      </w:r>
      <w:proofErr w:type="spellEnd"/>
      <w:r w:rsidRPr="00F375DB">
        <w:rPr>
          <w:rFonts w:ascii="Arial" w:hAnsi="Arial" w:cs="Arial"/>
        </w:rPr>
        <w:t xml:space="preserve"> Ni et. al., 2014). With this type of thinking, </w:t>
      </w:r>
      <w:r w:rsidR="00083FCB">
        <w:rPr>
          <w:rFonts w:ascii="Arial" w:hAnsi="Arial" w:cs="Arial"/>
        </w:rPr>
        <w:t>one</w:t>
      </w:r>
      <w:r w:rsidRPr="00F375DB">
        <w:rPr>
          <w:rFonts w:ascii="Arial" w:hAnsi="Arial" w:cs="Arial"/>
        </w:rPr>
        <w:t xml:space="preserve"> can generate ideas and develop multiple solutions to a problem. While divergent thinking often involves brainstorming for many possible answers to a question, the goal is the same as convergent thinking—to arrive at the best solution.</w:t>
      </w:r>
    </w:p>
    <w:p w14:paraId="3108C015" w14:textId="77777777" w:rsidR="00F375DB" w:rsidRPr="00F375DB" w:rsidRDefault="00F375DB" w:rsidP="00F375DB">
      <w:pPr>
        <w:pStyle w:val="Body"/>
        <w:rPr>
          <w:rFonts w:ascii="Arial" w:hAnsi="Arial" w:cs="Arial"/>
        </w:rPr>
      </w:pPr>
      <w:r w:rsidRPr="00F375DB">
        <w:rPr>
          <w:rFonts w:ascii="Arial" w:hAnsi="Arial" w:cs="Arial"/>
        </w:rPr>
        <w:t>Identifying the one, proven solution to a problem is the main goal of convergent thinking. The goal is to determine the best—and usually accurate—answer to a given question. Convergent thinking prioritizes speed, accuracy, and logic while concentrating on amassing stored information, reapplying procedures, and identifying the familiar. It works best in circumstances where the solution is obvious and only has to be remembered or determined using decision-making techniques. Convergent thinking has a crucial feature in that it eliminates all possibility of ambiguity and produces only one optimal solution. Answers are viewed as either correct or incorrect. In most cases, the solution that emerges at the conclusion of the convergent thinking process is the best one.</w:t>
      </w:r>
    </w:p>
    <w:p w14:paraId="37BDC430" w14:textId="7D4FA0DD" w:rsidR="00F375DB" w:rsidRPr="00F375DB" w:rsidRDefault="00F375DB" w:rsidP="00F375DB">
      <w:pPr>
        <w:pStyle w:val="Body"/>
        <w:rPr>
          <w:rFonts w:ascii="Arial" w:hAnsi="Arial" w:cs="Arial"/>
        </w:rPr>
      </w:pPr>
      <w:r w:rsidRPr="00F375DB">
        <w:rPr>
          <w:rFonts w:ascii="Arial" w:hAnsi="Arial" w:cs="Arial"/>
        </w:rPr>
        <w:lastRenderedPageBreak/>
        <w:t>Convergent thinking is also linked to knowledge as it involves manipulating existing knowledge by means of standard procedures. Knowledge is another important aspect of creativity. It is a source of ideas, suggests pathways to solutions, and provides criteria of effectiveness and novelty (</w:t>
      </w:r>
      <w:proofErr w:type="spellStart"/>
      <w:r w:rsidRPr="00F375DB">
        <w:rPr>
          <w:rFonts w:ascii="Arial" w:hAnsi="Arial" w:cs="Arial"/>
        </w:rPr>
        <w:t>Croply</w:t>
      </w:r>
      <w:proofErr w:type="spellEnd"/>
      <w:r w:rsidRPr="00F375DB">
        <w:rPr>
          <w:rFonts w:ascii="Arial" w:hAnsi="Arial" w:cs="Arial"/>
        </w:rPr>
        <w:t>, 2006). Convergent thinking is used as a tool in creative problem solving. When an individual is using critical thinking to solve a problem, they consciously use standards or probabilities to make judgments (Light &amp; Harvey, 201</w:t>
      </w:r>
      <w:r w:rsidR="00926B01">
        <w:rPr>
          <w:rFonts w:ascii="Arial" w:hAnsi="Arial" w:cs="Arial"/>
        </w:rPr>
        <w:t>5</w:t>
      </w:r>
      <w:r w:rsidRPr="00F375DB">
        <w:rPr>
          <w:rFonts w:ascii="Arial" w:hAnsi="Arial" w:cs="Arial"/>
        </w:rPr>
        <w:t>). This contrasts with divergent thinking where judgment is deferred while looking for and accepting many possible solutions.</w:t>
      </w:r>
    </w:p>
    <w:p w14:paraId="061C481F" w14:textId="1359C1E5" w:rsidR="00F375DB" w:rsidRDefault="00F375DB" w:rsidP="00F375DB">
      <w:pPr>
        <w:pStyle w:val="Body"/>
        <w:rPr>
          <w:rFonts w:ascii="Arial" w:hAnsi="Arial" w:cs="Arial"/>
        </w:rPr>
      </w:pPr>
      <w:r w:rsidRPr="00F375DB">
        <w:rPr>
          <w:rFonts w:ascii="Arial" w:hAnsi="Arial" w:cs="Arial"/>
        </w:rPr>
        <w:t>Convergent thinking is frequently employed in combination with divergent thinking. Divergent thinking usually occurs in a spontaneous, free-flowing manner, with numerous new ideas developed and assessed. Multiple viable answers are investigated in a short period of time, and unexpected connections are discovered. Following the completion of the divergent thinking process, ideas and information are grouped and structured using convergent thinking to arrive at a single-best, or most often accurate solution. Divergent thinking is demonstrated by the use of brainstorming, free writing, and creative thinking at the start of the problem-solving process to dev</w:t>
      </w:r>
      <w:r w:rsidR="001F0720">
        <w:rPr>
          <w:rFonts w:ascii="Arial" w:hAnsi="Arial" w:cs="Arial"/>
        </w:rPr>
        <w:t xml:space="preserve"> </w:t>
      </w:r>
      <w:proofErr w:type="spellStart"/>
      <w:r w:rsidRPr="00F375DB">
        <w:rPr>
          <w:rFonts w:ascii="Arial" w:hAnsi="Arial" w:cs="Arial"/>
        </w:rPr>
        <w:t>elop</w:t>
      </w:r>
      <w:proofErr w:type="spellEnd"/>
      <w:r w:rsidRPr="00F375DB">
        <w:rPr>
          <w:rFonts w:ascii="Arial" w:hAnsi="Arial" w:cs="Arial"/>
        </w:rPr>
        <w:t xml:space="preserve"> potential answers that may be evaluated later. Convergent thinking is useful once a significant number of ideas have been explored. Knowledge, reasoning, probabilities, and other decision-making processes are considered as the solutions are examined separately in order to get a single best response that is unambiguous when obtained. This study aims to investigate the complex relationship between academic achievement</w:t>
      </w:r>
      <w:r w:rsidR="00E0058B">
        <w:rPr>
          <w:rFonts w:ascii="Arial" w:hAnsi="Arial" w:cs="Arial"/>
        </w:rPr>
        <w:t xml:space="preserve"> in mathematics</w:t>
      </w:r>
      <w:r w:rsidRPr="00F375DB">
        <w:rPr>
          <w:rFonts w:ascii="Arial" w:hAnsi="Arial" w:cs="Arial"/>
        </w:rPr>
        <w:t xml:space="preserve"> and convergent thinking.</w:t>
      </w:r>
    </w:p>
    <w:p w14:paraId="78F7CF20" w14:textId="77777777" w:rsidR="006D458C" w:rsidRPr="00AC0F84" w:rsidRDefault="006D458C" w:rsidP="006D458C">
      <w:pPr>
        <w:pStyle w:val="Body"/>
        <w:rPr>
          <w:rFonts w:ascii="Arial" w:hAnsi="Arial" w:cs="Arial"/>
          <w:lang w:val="en-IN"/>
        </w:rPr>
      </w:pPr>
      <w:r w:rsidRPr="00AC0F84">
        <w:rPr>
          <w:rFonts w:ascii="Arial" w:hAnsi="Arial" w:cs="Arial"/>
          <w:lang w:val="en-IN"/>
        </w:rPr>
        <w:t>The objectives of the study were as follows:</w:t>
      </w:r>
    </w:p>
    <w:p w14:paraId="55D1F469" w14:textId="77777777" w:rsidR="006D458C" w:rsidRPr="00AC0F84" w:rsidRDefault="006D458C" w:rsidP="006D458C">
      <w:pPr>
        <w:pStyle w:val="Body"/>
        <w:numPr>
          <w:ilvl w:val="0"/>
          <w:numId w:val="31"/>
        </w:numPr>
        <w:spacing w:after="0"/>
        <w:rPr>
          <w:rFonts w:ascii="Arial" w:hAnsi="Arial" w:cs="Arial"/>
          <w:lang w:val="en-IN"/>
        </w:rPr>
      </w:pPr>
      <w:bookmarkStart w:id="2" w:name="_Hlk176364848"/>
      <w:r w:rsidRPr="00AC0F84">
        <w:rPr>
          <w:rFonts w:ascii="Arial" w:hAnsi="Arial" w:cs="Arial"/>
          <w:lang w:val="en-IN"/>
        </w:rPr>
        <w:t>To find out the level of convergent thinking of higher secondary students.</w:t>
      </w:r>
    </w:p>
    <w:p w14:paraId="729A4EA9" w14:textId="77777777" w:rsidR="006D458C" w:rsidRPr="00AC0F84" w:rsidRDefault="006D458C" w:rsidP="006D458C">
      <w:pPr>
        <w:pStyle w:val="Body"/>
        <w:numPr>
          <w:ilvl w:val="0"/>
          <w:numId w:val="31"/>
        </w:numPr>
        <w:spacing w:after="0"/>
        <w:rPr>
          <w:rFonts w:ascii="Arial" w:hAnsi="Arial" w:cs="Arial"/>
          <w:lang w:val="en-IN"/>
        </w:rPr>
      </w:pPr>
      <w:bookmarkStart w:id="3" w:name="_Hlk176364886"/>
      <w:bookmarkEnd w:id="2"/>
      <w:r w:rsidRPr="00AC0F84">
        <w:rPr>
          <w:rFonts w:ascii="Arial" w:hAnsi="Arial" w:cs="Arial"/>
          <w:lang w:val="en-IN"/>
        </w:rPr>
        <w:t>To compare the boys and girls Higher Secondary students in respect to their convergent thinking.</w:t>
      </w:r>
    </w:p>
    <w:p w14:paraId="24C8A687" w14:textId="7F9EBA80" w:rsidR="006D458C" w:rsidRDefault="006D458C" w:rsidP="006D458C">
      <w:pPr>
        <w:pStyle w:val="Body"/>
        <w:numPr>
          <w:ilvl w:val="0"/>
          <w:numId w:val="31"/>
        </w:numPr>
        <w:spacing w:after="0"/>
        <w:rPr>
          <w:rFonts w:ascii="Arial" w:hAnsi="Arial" w:cs="Arial"/>
          <w:lang w:val="en-IN"/>
        </w:rPr>
      </w:pPr>
      <w:bookmarkStart w:id="4" w:name="_Hlk176364915"/>
      <w:bookmarkEnd w:id="3"/>
      <w:r w:rsidRPr="00AC0F84">
        <w:rPr>
          <w:rFonts w:ascii="Arial" w:hAnsi="Arial" w:cs="Arial"/>
          <w:lang w:val="en-IN"/>
        </w:rPr>
        <w:t xml:space="preserve">To examine the relationships between convergent thinking and academic </w:t>
      </w:r>
      <w:r w:rsidR="0007634D" w:rsidRPr="00AC0F84">
        <w:rPr>
          <w:rFonts w:ascii="Arial" w:hAnsi="Arial" w:cs="Arial"/>
          <w:lang w:val="en-IN"/>
        </w:rPr>
        <w:t xml:space="preserve">achievement </w:t>
      </w:r>
      <w:r w:rsidR="0007634D">
        <w:rPr>
          <w:rFonts w:ascii="Arial" w:hAnsi="Arial" w:cs="Arial"/>
          <w:lang w:val="en-IN"/>
        </w:rPr>
        <w:t>in</w:t>
      </w:r>
      <w:r w:rsidR="00E0058B">
        <w:rPr>
          <w:rFonts w:ascii="Arial" w:hAnsi="Arial" w:cs="Arial"/>
          <w:lang w:val="en-IN"/>
        </w:rPr>
        <w:t xml:space="preserve"> mathematics </w:t>
      </w:r>
      <w:r w:rsidRPr="00AC0F84">
        <w:rPr>
          <w:rFonts w:ascii="Arial" w:hAnsi="Arial" w:cs="Arial"/>
          <w:lang w:val="en-IN"/>
        </w:rPr>
        <w:t>of Higher Secondary students.</w:t>
      </w:r>
      <w:bookmarkEnd w:id="4"/>
    </w:p>
    <w:p w14:paraId="6D525B6A" w14:textId="77777777" w:rsidR="006D458C" w:rsidRPr="00F375DB" w:rsidRDefault="006D458C" w:rsidP="00F375DB">
      <w:pPr>
        <w:pStyle w:val="Body"/>
        <w:rPr>
          <w:rFonts w:ascii="Arial" w:hAnsi="Arial" w:cs="Arial"/>
        </w:rPr>
      </w:pPr>
    </w:p>
    <w:p w14:paraId="06078935" w14:textId="77777777" w:rsidR="00F375DB" w:rsidRPr="007E25DC" w:rsidRDefault="00F375DB" w:rsidP="00F375DB">
      <w:pPr>
        <w:pStyle w:val="Body"/>
        <w:rPr>
          <w:rFonts w:ascii="Arial" w:hAnsi="Arial" w:cs="Arial"/>
          <w:b/>
          <w:bCs/>
          <w:sz w:val="22"/>
          <w:szCs w:val="22"/>
        </w:rPr>
      </w:pPr>
      <w:r w:rsidRPr="007E25DC">
        <w:rPr>
          <w:rFonts w:ascii="Arial" w:hAnsi="Arial" w:cs="Arial"/>
          <w:b/>
          <w:bCs/>
          <w:sz w:val="22"/>
          <w:szCs w:val="22"/>
        </w:rPr>
        <w:t>Review of related literature:</w:t>
      </w:r>
    </w:p>
    <w:p w14:paraId="6A2775B7" w14:textId="77777777" w:rsidR="00F375DB" w:rsidRPr="00F375DB" w:rsidRDefault="00F375DB" w:rsidP="00F375DB">
      <w:pPr>
        <w:pStyle w:val="Body"/>
        <w:rPr>
          <w:rFonts w:ascii="Arial" w:hAnsi="Arial" w:cs="Arial"/>
        </w:rPr>
      </w:pPr>
      <w:r w:rsidRPr="00F375DB">
        <w:rPr>
          <w:rFonts w:ascii="Arial" w:hAnsi="Arial" w:cs="Arial"/>
        </w:rPr>
        <w:t xml:space="preserve">Cohen (1975) explored how convergent and divergent thinking in science are related among sixth and seventh-grade students. The study found a positive correlation between divergent and convergent thinking test scores in science for 92 sixth graders, but no such correlation was observed for 97 seventh graders. Seventh graders scored higher on the convergent thinking test compared to sixth graders, while the opposite was true for the divergent thinking test. These findings suggest that the relationship between convergent and divergent thinking in scientific contexts may change as students’ progress academically. The lack of correlation in seventh graders could indicate a shift in cognitive processes or the development of more specialized cognitive skills. </w:t>
      </w:r>
    </w:p>
    <w:p w14:paraId="06DBE7EB" w14:textId="77777777" w:rsidR="00F375DB" w:rsidRDefault="00F375DB" w:rsidP="00F375DB">
      <w:pPr>
        <w:pStyle w:val="Body"/>
        <w:rPr>
          <w:rFonts w:ascii="Arial" w:hAnsi="Arial" w:cs="Arial"/>
        </w:rPr>
      </w:pPr>
      <w:r w:rsidRPr="00F375DB">
        <w:rPr>
          <w:rFonts w:ascii="Arial" w:hAnsi="Arial" w:cs="Arial"/>
        </w:rPr>
        <w:t xml:space="preserve">Pepler and Ross (1981) in their study explored the </w:t>
      </w:r>
      <w:proofErr w:type="spellStart"/>
      <w:r w:rsidRPr="00F375DB">
        <w:rPr>
          <w:rFonts w:ascii="Arial" w:hAnsi="Arial" w:cs="Arial"/>
        </w:rPr>
        <w:t>behaviours</w:t>
      </w:r>
      <w:proofErr w:type="spellEnd"/>
      <w:r w:rsidRPr="00F375DB">
        <w:rPr>
          <w:rFonts w:ascii="Arial" w:hAnsi="Arial" w:cs="Arial"/>
        </w:rPr>
        <w:t xml:space="preserve"> associated with playing with materials that encourage either convergent or divergent thinking, as well as how these play experiences impact problem-solving abilities in both areas. The researchers provided two distinct play experiences: one involving convergent materials, which guide play towards a single solution, such as solving puzzles, and the other involving divergent materials, which allow for a range of play activities. After engaging in these play experiences, the children were tasked with solving both convergent and divergent problems. Notable differences were observed in how children played with convergent versus divergent materials, and these differences were consistently replicated. The group that played with divergent materials </w:t>
      </w:r>
      <w:r w:rsidRPr="00F375DB">
        <w:rPr>
          <w:rFonts w:ascii="Arial" w:hAnsi="Arial" w:cs="Arial"/>
        </w:rPr>
        <w:lastRenderedPageBreak/>
        <w:t>outperformed both the convergent and control groups on tasks requiring divergent thinking, while the convergent group demonstrated a greater use of strategic moves when tackling convergent tasks.</w:t>
      </w:r>
    </w:p>
    <w:p w14:paraId="7443ED99" w14:textId="73A35D21" w:rsidR="007250AD" w:rsidRPr="00F375DB" w:rsidRDefault="007250AD" w:rsidP="00F375DB">
      <w:pPr>
        <w:pStyle w:val="Body"/>
        <w:rPr>
          <w:rFonts w:ascii="Arial" w:hAnsi="Arial" w:cs="Arial"/>
        </w:rPr>
      </w:pPr>
      <w:r w:rsidRPr="007250AD">
        <w:rPr>
          <w:rFonts w:ascii="Arial" w:hAnsi="Arial" w:cs="Arial"/>
        </w:rPr>
        <w:t>Rajaguru (1996) conducted a study on divergent and convergent thinking of visually impaired children in secondary schools. From the study it was found that no significant difference was noticed in the convergent thinking of visually impaired boys and girls. But significant difference was found between visually impaired boys and girls in divergent thinking. The visually impaired girls performed better than boys. The study also revealed that there was no substantial relationship between mental ability and divergent thinking of visually impaired children with born blindness and acquired blindness, but there was significant relationship between the convergent thinking and mental ability of visually impaired children with born blindness and acquired blindness.</w:t>
      </w:r>
    </w:p>
    <w:p w14:paraId="3D5CCE34" w14:textId="75E9ACB1" w:rsidR="00F375DB" w:rsidRPr="00F375DB" w:rsidRDefault="00F375DB" w:rsidP="00F375DB">
      <w:pPr>
        <w:pStyle w:val="Body"/>
        <w:rPr>
          <w:rFonts w:ascii="Arial" w:hAnsi="Arial" w:cs="Arial"/>
        </w:rPr>
      </w:pPr>
      <w:r w:rsidRPr="00F375DB">
        <w:rPr>
          <w:rFonts w:ascii="Arial" w:hAnsi="Arial" w:cs="Arial"/>
        </w:rPr>
        <w:t xml:space="preserve">According to research </w:t>
      </w:r>
      <w:r w:rsidRPr="0020308D">
        <w:rPr>
          <w:rFonts w:ascii="Arial" w:hAnsi="Arial" w:cs="Arial"/>
        </w:rPr>
        <w:t>study by Cropley (20</w:t>
      </w:r>
      <w:r w:rsidR="0020308D" w:rsidRPr="0020308D">
        <w:rPr>
          <w:rFonts w:ascii="Arial" w:hAnsi="Arial" w:cs="Arial"/>
        </w:rPr>
        <w:t>06</w:t>
      </w:r>
      <w:r w:rsidRPr="0020308D">
        <w:rPr>
          <w:rFonts w:ascii="Arial" w:hAnsi="Arial" w:cs="Arial"/>
        </w:rPr>
        <w:t>)</w:t>
      </w:r>
      <w:r w:rsidRPr="00F375DB">
        <w:rPr>
          <w:rFonts w:ascii="Arial" w:hAnsi="Arial" w:cs="Arial"/>
        </w:rPr>
        <w:t xml:space="preserve"> titled "In praise of convergent thinking," creative thinking appears to consist of two parts: the creation of novelty (through divergent thinking) and the assessment of the novelty (through convergent thinking). Knowledge is very significant in the field of convergent thinking since it generates ideas, offers solutions, and establishes standards for originality and efficacy. Thinking styles or stages in the creation of creative products can be used to understand how the two ways of thinking interact. Divergent thinking without convergent thinking can lead to a number of issues in real-world scenarios</w:t>
      </w:r>
    </w:p>
    <w:p w14:paraId="2C5F84B2" w14:textId="77777777" w:rsidR="00F375DB" w:rsidRPr="00F375DB" w:rsidRDefault="00F375DB" w:rsidP="00F375DB">
      <w:pPr>
        <w:pStyle w:val="Body"/>
        <w:rPr>
          <w:rFonts w:ascii="Arial" w:hAnsi="Arial" w:cs="Arial"/>
        </w:rPr>
      </w:pPr>
      <w:r w:rsidRPr="00F375DB">
        <w:rPr>
          <w:rFonts w:ascii="Arial" w:hAnsi="Arial" w:cs="Arial"/>
        </w:rPr>
        <w:t>Joshua (2014) investigated how students past academic accomplishment shaped convergent thinking in Dodoma, Tanzania. The results of the study showed that students' performance on convergent thinking and their past academic achievement were moderately to strongly positively correlated. However, there was no discernible difference in the association between convergent thinking and past academic achievement depending on whether the school was located in an urban or rural area.</w:t>
      </w:r>
    </w:p>
    <w:p w14:paraId="67727867" w14:textId="77777777" w:rsidR="00F375DB" w:rsidRPr="00F375DB" w:rsidRDefault="00F375DB" w:rsidP="00F375DB">
      <w:pPr>
        <w:pStyle w:val="Body"/>
        <w:rPr>
          <w:rFonts w:ascii="Arial" w:hAnsi="Arial" w:cs="Arial"/>
        </w:rPr>
      </w:pPr>
      <w:r w:rsidRPr="00F375DB">
        <w:rPr>
          <w:rFonts w:ascii="Arial" w:hAnsi="Arial" w:cs="Arial"/>
        </w:rPr>
        <w:t xml:space="preserve">To find out how convergent and divergent thinking affect teenage scientific creativity, Zhu, W. </w:t>
      </w:r>
      <w:r w:rsidRPr="00746F43">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(2019) undertook a study titled Convergent Thinking Moderates the Relationship between Divergent Thinking and Scientific Creativity. The findings indicated a relationship between scientific creativity and the fluency and flexibility of divergent thinking and convergent thinking. Divergent thinking specifically indicated creativity in people with high convergent thinking.</w:t>
      </w:r>
    </w:p>
    <w:p w14:paraId="2D81FC28" w14:textId="012581F7" w:rsidR="00F375DB" w:rsidRPr="00F375DB" w:rsidRDefault="0020308D" w:rsidP="00F375DB">
      <w:pPr>
        <w:pStyle w:val="Body"/>
        <w:rPr>
          <w:rFonts w:ascii="Arial" w:hAnsi="Arial" w:cs="Arial"/>
        </w:rPr>
      </w:pPr>
      <w:r w:rsidRPr="0020308D">
        <w:rPr>
          <w:rFonts w:ascii="Arial" w:hAnsi="Arial" w:cs="Arial"/>
        </w:rPr>
        <w:t>De Vink</w:t>
      </w:r>
      <w:r w:rsidR="00F375DB" w:rsidRPr="0020308D">
        <w:rPr>
          <w:rFonts w:ascii="Arial" w:hAnsi="Arial" w:cs="Arial"/>
        </w:rPr>
        <w:t xml:space="preserve"> </w:t>
      </w:r>
      <w:r w:rsidR="00F375DB" w:rsidRPr="0020308D">
        <w:rPr>
          <w:rFonts w:ascii="Arial" w:hAnsi="Arial" w:cs="Arial"/>
          <w:i/>
          <w:iCs/>
        </w:rPr>
        <w:t>et</w:t>
      </w:r>
      <w:r w:rsidR="00F375DB" w:rsidRPr="0020308D">
        <w:rPr>
          <w:rFonts w:ascii="Arial" w:hAnsi="Arial" w:cs="Arial"/>
        </w:rPr>
        <w:t xml:space="preserve"> </w:t>
      </w:r>
      <w:r w:rsidR="00F375DB" w:rsidRPr="0020308D">
        <w:rPr>
          <w:rFonts w:ascii="Arial" w:hAnsi="Arial" w:cs="Arial"/>
          <w:i/>
          <w:iCs/>
        </w:rPr>
        <w:t>al.</w:t>
      </w:r>
      <w:r w:rsidR="00F375DB" w:rsidRPr="0020308D">
        <w:rPr>
          <w:rFonts w:ascii="Arial" w:hAnsi="Arial" w:cs="Arial"/>
        </w:rPr>
        <w:t xml:space="preserve"> (</w:t>
      </w:r>
      <w:r w:rsidR="00F375DB" w:rsidRPr="00E03875">
        <w:rPr>
          <w:rFonts w:ascii="Arial" w:hAnsi="Arial" w:cs="Arial"/>
        </w:rPr>
        <w:t>202</w:t>
      </w:r>
      <w:r w:rsidR="00E03875" w:rsidRPr="00E03875">
        <w:rPr>
          <w:rFonts w:ascii="Arial" w:hAnsi="Arial" w:cs="Arial"/>
        </w:rPr>
        <w:t>2</w:t>
      </w:r>
      <w:r w:rsidR="00F375DB" w:rsidRPr="0020308D">
        <w:rPr>
          <w:rFonts w:ascii="Arial" w:hAnsi="Arial" w:cs="Arial"/>
        </w:rPr>
        <w:t>)</w:t>
      </w:r>
      <w:r w:rsidR="00F375DB" w:rsidRPr="00F375DB">
        <w:rPr>
          <w:rFonts w:ascii="Arial" w:hAnsi="Arial" w:cs="Arial"/>
        </w:rPr>
        <w:t xml:space="preserve"> investigated creativity in mathematics performance: the role of divergent and convergent thinking. This study investigated how divergent and convergent thinking affect mathematics performance, both directly and collaboratively, on single- and multiple-solution tasks. According to the study, children's mathematical proficiency is primarily based on convergent thinking. Divergent thinking serves two purposes: it complements convergent thinking on multiple-solution problems and compensates for convergent thinking on single-solution tasks.</w:t>
      </w:r>
    </w:p>
    <w:p w14:paraId="6EB36438" w14:textId="77777777" w:rsidR="00F375DB" w:rsidRPr="00F375DB" w:rsidRDefault="00F375DB" w:rsidP="00F375DB">
      <w:pPr>
        <w:pStyle w:val="Body"/>
        <w:rPr>
          <w:rFonts w:ascii="Arial" w:hAnsi="Arial" w:cs="Arial"/>
        </w:rPr>
      </w:pPr>
      <w:r w:rsidRPr="00F375DB">
        <w:rPr>
          <w:rFonts w:ascii="Arial" w:hAnsi="Arial" w:cs="Arial"/>
        </w:rPr>
        <w:t xml:space="preserve">Cheng </w:t>
      </w:r>
      <w:r w:rsidRPr="00CA3734">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w:t>
      </w:r>
      <w:r w:rsidRPr="000A1E3C">
        <w:rPr>
          <w:rFonts w:ascii="Arial" w:hAnsi="Arial" w:cs="Arial"/>
        </w:rPr>
        <w:t>(2022</w:t>
      </w:r>
      <w:r w:rsidRPr="00F375DB">
        <w:rPr>
          <w:rFonts w:ascii="Arial" w:hAnsi="Arial" w:cs="Arial"/>
        </w:rPr>
        <w:t xml:space="preserve">) investigated the impact of the social-emotional classroom atmosphere on academic achievement in mathematics and literature among elementary children in grades 3–6. The study primarily examines the indirect influence of creative thinking (convergent and divergent thinking). The findings show that in mathematics and literature classrooms, (1) the social-emotional environment has a </w:t>
      </w:r>
      <w:proofErr w:type="spellStart"/>
      <w:r w:rsidRPr="00F375DB">
        <w:rPr>
          <w:rFonts w:ascii="Arial" w:hAnsi="Arial" w:cs="Arial"/>
        </w:rPr>
        <w:t>favourable</w:t>
      </w:r>
      <w:proofErr w:type="spellEnd"/>
      <w:r w:rsidRPr="00F375DB">
        <w:rPr>
          <w:rFonts w:ascii="Arial" w:hAnsi="Arial" w:cs="Arial"/>
        </w:rPr>
        <w:t xml:space="preserve"> effect on student accomplishment, and (2) divergent and convergent thinking play indirect roles in the relationship between social-emotional climate and academic achievement.</w:t>
      </w:r>
    </w:p>
    <w:p w14:paraId="7318A270" w14:textId="5D96D9C0" w:rsidR="00F375DB" w:rsidRPr="00F375DB" w:rsidRDefault="00F375DB" w:rsidP="00F375DB">
      <w:pPr>
        <w:pStyle w:val="Body"/>
        <w:rPr>
          <w:rFonts w:ascii="Arial" w:hAnsi="Arial" w:cs="Arial"/>
        </w:rPr>
      </w:pPr>
      <w:r w:rsidRPr="00F375DB">
        <w:rPr>
          <w:rFonts w:ascii="Arial" w:hAnsi="Arial" w:cs="Arial"/>
        </w:rPr>
        <w:lastRenderedPageBreak/>
        <w:t xml:space="preserve">Duval </w:t>
      </w:r>
      <w:r w:rsidRPr="00CA3734">
        <w:rPr>
          <w:rFonts w:ascii="Arial" w:hAnsi="Arial" w:cs="Arial"/>
          <w:i/>
          <w:iCs/>
        </w:rPr>
        <w:t>et</w:t>
      </w:r>
      <w:r w:rsidRPr="00F375DB">
        <w:rPr>
          <w:rFonts w:ascii="Arial" w:hAnsi="Arial" w:cs="Arial"/>
        </w:rPr>
        <w:t xml:space="preserve"> </w:t>
      </w:r>
      <w:r w:rsidRPr="00746F43">
        <w:rPr>
          <w:rFonts w:ascii="Arial" w:hAnsi="Arial" w:cs="Arial"/>
          <w:i/>
          <w:iCs/>
        </w:rPr>
        <w:t>al.</w:t>
      </w:r>
      <w:r w:rsidRPr="00F375DB">
        <w:rPr>
          <w:rFonts w:ascii="Arial" w:hAnsi="Arial" w:cs="Arial"/>
        </w:rPr>
        <w:t xml:space="preserve"> (</w:t>
      </w:r>
      <w:r w:rsidRPr="000A1E3C">
        <w:rPr>
          <w:rFonts w:ascii="Arial" w:hAnsi="Arial" w:cs="Arial"/>
        </w:rPr>
        <w:t>2022</w:t>
      </w:r>
      <w:r w:rsidRPr="00F375DB">
        <w:rPr>
          <w:rFonts w:ascii="Arial" w:hAnsi="Arial" w:cs="Arial"/>
        </w:rPr>
        <w:t xml:space="preserve">) did a study titled Divergent and Convergent Thinking across Schoolyears: A Dynamic Perspective on Creative Development. The findings demonstrated dynamic stages of convergent and divergent thinking. More specifically, a loss of divergent thinking was matched by an increase in convergent thinking, particularly during the </w:t>
      </w:r>
      <w:r w:rsidR="00CA3734">
        <w:rPr>
          <w:rFonts w:ascii="Arial" w:hAnsi="Arial" w:cs="Arial"/>
        </w:rPr>
        <w:t>fourth-grade</w:t>
      </w:r>
      <w:r w:rsidRPr="00F375DB">
        <w:rPr>
          <w:rFonts w:ascii="Arial" w:hAnsi="Arial" w:cs="Arial"/>
        </w:rPr>
        <w:t xml:space="preserve"> slump (8-10 years old). Although Montessori-schooled children demonstrated more overall creative abilities than traditionally schooled children, there were no changes in the developmental trajectories of convergent and divergent thinking between the two pedagogies.</w:t>
      </w:r>
    </w:p>
    <w:p w14:paraId="131CAAAF" w14:textId="77777777" w:rsidR="00F375DB" w:rsidRPr="00F375DB" w:rsidRDefault="00F375DB" w:rsidP="00F375DB">
      <w:pPr>
        <w:pStyle w:val="Body"/>
        <w:rPr>
          <w:rFonts w:ascii="Arial" w:hAnsi="Arial" w:cs="Arial"/>
        </w:rPr>
      </w:pPr>
      <w:r w:rsidRPr="00F375DB">
        <w:rPr>
          <w:rFonts w:ascii="Arial" w:hAnsi="Arial" w:cs="Arial"/>
        </w:rPr>
        <w:t xml:space="preserve">Alabbassi </w:t>
      </w:r>
      <w:r w:rsidRPr="00746F43">
        <w:rPr>
          <w:rFonts w:ascii="Arial" w:hAnsi="Arial" w:cs="Arial"/>
          <w:i/>
          <w:iCs/>
        </w:rPr>
        <w:t>et al.</w:t>
      </w:r>
      <w:r w:rsidRPr="00F375DB">
        <w:rPr>
          <w:rFonts w:ascii="Arial" w:hAnsi="Arial" w:cs="Arial"/>
        </w:rPr>
        <w:t xml:space="preserve"> (2023) explored the predictors of academic achievement in undergraduate medical programs, specifically the roles of divergent and convergent thinking. The study found that the DT's originality dimension, as well as the WG-III's Drawing Conclusions and Recognizing Assumptions subscales, were strongly linked with and predictive of academic achievement among gifted undergraduate MD students. Notably, IQ did not have a significant correlation with kids' grade point average.</w:t>
      </w:r>
    </w:p>
    <w:p w14:paraId="6EAAD9DC" w14:textId="77777777" w:rsidR="00F375DB" w:rsidRPr="00FB3A86" w:rsidRDefault="00F375DB" w:rsidP="00F375DB">
      <w:pPr>
        <w:pStyle w:val="Body"/>
        <w:spacing w:after="0"/>
        <w:rPr>
          <w:rFonts w:ascii="Arial" w:hAnsi="Arial" w:cs="Arial"/>
        </w:rPr>
      </w:pPr>
    </w:p>
    <w:p w14:paraId="08C38CFC" w14:textId="0A3F7D9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57EE4C6" w14:textId="77777777" w:rsidR="00790ADA" w:rsidRDefault="00790ADA" w:rsidP="00441B6F">
      <w:pPr>
        <w:pStyle w:val="Body"/>
        <w:spacing w:after="0"/>
        <w:rPr>
          <w:rFonts w:ascii="Arial" w:hAnsi="Arial" w:cs="Arial"/>
        </w:rPr>
      </w:pPr>
    </w:p>
    <w:p w14:paraId="291F3F09" w14:textId="77777777" w:rsidR="00AC0F84" w:rsidRPr="00AC0F84" w:rsidRDefault="00AC0F84" w:rsidP="00AC0F84">
      <w:pPr>
        <w:pStyle w:val="Body"/>
        <w:spacing w:after="0"/>
        <w:ind w:left="720"/>
        <w:rPr>
          <w:rFonts w:ascii="Arial" w:hAnsi="Arial" w:cs="Arial"/>
          <w:lang w:val="en-IN"/>
        </w:rPr>
      </w:pPr>
    </w:p>
    <w:p w14:paraId="4A803742" w14:textId="067D8A6D"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1</w:t>
      </w:r>
      <w:r w:rsidRPr="00AC0F84">
        <w:rPr>
          <w:rFonts w:ascii="Arial" w:hAnsi="Arial" w:cs="Arial"/>
          <w:b/>
          <w:bCs/>
          <w:sz w:val="22"/>
          <w:szCs w:val="22"/>
          <w:lang w:val="en-IN"/>
        </w:rPr>
        <w:t xml:space="preserve"> Methodology</w:t>
      </w:r>
    </w:p>
    <w:p w14:paraId="33D4A8DB" w14:textId="5AF51158" w:rsidR="00AC0F84" w:rsidRPr="00AC0F84" w:rsidRDefault="00AC0F84" w:rsidP="00AC0F84">
      <w:pPr>
        <w:pStyle w:val="Body"/>
        <w:rPr>
          <w:rFonts w:ascii="Arial" w:hAnsi="Arial" w:cs="Arial"/>
          <w:lang w:val="en-IN"/>
        </w:rPr>
      </w:pPr>
      <w:r w:rsidRPr="00AC0F84">
        <w:rPr>
          <w:rFonts w:ascii="Arial" w:hAnsi="Arial" w:cs="Arial"/>
          <w:lang w:val="en-IN"/>
        </w:rPr>
        <w:t>The present study aims to study the relationship between convergent thinking and academic achievement</w:t>
      </w:r>
      <w:r w:rsidR="00A927E9">
        <w:rPr>
          <w:rFonts w:ascii="Arial" w:hAnsi="Arial" w:cs="Arial"/>
          <w:lang w:val="en-IN"/>
        </w:rPr>
        <w:t xml:space="preserve"> in mathematics</w:t>
      </w:r>
      <w:r w:rsidRPr="00AC0F84">
        <w:rPr>
          <w:rFonts w:ascii="Arial" w:hAnsi="Arial" w:cs="Arial"/>
          <w:lang w:val="en-IN"/>
        </w:rPr>
        <w:t>. The researcher employed descriptive survey method because the researcher wants to obtain pertinent and precise information concerning the current status of phenomena.</w:t>
      </w:r>
    </w:p>
    <w:p w14:paraId="005EB726"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A descriptive study describes and interprets what is. It is concerned with conditions or relationships that exist between variables. It is fundamentally concerned with the present, although it often considers past events and their influences as they relate to current conditions. Descriptive research also deals with the relationship between variables, testing of hypothesis and the development of generalizations, principles or theories that have universal validity (Best; Kahn &amp; Jha; 2016). </w:t>
      </w:r>
    </w:p>
    <w:p w14:paraId="4CA4DB43" w14:textId="096BAB88"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2</w:t>
      </w:r>
      <w:r w:rsidRPr="00AC0F84">
        <w:rPr>
          <w:rFonts w:ascii="Arial" w:hAnsi="Arial" w:cs="Arial"/>
          <w:b/>
          <w:bCs/>
          <w:sz w:val="22"/>
          <w:szCs w:val="22"/>
          <w:lang w:val="en-IN"/>
        </w:rPr>
        <w:t xml:space="preserve"> Population and sample</w:t>
      </w:r>
    </w:p>
    <w:p w14:paraId="6B7C647E" w14:textId="77777777" w:rsidR="00AC0F84" w:rsidRPr="00AC0F84" w:rsidRDefault="00AC0F84" w:rsidP="00AC0F84">
      <w:pPr>
        <w:pStyle w:val="Body"/>
        <w:rPr>
          <w:rFonts w:ascii="Arial" w:hAnsi="Arial" w:cs="Arial"/>
          <w:lang w:val="en-IN"/>
        </w:rPr>
      </w:pPr>
      <w:r w:rsidRPr="00AC0F84">
        <w:rPr>
          <w:rFonts w:ascii="Arial" w:hAnsi="Arial" w:cs="Arial"/>
          <w:lang w:val="en-IN"/>
        </w:rPr>
        <w:t>A population is any group of individuals that has one or more characteristics in common which distinguishes that group from other individuals and that are of interest to the researcher. The primary purpose of research is to discover principles that have universal application, but is impractical, if not impossible to study the entire population in order to arrive at generalizations.</w:t>
      </w:r>
    </w:p>
    <w:p w14:paraId="1E28251F"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The present study is confined to </w:t>
      </w:r>
      <w:proofErr w:type="spellStart"/>
      <w:r w:rsidRPr="00AC0F84">
        <w:rPr>
          <w:rFonts w:ascii="Arial" w:hAnsi="Arial" w:cs="Arial"/>
          <w:lang w:val="en-IN"/>
        </w:rPr>
        <w:t>Kamrup</w:t>
      </w:r>
      <w:proofErr w:type="spellEnd"/>
      <w:r w:rsidRPr="00AC0F84">
        <w:rPr>
          <w:rFonts w:ascii="Arial" w:hAnsi="Arial" w:cs="Arial"/>
          <w:lang w:val="en-IN"/>
        </w:rPr>
        <w:t xml:space="preserve"> Metro district of Assam only. The population of the study is comprised of all the students studying in H.S. 1st year (Class XI) in the Government Provincialized higher secondary schools situated at </w:t>
      </w:r>
      <w:proofErr w:type="spellStart"/>
      <w:r w:rsidRPr="00AC0F84">
        <w:rPr>
          <w:rFonts w:ascii="Arial" w:hAnsi="Arial" w:cs="Arial"/>
          <w:lang w:val="en-IN"/>
        </w:rPr>
        <w:t>Kamrup</w:t>
      </w:r>
      <w:proofErr w:type="spellEnd"/>
      <w:r w:rsidRPr="00AC0F84">
        <w:rPr>
          <w:rFonts w:ascii="Arial" w:hAnsi="Arial" w:cs="Arial"/>
          <w:lang w:val="en-IN"/>
        </w:rPr>
        <w:t xml:space="preserve"> Metro district. After defining the population 100 HS students were selected as sample of the study from 3 schools of </w:t>
      </w:r>
      <w:proofErr w:type="spellStart"/>
      <w:r w:rsidRPr="00AC0F84">
        <w:rPr>
          <w:rFonts w:ascii="Arial" w:hAnsi="Arial" w:cs="Arial"/>
          <w:lang w:val="en-IN"/>
        </w:rPr>
        <w:t>Kamrup</w:t>
      </w:r>
      <w:proofErr w:type="spellEnd"/>
      <w:r w:rsidRPr="00AC0F84">
        <w:rPr>
          <w:rFonts w:ascii="Arial" w:hAnsi="Arial" w:cs="Arial"/>
          <w:lang w:val="en-IN"/>
        </w:rPr>
        <w:t xml:space="preserve"> Metro by using multi stage random sampling.</w:t>
      </w:r>
    </w:p>
    <w:p w14:paraId="0524C6BF" w14:textId="58F036A6" w:rsidR="00AC0F84" w:rsidRPr="00AC0F84" w:rsidRDefault="00AC0F84" w:rsidP="00AC0F84">
      <w:pPr>
        <w:pStyle w:val="Body"/>
        <w:jc w:val="left"/>
        <w:rPr>
          <w:rFonts w:ascii="Arial" w:hAnsi="Arial" w:cs="Arial"/>
          <w:b/>
          <w:bCs/>
          <w:sz w:val="22"/>
          <w:szCs w:val="22"/>
          <w:lang w:val="en-IN"/>
        </w:rPr>
      </w:pPr>
      <w:r w:rsidRPr="00AC0F84">
        <w:rPr>
          <w:rFonts w:ascii="Arial" w:hAnsi="Arial" w:cs="Arial"/>
          <w:b/>
          <w:bCs/>
          <w:sz w:val="22"/>
          <w:szCs w:val="22"/>
          <w:lang w:val="en-IN"/>
        </w:rPr>
        <w:t>2.</w:t>
      </w:r>
      <w:r w:rsidR="006D458C">
        <w:rPr>
          <w:rFonts w:ascii="Arial" w:hAnsi="Arial" w:cs="Arial"/>
          <w:b/>
          <w:bCs/>
          <w:sz w:val="22"/>
          <w:szCs w:val="22"/>
          <w:lang w:val="en-IN"/>
        </w:rPr>
        <w:t>3</w:t>
      </w:r>
      <w:r w:rsidRPr="00AC0F84">
        <w:rPr>
          <w:rFonts w:ascii="Arial" w:hAnsi="Arial" w:cs="Arial"/>
          <w:b/>
          <w:bCs/>
          <w:sz w:val="22"/>
          <w:szCs w:val="22"/>
          <w:lang w:val="en-IN"/>
        </w:rPr>
        <w:t xml:space="preserve"> Tools for data collection</w:t>
      </w:r>
    </w:p>
    <w:p w14:paraId="6EE92E81"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The Convergent thinking ability scale was developed and standardized by the investigator. The present test was devised to investigate the underlying cognitive processes involved in convergent thinking. This test is meant for assessing the convergent thinking ability of pupils </w:t>
      </w:r>
      <w:r w:rsidRPr="00AC0F84">
        <w:rPr>
          <w:rFonts w:ascii="Arial" w:hAnsi="Arial" w:cs="Arial"/>
          <w:lang w:val="en-IN"/>
        </w:rPr>
        <w:lastRenderedPageBreak/>
        <w:t>of age group 14-18 years studying in class IX to XII. The Convergent Thinking Ability Scale contains six tests for measurement of six abilities- Following directions, Classification, Analogies, Arithmetic reasoning, Vocabulary &amp; Series.</w:t>
      </w:r>
    </w:p>
    <w:p w14:paraId="02A9EFA5" w14:textId="529137AA" w:rsidR="00AC0F84" w:rsidRPr="00AC0F84" w:rsidRDefault="00AC0F84" w:rsidP="00AC0F84">
      <w:pPr>
        <w:pStyle w:val="Body"/>
        <w:jc w:val="left"/>
        <w:rPr>
          <w:rFonts w:ascii="Arial" w:hAnsi="Arial" w:cs="Arial"/>
          <w:b/>
          <w:bCs/>
          <w:u w:val="single"/>
          <w:lang w:val="en-IN"/>
        </w:rPr>
      </w:pPr>
      <w:r w:rsidRPr="00AC0F84">
        <w:rPr>
          <w:rFonts w:ascii="Arial" w:hAnsi="Arial" w:cs="Arial"/>
          <w:b/>
          <w:bCs/>
          <w:u w:val="single"/>
          <w:lang w:val="en-IN"/>
        </w:rPr>
        <w:t>2.</w:t>
      </w:r>
      <w:r w:rsidR="006D458C">
        <w:rPr>
          <w:rFonts w:ascii="Arial" w:hAnsi="Arial" w:cs="Arial"/>
          <w:b/>
          <w:bCs/>
          <w:u w:val="single"/>
          <w:lang w:val="en-IN"/>
        </w:rPr>
        <w:t>3</w:t>
      </w:r>
      <w:r w:rsidRPr="00AC0F84">
        <w:rPr>
          <w:rFonts w:ascii="Arial" w:hAnsi="Arial" w:cs="Arial"/>
          <w:b/>
          <w:bCs/>
          <w:u w:val="single"/>
          <w:lang w:val="en-IN"/>
        </w:rPr>
        <w:t>.1 Reliability</w:t>
      </w:r>
    </w:p>
    <w:p w14:paraId="4C5B4C41" w14:textId="77777777" w:rsidR="00AC0F84" w:rsidRPr="00AC0F84" w:rsidRDefault="00AC0F84" w:rsidP="00AC0F84">
      <w:pPr>
        <w:pStyle w:val="Body"/>
        <w:rPr>
          <w:rFonts w:ascii="Arial" w:hAnsi="Arial" w:cs="Arial"/>
          <w:lang w:val="en-IN"/>
        </w:rPr>
      </w:pPr>
      <w:r w:rsidRPr="00AC0F84">
        <w:rPr>
          <w:rFonts w:ascii="Arial" w:hAnsi="Arial" w:cs="Arial"/>
          <w:lang w:val="en-IN"/>
        </w:rPr>
        <w:t>One of the important characteristics of research tool is reliability. Cronbach's alpha is commonly used in psychology, education, and other social sciences to assess the reliability of questionnaires, scales, or tests. Internal consistency, as measured by Cronbach's alpha reliability coefficient, is a statistical measure used to assess the extent to which the items within a test or scale are measuring the same underlying construct or trait. In other words, it evaluates the consistency of responses across different items in a questionnaire or test.</w:t>
      </w:r>
    </w:p>
    <w:p w14:paraId="6589461C" w14:textId="77777777" w:rsidR="00AC0F84" w:rsidRPr="00AC0F84" w:rsidRDefault="00AC0F84" w:rsidP="00AC0F84">
      <w:pPr>
        <w:pStyle w:val="Body"/>
        <w:rPr>
          <w:rFonts w:ascii="Arial" w:hAnsi="Arial" w:cs="Arial"/>
          <w:lang w:val="en-IN"/>
        </w:rPr>
      </w:pPr>
      <w:r w:rsidRPr="00AC0F84">
        <w:rPr>
          <w:rFonts w:ascii="Arial" w:hAnsi="Arial" w:cs="Arial"/>
          <w:lang w:val="en-IN"/>
        </w:rPr>
        <w:t xml:space="preserve">In the present scale the researcher used Cronbach alpha for determining the reliability. The overall reliability of this scale was 0.82. </w:t>
      </w:r>
    </w:p>
    <w:p w14:paraId="5E53919D" w14:textId="5BD3DA09" w:rsidR="00AC0F84" w:rsidRPr="00AC0F84" w:rsidRDefault="00AC0F84" w:rsidP="00AC0F84">
      <w:pPr>
        <w:pStyle w:val="Body"/>
        <w:jc w:val="left"/>
        <w:rPr>
          <w:rFonts w:ascii="Arial" w:hAnsi="Arial" w:cs="Arial"/>
          <w:b/>
          <w:bCs/>
          <w:u w:val="single"/>
          <w:lang w:val="en-IN"/>
        </w:rPr>
      </w:pPr>
      <w:r w:rsidRPr="00AC0F84">
        <w:rPr>
          <w:rFonts w:ascii="Arial" w:hAnsi="Arial" w:cs="Arial"/>
          <w:b/>
          <w:bCs/>
          <w:u w:val="single"/>
          <w:lang w:val="en-IN"/>
        </w:rPr>
        <w:t>2.</w:t>
      </w:r>
      <w:r w:rsidR="006D458C">
        <w:rPr>
          <w:rFonts w:ascii="Arial" w:hAnsi="Arial" w:cs="Arial"/>
          <w:b/>
          <w:bCs/>
          <w:u w:val="single"/>
          <w:lang w:val="en-IN"/>
        </w:rPr>
        <w:t>3</w:t>
      </w:r>
      <w:r w:rsidRPr="00AC0F84">
        <w:rPr>
          <w:rFonts w:ascii="Arial" w:hAnsi="Arial" w:cs="Arial"/>
          <w:b/>
          <w:bCs/>
          <w:u w:val="single"/>
          <w:lang w:val="en-IN"/>
        </w:rPr>
        <w:t>.2 Validity</w:t>
      </w:r>
    </w:p>
    <w:p w14:paraId="71830209" w14:textId="6C072C86" w:rsidR="00790ADA" w:rsidRDefault="00AC0F84" w:rsidP="00AC0F84">
      <w:pPr>
        <w:pStyle w:val="Body"/>
        <w:rPr>
          <w:rFonts w:ascii="Arial" w:hAnsi="Arial" w:cs="Arial"/>
          <w:lang w:val="en-IN"/>
        </w:rPr>
      </w:pPr>
      <w:r w:rsidRPr="00AC0F84">
        <w:rPr>
          <w:rFonts w:ascii="Arial" w:hAnsi="Arial" w:cs="Arial"/>
          <w:lang w:val="en-IN"/>
        </w:rPr>
        <w:t>A test is valid to the degree to which it measures accurately what it proposes to measure. It means how a tool is true to measures what it is supposed to measure. The content validity was determined by comparing the items in a test with the content and objective of the test. For the present tool content validity is established by examining each item of the scale by expert in this field. Intrinsic validity was found to be 0.92 which is the square root of the reliability coefficient measured through Spearman Brown Formula. From this it can be considered that the test measures what it determines to the extent of 92%; thus, the validity of the scale can be considered to be 0.92.</w:t>
      </w:r>
    </w:p>
    <w:p w14:paraId="5DA77BE0" w14:textId="374ADB2E" w:rsidR="00A927E9" w:rsidRPr="00AC0F84" w:rsidRDefault="00A927E9" w:rsidP="00AC0F84">
      <w:pPr>
        <w:pStyle w:val="Body"/>
        <w:rPr>
          <w:rFonts w:ascii="Arial" w:hAnsi="Arial" w:cs="Arial"/>
          <w:lang w:val="en-IN"/>
        </w:rPr>
      </w:pPr>
      <w:r>
        <w:rPr>
          <w:rFonts w:ascii="Arial" w:eastAsia="Calibri" w:hAnsi="Arial" w:cs="Arial"/>
          <w:szCs w:val="22"/>
          <w:lang w:val="en-IN"/>
        </w:rPr>
        <w:t>T</w:t>
      </w:r>
      <w:r w:rsidRPr="00CA15B8">
        <w:rPr>
          <w:rFonts w:ascii="Arial" w:eastAsia="Calibri" w:hAnsi="Arial" w:cs="Arial"/>
          <w:szCs w:val="22"/>
          <w:lang w:val="en-IN"/>
        </w:rPr>
        <w:t>he students' scores on the HSSLC exam were used to measure their academic achievement</w:t>
      </w:r>
      <w:r>
        <w:rPr>
          <w:rFonts w:ascii="Arial" w:eastAsia="Calibri" w:hAnsi="Arial" w:cs="Arial"/>
          <w:szCs w:val="22"/>
          <w:lang w:val="en-IN"/>
        </w:rPr>
        <w:t xml:space="preserve"> in mathematics.</w:t>
      </w:r>
    </w:p>
    <w:p w14:paraId="49F20C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5E20649" w14:textId="77777777" w:rsidR="00790ADA" w:rsidRPr="00FB3A86" w:rsidRDefault="00790ADA" w:rsidP="00441B6F">
      <w:pPr>
        <w:pStyle w:val="Head1"/>
        <w:spacing w:after="0"/>
        <w:jc w:val="both"/>
        <w:rPr>
          <w:rFonts w:ascii="Arial" w:hAnsi="Arial" w:cs="Arial"/>
        </w:rPr>
      </w:pPr>
    </w:p>
    <w:p w14:paraId="0584432A" w14:textId="583BC275" w:rsidR="00790ADA" w:rsidRPr="00BF349F" w:rsidRDefault="00BF349F" w:rsidP="00BF349F">
      <w:pPr>
        <w:pStyle w:val="Body"/>
        <w:rPr>
          <w:rFonts w:ascii="Arial" w:hAnsi="Arial" w:cs="Arial"/>
          <w:b/>
          <w:bCs/>
          <w:sz w:val="22"/>
          <w:szCs w:val="22"/>
          <w:lang w:val="en-IN"/>
        </w:rPr>
      </w:pPr>
      <w:r>
        <w:rPr>
          <w:rFonts w:ascii="Arial" w:hAnsi="Arial" w:cs="Arial"/>
          <w:b/>
          <w:bCs/>
          <w:sz w:val="22"/>
          <w:szCs w:val="22"/>
          <w:lang w:val="en-IN"/>
        </w:rPr>
        <w:t xml:space="preserve">3.1 </w:t>
      </w:r>
      <w:r w:rsidRPr="00BF349F">
        <w:rPr>
          <w:rFonts w:ascii="Arial" w:hAnsi="Arial" w:cs="Arial"/>
          <w:b/>
          <w:bCs/>
          <w:sz w:val="22"/>
          <w:szCs w:val="22"/>
          <w:lang w:val="en-IN"/>
        </w:rPr>
        <w:t>Objective no 1: To find out the level of convergent thinking of higher secondary students.</w:t>
      </w:r>
    </w:p>
    <w:p w14:paraId="3E115C8D" w14:textId="281FCEBA" w:rsidR="00863BD3" w:rsidRDefault="009500A6" w:rsidP="00441B6F">
      <w:pPr>
        <w:tabs>
          <w:tab w:val="left" w:pos="1080"/>
        </w:tabs>
        <w:jc w:val="both"/>
        <w:rPr>
          <w:rFonts w:ascii="Arial" w:hAnsi="Arial"/>
          <w:b/>
        </w:rPr>
      </w:pPr>
      <w:r>
        <w:rPr>
          <w:rFonts w:ascii="Arial" w:hAnsi="Arial"/>
          <w:b/>
        </w:rPr>
        <w:t>Table 1.</w:t>
      </w:r>
      <w:r w:rsidR="00214A12">
        <w:rPr>
          <w:rFonts w:ascii="Arial" w:hAnsi="Arial"/>
          <w:b/>
        </w:rPr>
        <w:t xml:space="preserve"> Level of convergent thinking of higher educations</w:t>
      </w:r>
    </w:p>
    <w:p w14:paraId="3B187333" w14:textId="77777777" w:rsidR="00863BD3" w:rsidRPr="00DC3180" w:rsidRDefault="00863BD3" w:rsidP="00441B6F">
      <w:pPr>
        <w:tabs>
          <w:tab w:val="left" w:pos="1080"/>
        </w:tabs>
        <w:jc w:val="both"/>
        <w:rPr>
          <w:rFonts w:ascii="Arial" w:hAnsi="Arial"/>
          <w:b/>
        </w:rPr>
      </w:pPr>
    </w:p>
    <w:tbl>
      <w:tblPr>
        <w:tblW w:w="775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936"/>
        <w:gridCol w:w="2316"/>
        <w:gridCol w:w="1500"/>
      </w:tblGrid>
      <w:tr w:rsidR="00863BD3" w:rsidRPr="00DC3180" w14:paraId="4C802C8A" w14:textId="77777777" w:rsidTr="00C2711B">
        <w:trPr>
          <w:trHeight w:val="487"/>
          <w:jc w:val="center"/>
        </w:trPr>
        <w:tc>
          <w:tcPr>
            <w:tcW w:w="3936" w:type="dxa"/>
            <w:tcBorders>
              <w:bottom w:val="single" w:sz="4" w:space="0" w:color="auto"/>
            </w:tcBorders>
          </w:tcPr>
          <w:p w14:paraId="34084D89" w14:textId="07C1F219" w:rsidR="00863BD3" w:rsidRPr="00DC3180" w:rsidRDefault="00BF349F" w:rsidP="00441B6F">
            <w:pPr>
              <w:jc w:val="both"/>
              <w:rPr>
                <w:rFonts w:ascii="Arial" w:hAnsi="Arial"/>
                <w:b/>
                <w:bCs/>
              </w:rPr>
            </w:pPr>
            <w:r w:rsidRPr="00BF349F">
              <w:rPr>
                <w:rFonts w:ascii="Arial" w:hAnsi="Arial"/>
                <w:b/>
                <w:bCs/>
                <w:lang w:val="en-IN"/>
              </w:rPr>
              <w:t>Level of convergent thinking ability</w:t>
            </w:r>
          </w:p>
        </w:tc>
        <w:tc>
          <w:tcPr>
            <w:tcW w:w="2316" w:type="dxa"/>
            <w:tcBorders>
              <w:bottom w:val="single" w:sz="4" w:space="0" w:color="auto"/>
            </w:tcBorders>
          </w:tcPr>
          <w:p w14:paraId="3D934AB9" w14:textId="7F61BE32" w:rsidR="00863BD3" w:rsidRPr="00DC3180" w:rsidRDefault="00BF349F" w:rsidP="00BF349F">
            <w:pPr>
              <w:ind w:left="104" w:right="-128"/>
              <w:jc w:val="both"/>
              <w:rPr>
                <w:rFonts w:ascii="Arial" w:hAnsi="Arial"/>
                <w:b/>
                <w:bCs/>
              </w:rPr>
            </w:pPr>
            <w:r w:rsidRPr="00BF349F">
              <w:rPr>
                <w:rFonts w:ascii="Arial" w:hAnsi="Arial"/>
                <w:b/>
                <w:bCs/>
                <w:lang w:val="en-IN"/>
              </w:rPr>
              <w:t>No. of students</w:t>
            </w:r>
          </w:p>
        </w:tc>
        <w:tc>
          <w:tcPr>
            <w:tcW w:w="1500" w:type="dxa"/>
            <w:tcBorders>
              <w:bottom w:val="single" w:sz="4" w:space="0" w:color="auto"/>
            </w:tcBorders>
          </w:tcPr>
          <w:p w14:paraId="56A67FC2" w14:textId="4252270F" w:rsidR="00863BD3" w:rsidRPr="00DC3180" w:rsidRDefault="00BF349F" w:rsidP="00441B6F">
            <w:pPr>
              <w:jc w:val="both"/>
              <w:rPr>
                <w:rFonts w:ascii="Arial" w:hAnsi="Arial"/>
                <w:b/>
                <w:bCs/>
              </w:rPr>
            </w:pPr>
            <w:r>
              <w:rPr>
                <w:rFonts w:ascii="Arial" w:hAnsi="Arial"/>
                <w:b/>
                <w:bCs/>
              </w:rPr>
              <w:t>Percentage</w:t>
            </w:r>
          </w:p>
        </w:tc>
      </w:tr>
      <w:tr w:rsidR="00C2711B" w:rsidRPr="00DC3180" w14:paraId="4C75CBBC" w14:textId="77777777" w:rsidTr="00C2711B">
        <w:trPr>
          <w:trHeight w:val="314"/>
          <w:jc w:val="center"/>
        </w:trPr>
        <w:tc>
          <w:tcPr>
            <w:tcW w:w="3936" w:type="dxa"/>
            <w:tcBorders>
              <w:bottom w:val="nil"/>
            </w:tcBorders>
          </w:tcPr>
          <w:p w14:paraId="6F4AD643" w14:textId="72C40188" w:rsidR="00C2711B" w:rsidRPr="00EE1F41" w:rsidRDefault="00C2711B" w:rsidP="00C2711B">
            <w:pPr>
              <w:jc w:val="both"/>
              <w:rPr>
                <w:rFonts w:ascii="Arial" w:hAnsi="Arial" w:cs="Arial"/>
                <w:lang w:val="en-IN"/>
              </w:rPr>
            </w:pPr>
            <w:r w:rsidRPr="00EE1F41">
              <w:rPr>
                <w:rFonts w:ascii="Arial" w:hAnsi="Arial" w:cs="Arial"/>
                <w:lang w:val="en-IN"/>
              </w:rPr>
              <w:t>Extremely High</w:t>
            </w:r>
          </w:p>
        </w:tc>
        <w:tc>
          <w:tcPr>
            <w:tcW w:w="2316" w:type="dxa"/>
            <w:tcBorders>
              <w:bottom w:val="nil"/>
            </w:tcBorders>
          </w:tcPr>
          <w:p w14:paraId="2639CDAB" w14:textId="366469DC" w:rsidR="00C2711B" w:rsidRPr="00EE1F41" w:rsidRDefault="00C2711B" w:rsidP="00EE1F41">
            <w:pPr>
              <w:jc w:val="both"/>
              <w:rPr>
                <w:rFonts w:ascii="Arial" w:hAnsi="Arial" w:cs="Arial"/>
                <w:lang w:val="en-IN"/>
              </w:rPr>
            </w:pPr>
            <w:r w:rsidRPr="00EE1F41">
              <w:rPr>
                <w:rFonts w:ascii="Arial" w:hAnsi="Arial" w:cs="Arial"/>
                <w:lang w:val="en-IN"/>
              </w:rPr>
              <w:t>02</w:t>
            </w:r>
          </w:p>
        </w:tc>
        <w:tc>
          <w:tcPr>
            <w:tcW w:w="1500" w:type="dxa"/>
            <w:tcBorders>
              <w:bottom w:val="nil"/>
            </w:tcBorders>
          </w:tcPr>
          <w:p w14:paraId="1293D597" w14:textId="457E3495" w:rsidR="00C2711B" w:rsidRPr="00EE1F41" w:rsidRDefault="00C2711B" w:rsidP="00EE1F41">
            <w:pPr>
              <w:rPr>
                <w:rFonts w:ascii="Arial" w:hAnsi="Arial" w:cs="Arial"/>
                <w:lang w:val="en-IN"/>
              </w:rPr>
            </w:pPr>
            <w:r w:rsidRPr="00EE1F41">
              <w:rPr>
                <w:rFonts w:ascii="Arial" w:hAnsi="Arial" w:cs="Arial"/>
                <w:lang w:val="en-IN"/>
              </w:rPr>
              <w:t>2%</w:t>
            </w:r>
          </w:p>
        </w:tc>
      </w:tr>
      <w:tr w:rsidR="00C2711B" w:rsidRPr="00DC3180" w14:paraId="7BE15C53" w14:textId="77777777" w:rsidTr="00C2711B">
        <w:trPr>
          <w:trHeight w:val="360"/>
          <w:jc w:val="center"/>
        </w:trPr>
        <w:tc>
          <w:tcPr>
            <w:tcW w:w="3936" w:type="dxa"/>
            <w:tcBorders>
              <w:top w:val="nil"/>
              <w:bottom w:val="nil"/>
            </w:tcBorders>
          </w:tcPr>
          <w:p w14:paraId="7C47D54E" w14:textId="72E20D0D" w:rsidR="00C2711B" w:rsidRPr="00EE1F41" w:rsidRDefault="00C2711B" w:rsidP="00C2711B">
            <w:pPr>
              <w:jc w:val="both"/>
              <w:rPr>
                <w:rFonts w:ascii="Arial" w:hAnsi="Arial" w:cs="Arial"/>
                <w:lang w:val="en-IN"/>
              </w:rPr>
            </w:pPr>
            <w:r w:rsidRPr="00EE1F41">
              <w:rPr>
                <w:rFonts w:ascii="Arial" w:hAnsi="Arial" w:cs="Arial"/>
                <w:lang w:val="en-IN"/>
              </w:rPr>
              <w:t>High</w:t>
            </w:r>
          </w:p>
        </w:tc>
        <w:tc>
          <w:tcPr>
            <w:tcW w:w="2316" w:type="dxa"/>
            <w:tcBorders>
              <w:top w:val="nil"/>
              <w:bottom w:val="nil"/>
            </w:tcBorders>
          </w:tcPr>
          <w:p w14:paraId="6ACF0EB0" w14:textId="453DFB1B" w:rsidR="00C2711B" w:rsidRPr="00EE1F41" w:rsidRDefault="00C2711B" w:rsidP="00EE1F41">
            <w:pPr>
              <w:jc w:val="both"/>
              <w:rPr>
                <w:rFonts w:ascii="Arial" w:hAnsi="Arial" w:cs="Arial"/>
                <w:lang w:val="en-IN"/>
              </w:rPr>
            </w:pPr>
            <w:r w:rsidRPr="00EE1F41">
              <w:rPr>
                <w:rFonts w:ascii="Arial" w:hAnsi="Arial" w:cs="Arial"/>
                <w:lang w:val="en-IN"/>
              </w:rPr>
              <w:t>06</w:t>
            </w:r>
          </w:p>
        </w:tc>
        <w:tc>
          <w:tcPr>
            <w:tcW w:w="1500" w:type="dxa"/>
            <w:tcBorders>
              <w:top w:val="nil"/>
              <w:bottom w:val="nil"/>
            </w:tcBorders>
          </w:tcPr>
          <w:p w14:paraId="247371CC" w14:textId="15B40263" w:rsidR="00C2711B" w:rsidRPr="00EE1F41" w:rsidRDefault="00C2711B" w:rsidP="00EE1F41">
            <w:pPr>
              <w:rPr>
                <w:rFonts w:ascii="Arial" w:hAnsi="Arial" w:cs="Arial"/>
                <w:lang w:val="en-IN"/>
              </w:rPr>
            </w:pPr>
            <w:r w:rsidRPr="00EE1F41">
              <w:rPr>
                <w:rFonts w:ascii="Arial" w:hAnsi="Arial" w:cs="Arial"/>
                <w:lang w:val="en-IN"/>
              </w:rPr>
              <w:t>6%</w:t>
            </w:r>
          </w:p>
        </w:tc>
      </w:tr>
      <w:tr w:rsidR="00C2711B" w:rsidRPr="00DC3180" w14:paraId="0D683646" w14:textId="77777777" w:rsidTr="00C2711B">
        <w:trPr>
          <w:trHeight w:val="360"/>
          <w:jc w:val="center"/>
        </w:trPr>
        <w:tc>
          <w:tcPr>
            <w:tcW w:w="3936" w:type="dxa"/>
            <w:tcBorders>
              <w:top w:val="nil"/>
              <w:bottom w:val="nil"/>
            </w:tcBorders>
          </w:tcPr>
          <w:p w14:paraId="1554DAE4" w14:textId="49B0CDF1" w:rsidR="00C2711B" w:rsidRPr="00EE1F41" w:rsidRDefault="00C2711B" w:rsidP="00C2711B">
            <w:pPr>
              <w:jc w:val="both"/>
              <w:rPr>
                <w:rFonts w:ascii="Arial" w:hAnsi="Arial" w:cs="Arial"/>
                <w:lang w:val="en-IN"/>
              </w:rPr>
            </w:pPr>
            <w:r w:rsidRPr="00BF349F">
              <w:rPr>
                <w:rFonts w:ascii="Arial" w:hAnsi="Arial" w:cs="Arial"/>
                <w:lang w:val="en-IN"/>
              </w:rPr>
              <w:t>Above average</w:t>
            </w:r>
          </w:p>
        </w:tc>
        <w:tc>
          <w:tcPr>
            <w:tcW w:w="2316" w:type="dxa"/>
            <w:tcBorders>
              <w:top w:val="nil"/>
              <w:bottom w:val="nil"/>
            </w:tcBorders>
          </w:tcPr>
          <w:p w14:paraId="735E176B" w14:textId="591A40A3" w:rsidR="00C2711B" w:rsidRPr="00EE1F41" w:rsidRDefault="00C2711B" w:rsidP="00EE1F41">
            <w:pPr>
              <w:jc w:val="both"/>
              <w:rPr>
                <w:rFonts w:ascii="Arial" w:hAnsi="Arial" w:cs="Arial"/>
                <w:lang w:val="en-IN"/>
              </w:rPr>
            </w:pPr>
            <w:r w:rsidRPr="00EE1F41">
              <w:rPr>
                <w:rFonts w:ascii="Arial" w:hAnsi="Arial" w:cs="Arial"/>
                <w:lang w:val="en-IN"/>
              </w:rPr>
              <w:t>19</w:t>
            </w:r>
          </w:p>
        </w:tc>
        <w:tc>
          <w:tcPr>
            <w:tcW w:w="1500" w:type="dxa"/>
            <w:tcBorders>
              <w:top w:val="nil"/>
              <w:bottom w:val="nil"/>
            </w:tcBorders>
          </w:tcPr>
          <w:p w14:paraId="655F2054" w14:textId="35CC43AB" w:rsidR="00C2711B" w:rsidRPr="00EE1F41" w:rsidRDefault="00C2711B" w:rsidP="00EE1F41">
            <w:pPr>
              <w:rPr>
                <w:rFonts w:ascii="Arial" w:hAnsi="Arial" w:cs="Arial"/>
                <w:lang w:val="en-IN"/>
              </w:rPr>
            </w:pPr>
            <w:r w:rsidRPr="00EE1F41">
              <w:rPr>
                <w:rFonts w:ascii="Arial" w:hAnsi="Arial" w:cs="Arial"/>
                <w:lang w:val="en-IN"/>
              </w:rPr>
              <w:t>19%</w:t>
            </w:r>
          </w:p>
        </w:tc>
      </w:tr>
      <w:tr w:rsidR="00C2711B" w:rsidRPr="00DC3180" w14:paraId="55DDAF7D" w14:textId="77777777" w:rsidTr="00C2711B">
        <w:trPr>
          <w:trHeight w:val="360"/>
          <w:jc w:val="center"/>
        </w:trPr>
        <w:tc>
          <w:tcPr>
            <w:tcW w:w="3936" w:type="dxa"/>
            <w:tcBorders>
              <w:top w:val="nil"/>
              <w:bottom w:val="nil"/>
            </w:tcBorders>
          </w:tcPr>
          <w:p w14:paraId="22AEE000" w14:textId="011D5FB2" w:rsidR="00C2711B" w:rsidRPr="00EE1F41" w:rsidRDefault="00C2711B" w:rsidP="00C2711B">
            <w:pPr>
              <w:jc w:val="both"/>
              <w:rPr>
                <w:rFonts w:ascii="Arial" w:hAnsi="Arial" w:cs="Arial"/>
                <w:lang w:val="en-IN"/>
              </w:rPr>
            </w:pPr>
            <w:r w:rsidRPr="00EE1F41">
              <w:rPr>
                <w:rFonts w:ascii="Arial" w:hAnsi="Arial" w:cs="Arial"/>
                <w:lang w:val="en-IN"/>
              </w:rPr>
              <w:t>Slightly above average</w:t>
            </w:r>
          </w:p>
        </w:tc>
        <w:tc>
          <w:tcPr>
            <w:tcW w:w="2316" w:type="dxa"/>
            <w:tcBorders>
              <w:top w:val="nil"/>
              <w:bottom w:val="nil"/>
            </w:tcBorders>
          </w:tcPr>
          <w:p w14:paraId="29D42C0E" w14:textId="1886E42C" w:rsidR="00C2711B" w:rsidRPr="00EE1F41" w:rsidRDefault="00C2711B" w:rsidP="00EE1F41">
            <w:pPr>
              <w:jc w:val="both"/>
              <w:rPr>
                <w:rFonts w:ascii="Arial" w:hAnsi="Arial" w:cs="Arial"/>
                <w:lang w:val="en-IN"/>
              </w:rPr>
            </w:pPr>
            <w:r w:rsidRPr="00EE1F41">
              <w:rPr>
                <w:rFonts w:ascii="Arial" w:hAnsi="Arial" w:cs="Arial"/>
                <w:lang w:val="en-IN"/>
              </w:rPr>
              <w:t>20</w:t>
            </w:r>
          </w:p>
        </w:tc>
        <w:tc>
          <w:tcPr>
            <w:tcW w:w="1500" w:type="dxa"/>
            <w:tcBorders>
              <w:top w:val="nil"/>
              <w:bottom w:val="nil"/>
            </w:tcBorders>
          </w:tcPr>
          <w:p w14:paraId="73F695CC" w14:textId="784CB755" w:rsidR="00C2711B" w:rsidRPr="00EE1F41" w:rsidRDefault="00C2711B" w:rsidP="00EE1F41">
            <w:pPr>
              <w:rPr>
                <w:rFonts w:ascii="Arial" w:hAnsi="Arial" w:cs="Arial"/>
                <w:lang w:val="en-IN"/>
              </w:rPr>
            </w:pPr>
            <w:r w:rsidRPr="00EE1F41">
              <w:rPr>
                <w:rFonts w:ascii="Arial" w:hAnsi="Arial" w:cs="Arial"/>
                <w:lang w:val="en-IN"/>
              </w:rPr>
              <w:t>20%</w:t>
            </w:r>
          </w:p>
        </w:tc>
      </w:tr>
      <w:tr w:rsidR="00C2711B" w:rsidRPr="00DC3180" w14:paraId="6F4A61D6" w14:textId="77777777" w:rsidTr="00C2711B">
        <w:trPr>
          <w:trHeight w:val="360"/>
          <w:jc w:val="center"/>
        </w:trPr>
        <w:tc>
          <w:tcPr>
            <w:tcW w:w="3936" w:type="dxa"/>
            <w:tcBorders>
              <w:top w:val="nil"/>
              <w:bottom w:val="nil"/>
            </w:tcBorders>
          </w:tcPr>
          <w:p w14:paraId="34A23C55" w14:textId="1351ABCB" w:rsidR="00C2711B" w:rsidRPr="00EE1F41" w:rsidRDefault="00C2711B" w:rsidP="00C2711B">
            <w:pPr>
              <w:jc w:val="both"/>
              <w:rPr>
                <w:rFonts w:ascii="Arial" w:hAnsi="Arial" w:cs="Arial"/>
                <w:lang w:val="en-IN"/>
              </w:rPr>
            </w:pPr>
            <w:r w:rsidRPr="00EE1F41">
              <w:rPr>
                <w:rFonts w:ascii="Arial" w:hAnsi="Arial" w:cs="Arial"/>
                <w:lang w:val="en-IN"/>
              </w:rPr>
              <w:t>Average</w:t>
            </w:r>
          </w:p>
        </w:tc>
        <w:tc>
          <w:tcPr>
            <w:tcW w:w="2316" w:type="dxa"/>
            <w:tcBorders>
              <w:top w:val="nil"/>
              <w:bottom w:val="nil"/>
            </w:tcBorders>
          </w:tcPr>
          <w:p w14:paraId="4EF14E43" w14:textId="44AD6A73" w:rsidR="00C2711B" w:rsidRPr="00EE1F41" w:rsidRDefault="00C2711B" w:rsidP="00EE1F41">
            <w:pPr>
              <w:jc w:val="both"/>
              <w:rPr>
                <w:rFonts w:ascii="Arial" w:hAnsi="Arial" w:cs="Arial"/>
                <w:lang w:val="en-IN"/>
              </w:rPr>
            </w:pPr>
            <w:r w:rsidRPr="00EE1F41">
              <w:rPr>
                <w:rFonts w:ascii="Arial" w:hAnsi="Arial" w:cs="Arial"/>
                <w:lang w:val="en-IN"/>
              </w:rPr>
              <w:t>17</w:t>
            </w:r>
          </w:p>
        </w:tc>
        <w:tc>
          <w:tcPr>
            <w:tcW w:w="1500" w:type="dxa"/>
            <w:tcBorders>
              <w:top w:val="nil"/>
              <w:bottom w:val="nil"/>
            </w:tcBorders>
          </w:tcPr>
          <w:p w14:paraId="2D6DFB31" w14:textId="32222B45" w:rsidR="00C2711B" w:rsidRPr="00EE1F41" w:rsidRDefault="00C2711B" w:rsidP="00EE1F41">
            <w:pPr>
              <w:rPr>
                <w:rFonts w:ascii="Arial" w:hAnsi="Arial" w:cs="Arial"/>
                <w:lang w:val="en-IN"/>
              </w:rPr>
            </w:pPr>
            <w:r w:rsidRPr="00EE1F41">
              <w:rPr>
                <w:rFonts w:ascii="Arial" w:hAnsi="Arial" w:cs="Arial"/>
                <w:lang w:val="en-IN"/>
              </w:rPr>
              <w:t>17%</w:t>
            </w:r>
          </w:p>
        </w:tc>
      </w:tr>
      <w:tr w:rsidR="00C2711B" w:rsidRPr="00DC3180" w14:paraId="331DEBF7" w14:textId="77777777" w:rsidTr="00C2711B">
        <w:trPr>
          <w:trHeight w:val="360"/>
          <w:jc w:val="center"/>
        </w:trPr>
        <w:tc>
          <w:tcPr>
            <w:tcW w:w="3936" w:type="dxa"/>
            <w:tcBorders>
              <w:top w:val="nil"/>
              <w:bottom w:val="nil"/>
            </w:tcBorders>
          </w:tcPr>
          <w:p w14:paraId="20ADC360" w14:textId="1F80354B" w:rsidR="00C2711B" w:rsidRPr="00EE1F41" w:rsidRDefault="00C2711B" w:rsidP="00C2711B">
            <w:pPr>
              <w:jc w:val="both"/>
              <w:rPr>
                <w:rFonts w:ascii="Arial" w:hAnsi="Arial" w:cs="Arial"/>
                <w:lang w:val="en-IN"/>
              </w:rPr>
            </w:pPr>
            <w:r w:rsidRPr="00EE1F41">
              <w:rPr>
                <w:rFonts w:ascii="Arial" w:hAnsi="Arial" w:cs="Arial"/>
                <w:lang w:val="en-IN"/>
              </w:rPr>
              <w:t>Slightly below average</w:t>
            </w:r>
          </w:p>
        </w:tc>
        <w:tc>
          <w:tcPr>
            <w:tcW w:w="2316" w:type="dxa"/>
            <w:tcBorders>
              <w:top w:val="nil"/>
              <w:bottom w:val="nil"/>
            </w:tcBorders>
          </w:tcPr>
          <w:p w14:paraId="452CF5F8" w14:textId="4BD99D4F" w:rsidR="00C2711B" w:rsidRPr="00EE1F41" w:rsidRDefault="00C2711B" w:rsidP="00EE1F41">
            <w:pPr>
              <w:jc w:val="both"/>
              <w:rPr>
                <w:rFonts w:ascii="Arial" w:hAnsi="Arial" w:cs="Arial"/>
                <w:lang w:val="en-IN"/>
              </w:rPr>
            </w:pPr>
            <w:r w:rsidRPr="00EE1F41">
              <w:rPr>
                <w:rFonts w:ascii="Arial" w:hAnsi="Arial" w:cs="Arial"/>
                <w:lang w:val="en-IN"/>
              </w:rPr>
              <w:t>14</w:t>
            </w:r>
          </w:p>
        </w:tc>
        <w:tc>
          <w:tcPr>
            <w:tcW w:w="1500" w:type="dxa"/>
            <w:tcBorders>
              <w:top w:val="nil"/>
              <w:bottom w:val="nil"/>
            </w:tcBorders>
          </w:tcPr>
          <w:p w14:paraId="68E4F87E" w14:textId="63E2C56A" w:rsidR="00C2711B" w:rsidRPr="00EE1F41" w:rsidRDefault="00C2711B" w:rsidP="00EE1F41">
            <w:pPr>
              <w:rPr>
                <w:rFonts w:ascii="Arial" w:hAnsi="Arial" w:cs="Arial"/>
                <w:lang w:val="en-IN"/>
              </w:rPr>
            </w:pPr>
            <w:r w:rsidRPr="00EE1F41">
              <w:rPr>
                <w:rFonts w:ascii="Arial" w:hAnsi="Arial" w:cs="Arial"/>
                <w:lang w:val="en-IN"/>
              </w:rPr>
              <w:t>14%</w:t>
            </w:r>
          </w:p>
        </w:tc>
      </w:tr>
      <w:tr w:rsidR="00C2711B" w:rsidRPr="00DC3180" w14:paraId="3C24485D" w14:textId="77777777" w:rsidTr="00C2711B">
        <w:trPr>
          <w:trHeight w:val="360"/>
          <w:jc w:val="center"/>
        </w:trPr>
        <w:tc>
          <w:tcPr>
            <w:tcW w:w="3936" w:type="dxa"/>
            <w:tcBorders>
              <w:top w:val="nil"/>
              <w:bottom w:val="nil"/>
            </w:tcBorders>
          </w:tcPr>
          <w:p w14:paraId="37B5B3FB" w14:textId="0B5BBB01" w:rsidR="00C2711B" w:rsidRPr="00EE1F41" w:rsidRDefault="00C2711B" w:rsidP="00C2711B">
            <w:pPr>
              <w:jc w:val="both"/>
              <w:rPr>
                <w:rFonts w:ascii="Arial" w:hAnsi="Arial" w:cs="Arial"/>
                <w:lang w:val="en-IN"/>
              </w:rPr>
            </w:pPr>
            <w:r w:rsidRPr="00EE1F41">
              <w:rPr>
                <w:rFonts w:ascii="Arial" w:hAnsi="Arial" w:cs="Arial"/>
                <w:lang w:val="en-IN"/>
              </w:rPr>
              <w:t>Below average</w:t>
            </w:r>
          </w:p>
        </w:tc>
        <w:tc>
          <w:tcPr>
            <w:tcW w:w="2316" w:type="dxa"/>
            <w:tcBorders>
              <w:top w:val="nil"/>
              <w:bottom w:val="nil"/>
            </w:tcBorders>
          </w:tcPr>
          <w:p w14:paraId="50C67960" w14:textId="7674D03D" w:rsidR="00C2711B" w:rsidRPr="00EE1F41" w:rsidRDefault="00C2711B" w:rsidP="00EE1F41">
            <w:pPr>
              <w:jc w:val="both"/>
              <w:rPr>
                <w:rFonts w:ascii="Arial" w:hAnsi="Arial" w:cs="Arial"/>
                <w:lang w:val="en-IN"/>
              </w:rPr>
            </w:pPr>
            <w:r w:rsidRPr="00EE1F41">
              <w:rPr>
                <w:rFonts w:ascii="Arial" w:hAnsi="Arial" w:cs="Arial"/>
                <w:lang w:val="en-IN"/>
              </w:rPr>
              <w:t>10</w:t>
            </w:r>
          </w:p>
        </w:tc>
        <w:tc>
          <w:tcPr>
            <w:tcW w:w="1500" w:type="dxa"/>
            <w:tcBorders>
              <w:top w:val="nil"/>
              <w:bottom w:val="nil"/>
            </w:tcBorders>
          </w:tcPr>
          <w:p w14:paraId="692B45DE" w14:textId="0DBC5B10" w:rsidR="00C2711B" w:rsidRPr="00EE1F41" w:rsidRDefault="00C2711B" w:rsidP="00EE1F41">
            <w:pPr>
              <w:rPr>
                <w:rFonts w:ascii="Arial" w:hAnsi="Arial" w:cs="Arial"/>
                <w:lang w:val="en-IN"/>
              </w:rPr>
            </w:pPr>
            <w:r w:rsidRPr="00EE1F41">
              <w:rPr>
                <w:rFonts w:ascii="Arial" w:hAnsi="Arial" w:cs="Arial"/>
                <w:lang w:val="en-IN"/>
              </w:rPr>
              <w:t>10%</w:t>
            </w:r>
          </w:p>
        </w:tc>
      </w:tr>
      <w:tr w:rsidR="00C2711B" w:rsidRPr="00DC3180" w14:paraId="75A7E0B1" w14:textId="77777777" w:rsidTr="00C2711B">
        <w:trPr>
          <w:trHeight w:val="360"/>
          <w:jc w:val="center"/>
        </w:trPr>
        <w:tc>
          <w:tcPr>
            <w:tcW w:w="3936" w:type="dxa"/>
            <w:tcBorders>
              <w:top w:val="nil"/>
              <w:bottom w:val="nil"/>
            </w:tcBorders>
          </w:tcPr>
          <w:p w14:paraId="0350078B" w14:textId="3BB5C0C8" w:rsidR="00C2711B" w:rsidRPr="00EE1F41" w:rsidRDefault="00C2711B" w:rsidP="00C2711B">
            <w:pPr>
              <w:jc w:val="both"/>
              <w:rPr>
                <w:rFonts w:ascii="Arial" w:hAnsi="Arial" w:cs="Arial"/>
                <w:lang w:val="en-IN"/>
              </w:rPr>
            </w:pPr>
            <w:r w:rsidRPr="00EE1F41">
              <w:rPr>
                <w:rFonts w:ascii="Arial" w:hAnsi="Arial" w:cs="Arial"/>
                <w:lang w:val="en-IN"/>
              </w:rPr>
              <w:t>Low</w:t>
            </w:r>
          </w:p>
        </w:tc>
        <w:tc>
          <w:tcPr>
            <w:tcW w:w="2316" w:type="dxa"/>
            <w:tcBorders>
              <w:top w:val="nil"/>
              <w:bottom w:val="nil"/>
            </w:tcBorders>
          </w:tcPr>
          <w:p w14:paraId="303E16DF" w14:textId="7A65AD9E" w:rsidR="00C2711B" w:rsidRPr="00EE1F41" w:rsidRDefault="00C2711B" w:rsidP="00EE1F41">
            <w:pPr>
              <w:jc w:val="both"/>
              <w:rPr>
                <w:rFonts w:ascii="Arial" w:hAnsi="Arial" w:cs="Arial"/>
                <w:lang w:val="en-IN"/>
              </w:rPr>
            </w:pPr>
            <w:r w:rsidRPr="00EE1F41">
              <w:rPr>
                <w:rFonts w:ascii="Arial" w:hAnsi="Arial" w:cs="Arial"/>
                <w:lang w:val="en-IN"/>
              </w:rPr>
              <w:t>4</w:t>
            </w:r>
          </w:p>
        </w:tc>
        <w:tc>
          <w:tcPr>
            <w:tcW w:w="1500" w:type="dxa"/>
            <w:tcBorders>
              <w:top w:val="nil"/>
              <w:bottom w:val="nil"/>
            </w:tcBorders>
          </w:tcPr>
          <w:p w14:paraId="59002568" w14:textId="0DFE2957" w:rsidR="00C2711B" w:rsidRPr="00EE1F41" w:rsidRDefault="00C2711B" w:rsidP="00EE1F41">
            <w:pPr>
              <w:rPr>
                <w:rFonts w:ascii="Arial" w:hAnsi="Arial" w:cs="Arial"/>
                <w:lang w:val="en-IN"/>
              </w:rPr>
            </w:pPr>
            <w:r w:rsidRPr="00EE1F41">
              <w:rPr>
                <w:rFonts w:ascii="Arial" w:hAnsi="Arial" w:cs="Arial"/>
                <w:lang w:val="en-IN"/>
              </w:rPr>
              <w:t>4%</w:t>
            </w:r>
          </w:p>
        </w:tc>
      </w:tr>
      <w:tr w:rsidR="00C2711B" w:rsidRPr="00DC3180" w14:paraId="64A4ABBD" w14:textId="77777777" w:rsidTr="00C2711B">
        <w:trPr>
          <w:trHeight w:val="360"/>
          <w:jc w:val="center"/>
        </w:trPr>
        <w:tc>
          <w:tcPr>
            <w:tcW w:w="3936" w:type="dxa"/>
            <w:tcBorders>
              <w:top w:val="nil"/>
              <w:bottom w:val="single" w:sz="4" w:space="0" w:color="auto"/>
            </w:tcBorders>
          </w:tcPr>
          <w:p w14:paraId="1398432F" w14:textId="5C4321C7" w:rsidR="00C2711B" w:rsidRPr="00EE1F41" w:rsidRDefault="00C2711B" w:rsidP="00C2711B">
            <w:pPr>
              <w:jc w:val="both"/>
              <w:rPr>
                <w:rFonts w:ascii="Arial" w:hAnsi="Arial" w:cs="Arial"/>
                <w:lang w:val="en-IN"/>
              </w:rPr>
            </w:pPr>
            <w:r w:rsidRPr="00EE1F41">
              <w:rPr>
                <w:rFonts w:ascii="Arial" w:hAnsi="Arial" w:cs="Arial"/>
                <w:lang w:val="en-IN"/>
              </w:rPr>
              <w:lastRenderedPageBreak/>
              <w:t>Extremely low</w:t>
            </w:r>
          </w:p>
        </w:tc>
        <w:tc>
          <w:tcPr>
            <w:tcW w:w="2316" w:type="dxa"/>
            <w:tcBorders>
              <w:top w:val="nil"/>
              <w:bottom w:val="single" w:sz="4" w:space="0" w:color="auto"/>
            </w:tcBorders>
          </w:tcPr>
          <w:p w14:paraId="5356200A" w14:textId="237C78AE" w:rsidR="00C2711B" w:rsidRPr="00EE1F41" w:rsidRDefault="00C2711B" w:rsidP="00EE1F41">
            <w:pPr>
              <w:jc w:val="both"/>
              <w:rPr>
                <w:rFonts w:ascii="Arial" w:hAnsi="Arial" w:cs="Arial"/>
                <w:lang w:val="en-IN"/>
              </w:rPr>
            </w:pPr>
            <w:r w:rsidRPr="00EE1F41">
              <w:rPr>
                <w:rFonts w:ascii="Arial" w:hAnsi="Arial" w:cs="Arial"/>
                <w:lang w:val="en-IN"/>
              </w:rPr>
              <w:t>8</w:t>
            </w:r>
          </w:p>
        </w:tc>
        <w:tc>
          <w:tcPr>
            <w:tcW w:w="1500" w:type="dxa"/>
            <w:tcBorders>
              <w:top w:val="nil"/>
              <w:bottom w:val="single" w:sz="4" w:space="0" w:color="auto"/>
            </w:tcBorders>
          </w:tcPr>
          <w:p w14:paraId="76097A45" w14:textId="6A84AEBE" w:rsidR="00C2711B" w:rsidRPr="00EE1F41" w:rsidRDefault="00C2711B" w:rsidP="00EE1F41">
            <w:pPr>
              <w:rPr>
                <w:rFonts w:ascii="Arial" w:hAnsi="Arial" w:cs="Arial"/>
                <w:lang w:val="en-IN"/>
              </w:rPr>
            </w:pPr>
            <w:r w:rsidRPr="00EE1F41">
              <w:rPr>
                <w:rFonts w:ascii="Arial" w:hAnsi="Arial" w:cs="Arial"/>
                <w:lang w:val="en-IN"/>
              </w:rPr>
              <w:t>8%</w:t>
            </w:r>
          </w:p>
        </w:tc>
      </w:tr>
    </w:tbl>
    <w:p w14:paraId="46A40B71"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03AE46E" w14:textId="77777777" w:rsidR="00C2711B" w:rsidRPr="00C2711B" w:rsidRDefault="00C2711B" w:rsidP="00C2711B">
      <w:pPr>
        <w:pStyle w:val="Body"/>
        <w:rPr>
          <w:rFonts w:ascii="Arial" w:hAnsi="Arial" w:cs="Arial"/>
          <w:lang w:val="en-IN"/>
        </w:rPr>
      </w:pPr>
      <w:r w:rsidRPr="00C2711B">
        <w:rPr>
          <w:rFonts w:ascii="Arial" w:hAnsi="Arial" w:cs="Arial"/>
          <w:lang w:val="en-IN"/>
        </w:rPr>
        <w:t>The data on convergent thinking ability among the students reveals a diverse distribution across various levels. A small proportion of students demonstrate exceptionally high convergent thinking ability, with only 2 students (2%) falling into the "Extremely High" category. A slightly larger group, 6 students (6%), exhibit "High" convergent thinking ability. The "Above Average" and "Slightly Above Average" categories contain the largest percentages, with 19 students (19%) and 20 students (20%), respectively, indicating that a significant portion of students possess moderately strong convergent thinking skills.</w:t>
      </w:r>
    </w:p>
    <w:p w14:paraId="2E5A1A71" w14:textId="77777777" w:rsidR="00C2711B" w:rsidRPr="00C2711B" w:rsidRDefault="00C2711B" w:rsidP="00C2711B">
      <w:pPr>
        <w:pStyle w:val="Body"/>
        <w:rPr>
          <w:rFonts w:ascii="Arial" w:hAnsi="Arial" w:cs="Arial"/>
          <w:lang w:val="en-IN"/>
        </w:rPr>
      </w:pPr>
      <w:r w:rsidRPr="00C2711B">
        <w:rPr>
          <w:rFonts w:ascii="Arial" w:hAnsi="Arial" w:cs="Arial"/>
          <w:lang w:val="en-IN"/>
        </w:rPr>
        <w:t>On the other hand, 17 students (17%) fall within the "Average" category, reflecting a balanced level of convergent thinking ability that aligns with typical expectations. A noticeable segment of students, 14 (14%), exhibit "Slightly Below Average" convergent thinking ability, while 10 students (10%) are classified as "Below Average."</w:t>
      </w:r>
    </w:p>
    <w:p w14:paraId="28B90635" w14:textId="244D6B44" w:rsidR="00376BBE" w:rsidRPr="00C2711B" w:rsidRDefault="00C2711B" w:rsidP="00C2711B">
      <w:pPr>
        <w:pStyle w:val="Body"/>
        <w:rPr>
          <w:rFonts w:ascii="Arial" w:hAnsi="Arial" w:cs="Arial"/>
          <w:lang w:val="en-IN"/>
        </w:rPr>
      </w:pPr>
      <w:r w:rsidRPr="00C2711B">
        <w:rPr>
          <w:rFonts w:ascii="Arial" w:hAnsi="Arial" w:cs="Arial"/>
          <w:lang w:val="en-IN"/>
        </w:rPr>
        <w:t>The lower end of the spectrum shows that 4 students (4%) possess "Low" convergent thinking ability, and 8 students (8%) fall into the "Extremely Low" category. This suggests that while a significant portion of students exhibit average to above-average convergent thinking ability, there is a noticeable minority that may require additional support to enhance their cognitive skills in this area.</w:t>
      </w:r>
    </w:p>
    <w:p w14:paraId="1BD21A72" w14:textId="087F3DB9" w:rsidR="00C2711B" w:rsidRPr="00C2711B" w:rsidRDefault="00C2711B" w:rsidP="00C2711B">
      <w:pPr>
        <w:pStyle w:val="Body"/>
        <w:rPr>
          <w:rFonts w:ascii="Arial" w:hAnsi="Arial" w:cs="Arial"/>
          <w:sz w:val="22"/>
          <w:szCs w:val="22"/>
          <w:lang w:val="en-IN"/>
        </w:rPr>
      </w:pPr>
      <w:r>
        <w:rPr>
          <w:rFonts w:ascii="Arial" w:hAnsi="Arial" w:cs="Arial"/>
          <w:b/>
          <w:bCs/>
          <w:sz w:val="22"/>
          <w:szCs w:val="22"/>
          <w:lang w:val="en-IN"/>
        </w:rPr>
        <w:t xml:space="preserve">3.2 </w:t>
      </w:r>
      <w:r w:rsidRPr="00C2711B">
        <w:rPr>
          <w:rFonts w:ascii="Arial" w:hAnsi="Arial" w:cs="Arial"/>
          <w:b/>
          <w:bCs/>
          <w:sz w:val="22"/>
          <w:szCs w:val="22"/>
          <w:lang w:val="en-IN"/>
        </w:rPr>
        <w:t>Objective no 2: To compare the boys and girls Higher Secondary students in respect to their convergent thinking.</w:t>
      </w:r>
    </w:p>
    <w:p w14:paraId="0A4783C2" w14:textId="71155651" w:rsidR="00C2711B" w:rsidRDefault="00C2711B" w:rsidP="00C2711B">
      <w:pPr>
        <w:tabs>
          <w:tab w:val="left" w:pos="1080"/>
        </w:tabs>
        <w:jc w:val="both"/>
        <w:rPr>
          <w:rFonts w:ascii="Arial" w:hAnsi="Arial"/>
          <w:b/>
        </w:rPr>
      </w:pPr>
      <w:r>
        <w:rPr>
          <w:rFonts w:ascii="Arial" w:hAnsi="Arial"/>
          <w:b/>
        </w:rPr>
        <w:t>Table 2.</w:t>
      </w:r>
      <w:r w:rsidR="00214A12">
        <w:rPr>
          <w:rFonts w:ascii="Arial" w:hAnsi="Arial"/>
          <w:b/>
        </w:rPr>
        <w:t xml:space="preserve"> Comparison of convergent thinking ability between male and female Higher Secondary students</w:t>
      </w:r>
    </w:p>
    <w:p w14:paraId="1A7BD7AB" w14:textId="77777777" w:rsidR="00CA01C0" w:rsidRDefault="00CA01C0" w:rsidP="00C2711B">
      <w:pPr>
        <w:tabs>
          <w:tab w:val="left" w:pos="1080"/>
        </w:tabs>
        <w:jc w:val="both"/>
        <w:rPr>
          <w:rFonts w:ascii="Arial" w:hAnsi="Arial"/>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045"/>
        <w:gridCol w:w="2494"/>
      </w:tblGrid>
      <w:tr w:rsidR="00CA01C0" w14:paraId="696FA527" w14:textId="77777777" w:rsidTr="00031419">
        <w:trPr>
          <w:trHeight w:val="267"/>
          <w:jc w:val="center"/>
        </w:trPr>
        <w:tc>
          <w:tcPr>
            <w:tcW w:w="2943" w:type="dxa"/>
            <w:tcBorders>
              <w:top w:val="single" w:sz="4" w:space="0" w:color="auto"/>
              <w:bottom w:val="single" w:sz="4" w:space="0" w:color="auto"/>
            </w:tcBorders>
          </w:tcPr>
          <w:p w14:paraId="1DDCF3C6" w14:textId="472C4DC3" w:rsidR="00CA01C0" w:rsidRPr="00CA01C0" w:rsidRDefault="00CA01C0" w:rsidP="00C2711B">
            <w:pPr>
              <w:tabs>
                <w:tab w:val="left" w:pos="1080"/>
              </w:tabs>
              <w:jc w:val="both"/>
              <w:rPr>
                <w:rFonts w:ascii="Arial" w:hAnsi="Arial"/>
                <w:bCs/>
                <w:sz w:val="20"/>
                <w:szCs w:val="20"/>
              </w:rPr>
            </w:pPr>
          </w:p>
        </w:tc>
        <w:tc>
          <w:tcPr>
            <w:tcW w:w="2045" w:type="dxa"/>
            <w:tcBorders>
              <w:top w:val="single" w:sz="4" w:space="0" w:color="auto"/>
              <w:bottom w:val="single" w:sz="4" w:space="0" w:color="auto"/>
            </w:tcBorders>
          </w:tcPr>
          <w:p w14:paraId="4080C580" w14:textId="358F85D7" w:rsidR="00CA01C0" w:rsidRPr="00F87D38" w:rsidRDefault="00CA01C0" w:rsidP="00C2711B">
            <w:pPr>
              <w:tabs>
                <w:tab w:val="left" w:pos="1080"/>
              </w:tabs>
              <w:jc w:val="both"/>
              <w:rPr>
                <w:rFonts w:ascii="Arial" w:hAnsi="Arial"/>
                <w:b/>
                <w:sz w:val="20"/>
                <w:szCs w:val="20"/>
              </w:rPr>
            </w:pPr>
            <w:r w:rsidRPr="00F87D38">
              <w:rPr>
                <w:rFonts w:ascii="Arial" w:hAnsi="Arial"/>
                <w:b/>
                <w:sz w:val="20"/>
                <w:szCs w:val="20"/>
              </w:rPr>
              <w:t>Female</w:t>
            </w:r>
          </w:p>
        </w:tc>
        <w:tc>
          <w:tcPr>
            <w:tcW w:w="2494" w:type="dxa"/>
            <w:tcBorders>
              <w:top w:val="single" w:sz="4" w:space="0" w:color="auto"/>
              <w:bottom w:val="single" w:sz="4" w:space="0" w:color="auto"/>
            </w:tcBorders>
          </w:tcPr>
          <w:p w14:paraId="27259FC9" w14:textId="79D07800" w:rsidR="00CA01C0" w:rsidRPr="00F87D38" w:rsidRDefault="00CA01C0" w:rsidP="00C2711B">
            <w:pPr>
              <w:tabs>
                <w:tab w:val="left" w:pos="1080"/>
              </w:tabs>
              <w:jc w:val="both"/>
              <w:rPr>
                <w:rFonts w:ascii="Arial" w:hAnsi="Arial"/>
                <w:b/>
                <w:sz w:val="20"/>
                <w:szCs w:val="20"/>
              </w:rPr>
            </w:pPr>
            <w:r w:rsidRPr="00F87D38">
              <w:rPr>
                <w:rFonts w:ascii="Arial" w:hAnsi="Arial"/>
                <w:b/>
                <w:sz w:val="20"/>
                <w:szCs w:val="20"/>
              </w:rPr>
              <w:t>Male</w:t>
            </w:r>
          </w:p>
        </w:tc>
      </w:tr>
      <w:tr w:rsidR="00CA01C0" w14:paraId="5A49083E" w14:textId="77777777" w:rsidTr="00031419">
        <w:trPr>
          <w:trHeight w:val="313"/>
          <w:jc w:val="center"/>
        </w:trPr>
        <w:tc>
          <w:tcPr>
            <w:tcW w:w="2943" w:type="dxa"/>
            <w:tcBorders>
              <w:top w:val="single" w:sz="4" w:space="0" w:color="auto"/>
            </w:tcBorders>
          </w:tcPr>
          <w:p w14:paraId="7B1FBFC7" w14:textId="2743C675"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Mean</w:t>
            </w:r>
          </w:p>
        </w:tc>
        <w:tc>
          <w:tcPr>
            <w:tcW w:w="2045" w:type="dxa"/>
            <w:tcBorders>
              <w:top w:val="single" w:sz="4" w:space="0" w:color="auto"/>
            </w:tcBorders>
          </w:tcPr>
          <w:p w14:paraId="0C0D23BE" w14:textId="225A0370" w:rsidR="00CA01C0" w:rsidRPr="00CA01C0" w:rsidRDefault="00CA01C0" w:rsidP="00C2711B">
            <w:pPr>
              <w:tabs>
                <w:tab w:val="left" w:pos="1080"/>
              </w:tabs>
              <w:jc w:val="both"/>
              <w:rPr>
                <w:rFonts w:ascii="Arial" w:hAnsi="Arial"/>
                <w:bCs/>
                <w:sz w:val="20"/>
                <w:szCs w:val="20"/>
              </w:rPr>
            </w:pPr>
            <w:r>
              <w:rPr>
                <w:rFonts w:ascii="Arial" w:hAnsi="Arial"/>
                <w:bCs/>
                <w:sz w:val="20"/>
                <w:szCs w:val="20"/>
              </w:rPr>
              <w:t>42.74</w:t>
            </w:r>
          </w:p>
        </w:tc>
        <w:tc>
          <w:tcPr>
            <w:tcW w:w="2494" w:type="dxa"/>
            <w:tcBorders>
              <w:top w:val="single" w:sz="4" w:space="0" w:color="auto"/>
            </w:tcBorders>
          </w:tcPr>
          <w:p w14:paraId="6F20D99B" w14:textId="003F767C" w:rsidR="00CA01C0" w:rsidRPr="00CA01C0" w:rsidRDefault="00CA01C0" w:rsidP="00C2711B">
            <w:pPr>
              <w:tabs>
                <w:tab w:val="left" w:pos="1080"/>
              </w:tabs>
              <w:jc w:val="both"/>
              <w:rPr>
                <w:rFonts w:ascii="Arial" w:hAnsi="Arial"/>
                <w:bCs/>
                <w:sz w:val="20"/>
                <w:szCs w:val="20"/>
              </w:rPr>
            </w:pPr>
            <w:r>
              <w:rPr>
                <w:rFonts w:ascii="Arial" w:hAnsi="Arial"/>
                <w:bCs/>
                <w:sz w:val="20"/>
                <w:szCs w:val="20"/>
              </w:rPr>
              <w:t>43</w:t>
            </w:r>
          </w:p>
        </w:tc>
      </w:tr>
      <w:tr w:rsidR="00CA01C0" w14:paraId="38BEB343" w14:textId="77777777" w:rsidTr="00031419">
        <w:trPr>
          <w:trHeight w:val="275"/>
          <w:jc w:val="center"/>
        </w:trPr>
        <w:tc>
          <w:tcPr>
            <w:tcW w:w="2943" w:type="dxa"/>
          </w:tcPr>
          <w:p w14:paraId="3ECE12F5" w14:textId="245D02A7"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Variance</w:t>
            </w:r>
          </w:p>
        </w:tc>
        <w:tc>
          <w:tcPr>
            <w:tcW w:w="2045" w:type="dxa"/>
          </w:tcPr>
          <w:p w14:paraId="02BA1215" w14:textId="1B36B129" w:rsidR="00CA01C0" w:rsidRPr="00CA01C0" w:rsidRDefault="00CA01C0" w:rsidP="00C2711B">
            <w:pPr>
              <w:tabs>
                <w:tab w:val="left" w:pos="1080"/>
              </w:tabs>
              <w:jc w:val="both"/>
              <w:rPr>
                <w:rFonts w:ascii="Arial" w:hAnsi="Arial"/>
                <w:bCs/>
                <w:sz w:val="20"/>
                <w:szCs w:val="20"/>
              </w:rPr>
            </w:pPr>
            <w:r>
              <w:rPr>
                <w:rFonts w:ascii="Arial" w:hAnsi="Arial"/>
                <w:bCs/>
                <w:sz w:val="20"/>
                <w:szCs w:val="20"/>
              </w:rPr>
              <w:t>58.03</w:t>
            </w:r>
          </w:p>
        </w:tc>
        <w:tc>
          <w:tcPr>
            <w:tcW w:w="2494" w:type="dxa"/>
          </w:tcPr>
          <w:p w14:paraId="37545146" w14:textId="2783E99B" w:rsidR="00CA01C0" w:rsidRPr="00CA01C0" w:rsidRDefault="00CA01C0" w:rsidP="00C2711B">
            <w:pPr>
              <w:tabs>
                <w:tab w:val="left" w:pos="1080"/>
              </w:tabs>
              <w:jc w:val="both"/>
              <w:rPr>
                <w:rFonts w:ascii="Arial" w:hAnsi="Arial"/>
                <w:bCs/>
                <w:sz w:val="20"/>
                <w:szCs w:val="20"/>
              </w:rPr>
            </w:pPr>
            <w:r>
              <w:rPr>
                <w:rFonts w:ascii="Arial" w:hAnsi="Arial"/>
                <w:bCs/>
                <w:sz w:val="20"/>
                <w:szCs w:val="20"/>
              </w:rPr>
              <w:t>56.93</w:t>
            </w:r>
          </w:p>
        </w:tc>
      </w:tr>
      <w:tr w:rsidR="00CA01C0" w14:paraId="6C0F8384" w14:textId="77777777" w:rsidTr="00031419">
        <w:trPr>
          <w:trHeight w:val="265"/>
          <w:jc w:val="center"/>
        </w:trPr>
        <w:tc>
          <w:tcPr>
            <w:tcW w:w="2943" w:type="dxa"/>
          </w:tcPr>
          <w:p w14:paraId="06EFF11A" w14:textId="3DDCDCDB"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Observations</w:t>
            </w:r>
          </w:p>
        </w:tc>
        <w:tc>
          <w:tcPr>
            <w:tcW w:w="2045" w:type="dxa"/>
          </w:tcPr>
          <w:p w14:paraId="3E012B2B" w14:textId="11A5E506" w:rsidR="00CA01C0" w:rsidRPr="00CA01C0" w:rsidRDefault="00CA01C0" w:rsidP="00C2711B">
            <w:pPr>
              <w:tabs>
                <w:tab w:val="left" w:pos="1080"/>
              </w:tabs>
              <w:jc w:val="both"/>
              <w:rPr>
                <w:rFonts w:ascii="Arial" w:hAnsi="Arial"/>
                <w:bCs/>
                <w:sz w:val="20"/>
                <w:szCs w:val="20"/>
              </w:rPr>
            </w:pPr>
            <w:r>
              <w:rPr>
                <w:rFonts w:ascii="Arial" w:hAnsi="Arial"/>
                <w:bCs/>
                <w:sz w:val="20"/>
                <w:szCs w:val="20"/>
              </w:rPr>
              <w:t>50</w:t>
            </w:r>
          </w:p>
        </w:tc>
        <w:tc>
          <w:tcPr>
            <w:tcW w:w="2494" w:type="dxa"/>
          </w:tcPr>
          <w:p w14:paraId="4DE1D75A" w14:textId="267725AD" w:rsidR="00CA01C0" w:rsidRPr="00CA01C0" w:rsidRDefault="00CA01C0" w:rsidP="00C2711B">
            <w:pPr>
              <w:tabs>
                <w:tab w:val="left" w:pos="1080"/>
              </w:tabs>
              <w:jc w:val="both"/>
              <w:rPr>
                <w:rFonts w:ascii="Arial" w:hAnsi="Arial"/>
                <w:bCs/>
                <w:sz w:val="20"/>
                <w:szCs w:val="20"/>
              </w:rPr>
            </w:pPr>
            <w:r>
              <w:rPr>
                <w:rFonts w:ascii="Arial" w:hAnsi="Arial"/>
                <w:bCs/>
                <w:sz w:val="20"/>
                <w:szCs w:val="20"/>
              </w:rPr>
              <w:t>50</w:t>
            </w:r>
          </w:p>
        </w:tc>
      </w:tr>
      <w:tr w:rsidR="00CA01C0" w14:paraId="7094DAE2" w14:textId="77777777" w:rsidTr="00031419">
        <w:trPr>
          <w:trHeight w:val="283"/>
          <w:jc w:val="center"/>
        </w:trPr>
        <w:tc>
          <w:tcPr>
            <w:tcW w:w="2943" w:type="dxa"/>
          </w:tcPr>
          <w:p w14:paraId="2A354768" w14:textId="05B94370" w:rsidR="00CA01C0" w:rsidRPr="00CA01C0" w:rsidRDefault="00CA01C0" w:rsidP="00C2711B">
            <w:pPr>
              <w:tabs>
                <w:tab w:val="left" w:pos="1080"/>
              </w:tabs>
              <w:jc w:val="both"/>
              <w:rPr>
                <w:rFonts w:ascii="Arial" w:hAnsi="Arial"/>
                <w:bCs/>
                <w:sz w:val="20"/>
                <w:szCs w:val="20"/>
              </w:rPr>
            </w:pPr>
            <w:r w:rsidRPr="00CA01C0">
              <w:rPr>
                <w:rFonts w:ascii="Arial" w:hAnsi="Arial"/>
                <w:bCs/>
                <w:sz w:val="20"/>
                <w:szCs w:val="20"/>
              </w:rPr>
              <w:t>df</w:t>
            </w:r>
          </w:p>
        </w:tc>
        <w:tc>
          <w:tcPr>
            <w:tcW w:w="2045" w:type="dxa"/>
          </w:tcPr>
          <w:p w14:paraId="59011C59" w14:textId="7BD4EB42" w:rsidR="00CA01C0" w:rsidRPr="00CA01C0" w:rsidRDefault="00CA01C0" w:rsidP="00C2711B">
            <w:pPr>
              <w:tabs>
                <w:tab w:val="left" w:pos="1080"/>
              </w:tabs>
              <w:jc w:val="both"/>
              <w:rPr>
                <w:rFonts w:ascii="Arial" w:hAnsi="Arial"/>
                <w:bCs/>
                <w:sz w:val="20"/>
                <w:szCs w:val="20"/>
              </w:rPr>
            </w:pPr>
            <w:r>
              <w:rPr>
                <w:rFonts w:ascii="Arial" w:hAnsi="Arial"/>
                <w:bCs/>
                <w:sz w:val="20"/>
                <w:szCs w:val="20"/>
              </w:rPr>
              <w:t>98</w:t>
            </w:r>
          </w:p>
        </w:tc>
        <w:tc>
          <w:tcPr>
            <w:tcW w:w="2494" w:type="dxa"/>
          </w:tcPr>
          <w:p w14:paraId="1AA96BAF" w14:textId="77777777" w:rsidR="00CA01C0" w:rsidRPr="00CA01C0" w:rsidRDefault="00CA01C0" w:rsidP="00C2711B">
            <w:pPr>
              <w:tabs>
                <w:tab w:val="left" w:pos="1080"/>
              </w:tabs>
              <w:jc w:val="both"/>
              <w:rPr>
                <w:rFonts w:ascii="Arial" w:hAnsi="Arial"/>
                <w:bCs/>
                <w:sz w:val="20"/>
                <w:szCs w:val="20"/>
              </w:rPr>
            </w:pPr>
          </w:p>
        </w:tc>
      </w:tr>
      <w:tr w:rsidR="00CA01C0" w14:paraId="486EB35F" w14:textId="77777777" w:rsidTr="00031419">
        <w:trPr>
          <w:trHeight w:val="259"/>
          <w:jc w:val="center"/>
        </w:trPr>
        <w:tc>
          <w:tcPr>
            <w:tcW w:w="2943" w:type="dxa"/>
          </w:tcPr>
          <w:p w14:paraId="199E06CA" w14:textId="3B5C956C" w:rsidR="00CA01C0" w:rsidRPr="00CA01C0" w:rsidRDefault="00CA01C0" w:rsidP="00C2711B">
            <w:pPr>
              <w:tabs>
                <w:tab w:val="left" w:pos="1080"/>
              </w:tabs>
              <w:jc w:val="both"/>
              <w:rPr>
                <w:rFonts w:ascii="Arial" w:hAnsi="Arial"/>
                <w:bCs/>
                <w:sz w:val="20"/>
                <w:szCs w:val="20"/>
              </w:rPr>
            </w:pPr>
            <w:r w:rsidRPr="00F87D38">
              <w:rPr>
                <w:rFonts w:ascii="Arial" w:hAnsi="Arial"/>
                <w:bCs/>
                <w:i/>
                <w:iCs/>
                <w:sz w:val="20"/>
                <w:szCs w:val="20"/>
              </w:rPr>
              <w:t>P</w:t>
            </w:r>
            <w:r w:rsidRPr="00CA01C0">
              <w:rPr>
                <w:rFonts w:ascii="Arial" w:hAnsi="Arial"/>
                <w:bCs/>
                <w:sz w:val="20"/>
                <w:szCs w:val="20"/>
              </w:rPr>
              <w:t xml:space="preserve"> Value (</w:t>
            </w:r>
            <w:r w:rsidR="00A278B6">
              <w:rPr>
                <w:rFonts w:ascii="Arial" w:hAnsi="Arial"/>
                <w:bCs/>
                <w:sz w:val="20"/>
                <w:szCs w:val="20"/>
              </w:rPr>
              <w:t>t</w:t>
            </w:r>
            <w:r w:rsidRPr="00CA01C0">
              <w:rPr>
                <w:rFonts w:ascii="Arial" w:hAnsi="Arial"/>
                <w:bCs/>
                <w:sz w:val="20"/>
                <w:szCs w:val="20"/>
              </w:rPr>
              <w:t>wo tail)</w:t>
            </w:r>
          </w:p>
        </w:tc>
        <w:tc>
          <w:tcPr>
            <w:tcW w:w="2045" w:type="dxa"/>
          </w:tcPr>
          <w:p w14:paraId="5E77426E" w14:textId="77D1D21D" w:rsidR="00CA01C0" w:rsidRPr="00CA01C0" w:rsidRDefault="00CA01C0" w:rsidP="00C2711B">
            <w:pPr>
              <w:tabs>
                <w:tab w:val="left" w:pos="1080"/>
              </w:tabs>
              <w:jc w:val="both"/>
              <w:rPr>
                <w:rFonts w:ascii="Arial" w:hAnsi="Arial"/>
                <w:bCs/>
                <w:sz w:val="20"/>
                <w:szCs w:val="20"/>
              </w:rPr>
            </w:pPr>
            <w:r>
              <w:rPr>
                <w:rFonts w:ascii="Arial" w:hAnsi="Arial"/>
                <w:bCs/>
                <w:sz w:val="20"/>
                <w:szCs w:val="20"/>
              </w:rPr>
              <w:t>0.86</w:t>
            </w:r>
          </w:p>
        </w:tc>
        <w:tc>
          <w:tcPr>
            <w:tcW w:w="2494" w:type="dxa"/>
          </w:tcPr>
          <w:p w14:paraId="203C6801" w14:textId="77777777" w:rsidR="00CA01C0" w:rsidRPr="00CA01C0" w:rsidRDefault="00CA01C0" w:rsidP="00C2711B">
            <w:pPr>
              <w:tabs>
                <w:tab w:val="left" w:pos="1080"/>
              </w:tabs>
              <w:jc w:val="both"/>
              <w:rPr>
                <w:rFonts w:ascii="Arial" w:hAnsi="Arial"/>
                <w:bCs/>
                <w:sz w:val="20"/>
                <w:szCs w:val="20"/>
              </w:rPr>
            </w:pPr>
          </w:p>
        </w:tc>
      </w:tr>
      <w:tr w:rsidR="00CA01C0" w14:paraId="3CE0AC5D" w14:textId="77777777" w:rsidTr="00031419">
        <w:trPr>
          <w:trHeight w:val="291"/>
          <w:jc w:val="center"/>
        </w:trPr>
        <w:tc>
          <w:tcPr>
            <w:tcW w:w="2943" w:type="dxa"/>
            <w:tcBorders>
              <w:bottom w:val="single" w:sz="4" w:space="0" w:color="auto"/>
            </w:tcBorders>
          </w:tcPr>
          <w:p w14:paraId="383B5B5D" w14:textId="50A2E376" w:rsidR="00CA01C0" w:rsidRPr="00CA01C0" w:rsidRDefault="00083FCB" w:rsidP="00C2711B">
            <w:pPr>
              <w:tabs>
                <w:tab w:val="left" w:pos="1080"/>
              </w:tabs>
              <w:jc w:val="both"/>
              <w:rPr>
                <w:rFonts w:ascii="Arial" w:hAnsi="Arial"/>
                <w:bCs/>
                <w:sz w:val="20"/>
                <w:szCs w:val="20"/>
              </w:rPr>
            </w:pPr>
            <w:r>
              <w:rPr>
                <w:rFonts w:ascii="Arial" w:hAnsi="Arial"/>
                <w:bCs/>
                <w:sz w:val="20"/>
                <w:szCs w:val="20"/>
              </w:rPr>
              <w:t>t</w:t>
            </w:r>
            <w:r w:rsidR="00CA01C0" w:rsidRPr="00CA01C0">
              <w:rPr>
                <w:rFonts w:ascii="Arial" w:hAnsi="Arial"/>
                <w:bCs/>
                <w:sz w:val="20"/>
                <w:szCs w:val="20"/>
              </w:rPr>
              <w:t xml:space="preserve"> critical (two tail)</w:t>
            </w:r>
          </w:p>
        </w:tc>
        <w:tc>
          <w:tcPr>
            <w:tcW w:w="2045" w:type="dxa"/>
            <w:tcBorders>
              <w:bottom w:val="single" w:sz="4" w:space="0" w:color="auto"/>
            </w:tcBorders>
          </w:tcPr>
          <w:p w14:paraId="582CE0F1" w14:textId="73F887DA" w:rsidR="00CA01C0" w:rsidRPr="00CA01C0" w:rsidRDefault="00CA01C0" w:rsidP="00C2711B">
            <w:pPr>
              <w:tabs>
                <w:tab w:val="left" w:pos="1080"/>
              </w:tabs>
              <w:jc w:val="both"/>
              <w:rPr>
                <w:rFonts w:ascii="Arial" w:hAnsi="Arial"/>
                <w:bCs/>
                <w:sz w:val="20"/>
                <w:szCs w:val="20"/>
              </w:rPr>
            </w:pPr>
            <w:r>
              <w:rPr>
                <w:rFonts w:ascii="Arial" w:hAnsi="Arial"/>
                <w:bCs/>
                <w:sz w:val="20"/>
                <w:szCs w:val="20"/>
              </w:rPr>
              <w:t>1.98</w:t>
            </w:r>
          </w:p>
        </w:tc>
        <w:tc>
          <w:tcPr>
            <w:tcW w:w="2494" w:type="dxa"/>
            <w:tcBorders>
              <w:bottom w:val="single" w:sz="4" w:space="0" w:color="auto"/>
            </w:tcBorders>
          </w:tcPr>
          <w:p w14:paraId="4CBE5571" w14:textId="77777777" w:rsidR="00CA01C0" w:rsidRPr="00CA01C0" w:rsidRDefault="00CA01C0" w:rsidP="00C2711B">
            <w:pPr>
              <w:tabs>
                <w:tab w:val="left" w:pos="1080"/>
              </w:tabs>
              <w:jc w:val="both"/>
              <w:rPr>
                <w:rFonts w:ascii="Arial" w:hAnsi="Arial"/>
                <w:bCs/>
                <w:sz w:val="20"/>
                <w:szCs w:val="20"/>
              </w:rPr>
            </w:pPr>
          </w:p>
        </w:tc>
      </w:tr>
    </w:tbl>
    <w:p w14:paraId="715B4A4E" w14:textId="77777777" w:rsidR="00C2711B" w:rsidRPr="00EE1F41" w:rsidRDefault="00C2711B" w:rsidP="00C2711B">
      <w:pPr>
        <w:spacing w:line="360" w:lineRule="auto"/>
        <w:jc w:val="both"/>
        <w:rPr>
          <w:rFonts w:ascii="Arial" w:hAnsi="Arial" w:cs="Arial"/>
          <w:i/>
          <w:iCs/>
          <w:sz w:val="18"/>
          <w:szCs w:val="18"/>
        </w:rPr>
      </w:pPr>
      <w:r w:rsidRPr="00EE1F41">
        <w:rPr>
          <w:rFonts w:ascii="Arial" w:hAnsi="Arial" w:cs="Arial"/>
          <w:i/>
          <w:iCs/>
          <w:sz w:val="18"/>
          <w:szCs w:val="18"/>
        </w:rPr>
        <w:t>*0.05 level of significance</w:t>
      </w:r>
    </w:p>
    <w:p w14:paraId="3F2CDDC9" w14:textId="5513C01C" w:rsidR="00532BD9" w:rsidRPr="00532BD9" w:rsidRDefault="00532BD9" w:rsidP="00532BD9">
      <w:pPr>
        <w:pStyle w:val="BodyText3"/>
        <w:tabs>
          <w:tab w:val="left" w:pos="1080"/>
        </w:tabs>
        <w:jc w:val="both"/>
        <w:rPr>
          <w:rFonts w:ascii="Arial" w:hAnsi="Arial" w:cs="Arial"/>
          <w:lang w:val="en-IN"/>
        </w:rPr>
      </w:pPr>
      <w:r w:rsidRPr="00532BD9">
        <w:rPr>
          <w:rFonts w:ascii="Arial" w:hAnsi="Arial" w:cs="Arial"/>
          <w:sz w:val="20"/>
          <w:szCs w:val="20"/>
          <w:lang w:val="en-IN"/>
        </w:rPr>
        <w:t xml:space="preserve">The table presents the results of a statistical analysis comparing the mean scores of male and female participants, each with 50 observations. The mean scores are very close, with females averaging 43 and males slightly lower at 42.74. Despite this small difference, the analysis reveals no statistically significant difference between the two groups. This is evidenced by the </w:t>
      </w:r>
      <w:r w:rsidR="0082772A" w:rsidRPr="0082772A">
        <w:rPr>
          <w:rFonts w:ascii="Arial" w:hAnsi="Arial" w:cs="Arial"/>
          <w:i/>
          <w:iCs/>
          <w:sz w:val="20"/>
          <w:szCs w:val="20"/>
          <w:lang w:val="en-IN"/>
        </w:rPr>
        <w:t>P</w:t>
      </w:r>
      <w:r w:rsidRPr="00532BD9">
        <w:rPr>
          <w:rFonts w:ascii="Arial" w:hAnsi="Arial" w:cs="Arial"/>
          <w:sz w:val="20"/>
          <w:szCs w:val="20"/>
          <w:lang w:val="en-IN"/>
        </w:rPr>
        <w:t xml:space="preserve">-values from two-tailed (0.86) t-tests, the critical value is higher which </w:t>
      </w:r>
      <w:r w:rsidR="00A278B6" w:rsidRPr="00532BD9">
        <w:rPr>
          <w:rFonts w:ascii="Arial" w:hAnsi="Arial" w:cs="Arial"/>
          <w:sz w:val="20"/>
          <w:szCs w:val="20"/>
          <w:lang w:val="en-IN"/>
        </w:rPr>
        <w:t>is Two</w:t>
      </w:r>
      <w:r w:rsidRPr="00532BD9">
        <w:rPr>
          <w:rFonts w:ascii="Arial" w:hAnsi="Arial" w:cs="Arial"/>
          <w:sz w:val="20"/>
          <w:szCs w:val="20"/>
          <w:lang w:val="en-IN"/>
        </w:rPr>
        <w:t xml:space="preserve">-Tailed t Critical-1.98 at 0.05 level of significance. Additionally, the variances are nearly identical, indicating similar variability in scores between the two groups. From these findings, we can conclude that the difference in average scores between males and females is likely due to random variation rather than any meaningful difference in performance. So, the hypothesis “there is significant difference between male and female students in regard to convergent thinking” </w:t>
      </w:r>
      <w:r w:rsidR="00A278B6" w:rsidRPr="00532BD9">
        <w:rPr>
          <w:rFonts w:ascii="Arial" w:hAnsi="Arial" w:cs="Arial"/>
          <w:sz w:val="20"/>
          <w:szCs w:val="20"/>
          <w:lang w:val="en-IN"/>
        </w:rPr>
        <w:t>is accepted</w:t>
      </w:r>
      <w:r w:rsidRPr="00532BD9">
        <w:rPr>
          <w:rFonts w:ascii="Arial" w:hAnsi="Arial" w:cs="Arial"/>
          <w:sz w:val="20"/>
          <w:szCs w:val="20"/>
          <w:lang w:val="en-IN"/>
        </w:rPr>
        <w:t>. This result is consistent with Rajaguru (1996) who concluded from his study that no significant difference was noticed in the convergent thinking of visually impaired boys and girls.</w:t>
      </w:r>
    </w:p>
    <w:p w14:paraId="14BEED54" w14:textId="1C0ED04C" w:rsidR="00C2711B" w:rsidRDefault="006D458C" w:rsidP="006D458C">
      <w:pPr>
        <w:pStyle w:val="Body"/>
        <w:rPr>
          <w:rFonts w:ascii="Arial" w:hAnsi="Arial" w:cs="Arial"/>
          <w:b/>
          <w:bCs/>
          <w:sz w:val="22"/>
          <w:szCs w:val="22"/>
          <w:lang w:val="en-IN"/>
        </w:rPr>
      </w:pPr>
      <w:r>
        <w:rPr>
          <w:rFonts w:ascii="Arial" w:hAnsi="Arial" w:cs="Arial"/>
          <w:b/>
          <w:bCs/>
          <w:sz w:val="22"/>
          <w:szCs w:val="22"/>
          <w:lang w:val="en-IN"/>
        </w:rPr>
        <w:t>3.3 O</w:t>
      </w:r>
      <w:r w:rsidR="00CB76AC" w:rsidRPr="00C2711B">
        <w:rPr>
          <w:rFonts w:ascii="Arial" w:hAnsi="Arial" w:cs="Arial"/>
          <w:b/>
          <w:bCs/>
          <w:sz w:val="22"/>
          <w:szCs w:val="22"/>
          <w:lang w:val="en-IN"/>
        </w:rPr>
        <w:t xml:space="preserve">bjective no </w:t>
      </w:r>
      <w:r w:rsidR="00CB76AC">
        <w:rPr>
          <w:rFonts w:ascii="Arial" w:hAnsi="Arial" w:cs="Arial"/>
          <w:b/>
          <w:bCs/>
          <w:sz w:val="22"/>
          <w:szCs w:val="22"/>
          <w:lang w:val="en-IN"/>
        </w:rPr>
        <w:t>3</w:t>
      </w:r>
      <w:r w:rsidR="00CB76AC" w:rsidRPr="00C2711B">
        <w:rPr>
          <w:rFonts w:ascii="Arial" w:hAnsi="Arial" w:cs="Arial"/>
          <w:b/>
          <w:bCs/>
          <w:sz w:val="22"/>
          <w:szCs w:val="22"/>
          <w:lang w:val="en-IN"/>
        </w:rPr>
        <w:t>:</w:t>
      </w:r>
      <w:r w:rsidR="00CB76AC">
        <w:rPr>
          <w:rFonts w:ascii="Arial" w:hAnsi="Arial" w:cs="Arial"/>
          <w:b/>
          <w:bCs/>
          <w:sz w:val="22"/>
          <w:szCs w:val="22"/>
          <w:lang w:val="en-IN"/>
        </w:rPr>
        <w:t xml:space="preserve"> </w:t>
      </w:r>
      <w:r w:rsidR="00CB76AC" w:rsidRPr="00CB76AC">
        <w:rPr>
          <w:rFonts w:ascii="Arial" w:hAnsi="Arial" w:cs="Arial"/>
          <w:b/>
          <w:bCs/>
          <w:sz w:val="22"/>
          <w:szCs w:val="22"/>
        </w:rPr>
        <w:t xml:space="preserve">To examine the relationships between convergent thinking </w:t>
      </w:r>
      <w:r w:rsidR="00CB76AC" w:rsidRPr="00CB76AC">
        <w:rPr>
          <w:rFonts w:ascii="Arial" w:hAnsi="Arial" w:cs="Arial"/>
          <w:b/>
          <w:bCs/>
          <w:sz w:val="22"/>
          <w:szCs w:val="22"/>
          <w:lang w:val="en-IN"/>
        </w:rPr>
        <w:t xml:space="preserve">and academic achievement </w:t>
      </w:r>
      <w:r w:rsidR="00A927E9">
        <w:rPr>
          <w:rFonts w:ascii="Arial" w:hAnsi="Arial" w:cs="Arial"/>
          <w:b/>
          <w:bCs/>
          <w:sz w:val="22"/>
          <w:szCs w:val="22"/>
          <w:lang w:val="en-IN"/>
        </w:rPr>
        <w:t xml:space="preserve">in mathematics </w:t>
      </w:r>
      <w:r w:rsidR="00CB76AC" w:rsidRPr="00CB76AC">
        <w:rPr>
          <w:rFonts w:ascii="Arial" w:hAnsi="Arial" w:cs="Arial"/>
          <w:b/>
          <w:bCs/>
          <w:sz w:val="22"/>
          <w:szCs w:val="22"/>
          <w:lang w:val="en-IN"/>
        </w:rPr>
        <w:t>of Higher Secondary students.</w:t>
      </w:r>
    </w:p>
    <w:p w14:paraId="6DE08C12" w14:textId="180E4AA4" w:rsidR="00214A12" w:rsidRPr="00214A12" w:rsidRDefault="00214A12" w:rsidP="00214A12">
      <w:pPr>
        <w:pStyle w:val="Body"/>
        <w:rPr>
          <w:rFonts w:ascii="Arial" w:hAnsi="Arial" w:cs="Arial"/>
          <w:b/>
          <w:bCs/>
          <w:lang w:val="en-IN"/>
        </w:rPr>
      </w:pPr>
      <w:r w:rsidRPr="00214A12">
        <w:rPr>
          <w:rFonts w:ascii="Arial" w:hAnsi="Arial" w:cs="Arial"/>
          <w:b/>
          <w:bCs/>
          <w:lang w:val="en-IN"/>
        </w:rPr>
        <w:lastRenderedPageBreak/>
        <w:t>Table 3: Coefficienet of correlation between convergent thinking and academic achievement</w:t>
      </w:r>
      <w:r w:rsidR="00A927E9">
        <w:rPr>
          <w:rFonts w:ascii="Arial" w:hAnsi="Arial" w:cs="Arial"/>
          <w:b/>
          <w:bCs/>
          <w:lang w:val="en-IN"/>
        </w:rPr>
        <w:t xml:space="preserve"> in mathematics</w:t>
      </w:r>
      <w:r w:rsidRPr="00214A12">
        <w:rPr>
          <w:rFonts w:ascii="Arial" w:hAnsi="Arial" w:cs="Arial"/>
          <w:b/>
          <w:bCs/>
          <w:lang w:val="en-IN"/>
        </w:rPr>
        <w:t xml:space="preserve"> of Higher secondary students</w:t>
      </w:r>
    </w:p>
    <w:tbl>
      <w:tblPr>
        <w:tblStyle w:val="TableGrid1"/>
        <w:tblW w:w="0" w:type="auto"/>
        <w:tblLook w:val="04A0" w:firstRow="1" w:lastRow="0" w:firstColumn="1" w:lastColumn="0" w:noHBand="0" w:noVBand="1"/>
      </w:tblPr>
      <w:tblGrid>
        <w:gridCol w:w="2943"/>
        <w:gridCol w:w="2127"/>
        <w:gridCol w:w="1417"/>
        <w:gridCol w:w="1937"/>
      </w:tblGrid>
      <w:tr w:rsidR="00CE536C" w:rsidRPr="00CE536C" w14:paraId="79920F8B" w14:textId="77777777" w:rsidTr="001F0720">
        <w:tc>
          <w:tcPr>
            <w:tcW w:w="2943" w:type="dxa"/>
            <w:tcBorders>
              <w:top w:val="single" w:sz="4" w:space="0" w:color="auto"/>
              <w:left w:val="nil"/>
              <w:bottom w:val="single" w:sz="4" w:space="0" w:color="auto"/>
              <w:right w:val="nil"/>
            </w:tcBorders>
          </w:tcPr>
          <w:p w14:paraId="5DBDC065"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Variables</w:t>
            </w:r>
          </w:p>
        </w:tc>
        <w:tc>
          <w:tcPr>
            <w:tcW w:w="2127" w:type="dxa"/>
            <w:tcBorders>
              <w:top w:val="single" w:sz="4" w:space="0" w:color="auto"/>
              <w:left w:val="nil"/>
              <w:bottom w:val="single" w:sz="4" w:space="0" w:color="auto"/>
              <w:right w:val="nil"/>
            </w:tcBorders>
          </w:tcPr>
          <w:p w14:paraId="538AC466" w14:textId="582FB306"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Co-efficient of correlation</w:t>
            </w:r>
            <w:r w:rsidR="00AF5568">
              <w:rPr>
                <w:rFonts w:ascii="Arial" w:hAnsi="Arial" w:cs="Arial"/>
                <w:b/>
                <w:bCs/>
                <w:sz w:val="20"/>
                <w:szCs w:val="20"/>
                <w:lang w:val="en-IN"/>
              </w:rPr>
              <w:t>(r)</w:t>
            </w:r>
          </w:p>
        </w:tc>
        <w:tc>
          <w:tcPr>
            <w:tcW w:w="1417" w:type="dxa"/>
            <w:tcBorders>
              <w:top w:val="single" w:sz="4" w:space="0" w:color="auto"/>
              <w:left w:val="nil"/>
              <w:bottom w:val="single" w:sz="4" w:space="0" w:color="auto"/>
              <w:right w:val="nil"/>
            </w:tcBorders>
          </w:tcPr>
          <w:p w14:paraId="0D9D5181"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df (N-2)</w:t>
            </w:r>
          </w:p>
        </w:tc>
        <w:tc>
          <w:tcPr>
            <w:tcW w:w="1937" w:type="dxa"/>
            <w:tcBorders>
              <w:top w:val="single" w:sz="4" w:space="0" w:color="auto"/>
              <w:left w:val="nil"/>
              <w:bottom w:val="single" w:sz="4" w:space="0" w:color="auto"/>
              <w:right w:val="nil"/>
            </w:tcBorders>
          </w:tcPr>
          <w:p w14:paraId="674C6A2C" w14:textId="77777777" w:rsidR="00CE536C" w:rsidRPr="00A278B6" w:rsidRDefault="00CE536C" w:rsidP="001F0720">
            <w:pPr>
              <w:spacing w:after="160" w:line="360" w:lineRule="auto"/>
              <w:contextualSpacing/>
              <w:rPr>
                <w:rFonts w:ascii="Arial" w:hAnsi="Arial" w:cs="Arial"/>
                <w:b/>
                <w:bCs/>
                <w:sz w:val="20"/>
                <w:szCs w:val="20"/>
                <w:lang w:val="en-IN"/>
              </w:rPr>
            </w:pPr>
            <w:r w:rsidRPr="00A278B6">
              <w:rPr>
                <w:rFonts w:ascii="Arial" w:hAnsi="Arial" w:cs="Arial"/>
                <w:b/>
                <w:bCs/>
                <w:sz w:val="20"/>
                <w:szCs w:val="20"/>
                <w:lang w:val="en-IN"/>
              </w:rPr>
              <w:t>Level of significance</w:t>
            </w:r>
          </w:p>
        </w:tc>
      </w:tr>
      <w:tr w:rsidR="00CE536C" w:rsidRPr="00CE536C" w14:paraId="7709A07C" w14:textId="77777777" w:rsidTr="001F0720">
        <w:tc>
          <w:tcPr>
            <w:tcW w:w="2943" w:type="dxa"/>
            <w:tcBorders>
              <w:top w:val="single" w:sz="4" w:space="0" w:color="auto"/>
              <w:left w:val="nil"/>
              <w:bottom w:val="single" w:sz="4" w:space="0" w:color="auto"/>
              <w:right w:val="nil"/>
            </w:tcBorders>
          </w:tcPr>
          <w:p w14:paraId="736B4779"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Convergent thinking</w:t>
            </w:r>
          </w:p>
        </w:tc>
        <w:tc>
          <w:tcPr>
            <w:tcW w:w="2127" w:type="dxa"/>
            <w:vMerge w:val="restart"/>
            <w:tcBorders>
              <w:top w:val="single" w:sz="4" w:space="0" w:color="auto"/>
              <w:left w:val="nil"/>
              <w:bottom w:val="single" w:sz="4" w:space="0" w:color="auto"/>
              <w:right w:val="nil"/>
            </w:tcBorders>
          </w:tcPr>
          <w:p w14:paraId="75A1D016"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0.43</w:t>
            </w:r>
          </w:p>
        </w:tc>
        <w:tc>
          <w:tcPr>
            <w:tcW w:w="1417" w:type="dxa"/>
            <w:vMerge w:val="restart"/>
            <w:tcBorders>
              <w:top w:val="single" w:sz="4" w:space="0" w:color="auto"/>
              <w:left w:val="nil"/>
              <w:bottom w:val="single" w:sz="4" w:space="0" w:color="auto"/>
              <w:right w:val="nil"/>
            </w:tcBorders>
          </w:tcPr>
          <w:p w14:paraId="5BB8C1D2"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98</w:t>
            </w:r>
          </w:p>
        </w:tc>
        <w:tc>
          <w:tcPr>
            <w:tcW w:w="1937" w:type="dxa"/>
            <w:vMerge w:val="restart"/>
            <w:tcBorders>
              <w:top w:val="single" w:sz="4" w:space="0" w:color="auto"/>
              <w:left w:val="nil"/>
              <w:bottom w:val="single" w:sz="4" w:space="0" w:color="auto"/>
              <w:right w:val="nil"/>
            </w:tcBorders>
          </w:tcPr>
          <w:p w14:paraId="59F0696F" w14:textId="77777777"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0.05</w:t>
            </w:r>
          </w:p>
        </w:tc>
      </w:tr>
      <w:tr w:rsidR="00CE536C" w:rsidRPr="00CE536C" w14:paraId="4FE0F6EE" w14:textId="77777777" w:rsidTr="001F0720">
        <w:tc>
          <w:tcPr>
            <w:tcW w:w="2943" w:type="dxa"/>
            <w:tcBorders>
              <w:top w:val="single" w:sz="4" w:space="0" w:color="auto"/>
              <w:left w:val="nil"/>
              <w:bottom w:val="single" w:sz="4" w:space="0" w:color="auto"/>
              <w:right w:val="nil"/>
            </w:tcBorders>
          </w:tcPr>
          <w:p w14:paraId="475EBB18" w14:textId="2F84C6A1" w:rsidR="00CE536C" w:rsidRPr="00A278B6" w:rsidRDefault="00CE536C" w:rsidP="001F0720">
            <w:pPr>
              <w:spacing w:after="160" w:line="360" w:lineRule="auto"/>
              <w:contextualSpacing/>
              <w:rPr>
                <w:rFonts w:ascii="Arial" w:hAnsi="Arial" w:cs="Arial"/>
                <w:sz w:val="20"/>
                <w:szCs w:val="20"/>
                <w:lang w:val="en-IN"/>
              </w:rPr>
            </w:pPr>
            <w:r w:rsidRPr="00A278B6">
              <w:rPr>
                <w:rFonts w:ascii="Arial" w:hAnsi="Arial" w:cs="Arial"/>
                <w:sz w:val="20"/>
                <w:szCs w:val="20"/>
                <w:lang w:val="en-IN"/>
              </w:rPr>
              <w:t xml:space="preserve">Achievement in </w:t>
            </w:r>
            <w:r w:rsidR="00A927E9">
              <w:rPr>
                <w:rFonts w:ascii="Arial" w:hAnsi="Arial" w:cs="Arial"/>
                <w:sz w:val="20"/>
                <w:szCs w:val="20"/>
                <w:lang w:val="en-IN"/>
              </w:rPr>
              <w:t>Mathematics</w:t>
            </w:r>
          </w:p>
        </w:tc>
        <w:tc>
          <w:tcPr>
            <w:tcW w:w="2127" w:type="dxa"/>
            <w:vMerge/>
            <w:tcBorders>
              <w:top w:val="nil"/>
              <w:left w:val="nil"/>
              <w:bottom w:val="single" w:sz="4" w:space="0" w:color="auto"/>
              <w:right w:val="nil"/>
            </w:tcBorders>
          </w:tcPr>
          <w:p w14:paraId="183C5FE9" w14:textId="77777777" w:rsidR="00CE536C" w:rsidRPr="00CE536C" w:rsidRDefault="00CE536C" w:rsidP="00CE536C">
            <w:pPr>
              <w:spacing w:after="160" w:line="360" w:lineRule="auto"/>
              <w:contextualSpacing/>
              <w:jc w:val="center"/>
              <w:rPr>
                <w:rFonts w:ascii="Arial" w:hAnsi="Arial" w:cs="Arial"/>
                <w:szCs w:val="22"/>
                <w:lang w:val="en-IN"/>
              </w:rPr>
            </w:pPr>
          </w:p>
        </w:tc>
        <w:tc>
          <w:tcPr>
            <w:tcW w:w="1417" w:type="dxa"/>
            <w:vMerge/>
            <w:tcBorders>
              <w:top w:val="nil"/>
              <w:left w:val="nil"/>
              <w:bottom w:val="single" w:sz="4" w:space="0" w:color="auto"/>
              <w:right w:val="nil"/>
            </w:tcBorders>
          </w:tcPr>
          <w:p w14:paraId="5F383F77" w14:textId="77777777" w:rsidR="00CE536C" w:rsidRPr="00CE536C" w:rsidRDefault="00CE536C" w:rsidP="00CE536C">
            <w:pPr>
              <w:spacing w:after="160" w:line="360" w:lineRule="auto"/>
              <w:contextualSpacing/>
              <w:jc w:val="center"/>
              <w:rPr>
                <w:rFonts w:ascii="Arial" w:hAnsi="Arial" w:cs="Arial"/>
                <w:szCs w:val="22"/>
                <w:lang w:val="en-IN"/>
              </w:rPr>
            </w:pPr>
          </w:p>
        </w:tc>
        <w:tc>
          <w:tcPr>
            <w:tcW w:w="1937" w:type="dxa"/>
            <w:vMerge/>
            <w:tcBorders>
              <w:top w:val="nil"/>
              <w:left w:val="nil"/>
              <w:bottom w:val="single" w:sz="4" w:space="0" w:color="auto"/>
              <w:right w:val="nil"/>
            </w:tcBorders>
          </w:tcPr>
          <w:p w14:paraId="0BE79F8F" w14:textId="77777777" w:rsidR="00CE536C" w:rsidRPr="00CE536C" w:rsidRDefault="00CE536C" w:rsidP="00CE536C">
            <w:pPr>
              <w:spacing w:after="160" w:line="360" w:lineRule="auto"/>
              <w:contextualSpacing/>
              <w:jc w:val="center"/>
              <w:rPr>
                <w:rFonts w:ascii="Arial" w:hAnsi="Arial" w:cs="Arial"/>
                <w:szCs w:val="22"/>
                <w:lang w:val="en-IN"/>
              </w:rPr>
            </w:pPr>
          </w:p>
        </w:tc>
      </w:tr>
    </w:tbl>
    <w:p w14:paraId="046DFB54" w14:textId="77777777" w:rsidR="00CE536C" w:rsidRPr="00CE536C" w:rsidRDefault="00CE536C" w:rsidP="000B2D2A">
      <w:pPr>
        <w:spacing w:after="160" w:line="360" w:lineRule="auto"/>
        <w:contextualSpacing/>
        <w:rPr>
          <w:rFonts w:ascii="Arial" w:eastAsia="Calibri" w:hAnsi="Arial" w:cs="Arial"/>
          <w:kern w:val="2"/>
          <w:sz w:val="22"/>
          <w:szCs w:val="22"/>
          <w:lang w:bidi="as-IN"/>
        </w:rPr>
      </w:pPr>
    </w:p>
    <w:p w14:paraId="62D98D9B" w14:textId="115BB9AC" w:rsidR="00790ADA" w:rsidRPr="00CE536C" w:rsidRDefault="00CE536C" w:rsidP="00CB76AC">
      <w:pPr>
        <w:pStyle w:val="Body"/>
        <w:rPr>
          <w:rFonts w:ascii="Arial" w:hAnsi="Arial" w:cs="Arial"/>
          <w:lang w:val="en-IN"/>
        </w:rPr>
      </w:pPr>
      <w:r w:rsidRPr="00CE536C">
        <w:rPr>
          <w:rFonts w:ascii="Arial" w:hAnsi="Arial" w:cs="Arial"/>
          <w:lang w:val="en-IN"/>
        </w:rPr>
        <w:t xml:space="preserve">To investigate the significance of correlation between academic achievement </w:t>
      </w:r>
      <w:r w:rsidR="00A927E9">
        <w:rPr>
          <w:rFonts w:ascii="Arial" w:hAnsi="Arial" w:cs="Arial"/>
          <w:lang w:val="en-IN"/>
        </w:rPr>
        <w:t xml:space="preserve">in mathematics </w:t>
      </w:r>
      <w:r w:rsidRPr="00CE536C">
        <w:rPr>
          <w:rFonts w:ascii="Arial" w:hAnsi="Arial" w:cs="Arial"/>
          <w:lang w:val="en-IN"/>
        </w:rPr>
        <w:t>and convergent thinking among higher secondary students, Pearson coefficient of correlation was calculated. The calculated value of correlation between academic achievement</w:t>
      </w:r>
      <w:r w:rsidR="00AB2CD1">
        <w:rPr>
          <w:rFonts w:ascii="Arial" w:hAnsi="Arial" w:cs="Arial"/>
          <w:lang w:val="en-IN"/>
        </w:rPr>
        <w:t xml:space="preserve"> in mathematics</w:t>
      </w:r>
      <w:r w:rsidRPr="00CE536C">
        <w:rPr>
          <w:rFonts w:ascii="Arial" w:hAnsi="Arial" w:cs="Arial"/>
          <w:lang w:val="en-IN"/>
        </w:rPr>
        <w:t xml:space="preserve"> and convergent thinking among higher secondary students is (0.4</w:t>
      </w:r>
      <w:r w:rsidR="00AF5568">
        <w:rPr>
          <w:rFonts w:ascii="Arial" w:hAnsi="Arial" w:cs="Arial"/>
          <w:lang w:val="en-IN"/>
        </w:rPr>
        <w:t>3</w:t>
      </w:r>
      <w:r w:rsidRPr="00CE536C">
        <w:rPr>
          <w:rFonts w:ascii="Arial" w:hAnsi="Arial" w:cs="Arial"/>
          <w:lang w:val="en-IN"/>
        </w:rPr>
        <w:t xml:space="preserve">) </w:t>
      </w:r>
      <w:r w:rsidR="00AF5568">
        <w:rPr>
          <w:rFonts w:ascii="Arial" w:hAnsi="Arial" w:cs="Arial"/>
          <w:lang w:val="en-IN"/>
        </w:rPr>
        <w:t xml:space="preserve">and by converting Pearson r to fishers z coefficient score we got 0.46 </w:t>
      </w:r>
      <w:r w:rsidRPr="00CE536C">
        <w:rPr>
          <w:rFonts w:ascii="Arial" w:hAnsi="Arial" w:cs="Arial"/>
          <w:lang w:val="en-IN"/>
        </w:rPr>
        <w:t xml:space="preserve">which is more than tabulated value (.195) at 0.05 level of significance for two tailed test and the degree of freedom is (df=98). Hence the hypothesis that there will be no significant relationship between academic achievement </w:t>
      </w:r>
      <w:r w:rsidR="00AB2CD1">
        <w:rPr>
          <w:rFonts w:ascii="Arial" w:hAnsi="Arial" w:cs="Arial"/>
          <w:lang w:val="en-IN"/>
        </w:rPr>
        <w:t xml:space="preserve">in mathematics </w:t>
      </w:r>
      <w:r w:rsidRPr="00CE536C">
        <w:rPr>
          <w:rFonts w:ascii="Arial" w:hAnsi="Arial" w:cs="Arial"/>
          <w:lang w:val="en-IN"/>
        </w:rPr>
        <w:t xml:space="preserve">and convergent thinking among higher secondary students was not accepted. So, we can interpret that the variable academic achievement </w:t>
      </w:r>
      <w:r w:rsidR="00AB2CD1">
        <w:rPr>
          <w:rFonts w:ascii="Arial" w:hAnsi="Arial" w:cs="Arial"/>
          <w:lang w:val="en-IN"/>
        </w:rPr>
        <w:t xml:space="preserve">in mathematics </w:t>
      </w:r>
      <w:r w:rsidRPr="00CE536C">
        <w:rPr>
          <w:rFonts w:ascii="Arial" w:hAnsi="Arial" w:cs="Arial"/>
          <w:lang w:val="en-IN"/>
        </w:rPr>
        <w:t>and convergent thinking are correlated to each other and there is significant positive correlation between academic achievement</w:t>
      </w:r>
      <w:r w:rsidR="00AB2CD1">
        <w:rPr>
          <w:rFonts w:ascii="Arial" w:hAnsi="Arial" w:cs="Arial"/>
          <w:lang w:val="en-IN"/>
        </w:rPr>
        <w:t xml:space="preserve"> in mathematics</w:t>
      </w:r>
      <w:r w:rsidRPr="00CE536C">
        <w:rPr>
          <w:rFonts w:ascii="Arial" w:hAnsi="Arial" w:cs="Arial"/>
          <w:lang w:val="en-IN"/>
        </w:rPr>
        <w:t xml:space="preserve"> and convergent thinking i.e., higher the convergent thinking ability higher the academic achievement</w:t>
      </w:r>
      <w:r w:rsidR="00AB2CD1">
        <w:rPr>
          <w:rFonts w:ascii="Arial" w:hAnsi="Arial" w:cs="Arial"/>
          <w:lang w:val="en-IN"/>
        </w:rPr>
        <w:t xml:space="preserve"> in mathematics</w:t>
      </w:r>
      <w:r w:rsidRPr="00CE536C">
        <w:rPr>
          <w:rFonts w:ascii="Arial" w:hAnsi="Arial" w:cs="Arial"/>
          <w:lang w:val="en-IN"/>
        </w:rPr>
        <w:t>. The result of this study is consistent with Joshua (2014) who explored the influence of students' experience in past academic success on convergent thinking in Dodoma, Tanzania and the study indicated that there were moderate to strong positive correlations between students past academic success and their performance on convergent thinking.</w:t>
      </w:r>
    </w:p>
    <w:p w14:paraId="4F1A70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60FF2D" w14:textId="77777777" w:rsidR="00790ADA" w:rsidRPr="00FB3A86" w:rsidRDefault="00790ADA" w:rsidP="00441B6F">
      <w:pPr>
        <w:pStyle w:val="ConcHead"/>
        <w:spacing w:after="0"/>
        <w:jc w:val="both"/>
        <w:rPr>
          <w:rFonts w:ascii="Arial" w:hAnsi="Arial" w:cs="Arial"/>
        </w:rPr>
      </w:pPr>
    </w:p>
    <w:p w14:paraId="1AC396B3" w14:textId="59E88F85" w:rsidR="00725FCD" w:rsidRDefault="00725FCD" w:rsidP="00725FCD">
      <w:pPr>
        <w:pStyle w:val="Body"/>
        <w:rPr>
          <w:rFonts w:ascii="Arial" w:hAnsi="Arial" w:cs="Arial"/>
          <w:lang w:val="en-IN"/>
        </w:rPr>
      </w:pPr>
      <w:r w:rsidRPr="00725FCD">
        <w:rPr>
          <w:rFonts w:ascii="Arial" w:hAnsi="Arial" w:cs="Arial"/>
          <w:lang w:val="en-IN"/>
        </w:rPr>
        <w:t>The study aimed to explore the relationship between convergent thinking and academic achievement</w:t>
      </w:r>
      <w:r w:rsidR="00AB2CD1">
        <w:rPr>
          <w:rFonts w:ascii="Arial" w:hAnsi="Arial" w:cs="Arial"/>
          <w:lang w:val="en-IN"/>
        </w:rPr>
        <w:t xml:space="preserve"> in mathematics</w:t>
      </w:r>
      <w:r w:rsidRPr="00725FCD">
        <w:rPr>
          <w:rFonts w:ascii="Arial" w:hAnsi="Arial" w:cs="Arial"/>
          <w:lang w:val="en-IN"/>
        </w:rPr>
        <w:t xml:space="preserve"> among higher secondary students. The findings revealed that convergent thinking ability varies significantly among students, with most falling into the above-average and slightly above-average categories. The comparison between male and female students showed no significant difference in their convergent thinking abilities, suggesting that gender does not play a substantial role in this cognitive process. Furthermore, the study established a significant positive correlation between convergent thinking and academic achievement</w:t>
      </w:r>
      <w:r w:rsidR="00AB2CD1">
        <w:rPr>
          <w:rFonts w:ascii="Arial" w:hAnsi="Arial" w:cs="Arial"/>
          <w:lang w:val="en-IN"/>
        </w:rPr>
        <w:t xml:space="preserve"> in mathematics</w:t>
      </w:r>
      <w:r w:rsidRPr="00725FCD">
        <w:rPr>
          <w:rFonts w:ascii="Arial" w:hAnsi="Arial" w:cs="Arial"/>
          <w:lang w:val="en-IN"/>
        </w:rPr>
        <w:t>, indicating that students with higher convergent thinking abilities tend to perform better academically.</w:t>
      </w:r>
    </w:p>
    <w:p w14:paraId="63BFA84B" w14:textId="481576B0" w:rsidR="00746F43" w:rsidRPr="00746F43" w:rsidRDefault="00746F43" w:rsidP="00746F43">
      <w:pPr>
        <w:pStyle w:val="Body"/>
        <w:rPr>
          <w:rFonts w:ascii="Arial" w:hAnsi="Arial" w:cs="Arial"/>
          <w:b/>
          <w:bCs/>
          <w:lang w:val="en-IN"/>
        </w:rPr>
      </w:pPr>
      <w:r w:rsidRPr="00746F43">
        <w:rPr>
          <w:rFonts w:ascii="Arial" w:hAnsi="Arial" w:cs="Arial"/>
          <w:b/>
          <w:bCs/>
          <w:sz w:val="22"/>
          <w:szCs w:val="22"/>
          <w:lang w:val="en-IN"/>
        </w:rPr>
        <w:t>5</w:t>
      </w:r>
      <w:r>
        <w:rPr>
          <w:rFonts w:ascii="Arial" w:hAnsi="Arial" w:cs="Arial"/>
          <w:b/>
          <w:bCs/>
          <w:lang w:val="en-IN"/>
        </w:rPr>
        <w:t xml:space="preserve">. </w:t>
      </w:r>
      <w:r w:rsidRPr="00746F43">
        <w:rPr>
          <w:rFonts w:ascii="Arial" w:hAnsi="Arial" w:cs="Arial"/>
          <w:b/>
          <w:bCs/>
          <w:sz w:val="22"/>
          <w:szCs w:val="22"/>
          <w:lang w:val="en-IN"/>
        </w:rPr>
        <w:t>EDUCATIONAL IMPLICATIONS</w:t>
      </w:r>
    </w:p>
    <w:p w14:paraId="2EDFDF1D" w14:textId="09288020" w:rsidR="00746F43" w:rsidRPr="009D7D16" w:rsidRDefault="00746F43" w:rsidP="00746F43">
      <w:pPr>
        <w:pStyle w:val="Body"/>
        <w:rPr>
          <w:rFonts w:ascii="Arial" w:hAnsi="Arial" w:cs="Arial"/>
          <w:b/>
          <w:bCs/>
          <w:sz w:val="22"/>
          <w:szCs w:val="22"/>
          <w:lang w:val="en-IN"/>
        </w:rPr>
      </w:pPr>
      <w:r w:rsidRPr="00746F43">
        <w:rPr>
          <w:rFonts w:ascii="Arial" w:hAnsi="Arial" w:cs="Arial"/>
          <w:lang w:val="en-IN"/>
        </w:rPr>
        <w:t>The positive correlation between convergent thinking and academic achievement suggests that educational curricula should incorporate activities and assessments that promote convergent thinking skills. This could include problem-solving exercises, logical reasoning tasks, and structured analytical activities that challenge students to arrive at the most appropriate solutions.</w:t>
      </w:r>
      <w:r w:rsidR="009D7D16">
        <w:rPr>
          <w:rFonts w:ascii="Arial" w:hAnsi="Arial" w:cs="Arial"/>
          <w:b/>
          <w:bCs/>
          <w:sz w:val="22"/>
          <w:szCs w:val="22"/>
          <w:lang w:val="en-IN"/>
        </w:rPr>
        <w:t xml:space="preserve"> </w:t>
      </w:r>
      <w:r w:rsidRPr="00746F43">
        <w:rPr>
          <w:rFonts w:ascii="Arial" w:hAnsi="Arial" w:cs="Arial"/>
          <w:lang w:val="en-IN"/>
        </w:rPr>
        <w:t>Teachers should be encouraged to use teaching methods that foster both convergent and divergent thinking. For instance, combining brainstorming sessions with activities that require students to narrow down ideas to a single solution can enhance their cognitive flexibility and problem-solving abilities.</w:t>
      </w:r>
    </w:p>
    <w:p w14:paraId="5D7F29D5" w14:textId="25526930" w:rsidR="00746F43" w:rsidRPr="009D7D16" w:rsidRDefault="00746F43" w:rsidP="00746F43">
      <w:pPr>
        <w:pStyle w:val="Body"/>
        <w:rPr>
          <w:rFonts w:ascii="Arial" w:hAnsi="Arial" w:cs="Arial"/>
          <w:b/>
          <w:bCs/>
          <w:sz w:val="22"/>
          <w:szCs w:val="22"/>
          <w:lang w:val="en-IN"/>
        </w:rPr>
      </w:pPr>
      <w:r w:rsidRPr="00746F43">
        <w:rPr>
          <w:rFonts w:ascii="Arial" w:hAnsi="Arial" w:cs="Arial"/>
          <w:lang w:val="en-IN"/>
        </w:rPr>
        <w:lastRenderedPageBreak/>
        <w:t>Standardized tests and other forms of assessment should consider including tasks that measure convergent thinking abilities. This will not only provide a more comprehensive evaluation of students' cognitive skills but also help identify those who may need additional support in developing these abilities.</w:t>
      </w:r>
    </w:p>
    <w:p w14:paraId="0561A217" w14:textId="291866ED" w:rsidR="00746F43" w:rsidRPr="009D7D16" w:rsidRDefault="00746F43" w:rsidP="00746F43">
      <w:pPr>
        <w:pStyle w:val="Body"/>
        <w:rPr>
          <w:rFonts w:ascii="Arial" w:hAnsi="Arial" w:cs="Arial"/>
          <w:b/>
          <w:bCs/>
          <w:sz w:val="22"/>
          <w:szCs w:val="22"/>
          <w:lang w:val="en-IN"/>
        </w:rPr>
      </w:pPr>
      <w:r w:rsidRPr="00746F43">
        <w:rPr>
          <w:rFonts w:ascii="Arial" w:hAnsi="Arial" w:cs="Arial"/>
          <w:lang w:val="en-IN"/>
        </w:rPr>
        <w:t>Since the study found no significant difference in convergent thinking between male and female students, educational programs should ensure that both genders are given equal opportunities to develop their cognitive skills. Gender-specific stereotypes about cognitive abilities should be actively challenged in educational settings.</w:t>
      </w:r>
      <w:r w:rsidR="009D7D16">
        <w:rPr>
          <w:rFonts w:ascii="Arial" w:hAnsi="Arial" w:cs="Arial"/>
          <w:b/>
          <w:bCs/>
          <w:sz w:val="22"/>
          <w:szCs w:val="22"/>
          <w:lang w:val="en-IN"/>
        </w:rPr>
        <w:t xml:space="preserve"> </w:t>
      </w:r>
      <w:r w:rsidRPr="00746F43">
        <w:rPr>
          <w:rFonts w:ascii="Arial" w:hAnsi="Arial" w:cs="Arial"/>
          <w:lang w:val="en-IN"/>
        </w:rPr>
        <w:t>The study identified a small but notable group of students with low or extremely low convergent thinking abilities. Educational interventions, such as tutoring or specialized cognitive training programs, could be designed to help these students improve their convergent thinking skills, thereby enhancing their overall academic performance.</w:t>
      </w:r>
    </w:p>
    <w:p w14:paraId="0D940754" w14:textId="1C950963" w:rsidR="00746F43" w:rsidRPr="009D7D16" w:rsidRDefault="00746F43" w:rsidP="00746F43">
      <w:pPr>
        <w:pStyle w:val="Body"/>
        <w:rPr>
          <w:rFonts w:ascii="Arial" w:hAnsi="Arial" w:cs="Arial"/>
          <w:b/>
          <w:bCs/>
          <w:sz w:val="22"/>
          <w:szCs w:val="22"/>
          <w:lang w:val="en-IN"/>
        </w:rPr>
      </w:pPr>
      <w:r w:rsidRPr="00746F43">
        <w:rPr>
          <w:rFonts w:ascii="Arial" w:hAnsi="Arial" w:cs="Arial"/>
          <w:lang w:val="en-IN"/>
        </w:rPr>
        <w:t>Educators should receive training on the importance of convergent thinking and how to effectively integrate it into their teaching practices. Understanding the role of this cognitive skill in academic success can help teachers better support their students’ learning processes.</w:t>
      </w:r>
    </w:p>
    <w:p w14:paraId="6794ED74" w14:textId="48871FAE" w:rsidR="00790ADA" w:rsidRPr="00FD55C3" w:rsidRDefault="00746F43" w:rsidP="00FD55C3">
      <w:pPr>
        <w:pStyle w:val="Body"/>
        <w:rPr>
          <w:rFonts w:ascii="Arial" w:hAnsi="Arial" w:cs="Arial"/>
          <w:lang w:val="en-IN"/>
        </w:rPr>
      </w:pPr>
      <w:r w:rsidRPr="00746F43">
        <w:rPr>
          <w:rFonts w:ascii="Arial" w:hAnsi="Arial" w:cs="Arial"/>
          <w:lang w:val="en-IN"/>
        </w:rPr>
        <w:t>By recognizing the importance of convergent thinking in academic achievement</w:t>
      </w:r>
      <w:r w:rsidR="00AB2CD1">
        <w:rPr>
          <w:rFonts w:ascii="Arial" w:hAnsi="Arial" w:cs="Arial"/>
          <w:lang w:val="en-IN"/>
        </w:rPr>
        <w:t xml:space="preserve"> in mathematics</w:t>
      </w:r>
      <w:r w:rsidRPr="00746F43">
        <w:rPr>
          <w:rFonts w:ascii="Arial" w:hAnsi="Arial" w:cs="Arial"/>
          <w:lang w:val="en-IN"/>
        </w:rPr>
        <w:t xml:space="preserve"> and implementing these educational strategies, schools can better prepare students for success in both their academic and future professional endeavours.</w:t>
      </w:r>
    </w:p>
    <w:p w14:paraId="1A3FFD77" w14:textId="77777777" w:rsidR="0020308D" w:rsidRDefault="0020308D" w:rsidP="00441B6F">
      <w:pPr>
        <w:pStyle w:val="ReferHead"/>
        <w:spacing w:after="0"/>
        <w:jc w:val="both"/>
        <w:rPr>
          <w:rFonts w:ascii="Arial" w:hAnsi="Arial" w:cs="Arial"/>
        </w:rPr>
      </w:pPr>
    </w:p>
    <w:p w14:paraId="41CD15E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CE99C8" w14:textId="77777777" w:rsidR="00790ADA" w:rsidRPr="00FB3A86" w:rsidRDefault="00790ADA" w:rsidP="00441B6F">
      <w:pPr>
        <w:pStyle w:val="ReferHead"/>
        <w:spacing w:after="0"/>
        <w:jc w:val="both"/>
        <w:rPr>
          <w:rFonts w:ascii="Arial" w:hAnsi="Arial" w:cs="Arial"/>
        </w:rPr>
      </w:pPr>
    </w:p>
    <w:p w14:paraId="2B2F4C7F" w14:textId="396C6F16" w:rsidR="00205367" w:rsidRPr="006F4917" w:rsidRDefault="00205367" w:rsidP="00205367">
      <w:pPr>
        <w:pStyle w:val="Body"/>
        <w:numPr>
          <w:ilvl w:val="0"/>
          <w:numId w:val="33"/>
        </w:numPr>
      </w:pPr>
      <w:proofErr w:type="spellStart"/>
      <w:r>
        <w:t>Mengjing</w:t>
      </w:r>
      <w:proofErr w:type="spellEnd"/>
      <w:r>
        <w:t xml:space="preserve"> N</w:t>
      </w:r>
      <w:r w:rsidRPr="006F4917">
        <w:t xml:space="preserve">., Yang, L., Chen, J., Chen, H. &amp; </w:t>
      </w:r>
      <w:proofErr w:type="spellStart"/>
      <w:r w:rsidRPr="006F4917">
        <w:t>Xingsen</w:t>
      </w:r>
      <w:proofErr w:type="spellEnd"/>
      <w:r w:rsidRPr="006F4917">
        <w:t xml:space="preserve">, L. (2014). How to Improve Divergent Thinking Capability by Information Technology and </w:t>
      </w:r>
      <w:proofErr w:type="spellStart"/>
      <w:r w:rsidRPr="006F4917">
        <w:t>Extenics</w:t>
      </w:r>
      <w:proofErr w:type="spellEnd"/>
      <w:r w:rsidRPr="006F4917">
        <w:t xml:space="preserve">. </w:t>
      </w:r>
      <w:r w:rsidRPr="006F4917">
        <w:rPr>
          <w:i/>
          <w:iCs/>
        </w:rPr>
        <w:t xml:space="preserve">Procedia Computer Science, 31, </w:t>
      </w:r>
      <w:r w:rsidRPr="006F4917">
        <w:t>158 – 164.</w:t>
      </w:r>
      <w:r w:rsidR="00F34185">
        <w:t xml:space="preserve"> </w:t>
      </w:r>
      <w:hyperlink r:id="rId14" w:tgtFrame="_blank" w:tooltip="Persistent link using digital object identifier" w:history="1">
        <w:r w:rsidR="00F34185" w:rsidRPr="00F34185">
          <w:rPr>
            <w:rStyle w:val="Hyperlink"/>
          </w:rPr>
          <w:t>https://doi.org/10.1016/j.procs.2014.05.256</w:t>
        </w:r>
      </w:hyperlink>
    </w:p>
    <w:p w14:paraId="73DAF16C" w14:textId="31FF740D" w:rsidR="00205367" w:rsidRPr="006F4917" w:rsidRDefault="00205367" w:rsidP="00205367">
      <w:pPr>
        <w:pStyle w:val="Body"/>
        <w:numPr>
          <w:ilvl w:val="0"/>
          <w:numId w:val="33"/>
        </w:numPr>
      </w:pPr>
      <w:r w:rsidRPr="006F4917">
        <w:t xml:space="preserve">Cropley, A. (2006). In Praise of Convergent Thinking. </w:t>
      </w:r>
      <w:r w:rsidRPr="006F4917">
        <w:rPr>
          <w:i/>
          <w:iCs/>
        </w:rPr>
        <w:t>Creativity Research Journal, 18</w:t>
      </w:r>
      <w:r w:rsidRPr="006F4917">
        <w:t xml:space="preserve">(3), 391–404. </w:t>
      </w:r>
      <w:hyperlink r:id="rId15" w:history="1">
        <w:r w:rsidR="007250AD" w:rsidRPr="006F4917">
          <w:rPr>
            <w:rStyle w:val="Hyperlink"/>
          </w:rPr>
          <w:t>https://doi.org/10.1207/s15326934crj1803_13</w:t>
        </w:r>
      </w:hyperlink>
    </w:p>
    <w:p w14:paraId="323A7684" w14:textId="2FF78382" w:rsidR="00205367" w:rsidRPr="006F4917" w:rsidRDefault="00205367" w:rsidP="006F4917">
      <w:pPr>
        <w:pStyle w:val="Body"/>
        <w:numPr>
          <w:ilvl w:val="0"/>
          <w:numId w:val="33"/>
        </w:numPr>
      </w:pPr>
      <w:r w:rsidRPr="006F4917">
        <w:t xml:space="preserve">Harvey, S. &amp; Light, R. L. (2015). Questioning for learning in game-based approaches to teaching and coaching. </w:t>
      </w:r>
      <w:r w:rsidRPr="006F4917">
        <w:rPr>
          <w:i/>
          <w:iCs/>
        </w:rPr>
        <w:t>Asia-Pacific Journal of Health, Sport and Physical Education, 6</w:t>
      </w:r>
      <w:r w:rsidRPr="006F4917">
        <w:t>(2), 1-16.</w:t>
      </w:r>
      <w:r w:rsidR="006F4917">
        <w:t xml:space="preserve"> </w:t>
      </w:r>
      <w:hyperlink r:id="rId16" w:history="1">
        <w:r w:rsidR="006F4917" w:rsidRPr="006F4917">
          <w:rPr>
            <w:rStyle w:val="Hyperlink"/>
          </w:rPr>
          <w:t>https://doi.org/10.1080/18377122.2015.1051268</w:t>
        </w:r>
      </w:hyperlink>
    </w:p>
    <w:p w14:paraId="46E9C5E0" w14:textId="4E6660A4" w:rsidR="00205367" w:rsidRPr="006F4917" w:rsidRDefault="00205367" w:rsidP="006F4917">
      <w:pPr>
        <w:pStyle w:val="Body"/>
        <w:numPr>
          <w:ilvl w:val="0"/>
          <w:numId w:val="33"/>
        </w:numPr>
      </w:pPr>
      <w:r w:rsidRPr="006F4917">
        <w:t xml:space="preserve">Cohen, S. R. (1975). The Relationship between Convergent and Divergent Thinking in Science as Revealed in Sixth and Seventh Graders. </w:t>
      </w:r>
      <w:r w:rsidRPr="006F4917">
        <w:rPr>
          <w:i/>
          <w:iCs/>
        </w:rPr>
        <w:t>The Journal of Educational Research, 68</w:t>
      </w:r>
      <w:r w:rsidRPr="006F4917">
        <w:t>(9), 327–330.</w:t>
      </w:r>
      <w:r w:rsidR="006F4917">
        <w:t xml:space="preserve"> </w:t>
      </w:r>
      <w:hyperlink r:id="rId17" w:history="1">
        <w:r w:rsidR="006F4917" w:rsidRPr="006F4917">
          <w:rPr>
            <w:rStyle w:val="Hyperlink"/>
          </w:rPr>
          <w:t>https://doi.org/10.1080/00220671.1975.10884789</w:t>
        </w:r>
      </w:hyperlink>
    </w:p>
    <w:p w14:paraId="28ED9C74" w14:textId="306CDBB8" w:rsidR="00205367" w:rsidRPr="006F4917" w:rsidRDefault="00205367" w:rsidP="00205367">
      <w:pPr>
        <w:pStyle w:val="Body"/>
        <w:numPr>
          <w:ilvl w:val="0"/>
          <w:numId w:val="33"/>
        </w:numPr>
      </w:pPr>
      <w:r w:rsidRPr="006F4917">
        <w:t xml:space="preserve">Pepler, D. J., &amp; Ross, H. S. (1981). The Effects of Play on Convergent and Divergent Problem Solving. </w:t>
      </w:r>
      <w:r w:rsidRPr="006F4917">
        <w:rPr>
          <w:i/>
          <w:iCs/>
        </w:rPr>
        <w:t>Child Development, 52</w:t>
      </w:r>
      <w:r w:rsidRPr="006F4917">
        <w:t xml:space="preserve">(4), 1202–1210. </w:t>
      </w:r>
      <w:hyperlink r:id="rId18" w:history="1">
        <w:r w:rsidR="007250AD" w:rsidRPr="006F4917">
          <w:rPr>
            <w:rStyle w:val="Hyperlink"/>
          </w:rPr>
          <w:t>https://doi.org/10.2307/1129507</w:t>
        </w:r>
      </w:hyperlink>
      <w:r w:rsidR="007250AD" w:rsidRPr="006F4917">
        <w:t xml:space="preserve"> </w:t>
      </w:r>
    </w:p>
    <w:p w14:paraId="51F704E7" w14:textId="3F507743" w:rsidR="007250AD" w:rsidRPr="006F4917" w:rsidRDefault="007250AD" w:rsidP="007250AD">
      <w:pPr>
        <w:pStyle w:val="Body"/>
        <w:numPr>
          <w:ilvl w:val="0"/>
          <w:numId w:val="33"/>
        </w:numPr>
      </w:pPr>
      <w:r w:rsidRPr="006F4917">
        <w:t xml:space="preserve">Rajaguru, S. (1996). A study on divergent and convergent thinking of visually impaired children in secondary schools. University. </w:t>
      </w:r>
      <w:hyperlink r:id="rId19" w:history="1">
        <w:r w:rsidRPr="006F4917">
          <w:rPr>
            <w:rStyle w:val="Hyperlink"/>
          </w:rPr>
          <w:t>https://shodhganga.inflibnet.ac.in:8443/jspui/handle/10603/196498</w:t>
        </w:r>
      </w:hyperlink>
    </w:p>
    <w:p w14:paraId="6A7D7289" w14:textId="1F40B9A4" w:rsidR="00205367" w:rsidRPr="006F4917" w:rsidRDefault="00205367" w:rsidP="00205367">
      <w:pPr>
        <w:pStyle w:val="Body"/>
        <w:numPr>
          <w:ilvl w:val="0"/>
          <w:numId w:val="33"/>
        </w:numPr>
      </w:pPr>
      <w:r w:rsidRPr="006F4917">
        <w:t xml:space="preserve">Joshua, J. M. (2014). The influence of students’ experience in the past academic success on convergent thinking. IFE </w:t>
      </w:r>
      <w:proofErr w:type="spellStart"/>
      <w:proofErr w:type="gramStart"/>
      <w:r w:rsidRPr="006F4917">
        <w:t>PsychologIA</w:t>
      </w:r>
      <w:proofErr w:type="spellEnd"/>
      <w:r w:rsidRPr="006F4917">
        <w:t> .</w:t>
      </w:r>
      <w:proofErr w:type="gramEnd"/>
      <w:r w:rsidRPr="006F4917">
        <w:t xml:space="preserve"> </w:t>
      </w:r>
      <w:r w:rsidRPr="006F4917">
        <w:rPr>
          <w:i/>
          <w:iCs/>
        </w:rPr>
        <w:t>An International Journal, 22</w:t>
      </w:r>
      <w:r w:rsidRPr="006F4917">
        <w:t xml:space="preserve">(1), 159–169. </w:t>
      </w:r>
      <w:hyperlink r:id="rId20" w:history="1">
        <w:r w:rsidR="007250AD" w:rsidRPr="006F4917">
          <w:rPr>
            <w:rStyle w:val="Hyperlink"/>
          </w:rPr>
          <w:t>https://doi.org/10.10520/EJC150780</w:t>
        </w:r>
      </w:hyperlink>
      <w:r w:rsidR="007250AD" w:rsidRPr="006F4917">
        <w:t xml:space="preserve"> </w:t>
      </w:r>
    </w:p>
    <w:p w14:paraId="0927DE7A" w14:textId="577C3B5F" w:rsidR="001C0114" w:rsidRPr="006F4917" w:rsidRDefault="001C0114" w:rsidP="001C0114">
      <w:pPr>
        <w:pStyle w:val="Body"/>
        <w:numPr>
          <w:ilvl w:val="0"/>
          <w:numId w:val="33"/>
        </w:numPr>
      </w:pPr>
      <w:r w:rsidRPr="006F4917">
        <w:lastRenderedPageBreak/>
        <w:t xml:space="preserve">Zhu, W., Shang, S., Jiang, W., Pei, M., &amp; Su, Y. (2019). Convergent Thinking Moderates the Relationship between Divergent Thinking and Scientific Creativity. </w:t>
      </w:r>
      <w:r w:rsidRPr="006F4917">
        <w:rPr>
          <w:i/>
          <w:iCs/>
        </w:rPr>
        <w:t>Creativity Research Journal, 31</w:t>
      </w:r>
      <w:r w:rsidRPr="006F4917">
        <w:t xml:space="preserve">(3), 320–328. </w:t>
      </w:r>
      <w:hyperlink r:id="rId21" w:history="1">
        <w:r w:rsidR="007250AD" w:rsidRPr="006F4917">
          <w:rPr>
            <w:rStyle w:val="Hyperlink"/>
          </w:rPr>
          <w:t>https://doi.org/10.1080/10400419.2019.1641685</w:t>
        </w:r>
      </w:hyperlink>
    </w:p>
    <w:p w14:paraId="28753A19" w14:textId="4231F09E" w:rsidR="007250AD" w:rsidRPr="006F4917" w:rsidRDefault="007250AD" w:rsidP="007250AD">
      <w:pPr>
        <w:pStyle w:val="Body"/>
        <w:numPr>
          <w:ilvl w:val="0"/>
          <w:numId w:val="33"/>
        </w:numPr>
      </w:pPr>
      <w:r w:rsidRPr="006F4917">
        <w:t xml:space="preserve">De Vink, I.C., Willemsen, R.H., </w:t>
      </w:r>
      <w:proofErr w:type="spellStart"/>
      <w:r w:rsidRPr="006F4917">
        <w:t>Lazonder</w:t>
      </w:r>
      <w:proofErr w:type="spellEnd"/>
      <w:r w:rsidRPr="006F4917">
        <w:t xml:space="preserve">, A.W. and </w:t>
      </w:r>
      <w:proofErr w:type="spellStart"/>
      <w:r w:rsidRPr="006F4917">
        <w:t>Kroesbergen</w:t>
      </w:r>
      <w:proofErr w:type="spellEnd"/>
      <w:r w:rsidRPr="006F4917">
        <w:t xml:space="preserve">, E.H. (2022), Creativity in mathematics performance: The role of divergent and convergent thinking. </w:t>
      </w:r>
      <w:r w:rsidRPr="006F4917">
        <w:rPr>
          <w:i/>
          <w:iCs/>
        </w:rPr>
        <w:t>British Journal of Educational Psychology, 92</w:t>
      </w:r>
      <w:r w:rsidRPr="006F4917">
        <w:t xml:space="preserve">. 484-501. </w:t>
      </w:r>
      <w:hyperlink r:id="rId22" w:history="1">
        <w:r w:rsidRPr="006F4917">
          <w:rPr>
            <w:rStyle w:val="Hyperlink"/>
          </w:rPr>
          <w:t>https://doi.org/10.1111/bjep.12459</w:t>
        </w:r>
      </w:hyperlink>
    </w:p>
    <w:p w14:paraId="0BAE8894" w14:textId="021E15F2" w:rsidR="001C0114" w:rsidRPr="006F4917" w:rsidRDefault="001C0114" w:rsidP="001C0114">
      <w:pPr>
        <w:pStyle w:val="Body"/>
        <w:numPr>
          <w:ilvl w:val="0"/>
          <w:numId w:val="33"/>
        </w:numPr>
      </w:pPr>
      <w:r w:rsidRPr="006F4917">
        <w:t>Cheng, L., Zhang, X., Lin, J., Dong, Y., Zhang, J., &amp; Tong, Z. (202</w:t>
      </w:r>
      <w:r w:rsidR="0020308D" w:rsidRPr="006F4917">
        <w:t>2</w:t>
      </w:r>
      <w:r w:rsidRPr="006F4917">
        <w:t xml:space="preserve">). Social-emotional classroom climate and academic achievement for Chinese elementary students: The roles of convergent and divergent thinking. </w:t>
      </w:r>
      <w:r w:rsidRPr="006F4917">
        <w:rPr>
          <w:i/>
          <w:iCs/>
        </w:rPr>
        <w:t>School Psychology International, 44</w:t>
      </w:r>
      <w:r w:rsidRPr="006F4917">
        <w:t xml:space="preserve">(3), 301-325. </w:t>
      </w:r>
      <w:hyperlink r:id="rId23" w:history="1">
        <w:r w:rsidR="007250AD" w:rsidRPr="006F4917">
          <w:rPr>
            <w:rStyle w:val="Hyperlink"/>
          </w:rPr>
          <w:t>https://doi.org/10.1177/01430343221128825</w:t>
        </w:r>
      </w:hyperlink>
    </w:p>
    <w:p w14:paraId="04576771" w14:textId="0CD02ACB" w:rsidR="001C0114" w:rsidRPr="006F4917" w:rsidRDefault="001C0114" w:rsidP="001C0114">
      <w:pPr>
        <w:pStyle w:val="Body"/>
        <w:numPr>
          <w:ilvl w:val="0"/>
          <w:numId w:val="33"/>
        </w:numPr>
      </w:pPr>
      <w:r w:rsidRPr="006F4917">
        <w:t xml:space="preserve">Eon Duval, P., Frick, A. and </w:t>
      </w:r>
      <w:proofErr w:type="spellStart"/>
      <w:r w:rsidRPr="006F4917">
        <w:t>Denervaud</w:t>
      </w:r>
      <w:proofErr w:type="spellEnd"/>
      <w:r w:rsidRPr="006F4917">
        <w:t>, S. (202</w:t>
      </w:r>
      <w:r w:rsidR="0020308D" w:rsidRPr="006F4917">
        <w:t>2</w:t>
      </w:r>
      <w:r w:rsidRPr="006F4917">
        <w:t xml:space="preserve">), Divergent and Convergent Thinking across the Schoolyears: A Dynamic Perspective on Creativity Development. </w:t>
      </w:r>
      <w:r w:rsidRPr="006F4917">
        <w:rPr>
          <w:i/>
          <w:iCs/>
        </w:rPr>
        <w:t xml:space="preserve">Journal of Creative </w:t>
      </w:r>
      <w:proofErr w:type="spellStart"/>
      <w:r w:rsidRPr="006F4917">
        <w:rPr>
          <w:i/>
          <w:iCs/>
        </w:rPr>
        <w:t>Behaviour</w:t>
      </w:r>
      <w:proofErr w:type="spellEnd"/>
      <w:r w:rsidRPr="006F4917">
        <w:rPr>
          <w:i/>
          <w:iCs/>
        </w:rPr>
        <w:t>, 57</w:t>
      </w:r>
      <w:r w:rsidRPr="006F4917">
        <w:t xml:space="preserve">, 186-198. </w:t>
      </w:r>
      <w:hyperlink r:id="rId24" w:history="1">
        <w:r w:rsidR="007250AD" w:rsidRPr="006F4917">
          <w:rPr>
            <w:rStyle w:val="Hyperlink"/>
          </w:rPr>
          <w:t>https://doi.org/10.1002/jocb.569</w:t>
        </w:r>
      </w:hyperlink>
    </w:p>
    <w:p w14:paraId="4A496D8B" w14:textId="5BDF7059" w:rsidR="006F4917" w:rsidRDefault="00CE536C" w:rsidP="006F4917">
      <w:pPr>
        <w:pStyle w:val="Body"/>
        <w:numPr>
          <w:ilvl w:val="0"/>
          <w:numId w:val="33"/>
        </w:numPr>
      </w:pPr>
      <w:r w:rsidRPr="006F4917">
        <w:t xml:space="preserve">Abdulla Alabbasi, A. M., Alansari, A. M., AlSaleh, A., Salem, A. H., &amp; Ayoub, A. E. A. (2023). Predictors of academic success among undergraduate medical programs: The roles of divergent and convergent thinking. </w:t>
      </w:r>
      <w:r w:rsidRPr="006F4917">
        <w:rPr>
          <w:i/>
          <w:iCs/>
        </w:rPr>
        <w:t>Journal of Creativity, 33</w:t>
      </w:r>
      <w:r w:rsidRPr="006F4917">
        <w:t>(2), 100058.</w:t>
      </w:r>
      <w:r w:rsidR="00B94F92">
        <w:t xml:space="preserve"> </w:t>
      </w:r>
      <w:hyperlink r:id="rId25" w:tgtFrame="_blank" w:tooltip="Persistent link using digital object identifier" w:history="1">
        <w:r w:rsidR="00B94F92" w:rsidRPr="00B94F92">
          <w:rPr>
            <w:rStyle w:val="Hyperlink"/>
          </w:rPr>
          <w:t>https://doi.org/10.1016/j.yjoc.2023.100058</w:t>
        </w:r>
      </w:hyperlink>
    </w:p>
    <w:p w14:paraId="5E060AFD" w14:textId="77777777" w:rsidR="00A90ECB" w:rsidRDefault="00AE07C0" w:rsidP="006F4917">
      <w:pPr>
        <w:pStyle w:val="Body"/>
        <w:numPr>
          <w:ilvl w:val="0"/>
          <w:numId w:val="33"/>
        </w:numPr>
      </w:pPr>
      <w:r w:rsidRPr="006F4917">
        <w:t>Best, J. W., Kahn, J. V., &amp; Jha, A. K. (2016). Research in education (10th ed.). Pearson</w:t>
      </w:r>
      <w:r w:rsidRPr="00AE07C0">
        <w:t xml:space="preserve"> Education.</w:t>
      </w:r>
      <w:r w:rsidR="00522777">
        <w:t xml:space="preserve"> </w:t>
      </w:r>
    </w:p>
    <w:p w14:paraId="64DB2E32" w14:textId="7D05FCAD" w:rsidR="00522777" w:rsidRPr="006F4917" w:rsidRDefault="00522777" w:rsidP="006F4917">
      <w:pPr>
        <w:pStyle w:val="Body"/>
        <w:numPr>
          <w:ilvl w:val="0"/>
          <w:numId w:val="33"/>
        </w:numPr>
        <w:sectPr w:rsidR="00522777" w:rsidRPr="006F4917" w:rsidSect="006D35A0">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4788217C" w14:textId="77777777" w:rsidR="00B01FCD" w:rsidRPr="00FB3A86" w:rsidRDefault="00B01FCD" w:rsidP="009732C7">
      <w:pPr>
        <w:pStyle w:val="Appendix"/>
        <w:spacing w:after="0"/>
        <w:jc w:val="both"/>
        <w:rPr>
          <w:rFonts w:ascii="Arial" w:hAnsi="Arial" w:cs="Arial"/>
          <w:b w:val="0"/>
        </w:rPr>
      </w:pPr>
    </w:p>
    <w:sectPr w:rsidR="00B01FCD" w:rsidRPr="00FB3A86" w:rsidSect="006D35A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83AD4" w14:textId="77777777" w:rsidR="00A10CBC" w:rsidRDefault="00A10CBC" w:rsidP="00C37E61">
      <w:r>
        <w:separator/>
      </w:r>
    </w:p>
  </w:endnote>
  <w:endnote w:type="continuationSeparator" w:id="0">
    <w:p w14:paraId="6762AE12" w14:textId="77777777" w:rsidR="00A10CBC" w:rsidRDefault="00A10C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2BE74" w14:textId="77777777" w:rsidR="00EB5C08" w:rsidRDefault="00EB5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08F6" w14:textId="77777777" w:rsidR="00EB5C08" w:rsidRDefault="00EB5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0881" w14:textId="77777777" w:rsidR="009E048A" w:rsidRDefault="009E048A">
    <w:pPr>
      <w:pStyle w:val="Footer"/>
      <w:rPr>
        <w:rFonts w:ascii="Arial" w:hAnsi="Arial" w:cs="Arial"/>
        <w:sz w:val="16"/>
      </w:rPr>
    </w:pPr>
  </w:p>
  <w:p w14:paraId="5A432E2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E4E8095" w14:textId="77777777" w:rsidR="009E048A" w:rsidRDefault="009E048A">
    <w:pPr>
      <w:pStyle w:val="Footer"/>
      <w:rPr>
        <w:rFonts w:ascii="Arial" w:hAnsi="Arial" w:cs="Arial"/>
        <w:sz w:val="16"/>
      </w:rPr>
    </w:pPr>
  </w:p>
  <w:p w14:paraId="04A7BBF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962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0E380" w14:textId="77777777" w:rsidR="00A10CBC" w:rsidRDefault="00A10CBC" w:rsidP="00C37E61">
      <w:r>
        <w:separator/>
      </w:r>
    </w:p>
  </w:footnote>
  <w:footnote w:type="continuationSeparator" w:id="0">
    <w:p w14:paraId="4E4861C5" w14:textId="77777777" w:rsidR="00A10CBC" w:rsidRDefault="00A10C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368C" w14:textId="47DD4EB3" w:rsidR="00EB5C08" w:rsidRDefault="00EB5C08">
    <w:pPr>
      <w:pStyle w:val="Header"/>
    </w:pPr>
    <w:r>
      <w:rPr>
        <w:noProof/>
      </w:rPr>
      <w:pict w14:anchorId="0D210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63D6" w14:textId="3C674255" w:rsidR="00EB5C08" w:rsidRDefault="00EB5C08">
    <w:pPr>
      <w:pStyle w:val="Header"/>
    </w:pPr>
    <w:r>
      <w:rPr>
        <w:noProof/>
      </w:rPr>
      <w:pict w14:anchorId="56A96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CCE9" w14:textId="3E53FD47" w:rsidR="00296529" w:rsidRPr="00296529" w:rsidRDefault="00EB5C08" w:rsidP="00296529">
    <w:pPr>
      <w:ind w:left="2160"/>
      <w:jc w:val="center"/>
      <w:rPr>
        <w:rFonts w:ascii="Times New Roman" w:eastAsia="Calibri" w:hAnsi="Times New Roman"/>
        <w:i/>
        <w:sz w:val="18"/>
        <w:szCs w:val="22"/>
      </w:rPr>
    </w:pPr>
    <w:r>
      <w:rPr>
        <w:noProof/>
      </w:rPr>
      <w:pict w14:anchorId="63EAB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EFF0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DC8B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E7CD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BEF8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4C4C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0E774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4B46" w14:textId="33206801" w:rsidR="00EB5C08" w:rsidRDefault="00EB5C08">
    <w:pPr>
      <w:pStyle w:val="Header"/>
    </w:pPr>
    <w:r>
      <w:rPr>
        <w:noProof/>
      </w:rPr>
      <w:pict w14:anchorId="764E4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9035" w14:textId="388F1348" w:rsidR="00EB5C08" w:rsidRDefault="00EB5C08">
    <w:pPr>
      <w:pStyle w:val="Header"/>
    </w:pPr>
    <w:r>
      <w:rPr>
        <w:noProof/>
      </w:rPr>
      <w:pict w14:anchorId="6361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7E542" w14:textId="18527EB2" w:rsidR="00EB5C08" w:rsidRDefault="00EB5C08">
    <w:pPr>
      <w:pStyle w:val="Header"/>
    </w:pPr>
    <w:r>
      <w:rPr>
        <w:noProof/>
      </w:rPr>
      <w:pict w14:anchorId="1CB2F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1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CF6EA9"/>
    <w:multiLevelType w:val="multilevel"/>
    <w:tmpl w:val="102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D53C85"/>
    <w:multiLevelType w:val="hybridMultilevel"/>
    <w:tmpl w:val="B238BA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6C6975"/>
    <w:multiLevelType w:val="multilevel"/>
    <w:tmpl w:val="EC68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A104F5"/>
    <w:multiLevelType w:val="multilevel"/>
    <w:tmpl w:val="24E84B7A"/>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A58A8"/>
    <w:multiLevelType w:val="hybridMultilevel"/>
    <w:tmpl w:val="D30618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29"/>
  </w:num>
  <w:num w:numId="32">
    <w:abstractNumId w:val="32"/>
  </w:num>
  <w:num w:numId="33">
    <w:abstractNumId w:val="16"/>
  </w:num>
  <w:num w:numId="34">
    <w:abstractNumId w:val="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419"/>
    <w:rsid w:val="00034BAC"/>
    <w:rsid w:val="0004579C"/>
    <w:rsid w:val="0005059E"/>
    <w:rsid w:val="0007634D"/>
    <w:rsid w:val="00083FCB"/>
    <w:rsid w:val="000A1E3C"/>
    <w:rsid w:val="000A4511"/>
    <w:rsid w:val="000A47FA"/>
    <w:rsid w:val="000A65D3"/>
    <w:rsid w:val="000B1E33"/>
    <w:rsid w:val="000B2D2A"/>
    <w:rsid w:val="000B3903"/>
    <w:rsid w:val="000C4FED"/>
    <w:rsid w:val="000D689F"/>
    <w:rsid w:val="000E7B7B"/>
    <w:rsid w:val="000E7D62"/>
    <w:rsid w:val="00103357"/>
    <w:rsid w:val="0011442D"/>
    <w:rsid w:val="00123C9F"/>
    <w:rsid w:val="00126190"/>
    <w:rsid w:val="00130F17"/>
    <w:rsid w:val="001320BF"/>
    <w:rsid w:val="00163BC4"/>
    <w:rsid w:val="0016422C"/>
    <w:rsid w:val="00191062"/>
    <w:rsid w:val="00192B72"/>
    <w:rsid w:val="001A29D8"/>
    <w:rsid w:val="001A5CAA"/>
    <w:rsid w:val="001B0427"/>
    <w:rsid w:val="001C0114"/>
    <w:rsid w:val="001D3A51"/>
    <w:rsid w:val="001E10D2"/>
    <w:rsid w:val="001E25B4"/>
    <w:rsid w:val="001E44FE"/>
    <w:rsid w:val="001F0720"/>
    <w:rsid w:val="00200595"/>
    <w:rsid w:val="0020308D"/>
    <w:rsid w:val="00204835"/>
    <w:rsid w:val="00205367"/>
    <w:rsid w:val="00214A12"/>
    <w:rsid w:val="00231920"/>
    <w:rsid w:val="0023195C"/>
    <w:rsid w:val="0024282C"/>
    <w:rsid w:val="002460DC"/>
    <w:rsid w:val="00250985"/>
    <w:rsid w:val="002556F6"/>
    <w:rsid w:val="00261EDD"/>
    <w:rsid w:val="002657B8"/>
    <w:rsid w:val="00274649"/>
    <w:rsid w:val="00275E7D"/>
    <w:rsid w:val="00283105"/>
    <w:rsid w:val="00284C4C"/>
    <w:rsid w:val="00287E68"/>
    <w:rsid w:val="00296529"/>
    <w:rsid w:val="002A5091"/>
    <w:rsid w:val="002B27FB"/>
    <w:rsid w:val="002B685A"/>
    <w:rsid w:val="002C57D2"/>
    <w:rsid w:val="002E0D56"/>
    <w:rsid w:val="00315186"/>
    <w:rsid w:val="0033343E"/>
    <w:rsid w:val="00341D2C"/>
    <w:rsid w:val="003512C2"/>
    <w:rsid w:val="00371FB6"/>
    <w:rsid w:val="003763C1"/>
    <w:rsid w:val="00376BBE"/>
    <w:rsid w:val="00377DF0"/>
    <w:rsid w:val="0038220D"/>
    <w:rsid w:val="00385B81"/>
    <w:rsid w:val="0039224F"/>
    <w:rsid w:val="003A43A4"/>
    <w:rsid w:val="003A7E18"/>
    <w:rsid w:val="003B5781"/>
    <w:rsid w:val="003C4C86"/>
    <w:rsid w:val="003C6258"/>
    <w:rsid w:val="003E2904"/>
    <w:rsid w:val="00401473"/>
    <w:rsid w:val="00401927"/>
    <w:rsid w:val="0041027F"/>
    <w:rsid w:val="00412475"/>
    <w:rsid w:val="00423789"/>
    <w:rsid w:val="00440F43"/>
    <w:rsid w:val="00441B6F"/>
    <w:rsid w:val="00446221"/>
    <w:rsid w:val="00450E62"/>
    <w:rsid w:val="004539DB"/>
    <w:rsid w:val="00471A80"/>
    <w:rsid w:val="00481AFD"/>
    <w:rsid w:val="004D305E"/>
    <w:rsid w:val="004D4277"/>
    <w:rsid w:val="004E190F"/>
    <w:rsid w:val="005023DA"/>
    <w:rsid w:val="00502516"/>
    <w:rsid w:val="00505F06"/>
    <w:rsid w:val="00506828"/>
    <w:rsid w:val="00520950"/>
    <w:rsid w:val="00522777"/>
    <w:rsid w:val="0053056E"/>
    <w:rsid w:val="00532BD9"/>
    <w:rsid w:val="00537642"/>
    <w:rsid w:val="00554FDA"/>
    <w:rsid w:val="00591DCE"/>
    <w:rsid w:val="005C784C"/>
    <w:rsid w:val="005D17F6"/>
    <w:rsid w:val="005E5539"/>
    <w:rsid w:val="00602BF5"/>
    <w:rsid w:val="00617FDD"/>
    <w:rsid w:val="00627666"/>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5A0"/>
    <w:rsid w:val="006D458C"/>
    <w:rsid w:val="006D6940"/>
    <w:rsid w:val="006F11EC"/>
    <w:rsid w:val="006F4917"/>
    <w:rsid w:val="0070082C"/>
    <w:rsid w:val="007250AD"/>
    <w:rsid w:val="00725FCD"/>
    <w:rsid w:val="00731258"/>
    <w:rsid w:val="007369E6"/>
    <w:rsid w:val="00746E59"/>
    <w:rsid w:val="00746F43"/>
    <w:rsid w:val="00754C9A"/>
    <w:rsid w:val="0075599A"/>
    <w:rsid w:val="00761D52"/>
    <w:rsid w:val="0077749E"/>
    <w:rsid w:val="00790ADA"/>
    <w:rsid w:val="00797A2E"/>
    <w:rsid w:val="007B5D43"/>
    <w:rsid w:val="007D2288"/>
    <w:rsid w:val="007E088F"/>
    <w:rsid w:val="007E25DC"/>
    <w:rsid w:val="007F7B32"/>
    <w:rsid w:val="00804BC2"/>
    <w:rsid w:val="0081431A"/>
    <w:rsid w:val="008216F1"/>
    <w:rsid w:val="0082772A"/>
    <w:rsid w:val="00830946"/>
    <w:rsid w:val="0083216F"/>
    <w:rsid w:val="00860000"/>
    <w:rsid w:val="00863BD3"/>
    <w:rsid w:val="008641ED"/>
    <w:rsid w:val="00866D66"/>
    <w:rsid w:val="008671C6"/>
    <w:rsid w:val="00870D65"/>
    <w:rsid w:val="00875803"/>
    <w:rsid w:val="00876030"/>
    <w:rsid w:val="00895A96"/>
    <w:rsid w:val="008B459E"/>
    <w:rsid w:val="008E13AE"/>
    <w:rsid w:val="008E1506"/>
    <w:rsid w:val="008E710C"/>
    <w:rsid w:val="008E73C5"/>
    <w:rsid w:val="008F69D6"/>
    <w:rsid w:val="00902823"/>
    <w:rsid w:val="00915CA6"/>
    <w:rsid w:val="009176B6"/>
    <w:rsid w:val="00926B01"/>
    <w:rsid w:val="00927834"/>
    <w:rsid w:val="00933B1F"/>
    <w:rsid w:val="009500A6"/>
    <w:rsid w:val="00957C18"/>
    <w:rsid w:val="00965318"/>
    <w:rsid w:val="009659BA"/>
    <w:rsid w:val="009732C7"/>
    <w:rsid w:val="00983040"/>
    <w:rsid w:val="009A4442"/>
    <w:rsid w:val="009B26E1"/>
    <w:rsid w:val="009B3FB9"/>
    <w:rsid w:val="009C2465"/>
    <w:rsid w:val="009D35A0"/>
    <w:rsid w:val="009D7D16"/>
    <w:rsid w:val="009D7EB7"/>
    <w:rsid w:val="009E048A"/>
    <w:rsid w:val="009E08E9"/>
    <w:rsid w:val="009E3DB9"/>
    <w:rsid w:val="009E6E35"/>
    <w:rsid w:val="009F0EDA"/>
    <w:rsid w:val="009F2EA4"/>
    <w:rsid w:val="00A03B96"/>
    <w:rsid w:val="00A05B19"/>
    <w:rsid w:val="00A10CBC"/>
    <w:rsid w:val="00A1134E"/>
    <w:rsid w:val="00A24E7E"/>
    <w:rsid w:val="00A258C3"/>
    <w:rsid w:val="00A278B6"/>
    <w:rsid w:val="00A347C0"/>
    <w:rsid w:val="00A51431"/>
    <w:rsid w:val="00A539AD"/>
    <w:rsid w:val="00A90ECB"/>
    <w:rsid w:val="00A927E9"/>
    <w:rsid w:val="00A94063"/>
    <w:rsid w:val="00AA6219"/>
    <w:rsid w:val="00AA74E0"/>
    <w:rsid w:val="00AB2CD1"/>
    <w:rsid w:val="00AB703F"/>
    <w:rsid w:val="00AC0F84"/>
    <w:rsid w:val="00AC6BB8"/>
    <w:rsid w:val="00AE008F"/>
    <w:rsid w:val="00AE07C0"/>
    <w:rsid w:val="00AF5568"/>
    <w:rsid w:val="00B01F3C"/>
    <w:rsid w:val="00B01FCD"/>
    <w:rsid w:val="00B1776C"/>
    <w:rsid w:val="00B52583"/>
    <w:rsid w:val="00B52896"/>
    <w:rsid w:val="00B94F92"/>
    <w:rsid w:val="00B95236"/>
    <w:rsid w:val="00B96BD9"/>
    <w:rsid w:val="00BA1B01"/>
    <w:rsid w:val="00BA2641"/>
    <w:rsid w:val="00BB37AA"/>
    <w:rsid w:val="00BC53A0"/>
    <w:rsid w:val="00BE62AD"/>
    <w:rsid w:val="00BF121F"/>
    <w:rsid w:val="00BF1F80"/>
    <w:rsid w:val="00BF349F"/>
    <w:rsid w:val="00BF7DA9"/>
    <w:rsid w:val="00C15FD2"/>
    <w:rsid w:val="00C16370"/>
    <w:rsid w:val="00C166EF"/>
    <w:rsid w:val="00C17EB0"/>
    <w:rsid w:val="00C2711B"/>
    <w:rsid w:val="00C27F5F"/>
    <w:rsid w:val="00C30A0F"/>
    <w:rsid w:val="00C37E61"/>
    <w:rsid w:val="00C70F1B"/>
    <w:rsid w:val="00C719EC"/>
    <w:rsid w:val="00C71A47"/>
    <w:rsid w:val="00C7464C"/>
    <w:rsid w:val="00C82C94"/>
    <w:rsid w:val="00C85588"/>
    <w:rsid w:val="00C96F57"/>
    <w:rsid w:val="00CA01C0"/>
    <w:rsid w:val="00CA15B8"/>
    <w:rsid w:val="00CA3734"/>
    <w:rsid w:val="00CB76AC"/>
    <w:rsid w:val="00CC2A55"/>
    <w:rsid w:val="00CD6755"/>
    <w:rsid w:val="00CD6856"/>
    <w:rsid w:val="00CE0089"/>
    <w:rsid w:val="00CE536C"/>
    <w:rsid w:val="00CE793C"/>
    <w:rsid w:val="00CF193C"/>
    <w:rsid w:val="00D014C9"/>
    <w:rsid w:val="00D173F1"/>
    <w:rsid w:val="00D74CB0"/>
    <w:rsid w:val="00D8295D"/>
    <w:rsid w:val="00DC2A65"/>
    <w:rsid w:val="00DE15F0"/>
    <w:rsid w:val="00DE5663"/>
    <w:rsid w:val="00DE78AA"/>
    <w:rsid w:val="00E0058B"/>
    <w:rsid w:val="00E03875"/>
    <w:rsid w:val="00E053D0"/>
    <w:rsid w:val="00E15994"/>
    <w:rsid w:val="00E3114E"/>
    <w:rsid w:val="00E31A70"/>
    <w:rsid w:val="00E352AE"/>
    <w:rsid w:val="00E35B02"/>
    <w:rsid w:val="00E66496"/>
    <w:rsid w:val="00E66B35"/>
    <w:rsid w:val="00E66E10"/>
    <w:rsid w:val="00E769F6"/>
    <w:rsid w:val="00E8407C"/>
    <w:rsid w:val="00E84F3C"/>
    <w:rsid w:val="00EA012C"/>
    <w:rsid w:val="00EB0E69"/>
    <w:rsid w:val="00EB5C08"/>
    <w:rsid w:val="00EC6A55"/>
    <w:rsid w:val="00ED0288"/>
    <w:rsid w:val="00EE1F41"/>
    <w:rsid w:val="00EE52CB"/>
    <w:rsid w:val="00EE6C40"/>
    <w:rsid w:val="00EF581D"/>
    <w:rsid w:val="00EF782D"/>
    <w:rsid w:val="00EF7FD8"/>
    <w:rsid w:val="00F061F9"/>
    <w:rsid w:val="00F06F59"/>
    <w:rsid w:val="00F156FC"/>
    <w:rsid w:val="00F17988"/>
    <w:rsid w:val="00F3370C"/>
    <w:rsid w:val="00F34185"/>
    <w:rsid w:val="00F375DB"/>
    <w:rsid w:val="00F469F0"/>
    <w:rsid w:val="00F53273"/>
    <w:rsid w:val="00F564BB"/>
    <w:rsid w:val="00F62AC4"/>
    <w:rsid w:val="00F755E4"/>
    <w:rsid w:val="00F77D02"/>
    <w:rsid w:val="00F834BF"/>
    <w:rsid w:val="00F87D38"/>
    <w:rsid w:val="00FB3A86"/>
    <w:rsid w:val="00FC30A5"/>
    <w:rsid w:val="00FD36C8"/>
    <w:rsid w:val="00FD55C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D34C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CE536C"/>
    <w:rPr>
      <w:rFonts w:ascii="Calibri" w:eastAsia="Calibri" w:hAnsi="Calibri"/>
      <w:kern w:val="2"/>
      <w:sz w:val="22"/>
      <w:szCs w:val="28"/>
      <w:lang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3162965">
      <w:bodyDiv w:val="1"/>
      <w:marLeft w:val="0"/>
      <w:marRight w:val="0"/>
      <w:marTop w:val="0"/>
      <w:marBottom w:val="0"/>
      <w:divBdr>
        <w:top w:val="none" w:sz="0" w:space="0" w:color="auto"/>
        <w:left w:val="none" w:sz="0" w:space="0" w:color="auto"/>
        <w:bottom w:val="none" w:sz="0" w:space="0" w:color="auto"/>
        <w:right w:val="none" w:sz="0" w:space="0" w:color="auto"/>
      </w:divBdr>
    </w:div>
    <w:div w:id="9524429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18436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9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307/112950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80/10400419.2019.164168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220671.1975.10884789" TargetMode="External"/><Relationship Id="rId25" Type="http://schemas.openxmlformats.org/officeDocument/2006/relationships/hyperlink" Target="https://doi.org/10.1016/j.yjoc.2023.100058" TargetMode="External"/><Relationship Id="rId2" Type="http://schemas.openxmlformats.org/officeDocument/2006/relationships/numbering" Target="numbering.xml"/><Relationship Id="rId16" Type="http://schemas.openxmlformats.org/officeDocument/2006/relationships/hyperlink" Target="https://doi.org/10.1080/18377122.2015.1051268" TargetMode="External"/><Relationship Id="rId20" Type="http://schemas.openxmlformats.org/officeDocument/2006/relationships/hyperlink" Target="https://doi.org/10.10520/EJC15078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jocb.569" TargetMode="External"/><Relationship Id="rId5" Type="http://schemas.openxmlformats.org/officeDocument/2006/relationships/webSettings" Target="webSettings.xml"/><Relationship Id="rId15" Type="http://schemas.openxmlformats.org/officeDocument/2006/relationships/hyperlink" Target="https://doi.org/10.1207/s15326934crj1803_13" TargetMode="External"/><Relationship Id="rId23" Type="http://schemas.openxmlformats.org/officeDocument/2006/relationships/hyperlink" Target="https://doi.org/10.1177/01430343221128825"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shodhganga.inflibnet.ac.in:8443/jspui/handle/10603/19649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rocs.2014.05.256" TargetMode="External"/><Relationship Id="rId22" Type="http://schemas.openxmlformats.org/officeDocument/2006/relationships/hyperlink" Target="https://doi.org/10.1111/bjep.12459"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9863-07C6-4E45-A67F-BAB05D8E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1572</TotalTime>
  <Pages>9</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69</cp:revision>
  <cp:lastPrinted>1999-07-06T11:00:00Z</cp:lastPrinted>
  <dcterms:created xsi:type="dcterms:W3CDTF">2014-10-25T14:34:00Z</dcterms:created>
  <dcterms:modified xsi:type="dcterms:W3CDTF">2025-05-09T10:57:00Z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09e9a27ae0ab9f8dfd05bd4967cedb5e8514a79338190a3b623c28c175288c32</vt:lpwstr>
  </property>
</Properties>
</file>