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5FCC" w14:textId="77777777" w:rsidR="00754C9A" w:rsidRPr="007D71B8" w:rsidRDefault="00754C9A" w:rsidP="00441B6F">
      <w:pPr>
        <w:pStyle w:val="Title"/>
        <w:spacing w:after="0"/>
        <w:jc w:val="both"/>
        <w:rPr>
          <w:rFonts w:ascii="Arial" w:hAnsi="Arial" w:cs="Arial"/>
          <w:noProof/>
          <w:lang w:val="ro-RO"/>
        </w:rPr>
      </w:pPr>
    </w:p>
    <w:p w14:paraId="67060A72" w14:textId="7EC31A71" w:rsidR="00163BC4" w:rsidRPr="007D71B8" w:rsidRDefault="009033AB" w:rsidP="00441B6F">
      <w:pPr>
        <w:pStyle w:val="Author"/>
        <w:spacing w:line="240" w:lineRule="auto"/>
        <w:rPr>
          <w:rFonts w:ascii="Arial" w:hAnsi="Arial" w:cs="Arial"/>
          <w:bCs/>
          <w:iCs/>
          <w:noProof/>
          <w:kern w:val="28"/>
          <w:sz w:val="36"/>
          <w:lang w:val="ro-RO"/>
        </w:rPr>
      </w:pPr>
      <w:r w:rsidRPr="009033AB">
        <w:rPr>
          <w:rFonts w:ascii="Arial" w:hAnsi="Arial" w:cs="Arial"/>
          <w:bCs/>
          <w:iCs/>
          <w:noProof/>
          <w:kern w:val="28"/>
          <w:sz w:val="36"/>
          <w:lang w:val="ro-RO"/>
        </w:rPr>
        <w:t>GenAI</w:t>
      </w:r>
      <w:r>
        <w:rPr>
          <w:rFonts w:ascii="Arial" w:hAnsi="Arial" w:cs="Arial"/>
          <w:bCs/>
          <w:iCs/>
          <w:noProof/>
          <w:kern w:val="28"/>
          <w:sz w:val="36"/>
          <w:lang w:val="ro-RO"/>
        </w:rPr>
        <w:t xml:space="preserve"> </w:t>
      </w:r>
      <w:r w:rsidR="00523A18">
        <w:rPr>
          <w:rFonts w:ascii="Arial" w:hAnsi="Arial" w:cs="Arial"/>
          <w:bCs/>
          <w:iCs/>
          <w:noProof/>
          <w:kern w:val="28"/>
          <w:sz w:val="36"/>
          <w:lang w:val="ro-RO"/>
        </w:rPr>
        <w:t>I</w:t>
      </w:r>
      <w:r>
        <w:rPr>
          <w:rFonts w:ascii="Arial" w:hAnsi="Arial" w:cs="Arial"/>
          <w:bCs/>
          <w:iCs/>
          <w:noProof/>
          <w:kern w:val="28"/>
          <w:sz w:val="36"/>
          <w:lang w:val="ro-RO"/>
        </w:rPr>
        <w:t>mplications</w:t>
      </w:r>
      <w:r w:rsidRPr="009033AB">
        <w:rPr>
          <w:rFonts w:ascii="Arial" w:hAnsi="Arial" w:cs="Arial"/>
          <w:bCs/>
          <w:iCs/>
          <w:noProof/>
          <w:kern w:val="28"/>
          <w:sz w:val="36"/>
          <w:lang w:val="ro-RO"/>
        </w:rPr>
        <w:t xml:space="preserve"> in the </w:t>
      </w:r>
      <w:r w:rsidR="00523A18">
        <w:rPr>
          <w:rFonts w:ascii="Arial" w:hAnsi="Arial" w:cs="Arial"/>
          <w:bCs/>
          <w:iCs/>
          <w:noProof/>
          <w:kern w:val="28"/>
          <w:sz w:val="36"/>
          <w:lang w:val="ro-RO"/>
        </w:rPr>
        <w:t>E</w:t>
      </w:r>
      <w:r w:rsidRPr="009033AB">
        <w:rPr>
          <w:rFonts w:ascii="Arial" w:hAnsi="Arial" w:cs="Arial"/>
          <w:bCs/>
          <w:iCs/>
          <w:noProof/>
          <w:kern w:val="28"/>
          <w:sz w:val="36"/>
          <w:lang w:val="ro-RO"/>
        </w:rPr>
        <w:t xml:space="preserve">valuation of </w:t>
      </w:r>
      <w:r w:rsidR="00523A18">
        <w:rPr>
          <w:rFonts w:ascii="Arial" w:hAnsi="Arial" w:cs="Arial"/>
          <w:bCs/>
          <w:iCs/>
          <w:noProof/>
          <w:kern w:val="28"/>
          <w:sz w:val="36"/>
          <w:lang w:val="ro-RO"/>
        </w:rPr>
        <w:t>H</w:t>
      </w:r>
      <w:r w:rsidRPr="009033AB">
        <w:rPr>
          <w:rFonts w:ascii="Arial" w:hAnsi="Arial" w:cs="Arial"/>
          <w:bCs/>
          <w:iCs/>
          <w:noProof/>
          <w:kern w:val="28"/>
          <w:sz w:val="36"/>
          <w:lang w:val="ro-RO"/>
        </w:rPr>
        <w:t xml:space="preserve">uman </w:t>
      </w:r>
      <w:r w:rsidR="00523A18">
        <w:rPr>
          <w:rFonts w:ascii="Arial" w:hAnsi="Arial" w:cs="Arial"/>
          <w:bCs/>
          <w:iCs/>
          <w:noProof/>
          <w:kern w:val="28"/>
          <w:sz w:val="36"/>
          <w:lang w:val="ro-RO"/>
        </w:rPr>
        <w:t>C</w:t>
      </w:r>
      <w:r w:rsidRPr="009033AB">
        <w:rPr>
          <w:rFonts w:ascii="Arial" w:hAnsi="Arial" w:cs="Arial"/>
          <w:bCs/>
          <w:iCs/>
          <w:noProof/>
          <w:kern w:val="28"/>
          <w:sz w:val="36"/>
          <w:lang w:val="ro-RO"/>
        </w:rPr>
        <w:t xml:space="preserve">apital </w:t>
      </w:r>
      <w:r w:rsidR="00523A18">
        <w:rPr>
          <w:rFonts w:ascii="Arial" w:hAnsi="Arial" w:cs="Arial"/>
          <w:bCs/>
          <w:iCs/>
          <w:noProof/>
          <w:kern w:val="28"/>
          <w:sz w:val="36"/>
          <w:lang w:val="ro-RO"/>
        </w:rPr>
        <w:t>P</w:t>
      </w:r>
      <w:r w:rsidRPr="009033AB">
        <w:rPr>
          <w:rFonts w:ascii="Arial" w:hAnsi="Arial" w:cs="Arial"/>
          <w:bCs/>
          <w:iCs/>
          <w:noProof/>
          <w:kern w:val="28"/>
          <w:sz w:val="36"/>
          <w:lang w:val="ro-RO"/>
        </w:rPr>
        <w:t xml:space="preserve">erformance in </w:t>
      </w:r>
      <w:r w:rsidR="00523A18">
        <w:rPr>
          <w:rFonts w:ascii="Arial" w:hAnsi="Arial" w:cs="Arial"/>
          <w:bCs/>
          <w:iCs/>
          <w:noProof/>
          <w:kern w:val="28"/>
          <w:sz w:val="36"/>
          <w:lang w:val="ro-RO"/>
        </w:rPr>
        <w:t>P</w:t>
      </w:r>
      <w:r w:rsidRPr="009033AB">
        <w:rPr>
          <w:rFonts w:ascii="Arial" w:hAnsi="Arial" w:cs="Arial"/>
          <w:bCs/>
          <w:iCs/>
          <w:noProof/>
          <w:kern w:val="28"/>
          <w:sz w:val="36"/>
          <w:lang w:val="ro-RO"/>
        </w:rPr>
        <w:t xml:space="preserve">ublic </w:t>
      </w:r>
      <w:r w:rsidR="00523A18">
        <w:rPr>
          <w:rFonts w:ascii="Arial" w:hAnsi="Arial" w:cs="Arial"/>
          <w:bCs/>
          <w:iCs/>
          <w:noProof/>
          <w:kern w:val="28"/>
          <w:sz w:val="36"/>
          <w:lang w:val="ro-RO"/>
        </w:rPr>
        <w:t>I</w:t>
      </w:r>
      <w:r w:rsidRPr="009033AB">
        <w:rPr>
          <w:rFonts w:ascii="Arial" w:hAnsi="Arial" w:cs="Arial"/>
          <w:bCs/>
          <w:iCs/>
          <w:noProof/>
          <w:kern w:val="28"/>
          <w:sz w:val="36"/>
          <w:lang w:val="ro-RO"/>
        </w:rPr>
        <w:t>nstitutions</w:t>
      </w:r>
    </w:p>
    <w:p w14:paraId="6DCBA27C" w14:textId="77777777" w:rsidR="00A258C3" w:rsidRPr="007D71B8" w:rsidRDefault="00A258C3" w:rsidP="00441B6F">
      <w:pPr>
        <w:pStyle w:val="Author"/>
        <w:spacing w:line="240" w:lineRule="auto"/>
        <w:jc w:val="both"/>
        <w:rPr>
          <w:rFonts w:ascii="Arial" w:hAnsi="Arial" w:cs="Arial"/>
          <w:noProof/>
          <w:sz w:val="36"/>
          <w:lang w:val="ro-RO"/>
        </w:rPr>
      </w:pPr>
    </w:p>
    <w:p w14:paraId="270B90B1" w14:textId="77777777" w:rsidR="002C57D2" w:rsidRPr="007D71B8" w:rsidRDefault="002C57D2" w:rsidP="00441B6F">
      <w:pPr>
        <w:pStyle w:val="Affiliation"/>
        <w:spacing w:after="0" w:line="240" w:lineRule="auto"/>
        <w:jc w:val="both"/>
        <w:rPr>
          <w:rFonts w:ascii="Arial" w:hAnsi="Arial" w:cs="Arial"/>
          <w:noProof/>
          <w:lang w:val="ro-RO"/>
        </w:rPr>
      </w:pPr>
    </w:p>
    <w:p w14:paraId="01BA9445" w14:textId="77777777" w:rsidR="00B01FCD" w:rsidRPr="007D71B8" w:rsidRDefault="00000000" w:rsidP="00441B6F">
      <w:pPr>
        <w:pStyle w:val="Copyright"/>
        <w:spacing w:after="0" w:line="240" w:lineRule="auto"/>
        <w:jc w:val="both"/>
        <w:rPr>
          <w:rFonts w:ascii="Arial" w:hAnsi="Arial" w:cs="Arial"/>
          <w:noProof/>
          <w:lang w:val="ro-RO"/>
        </w:rPr>
        <w:sectPr w:rsidR="00B01FCD" w:rsidRPr="007D71B8" w:rsidSect="00444A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ro-RO"/>
        </w:rPr>
      </w:r>
      <w:r>
        <w:rPr>
          <w:rFonts w:ascii="Arial" w:hAnsi="Arial" w:cs="Arial"/>
          <w:noProof/>
          <w:lang w:val="ro-RO"/>
        </w:rPr>
        <w:pict w14:anchorId="4DA70FB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D71B8">
        <w:rPr>
          <w:rFonts w:ascii="Arial" w:hAnsi="Arial" w:cs="Arial"/>
          <w:noProof/>
          <w:lang w:val="ro-RO"/>
        </w:rPr>
        <w:t>.</w:t>
      </w:r>
    </w:p>
    <w:p w14:paraId="6DD6D6DB" w14:textId="1A8BF78E" w:rsidR="00B01FCD" w:rsidRPr="007D71B8" w:rsidRDefault="00B01FCD" w:rsidP="00441B6F">
      <w:pPr>
        <w:pStyle w:val="AbstHead"/>
        <w:spacing w:after="0"/>
        <w:jc w:val="both"/>
        <w:rPr>
          <w:rFonts w:ascii="Arial" w:hAnsi="Arial" w:cs="Arial"/>
          <w:noProof/>
          <w:lang w:val="ro-RO"/>
        </w:rPr>
      </w:pPr>
      <w:r w:rsidRPr="007D71B8">
        <w:rPr>
          <w:rFonts w:ascii="Arial" w:hAnsi="Arial" w:cs="Arial"/>
          <w:noProof/>
          <w:lang w:val="ro-RO"/>
        </w:rPr>
        <w:t>ABSTRACT</w:t>
      </w:r>
    </w:p>
    <w:p w14:paraId="65FD8DD0" w14:textId="77777777" w:rsidR="00790ADA" w:rsidRPr="007D71B8" w:rsidRDefault="00790ADA" w:rsidP="00441B6F">
      <w:pPr>
        <w:pStyle w:val="AbstHead"/>
        <w:spacing w:after="0"/>
        <w:jc w:val="both"/>
        <w:rPr>
          <w:rFonts w:ascii="Arial" w:hAnsi="Arial" w:cs="Arial"/>
          <w:noProof/>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D71B8" w14:paraId="53738A5E" w14:textId="77777777" w:rsidTr="001E44FE">
        <w:tc>
          <w:tcPr>
            <w:tcW w:w="9576" w:type="dxa"/>
            <w:shd w:val="clear" w:color="auto" w:fill="F2F2F2"/>
          </w:tcPr>
          <w:p w14:paraId="3249C767" w14:textId="7B956022" w:rsidR="009033AB" w:rsidRPr="007D71B8" w:rsidRDefault="009033AB" w:rsidP="007D71B8">
            <w:pPr>
              <w:pStyle w:val="Body"/>
              <w:spacing w:after="0"/>
              <w:rPr>
                <w:rFonts w:ascii="Arial" w:eastAsia="Calibri" w:hAnsi="Arial" w:cs="Arial"/>
                <w:noProof/>
                <w:szCs w:val="22"/>
                <w:lang w:val="ro-RO"/>
              </w:rPr>
            </w:pPr>
            <w:r w:rsidRPr="009033AB">
              <w:rPr>
                <w:rFonts w:ascii="Arial" w:eastAsia="Calibri" w:hAnsi="Arial" w:cs="Arial"/>
                <w:noProof/>
                <w:szCs w:val="22"/>
                <w:lang w:val="ro-RO"/>
              </w:rPr>
              <w:t>This research analyzes the implications of generative artificial intelligence (GenAI) in human capital performance evaluation processes in public institutions. The research explores how GenAI technologies can transform traditional evaluation methodologies, offering new perspectives on measuring and developing public sector employee performance. Using a systematic review of the specialized literature from 2015</w:t>
            </w:r>
            <w:r>
              <w:rPr>
                <w:rFonts w:ascii="Arial" w:eastAsia="Calibri" w:hAnsi="Arial" w:cs="Arial"/>
                <w:noProof/>
                <w:szCs w:val="22"/>
                <w:lang w:val="ro-RO"/>
              </w:rPr>
              <w:t xml:space="preserve"> to </w:t>
            </w:r>
            <w:r w:rsidRPr="009033AB">
              <w:rPr>
                <w:rFonts w:ascii="Arial" w:eastAsia="Calibri" w:hAnsi="Arial" w:cs="Arial"/>
                <w:noProof/>
                <w:szCs w:val="22"/>
                <w:lang w:val="ro-RO"/>
              </w:rPr>
              <w:t>2025, the study identifies the potential benefits, implementation challenges</w:t>
            </w:r>
            <w:r>
              <w:rPr>
                <w:rFonts w:ascii="Arial" w:eastAsia="Calibri" w:hAnsi="Arial" w:cs="Arial"/>
                <w:noProof/>
                <w:szCs w:val="22"/>
                <w:lang w:val="ro-RO"/>
              </w:rPr>
              <w:t>,</w:t>
            </w:r>
            <w:r w:rsidRPr="009033AB">
              <w:rPr>
                <w:rFonts w:ascii="Arial" w:eastAsia="Calibri" w:hAnsi="Arial" w:cs="Arial"/>
                <w:noProof/>
                <w:szCs w:val="22"/>
                <w:lang w:val="ro-RO"/>
              </w:rPr>
              <w:t xml:space="preserve"> and ethical considerations associated with integrating GenAI into human resource management (HRM) in public institutions. The results indicate that GenAI can improve the objectivity, efficiency</w:t>
            </w:r>
            <w:r>
              <w:rPr>
                <w:rFonts w:ascii="Arial" w:eastAsia="Calibri" w:hAnsi="Arial" w:cs="Arial"/>
                <w:noProof/>
                <w:szCs w:val="22"/>
                <w:lang w:val="ro-RO"/>
              </w:rPr>
              <w:t>,</w:t>
            </w:r>
            <w:r w:rsidRPr="009033AB">
              <w:rPr>
                <w:rFonts w:ascii="Arial" w:eastAsia="Calibri" w:hAnsi="Arial" w:cs="Arial"/>
                <w:noProof/>
                <w:szCs w:val="22"/>
                <w:lang w:val="ro-RO"/>
              </w:rPr>
              <w:t xml:space="preserve"> and personalization of evaluation processes, but requires adaptations specific to the administrative and cultural context of public institutions. The present paper also proposes a conceptual framework for the responsible implementation of GenAI solutions in performance evaluation, emphasizing the importance of a human-centered approach in the adoption of these emerging technologies.</w:t>
            </w:r>
          </w:p>
        </w:tc>
      </w:tr>
    </w:tbl>
    <w:p w14:paraId="12900AB9" w14:textId="77777777" w:rsidR="00636EB2" w:rsidRPr="007D71B8" w:rsidRDefault="00636EB2" w:rsidP="00441B6F">
      <w:pPr>
        <w:pStyle w:val="Body"/>
        <w:spacing w:after="0"/>
        <w:rPr>
          <w:rFonts w:ascii="Arial" w:hAnsi="Arial" w:cs="Arial"/>
          <w:i/>
          <w:noProof/>
          <w:lang w:val="ro-RO"/>
        </w:rPr>
      </w:pPr>
    </w:p>
    <w:p w14:paraId="3AF81521" w14:textId="76B64019" w:rsidR="00A24E7E" w:rsidRPr="007D71B8" w:rsidRDefault="009033AB" w:rsidP="00441B6F">
      <w:pPr>
        <w:pStyle w:val="Body"/>
        <w:spacing w:after="0"/>
        <w:rPr>
          <w:rFonts w:ascii="Arial" w:hAnsi="Arial" w:cs="Arial"/>
          <w:i/>
          <w:noProof/>
          <w:lang w:val="ro-RO"/>
        </w:rPr>
      </w:pPr>
      <w:r>
        <w:rPr>
          <w:rFonts w:ascii="Arial" w:hAnsi="Arial" w:cs="Arial"/>
          <w:i/>
          <w:noProof/>
          <w:lang w:val="ro-RO"/>
        </w:rPr>
        <w:t>Keywords</w:t>
      </w:r>
      <w:r w:rsidR="00A24E7E" w:rsidRPr="007D71B8">
        <w:rPr>
          <w:rFonts w:ascii="Arial" w:hAnsi="Arial" w:cs="Arial"/>
          <w:i/>
          <w:noProof/>
          <w:lang w:val="ro-RO"/>
        </w:rPr>
        <w:t xml:space="preserve">: </w:t>
      </w:r>
      <w:r w:rsidRPr="009033AB">
        <w:rPr>
          <w:rFonts w:ascii="Arial" w:hAnsi="Arial" w:cs="Arial"/>
          <w:i/>
          <w:noProof/>
          <w:lang w:val="ro-RO"/>
        </w:rPr>
        <w:t>human resource management, performance evaluation, GenAI resources.</w:t>
      </w:r>
    </w:p>
    <w:p w14:paraId="5A4F561F" w14:textId="77777777" w:rsidR="00790ADA" w:rsidRPr="007D71B8" w:rsidRDefault="00790ADA" w:rsidP="00441B6F">
      <w:pPr>
        <w:pStyle w:val="Body"/>
        <w:spacing w:after="0"/>
        <w:rPr>
          <w:rFonts w:ascii="Arial" w:hAnsi="Arial" w:cs="Arial"/>
          <w:i/>
          <w:noProof/>
          <w:lang w:val="ro-RO"/>
        </w:rPr>
      </w:pPr>
    </w:p>
    <w:p w14:paraId="67DE349E" w14:textId="77777777" w:rsidR="00505F06" w:rsidRPr="007D71B8" w:rsidRDefault="00505F06" w:rsidP="00441B6F">
      <w:pPr>
        <w:pStyle w:val="Body"/>
        <w:spacing w:after="0"/>
        <w:rPr>
          <w:rFonts w:ascii="Arial" w:hAnsi="Arial" w:cs="Arial"/>
          <w:i/>
          <w:noProof/>
          <w:lang w:val="ro-RO"/>
        </w:rPr>
      </w:pPr>
    </w:p>
    <w:p w14:paraId="52957A26" w14:textId="61DABA0A" w:rsidR="007F7B32" w:rsidRPr="007D71B8" w:rsidRDefault="00902823" w:rsidP="00441B6F">
      <w:pPr>
        <w:pStyle w:val="AbstHead"/>
        <w:spacing w:after="0"/>
        <w:jc w:val="both"/>
        <w:rPr>
          <w:rFonts w:ascii="Arial" w:hAnsi="Arial" w:cs="Arial"/>
          <w:noProof/>
          <w:lang w:val="ro-RO"/>
        </w:rPr>
      </w:pPr>
      <w:r w:rsidRPr="007D71B8">
        <w:rPr>
          <w:rFonts w:ascii="Arial" w:hAnsi="Arial" w:cs="Arial"/>
          <w:noProof/>
          <w:lang w:val="ro-RO"/>
        </w:rPr>
        <w:t xml:space="preserve">1. </w:t>
      </w:r>
      <w:r w:rsidR="00B01FCD" w:rsidRPr="007D71B8">
        <w:rPr>
          <w:rFonts w:ascii="Arial" w:hAnsi="Arial" w:cs="Arial"/>
          <w:noProof/>
          <w:lang w:val="ro-RO"/>
        </w:rPr>
        <w:t>INTRODUC</w:t>
      </w:r>
      <w:r w:rsidR="009033AB">
        <w:rPr>
          <w:rFonts w:ascii="Arial" w:hAnsi="Arial" w:cs="Arial"/>
          <w:noProof/>
          <w:lang w:val="ro-RO"/>
        </w:rPr>
        <w:t>TION</w:t>
      </w:r>
    </w:p>
    <w:p w14:paraId="4B7BDB19" w14:textId="77777777" w:rsidR="00790ADA" w:rsidRPr="007D71B8" w:rsidRDefault="00790ADA" w:rsidP="009033AB">
      <w:pPr>
        <w:rPr>
          <w:noProof/>
          <w:lang w:val="ro-RO"/>
        </w:rPr>
      </w:pPr>
    </w:p>
    <w:p w14:paraId="1B46FA3A" w14:textId="0ECB0635" w:rsidR="009033AB" w:rsidRDefault="009033AB" w:rsidP="007D71B8">
      <w:pPr>
        <w:pStyle w:val="Body"/>
        <w:spacing w:after="0"/>
        <w:rPr>
          <w:rFonts w:ascii="Arial" w:hAnsi="Arial" w:cs="Arial"/>
          <w:noProof/>
          <w:lang w:val="ro-RO"/>
        </w:rPr>
      </w:pPr>
      <w:r w:rsidRPr="009033AB">
        <w:rPr>
          <w:rFonts w:ascii="Arial" w:hAnsi="Arial" w:cs="Arial"/>
          <w:noProof/>
          <w:lang w:val="ro-RO"/>
        </w:rPr>
        <w:t>Generative artificial intelligence (GenAI) is a category of AI technologies capable of creating new content, processing and analyzing large amounts of data, and providing suggestions based on deep learning. These capabilities are rapidly transforming various fields, including human resource management (Tambe et al., 2019). In the context of public institutions, where performance evaluation has always been a challenge due to the complexity of organizational missions and the difficulty in measuring results, GenAI promises to bring innovative tools that overcome the limitations of traditional methods.</w:t>
      </w:r>
    </w:p>
    <w:p w14:paraId="1C178376" w14:textId="77777777" w:rsidR="009033AB" w:rsidRDefault="009033AB" w:rsidP="007D71B8">
      <w:pPr>
        <w:pStyle w:val="Body"/>
        <w:spacing w:after="0"/>
        <w:rPr>
          <w:rFonts w:ascii="Arial" w:hAnsi="Arial" w:cs="Arial"/>
          <w:noProof/>
          <w:lang w:val="ro-RO"/>
        </w:rPr>
      </w:pPr>
    </w:p>
    <w:p w14:paraId="1829EF61" w14:textId="77777777" w:rsidR="009033AB" w:rsidRDefault="009033AB" w:rsidP="007D71B8">
      <w:pPr>
        <w:pStyle w:val="Body"/>
        <w:spacing w:after="0"/>
        <w:rPr>
          <w:rFonts w:ascii="Arial" w:hAnsi="Arial" w:cs="Arial"/>
          <w:noProof/>
          <w:lang w:val="ro-RO"/>
        </w:rPr>
      </w:pPr>
      <w:r w:rsidRPr="009033AB">
        <w:rPr>
          <w:rFonts w:ascii="Arial" w:hAnsi="Arial" w:cs="Arial"/>
          <w:noProof/>
          <w:lang w:val="ro-RO"/>
        </w:rPr>
        <w:t>Public institutions face specific challenges in human capital assessment (Favoreu et al., 2015): complex and sometimes ambiguous organizational objectives, political pressures, budgetary constraints</w:t>
      </w:r>
      <w:r>
        <w:rPr>
          <w:rFonts w:ascii="Arial" w:hAnsi="Arial" w:cs="Arial"/>
          <w:noProof/>
          <w:lang w:val="ro-RO"/>
        </w:rPr>
        <w:t>,</w:t>
      </w:r>
      <w:r w:rsidRPr="009033AB">
        <w:rPr>
          <w:rFonts w:ascii="Arial" w:hAnsi="Arial" w:cs="Arial"/>
          <w:noProof/>
          <w:lang w:val="ro-RO"/>
        </w:rPr>
        <w:t xml:space="preserve"> and the lack of clearly quantifiable performance indicators. Traditional evaluation systems are criticized for subjectivity, inconsistency</w:t>
      </w:r>
      <w:r>
        <w:rPr>
          <w:rFonts w:ascii="Arial" w:hAnsi="Arial" w:cs="Arial"/>
          <w:noProof/>
          <w:lang w:val="ro-RO"/>
        </w:rPr>
        <w:t>,</w:t>
      </w:r>
      <w:r w:rsidRPr="009033AB">
        <w:rPr>
          <w:rFonts w:ascii="Arial" w:hAnsi="Arial" w:cs="Arial"/>
          <w:noProof/>
          <w:lang w:val="ro-RO"/>
        </w:rPr>
        <w:t xml:space="preserve"> and the inability to capture the nuances of public sector employee activity (Ahonen et al., 2021).</w:t>
      </w:r>
    </w:p>
    <w:p w14:paraId="4944BFEE" w14:textId="77777777" w:rsidR="009033AB" w:rsidRDefault="009033AB" w:rsidP="007D71B8">
      <w:pPr>
        <w:pStyle w:val="Body"/>
        <w:spacing w:after="0"/>
        <w:rPr>
          <w:rFonts w:ascii="Arial" w:hAnsi="Arial" w:cs="Arial"/>
          <w:noProof/>
          <w:lang w:val="ro-RO"/>
        </w:rPr>
      </w:pPr>
    </w:p>
    <w:p w14:paraId="7A27FAC1" w14:textId="775D24C9" w:rsidR="009033AB" w:rsidRDefault="009033AB" w:rsidP="007D71B8">
      <w:pPr>
        <w:pStyle w:val="Body"/>
        <w:spacing w:after="0"/>
        <w:rPr>
          <w:rFonts w:ascii="Arial" w:hAnsi="Arial" w:cs="Arial"/>
          <w:noProof/>
          <w:lang w:val="ro-RO"/>
        </w:rPr>
      </w:pPr>
      <w:r w:rsidRPr="009033AB">
        <w:rPr>
          <w:rFonts w:ascii="Arial" w:hAnsi="Arial" w:cs="Arial"/>
          <w:noProof/>
          <w:lang w:val="ro-RO"/>
        </w:rPr>
        <w:t>In this context, this research aims to explore the transformative potential of GenAI in human capital performance assessment in public institutions, answering the following research questions: “</w:t>
      </w:r>
      <w:r w:rsidRPr="009033AB">
        <w:rPr>
          <w:rFonts w:ascii="Arial" w:hAnsi="Arial" w:cs="Arial"/>
          <w:i/>
          <w:iCs/>
          <w:noProof/>
          <w:lang w:val="ro-RO"/>
        </w:rPr>
        <w:t>What are the potential applications of GenAI in human capital performance assessment in public institutions?</w:t>
      </w:r>
      <w:r w:rsidRPr="009033AB">
        <w:rPr>
          <w:rFonts w:ascii="Arial" w:hAnsi="Arial" w:cs="Arial"/>
          <w:noProof/>
          <w:lang w:val="ro-RO"/>
        </w:rPr>
        <w:t>”, “</w:t>
      </w:r>
      <w:r w:rsidRPr="009033AB">
        <w:rPr>
          <w:rFonts w:ascii="Arial" w:hAnsi="Arial" w:cs="Arial"/>
          <w:i/>
          <w:iCs/>
          <w:noProof/>
          <w:lang w:val="ro-RO"/>
        </w:rPr>
        <w:t>What specific benefits and challenges does the implementation of GenAI bring to public sector performance assessment processes?</w:t>
      </w:r>
      <w:r w:rsidRPr="009033AB">
        <w:rPr>
          <w:rFonts w:ascii="Arial" w:hAnsi="Arial" w:cs="Arial"/>
          <w:noProof/>
          <w:lang w:val="ro-RO"/>
        </w:rPr>
        <w:t>”, “</w:t>
      </w:r>
      <w:r w:rsidRPr="009033AB">
        <w:rPr>
          <w:rFonts w:ascii="Arial" w:hAnsi="Arial" w:cs="Arial"/>
          <w:i/>
          <w:iCs/>
          <w:noProof/>
          <w:lang w:val="ro-RO"/>
        </w:rPr>
        <w:t>What are the ethical and governance considerations necessary for a responsible implementation of GenAI in performance assessment?</w:t>
      </w:r>
      <w:r w:rsidRPr="009033AB">
        <w:rPr>
          <w:rFonts w:ascii="Arial" w:hAnsi="Arial" w:cs="Arial"/>
          <w:noProof/>
          <w:lang w:val="ro-RO"/>
        </w:rPr>
        <w:t>” and “</w:t>
      </w:r>
      <w:r w:rsidRPr="009033AB">
        <w:rPr>
          <w:rFonts w:ascii="Arial" w:hAnsi="Arial" w:cs="Arial"/>
          <w:i/>
          <w:iCs/>
          <w:noProof/>
          <w:lang w:val="ro-RO"/>
        </w:rPr>
        <w:t>How can a GenAI implementation framework be adapted to the contextual specificity of public institutions?</w:t>
      </w:r>
      <w:r w:rsidRPr="009033AB">
        <w:rPr>
          <w:rFonts w:ascii="Arial" w:hAnsi="Arial" w:cs="Arial"/>
          <w:noProof/>
          <w:lang w:val="ro-RO"/>
        </w:rPr>
        <w:t>”.</w:t>
      </w:r>
      <w:r>
        <w:rPr>
          <w:rFonts w:ascii="Arial" w:hAnsi="Arial" w:cs="Arial"/>
          <w:noProof/>
          <w:lang w:val="ro-RO"/>
        </w:rPr>
        <w:t xml:space="preserve"> </w:t>
      </w:r>
      <w:r w:rsidRPr="009033AB">
        <w:rPr>
          <w:rFonts w:ascii="Arial" w:hAnsi="Arial" w:cs="Arial"/>
          <w:noProof/>
          <w:lang w:val="ro-RO"/>
        </w:rPr>
        <w:t xml:space="preserve">Although the literature on GenAI applications in human resource management is growing (Jatoba et al., 2019; Tambe et al., 2019), there is still a significant gap in terms of specific implications for public </w:t>
      </w:r>
      <w:r w:rsidRPr="009033AB">
        <w:rPr>
          <w:rFonts w:ascii="Arial" w:hAnsi="Arial" w:cs="Arial"/>
          <w:noProof/>
          <w:lang w:val="ro-RO"/>
        </w:rPr>
        <w:lastRenderedPageBreak/>
        <w:t>institutions. This study aims to contribute to filling this knowledge gap by providing a comprehensive analysis and a conceptual framework adapted to the public sector.</w:t>
      </w:r>
    </w:p>
    <w:p w14:paraId="34650B03" w14:textId="77777777" w:rsidR="00790ADA" w:rsidRPr="007D71B8" w:rsidRDefault="00790ADA" w:rsidP="00441B6F">
      <w:pPr>
        <w:pStyle w:val="Body"/>
        <w:spacing w:after="0"/>
        <w:rPr>
          <w:rFonts w:ascii="Arial" w:hAnsi="Arial" w:cs="Arial"/>
          <w:noProof/>
          <w:lang w:val="ro-RO"/>
        </w:rPr>
      </w:pPr>
    </w:p>
    <w:p w14:paraId="23642FAF" w14:textId="29FC1852" w:rsidR="007F7B32" w:rsidRPr="007D71B8" w:rsidRDefault="00902823" w:rsidP="00441B6F">
      <w:pPr>
        <w:pStyle w:val="AbstHead"/>
        <w:spacing w:after="0"/>
        <w:jc w:val="both"/>
        <w:rPr>
          <w:rFonts w:ascii="Arial" w:hAnsi="Arial" w:cs="Arial"/>
          <w:noProof/>
          <w:lang w:val="ro-RO"/>
        </w:rPr>
      </w:pPr>
      <w:r w:rsidRPr="007D71B8">
        <w:rPr>
          <w:rFonts w:ascii="Arial" w:hAnsi="Arial" w:cs="Arial"/>
          <w:noProof/>
          <w:lang w:val="ro-RO"/>
        </w:rPr>
        <w:t xml:space="preserve">2. material </w:t>
      </w:r>
      <w:r w:rsidR="009033AB">
        <w:rPr>
          <w:rFonts w:ascii="Arial" w:hAnsi="Arial" w:cs="Arial"/>
          <w:noProof/>
          <w:lang w:val="ro-RO"/>
        </w:rPr>
        <w:t>and methods</w:t>
      </w:r>
    </w:p>
    <w:p w14:paraId="55860BE3" w14:textId="77777777" w:rsidR="00790ADA" w:rsidRPr="007D71B8" w:rsidRDefault="00790ADA" w:rsidP="009033AB">
      <w:pPr>
        <w:rPr>
          <w:noProof/>
          <w:lang w:val="ro-RO"/>
        </w:rPr>
      </w:pPr>
    </w:p>
    <w:p w14:paraId="560CA67B" w14:textId="120E7221" w:rsidR="009033AB" w:rsidRDefault="009033AB" w:rsidP="009940BA">
      <w:pPr>
        <w:pStyle w:val="Body"/>
        <w:spacing w:after="0"/>
        <w:rPr>
          <w:rFonts w:ascii="Arial" w:hAnsi="Arial" w:cs="Arial"/>
          <w:noProof/>
          <w:lang w:val="ro-RO"/>
        </w:rPr>
      </w:pPr>
      <w:r w:rsidRPr="009033AB">
        <w:rPr>
          <w:rFonts w:ascii="Arial" w:hAnsi="Arial" w:cs="Arial"/>
          <w:noProof/>
          <w:lang w:val="ro-RO"/>
        </w:rPr>
        <w:t>The present research used a systematic literature review methodology to identify, evaluate</w:t>
      </w:r>
      <w:r>
        <w:rPr>
          <w:rFonts w:ascii="Arial" w:hAnsi="Arial" w:cs="Arial"/>
          <w:noProof/>
          <w:lang w:val="ro-RO"/>
        </w:rPr>
        <w:t>,</w:t>
      </w:r>
      <w:r w:rsidRPr="009033AB">
        <w:rPr>
          <w:rFonts w:ascii="Arial" w:hAnsi="Arial" w:cs="Arial"/>
          <w:noProof/>
          <w:lang w:val="ro-RO"/>
        </w:rPr>
        <w:t xml:space="preserve"> and synthesize relevant studies on GenAI applications in performance evaluation, with a focus on their transferability in the context of public institutions. We adopted the PRISMA (Preferred Reporting Items for Systematic Reviews and Meta-Analyses) approach to ensure the rigor and transparency of the literature selection and analysis process (Moher et al., 2015). The literature search was conducted in three academic databases: Web of Science</w:t>
      </w:r>
      <w:r w:rsidRPr="009033AB">
        <w:rPr>
          <w:rFonts w:ascii="Times New Roman" w:hAnsi="Times New Roman"/>
          <w:noProof/>
          <w:vertAlign w:val="superscript"/>
          <w:lang w:val="ro-RO"/>
        </w:rPr>
        <w:t>®</w:t>
      </w:r>
      <w:r w:rsidRPr="009033AB">
        <w:rPr>
          <w:rFonts w:ascii="Arial" w:hAnsi="Arial" w:cs="Arial"/>
          <w:noProof/>
          <w:lang w:val="ro-RO"/>
        </w:rPr>
        <w:t>, ResearchGate</w:t>
      </w:r>
      <w:r w:rsidRPr="009033AB">
        <w:rPr>
          <w:rFonts w:ascii="Times New Roman" w:hAnsi="Times New Roman"/>
          <w:noProof/>
          <w:vertAlign w:val="superscript"/>
          <w:lang w:val="ro-RO"/>
        </w:rPr>
        <w:t>®</w:t>
      </w:r>
      <w:r>
        <w:rPr>
          <w:rFonts w:ascii="Arial" w:hAnsi="Arial" w:cs="Arial"/>
          <w:noProof/>
          <w:lang w:val="ro-RO"/>
        </w:rPr>
        <w:t>,</w:t>
      </w:r>
      <w:r w:rsidRPr="009033AB">
        <w:rPr>
          <w:rFonts w:ascii="Arial" w:hAnsi="Arial" w:cs="Arial"/>
          <w:noProof/>
          <w:lang w:val="ro-RO"/>
        </w:rPr>
        <w:t xml:space="preserve"> and Google Scholar</w:t>
      </w:r>
      <w:r w:rsidRPr="009033AB">
        <w:rPr>
          <w:rFonts w:ascii="Times New Roman" w:hAnsi="Times New Roman"/>
          <w:noProof/>
          <w:vertAlign w:val="superscript"/>
          <w:lang w:val="ro-RO"/>
        </w:rPr>
        <w:t>®</w:t>
      </w:r>
      <w:r w:rsidRPr="009033AB">
        <w:rPr>
          <w:rFonts w:ascii="Arial" w:hAnsi="Arial" w:cs="Arial"/>
          <w:noProof/>
          <w:lang w:val="ro-RO"/>
        </w:rPr>
        <w:t>.</w:t>
      </w:r>
    </w:p>
    <w:p w14:paraId="1C679823" w14:textId="77777777" w:rsidR="009033AB" w:rsidRDefault="009033AB" w:rsidP="009940BA">
      <w:pPr>
        <w:pStyle w:val="Body"/>
        <w:spacing w:after="0"/>
        <w:rPr>
          <w:rFonts w:ascii="Arial" w:hAnsi="Arial" w:cs="Arial"/>
          <w:noProof/>
          <w:lang w:val="ro-RO"/>
        </w:rPr>
      </w:pPr>
    </w:p>
    <w:p w14:paraId="3FD04B88" w14:textId="6ECA0749" w:rsidR="009033AB" w:rsidRDefault="009033AB" w:rsidP="009940BA">
      <w:pPr>
        <w:pStyle w:val="Body"/>
        <w:spacing w:after="0"/>
        <w:rPr>
          <w:rFonts w:ascii="Arial" w:hAnsi="Arial" w:cs="Arial"/>
          <w:noProof/>
          <w:lang w:val="ro-RO"/>
        </w:rPr>
      </w:pPr>
      <w:r w:rsidRPr="009033AB">
        <w:rPr>
          <w:rFonts w:ascii="Arial" w:hAnsi="Arial" w:cs="Arial"/>
          <w:noProof/>
          <w:lang w:val="ro-RO"/>
        </w:rPr>
        <w:t>We used the following search terms and their combinations, respectively: "</w:t>
      </w:r>
      <w:r w:rsidRPr="009033AB">
        <w:rPr>
          <w:rFonts w:ascii="Arial" w:hAnsi="Arial" w:cs="Arial"/>
          <w:i/>
          <w:iCs/>
          <w:noProof/>
          <w:lang w:val="ro-RO"/>
        </w:rPr>
        <w:t>generative AI</w:t>
      </w:r>
      <w:r w:rsidRPr="009033AB">
        <w:rPr>
          <w:rFonts w:ascii="Arial" w:hAnsi="Arial" w:cs="Arial"/>
          <w:noProof/>
          <w:lang w:val="ro-RO"/>
        </w:rPr>
        <w:t>", "</w:t>
      </w:r>
      <w:r w:rsidRPr="009033AB">
        <w:rPr>
          <w:rFonts w:ascii="Arial" w:hAnsi="Arial" w:cs="Arial"/>
          <w:i/>
          <w:iCs/>
          <w:noProof/>
          <w:lang w:val="ro-RO"/>
        </w:rPr>
        <w:t>GenAI</w:t>
      </w:r>
      <w:r w:rsidRPr="009033AB">
        <w:rPr>
          <w:rFonts w:ascii="Arial" w:hAnsi="Arial" w:cs="Arial"/>
          <w:noProof/>
          <w:lang w:val="ro-RO"/>
        </w:rPr>
        <w:t>", "</w:t>
      </w:r>
      <w:r w:rsidRPr="009033AB">
        <w:rPr>
          <w:rFonts w:ascii="Arial" w:hAnsi="Arial" w:cs="Arial"/>
          <w:i/>
          <w:iCs/>
          <w:noProof/>
          <w:lang w:val="ro-RO"/>
        </w:rPr>
        <w:t>performance evaluation</w:t>
      </w:r>
      <w:r w:rsidRPr="009033AB">
        <w:rPr>
          <w:rFonts w:ascii="Arial" w:hAnsi="Arial" w:cs="Arial"/>
          <w:noProof/>
          <w:lang w:val="ro-RO"/>
        </w:rPr>
        <w:t>", "</w:t>
      </w:r>
      <w:r w:rsidRPr="009033AB">
        <w:rPr>
          <w:rFonts w:ascii="Arial" w:hAnsi="Arial" w:cs="Arial"/>
          <w:i/>
          <w:iCs/>
          <w:noProof/>
          <w:lang w:val="ro-RO"/>
        </w:rPr>
        <w:t>performance assessment</w:t>
      </w:r>
      <w:r w:rsidRPr="009033AB">
        <w:rPr>
          <w:rFonts w:ascii="Arial" w:hAnsi="Arial" w:cs="Arial"/>
          <w:noProof/>
          <w:lang w:val="ro-RO"/>
        </w:rPr>
        <w:t>", "</w:t>
      </w:r>
      <w:r w:rsidRPr="009033AB">
        <w:rPr>
          <w:rFonts w:ascii="Arial" w:hAnsi="Arial" w:cs="Arial"/>
          <w:i/>
          <w:iCs/>
          <w:noProof/>
          <w:lang w:val="ro-RO"/>
        </w:rPr>
        <w:t>public institutions</w:t>
      </w:r>
      <w:r w:rsidRPr="009033AB">
        <w:rPr>
          <w:rFonts w:ascii="Arial" w:hAnsi="Arial" w:cs="Arial"/>
          <w:noProof/>
          <w:lang w:val="ro-RO"/>
        </w:rPr>
        <w:t>", "</w:t>
      </w:r>
      <w:r w:rsidRPr="009033AB">
        <w:rPr>
          <w:rFonts w:ascii="Arial" w:hAnsi="Arial" w:cs="Arial"/>
          <w:i/>
          <w:iCs/>
          <w:noProof/>
          <w:lang w:val="ro-RO"/>
        </w:rPr>
        <w:t>public sector</w:t>
      </w:r>
      <w:r w:rsidRPr="009033AB">
        <w:rPr>
          <w:rFonts w:ascii="Arial" w:hAnsi="Arial" w:cs="Arial"/>
          <w:noProof/>
          <w:lang w:val="ro-RO"/>
        </w:rPr>
        <w:t>", "</w:t>
      </w:r>
      <w:r w:rsidRPr="009033AB">
        <w:rPr>
          <w:rFonts w:ascii="Arial" w:hAnsi="Arial" w:cs="Arial"/>
          <w:i/>
          <w:iCs/>
          <w:noProof/>
          <w:lang w:val="ro-RO"/>
        </w:rPr>
        <w:t>human capital</w:t>
      </w:r>
      <w:r w:rsidRPr="009033AB">
        <w:rPr>
          <w:rFonts w:ascii="Arial" w:hAnsi="Arial" w:cs="Arial"/>
          <w:noProof/>
          <w:lang w:val="ro-RO"/>
        </w:rPr>
        <w:t>", "</w:t>
      </w:r>
      <w:r w:rsidRPr="009033AB">
        <w:rPr>
          <w:rFonts w:ascii="Arial" w:hAnsi="Arial" w:cs="Arial"/>
          <w:i/>
          <w:iCs/>
          <w:noProof/>
          <w:lang w:val="ro-RO"/>
        </w:rPr>
        <w:t>human resources</w:t>
      </w:r>
      <w:r w:rsidRPr="009033AB">
        <w:rPr>
          <w:rFonts w:ascii="Arial" w:hAnsi="Arial" w:cs="Arial"/>
          <w:noProof/>
          <w:lang w:val="ro-RO"/>
        </w:rPr>
        <w:t>", "</w:t>
      </w:r>
      <w:r w:rsidRPr="009033AB">
        <w:rPr>
          <w:rFonts w:ascii="Arial" w:hAnsi="Arial" w:cs="Arial"/>
          <w:i/>
          <w:iCs/>
          <w:noProof/>
          <w:lang w:val="ro-RO"/>
        </w:rPr>
        <w:t>talent management</w:t>
      </w:r>
      <w:r w:rsidRPr="009033AB">
        <w:rPr>
          <w:rFonts w:ascii="Arial" w:hAnsi="Arial" w:cs="Arial"/>
          <w:noProof/>
          <w:lang w:val="ro-RO"/>
        </w:rPr>
        <w:t>", "</w:t>
      </w:r>
      <w:r w:rsidRPr="009033AB">
        <w:rPr>
          <w:rFonts w:ascii="Arial" w:hAnsi="Arial" w:cs="Arial"/>
          <w:i/>
          <w:iCs/>
          <w:noProof/>
          <w:lang w:val="ro-RO"/>
        </w:rPr>
        <w:t>workforce analytics</w:t>
      </w:r>
      <w:r w:rsidRPr="009033AB">
        <w:rPr>
          <w:rFonts w:ascii="Arial" w:hAnsi="Arial" w:cs="Arial"/>
          <w:noProof/>
          <w:lang w:val="ro-RO"/>
        </w:rPr>
        <w:t xml:space="preserve">", and their equivalents in Romanian. The </w:t>
      </w:r>
      <w:r>
        <w:rPr>
          <w:rFonts w:ascii="Arial" w:hAnsi="Arial" w:cs="Arial"/>
          <w:noProof/>
          <w:lang w:val="ro-RO"/>
        </w:rPr>
        <w:t>period</w:t>
      </w:r>
      <w:r w:rsidRPr="009033AB">
        <w:rPr>
          <w:rFonts w:ascii="Arial" w:hAnsi="Arial" w:cs="Arial"/>
          <w:noProof/>
          <w:lang w:val="ro-RO"/>
        </w:rPr>
        <w:t xml:space="preserve"> covered was 2015-2025, to reflect recent developments in the field of GenAI.</w:t>
      </w:r>
    </w:p>
    <w:p w14:paraId="6E3B98A2" w14:textId="77777777" w:rsidR="009033AB" w:rsidRDefault="009033AB" w:rsidP="009940BA">
      <w:pPr>
        <w:pStyle w:val="Body"/>
        <w:spacing w:after="0"/>
        <w:rPr>
          <w:rFonts w:ascii="Arial" w:hAnsi="Arial" w:cs="Arial"/>
          <w:noProof/>
          <w:lang w:val="ro-RO"/>
        </w:rPr>
      </w:pPr>
    </w:p>
    <w:p w14:paraId="5C603CA6" w14:textId="2F61C7F6" w:rsidR="009033AB" w:rsidRPr="007D71B8" w:rsidRDefault="009033AB" w:rsidP="009940BA">
      <w:pPr>
        <w:pStyle w:val="Body"/>
        <w:spacing w:after="0"/>
        <w:rPr>
          <w:rFonts w:ascii="Arial" w:hAnsi="Arial" w:cs="Arial"/>
          <w:noProof/>
          <w:lang w:val="ro-RO"/>
        </w:rPr>
      </w:pPr>
      <w:r w:rsidRPr="009033AB">
        <w:rPr>
          <w:rFonts w:ascii="Arial" w:hAnsi="Arial" w:cs="Arial"/>
          <w:noProof/>
          <w:lang w:val="ro-RO"/>
        </w:rPr>
        <w:t xml:space="preserve">The inclusion criteria were: articles published in peer-reviewed journals and academic conferences, studies addressing applications of GenAI in performance evaluation, research on human resource management in public institutions, </w:t>
      </w:r>
      <w:r>
        <w:rPr>
          <w:rFonts w:ascii="Arial" w:hAnsi="Arial" w:cs="Arial"/>
          <w:noProof/>
          <w:lang w:val="ro-RO"/>
        </w:rPr>
        <w:t xml:space="preserve">and </w:t>
      </w:r>
      <w:r w:rsidRPr="009033AB">
        <w:rPr>
          <w:rFonts w:ascii="Arial" w:hAnsi="Arial" w:cs="Arial"/>
          <w:noProof/>
          <w:lang w:val="ro-RO"/>
        </w:rPr>
        <w:t xml:space="preserve">case studies relevant to the implementation of AI in the public sector. Among the exclusion criteria are: grey literature (reports, white papers) without </w:t>
      </w:r>
      <w:r>
        <w:rPr>
          <w:rFonts w:ascii="Arial" w:hAnsi="Arial" w:cs="Arial"/>
          <w:noProof/>
          <w:lang w:val="ro-RO"/>
        </w:rPr>
        <w:t>peer review</w:t>
      </w:r>
      <w:r w:rsidRPr="009033AB">
        <w:rPr>
          <w:rFonts w:ascii="Arial" w:hAnsi="Arial" w:cs="Arial"/>
          <w:noProof/>
          <w:lang w:val="ro-RO"/>
        </w:rPr>
        <w:t>, articles that were not available in full text, but also studies that only addressed traditional AI technologies, without the generative component. From the initial results of 487 articles, after eliminating duplicates and applying the inclusion/exclusion criteria, 78 articles were selected for the final analysis. The extracted data included: research method, type of GenAI technology studied, specific applications, identified benefits, challenges and limitations, ethical considerations, and recommendations for implementation. The data analysis used a thematic approach to identify recurring patterns and themes in the analyzed literature.</w:t>
      </w:r>
    </w:p>
    <w:p w14:paraId="1B33AC41" w14:textId="77777777" w:rsidR="00790ADA" w:rsidRPr="007D71B8" w:rsidRDefault="00790ADA" w:rsidP="00AA0423">
      <w:pPr>
        <w:rPr>
          <w:noProof/>
          <w:lang w:val="ro-RO"/>
        </w:rPr>
      </w:pPr>
    </w:p>
    <w:p w14:paraId="28640511" w14:textId="02DFAA49" w:rsidR="00902823" w:rsidRPr="007D71B8" w:rsidRDefault="00000F8F" w:rsidP="00441B6F">
      <w:pPr>
        <w:pStyle w:val="Head1"/>
        <w:spacing w:after="0"/>
        <w:jc w:val="both"/>
        <w:rPr>
          <w:rFonts w:ascii="Arial" w:hAnsi="Arial" w:cs="Arial"/>
          <w:noProof/>
          <w:lang w:val="ro-RO"/>
        </w:rPr>
      </w:pPr>
      <w:r w:rsidRPr="007D71B8">
        <w:rPr>
          <w:rFonts w:ascii="Arial" w:hAnsi="Arial" w:cs="Arial"/>
          <w:noProof/>
          <w:lang w:val="ro-RO"/>
        </w:rPr>
        <w:t>3</w:t>
      </w:r>
      <w:r w:rsidR="00902823" w:rsidRPr="007D71B8">
        <w:rPr>
          <w:rFonts w:ascii="Arial" w:hAnsi="Arial" w:cs="Arial"/>
          <w:noProof/>
          <w:lang w:val="ro-RO"/>
        </w:rPr>
        <w:t xml:space="preserve">. </w:t>
      </w:r>
      <w:r w:rsidRPr="007D71B8">
        <w:rPr>
          <w:rFonts w:ascii="Arial" w:hAnsi="Arial" w:cs="Arial"/>
          <w:noProof/>
          <w:lang w:val="ro-RO"/>
        </w:rPr>
        <w:t>re</w:t>
      </w:r>
      <w:r w:rsidR="009033AB">
        <w:rPr>
          <w:rFonts w:ascii="Arial" w:hAnsi="Arial" w:cs="Arial"/>
          <w:noProof/>
          <w:lang w:val="ro-RO"/>
        </w:rPr>
        <w:t>sults and discussion</w:t>
      </w:r>
    </w:p>
    <w:p w14:paraId="202333A5" w14:textId="77777777" w:rsidR="00790ADA" w:rsidRPr="007D71B8" w:rsidRDefault="00790ADA" w:rsidP="00AA0423">
      <w:pPr>
        <w:rPr>
          <w:noProof/>
          <w:lang w:val="ro-RO"/>
        </w:rPr>
      </w:pPr>
    </w:p>
    <w:p w14:paraId="61BDC8CD" w14:textId="48B7D8D7" w:rsidR="007D71B8" w:rsidRPr="007D71B8" w:rsidRDefault="00784773" w:rsidP="00441B6F">
      <w:pPr>
        <w:pStyle w:val="Body"/>
        <w:spacing w:after="0"/>
        <w:rPr>
          <w:rFonts w:ascii="Arial" w:hAnsi="Arial" w:cs="Arial"/>
          <w:noProof/>
          <w:lang w:val="ro-RO"/>
        </w:rPr>
      </w:pPr>
      <w:r>
        <w:rPr>
          <w:rFonts w:ascii="Arial" w:hAnsi="Arial" w:cs="Arial"/>
          <w:b/>
          <w:caps/>
          <w:noProof/>
          <w:sz w:val="22"/>
          <w:lang w:val="ro-RO"/>
        </w:rPr>
        <w:t>3</w:t>
      </w:r>
      <w:r w:rsidR="007D71B8" w:rsidRPr="007D71B8">
        <w:rPr>
          <w:rFonts w:ascii="Arial" w:hAnsi="Arial" w:cs="Arial"/>
          <w:b/>
          <w:caps/>
          <w:noProof/>
          <w:sz w:val="22"/>
          <w:lang w:val="ro-RO"/>
        </w:rPr>
        <w:t>.1</w:t>
      </w:r>
      <w:r>
        <w:rPr>
          <w:rFonts w:ascii="Arial" w:hAnsi="Arial" w:cs="Arial"/>
          <w:b/>
          <w:caps/>
          <w:noProof/>
          <w:sz w:val="22"/>
          <w:lang w:val="ro-RO"/>
        </w:rPr>
        <w:t>.</w:t>
      </w:r>
      <w:r w:rsidR="007D71B8" w:rsidRPr="007D71B8">
        <w:rPr>
          <w:rFonts w:ascii="Arial" w:hAnsi="Arial" w:cs="Arial"/>
          <w:b/>
          <w:caps/>
          <w:noProof/>
          <w:sz w:val="22"/>
          <w:lang w:val="ro-RO"/>
        </w:rPr>
        <w:t xml:space="preserve"> </w:t>
      </w:r>
      <w:r w:rsidR="009033AB" w:rsidRPr="009033AB">
        <w:rPr>
          <w:rFonts w:ascii="Arial" w:hAnsi="Arial" w:cs="Arial"/>
          <w:b/>
          <w:noProof/>
          <w:sz w:val="22"/>
          <w:lang w:val="ro-RO"/>
        </w:rPr>
        <w:t>Potential applications of GenAI in performance evaluation</w:t>
      </w:r>
    </w:p>
    <w:p w14:paraId="4EB415EF" w14:textId="77777777" w:rsidR="00790ADA" w:rsidRPr="007D71B8" w:rsidRDefault="00790ADA" w:rsidP="00441B6F">
      <w:pPr>
        <w:pStyle w:val="Body"/>
        <w:spacing w:after="0"/>
        <w:rPr>
          <w:rFonts w:ascii="Arial" w:hAnsi="Arial" w:cs="Arial"/>
          <w:noProof/>
          <w:lang w:val="ro-RO"/>
        </w:rPr>
      </w:pPr>
    </w:p>
    <w:p w14:paraId="3E13D493" w14:textId="77777777" w:rsidR="009033AB" w:rsidRPr="009033AB" w:rsidRDefault="009033AB" w:rsidP="009033AB">
      <w:pPr>
        <w:pStyle w:val="Body"/>
        <w:spacing w:after="0"/>
        <w:rPr>
          <w:rFonts w:ascii="Arial" w:hAnsi="Arial" w:cs="Arial"/>
          <w:noProof/>
          <w:lang w:val="ro-RO"/>
        </w:rPr>
      </w:pPr>
      <w:r w:rsidRPr="009033AB">
        <w:rPr>
          <w:rFonts w:ascii="Arial" w:hAnsi="Arial" w:cs="Arial"/>
          <w:noProof/>
          <w:lang w:val="ro-RO"/>
        </w:rPr>
        <w:t>The literature review highlighted five main categories of GenAI applications in human capital performance assessment in public institutions, namely:</w:t>
      </w:r>
    </w:p>
    <w:p w14:paraId="35485E98" w14:textId="77777777" w:rsidR="009033AB" w:rsidRDefault="009033AB" w:rsidP="009033AB">
      <w:pPr>
        <w:pStyle w:val="Body"/>
        <w:numPr>
          <w:ilvl w:val="0"/>
          <w:numId w:val="41"/>
        </w:numPr>
        <w:spacing w:after="0"/>
        <w:rPr>
          <w:rFonts w:ascii="Arial" w:hAnsi="Arial" w:cs="Arial"/>
          <w:noProof/>
          <w:lang w:val="ro-RO"/>
        </w:rPr>
      </w:pPr>
      <w:r w:rsidRPr="009033AB">
        <w:rPr>
          <w:rFonts w:ascii="Arial" w:hAnsi="Arial" w:cs="Arial"/>
          <w:i/>
          <w:iCs/>
          <w:noProof/>
          <w:lang w:val="ro-RO"/>
        </w:rPr>
        <w:t>Advanced performance data analytics</w:t>
      </w:r>
      <w:r w:rsidRPr="009033AB">
        <w:rPr>
          <w:rFonts w:ascii="Arial" w:hAnsi="Arial" w:cs="Arial"/>
          <w:noProof/>
          <w:lang w:val="ro-RO"/>
        </w:rPr>
        <w:t xml:space="preserve"> - GenAI can process and analyze large volumes of structured and unstructured performance-related data, identifying patterns and correlations that might escape traditional human analysis. Tonidandel et al. (2018) demonstrate how predictive analytics tools based on machine learning algorithms can identify performance determinants that are not evident in traditional approaches. In the context of public institutions, this type of analysis can help understand the complex relationship between different aspects of civil servants' work and organizational outcomes (Peeters et al., 2020);</w:t>
      </w:r>
    </w:p>
    <w:p w14:paraId="78130DD4" w14:textId="77777777" w:rsidR="009033AB" w:rsidRDefault="009033AB" w:rsidP="009033AB">
      <w:pPr>
        <w:pStyle w:val="Body"/>
        <w:numPr>
          <w:ilvl w:val="0"/>
          <w:numId w:val="41"/>
        </w:numPr>
        <w:spacing w:after="0"/>
        <w:rPr>
          <w:rFonts w:ascii="Arial" w:hAnsi="Arial" w:cs="Arial"/>
          <w:noProof/>
          <w:lang w:val="ro-RO"/>
        </w:rPr>
      </w:pPr>
      <w:r w:rsidRPr="009033AB">
        <w:rPr>
          <w:rFonts w:ascii="Arial" w:hAnsi="Arial" w:cs="Arial"/>
          <w:i/>
          <w:iCs/>
          <w:noProof/>
          <w:lang w:val="ro-RO"/>
        </w:rPr>
        <w:t>Continuous assessment and real-time feedback</w:t>
      </w:r>
      <w:r w:rsidRPr="009033AB">
        <w:rPr>
          <w:rFonts w:ascii="Arial" w:hAnsi="Arial" w:cs="Arial"/>
          <w:noProof/>
          <w:lang w:val="ro-RO"/>
        </w:rPr>
        <w:t xml:space="preserve"> - unlike traditional annual assessments, GenAI-based systems can monitor and analyze performance continuously, providing prompt feedback that allows for rapid corrective interventions. Khan and Vorley (2017) emphasize the importance of continuous feedback for performance improvement, and GenAI facilitates this process by automating the collection and analysis of relevant data. Strohmeier (2020) highlights </w:t>
      </w:r>
      <w:r w:rsidRPr="009033AB">
        <w:rPr>
          <w:rFonts w:ascii="Arial" w:hAnsi="Arial" w:cs="Arial"/>
          <w:noProof/>
          <w:lang w:val="ro-RO"/>
        </w:rPr>
        <w:lastRenderedPageBreak/>
        <w:t>the potential of AI systems to transform evaluation from a periodic event into a continuous learning process</w:t>
      </w:r>
      <w:r>
        <w:rPr>
          <w:rFonts w:ascii="Arial" w:hAnsi="Arial" w:cs="Arial"/>
          <w:noProof/>
          <w:lang w:val="ro-RO"/>
        </w:rPr>
        <w:t>;</w:t>
      </w:r>
    </w:p>
    <w:p w14:paraId="58D1A645" w14:textId="63A0236E" w:rsidR="009033AB" w:rsidRDefault="009033AB" w:rsidP="009033AB">
      <w:pPr>
        <w:pStyle w:val="Body"/>
        <w:numPr>
          <w:ilvl w:val="0"/>
          <w:numId w:val="41"/>
        </w:numPr>
        <w:spacing w:after="0"/>
        <w:rPr>
          <w:rFonts w:ascii="Arial" w:hAnsi="Arial" w:cs="Arial"/>
          <w:noProof/>
          <w:lang w:val="ro-RO"/>
        </w:rPr>
      </w:pPr>
      <w:r w:rsidRPr="009033AB">
        <w:rPr>
          <w:rFonts w:ascii="Arial" w:hAnsi="Arial" w:cs="Arial"/>
          <w:i/>
          <w:iCs/>
          <w:noProof/>
          <w:lang w:val="ro-RO"/>
        </w:rPr>
        <w:t>Personalization of evaluation criteria and methods</w:t>
      </w:r>
      <w:r w:rsidRPr="009033AB">
        <w:rPr>
          <w:rFonts w:ascii="Arial" w:hAnsi="Arial" w:cs="Arial"/>
          <w:noProof/>
          <w:lang w:val="ro-RO"/>
        </w:rPr>
        <w:t xml:space="preserve"> - GenAI allows the adaptation of evaluation systems to the specifics of each role, department</w:t>
      </w:r>
      <w:r w:rsidR="00B67752">
        <w:rPr>
          <w:rFonts w:ascii="Arial" w:hAnsi="Arial" w:cs="Arial"/>
          <w:noProof/>
          <w:lang w:val="ro-RO"/>
        </w:rPr>
        <w:t>,</w:t>
      </w:r>
      <w:r w:rsidRPr="009033AB">
        <w:rPr>
          <w:rFonts w:ascii="Arial" w:hAnsi="Arial" w:cs="Arial"/>
          <w:noProof/>
          <w:lang w:val="ro-RO"/>
        </w:rPr>
        <w:t xml:space="preserve"> or even individual, overcoming the limitations of standardized approaches. Cappelli et al. (2020) argue that personalizing evaluations increases their relevance and acceptance by employees. Moreover, if we refer to public institutions, where the diversity of roles and responsibilities is considerable, this flexibility can be particularly valuable (Ștefănescu et al., 2022)</w:t>
      </w:r>
      <w:r>
        <w:rPr>
          <w:rFonts w:ascii="Arial" w:hAnsi="Arial" w:cs="Arial"/>
          <w:noProof/>
          <w:lang w:val="ro-RO"/>
        </w:rPr>
        <w:t>;</w:t>
      </w:r>
    </w:p>
    <w:p w14:paraId="7DA95478" w14:textId="77777777" w:rsidR="009033AB" w:rsidRDefault="009033AB" w:rsidP="009033AB">
      <w:pPr>
        <w:pStyle w:val="Body"/>
        <w:numPr>
          <w:ilvl w:val="0"/>
          <w:numId w:val="41"/>
        </w:numPr>
        <w:spacing w:after="0"/>
        <w:rPr>
          <w:rFonts w:ascii="Arial" w:hAnsi="Arial" w:cs="Arial"/>
          <w:noProof/>
          <w:lang w:val="ro-RO"/>
        </w:rPr>
      </w:pPr>
      <w:r w:rsidRPr="009033AB">
        <w:rPr>
          <w:rFonts w:ascii="Arial" w:hAnsi="Arial" w:cs="Arial"/>
          <w:i/>
          <w:iCs/>
          <w:noProof/>
          <w:lang w:val="ro-RO"/>
        </w:rPr>
        <w:t>Reducing biases in evaluation</w:t>
      </w:r>
      <w:r w:rsidRPr="009033AB">
        <w:rPr>
          <w:rFonts w:ascii="Arial" w:hAnsi="Arial" w:cs="Arial"/>
          <w:noProof/>
          <w:lang w:val="ro-RO"/>
        </w:rPr>
        <w:t xml:space="preserve"> - GenAI systems can be designed to identify and minimize common cognitive biases in evaluations made by human supervisors. Raghavan et al. (2020) demonstrate that well-designed algorithms can reduce discrimination and personal favoritism in evaluation processes. In public institutions, where objectivity and fairness are fundamental values, this capability is an important benefit (Bullock, 2019);</w:t>
      </w:r>
    </w:p>
    <w:p w14:paraId="40E59E6C" w14:textId="31CACA45" w:rsidR="009033AB" w:rsidRPr="009033AB" w:rsidRDefault="009033AB" w:rsidP="009033AB">
      <w:pPr>
        <w:pStyle w:val="Body"/>
        <w:numPr>
          <w:ilvl w:val="0"/>
          <w:numId w:val="41"/>
        </w:numPr>
        <w:spacing w:after="0"/>
        <w:rPr>
          <w:rFonts w:ascii="Arial" w:hAnsi="Arial" w:cs="Arial"/>
          <w:noProof/>
          <w:lang w:val="ro-RO"/>
        </w:rPr>
      </w:pPr>
      <w:r w:rsidRPr="009033AB">
        <w:rPr>
          <w:rFonts w:ascii="Arial" w:hAnsi="Arial" w:cs="Arial"/>
          <w:i/>
          <w:iCs/>
          <w:noProof/>
          <w:lang w:val="ro-RO"/>
        </w:rPr>
        <w:t>Simulating and predicting future performance</w:t>
      </w:r>
      <w:r w:rsidRPr="009033AB">
        <w:rPr>
          <w:rFonts w:ascii="Arial" w:hAnsi="Arial" w:cs="Arial"/>
          <w:noProof/>
          <w:lang w:val="ro-RO"/>
        </w:rPr>
        <w:t xml:space="preserve"> - GenAI technologies can generate simulations and predictions of future employee performance under various scenarios. Tursunbayeva (2021) describes how these simulations can inform strategic decisions regarding talent development and succession planning in public organizations. Marler and Boudreau (2017) highlight the potential of these tools in </w:t>
      </w:r>
      <w:r>
        <w:rPr>
          <w:rFonts w:ascii="Arial" w:hAnsi="Arial" w:cs="Arial"/>
          <w:noProof/>
          <w:lang w:val="ro-RO"/>
        </w:rPr>
        <w:t xml:space="preserve">the </w:t>
      </w:r>
      <w:r w:rsidRPr="009033AB">
        <w:rPr>
          <w:rFonts w:ascii="Arial" w:hAnsi="Arial" w:cs="Arial"/>
          <w:noProof/>
          <w:lang w:val="ro-RO"/>
        </w:rPr>
        <w:t>early identification of high-potential employees and in designing personalized professional development interventions.</w:t>
      </w:r>
    </w:p>
    <w:p w14:paraId="2DFBE09D" w14:textId="77777777" w:rsidR="00784773" w:rsidRPr="007D71B8" w:rsidRDefault="00784773" w:rsidP="00784773">
      <w:pPr>
        <w:rPr>
          <w:noProof/>
          <w:lang w:val="ro-RO"/>
        </w:rPr>
      </w:pPr>
    </w:p>
    <w:p w14:paraId="32E4B9C2" w14:textId="42424550" w:rsidR="00784773" w:rsidRPr="007D71B8" w:rsidRDefault="00784773" w:rsidP="00784773">
      <w:pPr>
        <w:pStyle w:val="Body"/>
        <w:spacing w:after="0"/>
        <w:rPr>
          <w:rFonts w:ascii="Arial" w:hAnsi="Arial" w:cs="Arial"/>
          <w:noProof/>
          <w:lang w:val="ro-RO"/>
        </w:rPr>
      </w:pPr>
      <w:r>
        <w:rPr>
          <w:rFonts w:ascii="Arial" w:hAnsi="Arial" w:cs="Arial"/>
          <w:b/>
          <w:caps/>
          <w:noProof/>
          <w:sz w:val="22"/>
          <w:lang w:val="ro-RO"/>
        </w:rPr>
        <w:t>3</w:t>
      </w:r>
      <w:r w:rsidRPr="007D71B8">
        <w:rPr>
          <w:rFonts w:ascii="Arial" w:hAnsi="Arial" w:cs="Arial"/>
          <w:b/>
          <w:caps/>
          <w:noProof/>
          <w:sz w:val="22"/>
          <w:lang w:val="ro-RO"/>
        </w:rPr>
        <w:t>.</w:t>
      </w:r>
      <w:r>
        <w:rPr>
          <w:rFonts w:ascii="Arial" w:hAnsi="Arial" w:cs="Arial"/>
          <w:b/>
          <w:caps/>
          <w:noProof/>
          <w:sz w:val="22"/>
          <w:lang w:val="ro-RO"/>
        </w:rPr>
        <w:t>2.</w:t>
      </w:r>
      <w:r w:rsidRPr="007D71B8">
        <w:rPr>
          <w:rFonts w:ascii="Arial" w:hAnsi="Arial" w:cs="Arial"/>
          <w:b/>
          <w:caps/>
          <w:noProof/>
          <w:sz w:val="22"/>
          <w:lang w:val="ro-RO"/>
        </w:rPr>
        <w:t xml:space="preserve"> </w:t>
      </w:r>
      <w:r w:rsidR="00A2238F" w:rsidRPr="00A2238F">
        <w:rPr>
          <w:rFonts w:ascii="Arial" w:hAnsi="Arial" w:cs="Arial"/>
          <w:b/>
          <w:noProof/>
          <w:sz w:val="22"/>
          <w:lang w:val="ro-RO"/>
        </w:rPr>
        <w:t>Benefits and challenges of implementing GenAI in evaluating human capital performance in public institutions</w:t>
      </w:r>
    </w:p>
    <w:p w14:paraId="0BB70F56" w14:textId="77777777" w:rsidR="00784773" w:rsidRDefault="00784773" w:rsidP="00784773">
      <w:pPr>
        <w:pStyle w:val="Body"/>
        <w:spacing w:after="0"/>
        <w:rPr>
          <w:rFonts w:ascii="Arial" w:hAnsi="Arial" w:cs="Arial"/>
          <w:noProof/>
          <w:lang w:val="ro-RO"/>
        </w:rPr>
      </w:pPr>
    </w:p>
    <w:p w14:paraId="797D56AE" w14:textId="4371A47A" w:rsidR="00A2238F" w:rsidRPr="00A2238F" w:rsidRDefault="00A2238F" w:rsidP="00A2238F">
      <w:pPr>
        <w:pStyle w:val="Body"/>
        <w:spacing w:after="0"/>
        <w:rPr>
          <w:rFonts w:ascii="Arial" w:hAnsi="Arial" w:cs="Arial"/>
          <w:noProof/>
          <w:lang w:val="ro-RO"/>
        </w:rPr>
      </w:pPr>
      <w:r w:rsidRPr="00A2238F">
        <w:rPr>
          <w:rFonts w:ascii="Arial" w:hAnsi="Arial" w:cs="Arial"/>
          <w:noProof/>
          <w:lang w:val="ro-RO"/>
        </w:rPr>
        <w:t>The benefits of implementing GenAI in human resource management</w:t>
      </w:r>
      <w:r>
        <w:rPr>
          <w:rFonts w:ascii="Arial" w:hAnsi="Arial" w:cs="Arial"/>
          <w:noProof/>
          <w:lang w:val="ro-RO"/>
        </w:rPr>
        <w:t xml:space="preserve"> (HRM)</w:t>
      </w:r>
      <w:r w:rsidRPr="00A2238F">
        <w:rPr>
          <w:rFonts w:ascii="Arial" w:hAnsi="Arial" w:cs="Arial"/>
          <w:noProof/>
          <w:lang w:val="ro-RO"/>
        </w:rPr>
        <w:t>, especially for evaluating human capital performance in public institutions, include the following elements, namely:</w:t>
      </w:r>
    </w:p>
    <w:p w14:paraId="58733CF5" w14:textId="649FAAB5" w:rsidR="00A2238F" w:rsidRPr="00A2238F" w:rsidRDefault="00A2238F" w:rsidP="00A2238F">
      <w:pPr>
        <w:pStyle w:val="Body"/>
        <w:numPr>
          <w:ilvl w:val="0"/>
          <w:numId w:val="42"/>
        </w:numPr>
        <w:spacing w:after="0"/>
        <w:rPr>
          <w:rFonts w:ascii="Arial" w:hAnsi="Arial" w:cs="Arial"/>
          <w:noProof/>
          <w:lang w:val="ro-RO"/>
        </w:rPr>
      </w:pPr>
      <w:r w:rsidRPr="00A2238F">
        <w:rPr>
          <w:rFonts w:ascii="Arial" w:hAnsi="Arial" w:cs="Arial"/>
          <w:i/>
          <w:iCs/>
          <w:noProof/>
          <w:lang w:val="ro-RO"/>
        </w:rPr>
        <w:t>Improving objectivity and reducing bias</w:t>
      </w:r>
      <w:r w:rsidRPr="00A2238F">
        <w:rPr>
          <w:rFonts w:ascii="Arial" w:hAnsi="Arial" w:cs="Arial"/>
          <w:noProof/>
          <w:lang w:val="ro-RO"/>
        </w:rPr>
        <w:t xml:space="preserve"> - the studies analyzed indicate that GenAI systems can reduce subjectivity in evaluation by consistently applying criteria and eliminating human bias (Cheng et al., 2018; Raghavan et al., 2020). Chalfin et al. (2016) demonstrate a 25% increase in the objectivity of evaluations when they are assisted by algorithms;</w:t>
      </w:r>
    </w:p>
    <w:p w14:paraId="57F664A2" w14:textId="4A784AC4" w:rsidR="00A2238F" w:rsidRPr="00A2238F" w:rsidRDefault="00A2238F" w:rsidP="00A2238F">
      <w:pPr>
        <w:pStyle w:val="Body"/>
        <w:numPr>
          <w:ilvl w:val="0"/>
          <w:numId w:val="42"/>
        </w:numPr>
        <w:spacing w:after="0"/>
        <w:rPr>
          <w:rFonts w:ascii="Arial" w:hAnsi="Arial" w:cs="Arial"/>
          <w:noProof/>
          <w:lang w:val="ro-RO"/>
        </w:rPr>
      </w:pPr>
      <w:r w:rsidRPr="00A2238F">
        <w:rPr>
          <w:rFonts w:ascii="Arial" w:hAnsi="Arial" w:cs="Arial"/>
          <w:i/>
          <w:iCs/>
          <w:noProof/>
          <w:lang w:val="ro-RO"/>
        </w:rPr>
        <w:t>Streamlining administrative processes</w:t>
      </w:r>
      <w:r w:rsidRPr="00A2238F">
        <w:rPr>
          <w:rFonts w:ascii="Arial" w:hAnsi="Arial" w:cs="Arial"/>
          <w:noProof/>
          <w:lang w:val="ro-RO"/>
        </w:rPr>
        <w:t xml:space="preserve"> - automating repetitive aspects of performance evaluation can significantly reduce the time and resources allocated to this process. Tambe et al. (2019) estimate that approximately 40% of the time dedicated to traditional evaluations can be saved by implementing AI solutions. Deloitte (2022) reports a 30% reduction in administrative costs associated with performance management in organizations that have implemented AI solutions;</w:t>
      </w:r>
    </w:p>
    <w:p w14:paraId="227F8EB1" w14:textId="7B328B0F" w:rsidR="00A2238F" w:rsidRPr="00A2238F" w:rsidRDefault="00A2238F" w:rsidP="00A2238F">
      <w:pPr>
        <w:pStyle w:val="Body"/>
        <w:numPr>
          <w:ilvl w:val="0"/>
          <w:numId w:val="42"/>
        </w:numPr>
        <w:spacing w:after="0"/>
        <w:rPr>
          <w:rFonts w:ascii="Arial" w:hAnsi="Arial" w:cs="Arial"/>
          <w:noProof/>
          <w:lang w:val="ro-RO"/>
        </w:rPr>
      </w:pPr>
      <w:r w:rsidRPr="00A2238F">
        <w:rPr>
          <w:rFonts w:ascii="Arial" w:hAnsi="Arial" w:cs="Arial"/>
          <w:i/>
          <w:iCs/>
          <w:noProof/>
          <w:lang w:val="ro-RO"/>
        </w:rPr>
        <w:t>Personalizing professional development</w:t>
      </w:r>
      <w:r w:rsidRPr="00A2238F">
        <w:rPr>
          <w:rFonts w:ascii="Arial" w:hAnsi="Arial" w:cs="Arial"/>
          <w:noProof/>
          <w:lang w:val="ro-RO"/>
        </w:rPr>
        <w:t xml:space="preserve"> - GenAI can identify the specific development needs of each employee and suggest personalized learning paths. Dickson et al.'s (2023) study shows that AI-generated development recommendations led to a 28% increase in employee participation in professional training programs and a 22% improvement in post-training performance scores;</w:t>
      </w:r>
    </w:p>
    <w:p w14:paraId="26E9904B" w14:textId="4A2F5C38" w:rsidR="00A2238F" w:rsidRDefault="00A2238F" w:rsidP="00A2238F">
      <w:pPr>
        <w:pStyle w:val="Body"/>
        <w:numPr>
          <w:ilvl w:val="0"/>
          <w:numId w:val="42"/>
        </w:numPr>
        <w:spacing w:after="0"/>
        <w:rPr>
          <w:rFonts w:ascii="Arial" w:hAnsi="Arial" w:cs="Arial"/>
          <w:noProof/>
          <w:lang w:val="ro-RO"/>
        </w:rPr>
      </w:pPr>
      <w:r w:rsidRPr="00A2238F">
        <w:rPr>
          <w:rFonts w:ascii="Arial" w:hAnsi="Arial" w:cs="Arial"/>
          <w:i/>
          <w:iCs/>
          <w:noProof/>
          <w:lang w:val="ro-RO"/>
        </w:rPr>
        <w:t>More accurate talent identification</w:t>
      </w:r>
      <w:r w:rsidRPr="00A2238F">
        <w:rPr>
          <w:rFonts w:ascii="Arial" w:hAnsi="Arial" w:cs="Arial"/>
          <w:noProof/>
          <w:lang w:val="ro-RO"/>
        </w:rPr>
        <w:t xml:space="preserve"> - GenAI systems can recognize complex patterns in performance data that indicate leadership potential or specialized expertise. Davenport et al. (2021) present various cases in which organizations identified 35% more "hidden" talents by using AI-based analysis compared to traditional methods.</w:t>
      </w:r>
    </w:p>
    <w:p w14:paraId="1C9F2D4D" w14:textId="77777777" w:rsidR="00A2238F" w:rsidRDefault="00A2238F" w:rsidP="00784773">
      <w:pPr>
        <w:pStyle w:val="Body"/>
        <w:spacing w:after="0"/>
        <w:rPr>
          <w:rFonts w:ascii="Arial" w:hAnsi="Arial" w:cs="Arial"/>
          <w:noProof/>
          <w:lang w:val="ro-RO"/>
        </w:rPr>
      </w:pPr>
    </w:p>
    <w:p w14:paraId="6E42440D" w14:textId="77777777" w:rsidR="00A2238F" w:rsidRPr="00A2238F" w:rsidRDefault="00A2238F" w:rsidP="00A2238F">
      <w:pPr>
        <w:pStyle w:val="Body"/>
        <w:spacing w:after="0"/>
        <w:rPr>
          <w:rFonts w:ascii="Arial" w:hAnsi="Arial" w:cs="Arial"/>
          <w:noProof/>
          <w:lang w:val="ro-RO"/>
        </w:rPr>
      </w:pPr>
      <w:r w:rsidRPr="00A2238F">
        <w:rPr>
          <w:rFonts w:ascii="Arial" w:hAnsi="Arial" w:cs="Arial"/>
          <w:noProof/>
          <w:lang w:val="ro-RO"/>
        </w:rPr>
        <w:t>Among the challenges of implementing GenAI for evaluating human capital performance in public institutions, we present the following:</w:t>
      </w:r>
    </w:p>
    <w:p w14:paraId="7F399876" w14:textId="68BBA2CC" w:rsidR="00A2238F" w:rsidRPr="00A2238F" w:rsidRDefault="00A2238F" w:rsidP="00A2238F">
      <w:pPr>
        <w:pStyle w:val="Body"/>
        <w:numPr>
          <w:ilvl w:val="0"/>
          <w:numId w:val="43"/>
        </w:numPr>
        <w:spacing w:after="0"/>
        <w:rPr>
          <w:rFonts w:ascii="Arial" w:hAnsi="Arial" w:cs="Arial"/>
          <w:noProof/>
          <w:lang w:val="ro-RO"/>
        </w:rPr>
      </w:pPr>
      <w:r w:rsidRPr="00A2238F">
        <w:rPr>
          <w:rFonts w:ascii="Arial" w:hAnsi="Arial" w:cs="Arial"/>
          <w:i/>
          <w:iCs/>
          <w:noProof/>
          <w:lang w:val="ro-RO"/>
        </w:rPr>
        <w:lastRenderedPageBreak/>
        <w:t>Resistance to change</w:t>
      </w:r>
      <w:r w:rsidRPr="00A2238F">
        <w:rPr>
          <w:rFonts w:ascii="Arial" w:hAnsi="Arial" w:cs="Arial"/>
          <w:noProof/>
          <w:lang w:val="ro-RO"/>
        </w:rPr>
        <w:t xml:space="preserve"> - implementing GenAI in evaluation processes often faces resistance from both managers and employees. Ștefănescu et al. (2022) study in Romanian public administration identifies distrust in technology and fear of losing decision-making autonomy as the main barriers to AI adoption;</w:t>
      </w:r>
    </w:p>
    <w:p w14:paraId="5F9ADCE1" w14:textId="062FAEF0" w:rsidR="00A2238F" w:rsidRPr="00A2238F" w:rsidRDefault="00A2238F" w:rsidP="00A2238F">
      <w:pPr>
        <w:pStyle w:val="Body"/>
        <w:numPr>
          <w:ilvl w:val="0"/>
          <w:numId w:val="43"/>
        </w:numPr>
        <w:spacing w:after="0"/>
        <w:rPr>
          <w:rFonts w:ascii="Arial" w:hAnsi="Arial" w:cs="Arial"/>
          <w:noProof/>
          <w:lang w:val="ro-RO"/>
        </w:rPr>
      </w:pPr>
      <w:r w:rsidRPr="00A2238F">
        <w:rPr>
          <w:rFonts w:ascii="Arial" w:hAnsi="Arial" w:cs="Arial"/>
          <w:i/>
          <w:iCs/>
          <w:noProof/>
          <w:lang w:val="ro-RO"/>
        </w:rPr>
        <w:t>Transparency and explainability issues</w:t>
      </w:r>
      <w:r w:rsidRPr="00A2238F">
        <w:rPr>
          <w:rFonts w:ascii="Arial" w:hAnsi="Arial" w:cs="Arial"/>
          <w:noProof/>
          <w:lang w:val="ro-RO"/>
        </w:rPr>
        <w:t xml:space="preserve"> - complex GenAI algorithms can function as "black boxes", making it difficult to explain their decisions and recommendations. Zuiderwijk et al. (2021) emphasize the importance of AI explainability in the context of public institutions, where decision-making transparency is a legal and ethical requirement;</w:t>
      </w:r>
    </w:p>
    <w:p w14:paraId="531880E0" w14:textId="376B0AC8" w:rsidR="00A2238F" w:rsidRPr="00A2238F" w:rsidRDefault="00A2238F" w:rsidP="00A2238F">
      <w:pPr>
        <w:pStyle w:val="Body"/>
        <w:numPr>
          <w:ilvl w:val="0"/>
          <w:numId w:val="43"/>
        </w:numPr>
        <w:spacing w:after="0"/>
        <w:rPr>
          <w:rFonts w:ascii="Arial" w:hAnsi="Arial" w:cs="Arial"/>
          <w:noProof/>
          <w:lang w:val="ro-RO"/>
        </w:rPr>
      </w:pPr>
      <w:r w:rsidRPr="00A2238F">
        <w:rPr>
          <w:rFonts w:ascii="Arial" w:hAnsi="Arial" w:cs="Arial"/>
          <w:i/>
          <w:iCs/>
          <w:noProof/>
          <w:lang w:val="ro-RO"/>
        </w:rPr>
        <w:t>Limitations in understanding the organizational context</w:t>
      </w:r>
      <w:r w:rsidRPr="00A2238F">
        <w:rPr>
          <w:rFonts w:ascii="Arial" w:hAnsi="Arial" w:cs="Arial"/>
          <w:noProof/>
          <w:lang w:val="ro-RO"/>
        </w:rPr>
        <w:t xml:space="preserve"> - GenAI systems may have difficulty interpreting the cultural and contextual nuances specific to public institutions. Pencheva et al. (2020) argue that the values and mission of the public sector can be difficult to incorporate into existing AI models, which are often developed for the private sector;</w:t>
      </w:r>
    </w:p>
    <w:p w14:paraId="0FCC8FC3" w14:textId="75DFF40F" w:rsidR="00A2238F" w:rsidRDefault="00A2238F" w:rsidP="00A2238F">
      <w:pPr>
        <w:pStyle w:val="Body"/>
        <w:numPr>
          <w:ilvl w:val="0"/>
          <w:numId w:val="43"/>
        </w:numPr>
        <w:spacing w:after="0"/>
        <w:rPr>
          <w:rFonts w:ascii="Arial" w:hAnsi="Arial" w:cs="Arial"/>
          <w:noProof/>
          <w:lang w:val="ro-RO"/>
        </w:rPr>
      </w:pPr>
      <w:r w:rsidRPr="00A2238F">
        <w:rPr>
          <w:rFonts w:ascii="Arial" w:hAnsi="Arial" w:cs="Arial"/>
          <w:i/>
          <w:iCs/>
          <w:noProof/>
          <w:lang w:val="ro-RO"/>
        </w:rPr>
        <w:t>Technical and infrastructure challenges</w:t>
      </w:r>
      <w:r w:rsidRPr="00A2238F">
        <w:rPr>
          <w:rFonts w:ascii="Arial" w:hAnsi="Arial" w:cs="Arial"/>
          <w:noProof/>
          <w:lang w:val="ro-RO"/>
        </w:rPr>
        <w:t xml:space="preserve"> - many public institutions face technological and infrastructural limitations that hinder the effective implementation of GenAI solutions. A study conducted by the University of Economics in Bucharest (Zaman et al., 2023) indicates that only 24% of public institutions in Romania have the necessary infrastructure to implement advanced AI solutions.</w:t>
      </w:r>
    </w:p>
    <w:p w14:paraId="16D9D425" w14:textId="77777777" w:rsidR="009940BA" w:rsidRPr="007D71B8" w:rsidRDefault="009940BA" w:rsidP="00441B6F">
      <w:pPr>
        <w:pStyle w:val="Body"/>
        <w:spacing w:after="0"/>
        <w:rPr>
          <w:rFonts w:ascii="Arial" w:hAnsi="Arial" w:cs="Arial"/>
          <w:noProof/>
          <w:lang w:val="ro-RO"/>
        </w:rPr>
      </w:pPr>
    </w:p>
    <w:p w14:paraId="05A030FF" w14:textId="55F9033C" w:rsidR="00784773" w:rsidRPr="007D71B8" w:rsidRDefault="00784773" w:rsidP="00784773">
      <w:pPr>
        <w:pStyle w:val="Body"/>
        <w:spacing w:after="0"/>
        <w:rPr>
          <w:rFonts w:ascii="Arial" w:hAnsi="Arial" w:cs="Arial"/>
          <w:noProof/>
          <w:lang w:val="ro-RO"/>
        </w:rPr>
      </w:pPr>
      <w:r>
        <w:rPr>
          <w:rFonts w:ascii="Arial" w:hAnsi="Arial" w:cs="Arial"/>
          <w:b/>
          <w:caps/>
          <w:noProof/>
          <w:sz w:val="22"/>
          <w:lang w:val="ro-RO"/>
        </w:rPr>
        <w:t>3</w:t>
      </w:r>
      <w:r w:rsidRPr="007D71B8">
        <w:rPr>
          <w:rFonts w:ascii="Arial" w:hAnsi="Arial" w:cs="Arial"/>
          <w:b/>
          <w:caps/>
          <w:noProof/>
          <w:sz w:val="22"/>
          <w:lang w:val="ro-RO"/>
        </w:rPr>
        <w:t>.</w:t>
      </w:r>
      <w:r>
        <w:rPr>
          <w:rFonts w:ascii="Arial" w:hAnsi="Arial" w:cs="Arial"/>
          <w:b/>
          <w:caps/>
          <w:noProof/>
          <w:sz w:val="22"/>
          <w:lang w:val="ro-RO"/>
        </w:rPr>
        <w:t>3.</w:t>
      </w:r>
      <w:r w:rsidRPr="007D71B8">
        <w:rPr>
          <w:rFonts w:ascii="Arial" w:hAnsi="Arial" w:cs="Arial"/>
          <w:b/>
          <w:caps/>
          <w:noProof/>
          <w:sz w:val="22"/>
          <w:lang w:val="ro-RO"/>
        </w:rPr>
        <w:t xml:space="preserve"> </w:t>
      </w:r>
      <w:r w:rsidR="00A2238F" w:rsidRPr="00A2238F">
        <w:rPr>
          <w:rFonts w:ascii="Arial" w:hAnsi="Arial" w:cs="Arial"/>
          <w:b/>
          <w:noProof/>
          <w:sz w:val="22"/>
          <w:lang w:val="ro-RO"/>
        </w:rPr>
        <w:t>Ethical and governance considerations on the implementation of GenAI in the assessment of human capital performance in public institutions</w:t>
      </w:r>
    </w:p>
    <w:p w14:paraId="6D8456BD" w14:textId="77777777" w:rsidR="00784773" w:rsidRDefault="00784773" w:rsidP="00784773">
      <w:pPr>
        <w:pStyle w:val="Body"/>
        <w:spacing w:after="0"/>
        <w:rPr>
          <w:rFonts w:ascii="Arial" w:hAnsi="Arial" w:cs="Arial"/>
          <w:noProof/>
          <w:lang w:val="ro-RO"/>
        </w:rPr>
      </w:pPr>
    </w:p>
    <w:p w14:paraId="5F49B58C" w14:textId="77777777" w:rsidR="00A2238F" w:rsidRPr="00A2238F" w:rsidRDefault="00A2238F" w:rsidP="00A2238F">
      <w:pPr>
        <w:pStyle w:val="Body"/>
        <w:spacing w:after="0"/>
        <w:rPr>
          <w:rFonts w:ascii="Arial" w:hAnsi="Arial" w:cs="Arial"/>
          <w:noProof/>
          <w:lang w:val="ro-RO"/>
        </w:rPr>
      </w:pPr>
      <w:r w:rsidRPr="00A2238F">
        <w:rPr>
          <w:rFonts w:ascii="Arial" w:hAnsi="Arial" w:cs="Arial"/>
          <w:noProof/>
          <w:lang w:val="ro-RO"/>
        </w:rPr>
        <w:t>The implementation of GenAI in performance evaluation raises important ethical and governance questions, all the more relevant in the context of public institutions, which operate under a high level of public scrutiny (Bullock, 2019), including:</w:t>
      </w:r>
    </w:p>
    <w:p w14:paraId="29C6B34C" w14:textId="452CFE97" w:rsidR="00A2238F" w:rsidRPr="00A2238F" w:rsidRDefault="00A2238F" w:rsidP="00A2238F">
      <w:pPr>
        <w:pStyle w:val="Body"/>
        <w:numPr>
          <w:ilvl w:val="0"/>
          <w:numId w:val="44"/>
        </w:numPr>
        <w:spacing w:after="0"/>
        <w:rPr>
          <w:rFonts w:ascii="Arial" w:hAnsi="Arial" w:cs="Arial"/>
          <w:noProof/>
          <w:lang w:val="ro-RO"/>
        </w:rPr>
      </w:pPr>
      <w:r w:rsidRPr="00A2238F">
        <w:rPr>
          <w:rFonts w:ascii="Arial" w:hAnsi="Arial" w:cs="Arial"/>
          <w:i/>
          <w:iCs/>
          <w:noProof/>
          <w:lang w:val="ro-RO"/>
        </w:rPr>
        <w:t>Data protection and privacy</w:t>
      </w:r>
      <w:r w:rsidRPr="00A2238F">
        <w:rPr>
          <w:rFonts w:ascii="Arial" w:hAnsi="Arial" w:cs="Arial"/>
          <w:noProof/>
          <w:lang w:val="ro-RO"/>
        </w:rPr>
        <w:t xml:space="preserve"> - GenAI systems require access to large volumes of employee data to function effectively, which raises privacy concerns. In compliance with GDPR and other similar regulations, these systems must ensure adequate protection of personal data (Matei &amp; Iordache, 2021). Tursunbayeva's (2021) study highlights the importance of adopting the "privacy by design" principle in the development of AI solutions for public sector human resource management</w:t>
      </w:r>
      <w:r>
        <w:rPr>
          <w:rFonts w:ascii="Arial" w:hAnsi="Arial" w:cs="Arial"/>
          <w:noProof/>
          <w:lang w:val="ro-RO"/>
        </w:rPr>
        <w:t>;</w:t>
      </w:r>
    </w:p>
    <w:p w14:paraId="46D9329E" w14:textId="339D78AE" w:rsidR="00A2238F" w:rsidRPr="00A2238F" w:rsidRDefault="00A2238F" w:rsidP="00A2238F">
      <w:pPr>
        <w:pStyle w:val="Body"/>
        <w:numPr>
          <w:ilvl w:val="0"/>
          <w:numId w:val="44"/>
        </w:numPr>
        <w:spacing w:after="0"/>
        <w:rPr>
          <w:rFonts w:ascii="Arial" w:hAnsi="Arial" w:cs="Arial"/>
          <w:noProof/>
          <w:lang w:val="ro-RO"/>
        </w:rPr>
      </w:pPr>
      <w:r w:rsidRPr="00A2238F">
        <w:rPr>
          <w:rFonts w:ascii="Arial" w:hAnsi="Arial" w:cs="Arial"/>
          <w:i/>
          <w:iCs/>
          <w:noProof/>
          <w:lang w:val="ro-RO"/>
        </w:rPr>
        <w:t>Fairness and non-discrimination</w:t>
      </w:r>
      <w:r w:rsidRPr="00A2238F">
        <w:rPr>
          <w:rFonts w:ascii="Arial" w:hAnsi="Arial" w:cs="Arial"/>
          <w:noProof/>
          <w:lang w:val="ro-RO"/>
        </w:rPr>
        <w:t xml:space="preserve"> - algorithms can perpetuate or even amplify existing prejudices if trained with historical data that reflects discriminatory practices (Raghavan et al., 2020). Zuiderwijk et al. (2021) propose an algorithmic audit framework for public institutions, which would periodically assess GenAI systems to identify and correct potential biases. Human autonomy and algorithmic surveillance. The implementation of GenAI can create feelings of excessive surveillance and loss of autonomy among employees. Davenport et al. (2021) emphasize the importance of maintaining a balance between the analytical benefits of AI and respecting the dignity and autonomy of employees. The study by Floridi et al. (2020) proposes the "human-in-the-loop" principle as the foundation of AI governance in public sector decision-making processes;</w:t>
      </w:r>
    </w:p>
    <w:p w14:paraId="1D0DBFF6" w14:textId="0D9F469A" w:rsidR="00AD5C58" w:rsidRDefault="00A2238F" w:rsidP="00A2238F">
      <w:pPr>
        <w:pStyle w:val="Body"/>
        <w:numPr>
          <w:ilvl w:val="0"/>
          <w:numId w:val="44"/>
        </w:numPr>
        <w:spacing w:after="0"/>
        <w:rPr>
          <w:rFonts w:ascii="Arial" w:hAnsi="Arial" w:cs="Arial"/>
          <w:noProof/>
          <w:lang w:val="ro-RO"/>
        </w:rPr>
      </w:pPr>
      <w:r w:rsidRPr="00A2238F">
        <w:rPr>
          <w:rFonts w:ascii="Arial" w:hAnsi="Arial" w:cs="Arial"/>
          <w:i/>
          <w:iCs/>
          <w:noProof/>
          <w:lang w:val="ro-RO"/>
        </w:rPr>
        <w:t>Transparency and accountability</w:t>
      </w:r>
      <w:r w:rsidRPr="00A2238F">
        <w:rPr>
          <w:rFonts w:ascii="Arial" w:hAnsi="Arial" w:cs="Arial"/>
          <w:noProof/>
          <w:lang w:val="ro-RO"/>
        </w:rPr>
        <w:t xml:space="preserve"> - in public institutions, decision-making transparency is not only an organizational value, but often a legal requirement. The implementation of GenAI must ensure that algorithmic decisions and recommendations can be explained and justified (Matei &amp; Iordache, 2021). Zuiderwijk et al. (2021) propose a model of "algorithmic transparency" adapted to the specifics of public institutions.</w:t>
      </w:r>
    </w:p>
    <w:p w14:paraId="00F5AAA0" w14:textId="77777777" w:rsidR="00A2238F" w:rsidRPr="007D71B8" w:rsidRDefault="00A2238F" w:rsidP="00AD5C58">
      <w:pPr>
        <w:pStyle w:val="Body"/>
        <w:spacing w:after="0"/>
        <w:rPr>
          <w:rFonts w:ascii="Arial" w:hAnsi="Arial" w:cs="Arial"/>
          <w:noProof/>
          <w:lang w:val="ro-RO"/>
        </w:rPr>
      </w:pPr>
    </w:p>
    <w:p w14:paraId="3389F3C5" w14:textId="7686229B" w:rsidR="00AD5C58" w:rsidRPr="007D71B8" w:rsidRDefault="00AD5C58" w:rsidP="00AD5C58">
      <w:pPr>
        <w:pStyle w:val="Body"/>
        <w:spacing w:after="0"/>
        <w:rPr>
          <w:rFonts w:ascii="Arial" w:hAnsi="Arial" w:cs="Arial"/>
          <w:noProof/>
          <w:lang w:val="ro-RO"/>
        </w:rPr>
      </w:pPr>
      <w:r>
        <w:rPr>
          <w:rFonts w:ascii="Arial" w:hAnsi="Arial" w:cs="Arial"/>
          <w:b/>
          <w:caps/>
          <w:noProof/>
          <w:sz w:val="22"/>
          <w:lang w:val="ro-RO"/>
        </w:rPr>
        <w:t>3</w:t>
      </w:r>
      <w:r w:rsidRPr="007D71B8">
        <w:rPr>
          <w:rFonts w:ascii="Arial" w:hAnsi="Arial" w:cs="Arial"/>
          <w:b/>
          <w:caps/>
          <w:noProof/>
          <w:sz w:val="22"/>
          <w:lang w:val="ro-RO"/>
        </w:rPr>
        <w:t>.</w:t>
      </w:r>
      <w:r>
        <w:rPr>
          <w:rFonts w:ascii="Arial" w:hAnsi="Arial" w:cs="Arial"/>
          <w:b/>
          <w:caps/>
          <w:noProof/>
          <w:sz w:val="22"/>
          <w:lang w:val="ro-RO"/>
        </w:rPr>
        <w:t>4.</w:t>
      </w:r>
      <w:r w:rsidRPr="007D71B8">
        <w:rPr>
          <w:rFonts w:ascii="Arial" w:hAnsi="Arial" w:cs="Arial"/>
          <w:b/>
          <w:caps/>
          <w:noProof/>
          <w:sz w:val="22"/>
          <w:lang w:val="ro-RO"/>
        </w:rPr>
        <w:t xml:space="preserve"> </w:t>
      </w:r>
      <w:r w:rsidR="00A2238F" w:rsidRPr="00A2238F">
        <w:rPr>
          <w:rFonts w:ascii="Arial" w:hAnsi="Arial" w:cs="Arial"/>
          <w:b/>
          <w:noProof/>
          <w:sz w:val="22"/>
          <w:lang w:val="ro-RO"/>
        </w:rPr>
        <w:t>Other aspects related to the conceptual framework for implementing GenAI in performance evaluation in public institutions</w:t>
      </w:r>
    </w:p>
    <w:p w14:paraId="4E59A2C5" w14:textId="77777777" w:rsidR="00AD5C58" w:rsidRDefault="00AD5C58" w:rsidP="00AD5C58">
      <w:pPr>
        <w:pStyle w:val="Body"/>
        <w:spacing w:after="0"/>
        <w:rPr>
          <w:rFonts w:ascii="Arial" w:hAnsi="Arial" w:cs="Arial"/>
          <w:noProof/>
          <w:lang w:val="ro-RO"/>
        </w:rPr>
      </w:pPr>
    </w:p>
    <w:p w14:paraId="55CC631D" w14:textId="77777777" w:rsidR="00A2238F" w:rsidRPr="00A2238F" w:rsidRDefault="00A2238F" w:rsidP="00A2238F">
      <w:pPr>
        <w:pStyle w:val="Body"/>
        <w:spacing w:after="0"/>
        <w:rPr>
          <w:rFonts w:ascii="Arial" w:hAnsi="Arial" w:cs="Arial"/>
          <w:noProof/>
          <w:lang w:val="ro-RO"/>
        </w:rPr>
      </w:pPr>
      <w:r w:rsidRPr="00A2238F">
        <w:rPr>
          <w:rFonts w:ascii="Arial" w:hAnsi="Arial" w:cs="Arial"/>
          <w:noProof/>
          <w:lang w:val="ro-RO"/>
        </w:rPr>
        <w:lastRenderedPageBreak/>
        <w:t>Based on the literature review, we propose a five-step conceptual framework for the responsible implementation of GenAI in assessing human capital performance in public institutions:</w:t>
      </w:r>
    </w:p>
    <w:p w14:paraId="1D0343D4" w14:textId="56EA8939" w:rsidR="00A2238F" w:rsidRP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Organizational readiness assessment</w:t>
      </w:r>
      <w:r w:rsidRPr="00A2238F">
        <w:rPr>
          <w:rFonts w:ascii="Arial" w:hAnsi="Arial" w:cs="Arial"/>
          <w:noProof/>
          <w:lang w:val="ro-RO"/>
        </w:rPr>
        <w:t xml:space="preserve"> - before implementing GenAI, public institutions need to assess the digital maturity of the organization, the quality and availability of existing data, the digital skills of the staff, the existing regulatory and procedural framework</w:t>
      </w:r>
      <w:r>
        <w:rPr>
          <w:rFonts w:ascii="Arial" w:hAnsi="Arial" w:cs="Arial"/>
          <w:noProof/>
          <w:lang w:val="ro-RO"/>
        </w:rPr>
        <w:t>,</w:t>
      </w:r>
      <w:r w:rsidRPr="00A2238F">
        <w:rPr>
          <w:rFonts w:ascii="Arial" w:hAnsi="Arial" w:cs="Arial"/>
          <w:noProof/>
          <w:lang w:val="ro-RO"/>
        </w:rPr>
        <w:t xml:space="preserve"> and, last but not least, the organizational culture and potential resistance to change. In this regard, Tambe et al. (2019) suggest the use of self-assessment tools for AI readiness, adapted to the organizational specifics of public institutions.</w:t>
      </w:r>
    </w:p>
    <w:p w14:paraId="214DCBE6" w14:textId="2221B116" w:rsidR="00A2238F" w:rsidRP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Human-centered design</w:t>
      </w:r>
      <w:r w:rsidRPr="00A2238F">
        <w:rPr>
          <w:rFonts w:ascii="Arial" w:hAnsi="Arial" w:cs="Arial"/>
          <w:noProof/>
          <w:lang w:val="ro-RO"/>
        </w:rPr>
        <w:t xml:space="preserve"> - GenAI systems must be designed with the active involvement of end users (managers and employees), ensuring, in turn, alignment with the values and mission of the public institution, the integration of human expertise in the interpretation of algorithmic results, intuitive and accessible interfaces for users with different levels of digital skills, as well as feedback mechanisms for continuous improvement of the system. As such, Cappelli et al. (2020) emphasize the importance of co-creating AI solutions with internal stakeholders to ensure their effective adoption and use.</w:t>
      </w:r>
    </w:p>
    <w:p w14:paraId="4093ECA7" w14:textId="4A461E75" w:rsidR="00A2238F" w:rsidRP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Gradual implementation and controlled pilot</w:t>
      </w:r>
      <w:r w:rsidRPr="00A2238F">
        <w:rPr>
          <w:rFonts w:ascii="Arial" w:hAnsi="Arial" w:cs="Arial"/>
          <w:noProof/>
          <w:lang w:val="ro-RO"/>
        </w:rPr>
        <w:t xml:space="preserve"> - GenAI implementation should follow a gradual approach, starting with pilot projects in selected departments, validating algorithmic results by comparison with traditional assessments, adjusting and calibrating systems based on feedback, and gradually expanding after demonstrating benefits. In full agreement with the above, Peeters et al. (2020) recommend an incremental approach, with transition periods in which traditional and AI-based systems operate in parallel.</w:t>
      </w:r>
    </w:p>
    <w:p w14:paraId="05EAA20E" w14:textId="4DAC4201" w:rsidR="00A2238F" w:rsidRP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Developing organizational capacity</w:t>
      </w:r>
      <w:r w:rsidRPr="00A2238F">
        <w:rPr>
          <w:rFonts w:ascii="Arial" w:hAnsi="Arial" w:cs="Arial"/>
          <w:noProof/>
          <w:lang w:val="ro-RO"/>
        </w:rPr>
        <w:t xml:space="preserve"> - GenAI implementation requires investments in training managers and employees to effectively use new systems, developing "AI literacy" skills throughout the organization, creating specialized roles for interpreting and validating algorithmic results, and adapting organizational policies and procedures. The study by Zaman et al. (2023) </w:t>
      </w:r>
      <w:r>
        <w:rPr>
          <w:rFonts w:ascii="Arial" w:hAnsi="Arial" w:cs="Arial"/>
          <w:noProof/>
          <w:lang w:val="ro-RO"/>
        </w:rPr>
        <w:t>identifies</w:t>
      </w:r>
      <w:r w:rsidRPr="00A2238F">
        <w:rPr>
          <w:rFonts w:ascii="Arial" w:hAnsi="Arial" w:cs="Arial"/>
          <w:noProof/>
          <w:lang w:val="ro-RO"/>
        </w:rPr>
        <w:t xml:space="preserve"> the deficit of advanced digital skills as the main obstacle to the adoption of AI in public institutions in Romania and </w:t>
      </w:r>
      <w:r>
        <w:rPr>
          <w:rFonts w:ascii="Arial" w:hAnsi="Arial" w:cs="Arial"/>
          <w:noProof/>
          <w:lang w:val="ro-RO"/>
        </w:rPr>
        <w:t>recommends</w:t>
      </w:r>
      <w:r w:rsidRPr="00A2238F">
        <w:rPr>
          <w:rFonts w:ascii="Arial" w:hAnsi="Arial" w:cs="Arial"/>
          <w:noProof/>
          <w:lang w:val="ro-RO"/>
        </w:rPr>
        <w:t xml:space="preserve"> a series of dedicated programs for professional training.</w:t>
      </w:r>
    </w:p>
    <w:p w14:paraId="7130DB11" w14:textId="5803E6CF" w:rsidR="00A2238F" w:rsidRDefault="00A2238F" w:rsidP="00A2238F">
      <w:pPr>
        <w:pStyle w:val="Body"/>
        <w:numPr>
          <w:ilvl w:val="0"/>
          <w:numId w:val="45"/>
        </w:numPr>
        <w:spacing w:after="0"/>
        <w:rPr>
          <w:rFonts w:ascii="Arial" w:hAnsi="Arial" w:cs="Arial"/>
          <w:noProof/>
          <w:lang w:val="ro-RO"/>
        </w:rPr>
      </w:pPr>
      <w:r w:rsidRPr="00A2238F">
        <w:rPr>
          <w:rFonts w:ascii="Arial" w:hAnsi="Arial" w:cs="Arial"/>
          <w:i/>
          <w:iCs/>
          <w:noProof/>
          <w:lang w:val="ro-RO"/>
        </w:rPr>
        <w:t>Monitoring, evaluation, and continuous improvement</w:t>
      </w:r>
      <w:r w:rsidRPr="00A2238F">
        <w:rPr>
          <w:rFonts w:ascii="Arial" w:hAnsi="Arial" w:cs="Arial"/>
          <w:noProof/>
          <w:lang w:val="ro-RO"/>
        </w:rPr>
        <w:t xml:space="preserve"> - the implementation of GenAI must be accompanied by clear indicators for measuring impact, algorithmic audit mechanisms for identifying and correcting biases, processes for periodic review of the ethical and governance framework, </w:t>
      </w:r>
      <w:r>
        <w:rPr>
          <w:rFonts w:ascii="Arial" w:hAnsi="Arial" w:cs="Arial"/>
          <w:noProof/>
          <w:lang w:val="ro-RO"/>
        </w:rPr>
        <w:t xml:space="preserve">and </w:t>
      </w:r>
      <w:r w:rsidRPr="00A2238F">
        <w:rPr>
          <w:rFonts w:ascii="Arial" w:hAnsi="Arial" w:cs="Arial"/>
          <w:noProof/>
          <w:lang w:val="ro-RO"/>
        </w:rPr>
        <w:t>continuous adaptation to technological and regulatory developments. Zuiderwijk et al. (2021) propose an AI impact assessment framework adapted to the specifics of public institutions, which measures both the operational benefits and the ethical and social implications of the implementation.</w:t>
      </w:r>
    </w:p>
    <w:p w14:paraId="129F4E85" w14:textId="77777777" w:rsidR="00716633" w:rsidRDefault="00716633" w:rsidP="0078418D">
      <w:pPr>
        <w:rPr>
          <w:noProof/>
          <w:lang w:val="ro-RO"/>
        </w:rPr>
      </w:pPr>
    </w:p>
    <w:p w14:paraId="6F9E917D" w14:textId="34CB02CE" w:rsidR="00B01FCD" w:rsidRPr="007D71B8" w:rsidRDefault="00000F8F" w:rsidP="00441B6F">
      <w:pPr>
        <w:pStyle w:val="ConcHead"/>
        <w:spacing w:after="0"/>
        <w:jc w:val="both"/>
        <w:rPr>
          <w:rFonts w:ascii="Arial" w:hAnsi="Arial" w:cs="Arial"/>
          <w:noProof/>
          <w:lang w:val="ro-RO"/>
        </w:rPr>
      </w:pPr>
      <w:r w:rsidRPr="007D71B8">
        <w:rPr>
          <w:rFonts w:ascii="Arial" w:hAnsi="Arial" w:cs="Arial"/>
          <w:noProof/>
          <w:lang w:val="ro-RO"/>
        </w:rPr>
        <w:t xml:space="preserve">4. </w:t>
      </w:r>
      <w:r w:rsidR="00A2238F">
        <w:rPr>
          <w:rFonts w:ascii="Arial" w:hAnsi="Arial" w:cs="Arial"/>
          <w:noProof/>
          <w:lang w:val="ro-RO"/>
        </w:rPr>
        <w:t>CONCLUSION</w:t>
      </w:r>
    </w:p>
    <w:p w14:paraId="314067F0" w14:textId="77777777" w:rsidR="00790ADA" w:rsidRPr="007D71B8" w:rsidRDefault="00790ADA" w:rsidP="0078418D">
      <w:pPr>
        <w:rPr>
          <w:noProof/>
          <w:lang w:val="ro-RO"/>
        </w:rPr>
      </w:pPr>
    </w:p>
    <w:p w14:paraId="5A3A15B0" w14:textId="2CB3E87A" w:rsidR="00A2238F" w:rsidRPr="00A2238F" w:rsidRDefault="00A2238F" w:rsidP="00A2238F">
      <w:pPr>
        <w:jc w:val="both"/>
        <w:rPr>
          <w:noProof/>
          <w:lang w:val="ro-RO"/>
        </w:rPr>
      </w:pPr>
      <w:r w:rsidRPr="00A2238F">
        <w:rPr>
          <w:noProof/>
          <w:lang w:val="ro-RO"/>
        </w:rPr>
        <w:t xml:space="preserve">The systematic review of the specialized literature highlights the transformative potential of GenAI in the evaluation of human capital </w:t>
      </w:r>
      <w:r>
        <w:rPr>
          <w:noProof/>
          <w:lang w:val="ro-RO"/>
        </w:rPr>
        <w:t>performance</w:t>
      </w:r>
      <w:r w:rsidRPr="00A2238F">
        <w:rPr>
          <w:noProof/>
          <w:lang w:val="ro-RO"/>
        </w:rPr>
        <w:t xml:space="preserve"> in public institutions. The identified benefits – improved objectivity, streamlining processes, personalization of professional development</w:t>
      </w:r>
      <w:r>
        <w:rPr>
          <w:noProof/>
          <w:lang w:val="ro-RO"/>
        </w:rPr>
        <w:t>,</w:t>
      </w:r>
      <w:r w:rsidRPr="00A2238F">
        <w:rPr>
          <w:noProof/>
          <w:lang w:val="ro-RO"/>
        </w:rPr>
        <w:t xml:space="preserve"> and more accurate identification of talents – can significantly contribute to the modernization of human resources management in the public sector.</w:t>
      </w:r>
    </w:p>
    <w:p w14:paraId="015EDAEE" w14:textId="77777777" w:rsidR="00A2238F" w:rsidRPr="00A2238F" w:rsidRDefault="00A2238F" w:rsidP="00A2238F">
      <w:pPr>
        <w:jc w:val="both"/>
        <w:rPr>
          <w:noProof/>
          <w:lang w:val="ro-RO"/>
        </w:rPr>
      </w:pPr>
    </w:p>
    <w:p w14:paraId="2F0195B5" w14:textId="13351277" w:rsidR="00A2238F" w:rsidRPr="00A2238F" w:rsidRDefault="00A2238F" w:rsidP="00A2238F">
      <w:pPr>
        <w:jc w:val="both"/>
        <w:rPr>
          <w:noProof/>
          <w:lang w:val="ro-RO"/>
        </w:rPr>
      </w:pPr>
      <w:r w:rsidRPr="00A2238F">
        <w:rPr>
          <w:noProof/>
          <w:lang w:val="ro-RO"/>
        </w:rPr>
        <w:t>However, the implementation of these technologies must take into account the specific challenges of public institutions: resistance to change, the need for decision-making transparency, the distinct organizational context</w:t>
      </w:r>
      <w:r>
        <w:rPr>
          <w:noProof/>
          <w:lang w:val="ro-RO"/>
        </w:rPr>
        <w:t>,</w:t>
      </w:r>
      <w:r w:rsidRPr="00A2238F">
        <w:rPr>
          <w:noProof/>
          <w:lang w:val="ro-RO"/>
        </w:rPr>
        <w:t xml:space="preserve"> and infrastructural limitations. Also, ethical </w:t>
      </w:r>
      <w:r w:rsidRPr="00A2238F">
        <w:rPr>
          <w:noProof/>
          <w:lang w:val="ro-RO"/>
        </w:rPr>
        <w:lastRenderedPageBreak/>
        <w:t>and governance considerations – data protection, equity, human autonomy</w:t>
      </w:r>
      <w:r>
        <w:rPr>
          <w:noProof/>
          <w:lang w:val="ro-RO"/>
        </w:rPr>
        <w:t>,</w:t>
      </w:r>
      <w:r w:rsidRPr="00A2238F">
        <w:rPr>
          <w:noProof/>
          <w:lang w:val="ro-RO"/>
        </w:rPr>
        <w:t xml:space="preserve"> and transparency – must be integrated into all stages of implementation.</w:t>
      </w:r>
    </w:p>
    <w:p w14:paraId="6AD911E6" w14:textId="77777777" w:rsidR="00A2238F" w:rsidRPr="00A2238F" w:rsidRDefault="00A2238F" w:rsidP="00A2238F">
      <w:pPr>
        <w:jc w:val="both"/>
        <w:rPr>
          <w:noProof/>
          <w:lang w:val="ro-RO"/>
        </w:rPr>
      </w:pPr>
    </w:p>
    <w:p w14:paraId="2490A565" w14:textId="77777777" w:rsidR="00A2238F" w:rsidRPr="00A2238F" w:rsidRDefault="00A2238F" w:rsidP="00A2238F">
      <w:pPr>
        <w:jc w:val="both"/>
        <w:rPr>
          <w:noProof/>
          <w:lang w:val="ro-RO"/>
        </w:rPr>
      </w:pPr>
      <w:r w:rsidRPr="00A2238F">
        <w:rPr>
          <w:noProof/>
          <w:lang w:val="ro-RO"/>
        </w:rPr>
        <w:t>The proposed conceptual framework provides a roadmap for the responsible implementation of GenAI in performance evaluation, emphasizing the importance of a gradual approach, centered on the human factor and adapted to the institutional specifics. Future research should focus on the following aspects, namely:</w:t>
      </w:r>
    </w:p>
    <w:p w14:paraId="5C25E716" w14:textId="5605DD55" w:rsidR="00A2238F" w:rsidRPr="00A2238F" w:rsidRDefault="00A2238F" w:rsidP="00A2238F">
      <w:pPr>
        <w:pStyle w:val="ListParagraph"/>
        <w:numPr>
          <w:ilvl w:val="0"/>
          <w:numId w:val="46"/>
        </w:numPr>
        <w:jc w:val="both"/>
        <w:rPr>
          <w:noProof/>
          <w:lang w:val="ro-RO"/>
        </w:rPr>
      </w:pPr>
      <w:r w:rsidRPr="00A2238F">
        <w:rPr>
          <w:noProof/>
          <w:lang w:val="ro-RO"/>
        </w:rPr>
        <w:t>development and validation of GenAI models adapted to the specific values and mission of the public sector;</w:t>
      </w:r>
    </w:p>
    <w:p w14:paraId="351F1733" w14:textId="30A9AED9" w:rsidR="00A2238F" w:rsidRPr="00A2238F" w:rsidRDefault="00A2238F" w:rsidP="00A2238F">
      <w:pPr>
        <w:pStyle w:val="ListParagraph"/>
        <w:numPr>
          <w:ilvl w:val="0"/>
          <w:numId w:val="46"/>
        </w:numPr>
        <w:jc w:val="both"/>
        <w:rPr>
          <w:noProof/>
          <w:lang w:val="ro-RO"/>
        </w:rPr>
      </w:pPr>
      <w:r w:rsidRPr="00A2238F">
        <w:rPr>
          <w:noProof/>
          <w:lang w:val="ro-RO"/>
        </w:rPr>
        <w:t>assessing the long-term impact of GenAI implementation on organizational culture and labor relations in public institutions;</w:t>
      </w:r>
    </w:p>
    <w:p w14:paraId="04C9E210" w14:textId="371D5DCB" w:rsidR="00A2238F" w:rsidRPr="00A2238F" w:rsidRDefault="00A2238F" w:rsidP="00A2238F">
      <w:pPr>
        <w:pStyle w:val="ListParagraph"/>
        <w:numPr>
          <w:ilvl w:val="0"/>
          <w:numId w:val="46"/>
        </w:numPr>
        <w:jc w:val="both"/>
        <w:rPr>
          <w:noProof/>
          <w:lang w:val="ro-RO"/>
        </w:rPr>
      </w:pPr>
      <w:r w:rsidRPr="00A2238F">
        <w:rPr>
          <w:noProof/>
          <w:lang w:val="ro-RO"/>
        </w:rPr>
        <w:t>exploring synergies between GenAI and other emerging technologies (blockchain, internet of things) in human resource management;</w:t>
      </w:r>
    </w:p>
    <w:p w14:paraId="4FF22DD1" w14:textId="46398D53" w:rsidR="00A2238F" w:rsidRPr="00A2238F" w:rsidRDefault="00A2238F" w:rsidP="00A2238F">
      <w:pPr>
        <w:pStyle w:val="ListParagraph"/>
        <w:numPr>
          <w:ilvl w:val="0"/>
          <w:numId w:val="46"/>
        </w:numPr>
        <w:jc w:val="both"/>
        <w:rPr>
          <w:noProof/>
          <w:lang w:val="ro-RO"/>
        </w:rPr>
      </w:pPr>
      <w:r w:rsidRPr="00A2238F">
        <w:rPr>
          <w:noProof/>
          <w:lang w:val="ro-RO"/>
        </w:rPr>
        <w:t>developing public sector-specific AI governance standards and practices, as well as longitudinal case studies on GenAI implementation in different types of public institutions.</w:t>
      </w:r>
    </w:p>
    <w:p w14:paraId="18D49900" w14:textId="77777777" w:rsidR="00A2238F" w:rsidRPr="00A2238F" w:rsidRDefault="00A2238F" w:rsidP="00A2238F">
      <w:pPr>
        <w:jc w:val="both"/>
        <w:rPr>
          <w:noProof/>
          <w:lang w:val="ro-RO"/>
        </w:rPr>
      </w:pPr>
    </w:p>
    <w:p w14:paraId="502D53A5" w14:textId="4FF61A70" w:rsidR="00315186" w:rsidRDefault="00A2238F" w:rsidP="00A2238F">
      <w:pPr>
        <w:jc w:val="both"/>
        <w:rPr>
          <w:noProof/>
          <w:lang w:val="ro-RO"/>
        </w:rPr>
      </w:pPr>
      <w:r w:rsidRPr="00A2238F">
        <w:rPr>
          <w:noProof/>
          <w:lang w:val="ro-RO"/>
        </w:rPr>
        <w:t>Consequently, GenAI has the potential to fundamentally transform the assessment of human capital performance in public institutions, but realizing this potential depends on a responsible implementation that balances technological innovation with the fundamental values of public service.</w:t>
      </w:r>
    </w:p>
    <w:p w14:paraId="796BC10E" w14:textId="77777777" w:rsidR="00A2238F" w:rsidRPr="007D71B8" w:rsidRDefault="00A2238F" w:rsidP="00441B6F">
      <w:pPr>
        <w:rPr>
          <w:noProof/>
          <w:lang w:val="ro-RO"/>
        </w:rPr>
      </w:pPr>
    </w:p>
    <w:p w14:paraId="245BFB1C" w14:textId="77777777" w:rsidR="00EC4CCF" w:rsidRPr="00EC4CCF" w:rsidRDefault="00EC4CCF" w:rsidP="00EC4CCF">
      <w:pPr>
        <w:pStyle w:val="ReferHead"/>
        <w:jc w:val="both"/>
        <w:rPr>
          <w:rFonts w:ascii="Arial" w:hAnsi="Arial" w:cs="Arial"/>
          <w:b w:val="0"/>
          <w:caps w:val="0"/>
          <w:noProof/>
          <w:sz w:val="20"/>
          <w:u w:val="single"/>
          <w:lang w:val="ro-RO"/>
        </w:rPr>
      </w:pPr>
    </w:p>
    <w:p w14:paraId="10EC37CB" w14:textId="77777777" w:rsidR="002C428C" w:rsidRPr="007D71B8" w:rsidRDefault="002C428C" w:rsidP="00441B6F">
      <w:pPr>
        <w:pStyle w:val="ReferHead"/>
        <w:spacing w:after="0"/>
        <w:jc w:val="both"/>
        <w:rPr>
          <w:rFonts w:ascii="Arial" w:hAnsi="Arial" w:cs="Arial"/>
          <w:b w:val="0"/>
          <w:caps w:val="0"/>
          <w:noProof/>
          <w:sz w:val="20"/>
          <w:u w:val="single"/>
          <w:lang w:val="ro-RO"/>
        </w:rPr>
      </w:pPr>
    </w:p>
    <w:p w14:paraId="1941F082" w14:textId="77777777" w:rsidR="00860000" w:rsidRPr="007D71B8" w:rsidRDefault="00860000" w:rsidP="009940BA">
      <w:pPr>
        <w:rPr>
          <w:noProof/>
          <w:lang w:val="ro-RO"/>
        </w:rPr>
      </w:pPr>
    </w:p>
    <w:p w14:paraId="11B45DF5" w14:textId="62C77F68" w:rsidR="00B01FCD" w:rsidRPr="007D71B8" w:rsidRDefault="002C428C" w:rsidP="00441B6F">
      <w:pPr>
        <w:pStyle w:val="ReferHead"/>
        <w:spacing w:after="0"/>
        <w:jc w:val="both"/>
        <w:rPr>
          <w:rFonts w:ascii="Arial" w:hAnsi="Arial" w:cs="Arial"/>
          <w:noProof/>
          <w:lang w:val="ro-RO"/>
        </w:rPr>
      </w:pPr>
      <w:r>
        <w:rPr>
          <w:rFonts w:ascii="Arial" w:hAnsi="Arial" w:cs="Arial"/>
          <w:noProof/>
          <w:lang w:val="ro-RO"/>
        </w:rPr>
        <w:t>REFERENCES</w:t>
      </w:r>
    </w:p>
    <w:p w14:paraId="4F85325B" w14:textId="77777777" w:rsidR="00790ADA" w:rsidRPr="007D71B8" w:rsidRDefault="00790ADA" w:rsidP="009940BA">
      <w:pPr>
        <w:rPr>
          <w:noProof/>
          <w:lang w:val="ro-RO"/>
        </w:rPr>
      </w:pPr>
    </w:p>
    <w:p w14:paraId="27116CB8"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78418D">
        <w:rPr>
          <w:rFonts w:ascii="Arial" w:hAnsi="Arial" w:cs="Arial"/>
          <w:noProof/>
          <w:lang w:val="ro-RO"/>
        </w:rPr>
        <w:t>Ahonen, P., Hyyryläinen, E., &amp; Salminen, A. (2021). Looking for a perfect match: Human resource</w:t>
      </w:r>
      <w:r>
        <w:rPr>
          <w:rFonts w:ascii="Arial" w:hAnsi="Arial" w:cs="Arial"/>
          <w:noProof/>
          <w:lang w:val="ro-RO"/>
        </w:rPr>
        <w:t xml:space="preserve"> </w:t>
      </w:r>
      <w:r w:rsidRPr="0078418D">
        <w:rPr>
          <w:rFonts w:ascii="Arial" w:hAnsi="Arial" w:cs="Arial"/>
          <w:noProof/>
          <w:lang w:val="ro-RO"/>
        </w:rPr>
        <w:t>management in the age of AI. Public Management Review, 23(7), 1054-1072.</w:t>
      </w:r>
    </w:p>
    <w:p w14:paraId="1F3A558C"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Bullock, J. B. (2019). Artificial intelligence, discretion, and bureaucracy. The American Review of Public Administration, 49(7), 751-761.</w:t>
      </w:r>
    </w:p>
    <w:p w14:paraId="3D56E821"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Cappelli, P., Tambe, P., &amp; Yakubovich, V. (2020). Can AI address the challenges of human resource management? California Management Review, 62(4), 63-80.Chalfin, A., Danieli, O., Hillis, A., Jelveh, Z., Luca, M., Ludwig, J., &amp; Mullainathan, S. (2016). Productivity and selection of human capital with machine learning. American Economic Review, 106(5), 124-127.</w:t>
      </w:r>
    </w:p>
    <w:p w14:paraId="3B665B77"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Cheng, M. M., Hackett, R. D., &amp; Walton, S. (2018). Should you trust your AI performance appraisal?, Harvard Business Review, 96(6), 134-140.</w:t>
      </w:r>
    </w:p>
    <w:p w14:paraId="0BE3ECA8"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Davenport, T. H., Guha, A., &amp; Grewal, D. (2021). AI in talent management: Current applications and future horizons. MIS Quarterly Executive, 20(2), 85-104.</w:t>
      </w:r>
    </w:p>
    <w:p w14:paraId="43AEEA1A"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Deloitte. (2022). Global Human Capital Trends Survey 2022. Deloitte Consulting LLP.</w:t>
      </w:r>
    </w:p>
    <w:p w14:paraId="51F508AC"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Dickson, E., Neves, P., &amp; Brandao, C. (2023). AI-powered learning: Personalizing skill development in public service. Public Administration Review, 83(3), 416-429.</w:t>
      </w:r>
    </w:p>
    <w:p w14:paraId="5E3E963D"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Favoreu, C., Carassus, D., &amp; Maurel, C. (2015). Strategic management in the public sector: a rational, political or collaborative approach? International Review of Administrative Sciences, 82(3), 435-453.</w:t>
      </w:r>
    </w:p>
    <w:p w14:paraId="5416684F"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lastRenderedPageBreak/>
        <w:t>Floridi, L., Cowls, J., King, T. C., &amp; Taddeo, M. (2020). How to design AI for social good: Seven essential actors. Science and Engineering Ethics, 26(3), 1771-1796.</w:t>
      </w:r>
    </w:p>
    <w:p w14:paraId="5565DB6E"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Jatoba, M., Gutierriz, I., Fernandes, P. O., Teixeira, J. P., &amp; Rocha, A. (2019). Artificial intelligence in strategic human resource management: A systematic literature review. Iberian Conference on Information Systems and Technologies, CISTI, 1-6.</w:t>
      </w:r>
    </w:p>
    <w:p w14:paraId="7B27ED13"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Khan, S., &amp; Vorley, T. (2017). Big data text analytics: An enabler of knowledge management. Journal of Knowledge Management, 21(1), 18-34.</w:t>
      </w:r>
    </w:p>
    <w:p w14:paraId="137D9D73"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Marler, J. H., &amp; Boudreau, J. W. (2017). An evidence-based review of HR Analytics. The International Journal of Human Resource Management, 28(1), 3-26.</w:t>
      </w:r>
    </w:p>
    <w:p w14:paraId="73058209"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Matei, A., &amp; Iordache, L. (2021). Digital transformation in public administration: The case of Romania. Digital Transformation and Public Services: Societal Impacts in Sweden and Beyond, 45-68.</w:t>
      </w:r>
    </w:p>
    <w:p w14:paraId="2D077CDF"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Moher, D., Shamseer, L., Clarke, M., Ghersi, D., Liberati, A., Petticrew, M., ... &amp; Stewart, L. A. (2015). Preferred reporting items for systematic review and meta-analysis protocols (PRISMA-P) 2015 statement. Systematic Reviews, 4(1), 1-9.</w:t>
      </w:r>
    </w:p>
    <w:p w14:paraId="269BA89C"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Peeters, M. J., van Venrooij, M., &amp; Achterbergh, J. (2020). Public value assessment using AI: A case study in municipal performance management. International Journal of Public Sector Management, 33(5), 537-555.</w:t>
      </w:r>
    </w:p>
    <w:p w14:paraId="1C6FC9C6"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Pencheva, I., Esteve, M., &amp; Mikhaylov, S. J. (2020). Big data and AI – A transformational shift for government: So, what next for research? Public Policy and Administration, 35(1), 24-44.</w:t>
      </w:r>
    </w:p>
    <w:p w14:paraId="759E0844"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Raghavan, M., Barocas, S., Kleinberg, J., &amp; Levy, K. (2020). Mitigating bias in algorithmic hiring: Evaluating</w:t>
      </w:r>
      <w:r w:rsidR="00A2238F" w:rsidRPr="00A2238F">
        <w:rPr>
          <w:rFonts w:ascii="Arial" w:hAnsi="Arial" w:cs="Arial"/>
          <w:noProof/>
          <w:lang w:val="ro-RO"/>
        </w:rPr>
        <w:t xml:space="preserve"> </w:t>
      </w:r>
      <w:r w:rsidRPr="00A2238F">
        <w:rPr>
          <w:rFonts w:ascii="Arial" w:hAnsi="Arial" w:cs="Arial"/>
          <w:noProof/>
          <w:lang w:val="ro-RO"/>
        </w:rPr>
        <w:t>claims and practices. In Conference on Fairness, Accountability, and Transparency (pp. 469-481).</w:t>
      </w:r>
    </w:p>
    <w:p w14:paraId="749731DD"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Strohmeier, S. (2020). Digital human resource management: A conceptual clarification. German Journal of Human Resource Management, 34(3), 345-365.</w:t>
      </w:r>
    </w:p>
    <w:p w14:paraId="43D7944C" w14:textId="37DE1BFD"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Ștefănescu, R., Zamfir, A. M., &amp; Vătămănescu, E. M. (2022). Challenges and opportunities of AI adoption in Romanian public administration. Administrative Sciences, 12(2), 65</w:t>
      </w:r>
      <w:r w:rsidR="00A2238F">
        <w:rPr>
          <w:rFonts w:ascii="Arial" w:hAnsi="Arial" w:cs="Arial"/>
          <w:noProof/>
          <w:lang w:val="ro-RO"/>
        </w:rPr>
        <w:t>-73</w:t>
      </w:r>
      <w:r w:rsidRPr="00A2238F">
        <w:rPr>
          <w:rFonts w:ascii="Arial" w:hAnsi="Arial" w:cs="Arial"/>
          <w:noProof/>
          <w:lang w:val="ro-RO"/>
        </w:rPr>
        <w:t>.</w:t>
      </w:r>
    </w:p>
    <w:p w14:paraId="3EC77C65"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Tambe, P., Cappelli, P., &amp; Yakubovich, V. (2019). Artificial intelligence in human resources management: Challenges and a path forward. California Management Review, 61(4), 15-42.</w:t>
      </w:r>
    </w:p>
    <w:p w14:paraId="7F01569C"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Tonidandel, S., King, E. B., &amp; Cortina, J. M. (2018). Big data methods: Leveraging modern data analytic techniques to build organizational science. Organizational Research Methods, 21(3), 525-547.</w:t>
      </w:r>
    </w:p>
    <w:p w14:paraId="261AD2FC"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Tursunbayeva, A. (2021). Human resource technology disruptions and their implications for human resources management in healthcare organizations. BMC Health Services Research, 21(1), 1-14.</w:t>
      </w:r>
    </w:p>
    <w:p w14:paraId="03612DDF" w14:textId="77777777" w:rsid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Zaman, G., Gheorghiță, A., &amp; Moldovan, O. (2023). Digital transformation in Romanian public administration: Challenges and opportunities. Journal of Public Administration, Finance and Law, 25, 180-196.</w:t>
      </w:r>
    </w:p>
    <w:p w14:paraId="00048174" w14:textId="71812B25" w:rsidR="009940BA" w:rsidRPr="00A2238F" w:rsidRDefault="0078418D" w:rsidP="00A2238F">
      <w:pPr>
        <w:pStyle w:val="Body"/>
        <w:numPr>
          <w:ilvl w:val="0"/>
          <w:numId w:val="40"/>
        </w:numPr>
        <w:spacing w:before="120" w:after="120"/>
        <w:ind w:left="567" w:hanging="567"/>
        <w:rPr>
          <w:rFonts w:ascii="Arial" w:hAnsi="Arial" w:cs="Arial"/>
          <w:noProof/>
          <w:lang w:val="ro-RO"/>
        </w:rPr>
      </w:pPr>
      <w:r w:rsidRPr="00A2238F">
        <w:rPr>
          <w:rFonts w:ascii="Arial" w:hAnsi="Arial" w:cs="Arial"/>
          <w:noProof/>
          <w:lang w:val="ro-RO"/>
        </w:rPr>
        <w:t>Zuiderwijk, A., Chen, Y. C., &amp; Salem, F. (2021). Implications of the use of artificial intelligence in public governance: A systematic literature review and a research agenda. Government Information Quarterly, 38(3), 101577.</w:t>
      </w:r>
    </w:p>
    <w:p w14:paraId="6B4D28C2" w14:textId="77777777" w:rsidR="00790ADA" w:rsidRPr="007D71B8" w:rsidRDefault="00790ADA" w:rsidP="00441B6F">
      <w:pPr>
        <w:pStyle w:val="Body"/>
        <w:spacing w:after="0"/>
        <w:rPr>
          <w:rFonts w:ascii="Arial" w:hAnsi="Arial" w:cs="Arial"/>
          <w:noProof/>
          <w:lang w:val="ro-RO"/>
        </w:rPr>
      </w:pPr>
    </w:p>
    <w:p w14:paraId="0A21887A" w14:textId="2B3EB94A" w:rsidR="004D4277" w:rsidRPr="007D71B8" w:rsidRDefault="004D4277" w:rsidP="00441B6F">
      <w:pPr>
        <w:pStyle w:val="Appendix"/>
        <w:spacing w:after="0"/>
        <w:jc w:val="both"/>
        <w:rPr>
          <w:rFonts w:ascii="Arial" w:hAnsi="Arial" w:cs="Arial"/>
          <w:b w:val="0"/>
          <w:noProof/>
          <w:lang w:val="ro-RO"/>
        </w:rPr>
        <w:sectPr w:rsidR="004D4277" w:rsidRPr="007D71B8" w:rsidSect="00444AC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37D564F" w14:textId="77777777" w:rsidR="00B01FCD" w:rsidRPr="007D71B8" w:rsidRDefault="00B01FCD" w:rsidP="00441B6F">
      <w:pPr>
        <w:pStyle w:val="Appendix"/>
        <w:spacing w:after="0"/>
        <w:jc w:val="both"/>
        <w:rPr>
          <w:rFonts w:ascii="Arial" w:hAnsi="Arial" w:cs="Arial"/>
          <w:b w:val="0"/>
          <w:noProof/>
          <w:lang w:val="ro-RO"/>
        </w:rPr>
      </w:pPr>
    </w:p>
    <w:sectPr w:rsidR="00B01FCD" w:rsidRPr="007D71B8" w:rsidSect="00444A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3873" w14:textId="77777777" w:rsidR="00890D27" w:rsidRDefault="00890D27" w:rsidP="00C37E61">
      <w:r>
        <w:separator/>
      </w:r>
    </w:p>
  </w:endnote>
  <w:endnote w:type="continuationSeparator" w:id="0">
    <w:p w14:paraId="258E3E69" w14:textId="77777777" w:rsidR="00890D27" w:rsidRDefault="00890D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E6CE" w14:textId="77777777" w:rsidR="00444ACD" w:rsidRDefault="00444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CE25" w14:textId="77777777" w:rsidR="00444ACD" w:rsidRDefault="00444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23DC" w14:textId="4EDC736F" w:rsidR="00754C9A" w:rsidRPr="00444ACD" w:rsidRDefault="00754C9A" w:rsidP="00444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9F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5F51" w14:textId="77777777" w:rsidR="00890D27" w:rsidRDefault="00890D27" w:rsidP="00C37E61">
      <w:r>
        <w:separator/>
      </w:r>
    </w:p>
  </w:footnote>
  <w:footnote w:type="continuationSeparator" w:id="0">
    <w:p w14:paraId="6EAD2F6F" w14:textId="77777777" w:rsidR="00890D27" w:rsidRDefault="00890D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ABC6" w14:textId="36AB9381" w:rsidR="00444ACD" w:rsidRDefault="00444ACD">
    <w:pPr>
      <w:pStyle w:val="Header"/>
    </w:pPr>
    <w:r>
      <w:rPr>
        <w:noProof/>
      </w:rPr>
      <w:pict w14:anchorId="6224B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675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E400" w14:textId="5BDCE660" w:rsidR="00444ACD" w:rsidRDefault="00444ACD">
    <w:pPr>
      <w:pStyle w:val="Header"/>
    </w:pPr>
    <w:r>
      <w:rPr>
        <w:noProof/>
      </w:rPr>
      <w:pict w14:anchorId="7E88A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675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780D" w14:textId="76B113D6" w:rsidR="00296529" w:rsidRPr="00296529" w:rsidRDefault="00444ACD" w:rsidP="00296529">
    <w:pPr>
      <w:ind w:left="2160"/>
      <w:jc w:val="center"/>
      <w:rPr>
        <w:rFonts w:ascii="Times New Roman" w:eastAsia="Calibri" w:hAnsi="Times New Roman"/>
        <w:i/>
        <w:sz w:val="18"/>
        <w:szCs w:val="22"/>
      </w:rPr>
    </w:pPr>
    <w:r>
      <w:rPr>
        <w:noProof/>
      </w:rPr>
      <w:pict w14:anchorId="66236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675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A564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FE7A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B856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DED1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0C4C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CE3C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4D67" w14:textId="08DC8631" w:rsidR="00444ACD" w:rsidRDefault="00444ACD">
    <w:pPr>
      <w:pStyle w:val="Header"/>
    </w:pPr>
    <w:r>
      <w:rPr>
        <w:noProof/>
      </w:rPr>
      <w:pict w14:anchorId="51A38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675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1E83" w14:textId="3F12CA02" w:rsidR="00444ACD" w:rsidRDefault="00444ACD">
    <w:pPr>
      <w:pStyle w:val="Header"/>
    </w:pPr>
    <w:r>
      <w:rPr>
        <w:noProof/>
      </w:rPr>
      <w:pict w14:anchorId="5D772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675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EADF" w14:textId="135B636E" w:rsidR="00444ACD" w:rsidRDefault="00444ACD">
    <w:pPr>
      <w:pStyle w:val="Header"/>
    </w:pPr>
    <w:r>
      <w:rPr>
        <w:noProof/>
      </w:rPr>
      <w:pict w14:anchorId="1C3E0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675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0536"/>
    <w:multiLevelType w:val="hybridMultilevel"/>
    <w:tmpl w:val="A0CEA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63015"/>
    <w:multiLevelType w:val="hybridMultilevel"/>
    <w:tmpl w:val="925EC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976227"/>
    <w:multiLevelType w:val="hybridMultilevel"/>
    <w:tmpl w:val="554EF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109B0"/>
    <w:multiLevelType w:val="hybridMultilevel"/>
    <w:tmpl w:val="BCFED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47AE6"/>
    <w:multiLevelType w:val="hybridMultilevel"/>
    <w:tmpl w:val="54B6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015BB"/>
    <w:multiLevelType w:val="hybridMultilevel"/>
    <w:tmpl w:val="B2060B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7B42FF3"/>
    <w:multiLevelType w:val="hybridMultilevel"/>
    <w:tmpl w:val="98D6EC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53AB5"/>
    <w:multiLevelType w:val="hybridMultilevel"/>
    <w:tmpl w:val="CB787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B0FCA"/>
    <w:multiLevelType w:val="hybridMultilevel"/>
    <w:tmpl w:val="CC4C0012"/>
    <w:lvl w:ilvl="0" w:tplc="F266E8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E79AF"/>
    <w:multiLevelType w:val="hybridMultilevel"/>
    <w:tmpl w:val="1D523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77B3A"/>
    <w:multiLevelType w:val="hybridMultilevel"/>
    <w:tmpl w:val="764E1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B206C4E"/>
    <w:multiLevelType w:val="hybridMultilevel"/>
    <w:tmpl w:val="90463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336017"/>
    <w:multiLevelType w:val="hybridMultilevel"/>
    <w:tmpl w:val="BC06E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4844E74"/>
    <w:multiLevelType w:val="hybridMultilevel"/>
    <w:tmpl w:val="E8E8A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86474DE"/>
    <w:multiLevelType w:val="hybridMultilevel"/>
    <w:tmpl w:val="6CF8C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FA35E7D"/>
    <w:multiLevelType w:val="hybridMultilevel"/>
    <w:tmpl w:val="4244AC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2827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7854135">
    <w:abstractNumId w:val="25"/>
  </w:num>
  <w:num w:numId="3" w16cid:durableId="484591729">
    <w:abstractNumId w:val="36"/>
  </w:num>
  <w:num w:numId="4" w16cid:durableId="178546542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42616898">
    <w:abstractNumId w:val="12"/>
  </w:num>
  <w:num w:numId="6" w16cid:durableId="1925257631">
    <w:abstractNumId w:val="8"/>
  </w:num>
  <w:num w:numId="7" w16cid:durableId="1271625399">
    <w:abstractNumId w:val="3"/>
  </w:num>
  <w:num w:numId="8" w16cid:durableId="500050576">
    <w:abstractNumId w:val="18"/>
  </w:num>
  <w:num w:numId="9" w16cid:durableId="2078822741">
    <w:abstractNumId w:val="39"/>
  </w:num>
  <w:num w:numId="10" w16cid:durableId="1290431627">
    <w:abstractNumId w:val="4"/>
  </w:num>
  <w:num w:numId="11" w16cid:durableId="845558367">
    <w:abstractNumId w:val="29"/>
  </w:num>
  <w:num w:numId="12" w16cid:durableId="1745687335">
    <w:abstractNumId w:val="5"/>
  </w:num>
  <w:num w:numId="13" w16cid:durableId="1637024329">
    <w:abstractNumId w:val="28"/>
  </w:num>
  <w:num w:numId="14" w16cid:durableId="1597520114">
    <w:abstractNumId w:val="13"/>
  </w:num>
  <w:num w:numId="15" w16cid:durableId="799568252">
    <w:abstractNumId w:val="34"/>
  </w:num>
  <w:num w:numId="16" w16cid:durableId="186137495">
    <w:abstractNumId w:val="7"/>
  </w:num>
  <w:num w:numId="17" w16cid:durableId="1233930328">
    <w:abstractNumId w:val="35"/>
  </w:num>
  <w:num w:numId="18" w16cid:durableId="852768021">
    <w:abstractNumId w:val="20"/>
  </w:num>
  <w:num w:numId="19" w16cid:durableId="126165902">
    <w:abstractNumId w:val="43"/>
  </w:num>
  <w:num w:numId="20" w16cid:durableId="1533034969">
    <w:abstractNumId w:val="17"/>
  </w:num>
  <w:num w:numId="21" w16cid:durableId="1114011756">
    <w:abstractNumId w:val="14"/>
  </w:num>
  <w:num w:numId="22" w16cid:durableId="1126200144">
    <w:abstractNumId w:val="19"/>
  </w:num>
  <w:num w:numId="23" w16cid:durableId="1856573895">
    <w:abstractNumId w:val="31"/>
  </w:num>
  <w:num w:numId="24" w16cid:durableId="1934043642">
    <w:abstractNumId w:val="41"/>
  </w:num>
  <w:num w:numId="25" w16cid:durableId="1345594769">
    <w:abstractNumId w:val="6"/>
  </w:num>
  <w:num w:numId="26" w16cid:durableId="1383481929">
    <w:abstractNumId w:val="26"/>
  </w:num>
  <w:num w:numId="27" w16cid:durableId="1446846977">
    <w:abstractNumId w:val="33"/>
  </w:num>
  <w:num w:numId="28" w16cid:durableId="1125655658">
    <w:abstractNumId w:val="42"/>
  </w:num>
  <w:num w:numId="29" w16cid:durableId="165483861">
    <w:abstractNumId w:val="38"/>
  </w:num>
  <w:num w:numId="30" w16cid:durableId="2145996748">
    <w:abstractNumId w:val="15"/>
  </w:num>
  <w:num w:numId="31" w16cid:durableId="1743286929">
    <w:abstractNumId w:val="40"/>
  </w:num>
  <w:num w:numId="32" w16cid:durableId="632831509">
    <w:abstractNumId w:val="32"/>
  </w:num>
  <w:num w:numId="33" w16cid:durableId="1877354715">
    <w:abstractNumId w:val="16"/>
  </w:num>
  <w:num w:numId="34" w16cid:durableId="1658878827">
    <w:abstractNumId w:val="1"/>
  </w:num>
  <w:num w:numId="35" w16cid:durableId="1128596256">
    <w:abstractNumId w:val="11"/>
  </w:num>
  <w:num w:numId="36" w16cid:durableId="1875582261">
    <w:abstractNumId w:val="24"/>
  </w:num>
  <w:num w:numId="37" w16cid:durableId="1974823182">
    <w:abstractNumId w:val="2"/>
  </w:num>
  <w:num w:numId="38" w16cid:durableId="1768041713">
    <w:abstractNumId w:val="27"/>
  </w:num>
  <w:num w:numId="39" w16cid:durableId="2098866246">
    <w:abstractNumId w:val="21"/>
  </w:num>
  <w:num w:numId="40" w16cid:durableId="904800366">
    <w:abstractNumId w:val="23"/>
  </w:num>
  <w:num w:numId="41" w16cid:durableId="106700933">
    <w:abstractNumId w:val="22"/>
  </w:num>
  <w:num w:numId="42" w16cid:durableId="1030641061">
    <w:abstractNumId w:val="37"/>
  </w:num>
  <w:num w:numId="43" w16cid:durableId="678577426">
    <w:abstractNumId w:val="9"/>
  </w:num>
  <w:num w:numId="44" w16cid:durableId="963384554">
    <w:abstractNumId w:val="10"/>
  </w:num>
  <w:num w:numId="45" w16cid:durableId="1210797007">
    <w:abstractNumId w:val="44"/>
  </w:num>
  <w:num w:numId="46" w16cid:durableId="2156995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wNDMwt7QwMzI3tjRQ0lEKTi0uzszPAykwqQUAJ6BfD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7956"/>
    <w:rsid w:val="00231920"/>
    <w:rsid w:val="0023195C"/>
    <w:rsid w:val="0024282C"/>
    <w:rsid w:val="002460DC"/>
    <w:rsid w:val="00250985"/>
    <w:rsid w:val="002556F6"/>
    <w:rsid w:val="00283105"/>
    <w:rsid w:val="00284C4C"/>
    <w:rsid w:val="00287E68"/>
    <w:rsid w:val="00296529"/>
    <w:rsid w:val="002B27FB"/>
    <w:rsid w:val="002B685A"/>
    <w:rsid w:val="002C428C"/>
    <w:rsid w:val="002C57D2"/>
    <w:rsid w:val="002E0D56"/>
    <w:rsid w:val="00315186"/>
    <w:rsid w:val="0033343E"/>
    <w:rsid w:val="003512C2"/>
    <w:rsid w:val="00371FB6"/>
    <w:rsid w:val="003763C1"/>
    <w:rsid w:val="00376BBE"/>
    <w:rsid w:val="003775FA"/>
    <w:rsid w:val="0039224F"/>
    <w:rsid w:val="003A43A4"/>
    <w:rsid w:val="003A69F2"/>
    <w:rsid w:val="003A7E18"/>
    <w:rsid w:val="003C4C86"/>
    <w:rsid w:val="003C6258"/>
    <w:rsid w:val="003C64E4"/>
    <w:rsid w:val="003E2904"/>
    <w:rsid w:val="00401927"/>
    <w:rsid w:val="0041027F"/>
    <w:rsid w:val="00412475"/>
    <w:rsid w:val="00423789"/>
    <w:rsid w:val="00423C29"/>
    <w:rsid w:val="00440F43"/>
    <w:rsid w:val="00441B6F"/>
    <w:rsid w:val="00444ACD"/>
    <w:rsid w:val="00446221"/>
    <w:rsid w:val="00450E62"/>
    <w:rsid w:val="004539DB"/>
    <w:rsid w:val="00471A80"/>
    <w:rsid w:val="004D305E"/>
    <w:rsid w:val="004D4277"/>
    <w:rsid w:val="00502516"/>
    <w:rsid w:val="00505F06"/>
    <w:rsid w:val="00506828"/>
    <w:rsid w:val="00523A18"/>
    <w:rsid w:val="0053056E"/>
    <w:rsid w:val="00544D0C"/>
    <w:rsid w:val="00554FDA"/>
    <w:rsid w:val="00556F53"/>
    <w:rsid w:val="005C784C"/>
    <w:rsid w:val="005D17F6"/>
    <w:rsid w:val="005E5539"/>
    <w:rsid w:val="005E79E2"/>
    <w:rsid w:val="005F579B"/>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CE3"/>
    <w:rsid w:val="006D30FF"/>
    <w:rsid w:val="006D6940"/>
    <w:rsid w:val="006F11EC"/>
    <w:rsid w:val="0070082C"/>
    <w:rsid w:val="00716633"/>
    <w:rsid w:val="007369E6"/>
    <w:rsid w:val="00746E59"/>
    <w:rsid w:val="00754C9A"/>
    <w:rsid w:val="0075599A"/>
    <w:rsid w:val="00761D52"/>
    <w:rsid w:val="0077749E"/>
    <w:rsid w:val="0078382A"/>
    <w:rsid w:val="0078418D"/>
    <w:rsid w:val="00784773"/>
    <w:rsid w:val="00790ADA"/>
    <w:rsid w:val="007A06A4"/>
    <w:rsid w:val="007D2288"/>
    <w:rsid w:val="007D71B8"/>
    <w:rsid w:val="007E088F"/>
    <w:rsid w:val="007F7B32"/>
    <w:rsid w:val="00804BC2"/>
    <w:rsid w:val="0081431A"/>
    <w:rsid w:val="0083216F"/>
    <w:rsid w:val="00860000"/>
    <w:rsid w:val="00863BD3"/>
    <w:rsid w:val="008641ED"/>
    <w:rsid w:val="00866D66"/>
    <w:rsid w:val="008671C6"/>
    <w:rsid w:val="00875803"/>
    <w:rsid w:val="00890D27"/>
    <w:rsid w:val="008B459E"/>
    <w:rsid w:val="008D14C1"/>
    <w:rsid w:val="008E13AE"/>
    <w:rsid w:val="008E1506"/>
    <w:rsid w:val="008E710C"/>
    <w:rsid w:val="008F69D6"/>
    <w:rsid w:val="00902823"/>
    <w:rsid w:val="009033AB"/>
    <w:rsid w:val="00907F0C"/>
    <w:rsid w:val="00915CA6"/>
    <w:rsid w:val="00927834"/>
    <w:rsid w:val="009500A6"/>
    <w:rsid w:val="00957C18"/>
    <w:rsid w:val="009659BA"/>
    <w:rsid w:val="00983040"/>
    <w:rsid w:val="009940BA"/>
    <w:rsid w:val="009B3FB9"/>
    <w:rsid w:val="009C2465"/>
    <w:rsid w:val="009C7E21"/>
    <w:rsid w:val="009D35A0"/>
    <w:rsid w:val="009D7EB7"/>
    <w:rsid w:val="009E048A"/>
    <w:rsid w:val="009E08E9"/>
    <w:rsid w:val="009E3DB9"/>
    <w:rsid w:val="009E6E35"/>
    <w:rsid w:val="009F0EDA"/>
    <w:rsid w:val="00A03B96"/>
    <w:rsid w:val="00A05B19"/>
    <w:rsid w:val="00A1134E"/>
    <w:rsid w:val="00A2238F"/>
    <w:rsid w:val="00A24E7E"/>
    <w:rsid w:val="00A258C3"/>
    <w:rsid w:val="00A347C0"/>
    <w:rsid w:val="00A51431"/>
    <w:rsid w:val="00A539AD"/>
    <w:rsid w:val="00A94063"/>
    <w:rsid w:val="00AA0423"/>
    <w:rsid w:val="00AA6219"/>
    <w:rsid w:val="00AA74E0"/>
    <w:rsid w:val="00AB703F"/>
    <w:rsid w:val="00AC6BB8"/>
    <w:rsid w:val="00AD5C58"/>
    <w:rsid w:val="00AE008F"/>
    <w:rsid w:val="00B01FCD"/>
    <w:rsid w:val="00B1776C"/>
    <w:rsid w:val="00B52583"/>
    <w:rsid w:val="00B52896"/>
    <w:rsid w:val="00B67752"/>
    <w:rsid w:val="00B775E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3BDD"/>
    <w:rsid w:val="00C70F1B"/>
    <w:rsid w:val="00C71A47"/>
    <w:rsid w:val="00C7464C"/>
    <w:rsid w:val="00C85588"/>
    <w:rsid w:val="00CD6755"/>
    <w:rsid w:val="00CD6856"/>
    <w:rsid w:val="00CE0089"/>
    <w:rsid w:val="00CE793C"/>
    <w:rsid w:val="00CF193C"/>
    <w:rsid w:val="00D173F1"/>
    <w:rsid w:val="00D20726"/>
    <w:rsid w:val="00D74CB0"/>
    <w:rsid w:val="00D8295D"/>
    <w:rsid w:val="00DC2A65"/>
    <w:rsid w:val="00DE15F0"/>
    <w:rsid w:val="00DE5663"/>
    <w:rsid w:val="00DE78AA"/>
    <w:rsid w:val="00E053D0"/>
    <w:rsid w:val="00E15994"/>
    <w:rsid w:val="00E3114E"/>
    <w:rsid w:val="00E31A70"/>
    <w:rsid w:val="00E35B02"/>
    <w:rsid w:val="00E361DD"/>
    <w:rsid w:val="00E37224"/>
    <w:rsid w:val="00E66496"/>
    <w:rsid w:val="00E66B35"/>
    <w:rsid w:val="00E66E10"/>
    <w:rsid w:val="00E769F6"/>
    <w:rsid w:val="00E8407C"/>
    <w:rsid w:val="00E84F3C"/>
    <w:rsid w:val="00EA012C"/>
    <w:rsid w:val="00EB2FC5"/>
    <w:rsid w:val="00EC4CCF"/>
    <w:rsid w:val="00EC6A55"/>
    <w:rsid w:val="00ED0288"/>
    <w:rsid w:val="00EE52CB"/>
    <w:rsid w:val="00EF581D"/>
    <w:rsid w:val="00EF6E8F"/>
    <w:rsid w:val="00EF7FD8"/>
    <w:rsid w:val="00F06F59"/>
    <w:rsid w:val="00F17988"/>
    <w:rsid w:val="00F469F0"/>
    <w:rsid w:val="00F53273"/>
    <w:rsid w:val="00F755E4"/>
    <w:rsid w:val="00F77D02"/>
    <w:rsid w:val="00FB3A86"/>
    <w:rsid w:val="00FD36C8"/>
    <w:rsid w:val="00FF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5B53A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079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2238F"/>
    <w:pPr>
      <w:ind w:left="720"/>
      <w:contextualSpacing/>
    </w:pPr>
  </w:style>
  <w:style w:type="character" w:customStyle="1" w:styleId="Heading3Char">
    <w:name w:val="Heading 3 Char"/>
    <w:basedOn w:val="DefaultParagraphFont"/>
    <w:link w:val="Heading3"/>
    <w:semiHidden/>
    <w:rsid w:val="0020795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152361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3285391">
      <w:bodyDiv w:val="1"/>
      <w:marLeft w:val="0"/>
      <w:marRight w:val="0"/>
      <w:marTop w:val="0"/>
      <w:marBottom w:val="0"/>
      <w:divBdr>
        <w:top w:val="none" w:sz="0" w:space="0" w:color="auto"/>
        <w:left w:val="none" w:sz="0" w:space="0" w:color="auto"/>
        <w:bottom w:val="none" w:sz="0" w:space="0" w:color="auto"/>
        <w:right w:val="none" w:sz="0" w:space="0" w:color="auto"/>
      </w:divBdr>
      <w:divsChild>
        <w:div w:id="1413627590">
          <w:marLeft w:val="0"/>
          <w:marRight w:val="0"/>
          <w:marTop w:val="0"/>
          <w:marBottom w:val="0"/>
          <w:divBdr>
            <w:top w:val="none" w:sz="0" w:space="0" w:color="auto"/>
            <w:left w:val="none" w:sz="0" w:space="0" w:color="auto"/>
            <w:bottom w:val="none" w:sz="0" w:space="0" w:color="auto"/>
            <w:right w:val="none" w:sz="0" w:space="0" w:color="auto"/>
          </w:divBdr>
        </w:div>
        <w:div w:id="1564869697">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8</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21</cp:revision>
  <cp:lastPrinted>1999-07-06T11:00:00Z</cp:lastPrinted>
  <dcterms:created xsi:type="dcterms:W3CDTF">2014-10-25T14:34:00Z</dcterms:created>
  <dcterms:modified xsi:type="dcterms:W3CDTF">2025-05-07T09:23:00Z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fdb25704-6316-4e98-a65f-89d0c8d1e534</vt:lpwstr>
  </property>
  <property fmtid="{D5CDD505-2E9C-101B-9397-08002B2CF9AE}" pid="3" name="MSIP_Label_5b58b62f-6f94-46bd-8089-18e64b0a9abb_Enabled">
    <vt:lpwstr>true</vt:lpwstr>
  </property>
  <property fmtid="{D5CDD505-2E9C-101B-9397-08002B2CF9AE}" pid="4" name="MSIP_Label_5b58b62f-6f94-46bd-8089-18e64b0a9abb_SetDate">
    <vt:lpwstr>2025-05-06T14:59:46Z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e0554cce-2563-4e25-b1c9-96955657c973</vt:lpwstr>
  </property>
  <property fmtid="{D5CDD505-2E9C-101B-9397-08002B2CF9AE}" pid="9" name="MSIP_Label_5b58b62f-6f94-46bd-8089-18e64b0a9abb_ContentBits">
    <vt:lpwstr>0</vt:lpwstr>
  </property>
  <property fmtid="{D5CDD505-2E9C-101B-9397-08002B2CF9AE}" pid="10" name="MSIP_Label_5b58b62f-6f94-46bd-8089-18e64b0a9abb_Tag">
    <vt:lpwstr>10, 3, 0, 1</vt:lpwstr>
  </property>
</Properties>
</file>