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59987403" w14:textId="77777777" w:rsidR="00924988" w:rsidRPr="00924988" w:rsidRDefault="00924988" w:rsidP="00924988">
      <w:pPr>
        <w:pStyle w:val="Author"/>
        <w:rPr>
          <w:rFonts w:ascii="Arial" w:hAnsi="Arial" w:cs="Arial"/>
          <w:bCs/>
          <w:i/>
          <w:iCs/>
          <w:noProof/>
          <w:sz w:val="18"/>
          <w:szCs w:val="18"/>
          <w:u w:val="single"/>
          <w:lang w:eastAsia="en-PH"/>
        </w:rPr>
      </w:pPr>
      <w:r w:rsidRPr="00924988">
        <w:rPr>
          <w:rFonts w:ascii="Arial" w:hAnsi="Arial" w:cs="Arial"/>
          <w:bCs/>
          <w:i/>
          <w:iCs/>
          <w:noProof/>
          <w:sz w:val="18"/>
          <w:szCs w:val="18"/>
          <w:u w:val="single"/>
          <w:lang w:eastAsia="en-PH"/>
        </w:rPr>
        <w:t>Original Research Article</w:t>
      </w:r>
    </w:p>
    <w:p w14:paraId="11D86A7B" w14:textId="77777777" w:rsidR="004C569C" w:rsidRDefault="004C569C" w:rsidP="004C569C">
      <w:pPr>
        <w:pStyle w:val="Author"/>
        <w:rPr>
          <w:rFonts w:ascii="Arial" w:hAnsi="Arial" w:cs="Arial"/>
          <w:noProof/>
          <w:sz w:val="28"/>
          <w:szCs w:val="28"/>
          <w:lang w:val="en-PH" w:eastAsia="en-PH"/>
        </w:rPr>
      </w:pPr>
      <w:r w:rsidRPr="004C569C">
        <w:rPr>
          <w:rFonts w:ascii="Arial" w:hAnsi="Arial" w:cs="Arial"/>
          <w:noProof/>
          <w:sz w:val="28"/>
          <w:szCs w:val="28"/>
          <w:lang w:val="en-PH" w:eastAsia="en-PH"/>
        </w:rPr>
        <w:t xml:space="preserve">WORKSTATION CHALLENGES AND OCCUPATION FLEXIBILITY OF PUBLIC ELEMENTARY </w:t>
      </w:r>
    </w:p>
    <w:p w14:paraId="46B3DCDD" w14:textId="762182E1" w:rsidR="00717F2E" w:rsidRDefault="004C569C" w:rsidP="0054647A">
      <w:pPr>
        <w:pStyle w:val="Author"/>
        <w:ind w:left="2880" w:firstLine="720"/>
        <w:rPr>
          <w:rFonts w:ascii="Arial" w:hAnsi="Arial" w:cs="Arial"/>
          <w:i/>
        </w:rPr>
        <w:sectPr w:rsidR="00717F2E" w:rsidSect="0054647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sidRPr="004C569C">
        <w:rPr>
          <w:rFonts w:ascii="Arial" w:hAnsi="Arial" w:cs="Arial"/>
          <w:noProof/>
          <w:sz w:val="28"/>
          <w:szCs w:val="28"/>
          <w:lang w:val="en-PH" w:eastAsia="en-PH"/>
        </w:rPr>
        <w:t>SCHOOL TEACHERS</w:t>
      </w:r>
      <w:r w:rsidR="009C211B">
        <w:rPr>
          <w:rFonts w:ascii="Arial" w:hAnsi="Arial" w:cs="Arial"/>
          <w:sz w:val="20"/>
        </w:rPr>
        <w:t xml:space="preserve">             </w:t>
      </w:r>
      <w:r w:rsidR="0004787B">
        <w:rPr>
          <w:rFonts w:ascii="Arial" w:hAnsi="Arial" w:cs="Arial"/>
          <w:sz w:val="20"/>
        </w:rPr>
        <w:t xml:space="preserve">            </w:t>
      </w:r>
    </w:p>
    <w:p w14:paraId="7D2CDF66" w14:textId="77777777" w:rsidR="00717F2E" w:rsidRDefault="003016CA">
      <w:pPr>
        <w:pStyle w:val="AbstHead"/>
        <w:spacing w:after="0"/>
        <w:jc w:val="both"/>
        <w:rPr>
          <w:rFonts w:ascii="Arial" w:hAnsi="Arial" w:cs="Arial"/>
          <w:sz w:val="20"/>
        </w:rPr>
      </w:pPr>
      <w:r>
        <w:rPr>
          <w:rFonts w:ascii="Arial" w:hAnsi="Arial" w:cs="Arial"/>
          <w:sz w:val="20"/>
        </w:rPr>
        <w:t>A</w:t>
      </w:r>
      <w:r>
        <w:rPr>
          <w:rFonts w:ascii="Arial" w:hAnsi="Arial" w:cs="Arial"/>
          <w:sz w:val="20"/>
        </w:rPr>
        <w:t xml:space="preserve">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1C5A7471" w:rsidR="00717F2E" w:rsidRPr="000763D2" w:rsidRDefault="007B6F20">
            <w:pPr>
              <w:jc w:val="both"/>
              <w:rPr>
                <w:rFonts w:ascii="Arial" w:hAnsi="Arial" w:cs="Arial"/>
                <w:iCs/>
              </w:rPr>
            </w:pPr>
            <w:r w:rsidRPr="007B6F20">
              <w:rPr>
                <w:rFonts w:ascii="Arial" w:hAnsi="Arial" w:cs="Arial"/>
                <w:iCs/>
              </w:rPr>
              <w:t>This study aimed to investigate the significant relationship between workstation challenges and occupational flexibility among public elementary school teachers. A descriptive-correlational research design was employed, surveying 132 teachers with standardized questionnaires. Data were analyzed using mean, standard deviation (SD), Pearson product-moment correlation, and multiple linear regression analyses. The results revealed that teachers experience very high levels of workstation challenges and high levels of occupational flexibility. Correlation analysis indicated a moderate and significant positive relationship between workstation challenges and occupational flexibility. Further analysis showed that the domains of workstation challenges, including planning, motivation, communication, and evaluation, significantly influenced occupational flexibility. Based on these findings, it is recommended that school administrators may create environments that support teachers in addressing workstation challenges while enhancing their adaptability. Professional development programs focusing on improving planning skills, motivation, communication, and evaluation strategies can help teachers build the flexibility needed to navigate the changing demands of their work environment. Fostering a culture of adaptability and continuous learning will benefit both teachers and students by promoting a more dynamic and effective classroom setting.</w:t>
            </w:r>
          </w:p>
        </w:tc>
      </w:tr>
    </w:tbl>
    <w:p w14:paraId="175A3F79" w14:textId="77777777" w:rsidR="00717F2E" w:rsidRDefault="00717F2E">
      <w:pPr>
        <w:pStyle w:val="Body"/>
        <w:spacing w:after="0"/>
        <w:rPr>
          <w:rFonts w:ascii="Arial" w:hAnsi="Arial" w:cs="Arial"/>
          <w:i/>
        </w:rPr>
      </w:pPr>
    </w:p>
    <w:p w14:paraId="4E116D24" w14:textId="77777777" w:rsidR="007B6F20" w:rsidRDefault="003016CA"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7B6F20" w:rsidRPr="007B6F20">
        <w:rPr>
          <w:rFonts w:ascii="Arial" w:hAnsi="Arial" w:cs="Arial"/>
          <w:iCs/>
        </w:rPr>
        <w:t xml:space="preserve">Workstation Challenges, Occupational Flexibility, Public Elementary School Teachers, Descriptive-Correlational, Education </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3016CA" w:rsidP="007B6F20">
      <w:pPr>
        <w:jc w:val="both"/>
        <w:rPr>
          <w:rFonts w:ascii="Arial" w:hAnsi="Arial" w:cs="Arial"/>
        </w:rPr>
      </w:pPr>
      <w:r>
        <w:rPr>
          <w:rFonts w:ascii="Arial" w:hAnsi="Arial" w:cs="Arial"/>
        </w:rPr>
        <w:t xml:space="preserve">1. </w:t>
      </w:r>
      <w:r>
        <w:rPr>
          <w:rFonts w:ascii="Arial" w:hAnsi="Arial" w:cs="Arial"/>
        </w:rPr>
        <w:t>INTRODUCTION</w:t>
      </w:r>
    </w:p>
    <w:p w14:paraId="499EF934" w14:textId="77777777" w:rsidR="00717F2E" w:rsidRDefault="00717F2E">
      <w:pPr>
        <w:pStyle w:val="AbstHead"/>
        <w:spacing w:after="0"/>
        <w:jc w:val="both"/>
        <w:rPr>
          <w:rFonts w:ascii="Arial" w:hAnsi="Arial" w:cs="Arial"/>
          <w:sz w:val="20"/>
        </w:rPr>
      </w:pPr>
    </w:p>
    <w:p w14:paraId="780E5849" w14:textId="3D5A3E75" w:rsidR="00FD57A3" w:rsidRPr="00FD57A3" w:rsidRDefault="00FD57A3" w:rsidP="00046AA6">
      <w:pPr>
        <w:jc w:val="both"/>
        <w:rPr>
          <w:rFonts w:ascii="Arial" w:hAnsi="Arial"/>
        </w:rPr>
      </w:pPr>
      <w:r w:rsidRPr="00FD57A3">
        <w:rPr>
          <w:rFonts w:ascii="Arial" w:hAnsi="Arial"/>
        </w:rPr>
        <w:t>In today’s fast-paced educational landscape, public elementary school teachers are frequently confronted with an array of workstation challenges. These challenges can range from adapting to new policies and curricular changes to managing difficult student behaviors and navigating interpersonal conflicts within the school environment. These dynamic demands necessitate not only strong professional competencies but also the ability to remain flexible and resilient in the face of shifting responsibilities and expectations</w:t>
      </w:r>
      <w:r w:rsidR="00046AA6">
        <w:rPr>
          <w:rFonts w:ascii="Arial" w:hAnsi="Arial"/>
        </w:rPr>
        <w:t xml:space="preserve"> (</w:t>
      </w:r>
      <w:r w:rsidR="00046AA6" w:rsidRPr="00046AA6">
        <w:rPr>
          <w:rFonts w:ascii="Arial" w:hAnsi="Arial"/>
        </w:rPr>
        <w:t>Rajaram</w:t>
      </w:r>
      <w:r w:rsidR="00046AA6">
        <w:rPr>
          <w:rFonts w:ascii="Arial" w:hAnsi="Arial"/>
        </w:rPr>
        <w:t>, 2023).</w:t>
      </w:r>
      <w:r w:rsidRPr="00FD57A3">
        <w:rPr>
          <w:rFonts w:ascii="Arial" w:hAnsi="Arial"/>
        </w:rPr>
        <w:t xml:space="preserve"> Occupational flexibility, therefore, becomes a critical skill for educators striving to maintain effectiveness and well-being in the classroom</w:t>
      </w:r>
      <w:r w:rsidR="00046AA6">
        <w:rPr>
          <w:rFonts w:ascii="Arial" w:hAnsi="Arial"/>
        </w:rPr>
        <w:t xml:space="preserve"> (</w:t>
      </w:r>
      <w:r w:rsidR="00046AA6" w:rsidRPr="00046AA6">
        <w:rPr>
          <w:rFonts w:ascii="Arial" w:hAnsi="Arial"/>
        </w:rPr>
        <w:t>Duong</w:t>
      </w:r>
      <w:r w:rsidR="00046AA6">
        <w:rPr>
          <w:rFonts w:ascii="Arial" w:hAnsi="Arial"/>
        </w:rPr>
        <w:t xml:space="preserve"> et al., 2023).</w:t>
      </w:r>
    </w:p>
    <w:p w14:paraId="595DD6BD" w14:textId="77777777" w:rsidR="00FD57A3" w:rsidRPr="00FD57A3" w:rsidRDefault="00FD57A3" w:rsidP="00046AA6">
      <w:pPr>
        <w:jc w:val="both"/>
        <w:rPr>
          <w:rFonts w:ascii="Arial" w:hAnsi="Arial"/>
        </w:rPr>
      </w:pPr>
    </w:p>
    <w:p w14:paraId="0003F1FF" w14:textId="2CF577C9" w:rsidR="00FD57A3" w:rsidRPr="00FD57A3" w:rsidRDefault="00FD57A3" w:rsidP="00046AA6">
      <w:pPr>
        <w:jc w:val="both"/>
        <w:rPr>
          <w:rFonts w:ascii="Arial" w:hAnsi="Arial"/>
        </w:rPr>
      </w:pPr>
      <w:r w:rsidRPr="00FD57A3">
        <w:rPr>
          <w:rFonts w:ascii="Arial" w:hAnsi="Arial"/>
        </w:rPr>
        <w:t>Occupational flexibility refers to an individual’s ability to adapt to changes in the workplace, respond to unexpected challenges, and adjust plans to achieve professional goals despite obstacles. In various professions, including education, this flexibility enables individuals to stay composed, professional, and effective during periods of uncertainty</w:t>
      </w:r>
      <w:r w:rsidR="00046AA6">
        <w:rPr>
          <w:rFonts w:ascii="Arial" w:hAnsi="Arial"/>
        </w:rPr>
        <w:t xml:space="preserve"> (</w:t>
      </w:r>
      <w:r w:rsidR="00046AA6" w:rsidRPr="00046AA6">
        <w:rPr>
          <w:rFonts w:ascii="Arial" w:hAnsi="Arial"/>
        </w:rPr>
        <w:t>Karman</w:t>
      </w:r>
      <w:r w:rsidR="00046AA6">
        <w:rPr>
          <w:rFonts w:ascii="Arial" w:hAnsi="Arial"/>
        </w:rPr>
        <w:t>, 2023).</w:t>
      </w:r>
      <w:r w:rsidRPr="00FD57A3">
        <w:rPr>
          <w:rFonts w:ascii="Arial" w:hAnsi="Arial"/>
        </w:rPr>
        <w:t xml:space="preserve"> Maintaining a clear focus, emotional control, and a problem-solving mindset helps teachers thrive despite the pressures they face</w:t>
      </w:r>
      <w:r w:rsidR="00046AA6">
        <w:rPr>
          <w:rFonts w:ascii="Arial" w:hAnsi="Arial"/>
        </w:rPr>
        <w:t xml:space="preserve"> (</w:t>
      </w:r>
      <w:r w:rsidR="00046AA6" w:rsidRPr="00046AA6">
        <w:rPr>
          <w:rFonts w:ascii="Arial" w:hAnsi="Arial"/>
        </w:rPr>
        <w:t>Groskopf</w:t>
      </w:r>
      <w:r w:rsidR="00046AA6">
        <w:rPr>
          <w:rFonts w:ascii="Arial" w:hAnsi="Arial"/>
        </w:rPr>
        <w:t>, 2021).</w:t>
      </w:r>
      <w:r w:rsidRPr="00FD57A3">
        <w:rPr>
          <w:rFonts w:ascii="Arial" w:hAnsi="Arial"/>
        </w:rPr>
        <w:t xml:space="preserve"> Over time, occupational flexibility is cultivated through experiences, self-awareness, and continuous learning, allowing educators to respond to challenges with resilience and confidence</w:t>
      </w:r>
      <w:r w:rsidR="00046AA6">
        <w:rPr>
          <w:rFonts w:ascii="Arial" w:hAnsi="Arial"/>
        </w:rPr>
        <w:t xml:space="preserve"> (</w:t>
      </w:r>
      <w:r w:rsidR="00046AA6" w:rsidRPr="00046AA6">
        <w:rPr>
          <w:rFonts w:ascii="Arial" w:hAnsi="Arial"/>
        </w:rPr>
        <w:t>Fuchs</w:t>
      </w:r>
      <w:r w:rsidR="00046AA6">
        <w:rPr>
          <w:rFonts w:ascii="Arial" w:hAnsi="Arial"/>
        </w:rPr>
        <w:t xml:space="preserve"> et al., 2023).</w:t>
      </w:r>
    </w:p>
    <w:p w14:paraId="3267753E" w14:textId="77777777" w:rsidR="00FD57A3" w:rsidRPr="00FD57A3" w:rsidRDefault="00FD57A3" w:rsidP="00046AA6">
      <w:pPr>
        <w:jc w:val="both"/>
        <w:rPr>
          <w:rFonts w:ascii="Arial" w:hAnsi="Arial"/>
        </w:rPr>
      </w:pPr>
    </w:p>
    <w:p w14:paraId="46098871" w14:textId="683E924A" w:rsidR="00FD57A3" w:rsidRPr="00FD57A3" w:rsidRDefault="00FD57A3" w:rsidP="00046AA6">
      <w:pPr>
        <w:jc w:val="both"/>
        <w:rPr>
          <w:rFonts w:ascii="Arial" w:hAnsi="Arial"/>
        </w:rPr>
      </w:pPr>
      <w:r w:rsidRPr="00FD57A3">
        <w:rPr>
          <w:rFonts w:ascii="Arial" w:hAnsi="Arial"/>
        </w:rPr>
        <w:t xml:space="preserve">Globally, research on occupational flexibility highlights its importance in sustaining professional performance during periods of uncertainty. In </w:t>
      </w:r>
      <w:r w:rsidR="00046AA6">
        <w:rPr>
          <w:rFonts w:ascii="Arial" w:hAnsi="Arial"/>
        </w:rPr>
        <w:t>France</w:t>
      </w:r>
      <w:r w:rsidRPr="00FD57A3">
        <w:rPr>
          <w:rFonts w:ascii="Arial" w:hAnsi="Arial"/>
        </w:rPr>
        <w:t>, for instance, flexibility has been linked with improved morale, productivity, and workplace safety, particularly when communication and adaptability are emphasized (</w:t>
      </w:r>
      <w:proofErr w:type="spellStart"/>
      <w:r w:rsidR="00046AA6" w:rsidRPr="00046AA6">
        <w:rPr>
          <w:rFonts w:ascii="Arial" w:hAnsi="Arial"/>
        </w:rPr>
        <w:t>Paschina</w:t>
      </w:r>
      <w:proofErr w:type="spellEnd"/>
      <w:r w:rsidRPr="00FD57A3">
        <w:rPr>
          <w:rFonts w:ascii="Arial" w:hAnsi="Arial"/>
        </w:rPr>
        <w:t>, 20</w:t>
      </w:r>
      <w:r w:rsidR="00046AA6">
        <w:rPr>
          <w:rFonts w:ascii="Arial" w:hAnsi="Arial"/>
        </w:rPr>
        <w:t>23</w:t>
      </w:r>
      <w:r w:rsidRPr="00FD57A3">
        <w:rPr>
          <w:rFonts w:ascii="Arial" w:hAnsi="Arial"/>
        </w:rPr>
        <w:t xml:space="preserve">). Resilience, once primarily </w:t>
      </w:r>
      <w:r w:rsidRPr="00FD57A3">
        <w:rPr>
          <w:rFonts w:ascii="Arial" w:hAnsi="Arial"/>
        </w:rPr>
        <w:lastRenderedPageBreak/>
        <w:t>associated with personal trauma, is now understood to include the ability to navigate daily stressors in the workplace, such as workload pressures and organizational change</w:t>
      </w:r>
      <w:r w:rsidR="00046AA6">
        <w:rPr>
          <w:rFonts w:ascii="Arial" w:hAnsi="Arial"/>
        </w:rPr>
        <w:t xml:space="preserve">. </w:t>
      </w:r>
      <w:r w:rsidRPr="00FD57A3">
        <w:rPr>
          <w:rFonts w:ascii="Arial" w:hAnsi="Arial"/>
        </w:rPr>
        <w:t>These findings reflect how adaptability and a calm, solution-oriented mindset contribute to professional success across sectors</w:t>
      </w:r>
      <w:r w:rsidR="00046AA6">
        <w:rPr>
          <w:rFonts w:ascii="Arial" w:hAnsi="Arial"/>
        </w:rPr>
        <w:t xml:space="preserve"> </w:t>
      </w:r>
      <w:r w:rsidR="00046AA6" w:rsidRPr="00FD57A3">
        <w:rPr>
          <w:rFonts w:ascii="Arial" w:hAnsi="Arial"/>
        </w:rPr>
        <w:t>(</w:t>
      </w:r>
      <w:proofErr w:type="spellStart"/>
      <w:r w:rsidR="00046AA6" w:rsidRPr="00046AA6">
        <w:rPr>
          <w:rFonts w:ascii="Arial" w:hAnsi="Arial"/>
        </w:rPr>
        <w:t>Raetze</w:t>
      </w:r>
      <w:proofErr w:type="spellEnd"/>
      <w:r w:rsidR="00046AA6">
        <w:rPr>
          <w:rFonts w:ascii="Arial" w:hAnsi="Arial"/>
        </w:rPr>
        <w:t xml:space="preserve"> et al.</w:t>
      </w:r>
      <w:r w:rsidR="00046AA6" w:rsidRPr="00FD57A3">
        <w:rPr>
          <w:rFonts w:ascii="Arial" w:hAnsi="Arial"/>
        </w:rPr>
        <w:t>, 20</w:t>
      </w:r>
      <w:r w:rsidR="00046AA6">
        <w:rPr>
          <w:rFonts w:ascii="Arial" w:hAnsi="Arial"/>
        </w:rPr>
        <w:t>22</w:t>
      </w:r>
      <w:r w:rsidR="00046AA6" w:rsidRPr="00FD57A3">
        <w:rPr>
          <w:rFonts w:ascii="Arial" w:hAnsi="Arial"/>
        </w:rPr>
        <w:t>).</w:t>
      </w:r>
    </w:p>
    <w:p w14:paraId="76C43233" w14:textId="77777777" w:rsidR="00FD57A3" w:rsidRPr="00FD57A3" w:rsidRDefault="00FD57A3" w:rsidP="00046AA6">
      <w:pPr>
        <w:jc w:val="both"/>
        <w:rPr>
          <w:rFonts w:ascii="Arial" w:hAnsi="Arial"/>
        </w:rPr>
      </w:pPr>
    </w:p>
    <w:p w14:paraId="5FC6BA46" w14:textId="2AC95E90" w:rsidR="00FD57A3" w:rsidRPr="00FD57A3" w:rsidRDefault="00FD57A3" w:rsidP="00046AA6">
      <w:pPr>
        <w:jc w:val="both"/>
        <w:rPr>
          <w:rFonts w:ascii="Arial" w:hAnsi="Arial"/>
        </w:rPr>
      </w:pPr>
      <w:r w:rsidRPr="00FD57A3">
        <w:rPr>
          <w:rFonts w:ascii="Arial" w:hAnsi="Arial"/>
        </w:rPr>
        <w:t>In the Philippine context, occupational flexibility plays a similarly vital role in the teaching profession. Public elementary school teachers often face large class sizes, limited resources, evolving administrative policies, and community expectations. Despite these constraints, they are expected to maintain a consistent standard of teaching and student engagement</w:t>
      </w:r>
      <w:r w:rsidR="00FF123B">
        <w:rPr>
          <w:rFonts w:ascii="Arial" w:hAnsi="Arial"/>
        </w:rPr>
        <w:t xml:space="preserve">. </w:t>
      </w:r>
      <w:r w:rsidRPr="00FD57A3">
        <w:rPr>
          <w:rFonts w:ascii="Arial" w:hAnsi="Arial"/>
        </w:rPr>
        <w:t>Career resilience in the Philippines has been defined as the ability to remain stable, proactive, and goal-focused in the face of discouraging or disruptive circumstances</w:t>
      </w:r>
      <w:r w:rsidR="00FF123B">
        <w:rPr>
          <w:rFonts w:ascii="Arial" w:hAnsi="Arial"/>
        </w:rPr>
        <w:t xml:space="preserve">. </w:t>
      </w:r>
      <w:r w:rsidRPr="00FD57A3">
        <w:rPr>
          <w:rFonts w:ascii="Arial" w:hAnsi="Arial"/>
        </w:rPr>
        <w:t>This highlights the need for Filipino educators to be dynamic, resourceful, and emotionally grounded as they navigate daily challenges within the education system</w:t>
      </w:r>
      <w:r w:rsidR="00FF123B">
        <w:rPr>
          <w:rFonts w:ascii="Arial" w:hAnsi="Arial"/>
        </w:rPr>
        <w:t xml:space="preserve"> </w:t>
      </w:r>
      <w:r w:rsidR="00FF123B" w:rsidRPr="00FD57A3">
        <w:rPr>
          <w:rFonts w:ascii="Arial" w:hAnsi="Arial"/>
        </w:rPr>
        <w:t>(</w:t>
      </w:r>
      <w:proofErr w:type="spellStart"/>
      <w:r w:rsidR="00FF123B" w:rsidRPr="00FF123B">
        <w:rPr>
          <w:rFonts w:ascii="Arial" w:hAnsi="Arial"/>
        </w:rPr>
        <w:t>Tarraya</w:t>
      </w:r>
      <w:proofErr w:type="spellEnd"/>
      <w:r w:rsidR="00FF123B" w:rsidRPr="00FD57A3">
        <w:rPr>
          <w:rFonts w:ascii="Arial" w:hAnsi="Arial"/>
        </w:rPr>
        <w:t>, 20</w:t>
      </w:r>
      <w:r w:rsidR="00FF123B">
        <w:rPr>
          <w:rFonts w:ascii="Arial" w:hAnsi="Arial"/>
        </w:rPr>
        <w:t>23</w:t>
      </w:r>
      <w:r w:rsidR="00FF123B" w:rsidRPr="00FD57A3">
        <w:rPr>
          <w:rFonts w:ascii="Arial" w:hAnsi="Arial"/>
        </w:rPr>
        <w:t>).</w:t>
      </w:r>
    </w:p>
    <w:p w14:paraId="65E4F10F" w14:textId="77777777" w:rsidR="00FD57A3" w:rsidRPr="00FD57A3" w:rsidRDefault="00FD57A3" w:rsidP="00FD57A3">
      <w:pPr>
        <w:jc w:val="center"/>
        <w:rPr>
          <w:rFonts w:ascii="Arial" w:hAnsi="Arial"/>
        </w:rPr>
      </w:pPr>
    </w:p>
    <w:p w14:paraId="4F670994" w14:textId="3E772786" w:rsidR="007B6F20" w:rsidRDefault="00FD57A3" w:rsidP="00FD57A3">
      <w:pPr>
        <w:jc w:val="both"/>
        <w:rPr>
          <w:rFonts w:ascii="Arial" w:hAnsi="Arial"/>
        </w:rPr>
      </w:pPr>
      <w:r w:rsidRPr="00FD57A3">
        <w:rPr>
          <w:rFonts w:ascii="Arial" w:hAnsi="Arial"/>
        </w:rPr>
        <w:t>The relationship between workstation challenges and occupational flexibility is especially relevant for public elementary school teachers, who must manage both the instructional demands of the classroom and the social dynamics of a shared workplace. When teachers experience frequent disruptions or interpersonal conflict, those with higher occupational flexibility are more likely to respond constructively, adjust strategies, and maintain job satisfaction</w:t>
      </w:r>
      <w:r w:rsidR="003B6CAC">
        <w:rPr>
          <w:rFonts w:ascii="Arial" w:hAnsi="Arial"/>
        </w:rPr>
        <w:t xml:space="preserve"> (</w:t>
      </w:r>
      <w:r w:rsidR="003B6CAC" w:rsidRPr="003B6CAC">
        <w:rPr>
          <w:rFonts w:ascii="Arial" w:hAnsi="Arial"/>
        </w:rPr>
        <w:t>Shoulders</w:t>
      </w:r>
      <w:r w:rsidR="003B6CAC">
        <w:rPr>
          <w:rFonts w:ascii="Arial" w:hAnsi="Arial"/>
        </w:rPr>
        <w:t xml:space="preserve"> et al., 2021).</w:t>
      </w:r>
      <w:r w:rsidRPr="00FD57A3">
        <w:rPr>
          <w:rFonts w:ascii="Arial" w:hAnsi="Arial"/>
        </w:rPr>
        <w:t xml:space="preserve"> Conversely, a lack of flexibility may hinder problem-solving, reduce morale, and contribute to burnout. Exploring this relationship can provide valuable insights into how adaptability supports sustained professional engagement in challenging environments</w:t>
      </w:r>
      <w:r w:rsidR="003B6CAC">
        <w:rPr>
          <w:rFonts w:ascii="Arial" w:hAnsi="Arial"/>
        </w:rPr>
        <w:t xml:space="preserve"> (</w:t>
      </w:r>
      <w:r w:rsidR="003B6CAC" w:rsidRPr="003B6CAC">
        <w:rPr>
          <w:rFonts w:ascii="Arial" w:hAnsi="Arial"/>
        </w:rPr>
        <w:t>Austen</w:t>
      </w:r>
      <w:r w:rsidR="003B6CAC">
        <w:rPr>
          <w:rFonts w:ascii="Arial" w:hAnsi="Arial"/>
        </w:rPr>
        <w:t>, 2023).</w:t>
      </w:r>
    </w:p>
    <w:p w14:paraId="644FB5B5" w14:textId="77777777" w:rsidR="00FD57A3" w:rsidRDefault="00FD57A3" w:rsidP="00FD57A3">
      <w:pPr>
        <w:jc w:val="both"/>
        <w:rPr>
          <w:rFonts w:ascii="Arial" w:hAnsi="Arial"/>
        </w:rPr>
      </w:pPr>
    </w:p>
    <w:p w14:paraId="256A98D8" w14:textId="3FFEDFA4" w:rsidR="00FD57A3" w:rsidRDefault="00FD57A3" w:rsidP="00FD57A3">
      <w:pPr>
        <w:jc w:val="both"/>
        <w:rPr>
          <w:rFonts w:ascii="Arial" w:hAnsi="Arial"/>
        </w:rPr>
      </w:pPr>
      <w:r w:rsidRPr="00FD57A3">
        <w:rPr>
          <w:rFonts w:ascii="Arial" w:hAnsi="Arial"/>
        </w:rPr>
        <w:t>Despite the growing attention given to the challenges encountered in the teaching profession, there remains limited research focusing specifically on the workstation challenges experienced by public elementary school teachers in the Philippine context. These include difficulties such as adapting to sudden policy changes, managing student behavior, handling workload pressures, and addressing conflicts with colleagues or administrators. While these issues significantly affect teacher performance and well-being, they are often discussed in general terms without exploring the coping mechanisms educators use to navigate them. On the other hand, occupational flexibility—though recognized as a vital trait—has not been sufficiently examined in relation to these specific challenges. Existing literature tends to isolate discussions on resilience or stress management without directly connecting them to how flexibility enables teachers to maintain effectiveness in high-pressure, low-resource environments. This gap highlights the need for deeper investigation into the role of occupational flexibility as a response to the daily, real-world challenges teachers face in their workstations.</w:t>
      </w:r>
    </w:p>
    <w:p w14:paraId="0C3A886B" w14:textId="77777777" w:rsidR="00FD57A3" w:rsidRDefault="00FD57A3" w:rsidP="00FD57A3">
      <w:pPr>
        <w:jc w:val="both"/>
        <w:rPr>
          <w:rFonts w:ascii="Arial" w:hAnsi="Arial"/>
        </w:rPr>
      </w:pPr>
    </w:p>
    <w:p w14:paraId="18266471" w14:textId="66DCB62E" w:rsidR="00FD57A3" w:rsidRDefault="00FD57A3" w:rsidP="00FD57A3">
      <w:pPr>
        <w:jc w:val="both"/>
        <w:rPr>
          <w:rFonts w:ascii="Arial" w:hAnsi="Arial"/>
        </w:rPr>
      </w:pPr>
      <w:r w:rsidRPr="00FD57A3">
        <w:rPr>
          <w:rFonts w:ascii="Arial" w:hAnsi="Arial"/>
        </w:rPr>
        <w:t>This study aimed to investigate the significant relationship between workstation challenges and occupational flexibility among public elementary school teachers. By examining this relationship, the research seeks to contribute to the understanding of how teachers navigate complex professional environments and how institutions might better support the development of resilience and adaptability among educators.</w:t>
      </w:r>
    </w:p>
    <w:p w14:paraId="43E4746F" w14:textId="77777777" w:rsidR="007B6F20" w:rsidRDefault="007B6F20" w:rsidP="007B6F20">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26B7F451" w:rsidR="00866DD1" w:rsidRDefault="00046D90">
      <w:pPr>
        <w:jc w:val="center"/>
        <w:rPr>
          <w:rFonts w:ascii="Arial" w:eastAsia="MS Mincho" w:hAnsi="Arial" w:cs="Arial"/>
          <w:b/>
          <w:bCs/>
          <w:lang w:eastAsia="ja-JP"/>
        </w:rPr>
      </w:pPr>
      <w:r>
        <w:rPr>
          <w:noProof/>
        </w:rPr>
        <w:lastRenderedPageBreak/>
        <w:drawing>
          <wp:inline distT="0" distB="0" distL="0" distR="0" wp14:anchorId="7A2494E7" wp14:editId="57AF778A">
            <wp:extent cx="2606040" cy="2021011"/>
            <wp:effectExtent l="0" t="0" r="3810" b="0"/>
            <wp:docPr id="358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97" name=""/>
                    <pic:cNvPicPr/>
                  </pic:nvPicPr>
                  <pic:blipFill rotWithShape="1">
                    <a:blip r:embed="rId14"/>
                    <a:srcRect l="29094" t="24171" r="27924" b="16569"/>
                    <a:stretch/>
                  </pic:blipFill>
                  <pic:spPr bwMode="auto">
                    <a:xfrm>
                      <a:off x="0" y="0"/>
                      <a:ext cx="2614150" cy="2027300"/>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3016CA">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3016C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3016C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AD2067A" w14:textId="5D25D4E1" w:rsidR="00FD57A3" w:rsidRPr="00FD57A3" w:rsidRDefault="00FD57A3" w:rsidP="00FD57A3">
      <w:pPr>
        <w:jc w:val="both"/>
        <w:rPr>
          <w:rFonts w:ascii="Arial" w:hAnsi="Arial" w:cs="Arial"/>
        </w:rPr>
      </w:pPr>
      <w:r w:rsidRPr="00FD57A3">
        <w:rPr>
          <w:rFonts w:ascii="Arial" w:hAnsi="Arial" w:cs="Arial"/>
        </w:rPr>
        <w:t xml:space="preserve">This study utilized a descriptive correlational research design to investigate the relationship between </w:t>
      </w:r>
      <w:r>
        <w:rPr>
          <w:rFonts w:ascii="Arial" w:hAnsi="Arial" w:cs="Arial"/>
        </w:rPr>
        <w:t>two variables.</w:t>
      </w:r>
      <w:r w:rsidRPr="00FD57A3">
        <w:rPr>
          <w:rFonts w:ascii="Arial" w:hAnsi="Arial" w:cs="Arial"/>
        </w:rPr>
        <w:t xml:space="preserve"> This design is appropriate for examining the nature and strength of relationships between variables without manipulating any of the conditions under study.</w:t>
      </w:r>
      <w:r>
        <w:rPr>
          <w:rFonts w:ascii="Arial" w:hAnsi="Arial" w:cs="Arial"/>
        </w:rPr>
        <w:t xml:space="preserve"> </w:t>
      </w:r>
      <w:r w:rsidRPr="00FD57A3">
        <w:rPr>
          <w:rFonts w:ascii="Arial" w:hAnsi="Arial" w:cs="Arial"/>
        </w:rPr>
        <w:t>A quantitative research approach was employed, as it allows for objective measurement and statistical analysis of numerical data gathered through standardized instruments such as questionnaires (</w:t>
      </w:r>
      <w:r w:rsidR="003B6CAC">
        <w:rPr>
          <w:rFonts w:ascii="Arial" w:hAnsi="Arial" w:cs="Arial"/>
        </w:rPr>
        <w:t>Ahmad et al.</w:t>
      </w:r>
      <w:r w:rsidRPr="00FD57A3">
        <w:rPr>
          <w:rFonts w:ascii="Arial" w:hAnsi="Arial" w:cs="Arial"/>
        </w:rPr>
        <w:t>, 201</w:t>
      </w:r>
      <w:r w:rsidR="003B6CAC">
        <w:rPr>
          <w:rFonts w:ascii="Arial" w:hAnsi="Arial" w:cs="Arial"/>
        </w:rPr>
        <w:t>9</w:t>
      </w:r>
      <w:r w:rsidRPr="00FD57A3">
        <w:rPr>
          <w:rFonts w:ascii="Arial" w:hAnsi="Arial" w:cs="Arial"/>
        </w:rPr>
        <w:t>). Quantitative methods are particularly effective in identifying patterns, relationships, and generalizations across a given population by analyzing measurable data (</w:t>
      </w:r>
      <w:proofErr w:type="spellStart"/>
      <w:r w:rsidR="003B6CAC">
        <w:rPr>
          <w:rFonts w:ascii="Arial" w:hAnsi="Arial" w:cs="Arial"/>
        </w:rPr>
        <w:t>Pregoner</w:t>
      </w:r>
      <w:proofErr w:type="spellEnd"/>
      <w:r w:rsidRPr="00FD57A3">
        <w:rPr>
          <w:rFonts w:ascii="Arial" w:hAnsi="Arial" w:cs="Arial"/>
        </w:rPr>
        <w:t>, 20</w:t>
      </w:r>
      <w:r w:rsidR="003B6CAC">
        <w:rPr>
          <w:rFonts w:ascii="Arial" w:hAnsi="Arial" w:cs="Arial"/>
        </w:rPr>
        <w:t>24</w:t>
      </w:r>
      <w:r w:rsidRPr="00FD57A3">
        <w:rPr>
          <w:rFonts w:ascii="Arial" w:hAnsi="Arial" w:cs="Arial"/>
        </w:rPr>
        <w:t>).</w:t>
      </w:r>
    </w:p>
    <w:p w14:paraId="364F36C2" w14:textId="77777777" w:rsidR="00FD57A3" w:rsidRPr="00FD57A3" w:rsidRDefault="00FD57A3" w:rsidP="00FD57A3">
      <w:pPr>
        <w:jc w:val="both"/>
        <w:rPr>
          <w:rFonts w:ascii="Arial" w:hAnsi="Arial" w:cs="Arial"/>
        </w:rPr>
      </w:pPr>
    </w:p>
    <w:p w14:paraId="17F49269" w14:textId="7529B97D" w:rsidR="00FD57A3" w:rsidRPr="00FD57A3" w:rsidRDefault="00FD57A3" w:rsidP="00FD57A3">
      <w:pPr>
        <w:jc w:val="both"/>
        <w:rPr>
          <w:rFonts w:ascii="Arial" w:hAnsi="Arial" w:cs="Arial"/>
        </w:rPr>
      </w:pPr>
      <w:r w:rsidRPr="00FD57A3">
        <w:rPr>
          <w:rFonts w:ascii="Arial" w:hAnsi="Arial" w:cs="Arial"/>
        </w:rPr>
        <w:t>Descriptive correlational research seeks to determine whether and to what degree a relationship exists between two or more quantifiable variables</w:t>
      </w:r>
      <w:r w:rsidR="003B6CAC">
        <w:rPr>
          <w:rFonts w:ascii="Arial" w:hAnsi="Arial" w:cs="Arial"/>
        </w:rPr>
        <w:t xml:space="preserve">. </w:t>
      </w:r>
      <w:r w:rsidRPr="00FD57A3">
        <w:rPr>
          <w:rFonts w:ascii="Arial" w:hAnsi="Arial" w:cs="Arial"/>
        </w:rPr>
        <w:t>It does not involve manipulating variables but rather observes existing conditions, aiming to describe the nature of the relationships that may be present. Importantly, this type of design does not establish causal connections but provides evidence of associations</w:t>
      </w:r>
      <w:r w:rsidR="003B6CAC">
        <w:rPr>
          <w:rFonts w:ascii="Arial" w:hAnsi="Arial" w:cs="Arial"/>
        </w:rPr>
        <w:t xml:space="preserve"> </w:t>
      </w:r>
      <w:r w:rsidR="003B6CAC" w:rsidRPr="00FD57A3">
        <w:rPr>
          <w:rFonts w:ascii="Arial" w:hAnsi="Arial" w:cs="Arial"/>
        </w:rPr>
        <w:t>(</w:t>
      </w:r>
      <w:r w:rsidR="003B6CAC">
        <w:rPr>
          <w:rFonts w:ascii="Arial" w:hAnsi="Arial" w:cs="Arial"/>
        </w:rPr>
        <w:t>Baguio &amp; Baguio</w:t>
      </w:r>
      <w:r w:rsidR="003B6CAC" w:rsidRPr="00FD57A3">
        <w:rPr>
          <w:rFonts w:ascii="Arial" w:hAnsi="Arial" w:cs="Arial"/>
        </w:rPr>
        <w:t>, 20</w:t>
      </w:r>
      <w:r w:rsidR="003B6CAC">
        <w:rPr>
          <w:rFonts w:ascii="Arial" w:hAnsi="Arial" w:cs="Arial"/>
        </w:rPr>
        <w:t>25</w:t>
      </w:r>
      <w:r w:rsidR="003B6CAC" w:rsidRPr="00FD57A3">
        <w:rPr>
          <w:rFonts w:ascii="Arial" w:hAnsi="Arial" w:cs="Arial"/>
        </w:rPr>
        <w:t>).</w:t>
      </w:r>
    </w:p>
    <w:p w14:paraId="1CA18922" w14:textId="77777777" w:rsidR="00FD57A3" w:rsidRPr="00FD57A3" w:rsidRDefault="00FD57A3" w:rsidP="00FD57A3">
      <w:pPr>
        <w:jc w:val="both"/>
        <w:rPr>
          <w:rFonts w:ascii="Arial" w:hAnsi="Arial" w:cs="Arial"/>
        </w:rPr>
      </w:pPr>
    </w:p>
    <w:p w14:paraId="584EBFB1" w14:textId="7C169FA9" w:rsidR="00046D90" w:rsidRDefault="00FD57A3" w:rsidP="00FD57A3">
      <w:pPr>
        <w:jc w:val="both"/>
        <w:rPr>
          <w:rFonts w:ascii="Arial" w:hAnsi="Arial" w:cs="Arial"/>
        </w:rPr>
      </w:pPr>
      <w:r w:rsidRPr="00FD57A3">
        <w:rPr>
          <w:rFonts w:ascii="Arial" w:hAnsi="Arial" w:cs="Arial"/>
        </w:rPr>
        <w:t>In the context of this study, the descriptive correlational method is fitting because it aims to determine the degree of relationship between workstation challenges and occupational flexibility among public elementary school teachers. The use of a structured questionnaire allowed for the systematic collection of numerical data on how teachers experience and manage challenges in the workplace, and how these experiences relate to their ability to adapt, respond, and maintain professional performance. By employing this method, the study seeks to generate empirical evidence that can help school administrators and policymakers better understand how these two variables interact in real-world educational settings.</w:t>
      </w:r>
    </w:p>
    <w:p w14:paraId="04EC8654" w14:textId="77777777" w:rsidR="00FD57A3" w:rsidRDefault="00FD57A3" w:rsidP="00FD57A3">
      <w:pPr>
        <w:jc w:val="both"/>
        <w:rPr>
          <w:rFonts w:ascii="Arial" w:hAnsi="Arial" w:cs="Arial"/>
        </w:rPr>
      </w:pPr>
    </w:p>
    <w:p w14:paraId="404BDFFE" w14:textId="77777777" w:rsidR="00046D90" w:rsidRDefault="00046D90" w:rsidP="00046D90">
      <w:pPr>
        <w:jc w:val="both"/>
        <w:rPr>
          <w:rFonts w:ascii="Arial" w:hAnsi="Arial" w:cs="Arial"/>
          <w:b/>
          <w:bCs/>
        </w:rPr>
      </w:pPr>
    </w:p>
    <w:p w14:paraId="318F0781" w14:textId="77777777" w:rsidR="00717F2E" w:rsidRDefault="003016C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64E54118" w:rsidR="00951100" w:rsidRDefault="00930640">
      <w:pPr>
        <w:rPr>
          <w:rFonts w:ascii="Arial" w:hAnsi="Arial" w:cs="Arial"/>
        </w:rPr>
      </w:pPr>
      <w:r w:rsidRPr="00930640">
        <w:rPr>
          <w:rFonts w:ascii="Arial" w:hAnsi="Arial" w:cs="Arial"/>
        </w:rPr>
        <w:t xml:space="preserve">The respondents of this study were the 132 teachers of elementary public schools in </w:t>
      </w:r>
      <w:proofErr w:type="spellStart"/>
      <w:r w:rsidRPr="00930640">
        <w:rPr>
          <w:rFonts w:ascii="Arial" w:hAnsi="Arial" w:cs="Arial"/>
        </w:rPr>
        <w:t>Manay</w:t>
      </w:r>
      <w:proofErr w:type="spellEnd"/>
      <w:r w:rsidRPr="00930640">
        <w:rPr>
          <w:rFonts w:ascii="Arial" w:hAnsi="Arial" w:cs="Arial"/>
        </w:rPr>
        <w:t xml:space="preserve"> District, Division of Davao Oriental. They evaluated their colleagues through a questionnaire that was administered to them. The teachers involved had served at least three years or </w:t>
      </w:r>
      <w:r w:rsidRPr="00930640">
        <w:rPr>
          <w:rFonts w:ascii="Arial" w:hAnsi="Arial" w:cs="Arial"/>
        </w:rPr>
        <w:lastRenderedPageBreak/>
        <w:t>more in public schools. This study was conducted during the school year 2022-2023. The researcher used universal sampling in selecting the respondents.</w:t>
      </w:r>
    </w:p>
    <w:p w14:paraId="1B794A30" w14:textId="77777777" w:rsidR="00930640" w:rsidRDefault="00930640">
      <w:pPr>
        <w:rPr>
          <w:rFonts w:ascii="Arial" w:hAnsi="Arial" w:cs="Arial"/>
        </w:rPr>
      </w:pPr>
    </w:p>
    <w:p w14:paraId="6404299D" w14:textId="77777777" w:rsidR="00930640" w:rsidRDefault="00930640">
      <w:pPr>
        <w:rPr>
          <w:rFonts w:ascii="Arial" w:hAnsi="Arial" w:cs="Arial"/>
          <w:b/>
          <w:bCs/>
        </w:rPr>
      </w:pPr>
    </w:p>
    <w:p w14:paraId="6BE2C45C" w14:textId="77777777" w:rsidR="00717F2E" w:rsidRDefault="003016CA">
      <w:pPr>
        <w:rPr>
          <w:rFonts w:ascii="Arial" w:hAnsi="Arial" w:cs="Arial"/>
          <w:b/>
          <w:bCs/>
        </w:rPr>
      </w:pPr>
      <w:r>
        <w:rPr>
          <w:rFonts w:ascii="Arial" w:hAnsi="Arial" w:cs="Arial"/>
          <w:b/>
          <w:bCs/>
        </w:rPr>
        <w:t>2.3 Research Instrumen</w:t>
      </w:r>
      <w:r>
        <w:rPr>
          <w:rFonts w:ascii="Arial" w:hAnsi="Arial" w:cs="Arial"/>
          <w:b/>
          <w:bCs/>
        </w:rPr>
        <w:t>t</w:t>
      </w:r>
    </w:p>
    <w:p w14:paraId="7593DDB4" w14:textId="77777777" w:rsidR="00717F2E" w:rsidRDefault="00717F2E">
      <w:pPr>
        <w:rPr>
          <w:rFonts w:ascii="Arial" w:hAnsi="Arial" w:cs="Arial"/>
          <w:b/>
          <w:bCs/>
        </w:rPr>
      </w:pPr>
    </w:p>
    <w:p w14:paraId="17B74902" w14:textId="53072A84" w:rsidR="00A366FA" w:rsidRDefault="00930640" w:rsidP="00930640">
      <w:pPr>
        <w:jc w:val="both"/>
        <w:rPr>
          <w:rFonts w:ascii="Arial" w:hAnsi="Arial" w:cs="Arial"/>
        </w:rPr>
      </w:pPr>
      <w:r w:rsidRPr="00930640">
        <w:rPr>
          <w:rFonts w:ascii="Arial" w:hAnsi="Arial" w:cs="Arial"/>
        </w:rPr>
        <w:t>The research instruments used in gathering the data were adopted from various authors. The questionnaires were contextualized to the local setting. Refinement of the questionnaires was made possible through the assistance of the thesis adviser, and three other validators evaluated the content of the questionnaire. The consolidated results from the pilot testing, which were conducted with 30 teachers from a separate school, obtained a Cronbach’s alpha mean rating result of 0.931 for workstation challenges and 0.923 for occupational flexibility. The questionnaire was composed of 40 items. There were 8 indicators in this study, with each indicator made up of 5 item questions. Likert’s scale was adopted to determine the workstation challenges and occupational flexibility of public elementary school teachers.</w:t>
      </w:r>
    </w:p>
    <w:p w14:paraId="735DAF11" w14:textId="77777777" w:rsidR="00930640" w:rsidRDefault="00930640">
      <w:pPr>
        <w:rPr>
          <w:rFonts w:ascii="Arial" w:hAnsi="Arial" w:cs="Arial"/>
          <w:b/>
          <w:bCs/>
        </w:rPr>
      </w:pPr>
    </w:p>
    <w:p w14:paraId="542B2B7B" w14:textId="77777777" w:rsidR="00A366FA" w:rsidRDefault="00A366FA">
      <w:pPr>
        <w:rPr>
          <w:rFonts w:ascii="Arial" w:hAnsi="Arial" w:cs="Arial"/>
          <w:b/>
          <w:bCs/>
        </w:rPr>
      </w:pPr>
    </w:p>
    <w:p w14:paraId="7821138E" w14:textId="77777777" w:rsidR="00717F2E" w:rsidRDefault="003016CA">
      <w:pPr>
        <w:rPr>
          <w:rFonts w:ascii="Arial" w:hAnsi="Arial" w:cs="Arial"/>
          <w:b/>
          <w:bCs/>
        </w:rPr>
      </w:pPr>
      <w:r>
        <w:rPr>
          <w:rFonts w:ascii="Arial" w:hAnsi="Arial" w:cs="Arial"/>
          <w:b/>
          <w:bCs/>
        </w:rPr>
        <w:t>2.4 Data Gathering Procedure</w:t>
      </w:r>
    </w:p>
    <w:p w14:paraId="2B19574A" w14:textId="77777777" w:rsidR="00930640" w:rsidRPr="00930640" w:rsidRDefault="00930640" w:rsidP="00930640">
      <w:pPr>
        <w:pStyle w:val="Heading1"/>
        <w:jc w:val="both"/>
        <w:rPr>
          <w:rFonts w:cs="Arial"/>
          <w:b w:val="0"/>
          <w:kern w:val="0"/>
          <w:sz w:val="20"/>
        </w:rPr>
      </w:pPr>
      <w:r w:rsidRPr="00930640">
        <w:rPr>
          <w:rFonts w:cs="Arial"/>
          <w:b w:val="0"/>
          <w:kern w:val="0"/>
          <w:sz w:val="20"/>
        </w:rPr>
        <w:t xml:space="preserve">The data gathered through the following procedures: </w:t>
      </w:r>
    </w:p>
    <w:p w14:paraId="06367C37" w14:textId="77777777" w:rsidR="00930640" w:rsidRPr="00930640" w:rsidRDefault="00930640" w:rsidP="00930640">
      <w:pPr>
        <w:pStyle w:val="Heading1"/>
        <w:jc w:val="both"/>
        <w:rPr>
          <w:rFonts w:cs="Arial"/>
          <w:b w:val="0"/>
          <w:kern w:val="0"/>
          <w:sz w:val="20"/>
        </w:rPr>
      </w:pPr>
      <w:r w:rsidRPr="00930640">
        <w:rPr>
          <w:rFonts w:cs="Arial"/>
          <w:b w:val="0"/>
          <w:kern w:val="0"/>
          <w:sz w:val="20"/>
        </w:rPr>
        <w:t xml:space="preserve">A letter of permission was secured to conduct the study for the dealing with workstation challenges and occupation flexibility of public elementary school teachers.  The letter of permission and appearance were signed and granted by Dean of Graduate Studies of the Rizal Memorial Colleges, Adviser and School Principal, Moderators or Teacher in Charge. Adequate and clear copies were printed to avoid problems with the administration. </w:t>
      </w:r>
    </w:p>
    <w:p w14:paraId="18664DB7" w14:textId="77777777" w:rsidR="00930640" w:rsidRDefault="00930640" w:rsidP="00930640">
      <w:pPr>
        <w:pStyle w:val="Heading1"/>
        <w:jc w:val="both"/>
        <w:rPr>
          <w:rFonts w:cs="Arial"/>
          <w:b w:val="0"/>
          <w:kern w:val="0"/>
          <w:sz w:val="20"/>
        </w:rPr>
      </w:pPr>
      <w:r w:rsidRPr="00930640">
        <w:rPr>
          <w:rFonts w:cs="Arial"/>
          <w:b w:val="0"/>
          <w:kern w:val="0"/>
          <w:sz w:val="20"/>
        </w:rPr>
        <w:t>The researcher administered the questionnaire personally to the respondents of the study and they were requested to answer the questionnaire honestly so that valid and reliable data was elicited.  The result was collated and tabulated before subjecting it to statistical treatment, analyzed and interpreted based on the purpose of the study.</w:t>
      </w:r>
    </w:p>
    <w:p w14:paraId="0B281753" w14:textId="540386B4" w:rsidR="00717F2E" w:rsidRDefault="003016CA" w:rsidP="00930640">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75F55AEE" w14:textId="3810E3A1"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The gathered data were classified, analyzed and interpreted by using the following statistical tools: </w:t>
      </w:r>
    </w:p>
    <w:p w14:paraId="60AE6594" w14:textId="77777777"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Mean. This was used to determine the dealing with workstation challenges and occupation flexibility of public elementary school teachers. </w:t>
      </w:r>
    </w:p>
    <w:p w14:paraId="1D7BC831" w14:textId="77777777" w:rsidR="00930640" w:rsidRPr="00930640" w:rsidRDefault="00930640" w:rsidP="00930640">
      <w:pPr>
        <w:pStyle w:val="Head1"/>
        <w:jc w:val="both"/>
        <w:rPr>
          <w:rFonts w:ascii="Arial" w:hAnsi="Arial" w:cs="Arial"/>
          <w:b w:val="0"/>
          <w:caps w:val="0"/>
          <w:sz w:val="20"/>
        </w:rPr>
      </w:pPr>
      <w:r w:rsidRPr="00930640">
        <w:rPr>
          <w:rFonts w:ascii="Arial" w:hAnsi="Arial" w:cs="Arial"/>
          <w:b w:val="0"/>
          <w:caps w:val="0"/>
          <w:sz w:val="20"/>
        </w:rPr>
        <w:t xml:space="preserve">Pearson Product Moment Correlation or Pearson r. This was used to measure the significant relationship between dealing with workstation challenges and occupation flexibility of public elementary school teachers. </w:t>
      </w:r>
    </w:p>
    <w:p w14:paraId="66ABB753" w14:textId="30BBC915" w:rsidR="00A366FA" w:rsidRPr="00A366FA" w:rsidRDefault="00930640" w:rsidP="00930640">
      <w:pPr>
        <w:pStyle w:val="Head1"/>
        <w:jc w:val="both"/>
        <w:rPr>
          <w:rFonts w:ascii="Arial" w:hAnsi="Arial" w:cs="Arial"/>
          <w:b w:val="0"/>
          <w:caps w:val="0"/>
          <w:sz w:val="20"/>
        </w:rPr>
      </w:pPr>
      <w:r w:rsidRPr="00930640">
        <w:rPr>
          <w:rFonts w:ascii="Arial" w:hAnsi="Arial" w:cs="Arial"/>
          <w:b w:val="0"/>
          <w:caps w:val="0"/>
          <w:sz w:val="20"/>
        </w:rPr>
        <w:t>Regression Analysis was to determine the significant influence between workstation challenges and occupation flexibility of public elementary school teachers.</w:t>
      </w:r>
    </w:p>
    <w:p w14:paraId="38E59B2C" w14:textId="77777777" w:rsidR="00D453B9" w:rsidRDefault="00D453B9">
      <w:pPr>
        <w:pStyle w:val="Head1"/>
        <w:spacing w:after="0"/>
        <w:jc w:val="both"/>
        <w:rPr>
          <w:rFonts w:ascii="Arial" w:hAnsi="Arial" w:cs="Arial"/>
          <w:sz w:val="20"/>
        </w:rPr>
      </w:pPr>
    </w:p>
    <w:p w14:paraId="54D02440" w14:textId="77777777" w:rsidR="00717F2E" w:rsidRDefault="003016C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332B053A" w14:textId="068FAD45" w:rsidR="00A366FA" w:rsidRDefault="003016CA">
      <w:pPr>
        <w:suppressAutoHyphens/>
        <w:jc w:val="both"/>
        <w:rPr>
          <w:rFonts w:ascii="Arial" w:hAnsi="Arial" w:cs="Arial"/>
          <w:b/>
        </w:rPr>
      </w:pPr>
      <w:r>
        <w:rPr>
          <w:rFonts w:ascii="Arial" w:hAnsi="Arial" w:cs="Arial"/>
          <w:b/>
        </w:rPr>
        <w:t xml:space="preserve">3.1 </w:t>
      </w:r>
      <w:r w:rsidR="00930640" w:rsidRPr="00930640">
        <w:rPr>
          <w:rFonts w:ascii="Arial" w:hAnsi="Arial" w:cs="Arial"/>
          <w:b/>
        </w:rPr>
        <w:t>Level of Workstation Challenges among Public Elementary School Teachers</w:t>
      </w:r>
    </w:p>
    <w:p w14:paraId="2ED6BB98" w14:textId="77777777" w:rsidR="00930640" w:rsidRDefault="00930640">
      <w:pPr>
        <w:suppressAutoHyphens/>
        <w:jc w:val="both"/>
        <w:rPr>
          <w:rFonts w:ascii="Arial" w:hAnsi="Arial" w:cs="Arial"/>
          <w:i/>
        </w:rPr>
      </w:pPr>
    </w:p>
    <w:p w14:paraId="78FC7248" w14:textId="15D800A6" w:rsidR="00717F2E" w:rsidRDefault="003016CA">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w:t>
      </w:r>
      <w:r w:rsidR="00930640" w:rsidRPr="00930640">
        <w:rPr>
          <w:rFonts w:ascii="Arial" w:hAnsi="Arial" w:cs="Arial"/>
          <w:i/>
        </w:rPr>
        <w:t>Level of Workstation Challenges among Public Elementary School Teachers</w:t>
      </w:r>
    </w:p>
    <w:p w14:paraId="20CF6BE0" w14:textId="77777777" w:rsidR="00D453B9" w:rsidRDefault="00D453B9" w:rsidP="003248E3">
      <w:pPr>
        <w:jc w:val="both"/>
        <w:rPr>
          <w:rFonts w:ascii="Arial" w:hAnsi="Arial" w:cs="Arial"/>
        </w:rPr>
      </w:pPr>
    </w:p>
    <w:tbl>
      <w:tblPr>
        <w:tblW w:w="8177"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137"/>
        <w:gridCol w:w="40"/>
        <w:gridCol w:w="834"/>
        <w:gridCol w:w="966"/>
        <w:gridCol w:w="19"/>
        <w:gridCol w:w="2171"/>
        <w:gridCol w:w="10"/>
      </w:tblGrid>
      <w:tr w:rsidR="00930640" w:rsidRPr="006E7CEA" w14:paraId="3579A6F4" w14:textId="77777777" w:rsidTr="00930640">
        <w:trPr>
          <w:gridAfter w:val="1"/>
          <w:wAfter w:w="10" w:type="dxa"/>
          <w:trHeight w:val="37"/>
        </w:trPr>
        <w:tc>
          <w:tcPr>
            <w:tcW w:w="4177" w:type="dxa"/>
            <w:gridSpan w:val="2"/>
            <w:tcBorders>
              <w:top w:val="single" w:sz="18" w:space="0" w:color="000000"/>
              <w:bottom w:val="single" w:sz="4" w:space="0" w:color="000000"/>
            </w:tcBorders>
          </w:tcPr>
          <w:p w14:paraId="0A245490" w14:textId="77777777" w:rsidR="00930640" w:rsidRPr="006E7CEA" w:rsidRDefault="00930640" w:rsidP="00E16885">
            <w:pPr>
              <w:jc w:val="center"/>
              <w:rPr>
                <w:rFonts w:ascii="Arial" w:eastAsia="Arial" w:hAnsi="Arial" w:cs="Arial"/>
                <w:b/>
              </w:rPr>
            </w:pPr>
            <w:r w:rsidRPr="006E7CEA">
              <w:rPr>
                <w:rFonts w:ascii="Arial" w:eastAsia="Arial" w:hAnsi="Arial" w:cs="Arial"/>
                <w:b/>
              </w:rPr>
              <w:t>Domains</w:t>
            </w:r>
          </w:p>
        </w:tc>
        <w:tc>
          <w:tcPr>
            <w:tcW w:w="834" w:type="dxa"/>
            <w:tcBorders>
              <w:top w:val="single" w:sz="18" w:space="0" w:color="000000"/>
              <w:bottom w:val="single" w:sz="4" w:space="0" w:color="000000"/>
            </w:tcBorders>
          </w:tcPr>
          <w:p w14:paraId="2ECCCBF1" w14:textId="77777777" w:rsidR="00930640" w:rsidRPr="006E7CEA" w:rsidRDefault="00930640" w:rsidP="00E16885">
            <w:pPr>
              <w:jc w:val="center"/>
              <w:rPr>
                <w:rFonts w:ascii="Arial" w:eastAsia="Arial" w:hAnsi="Arial" w:cs="Arial"/>
                <w:b/>
              </w:rPr>
            </w:pPr>
            <w:r w:rsidRPr="006E7CEA">
              <w:rPr>
                <w:rFonts w:ascii="Arial" w:eastAsia="Arial" w:hAnsi="Arial" w:cs="Arial"/>
                <w:b/>
              </w:rPr>
              <w:t>SD</w:t>
            </w:r>
          </w:p>
        </w:tc>
        <w:tc>
          <w:tcPr>
            <w:tcW w:w="985" w:type="dxa"/>
            <w:gridSpan w:val="2"/>
            <w:tcBorders>
              <w:top w:val="single" w:sz="18" w:space="0" w:color="000000"/>
              <w:bottom w:val="single" w:sz="4" w:space="0" w:color="000000"/>
            </w:tcBorders>
          </w:tcPr>
          <w:p w14:paraId="01B895CD" w14:textId="77777777" w:rsidR="00930640" w:rsidRPr="006E7CEA" w:rsidRDefault="00930640" w:rsidP="00E16885">
            <w:pPr>
              <w:jc w:val="center"/>
              <w:rPr>
                <w:rFonts w:ascii="Arial" w:eastAsia="Arial" w:hAnsi="Arial" w:cs="Arial"/>
                <w:b/>
              </w:rPr>
            </w:pPr>
            <w:r w:rsidRPr="006E7CEA">
              <w:rPr>
                <w:rFonts w:ascii="Arial" w:eastAsia="Arial" w:hAnsi="Arial" w:cs="Arial"/>
                <w:b/>
              </w:rPr>
              <w:t>Mean</w:t>
            </w:r>
          </w:p>
        </w:tc>
        <w:tc>
          <w:tcPr>
            <w:tcW w:w="2171" w:type="dxa"/>
            <w:tcBorders>
              <w:top w:val="single" w:sz="18" w:space="0" w:color="000000"/>
              <w:bottom w:val="single" w:sz="4" w:space="0" w:color="000000"/>
            </w:tcBorders>
          </w:tcPr>
          <w:p w14:paraId="21578442" w14:textId="77777777" w:rsidR="00930640" w:rsidRPr="006E7CEA" w:rsidRDefault="00930640" w:rsidP="00E16885">
            <w:pPr>
              <w:jc w:val="center"/>
              <w:rPr>
                <w:rFonts w:ascii="Arial" w:eastAsia="Arial" w:hAnsi="Arial" w:cs="Arial"/>
                <w:b/>
              </w:rPr>
            </w:pPr>
            <w:r w:rsidRPr="006E7CEA">
              <w:rPr>
                <w:rFonts w:ascii="Arial" w:eastAsia="Arial" w:hAnsi="Arial" w:cs="Arial"/>
                <w:b/>
              </w:rPr>
              <w:t>Descriptive Level</w:t>
            </w:r>
          </w:p>
        </w:tc>
      </w:tr>
      <w:tr w:rsidR="00930640" w:rsidRPr="006E7CEA" w14:paraId="1BA53016" w14:textId="77777777" w:rsidTr="00930640">
        <w:trPr>
          <w:gridAfter w:val="1"/>
          <w:wAfter w:w="10" w:type="dxa"/>
          <w:trHeight w:val="294"/>
        </w:trPr>
        <w:tc>
          <w:tcPr>
            <w:tcW w:w="4177" w:type="dxa"/>
            <w:gridSpan w:val="2"/>
            <w:tcBorders>
              <w:top w:val="single" w:sz="4" w:space="0" w:color="000000"/>
            </w:tcBorders>
          </w:tcPr>
          <w:p w14:paraId="1706BA5B"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Planning</w:t>
            </w:r>
          </w:p>
        </w:tc>
        <w:tc>
          <w:tcPr>
            <w:tcW w:w="834" w:type="dxa"/>
            <w:tcBorders>
              <w:top w:val="single" w:sz="4" w:space="0" w:color="000000"/>
            </w:tcBorders>
          </w:tcPr>
          <w:p w14:paraId="7827F51F" w14:textId="77777777" w:rsidR="00930640" w:rsidRPr="006E7CEA" w:rsidRDefault="00930640" w:rsidP="00E16885">
            <w:pPr>
              <w:jc w:val="center"/>
              <w:rPr>
                <w:rFonts w:ascii="Arial" w:eastAsia="Arial" w:hAnsi="Arial" w:cs="Arial"/>
              </w:rPr>
            </w:pPr>
            <w:r>
              <w:rPr>
                <w:rFonts w:ascii="Arial" w:eastAsia="Arial" w:hAnsi="Arial" w:cs="Arial"/>
              </w:rPr>
              <w:t>0.48</w:t>
            </w:r>
          </w:p>
        </w:tc>
        <w:tc>
          <w:tcPr>
            <w:tcW w:w="985" w:type="dxa"/>
            <w:gridSpan w:val="2"/>
            <w:tcBorders>
              <w:top w:val="single" w:sz="4" w:space="0" w:color="000000"/>
            </w:tcBorders>
          </w:tcPr>
          <w:p w14:paraId="2FF38BB7" w14:textId="77777777" w:rsidR="00930640" w:rsidRPr="006E7CEA" w:rsidRDefault="00930640" w:rsidP="00E16885">
            <w:pPr>
              <w:jc w:val="center"/>
              <w:rPr>
                <w:rFonts w:ascii="Arial" w:eastAsia="Arial" w:hAnsi="Arial" w:cs="Arial"/>
              </w:rPr>
            </w:pPr>
            <w:r>
              <w:rPr>
                <w:rFonts w:ascii="Arial" w:eastAsia="Arial" w:hAnsi="Arial" w:cs="Arial"/>
              </w:rPr>
              <w:t>4.12</w:t>
            </w:r>
          </w:p>
        </w:tc>
        <w:tc>
          <w:tcPr>
            <w:tcW w:w="2171" w:type="dxa"/>
            <w:tcBorders>
              <w:top w:val="single" w:sz="4" w:space="0" w:color="000000"/>
            </w:tcBorders>
          </w:tcPr>
          <w:p w14:paraId="2D43C339" w14:textId="77777777" w:rsidR="00930640" w:rsidRPr="006E7CEA" w:rsidRDefault="00930640" w:rsidP="00E16885">
            <w:pPr>
              <w:jc w:val="center"/>
              <w:rPr>
                <w:rFonts w:ascii="Arial" w:eastAsia="Arial" w:hAnsi="Arial" w:cs="Arial"/>
              </w:rPr>
            </w:pPr>
            <w:r>
              <w:rPr>
                <w:rFonts w:ascii="Arial" w:eastAsia="Arial" w:hAnsi="Arial" w:cs="Arial"/>
              </w:rPr>
              <w:t>High</w:t>
            </w:r>
          </w:p>
        </w:tc>
      </w:tr>
      <w:tr w:rsidR="00930640" w:rsidRPr="006E7CEA" w14:paraId="0D18E8EF" w14:textId="77777777" w:rsidTr="00930640">
        <w:trPr>
          <w:gridAfter w:val="1"/>
          <w:wAfter w:w="10" w:type="dxa"/>
          <w:trHeight w:val="305"/>
        </w:trPr>
        <w:tc>
          <w:tcPr>
            <w:tcW w:w="4177" w:type="dxa"/>
            <w:gridSpan w:val="2"/>
          </w:tcPr>
          <w:p w14:paraId="2B326F5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Motivation</w:t>
            </w:r>
          </w:p>
        </w:tc>
        <w:tc>
          <w:tcPr>
            <w:tcW w:w="834" w:type="dxa"/>
          </w:tcPr>
          <w:p w14:paraId="48E56086" w14:textId="77777777" w:rsidR="00930640" w:rsidRPr="006E7CEA" w:rsidRDefault="00930640" w:rsidP="00E16885">
            <w:pPr>
              <w:jc w:val="center"/>
              <w:rPr>
                <w:rFonts w:ascii="Arial" w:eastAsia="Arial" w:hAnsi="Arial" w:cs="Arial"/>
              </w:rPr>
            </w:pPr>
            <w:r>
              <w:rPr>
                <w:rFonts w:ascii="Arial" w:eastAsia="Arial" w:hAnsi="Arial" w:cs="Arial"/>
              </w:rPr>
              <w:t>0.45</w:t>
            </w:r>
          </w:p>
        </w:tc>
        <w:tc>
          <w:tcPr>
            <w:tcW w:w="985" w:type="dxa"/>
            <w:gridSpan w:val="2"/>
          </w:tcPr>
          <w:p w14:paraId="22B4D650" w14:textId="77777777" w:rsidR="00930640" w:rsidRPr="006E7CEA" w:rsidRDefault="00930640" w:rsidP="00E16885">
            <w:pPr>
              <w:jc w:val="center"/>
              <w:rPr>
                <w:rFonts w:ascii="Arial" w:eastAsia="Arial" w:hAnsi="Arial" w:cs="Arial"/>
              </w:rPr>
            </w:pPr>
            <w:r>
              <w:rPr>
                <w:rFonts w:ascii="Arial" w:eastAsia="Arial" w:hAnsi="Arial" w:cs="Arial"/>
              </w:rPr>
              <w:t>4.30</w:t>
            </w:r>
          </w:p>
        </w:tc>
        <w:tc>
          <w:tcPr>
            <w:tcW w:w="2171" w:type="dxa"/>
          </w:tcPr>
          <w:p w14:paraId="0E8E888B" w14:textId="77777777" w:rsidR="00930640" w:rsidRPr="006E7CEA" w:rsidRDefault="00930640" w:rsidP="00E16885">
            <w:pPr>
              <w:jc w:val="center"/>
              <w:rPr>
                <w:rFonts w:ascii="Arial" w:eastAsia="Arial" w:hAnsi="Arial" w:cs="Arial"/>
              </w:rPr>
            </w:pPr>
            <w:r w:rsidRPr="00804F23">
              <w:rPr>
                <w:rFonts w:ascii="Arial" w:eastAsia="Arial" w:hAnsi="Arial" w:cs="Arial"/>
              </w:rPr>
              <w:t>Very High</w:t>
            </w:r>
          </w:p>
        </w:tc>
      </w:tr>
      <w:tr w:rsidR="00930640" w:rsidRPr="006E7CEA" w14:paraId="0C642910" w14:textId="77777777" w:rsidTr="00930640">
        <w:trPr>
          <w:gridAfter w:val="1"/>
          <w:wAfter w:w="10" w:type="dxa"/>
          <w:trHeight w:val="305"/>
        </w:trPr>
        <w:tc>
          <w:tcPr>
            <w:tcW w:w="4177" w:type="dxa"/>
            <w:gridSpan w:val="2"/>
          </w:tcPr>
          <w:p w14:paraId="0FACC14A"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Communication</w:t>
            </w:r>
          </w:p>
        </w:tc>
        <w:tc>
          <w:tcPr>
            <w:tcW w:w="834" w:type="dxa"/>
          </w:tcPr>
          <w:p w14:paraId="717FEAA7" w14:textId="77777777" w:rsidR="00930640" w:rsidRPr="006E7CEA" w:rsidRDefault="00930640" w:rsidP="00E16885">
            <w:pPr>
              <w:jc w:val="center"/>
              <w:rPr>
                <w:rFonts w:ascii="Arial" w:eastAsia="Arial" w:hAnsi="Arial" w:cs="Arial"/>
              </w:rPr>
            </w:pPr>
            <w:r>
              <w:rPr>
                <w:rFonts w:ascii="Arial" w:eastAsia="Arial" w:hAnsi="Arial" w:cs="Arial"/>
              </w:rPr>
              <w:t>0.56</w:t>
            </w:r>
          </w:p>
        </w:tc>
        <w:tc>
          <w:tcPr>
            <w:tcW w:w="985" w:type="dxa"/>
            <w:gridSpan w:val="2"/>
          </w:tcPr>
          <w:p w14:paraId="535A0067" w14:textId="77777777" w:rsidR="00930640" w:rsidRPr="006E7CEA" w:rsidRDefault="00930640" w:rsidP="00E16885">
            <w:pPr>
              <w:jc w:val="center"/>
              <w:rPr>
                <w:rFonts w:ascii="Arial" w:eastAsia="Arial" w:hAnsi="Arial" w:cs="Arial"/>
              </w:rPr>
            </w:pPr>
            <w:r>
              <w:rPr>
                <w:rFonts w:ascii="Arial" w:eastAsia="Arial" w:hAnsi="Arial" w:cs="Arial"/>
              </w:rPr>
              <w:t>4.48</w:t>
            </w:r>
          </w:p>
        </w:tc>
        <w:tc>
          <w:tcPr>
            <w:tcW w:w="2171" w:type="dxa"/>
          </w:tcPr>
          <w:p w14:paraId="3ECE5373" w14:textId="77777777" w:rsidR="00930640" w:rsidRPr="006E7CEA" w:rsidRDefault="00930640" w:rsidP="00E16885">
            <w:pPr>
              <w:jc w:val="center"/>
              <w:rPr>
                <w:rFonts w:ascii="Arial" w:eastAsia="Arial" w:hAnsi="Arial" w:cs="Arial"/>
              </w:rPr>
            </w:pPr>
            <w:r w:rsidRPr="00804F23">
              <w:rPr>
                <w:rFonts w:ascii="Arial" w:eastAsia="Arial" w:hAnsi="Arial" w:cs="Arial"/>
              </w:rPr>
              <w:t>Very High</w:t>
            </w:r>
          </w:p>
        </w:tc>
      </w:tr>
      <w:tr w:rsidR="00930640" w:rsidRPr="006E7CEA" w14:paraId="73D0C491" w14:textId="77777777" w:rsidTr="00930640">
        <w:trPr>
          <w:gridAfter w:val="1"/>
          <w:wAfter w:w="10" w:type="dxa"/>
          <w:trHeight w:val="305"/>
        </w:trPr>
        <w:tc>
          <w:tcPr>
            <w:tcW w:w="4177" w:type="dxa"/>
            <w:gridSpan w:val="2"/>
          </w:tcPr>
          <w:p w14:paraId="79880CD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Evaluation</w:t>
            </w:r>
          </w:p>
        </w:tc>
        <w:tc>
          <w:tcPr>
            <w:tcW w:w="834" w:type="dxa"/>
          </w:tcPr>
          <w:p w14:paraId="7360D576" w14:textId="77777777" w:rsidR="00930640" w:rsidRPr="006E7CEA" w:rsidRDefault="00930640" w:rsidP="00E16885">
            <w:pPr>
              <w:jc w:val="center"/>
              <w:rPr>
                <w:rFonts w:ascii="Arial" w:eastAsia="Arial" w:hAnsi="Arial" w:cs="Arial"/>
              </w:rPr>
            </w:pPr>
            <w:r>
              <w:rPr>
                <w:rFonts w:ascii="Arial" w:eastAsia="Arial" w:hAnsi="Arial" w:cs="Arial"/>
              </w:rPr>
              <w:t>0.31</w:t>
            </w:r>
          </w:p>
        </w:tc>
        <w:tc>
          <w:tcPr>
            <w:tcW w:w="985" w:type="dxa"/>
            <w:gridSpan w:val="2"/>
          </w:tcPr>
          <w:p w14:paraId="64EA15C3" w14:textId="77777777" w:rsidR="00930640" w:rsidRPr="006E7CEA" w:rsidRDefault="00930640" w:rsidP="00E16885">
            <w:pPr>
              <w:jc w:val="center"/>
              <w:rPr>
                <w:rFonts w:ascii="Arial" w:eastAsia="Arial" w:hAnsi="Arial" w:cs="Arial"/>
              </w:rPr>
            </w:pPr>
            <w:r>
              <w:rPr>
                <w:rFonts w:ascii="Arial" w:eastAsia="Arial" w:hAnsi="Arial" w:cs="Arial"/>
              </w:rPr>
              <w:t>4.03</w:t>
            </w:r>
          </w:p>
        </w:tc>
        <w:tc>
          <w:tcPr>
            <w:tcW w:w="2171" w:type="dxa"/>
          </w:tcPr>
          <w:p w14:paraId="0351CA76" w14:textId="77777777" w:rsidR="00930640" w:rsidRPr="006E7CEA" w:rsidRDefault="00930640" w:rsidP="00E16885">
            <w:pPr>
              <w:jc w:val="center"/>
              <w:rPr>
                <w:rFonts w:ascii="Arial" w:eastAsia="Arial" w:hAnsi="Arial" w:cs="Arial"/>
              </w:rPr>
            </w:pPr>
            <w:r>
              <w:rPr>
                <w:rFonts w:ascii="Arial" w:eastAsia="Arial" w:hAnsi="Arial" w:cs="Arial"/>
              </w:rPr>
              <w:t>High</w:t>
            </w:r>
          </w:p>
        </w:tc>
      </w:tr>
      <w:tr w:rsidR="00930640" w:rsidRPr="006E7CEA" w14:paraId="7F595170" w14:textId="77777777" w:rsidTr="00930640">
        <w:trPr>
          <w:trHeight w:val="288"/>
        </w:trPr>
        <w:tc>
          <w:tcPr>
            <w:tcW w:w="4137" w:type="dxa"/>
            <w:tcBorders>
              <w:top w:val="single" w:sz="4" w:space="0" w:color="000000"/>
              <w:bottom w:val="single" w:sz="18" w:space="0" w:color="000000"/>
            </w:tcBorders>
          </w:tcPr>
          <w:p w14:paraId="2B11D542" w14:textId="77777777" w:rsidR="00930640" w:rsidRPr="006E7CEA" w:rsidRDefault="00930640" w:rsidP="00E16885">
            <w:pPr>
              <w:pBdr>
                <w:top w:val="nil"/>
                <w:left w:val="nil"/>
                <w:bottom w:val="nil"/>
                <w:right w:val="nil"/>
                <w:between w:val="nil"/>
              </w:pBdr>
              <w:jc w:val="center"/>
              <w:rPr>
                <w:rFonts w:ascii="Arial" w:eastAsia="Arial" w:hAnsi="Arial" w:cs="Arial"/>
                <w:b/>
                <w:color w:val="000000"/>
              </w:rPr>
            </w:pPr>
            <w:r w:rsidRPr="006E7CEA">
              <w:rPr>
                <w:rFonts w:ascii="Arial" w:eastAsia="Arial" w:hAnsi="Arial" w:cs="Arial"/>
                <w:b/>
                <w:color w:val="000000"/>
              </w:rPr>
              <w:t>Overall</w:t>
            </w:r>
          </w:p>
        </w:tc>
        <w:tc>
          <w:tcPr>
            <w:tcW w:w="874" w:type="dxa"/>
            <w:gridSpan w:val="2"/>
            <w:tcBorders>
              <w:top w:val="single" w:sz="4" w:space="0" w:color="000000"/>
              <w:bottom w:val="single" w:sz="18" w:space="0" w:color="000000"/>
            </w:tcBorders>
          </w:tcPr>
          <w:p w14:paraId="662F02A4" w14:textId="77777777" w:rsidR="00930640" w:rsidRPr="006E7CEA" w:rsidRDefault="00930640" w:rsidP="00E16885">
            <w:pPr>
              <w:jc w:val="center"/>
              <w:rPr>
                <w:rFonts w:ascii="Arial" w:eastAsia="Arial" w:hAnsi="Arial" w:cs="Arial"/>
                <w:b/>
              </w:rPr>
            </w:pPr>
            <w:r>
              <w:rPr>
                <w:rFonts w:ascii="Arial" w:eastAsia="Arial" w:hAnsi="Arial" w:cs="Arial"/>
                <w:b/>
              </w:rPr>
              <w:t>0.38</w:t>
            </w:r>
          </w:p>
        </w:tc>
        <w:tc>
          <w:tcPr>
            <w:tcW w:w="966" w:type="dxa"/>
            <w:tcBorders>
              <w:top w:val="single" w:sz="4" w:space="0" w:color="000000"/>
              <w:bottom w:val="single" w:sz="18" w:space="0" w:color="000000"/>
            </w:tcBorders>
          </w:tcPr>
          <w:p w14:paraId="34853A3A" w14:textId="77777777" w:rsidR="00930640" w:rsidRPr="006E7CEA" w:rsidRDefault="00930640" w:rsidP="00E16885">
            <w:pPr>
              <w:jc w:val="center"/>
              <w:rPr>
                <w:rFonts w:ascii="Arial" w:eastAsia="Arial" w:hAnsi="Arial" w:cs="Arial"/>
                <w:b/>
              </w:rPr>
            </w:pPr>
            <w:r>
              <w:rPr>
                <w:rFonts w:ascii="Arial" w:eastAsia="Arial" w:hAnsi="Arial" w:cs="Arial"/>
                <w:b/>
              </w:rPr>
              <w:t>4.23</w:t>
            </w:r>
          </w:p>
        </w:tc>
        <w:tc>
          <w:tcPr>
            <w:tcW w:w="2200" w:type="dxa"/>
            <w:gridSpan w:val="3"/>
            <w:tcBorders>
              <w:top w:val="single" w:sz="4" w:space="0" w:color="000000"/>
              <w:bottom w:val="single" w:sz="18" w:space="0" w:color="000000"/>
            </w:tcBorders>
          </w:tcPr>
          <w:p w14:paraId="76178514" w14:textId="77777777" w:rsidR="00930640" w:rsidRPr="00F7143C" w:rsidRDefault="00930640" w:rsidP="00E16885">
            <w:pPr>
              <w:jc w:val="center"/>
              <w:rPr>
                <w:rFonts w:ascii="Arial" w:eastAsia="Arial" w:hAnsi="Arial" w:cs="Arial"/>
                <w:b/>
                <w:bCs/>
              </w:rPr>
            </w:pPr>
            <w:r w:rsidRPr="00804F23">
              <w:rPr>
                <w:rFonts w:ascii="Arial" w:eastAsia="Arial" w:hAnsi="Arial" w:cs="Arial"/>
                <w:b/>
                <w:bCs/>
              </w:rPr>
              <w:t>Very High</w:t>
            </w:r>
          </w:p>
        </w:tc>
      </w:tr>
    </w:tbl>
    <w:p w14:paraId="691E3ED4" w14:textId="77777777" w:rsidR="00930640" w:rsidRDefault="00930640" w:rsidP="003248E3">
      <w:pPr>
        <w:jc w:val="both"/>
        <w:rPr>
          <w:rFonts w:ascii="Arial" w:hAnsi="Arial" w:cs="Arial"/>
        </w:rPr>
      </w:pPr>
    </w:p>
    <w:p w14:paraId="05EF1005" w14:textId="654DBE94" w:rsidR="00930640" w:rsidRDefault="00930640" w:rsidP="00930640">
      <w:pPr>
        <w:jc w:val="both"/>
        <w:rPr>
          <w:rFonts w:ascii="Arial" w:hAnsi="Arial" w:cs="Arial"/>
        </w:rPr>
      </w:pPr>
      <w:r w:rsidRPr="00930640">
        <w:rPr>
          <w:rFonts w:ascii="Arial" w:hAnsi="Arial" w:cs="Arial"/>
        </w:rPr>
        <w:t xml:space="preserve">Presented in Table </w:t>
      </w:r>
      <w:r>
        <w:rPr>
          <w:rFonts w:ascii="Arial" w:hAnsi="Arial" w:cs="Arial"/>
        </w:rPr>
        <w:t>1</w:t>
      </w:r>
      <w:r w:rsidRPr="00930640">
        <w:rPr>
          <w:rFonts w:ascii="Arial" w:hAnsi="Arial" w:cs="Arial"/>
        </w:rPr>
        <w:t xml:space="preserve"> is the level of workstation challenges among public elementary school teachers. The table includes the domains of planning, motivation, communication, and evaluation, based on the computed mean scores and standard deviations. The domain communication recorded the highest mean of 4.48, categorized as very high. This was followed by motivation, with a mean of 4.30, also categorized as very high. The domain planning had a mean of 4.12, categorized as high. The domain evaluation recorded the lowest mean of 4.03, categorized as high. The overall mean score of 4.23, described as very high, reflects a generally strong level of workstation challenges across all domains. The overall standard deviation of 0.38 suggests that responses were highly consistent, with most ratings closely clustered around the mean.</w:t>
      </w:r>
    </w:p>
    <w:p w14:paraId="40CE8F08" w14:textId="77777777" w:rsidR="00930640" w:rsidRPr="00930640" w:rsidRDefault="00930640" w:rsidP="00930640">
      <w:pPr>
        <w:jc w:val="both"/>
        <w:rPr>
          <w:rFonts w:ascii="Arial" w:hAnsi="Arial" w:cs="Arial"/>
        </w:rPr>
      </w:pPr>
    </w:p>
    <w:p w14:paraId="6025C581" w14:textId="3F464D55" w:rsidR="00652FDB" w:rsidRDefault="00930640" w:rsidP="00930640">
      <w:pPr>
        <w:jc w:val="both"/>
        <w:rPr>
          <w:rFonts w:ascii="Arial" w:hAnsi="Arial" w:cs="Arial"/>
        </w:rPr>
      </w:pPr>
      <w:r w:rsidRPr="00930640">
        <w:rPr>
          <w:rFonts w:ascii="Arial" w:hAnsi="Arial" w:cs="Arial"/>
        </w:rPr>
        <w:t>This finding implies that public elementary school teachers generally face high workstation challenges, with a strong capacity to manage and address them effectively. The consistently high ratings across the domains indicate that teachers are well-equipped to handle the various challenges in their professional environment, demonstrating a high level of adaptability and commitment to their roles.</w:t>
      </w:r>
    </w:p>
    <w:p w14:paraId="0F448DF7" w14:textId="77777777" w:rsidR="004A58AC" w:rsidRDefault="004A58AC" w:rsidP="00930640">
      <w:pPr>
        <w:jc w:val="both"/>
        <w:rPr>
          <w:rFonts w:ascii="Arial" w:hAnsi="Arial" w:cs="Arial"/>
        </w:rPr>
      </w:pPr>
    </w:p>
    <w:p w14:paraId="44DB0393" w14:textId="79632A7E" w:rsidR="00930640" w:rsidRDefault="004A58AC" w:rsidP="00930640">
      <w:pPr>
        <w:jc w:val="both"/>
        <w:rPr>
          <w:rFonts w:ascii="Arial" w:hAnsi="Arial" w:cs="Arial"/>
        </w:rPr>
      </w:pPr>
      <w:r w:rsidRPr="004A58AC">
        <w:rPr>
          <w:rFonts w:ascii="Arial" w:hAnsi="Arial" w:cs="Arial"/>
        </w:rPr>
        <w:t xml:space="preserve">This finding is consistent with the research of Gundersen et al. (2019), who emphasized that strong workstation challenges among teachers often drive the need for greater adaptability and innovation in the classroom. Their study found that teachers facing significant challenges in managing their workstations tend to develop more creative problem-solving skills and improve their classroom management strategies. Similarly, </w:t>
      </w:r>
      <w:proofErr w:type="spellStart"/>
      <w:r w:rsidRPr="004A58AC">
        <w:rPr>
          <w:rFonts w:ascii="Arial" w:hAnsi="Arial" w:cs="Arial"/>
        </w:rPr>
        <w:t>Ihua</w:t>
      </w:r>
      <w:proofErr w:type="spellEnd"/>
      <w:r w:rsidRPr="004A58AC">
        <w:rPr>
          <w:rFonts w:ascii="Arial" w:hAnsi="Arial" w:cs="Arial"/>
        </w:rPr>
        <w:t>-Jonathan (2023) argued that strong workstation challenges can encourage teachers to seek more effective organizational tools and techniques, leading to enhanced classroom efficiency and productivity. Additionally, Scherer et al. (2020), teachers who experience strong workstation challenges are more likely to improve their communication and decision-making skills, as they constantly assess and respond to evolving classroom dynamics.</w:t>
      </w:r>
    </w:p>
    <w:p w14:paraId="778DAEBB" w14:textId="77777777" w:rsidR="00930640" w:rsidRDefault="00930640" w:rsidP="00930640">
      <w:pPr>
        <w:jc w:val="both"/>
        <w:rPr>
          <w:rFonts w:ascii="Arial" w:hAnsi="Arial" w:cs="Arial"/>
        </w:rPr>
      </w:pPr>
    </w:p>
    <w:p w14:paraId="73523F39" w14:textId="143CC2A2" w:rsidR="00717F2E" w:rsidRDefault="003016CA" w:rsidP="00652FDB">
      <w:pPr>
        <w:jc w:val="both"/>
        <w:rPr>
          <w:rFonts w:ascii="Arial" w:hAnsi="Arial" w:cs="Arial"/>
          <w:b/>
        </w:rPr>
      </w:pPr>
      <w:r>
        <w:rPr>
          <w:rFonts w:ascii="Arial" w:hAnsi="Arial" w:cs="Arial"/>
          <w:b/>
        </w:rPr>
        <w:t xml:space="preserve">3.2 </w:t>
      </w:r>
      <w:r w:rsidR="00930640" w:rsidRPr="00930640">
        <w:rPr>
          <w:rFonts w:ascii="Arial" w:hAnsi="Arial" w:cs="Arial"/>
          <w:b/>
        </w:rPr>
        <w:t>Level of Occupational Flexibility among Public Elementary School Teachers</w:t>
      </w:r>
    </w:p>
    <w:p w14:paraId="55F82C25" w14:textId="77777777" w:rsidR="0073677C" w:rsidRDefault="0073677C" w:rsidP="00781D5E">
      <w:pPr>
        <w:jc w:val="both"/>
        <w:rPr>
          <w:rFonts w:ascii="Arial" w:hAnsi="Arial" w:cs="Arial"/>
        </w:rPr>
      </w:pPr>
    </w:p>
    <w:p w14:paraId="58FA531C" w14:textId="7DE8C004" w:rsidR="00781D5E" w:rsidRDefault="003016CA"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930640" w:rsidRPr="00930640">
        <w:rPr>
          <w:rFonts w:ascii="Arial" w:hAnsi="Arial" w:cs="Arial"/>
          <w:i/>
        </w:rPr>
        <w:t>Level of Occupational Flexibility among Public Elementary School Teachers</w:t>
      </w:r>
    </w:p>
    <w:p w14:paraId="730FF3B4" w14:textId="77777777" w:rsidR="00930640" w:rsidRDefault="00930640" w:rsidP="0073677C">
      <w:pPr>
        <w:jc w:val="both"/>
        <w:rPr>
          <w:rFonts w:ascii="Arial" w:hAnsi="Arial" w:cs="Arial"/>
        </w:rPr>
      </w:pPr>
    </w:p>
    <w:tbl>
      <w:tblPr>
        <w:tblW w:w="8044"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070"/>
        <w:gridCol w:w="39"/>
        <w:gridCol w:w="820"/>
        <w:gridCol w:w="950"/>
        <w:gridCol w:w="19"/>
        <w:gridCol w:w="2136"/>
        <w:gridCol w:w="10"/>
      </w:tblGrid>
      <w:tr w:rsidR="00930640" w:rsidRPr="006E7CEA" w14:paraId="405CB901" w14:textId="77777777" w:rsidTr="00930640">
        <w:trPr>
          <w:gridAfter w:val="1"/>
          <w:wAfter w:w="10" w:type="dxa"/>
          <w:trHeight w:val="39"/>
        </w:trPr>
        <w:tc>
          <w:tcPr>
            <w:tcW w:w="4109" w:type="dxa"/>
            <w:gridSpan w:val="2"/>
            <w:tcBorders>
              <w:top w:val="single" w:sz="18" w:space="0" w:color="000000"/>
              <w:bottom w:val="single" w:sz="4" w:space="0" w:color="000000"/>
            </w:tcBorders>
          </w:tcPr>
          <w:p w14:paraId="030E7148" w14:textId="77777777" w:rsidR="00930640" w:rsidRPr="006E7CEA" w:rsidRDefault="00930640" w:rsidP="00E16885">
            <w:pPr>
              <w:jc w:val="center"/>
              <w:rPr>
                <w:rFonts w:ascii="Arial" w:eastAsia="Arial" w:hAnsi="Arial" w:cs="Arial"/>
                <w:b/>
              </w:rPr>
            </w:pPr>
            <w:r w:rsidRPr="006E7CEA">
              <w:rPr>
                <w:rFonts w:ascii="Arial" w:eastAsia="Arial" w:hAnsi="Arial" w:cs="Arial"/>
                <w:b/>
              </w:rPr>
              <w:t>Domains</w:t>
            </w:r>
          </w:p>
        </w:tc>
        <w:tc>
          <w:tcPr>
            <w:tcW w:w="820" w:type="dxa"/>
            <w:tcBorders>
              <w:top w:val="single" w:sz="18" w:space="0" w:color="000000"/>
              <w:bottom w:val="single" w:sz="4" w:space="0" w:color="000000"/>
            </w:tcBorders>
          </w:tcPr>
          <w:p w14:paraId="5C1C78DF" w14:textId="77777777" w:rsidR="00930640" w:rsidRPr="006E7CEA" w:rsidRDefault="00930640" w:rsidP="00E16885">
            <w:pPr>
              <w:jc w:val="center"/>
              <w:rPr>
                <w:rFonts w:ascii="Arial" w:eastAsia="Arial" w:hAnsi="Arial" w:cs="Arial"/>
                <w:b/>
              </w:rPr>
            </w:pPr>
            <w:r w:rsidRPr="006E7CEA">
              <w:rPr>
                <w:rFonts w:ascii="Arial" w:eastAsia="Arial" w:hAnsi="Arial" w:cs="Arial"/>
                <w:b/>
              </w:rPr>
              <w:t>SD</w:t>
            </w:r>
          </w:p>
        </w:tc>
        <w:tc>
          <w:tcPr>
            <w:tcW w:w="969" w:type="dxa"/>
            <w:gridSpan w:val="2"/>
            <w:tcBorders>
              <w:top w:val="single" w:sz="18" w:space="0" w:color="000000"/>
              <w:bottom w:val="single" w:sz="4" w:space="0" w:color="000000"/>
            </w:tcBorders>
          </w:tcPr>
          <w:p w14:paraId="4B55F92D" w14:textId="77777777" w:rsidR="00930640" w:rsidRPr="006E7CEA" w:rsidRDefault="00930640" w:rsidP="00E16885">
            <w:pPr>
              <w:jc w:val="center"/>
              <w:rPr>
                <w:rFonts w:ascii="Arial" w:eastAsia="Arial" w:hAnsi="Arial" w:cs="Arial"/>
                <w:b/>
              </w:rPr>
            </w:pPr>
            <w:r w:rsidRPr="006E7CEA">
              <w:rPr>
                <w:rFonts w:ascii="Arial" w:eastAsia="Arial" w:hAnsi="Arial" w:cs="Arial"/>
                <w:b/>
              </w:rPr>
              <w:t>Mean</w:t>
            </w:r>
          </w:p>
        </w:tc>
        <w:tc>
          <w:tcPr>
            <w:tcW w:w="2136" w:type="dxa"/>
            <w:tcBorders>
              <w:top w:val="single" w:sz="18" w:space="0" w:color="000000"/>
              <w:bottom w:val="single" w:sz="4" w:space="0" w:color="000000"/>
            </w:tcBorders>
          </w:tcPr>
          <w:p w14:paraId="3C450EFC" w14:textId="77777777" w:rsidR="00930640" w:rsidRPr="006E7CEA" w:rsidRDefault="00930640" w:rsidP="00E16885">
            <w:pPr>
              <w:jc w:val="center"/>
              <w:rPr>
                <w:rFonts w:ascii="Arial" w:eastAsia="Arial" w:hAnsi="Arial" w:cs="Arial"/>
                <w:b/>
              </w:rPr>
            </w:pPr>
            <w:r w:rsidRPr="006E7CEA">
              <w:rPr>
                <w:rFonts w:ascii="Arial" w:eastAsia="Arial" w:hAnsi="Arial" w:cs="Arial"/>
                <w:b/>
              </w:rPr>
              <w:t>Descriptive Level</w:t>
            </w:r>
          </w:p>
        </w:tc>
      </w:tr>
      <w:tr w:rsidR="00930640" w:rsidRPr="006E7CEA" w14:paraId="4D2A55CA" w14:textId="77777777" w:rsidTr="00930640">
        <w:trPr>
          <w:gridAfter w:val="1"/>
          <w:wAfter w:w="10" w:type="dxa"/>
          <w:trHeight w:val="311"/>
        </w:trPr>
        <w:tc>
          <w:tcPr>
            <w:tcW w:w="4109" w:type="dxa"/>
            <w:gridSpan w:val="2"/>
            <w:tcBorders>
              <w:top w:val="single" w:sz="4" w:space="0" w:color="000000"/>
            </w:tcBorders>
          </w:tcPr>
          <w:p w14:paraId="403244F0"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Confidence</w:t>
            </w:r>
          </w:p>
        </w:tc>
        <w:tc>
          <w:tcPr>
            <w:tcW w:w="820" w:type="dxa"/>
            <w:tcBorders>
              <w:top w:val="single" w:sz="4" w:space="0" w:color="000000"/>
            </w:tcBorders>
          </w:tcPr>
          <w:p w14:paraId="638B8267" w14:textId="77777777" w:rsidR="00930640" w:rsidRPr="006E7CEA" w:rsidRDefault="00930640" w:rsidP="00E16885">
            <w:pPr>
              <w:jc w:val="center"/>
              <w:rPr>
                <w:rFonts w:ascii="Arial" w:eastAsia="Arial" w:hAnsi="Arial" w:cs="Arial"/>
              </w:rPr>
            </w:pPr>
            <w:r>
              <w:rPr>
                <w:rFonts w:ascii="Arial" w:eastAsia="Arial" w:hAnsi="Arial" w:cs="Arial"/>
              </w:rPr>
              <w:t>0.40</w:t>
            </w:r>
          </w:p>
        </w:tc>
        <w:tc>
          <w:tcPr>
            <w:tcW w:w="969" w:type="dxa"/>
            <w:gridSpan w:val="2"/>
            <w:tcBorders>
              <w:top w:val="single" w:sz="4" w:space="0" w:color="000000"/>
            </w:tcBorders>
          </w:tcPr>
          <w:p w14:paraId="7A1693BD" w14:textId="77777777" w:rsidR="00930640" w:rsidRPr="006E7CEA" w:rsidRDefault="00930640" w:rsidP="00E16885">
            <w:pPr>
              <w:jc w:val="center"/>
              <w:rPr>
                <w:rFonts w:ascii="Arial" w:eastAsia="Arial" w:hAnsi="Arial" w:cs="Arial"/>
              </w:rPr>
            </w:pPr>
            <w:r>
              <w:rPr>
                <w:rFonts w:ascii="Arial" w:eastAsia="Arial" w:hAnsi="Arial" w:cs="Arial"/>
              </w:rPr>
              <w:t>4.12</w:t>
            </w:r>
          </w:p>
        </w:tc>
        <w:tc>
          <w:tcPr>
            <w:tcW w:w="2136" w:type="dxa"/>
            <w:tcBorders>
              <w:top w:val="single" w:sz="4" w:space="0" w:color="000000"/>
            </w:tcBorders>
          </w:tcPr>
          <w:p w14:paraId="4F2EB032"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03D5DA9C" w14:textId="77777777" w:rsidTr="00930640">
        <w:trPr>
          <w:gridAfter w:val="1"/>
          <w:wAfter w:w="10" w:type="dxa"/>
          <w:trHeight w:val="323"/>
        </w:trPr>
        <w:tc>
          <w:tcPr>
            <w:tcW w:w="4109" w:type="dxa"/>
            <w:gridSpan w:val="2"/>
          </w:tcPr>
          <w:p w14:paraId="6C2A083D"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Outlook</w:t>
            </w:r>
          </w:p>
        </w:tc>
        <w:tc>
          <w:tcPr>
            <w:tcW w:w="820" w:type="dxa"/>
          </w:tcPr>
          <w:p w14:paraId="238AEE8B" w14:textId="77777777" w:rsidR="00930640" w:rsidRPr="006E7CEA" w:rsidRDefault="00930640" w:rsidP="00E16885">
            <w:pPr>
              <w:jc w:val="center"/>
              <w:rPr>
                <w:rFonts w:ascii="Arial" w:eastAsia="Arial" w:hAnsi="Arial" w:cs="Arial"/>
              </w:rPr>
            </w:pPr>
            <w:r>
              <w:rPr>
                <w:rFonts w:ascii="Arial" w:eastAsia="Arial" w:hAnsi="Arial" w:cs="Arial"/>
              </w:rPr>
              <w:t>0.28</w:t>
            </w:r>
          </w:p>
        </w:tc>
        <w:tc>
          <w:tcPr>
            <w:tcW w:w="969" w:type="dxa"/>
            <w:gridSpan w:val="2"/>
          </w:tcPr>
          <w:p w14:paraId="23EE1101" w14:textId="77777777" w:rsidR="00930640" w:rsidRPr="006E7CEA" w:rsidRDefault="00930640" w:rsidP="00E16885">
            <w:pPr>
              <w:jc w:val="center"/>
              <w:rPr>
                <w:rFonts w:ascii="Arial" w:eastAsia="Arial" w:hAnsi="Arial" w:cs="Arial"/>
              </w:rPr>
            </w:pPr>
            <w:r>
              <w:rPr>
                <w:rFonts w:ascii="Arial" w:eastAsia="Arial" w:hAnsi="Arial" w:cs="Arial"/>
              </w:rPr>
              <w:t>3.96</w:t>
            </w:r>
          </w:p>
        </w:tc>
        <w:tc>
          <w:tcPr>
            <w:tcW w:w="2136" w:type="dxa"/>
          </w:tcPr>
          <w:p w14:paraId="7F0F2A47"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1B8443AC" w14:textId="77777777" w:rsidTr="00930640">
        <w:trPr>
          <w:gridAfter w:val="1"/>
          <w:wAfter w:w="10" w:type="dxa"/>
          <w:trHeight w:val="323"/>
        </w:trPr>
        <w:tc>
          <w:tcPr>
            <w:tcW w:w="4109" w:type="dxa"/>
            <w:gridSpan w:val="2"/>
          </w:tcPr>
          <w:p w14:paraId="3E304D0B"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Emotions</w:t>
            </w:r>
          </w:p>
        </w:tc>
        <w:tc>
          <w:tcPr>
            <w:tcW w:w="820" w:type="dxa"/>
          </w:tcPr>
          <w:p w14:paraId="5E086594" w14:textId="77777777" w:rsidR="00930640" w:rsidRPr="006E7CEA" w:rsidRDefault="00930640" w:rsidP="00E16885">
            <w:pPr>
              <w:jc w:val="center"/>
              <w:rPr>
                <w:rFonts w:ascii="Arial" w:eastAsia="Arial" w:hAnsi="Arial" w:cs="Arial"/>
              </w:rPr>
            </w:pPr>
            <w:r>
              <w:rPr>
                <w:rFonts w:ascii="Arial" w:eastAsia="Arial" w:hAnsi="Arial" w:cs="Arial"/>
              </w:rPr>
              <w:t>0.31</w:t>
            </w:r>
          </w:p>
        </w:tc>
        <w:tc>
          <w:tcPr>
            <w:tcW w:w="969" w:type="dxa"/>
            <w:gridSpan w:val="2"/>
          </w:tcPr>
          <w:p w14:paraId="032DBCA8" w14:textId="77777777" w:rsidR="00930640" w:rsidRPr="006E7CEA" w:rsidRDefault="00930640" w:rsidP="00E16885">
            <w:pPr>
              <w:jc w:val="center"/>
              <w:rPr>
                <w:rFonts w:ascii="Arial" w:eastAsia="Arial" w:hAnsi="Arial" w:cs="Arial"/>
              </w:rPr>
            </w:pPr>
            <w:r>
              <w:rPr>
                <w:rFonts w:ascii="Arial" w:eastAsia="Arial" w:hAnsi="Arial" w:cs="Arial"/>
              </w:rPr>
              <w:t>4.03</w:t>
            </w:r>
          </w:p>
        </w:tc>
        <w:tc>
          <w:tcPr>
            <w:tcW w:w="2136" w:type="dxa"/>
          </w:tcPr>
          <w:p w14:paraId="0CAB1D00"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48174B0A" w14:textId="77777777" w:rsidTr="00930640">
        <w:trPr>
          <w:gridAfter w:val="1"/>
          <w:wAfter w:w="10" w:type="dxa"/>
          <w:trHeight w:val="323"/>
        </w:trPr>
        <w:tc>
          <w:tcPr>
            <w:tcW w:w="4109" w:type="dxa"/>
            <w:gridSpan w:val="2"/>
          </w:tcPr>
          <w:p w14:paraId="3C24F092" w14:textId="77777777" w:rsidR="00930640" w:rsidRPr="006E7CEA" w:rsidRDefault="00930640" w:rsidP="00E16885">
            <w:pPr>
              <w:widowControl w:val="0"/>
              <w:pBdr>
                <w:top w:val="nil"/>
                <w:left w:val="nil"/>
                <w:bottom w:val="nil"/>
                <w:right w:val="nil"/>
                <w:between w:val="nil"/>
              </w:pBdr>
              <w:jc w:val="center"/>
              <w:rPr>
                <w:rFonts w:ascii="Arial" w:eastAsia="Arial" w:hAnsi="Arial" w:cs="Arial"/>
              </w:rPr>
            </w:pPr>
            <w:r>
              <w:rPr>
                <w:rFonts w:ascii="Arial" w:eastAsia="Arial" w:hAnsi="Arial" w:cs="Arial"/>
              </w:rPr>
              <w:t>Intelligence</w:t>
            </w:r>
          </w:p>
        </w:tc>
        <w:tc>
          <w:tcPr>
            <w:tcW w:w="820" w:type="dxa"/>
          </w:tcPr>
          <w:p w14:paraId="702DEC7D" w14:textId="77777777" w:rsidR="00930640" w:rsidRPr="006E7CEA" w:rsidRDefault="00930640" w:rsidP="00E16885">
            <w:pPr>
              <w:jc w:val="center"/>
              <w:rPr>
                <w:rFonts w:ascii="Arial" w:eastAsia="Arial" w:hAnsi="Arial" w:cs="Arial"/>
              </w:rPr>
            </w:pPr>
            <w:r>
              <w:rPr>
                <w:rFonts w:ascii="Arial" w:eastAsia="Arial" w:hAnsi="Arial" w:cs="Arial"/>
              </w:rPr>
              <w:t>0.33</w:t>
            </w:r>
          </w:p>
        </w:tc>
        <w:tc>
          <w:tcPr>
            <w:tcW w:w="969" w:type="dxa"/>
            <w:gridSpan w:val="2"/>
          </w:tcPr>
          <w:p w14:paraId="2CD658AB" w14:textId="77777777" w:rsidR="00930640" w:rsidRPr="006E7CEA" w:rsidRDefault="00930640" w:rsidP="00E16885">
            <w:pPr>
              <w:jc w:val="center"/>
              <w:rPr>
                <w:rFonts w:ascii="Arial" w:eastAsia="Arial" w:hAnsi="Arial" w:cs="Arial"/>
              </w:rPr>
            </w:pPr>
            <w:r>
              <w:rPr>
                <w:rFonts w:ascii="Arial" w:eastAsia="Arial" w:hAnsi="Arial" w:cs="Arial"/>
              </w:rPr>
              <w:t>4.00</w:t>
            </w:r>
          </w:p>
        </w:tc>
        <w:tc>
          <w:tcPr>
            <w:tcW w:w="2136" w:type="dxa"/>
          </w:tcPr>
          <w:p w14:paraId="36146945" w14:textId="77777777" w:rsidR="00930640" w:rsidRPr="006E7CEA" w:rsidRDefault="00930640" w:rsidP="00E16885">
            <w:pPr>
              <w:jc w:val="center"/>
              <w:rPr>
                <w:rFonts w:ascii="Arial" w:eastAsia="Arial" w:hAnsi="Arial" w:cs="Arial"/>
              </w:rPr>
            </w:pPr>
            <w:r w:rsidRPr="00541020">
              <w:rPr>
                <w:rFonts w:ascii="Arial" w:eastAsia="Arial" w:hAnsi="Arial" w:cs="Arial"/>
              </w:rPr>
              <w:t>High</w:t>
            </w:r>
          </w:p>
        </w:tc>
      </w:tr>
      <w:tr w:rsidR="00930640" w:rsidRPr="006E7CEA" w14:paraId="07D0F75B" w14:textId="77777777" w:rsidTr="00930640">
        <w:trPr>
          <w:trHeight w:val="305"/>
        </w:trPr>
        <w:tc>
          <w:tcPr>
            <w:tcW w:w="4070" w:type="dxa"/>
            <w:tcBorders>
              <w:top w:val="single" w:sz="4" w:space="0" w:color="000000"/>
              <w:bottom w:val="single" w:sz="18" w:space="0" w:color="000000"/>
            </w:tcBorders>
          </w:tcPr>
          <w:p w14:paraId="40A6A9B5" w14:textId="77777777" w:rsidR="00930640" w:rsidRPr="006E7CEA" w:rsidRDefault="00930640" w:rsidP="00E16885">
            <w:pPr>
              <w:pBdr>
                <w:top w:val="nil"/>
                <w:left w:val="nil"/>
                <w:bottom w:val="nil"/>
                <w:right w:val="nil"/>
                <w:between w:val="nil"/>
              </w:pBdr>
              <w:jc w:val="center"/>
              <w:rPr>
                <w:rFonts w:ascii="Arial" w:eastAsia="Arial" w:hAnsi="Arial" w:cs="Arial"/>
                <w:b/>
                <w:color w:val="000000"/>
              </w:rPr>
            </w:pPr>
            <w:r w:rsidRPr="006E7CEA">
              <w:rPr>
                <w:rFonts w:ascii="Arial" w:eastAsia="Arial" w:hAnsi="Arial" w:cs="Arial"/>
                <w:b/>
                <w:color w:val="000000"/>
              </w:rPr>
              <w:t>Overall</w:t>
            </w:r>
          </w:p>
        </w:tc>
        <w:tc>
          <w:tcPr>
            <w:tcW w:w="859" w:type="dxa"/>
            <w:gridSpan w:val="2"/>
            <w:tcBorders>
              <w:top w:val="single" w:sz="4" w:space="0" w:color="000000"/>
              <w:bottom w:val="single" w:sz="18" w:space="0" w:color="000000"/>
            </w:tcBorders>
          </w:tcPr>
          <w:p w14:paraId="54C94DE2" w14:textId="77777777" w:rsidR="00930640" w:rsidRPr="006E7CEA" w:rsidRDefault="00930640" w:rsidP="00E16885">
            <w:pPr>
              <w:jc w:val="center"/>
              <w:rPr>
                <w:rFonts w:ascii="Arial" w:eastAsia="Arial" w:hAnsi="Arial" w:cs="Arial"/>
                <w:b/>
              </w:rPr>
            </w:pPr>
            <w:r>
              <w:rPr>
                <w:rFonts w:ascii="Arial" w:eastAsia="Arial" w:hAnsi="Arial" w:cs="Arial"/>
                <w:b/>
              </w:rPr>
              <w:t>0.40</w:t>
            </w:r>
          </w:p>
        </w:tc>
        <w:tc>
          <w:tcPr>
            <w:tcW w:w="950" w:type="dxa"/>
            <w:tcBorders>
              <w:top w:val="single" w:sz="4" w:space="0" w:color="000000"/>
              <w:bottom w:val="single" w:sz="18" w:space="0" w:color="000000"/>
            </w:tcBorders>
          </w:tcPr>
          <w:p w14:paraId="49BDBBBB" w14:textId="77777777" w:rsidR="00930640" w:rsidRPr="006E7CEA" w:rsidRDefault="00930640" w:rsidP="00E16885">
            <w:pPr>
              <w:jc w:val="center"/>
              <w:rPr>
                <w:rFonts w:ascii="Arial" w:eastAsia="Arial" w:hAnsi="Arial" w:cs="Arial"/>
                <w:b/>
              </w:rPr>
            </w:pPr>
            <w:r>
              <w:rPr>
                <w:rFonts w:ascii="Arial" w:eastAsia="Arial" w:hAnsi="Arial" w:cs="Arial"/>
                <w:b/>
              </w:rPr>
              <w:t>3.92</w:t>
            </w:r>
          </w:p>
        </w:tc>
        <w:tc>
          <w:tcPr>
            <w:tcW w:w="2165" w:type="dxa"/>
            <w:gridSpan w:val="3"/>
            <w:tcBorders>
              <w:top w:val="single" w:sz="4" w:space="0" w:color="000000"/>
              <w:bottom w:val="single" w:sz="18" w:space="0" w:color="000000"/>
            </w:tcBorders>
          </w:tcPr>
          <w:p w14:paraId="0ED7CC9A" w14:textId="77777777" w:rsidR="00930640" w:rsidRPr="00F7143C" w:rsidRDefault="00930640" w:rsidP="00E16885">
            <w:pPr>
              <w:jc w:val="center"/>
              <w:rPr>
                <w:rFonts w:ascii="Arial" w:eastAsia="Arial" w:hAnsi="Arial" w:cs="Arial"/>
                <w:b/>
                <w:bCs/>
              </w:rPr>
            </w:pPr>
            <w:r w:rsidRPr="00F7143C">
              <w:rPr>
                <w:rFonts w:ascii="Arial" w:eastAsia="Arial" w:hAnsi="Arial" w:cs="Arial"/>
                <w:b/>
                <w:bCs/>
              </w:rPr>
              <w:t>High</w:t>
            </w:r>
          </w:p>
        </w:tc>
      </w:tr>
    </w:tbl>
    <w:p w14:paraId="21ED3F61" w14:textId="77777777" w:rsidR="0073677C" w:rsidRDefault="0073677C" w:rsidP="0073677C">
      <w:pPr>
        <w:jc w:val="both"/>
        <w:rPr>
          <w:rFonts w:ascii="Arial" w:hAnsi="Arial" w:cs="Arial"/>
        </w:rPr>
      </w:pPr>
    </w:p>
    <w:p w14:paraId="10FDED4D" w14:textId="65E704C8" w:rsidR="00930640" w:rsidRDefault="00930640" w:rsidP="00930640">
      <w:pPr>
        <w:jc w:val="both"/>
        <w:rPr>
          <w:rFonts w:ascii="Arial" w:hAnsi="Arial" w:cs="Arial"/>
        </w:rPr>
      </w:pPr>
      <w:r w:rsidRPr="00930640">
        <w:rPr>
          <w:rFonts w:ascii="Arial" w:hAnsi="Arial" w:cs="Arial"/>
        </w:rPr>
        <w:t xml:space="preserve">Presented in Table </w:t>
      </w:r>
      <w:r>
        <w:rPr>
          <w:rFonts w:ascii="Arial" w:hAnsi="Arial" w:cs="Arial"/>
        </w:rPr>
        <w:t>2</w:t>
      </w:r>
      <w:r w:rsidRPr="00930640">
        <w:rPr>
          <w:rFonts w:ascii="Arial" w:hAnsi="Arial" w:cs="Arial"/>
        </w:rPr>
        <w:t xml:space="preserve"> is the domains in the level of occupational flexibility among public elementary school teachers. The table includes the domains of confidence, outlook, emotions, </w:t>
      </w:r>
      <w:r w:rsidRPr="00930640">
        <w:rPr>
          <w:rFonts w:ascii="Arial" w:hAnsi="Arial" w:cs="Arial"/>
        </w:rPr>
        <w:lastRenderedPageBreak/>
        <w:t>and intelligence, based on the computed mean scores and standard deviations. The domain confidence recorded the highest mean of 4.12, categorized as high. This was followed by emotions, with a mean of 4.03, categorized as high. The domain intelligence had a mean of 4.00, also categorized as high. The domain outlook recorded the lowest mean of 3.96, categorized as high. The overall mean score of 3.92, described as high, reflects a generally strong level of occupational flexibility across all domains. The overall standard deviation of 0.40 suggests that responses were moderately consistent, with most ratings closely clustered around the mean.</w:t>
      </w:r>
    </w:p>
    <w:p w14:paraId="39A197B3" w14:textId="77777777" w:rsidR="00930640" w:rsidRPr="00930640" w:rsidRDefault="00930640" w:rsidP="00930640">
      <w:pPr>
        <w:jc w:val="both"/>
        <w:rPr>
          <w:rFonts w:ascii="Arial" w:hAnsi="Arial" w:cs="Arial"/>
        </w:rPr>
      </w:pPr>
    </w:p>
    <w:p w14:paraId="356E28B0" w14:textId="78855B2A" w:rsidR="00DC6178" w:rsidRDefault="00930640" w:rsidP="00930640">
      <w:pPr>
        <w:jc w:val="both"/>
        <w:rPr>
          <w:rFonts w:ascii="Arial" w:hAnsi="Arial" w:cs="Arial"/>
        </w:rPr>
      </w:pPr>
      <w:r w:rsidRPr="00930640">
        <w:rPr>
          <w:rFonts w:ascii="Arial" w:hAnsi="Arial" w:cs="Arial"/>
        </w:rPr>
        <w:t>This finding implies that public elementary school teachers consistently demonstrate strong levels of occupational flexibility, particularly in the areas of confidence and emotions. The results highlight the importance of having a positive outlook and emotional intelligence, as well as the ability to confidently navigate the challenges within their professional roles. These perceptions underscore the teachers' commitment to personal and professional growth, helping them adapt to varying demands and maintain a positive and flexible approach to their teaching environments.</w:t>
      </w:r>
    </w:p>
    <w:p w14:paraId="14AA066C" w14:textId="77777777" w:rsidR="00930640" w:rsidRDefault="00930640" w:rsidP="00930640">
      <w:pPr>
        <w:jc w:val="both"/>
        <w:rPr>
          <w:rFonts w:ascii="Arial" w:hAnsi="Arial" w:cs="Arial"/>
        </w:rPr>
      </w:pPr>
    </w:p>
    <w:p w14:paraId="62C114B3" w14:textId="52C106DA" w:rsidR="004A58AC" w:rsidRDefault="004A58AC" w:rsidP="00930640">
      <w:pPr>
        <w:jc w:val="both"/>
        <w:rPr>
          <w:rFonts w:ascii="Arial" w:hAnsi="Arial" w:cs="Arial"/>
        </w:rPr>
      </w:pPr>
      <w:r w:rsidRPr="004A58AC">
        <w:rPr>
          <w:rFonts w:ascii="Arial" w:hAnsi="Arial" w:cs="Arial"/>
        </w:rPr>
        <w:t xml:space="preserve">This finding is in line with the research of Niemi (2021), who highlighted that high occupational flexibility among teachers is crucial for adapting to changing classroom environments and addressing diverse student needs. Their study found that teachers with high occupational flexibility are more capable of adjusting their teaching strategies, managing diverse learning styles, and navigating unexpected challenges in the classroom. Similarly, Farmer et al. (2019) argued that teachers who possess high occupational flexibility can foster a more inclusive and dynamic classroom, where both students and teachers thrive in a constantly evolving environment. Additionally, </w:t>
      </w:r>
      <w:proofErr w:type="spellStart"/>
      <w:r w:rsidRPr="004A58AC">
        <w:rPr>
          <w:rFonts w:ascii="Arial" w:hAnsi="Arial" w:cs="Arial"/>
        </w:rPr>
        <w:t>Blömeke</w:t>
      </w:r>
      <w:proofErr w:type="spellEnd"/>
      <w:r w:rsidRPr="004A58AC">
        <w:rPr>
          <w:rFonts w:ascii="Arial" w:hAnsi="Arial" w:cs="Arial"/>
        </w:rPr>
        <w:t xml:space="preserve"> et al. (2021), teachers with high occupational flexibility are better equipped to work collaboratively with colleagues, integrate new technologies, and maintain a positive and productive classroom atmosphere.</w:t>
      </w:r>
    </w:p>
    <w:p w14:paraId="52B6D68F" w14:textId="77777777" w:rsidR="00930640" w:rsidRDefault="00930640" w:rsidP="00930640">
      <w:pPr>
        <w:jc w:val="both"/>
        <w:rPr>
          <w:rFonts w:ascii="Arial" w:hAnsi="Arial" w:cs="Arial"/>
        </w:rPr>
      </w:pPr>
    </w:p>
    <w:p w14:paraId="59320546" w14:textId="102EAEF2" w:rsidR="00717F2E" w:rsidRDefault="00781D5E" w:rsidP="00796B7D">
      <w:pPr>
        <w:jc w:val="both"/>
        <w:rPr>
          <w:rFonts w:ascii="Arial" w:hAnsi="Arial" w:cs="Arial"/>
          <w:b/>
          <w:bCs/>
          <w:iCs/>
        </w:rPr>
      </w:pPr>
      <w:r>
        <w:rPr>
          <w:rFonts w:ascii="Arial" w:hAnsi="Arial" w:cs="Arial"/>
          <w:b/>
          <w:bCs/>
          <w:iCs/>
        </w:rPr>
        <w:t xml:space="preserve">3.3 </w:t>
      </w:r>
      <w:r w:rsidR="00796B7D" w:rsidRPr="00796B7D">
        <w:rPr>
          <w:rFonts w:ascii="Arial" w:hAnsi="Arial" w:cs="Arial"/>
          <w:b/>
          <w:bCs/>
          <w:iCs/>
        </w:rPr>
        <w:t>Significant Relationship Between Workstation Challenges and Occupational Flexibility among Public Elementary School Teachers</w:t>
      </w:r>
    </w:p>
    <w:p w14:paraId="1295EBEE" w14:textId="77777777" w:rsidR="008204D0" w:rsidRDefault="008204D0">
      <w:pPr>
        <w:rPr>
          <w:rFonts w:ascii="Arial" w:hAnsi="Arial" w:cs="Arial"/>
          <w:iCs/>
        </w:rPr>
      </w:pPr>
    </w:p>
    <w:p w14:paraId="7E2C54BF" w14:textId="721AB2AA" w:rsidR="00781D5E" w:rsidRDefault="003016CA">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96B7D" w:rsidRPr="00796B7D">
        <w:rPr>
          <w:rFonts w:ascii="Arial" w:hAnsi="Arial" w:cs="Arial"/>
          <w:i/>
        </w:rPr>
        <w:t>Significant Relationship Between Workstation Challenges and Occupational Flexibility among Public Elementary School Teachers</w:t>
      </w:r>
    </w:p>
    <w:p w14:paraId="63DDB743" w14:textId="77777777" w:rsidR="00796B7D" w:rsidRDefault="00796B7D">
      <w:pPr>
        <w:rPr>
          <w:rFonts w:ascii="Arial" w:hAnsi="Arial" w:cs="Arial"/>
          <w:iCs/>
        </w:rPr>
      </w:pPr>
    </w:p>
    <w:tbl>
      <w:tblPr>
        <w:tblW w:w="8094"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28"/>
        <w:gridCol w:w="889"/>
        <w:gridCol w:w="797"/>
        <w:gridCol w:w="787"/>
        <w:gridCol w:w="807"/>
        <w:gridCol w:w="1397"/>
        <w:gridCol w:w="816"/>
        <w:gridCol w:w="1173"/>
      </w:tblGrid>
      <w:tr w:rsidR="00796B7D" w:rsidRPr="006E7CEA" w14:paraId="16B0F0BE" w14:textId="77777777" w:rsidTr="00796B7D">
        <w:trPr>
          <w:trHeight w:val="649"/>
        </w:trPr>
        <w:tc>
          <w:tcPr>
            <w:tcW w:w="1428" w:type="dxa"/>
            <w:tcBorders>
              <w:top w:val="single" w:sz="4" w:space="0" w:color="000000"/>
              <w:bottom w:val="single" w:sz="4" w:space="0" w:color="000000"/>
            </w:tcBorders>
          </w:tcPr>
          <w:p w14:paraId="1270CDFF" w14:textId="77777777" w:rsidR="00796B7D" w:rsidRDefault="00796B7D" w:rsidP="00E16885">
            <w:pPr>
              <w:widowControl w:val="0"/>
              <w:jc w:val="center"/>
              <w:rPr>
                <w:rFonts w:ascii="Arial" w:eastAsia="Arial" w:hAnsi="Arial" w:cs="Arial"/>
                <w:b/>
              </w:rPr>
            </w:pPr>
            <w:r w:rsidRPr="00796B7D">
              <w:rPr>
                <w:rFonts w:ascii="Arial" w:eastAsia="Arial" w:hAnsi="Arial" w:cs="Arial"/>
                <w:b/>
              </w:rPr>
              <w:t>Variables</w:t>
            </w:r>
          </w:p>
          <w:p w14:paraId="3564BC53" w14:textId="77777777" w:rsidR="00796B7D" w:rsidRPr="00796B7D" w:rsidRDefault="00796B7D" w:rsidP="00E16885">
            <w:pPr>
              <w:widowControl w:val="0"/>
              <w:jc w:val="center"/>
              <w:rPr>
                <w:rFonts w:ascii="Arial" w:eastAsia="Arial" w:hAnsi="Arial" w:cs="Arial"/>
                <w:b/>
              </w:rPr>
            </w:pPr>
          </w:p>
        </w:tc>
        <w:tc>
          <w:tcPr>
            <w:tcW w:w="889" w:type="dxa"/>
            <w:tcBorders>
              <w:top w:val="single" w:sz="4" w:space="0" w:color="000000"/>
              <w:bottom w:val="single" w:sz="4" w:space="0" w:color="000000"/>
            </w:tcBorders>
          </w:tcPr>
          <w:p w14:paraId="749981E9"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Mean</w:t>
            </w:r>
          </w:p>
        </w:tc>
        <w:tc>
          <w:tcPr>
            <w:tcW w:w="797" w:type="dxa"/>
            <w:tcBorders>
              <w:top w:val="single" w:sz="4" w:space="0" w:color="000000"/>
              <w:bottom w:val="single" w:sz="4" w:space="0" w:color="000000"/>
            </w:tcBorders>
          </w:tcPr>
          <w:p w14:paraId="4019B112"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SD</w:t>
            </w:r>
          </w:p>
        </w:tc>
        <w:tc>
          <w:tcPr>
            <w:tcW w:w="787" w:type="dxa"/>
            <w:tcBorders>
              <w:top w:val="single" w:sz="4" w:space="0" w:color="000000"/>
              <w:bottom w:val="single" w:sz="4" w:space="0" w:color="000000"/>
            </w:tcBorders>
          </w:tcPr>
          <w:p w14:paraId="34AAC8E5"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R</w:t>
            </w:r>
          </w:p>
        </w:tc>
        <w:tc>
          <w:tcPr>
            <w:tcW w:w="807" w:type="dxa"/>
            <w:tcBorders>
              <w:top w:val="single" w:sz="4" w:space="0" w:color="000000"/>
              <w:bottom w:val="single" w:sz="4" w:space="0" w:color="000000"/>
            </w:tcBorders>
          </w:tcPr>
          <w:p w14:paraId="16E9CC5D" w14:textId="77777777" w:rsidR="00796B7D" w:rsidRPr="00796B7D" w:rsidRDefault="00796B7D" w:rsidP="00E16885">
            <w:pPr>
              <w:shd w:val="clear" w:color="auto" w:fill="FFFFFF"/>
              <w:jc w:val="center"/>
              <w:rPr>
                <w:rFonts w:ascii="Arial" w:eastAsia="Arial" w:hAnsi="Arial" w:cs="Arial"/>
                <w:b/>
              </w:rPr>
            </w:pPr>
            <w:r w:rsidRPr="00796B7D">
              <w:rPr>
                <w:rFonts w:ascii="Arial" w:eastAsia="Arial" w:hAnsi="Arial" w:cs="Arial"/>
                <w:b/>
              </w:rPr>
              <w:t>R²</w:t>
            </w:r>
          </w:p>
          <w:p w14:paraId="2251D717" w14:textId="77777777" w:rsidR="00796B7D" w:rsidRPr="00796B7D" w:rsidRDefault="00796B7D" w:rsidP="00E16885">
            <w:pPr>
              <w:widowControl w:val="0"/>
              <w:jc w:val="center"/>
              <w:rPr>
                <w:rFonts w:ascii="Arial" w:eastAsia="Arial" w:hAnsi="Arial" w:cs="Arial"/>
                <w:b/>
              </w:rPr>
            </w:pPr>
          </w:p>
        </w:tc>
        <w:tc>
          <w:tcPr>
            <w:tcW w:w="1397" w:type="dxa"/>
            <w:tcBorders>
              <w:top w:val="single" w:sz="4" w:space="0" w:color="000000"/>
              <w:bottom w:val="single" w:sz="4" w:space="0" w:color="000000"/>
            </w:tcBorders>
          </w:tcPr>
          <w:p w14:paraId="38B555E3"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Degree of Relationship</w:t>
            </w:r>
          </w:p>
        </w:tc>
        <w:tc>
          <w:tcPr>
            <w:tcW w:w="816" w:type="dxa"/>
            <w:tcBorders>
              <w:top w:val="single" w:sz="4" w:space="0" w:color="000000"/>
              <w:bottom w:val="single" w:sz="4" w:space="0" w:color="000000"/>
            </w:tcBorders>
          </w:tcPr>
          <w:p w14:paraId="1FACB8B6"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p-value</w:t>
            </w:r>
          </w:p>
        </w:tc>
        <w:tc>
          <w:tcPr>
            <w:tcW w:w="1173" w:type="dxa"/>
            <w:tcBorders>
              <w:top w:val="single" w:sz="4" w:space="0" w:color="000000"/>
              <w:bottom w:val="single" w:sz="4" w:space="0" w:color="000000"/>
            </w:tcBorders>
          </w:tcPr>
          <w:p w14:paraId="4036F064" w14:textId="77777777" w:rsidR="00796B7D" w:rsidRPr="00796B7D" w:rsidRDefault="00796B7D" w:rsidP="00E16885">
            <w:pPr>
              <w:widowControl w:val="0"/>
              <w:jc w:val="center"/>
              <w:rPr>
                <w:rFonts w:ascii="Arial" w:eastAsia="Arial" w:hAnsi="Arial" w:cs="Arial"/>
                <w:b/>
              </w:rPr>
            </w:pPr>
            <w:r w:rsidRPr="00796B7D">
              <w:rPr>
                <w:rFonts w:ascii="Arial" w:eastAsia="Arial" w:hAnsi="Arial" w:cs="Arial"/>
                <w:b/>
              </w:rPr>
              <w:t>Decision</w:t>
            </w:r>
          </w:p>
        </w:tc>
      </w:tr>
      <w:tr w:rsidR="00796B7D" w:rsidRPr="006E7CEA" w14:paraId="4C634713" w14:textId="77777777" w:rsidTr="00796B7D">
        <w:trPr>
          <w:trHeight w:val="621"/>
        </w:trPr>
        <w:tc>
          <w:tcPr>
            <w:tcW w:w="1428" w:type="dxa"/>
            <w:tcBorders>
              <w:top w:val="single" w:sz="4" w:space="0" w:color="000000"/>
            </w:tcBorders>
          </w:tcPr>
          <w:p w14:paraId="1D105648"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Workstation Challenges</w:t>
            </w:r>
          </w:p>
        </w:tc>
        <w:tc>
          <w:tcPr>
            <w:tcW w:w="889" w:type="dxa"/>
            <w:tcBorders>
              <w:top w:val="single" w:sz="4" w:space="0" w:color="000000"/>
            </w:tcBorders>
          </w:tcPr>
          <w:p w14:paraId="16CAD6E9"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4.23</w:t>
            </w:r>
          </w:p>
        </w:tc>
        <w:tc>
          <w:tcPr>
            <w:tcW w:w="797" w:type="dxa"/>
            <w:tcBorders>
              <w:top w:val="single" w:sz="4" w:space="0" w:color="000000"/>
            </w:tcBorders>
          </w:tcPr>
          <w:p w14:paraId="7EA35872"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0.37</w:t>
            </w:r>
          </w:p>
        </w:tc>
        <w:tc>
          <w:tcPr>
            <w:tcW w:w="787" w:type="dxa"/>
            <w:tcBorders>
              <w:top w:val="single" w:sz="4" w:space="0" w:color="000000"/>
            </w:tcBorders>
          </w:tcPr>
          <w:p w14:paraId="5B850945" w14:textId="77777777" w:rsidR="00796B7D" w:rsidRPr="00796B7D" w:rsidRDefault="00796B7D" w:rsidP="00E16885">
            <w:pPr>
              <w:widowControl w:val="0"/>
              <w:jc w:val="center"/>
              <w:rPr>
                <w:rFonts w:ascii="Arial" w:eastAsia="Arial" w:hAnsi="Arial" w:cs="Arial"/>
              </w:rPr>
            </w:pPr>
          </w:p>
        </w:tc>
        <w:tc>
          <w:tcPr>
            <w:tcW w:w="807" w:type="dxa"/>
            <w:tcBorders>
              <w:top w:val="single" w:sz="4" w:space="0" w:color="000000"/>
            </w:tcBorders>
          </w:tcPr>
          <w:p w14:paraId="19C17FA6" w14:textId="77777777" w:rsidR="00796B7D" w:rsidRPr="00796B7D" w:rsidRDefault="00796B7D" w:rsidP="00E16885">
            <w:pPr>
              <w:widowControl w:val="0"/>
              <w:jc w:val="center"/>
              <w:rPr>
                <w:rFonts w:ascii="Arial" w:eastAsia="Arial" w:hAnsi="Arial" w:cs="Arial"/>
              </w:rPr>
            </w:pPr>
          </w:p>
        </w:tc>
        <w:tc>
          <w:tcPr>
            <w:tcW w:w="1397" w:type="dxa"/>
            <w:tcBorders>
              <w:top w:val="single" w:sz="4" w:space="0" w:color="000000"/>
            </w:tcBorders>
          </w:tcPr>
          <w:p w14:paraId="2F4AC624" w14:textId="77777777" w:rsidR="00796B7D" w:rsidRPr="00796B7D" w:rsidRDefault="00796B7D" w:rsidP="00E16885">
            <w:pPr>
              <w:widowControl w:val="0"/>
              <w:jc w:val="center"/>
              <w:rPr>
                <w:rFonts w:ascii="Arial" w:eastAsia="Arial" w:hAnsi="Arial" w:cs="Arial"/>
              </w:rPr>
            </w:pPr>
          </w:p>
        </w:tc>
        <w:tc>
          <w:tcPr>
            <w:tcW w:w="816" w:type="dxa"/>
            <w:tcBorders>
              <w:top w:val="single" w:sz="4" w:space="0" w:color="000000"/>
            </w:tcBorders>
          </w:tcPr>
          <w:p w14:paraId="62A02DD1" w14:textId="77777777" w:rsidR="00796B7D" w:rsidRPr="00796B7D" w:rsidRDefault="00796B7D" w:rsidP="00E16885">
            <w:pPr>
              <w:widowControl w:val="0"/>
              <w:jc w:val="center"/>
              <w:rPr>
                <w:rFonts w:ascii="Arial" w:eastAsia="Arial" w:hAnsi="Arial" w:cs="Arial"/>
              </w:rPr>
            </w:pPr>
          </w:p>
        </w:tc>
        <w:tc>
          <w:tcPr>
            <w:tcW w:w="1173" w:type="dxa"/>
            <w:tcBorders>
              <w:top w:val="single" w:sz="4" w:space="0" w:color="000000"/>
            </w:tcBorders>
          </w:tcPr>
          <w:p w14:paraId="360A837E" w14:textId="77777777" w:rsidR="00796B7D" w:rsidRPr="00796B7D" w:rsidRDefault="00796B7D" w:rsidP="00E16885">
            <w:pPr>
              <w:widowControl w:val="0"/>
              <w:jc w:val="center"/>
              <w:rPr>
                <w:rFonts w:ascii="Arial" w:eastAsia="Arial" w:hAnsi="Arial" w:cs="Arial"/>
              </w:rPr>
            </w:pPr>
          </w:p>
        </w:tc>
      </w:tr>
      <w:tr w:rsidR="00796B7D" w:rsidRPr="006E7CEA" w14:paraId="4F1199BA" w14:textId="77777777" w:rsidTr="00796B7D">
        <w:trPr>
          <w:trHeight w:val="649"/>
        </w:trPr>
        <w:tc>
          <w:tcPr>
            <w:tcW w:w="1428" w:type="dxa"/>
          </w:tcPr>
          <w:p w14:paraId="17AA76A0" w14:textId="77777777" w:rsidR="00796B7D" w:rsidRPr="00796B7D" w:rsidRDefault="00796B7D" w:rsidP="00E16885">
            <w:pPr>
              <w:widowControl w:val="0"/>
              <w:jc w:val="center"/>
              <w:rPr>
                <w:rFonts w:ascii="Arial" w:eastAsia="Arial" w:hAnsi="Arial" w:cs="Arial"/>
              </w:rPr>
            </w:pPr>
          </w:p>
        </w:tc>
        <w:tc>
          <w:tcPr>
            <w:tcW w:w="889" w:type="dxa"/>
          </w:tcPr>
          <w:p w14:paraId="01959FFC" w14:textId="77777777" w:rsidR="00796B7D" w:rsidRPr="00796B7D" w:rsidRDefault="00796B7D" w:rsidP="00E16885">
            <w:pPr>
              <w:widowControl w:val="0"/>
              <w:jc w:val="center"/>
              <w:rPr>
                <w:rFonts w:ascii="Arial" w:eastAsia="Arial" w:hAnsi="Arial" w:cs="Arial"/>
              </w:rPr>
            </w:pPr>
          </w:p>
        </w:tc>
        <w:tc>
          <w:tcPr>
            <w:tcW w:w="797" w:type="dxa"/>
          </w:tcPr>
          <w:p w14:paraId="64274170" w14:textId="77777777" w:rsidR="00796B7D" w:rsidRPr="00796B7D" w:rsidRDefault="00796B7D" w:rsidP="00E16885">
            <w:pPr>
              <w:widowControl w:val="0"/>
              <w:jc w:val="center"/>
              <w:rPr>
                <w:rFonts w:ascii="Arial" w:eastAsia="Arial" w:hAnsi="Arial" w:cs="Arial"/>
              </w:rPr>
            </w:pPr>
          </w:p>
        </w:tc>
        <w:tc>
          <w:tcPr>
            <w:tcW w:w="787" w:type="dxa"/>
          </w:tcPr>
          <w:p w14:paraId="51065D0C"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0.530</w:t>
            </w:r>
          </w:p>
        </w:tc>
        <w:tc>
          <w:tcPr>
            <w:tcW w:w="807" w:type="dxa"/>
          </w:tcPr>
          <w:p w14:paraId="7C2C8839"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0.280</w:t>
            </w:r>
          </w:p>
        </w:tc>
        <w:tc>
          <w:tcPr>
            <w:tcW w:w="1397" w:type="dxa"/>
          </w:tcPr>
          <w:p w14:paraId="5372DE01"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Moderate Correlation</w:t>
            </w:r>
          </w:p>
        </w:tc>
        <w:tc>
          <w:tcPr>
            <w:tcW w:w="816" w:type="dxa"/>
          </w:tcPr>
          <w:p w14:paraId="78BBAA65"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0.000</w:t>
            </w:r>
          </w:p>
        </w:tc>
        <w:tc>
          <w:tcPr>
            <w:tcW w:w="1173" w:type="dxa"/>
          </w:tcPr>
          <w:p w14:paraId="5284E352"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Significant</w:t>
            </w:r>
          </w:p>
        </w:tc>
      </w:tr>
      <w:tr w:rsidR="00796B7D" w:rsidRPr="006E7CEA" w14:paraId="046B100A" w14:textId="77777777" w:rsidTr="00796B7D">
        <w:trPr>
          <w:trHeight w:val="565"/>
        </w:trPr>
        <w:tc>
          <w:tcPr>
            <w:tcW w:w="1428" w:type="dxa"/>
          </w:tcPr>
          <w:p w14:paraId="714365B6" w14:textId="77777777" w:rsidR="00796B7D" w:rsidRPr="00796B7D" w:rsidRDefault="00796B7D" w:rsidP="00E16885">
            <w:pPr>
              <w:widowControl w:val="0"/>
              <w:jc w:val="center"/>
              <w:rPr>
                <w:rFonts w:ascii="Arial" w:eastAsia="Arial" w:hAnsi="Arial" w:cs="Arial"/>
              </w:rPr>
            </w:pPr>
            <w:r w:rsidRPr="00796B7D">
              <w:rPr>
                <w:rFonts w:ascii="Arial" w:eastAsia="Arial" w:hAnsi="Arial" w:cs="Arial"/>
              </w:rPr>
              <w:t>Occupational Flexibility</w:t>
            </w:r>
          </w:p>
        </w:tc>
        <w:tc>
          <w:tcPr>
            <w:tcW w:w="889" w:type="dxa"/>
          </w:tcPr>
          <w:p w14:paraId="41A1DB99" w14:textId="77777777" w:rsidR="00796B7D" w:rsidRPr="006E7CEA" w:rsidRDefault="00796B7D" w:rsidP="00E16885">
            <w:pPr>
              <w:widowControl w:val="0"/>
              <w:jc w:val="center"/>
              <w:rPr>
                <w:rFonts w:ascii="Arial" w:eastAsia="Arial" w:hAnsi="Arial" w:cs="Arial"/>
              </w:rPr>
            </w:pPr>
            <w:r>
              <w:rPr>
                <w:rFonts w:ascii="Arial" w:eastAsia="Arial" w:hAnsi="Arial" w:cs="Arial"/>
              </w:rPr>
              <w:t>4.02</w:t>
            </w:r>
          </w:p>
        </w:tc>
        <w:tc>
          <w:tcPr>
            <w:tcW w:w="797" w:type="dxa"/>
          </w:tcPr>
          <w:p w14:paraId="79724662" w14:textId="77777777" w:rsidR="00796B7D" w:rsidRPr="006E7CEA" w:rsidRDefault="00796B7D" w:rsidP="00E16885">
            <w:pPr>
              <w:widowControl w:val="0"/>
              <w:jc w:val="center"/>
              <w:rPr>
                <w:rFonts w:ascii="Arial" w:eastAsia="Arial" w:hAnsi="Arial" w:cs="Arial"/>
              </w:rPr>
            </w:pPr>
            <w:r>
              <w:rPr>
                <w:rFonts w:ascii="Arial" w:eastAsia="Arial" w:hAnsi="Arial" w:cs="Arial"/>
              </w:rPr>
              <w:t>0.30</w:t>
            </w:r>
          </w:p>
        </w:tc>
        <w:tc>
          <w:tcPr>
            <w:tcW w:w="787" w:type="dxa"/>
          </w:tcPr>
          <w:p w14:paraId="30031A95" w14:textId="77777777" w:rsidR="00796B7D" w:rsidRPr="006E7CEA" w:rsidRDefault="00796B7D" w:rsidP="00E16885">
            <w:pPr>
              <w:widowControl w:val="0"/>
              <w:jc w:val="center"/>
              <w:rPr>
                <w:rFonts w:ascii="Arial" w:eastAsia="Arial" w:hAnsi="Arial" w:cs="Arial"/>
              </w:rPr>
            </w:pPr>
          </w:p>
        </w:tc>
        <w:tc>
          <w:tcPr>
            <w:tcW w:w="807" w:type="dxa"/>
          </w:tcPr>
          <w:p w14:paraId="021F9F13" w14:textId="77777777" w:rsidR="00796B7D" w:rsidRPr="006E7CEA" w:rsidRDefault="00796B7D" w:rsidP="00E16885">
            <w:pPr>
              <w:widowControl w:val="0"/>
              <w:jc w:val="center"/>
              <w:rPr>
                <w:rFonts w:ascii="Arial" w:eastAsia="Arial" w:hAnsi="Arial" w:cs="Arial"/>
              </w:rPr>
            </w:pPr>
          </w:p>
        </w:tc>
        <w:tc>
          <w:tcPr>
            <w:tcW w:w="1397" w:type="dxa"/>
          </w:tcPr>
          <w:p w14:paraId="12264052" w14:textId="77777777" w:rsidR="00796B7D" w:rsidRPr="006E7CEA" w:rsidRDefault="00796B7D" w:rsidP="00E16885">
            <w:pPr>
              <w:widowControl w:val="0"/>
              <w:jc w:val="center"/>
              <w:rPr>
                <w:rFonts w:ascii="Arial" w:eastAsia="Arial" w:hAnsi="Arial" w:cs="Arial"/>
              </w:rPr>
            </w:pPr>
          </w:p>
        </w:tc>
        <w:tc>
          <w:tcPr>
            <w:tcW w:w="816" w:type="dxa"/>
          </w:tcPr>
          <w:p w14:paraId="607E47E8" w14:textId="77777777" w:rsidR="00796B7D" w:rsidRPr="006E7CEA" w:rsidRDefault="00796B7D" w:rsidP="00E16885">
            <w:pPr>
              <w:widowControl w:val="0"/>
              <w:jc w:val="center"/>
              <w:rPr>
                <w:rFonts w:ascii="Arial" w:eastAsia="Arial" w:hAnsi="Arial" w:cs="Arial"/>
              </w:rPr>
            </w:pPr>
          </w:p>
        </w:tc>
        <w:tc>
          <w:tcPr>
            <w:tcW w:w="1173" w:type="dxa"/>
          </w:tcPr>
          <w:p w14:paraId="67997003" w14:textId="77777777" w:rsidR="00796B7D" w:rsidRPr="006E7CEA" w:rsidRDefault="00796B7D" w:rsidP="00E16885">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6DDEBFC3" w14:textId="386BBA99" w:rsidR="00796B7D" w:rsidRPr="00796B7D" w:rsidRDefault="00796B7D" w:rsidP="00796B7D">
      <w:pPr>
        <w:jc w:val="both"/>
        <w:rPr>
          <w:rFonts w:ascii="Arial" w:hAnsi="Arial" w:cs="Arial"/>
        </w:rPr>
      </w:pPr>
      <w:r w:rsidRPr="00796B7D">
        <w:rPr>
          <w:rFonts w:ascii="Arial" w:hAnsi="Arial" w:cs="Arial"/>
        </w:rPr>
        <w:t xml:space="preserve">Presented in Table </w:t>
      </w:r>
      <w:r>
        <w:rPr>
          <w:rFonts w:ascii="Arial" w:hAnsi="Arial" w:cs="Arial"/>
        </w:rPr>
        <w:t>3</w:t>
      </w:r>
      <w:r w:rsidRPr="00796B7D">
        <w:rPr>
          <w:rFonts w:ascii="Arial" w:hAnsi="Arial" w:cs="Arial"/>
        </w:rPr>
        <w:t xml:space="preserve"> is the correlation analysis between workstation challenges and occupational flexibility among public elementary school teachers. The relationship between these two variables has a correlation coefficient (R) of 0.530 with a p-value of 0.000, which is less than the 0.05 significance level. This indicates a moderate and statistically significant positive relationship between workstation challenges and occupational flexibility. The R² value of 0.280 suggests that approximately 28% of the variation in occupational flexibility can be explained by workstation challenges. Since the p-value is less than 0.05, the null hypothesis </w:t>
      </w:r>
      <w:r w:rsidRPr="00796B7D">
        <w:rPr>
          <w:rFonts w:ascii="Arial" w:hAnsi="Arial" w:cs="Arial"/>
        </w:rPr>
        <w:lastRenderedPageBreak/>
        <w:t>(Ho1) is rejected, supporting the claim that there is a significant relationship between workstation challenges and occupational flexibility.</w:t>
      </w:r>
    </w:p>
    <w:p w14:paraId="65A1CFCA" w14:textId="77777777" w:rsidR="00796B7D" w:rsidRDefault="00796B7D" w:rsidP="00796B7D">
      <w:pPr>
        <w:jc w:val="both"/>
        <w:rPr>
          <w:rFonts w:ascii="Arial" w:hAnsi="Arial" w:cs="Arial"/>
        </w:rPr>
      </w:pPr>
    </w:p>
    <w:p w14:paraId="2B83DD7E" w14:textId="59B27BEE" w:rsidR="00652FDB" w:rsidRDefault="00796B7D" w:rsidP="00796B7D">
      <w:pPr>
        <w:jc w:val="both"/>
        <w:rPr>
          <w:rFonts w:ascii="Arial" w:hAnsi="Arial" w:cs="Arial"/>
        </w:rPr>
      </w:pPr>
      <w:r w:rsidRPr="00796B7D">
        <w:rPr>
          <w:rFonts w:ascii="Arial" w:hAnsi="Arial" w:cs="Arial"/>
        </w:rPr>
        <w:t>This finding implies that the level of workstation challenges teachers face is positively related to their occupational flexibility. A moderate positive relationship suggests that as teachers experience more significant workstation challenges, their ability to adapt and demonstrate flexibility in their roles also increases. This highlights the importance of developing strategies to cope with challenges effectively, which, in turn, enhances teachers'</w:t>
      </w:r>
      <w:r>
        <w:rPr>
          <w:rFonts w:ascii="Arial" w:hAnsi="Arial" w:cs="Arial"/>
        </w:rPr>
        <w:t xml:space="preserve"> </w:t>
      </w:r>
      <w:r w:rsidRPr="00796B7D">
        <w:rPr>
          <w:rFonts w:ascii="Arial" w:hAnsi="Arial" w:cs="Arial"/>
        </w:rPr>
        <w:t>capacity to remain flexible and responsive in their professional environments.</w:t>
      </w:r>
    </w:p>
    <w:p w14:paraId="6D9D8DFB" w14:textId="77777777" w:rsidR="00796B7D" w:rsidRDefault="00796B7D" w:rsidP="00796B7D">
      <w:pPr>
        <w:jc w:val="both"/>
        <w:rPr>
          <w:rFonts w:ascii="Arial" w:hAnsi="Arial" w:cs="Arial"/>
        </w:rPr>
      </w:pPr>
    </w:p>
    <w:p w14:paraId="1B2862C8" w14:textId="1146144E" w:rsidR="00796B7D" w:rsidRDefault="00796B7D" w:rsidP="00796B7D">
      <w:pPr>
        <w:jc w:val="both"/>
        <w:rPr>
          <w:rFonts w:ascii="Arial" w:hAnsi="Arial" w:cs="Arial"/>
        </w:rPr>
      </w:pPr>
      <w:r w:rsidRPr="00796B7D">
        <w:rPr>
          <w:rFonts w:ascii="Arial" w:hAnsi="Arial" w:cs="Arial"/>
        </w:rPr>
        <w:t>This finding aligns with the research of Scherer et al. (2020), who emphasized that a significant relationship between workstation challenges and occupational flexibility is essential for teachers to effectively navigate and adapt to diverse classroom environments. Their study found that teachers who face significant workstation challenges are more likely to develop high levels of occupational flexibility, allowing them to adjust their teaching strategies and manage classroom dynamics more efficiently. Similarly, Paul et al. (2020) highlighted that when teachers encounter substantial challenges in their workstations, it drives them to cultivate adaptability and creative problem-solving skills, which enhances their overall teaching performance. Additionally, Niemi (2021) argued that the ability to handle workstation challenges with high occupational flexibility is crucial for maintaining an effective and dynamic learning environment, where both teachers and students thrive.</w:t>
      </w:r>
    </w:p>
    <w:p w14:paraId="74280EC1" w14:textId="77777777" w:rsidR="00796B7D" w:rsidRDefault="00796B7D" w:rsidP="00796B7D">
      <w:pPr>
        <w:jc w:val="both"/>
        <w:rPr>
          <w:rFonts w:ascii="Arial" w:hAnsi="Arial" w:cs="Arial"/>
        </w:rPr>
      </w:pPr>
    </w:p>
    <w:p w14:paraId="25C2B563" w14:textId="77777777" w:rsidR="00652FDB" w:rsidRDefault="00652FDB" w:rsidP="00652FDB">
      <w:pPr>
        <w:jc w:val="both"/>
        <w:rPr>
          <w:rFonts w:ascii="Arial" w:hAnsi="Arial" w:cs="Arial"/>
        </w:rPr>
      </w:pPr>
    </w:p>
    <w:p w14:paraId="5F1D3FA1" w14:textId="17026464" w:rsidR="005430C4" w:rsidRDefault="00665D1C" w:rsidP="00665D1C">
      <w:pPr>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96B7D" w:rsidRPr="00796B7D">
        <w:rPr>
          <w:rFonts w:ascii="Arial" w:hAnsi="Arial" w:cs="Arial"/>
          <w:b/>
          <w:bCs/>
          <w:iCs/>
        </w:rPr>
        <w:t>Domains of the Workstation Challenges that Significantly Influence Occupational Flexibility among Public Elementary School Teachers</w:t>
      </w:r>
    </w:p>
    <w:p w14:paraId="2646813D" w14:textId="77777777" w:rsidR="00796B7D" w:rsidRDefault="00796B7D" w:rsidP="00665D1C">
      <w:pPr>
        <w:rPr>
          <w:rFonts w:ascii="Arial" w:hAnsi="Arial" w:cs="Arial"/>
          <w:b/>
          <w:bCs/>
          <w:iCs/>
        </w:rPr>
      </w:pPr>
    </w:p>
    <w:p w14:paraId="5F4D2CD3" w14:textId="4804538B" w:rsidR="00B364F1" w:rsidRDefault="00B364F1" w:rsidP="00B364F1">
      <w:pPr>
        <w:jc w:val="both"/>
        <w:rPr>
          <w:rFonts w:ascii="Arial" w:eastAsia="Arial" w:hAnsi="Arial"/>
        </w:rPr>
      </w:pPr>
      <w:r w:rsidRPr="00B364F1">
        <w:rPr>
          <w:rFonts w:ascii="Arial" w:eastAsia="Arial" w:hAnsi="Arial"/>
          <w:b/>
        </w:rPr>
        <w:t xml:space="preserve">Table 4. </w:t>
      </w:r>
      <w:r w:rsidR="00796B7D" w:rsidRPr="00796B7D">
        <w:rPr>
          <w:rFonts w:ascii="Arial" w:eastAsia="Arial" w:hAnsi="Arial"/>
          <w:i/>
          <w:iCs/>
        </w:rPr>
        <w:t>Domains of the Workstation Challenges that Significantly Influence Occupational Flexibility among Public Elementary School Teachers</w:t>
      </w:r>
    </w:p>
    <w:p w14:paraId="43E64342" w14:textId="77777777" w:rsidR="005430C4" w:rsidRPr="00B364F1" w:rsidRDefault="005430C4" w:rsidP="00B364F1">
      <w:pPr>
        <w:jc w:val="both"/>
        <w:rPr>
          <w:rFonts w:ascii="Arial" w:eastAsia="Arial" w:hAnsi="Arial"/>
          <w:i/>
        </w:rPr>
      </w:pPr>
    </w:p>
    <w:tbl>
      <w:tblPr>
        <w:tblW w:w="8003"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22"/>
        <w:gridCol w:w="912"/>
        <w:gridCol w:w="959"/>
        <w:gridCol w:w="1009"/>
        <w:gridCol w:w="979"/>
        <w:gridCol w:w="1032"/>
        <w:gridCol w:w="1390"/>
      </w:tblGrid>
      <w:tr w:rsidR="00796B7D" w:rsidRPr="006E7CEA" w14:paraId="15EE7B91" w14:textId="77777777" w:rsidTr="00796B7D">
        <w:trPr>
          <w:trHeight w:val="341"/>
        </w:trPr>
        <w:tc>
          <w:tcPr>
            <w:tcW w:w="1722" w:type="dxa"/>
            <w:tcBorders>
              <w:top w:val="single" w:sz="4" w:space="0" w:color="000000"/>
              <w:bottom w:val="single" w:sz="4" w:space="0" w:color="000000"/>
            </w:tcBorders>
          </w:tcPr>
          <w:p w14:paraId="2037EF05"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Domains</w:t>
            </w:r>
          </w:p>
        </w:tc>
        <w:tc>
          <w:tcPr>
            <w:tcW w:w="912" w:type="dxa"/>
            <w:tcBorders>
              <w:top w:val="single" w:sz="4" w:space="0" w:color="000000"/>
              <w:bottom w:val="single" w:sz="4" w:space="0" w:color="000000"/>
            </w:tcBorders>
          </w:tcPr>
          <w:p w14:paraId="1CD96850"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w:t>
            </w:r>
          </w:p>
        </w:tc>
        <w:tc>
          <w:tcPr>
            <w:tcW w:w="959" w:type="dxa"/>
            <w:tcBorders>
              <w:top w:val="single" w:sz="4" w:space="0" w:color="000000"/>
              <w:bottom w:val="single" w:sz="4" w:space="0" w:color="000000"/>
            </w:tcBorders>
          </w:tcPr>
          <w:p w14:paraId="5B838234"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BE</w:t>
            </w:r>
          </w:p>
        </w:tc>
        <w:tc>
          <w:tcPr>
            <w:tcW w:w="1009" w:type="dxa"/>
            <w:tcBorders>
              <w:top w:val="single" w:sz="4" w:space="0" w:color="000000"/>
              <w:bottom w:val="single" w:sz="4" w:space="0" w:color="000000"/>
            </w:tcBorders>
          </w:tcPr>
          <w:p w14:paraId="5F26E71F"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Beta</w:t>
            </w:r>
          </w:p>
        </w:tc>
        <w:tc>
          <w:tcPr>
            <w:tcW w:w="979" w:type="dxa"/>
            <w:tcBorders>
              <w:top w:val="single" w:sz="4" w:space="0" w:color="000000"/>
              <w:bottom w:val="single" w:sz="4" w:space="0" w:color="000000"/>
            </w:tcBorders>
          </w:tcPr>
          <w:p w14:paraId="727D6F1E"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t-stat</w:t>
            </w:r>
          </w:p>
        </w:tc>
        <w:tc>
          <w:tcPr>
            <w:tcW w:w="1032" w:type="dxa"/>
            <w:tcBorders>
              <w:top w:val="single" w:sz="4" w:space="0" w:color="000000"/>
              <w:bottom w:val="single" w:sz="4" w:space="0" w:color="000000"/>
            </w:tcBorders>
          </w:tcPr>
          <w:p w14:paraId="511CD074"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p-value</w:t>
            </w:r>
          </w:p>
        </w:tc>
        <w:tc>
          <w:tcPr>
            <w:tcW w:w="1387" w:type="dxa"/>
            <w:tcBorders>
              <w:top w:val="single" w:sz="4" w:space="0" w:color="000000"/>
              <w:bottom w:val="single" w:sz="4" w:space="0" w:color="000000"/>
            </w:tcBorders>
          </w:tcPr>
          <w:p w14:paraId="5975C409" w14:textId="77777777" w:rsidR="00796B7D" w:rsidRPr="006E7CEA" w:rsidRDefault="00796B7D" w:rsidP="00E16885">
            <w:pPr>
              <w:widowControl w:val="0"/>
              <w:jc w:val="center"/>
              <w:rPr>
                <w:rFonts w:ascii="Arial" w:eastAsia="Arial" w:hAnsi="Arial" w:cs="Arial"/>
                <w:b/>
              </w:rPr>
            </w:pPr>
            <w:r w:rsidRPr="006E7CEA">
              <w:rPr>
                <w:rFonts w:ascii="Arial" w:eastAsia="Arial" w:hAnsi="Arial" w:cs="Arial"/>
                <w:b/>
              </w:rPr>
              <w:t>Decision</w:t>
            </w:r>
          </w:p>
        </w:tc>
      </w:tr>
      <w:tr w:rsidR="00796B7D" w:rsidRPr="006E7CEA" w14:paraId="2892DD28" w14:textId="77777777" w:rsidTr="00796B7D">
        <w:trPr>
          <w:trHeight w:val="143"/>
        </w:trPr>
        <w:tc>
          <w:tcPr>
            <w:tcW w:w="1722" w:type="dxa"/>
            <w:tcBorders>
              <w:top w:val="single" w:sz="4" w:space="0" w:color="000000"/>
            </w:tcBorders>
          </w:tcPr>
          <w:p w14:paraId="79072B89"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Constant</w:t>
            </w:r>
          </w:p>
        </w:tc>
        <w:tc>
          <w:tcPr>
            <w:tcW w:w="912" w:type="dxa"/>
            <w:tcBorders>
              <w:top w:val="single" w:sz="4" w:space="0" w:color="000000"/>
            </w:tcBorders>
            <w:vAlign w:val="center"/>
          </w:tcPr>
          <w:p w14:paraId="231E1A03"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.29</w:t>
            </w:r>
          </w:p>
        </w:tc>
        <w:tc>
          <w:tcPr>
            <w:tcW w:w="959" w:type="dxa"/>
            <w:tcBorders>
              <w:top w:val="single" w:sz="4" w:space="0" w:color="000000"/>
            </w:tcBorders>
            <w:vAlign w:val="center"/>
          </w:tcPr>
          <w:p w14:paraId="54D8A6A7"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.1</w:t>
            </w:r>
            <w:r>
              <w:rPr>
                <w:rFonts w:ascii="Arial" w:hAnsi="Arial" w:cs="Arial"/>
                <w:color w:val="000000"/>
              </w:rPr>
              <w:t>2</w:t>
            </w:r>
          </w:p>
        </w:tc>
        <w:tc>
          <w:tcPr>
            <w:tcW w:w="1009" w:type="dxa"/>
            <w:tcBorders>
              <w:top w:val="single" w:sz="4" w:space="0" w:color="000000"/>
            </w:tcBorders>
            <w:vAlign w:val="center"/>
          </w:tcPr>
          <w:p w14:paraId="167E2C0A" w14:textId="77777777" w:rsidR="00796B7D" w:rsidRPr="00F14FE9" w:rsidRDefault="00796B7D" w:rsidP="00E16885">
            <w:pPr>
              <w:widowControl w:val="0"/>
              <w:jc w:val="center"/>
              <w:rPr>
                <w:rFonts w:ascii="Arial" w:eastAsia="Arial" w:hAnsi="Arial" w:cs="Arial"/>
              </w:rPr>
            </w:pPr>
          </w:p>
        </w:tc>
        <w:tc>
          <w:tcPr>
            <w:tcW w:w="979" w:type="dxa"/>
            <w:tcBorders>
              <w:top w:val="single" w:sz="4" w:space="0" w:color="000000"/>
            </w:tcBorders>
            <w:vAlign w:val="center"/>
          </w:tcPr>
          <w:p w14:paraId="016C272C"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2.4</w:t>
            </w:r>
            <w:r>
              <w:rPr>
                <w:rFonts w:ascii="Arial" w:hAnsi="Arial" w:cs="Arial"/>
                <w:color w:val="000000"/>
              </w:rPr>
              <w:t>8</w:t>
            </w:r>
          </w:p>
        </w:tc>
        <w:tc>
          <w:tcPr>
            <w:tcW w:w="1032" w:type="dxa"/>
            <w:tcBorders>
              <w:top w:val="single" w:sz="4" w:space="0" w:color="000000"/>
            </w:tcBorders>
            <w:vAlign w:val="center"/>
          </w:tcPr>
          <w:p w14:paraId="2D27648E"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.015</w:t>
            </w:r>
          </w:p>
        </w:tc>
        <w:tc>
          <w:tcPr>
            <w:tcW w:w="1387" w:type="dxa"/>
            <w:tcBorders>
              <w:top w:val="single" w:sz="4" w:space="0" w:color="000000"/>
            </w:tcBorders>
          </w:tcPr>
          <w:p w14:paraId="5B495D73"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Significant</w:t>
            </w:r>
          </w:p>
        </w:tc>
      </w:tr>
      <w:tr w:rsidR="00796B7D" w:rsidRPr="006E7CEA" w14:paraId="2490BE47" w14:textId="77777777" w:rsidTr="00796B7D">
        <w:trPr>
          <w:trHeight w:val="68"/>
        </w:trPr>
        <w:tc>
          <w:tcPr>
            <w:tcW w:w="1722" w:type="dxa"/>
            <w:vAlign w:val="center"/>
          </w:tcPr>
          <w:p w14:paraId="253B178E" w14:textId="77777777" w:rsidR="00796B7D" w:rsidRPr="006E7CEA" w:rsidRDefault="00796B7D" w:rsidP="00E16885">
            <w:pPr>
              <w:widowControl w:val="0"/>
              <w:jc w:val="center"/>
              <w:rPr>
                <w:rFonts w:ascii="Arial" w:eastAsia="Arial" w:hAnsi="Arial" w:cs="Arial"/>
              </w:rPr>
            </w:pPr>
            <w:r>
              <w:rPr>
                <w:rFonts w:ascii="Arial" w:eastAsia="Arial" w:hAnsi="Arial" w:cs="Arial"/>
              </w:rPr>
              <w:t>Planning</w:t>
            </w:r>
          </w:p>
        </w:tc>
        <w:tc>
          <w:tcPr>
            <w:tcW w:w="912" w:type="dxa"/>
            <w:vAlign w:val="center"/>
          </w:tcPr>
          <w:p w14:paraId="67037C20"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.07</w:t>
            </w:r>
          </w:p>
        </w:tc>
        <w:tc>
          <w:tcPr>
            <w:tcW w:w="959" w:type="dxa"/>
            <w:vAlign w:val="center"/>
          </w:tcPr>
          <w:p w14:paraId="0BBDB3CA"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w:t>
            </w:r>
            <w:r>
              <w:rPr>
                <w:rFonts w:ascii="Arial" w:hAnsi="Arial" w:cs="Arial"/>
                <w:color w:val="000000"/>
              </w:rPr>
              <w:t>3</w:t>
            </w:r>
          </w:p>
        </w:tc>
        <w:tc>
          <w:tcPr>
            <w:tcW w:w="1009" w:type="dxa"/>
            <w:vAlign w:val="center"/>
          </w:tcPr>
          <w:p w14:paraId="07A70FE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.11</w:t>
            </w:r>
          </w:p>
        </w:tc>
        <w:tc>
          <w:tcPr>
            <w:tcW w:w="979" w:type="dxa"/>
            <w:vAlign w:val="center"/>
          </w:tcPr>
          <w:p w14:paraId="2F1990EB"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2.40</w:t>
            </w:r>
          </w:p>
        </w:tc>
        <w:tc>
          <w:tcPr>
            <w:tcW w:w="1032" w:type="dxa"/>
            <w:vAlign w:val="center"/>
          </w:tcPr>
          <w:p w14:paraId="02D96137"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.018</w:t>
            </w:r>
          </w:p>
        </w:tc>
        <w:tc>
          <w:tcPr>
            <w:tcW w:w="1387" w:type="dxa"/>
            <w:vAlign w:val="center"/>
          </w:tcPr>
          <w:p w14:paraId="68732649" w14:textId="77777777" w:rsidR="00796B7D" w:rsidRPr="006E7CEA" w:rsidRDefault="00796B7D" w:rsidP="00E16885">
            <w:pPr>
              <w:widowControl w:val="0"/>
              <w:jc w:val="center"/>
              <w:rPr>
                <w:rFonts w:ascii="Arial" w:eastAsia="Arial" w:hAnsi="Arial" w:cs="Arial"/>
              </w:rPr>
            </w:pPr>
            <w:r w:rsidRPr="006E7CEA">
              <w:rPr>
                <w:rFonts w:ascii="Arial" w:eastAsia="Arial" w:hAnsi="Arial" w:cs="Arial"/>
              </w:rPr>
              <w:t>Significant</w:t>
            </w:r>
          </w:p>
        </w:tc>
      </w:tr>
      <w:tr w:rsidR="00796B7D" w:rsidRPr="006E7CEA" w14:paraId="34EECB61" w14:textId="77777777" w:rsidTr="00796B7D">
        <w:trPr>
          <w:trHeight w:val="68"/>
        </w:trPr>
        <w:tc>
          <w:tcPr>
            <w:tcW w:w="1722" w:type="dxa"/>
            <w:vAlign w:val="center"/>
          </w:tcPr>
          <w:p w14:paraId="5FE068A8" w14:textId="77777777" w:rsidR="00796B7D" w:rsidRPr="006E7CEA" w:rsidRDefault="00796B7D" w:rsidP="00E16885">
            <w:pPr>
              <w:widowControl w:val="0"/>
              <w:jc w:val="center"/>
              <w:rPr>
                <w:rFonts w:ascii="Arial" w:eastAsia="Arial" w:hAnsi="Arial" w:cs="Arial"/>
              </w:rPr>
            </w:pPr>
            <w:r>
              <w:rPr>
                <w:rFonts w:ascii="Arial" w:eastAsia="Arial" w:hAnsi="Arial" w:cs="Arial"/>
              </w:rPr>
              <w:t>Motivation</w:t>
            </w:r>
          </w:p>
        </w:tc>
        <w:tc>
          <w:tcPr>
            <w:tcW w:w="912" w:type="dxa"/>
            <w:vAlign w:val="center"/>
          </w:tcPr>
          <w:p w14:paraId="3F1BDE15"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.43</w:t>
            </w:r>
          </w:p>
        </w:tc>
        <w:tc>
          <w:tcPr>
            <w:tcW w:w="959" w:type="dxa"/>
            <w:vAlign w:val="center"/>
          </w:tcPr>
          <w:p w14:paraId="2B23986F"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w:t>
            </w:r>
            <w:r>
              <w:rPr>
                <w:rFonts w:ascii="Arial" w:hAnsi="Arial" w:cs="Arial"/>
                <w:color w:val="000000"/>
              </w:rPr>
              <w:t>4</w:t>
            </w:r>
          </w:p>
        </w:tc>
        <w:tc>
          <w:tcPr>
            <w:tcW w:w="1009" w:type="dxa"/>
            <w:vAlign w:val="center"/>
          </w:tcPr>
          <w:p w14:paraId="0F9B94C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.65</w:t>
            </w:r>
          </w:p>
        </w:tc>
        <w:tc>
          <w:tcPr>
            <w:tcW w:w="979" w:type="dxa"/>
            <w:vAlign w:val="center"/>
          </w:tcPr>
          <w:p w14:paraId="5EA7171E"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11.80</w:t>
            </w:r>
          </w:p>
        </w:tc>
        <w:tc>
          <w:tcPr>
            <w:tcW w:w="1032" w:type="dxa"/>
            <w:vAlign w:val="center"/>
          </w:tcPr>
          <w:p w14:paraId="4B2EB3AA"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59AF4B76"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21B27B3E" w14:textId="77777777" w:rsidTr="00796B7D">
        <w:trPr>
          <w:trHeight w:val="68"/>
        </w:trPr>
        <w:tc>
          <w:tcPr>
            <w:tcW w:w="1722" w:type="dxa"/>
            <w:vAlign w:val="center"/>
          </w:tcPr>
          <w:p w14:paraId="47FD1617" w14:textId="77777777" w:rsidR="00796B7D" w:rsidRPr="006E7CEA" w:rsidRDefault="00796B7D" w:rsidP="00E16885">
            <w:pPr>
              <w:widowControl w:val="0"/>
              <w:jc w:val="center"/>
              <w:rPr>
                <w:rFonts w:ascii="Arial" w:eastAsia="Arial" w:hAnsi="Arial" w:cs="Arial"/>
              </w:rPr>
            </w:pPr>
            <w:r>
              <w:rPr>
                <w:rFonts w:ascii="Arial" w:eastAsia="Arial" w:hAnsi="Arial" w:cs="Arial"/>
              </w:rPr>
              <w:t>Communication</w:t>
            </w:r>
          </w:p>
        </w:tc>
        <w:tc>
          <w:tcPr>
            <w:tcW w:w="912" w:type="dxa"/>
            <w:vAlign w:val="center"/>
          </w:tcPr>
          <w:p w14:paraId="53453FA1"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w:t>
            </w:r>
            <w:r>
              <w:rPr>
                <w:rFonts w:ascii="Arial" w:hAnsi="Arial" w:cs="Arial"/>
                <w:color w:val="000000"/>
              </w:rPr>
              <w:t>0</w:t>
            </w:r>
            <w:r w:rsidRPr="00F14FE9">
              <w:rPr>
                <w:rFonts w:ascii="Arial" w:hAnsi="Arial" w:cs="Arial"/>
                <w:color w:val="000000"/>
              </w:rPr>
              <w:t>.33</w:t>
            </w:r>
          </w:p>
        </w:tc>
        <w:tc>
          <w:tcPr>
            <w:tcW w:w="959" w:type="dxa"/>
            <w:vAlign w:val="center"/>
          </w:tcPr>
          <w:p w14:paraId="22A6E413"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.03</w:t>
            </w:r>
          </w:p>
        </w:tc>
        <w:tc>
          <w:tcPr>
            <w:tcW w:w="1009" w:type="dxa"/>
            <w:vAlign w:val="center"/>
          </w:tcPr>
          <w:p w14:paraId="7788658C"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w:t>
            </w:r>
            <w:r>
              <w:rPr>
                <w:rFonts w:ascii="Arial" w:hAnsi="Arial" w:cs="Arial"/>
                <w:color w:val="000000"/>
              </w:rPr>
              <w:t>0</w:t>
            </w:r>
            <w:r w:rsidRPr="00F14FE9">
              <w:rPr>
                <w:rFonts w:ascii="Arial" w:hAnsi="Arial" w:cs="Arial"/>
                <w:color w:val="000000"/>
              </w:rPr>
              <w:t>.62</w:t>
            </w:r>
          </w:p>
        </w:tc>
        <w:tc>
          <w:tcPr>
            <w:tcW w:w="979" w:type="dxa"/>
            <w:vAlign w:val="center"/>
          </w:tcPr>
          <w:p w14:paraId="46AC91FD"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-10.3</w:t>
            </w:r>
            <w:r>
              <w:rPr>
                <w:rFonts w:ascii="Arial" w:hAnsi="Arial" w:cs="Arial"/>
                <w:color w:val="000000"/>
              </w:rPr>
              <w:t>3</w:t>
            </w:r>
          </w:p>
        </w:tc>
        <w:tc>
          <w:tcPr>
            <w:tcW w:w="1032" w:type="dxa"/>
            <w:vAlign w:val="center"/>
          </w:tcPr>
          <w:p w14:paraId="65696090"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16AA635C"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1B2878B9" w14:textId="77777777" w:rsidTr="00796B7D">
        <w:trPr>
          <w:trHeight w:val="180"/>
        </w:trPr>
        <w:tc>
          <w:tcPr>
            <w:tcW w:w="1722" w:type="dxa"/>
            <w:vAlign w:val="center"/>
          </w:tcPr>
          <w:p w14:paraId="572EC38D" w14:textId="77777777" w:rsidR="00796B7D" w:rsidRPr="006E7CEA" w:rsidRDefault="00796B7D" w:rsidP="00E16885">
            <w:pPr>
              <w:widowControl w:val="0"/>
              <w:jc w:val="center"/>
              <w:rPr>
                <w:rFonts w:ascii="Arial" w:eastAsia="Arial" w:hAnsi="Arial" w:cs="Arial"/>
              </w:rPr>
            </w:pPr>
            <w:r>
              <w:rPr>
                <w:rFonts w:ascii="Arial" w:eastAsia="Arial" w:hAnsi="Arial" w:cs="Arial"/>
              </w:rPr>
              <w:t>Evaluation</w:t>
            </w:r>
          </w:p>
        </w:tc>
        <w:tc>
          <w:tcPr>
            <w:tcW w:w="912" w:type="dxa"/>
            <w:vAlign w:val="center"/>
          </w:tcPr>
          <w:p w14:paraId="3810E3BF"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.76</w:t>
            </w:r>
          </w:p>
        </w:tc>
        <w:tc>
          <w:tcPr>
            <w:tcW w:w="959" w:type="dxa"/>
            <w:vAlign w:val="center"/>
          </w:tcPr>
          <w:p w14:paraId="7AFDE2F6"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.03</w:t>
            </w:r>
          </w:p>
        </w:tc>
        <w:tc>
          <w:tcPr>
            <w:tcW w:w="1009" w:type="dxa"/>
            <w:vAlign w:val="center"/>
          </w:tcPr>
          <w:p w14:paraId="78F8E9A1"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w:t>
            </w:r>
            <w:r>
              <w:rPr>
                <w:rFonts w:ascii="Arial" w:hAnsi="Arial" w:cs="Arial"/>
                <w:color w:val="000000"/>
              </w:rPr>
              <w:t>80</w:t>
            </w:r>
          </w:p>
        </w:tc>
        <w:tc>
          <w:tcPr>
            <w:tcW w:w="979" w:type="dxa"/>
            <w:vAlign w:val="center"/>
          </w:tcPr>
          <w:p w14:paraId="0027C5D8" w14:textId="77777777" w:rsidR="00796B7D" w:rsidRPr="00F14FE9" w:rsidRDefault="00796B7D" w:rsidP="00E16885">
            <w:pPr>
              <w:widowControl w:val="0"/>
              <w:jc w:val="center"/>
              <w:rPr>
                <w:rFonts w:ascii="Arial" w:eastAsia="Arial" w:hAnsi="Arial" w:cs="Arial"/>
              </w:rPr>
            </w:pPr>
            <w:r w:rsidRPr="00F14FE9">
              <w:rPr>
                <w:rFonts w:ascii="Arial" w:hAnsi="Arial" w:cs="Arial"/>
                <w:color w:val="000000"/>
              </w:rPr>
              <w:t>25.6</w:t>
            </w:r>
            <w:r>
              <w:rPr>
                <w:rFonts w:ascii="Arial" w:hAnsi="Arial" w:cs="Arial"/>
                <w:color w:val="000000"/>
              </w:rPr>
              <w:t>8</w:t>
            </w:r>
          </w:p>
        </w:tc>
        <w:tc>
          <w:tcPr>
            <w:tcW w:w="1032" w:type="dxa"/>
            <w:vAlign w:val="center"/>
          </w:tcPr>
          <w:p w14:paraId="10DDA8CB" w14:textId="77777777" w:rsidR="00796B7D" w:rsidRPr="00F14FE9" w:rsidRDefault="00796B7D" w:rsidP="00E16885">
            <w:pPr>
              <w:widowControl w:val="0"/>
              <w:jc w:val="center"/>
              <w:rPr>
                <w:rFonts w:ascii="Arial" w:eastAsia="Arial" w:hAnsi="Arial" w:cs="Arial"/>
              </w:rPr>
            </w:pPr>
            <w:r>
              <w:rPr>
                <w:rFonts w:ascii="Arial" w:hAnsi="Arial" w:cs="Arial"/>
                <w:color w:val="000000"/>
              </w:rPr>
              <w:t>0</w:t>
            </w:r>
            <w:r w:rsidRPr="00F14FE9">
              <w:rPr>
                <w:rFonts w:ascii="Arial" w:hAnsi="Arial" w:cs="Arial"/>
                <w:color w:val="000000"/>
              </w:rPr>
              <w:t>.000</w:t>
            </w:r>
          </w:p>
        </w:tc>
        <w:tc>
          <w:tcPr>
            <w:tcW w:w="1387" w:type="dxa"/>
          </w:tcPr>
          <w:p w14:paraId="22A12581" w14:textId="77777777" w:rsidR="00796B7D" w:rsidRPr="006E7CEA" w:rsidRDefault="00796B7D" w:rsidP="00E16885">
            <w:pPr>
              <w:widowControl w:val="0"/>
              <w:jc w:val="center"/>
              <w:rPr>
                <w:rFonts w:ascii="Arial" w:eastAsia="Arial" w:hAnsi="Arial" w:cs="Arial"/>
              </w:rPr>
            </w:pPr>
            <w:r w:rsidRPr="003A476B">
              <w:rPr>
                <w:rFonts w:ascii="Arial" w:eastAsia="Arial" w:hAnsi="Arial" w:cs="Arial"/>
              </w:rPr>
              <w:t>Significant</w:t>
            </w:r>
          </w:p>
        </w:tc>
      </w:tr>
      <w:tr w:rsidR="00796B7D" w:rsidRPr="006E7CEA" w14:paraId="624A25D4" w14:textId="77777777" w:rsidTr="00796B7D">
        <w:trPr>
          <w:trHeight w:val="68"/>
        </w:trPr>
        <w:tc>
          <w:tcPr>
            <w:tcW w:w="1722" w:type="dxa"/>
          </w:tcPr>
          <w:p w14:paraId="7AAC195C" w14:textId="77777777" w:rsidR="00796B7D" w:rsidRPr="006E7CEA" w:rsidRDefault="00796B7D" w:rsidP="00E16885">
            <w:pPr>
              <w:widowControl w:val="0"/>
              <w:jc w:val="both"/>
              <w:rPr>
                <w:rFonts w:ascii="Arial" w:eastAsia="Arial" w:hAnsi="Arial" w:cs="Arial"/>
              </w:rPr>
            </w:pPr>
          </w:p>
        </w:tc>
        <w:tc>
          <w:tcPr>
            <w:tcW w:w="912" w:type="dxa"/>
          </w:tcPr>
          <w:p w14:paraId="3755DB8E" w14:textId="77777777" w:rsidR="00796B7D" w:rsidRPr="006E7CEA" w:rsidRDefault="00796B7D" w:rsidP="00E16885">
            <w:pPr>
              <w:widowControl w:val="0"/>
              <w:jc w:val="both"/>
              <w:rPr>
                <w:rFonts w:ascii="Arial" w:eastAsia="Arial" w:hAnsi="Arial" w:cs="Arial"/>
              </w:rPr>
            </w:pPr>
          </w:p>
        </w:tc>
        <w:tc>
          <w:tcPr>
            <w:tcW w:w="959" w:type="dxa"/>
          </w:tcPr>
          <w:p w14:paraId="73D4973F" w14:textId="77777777" w:rsidR="00796B7D" w:rsidRPr="006E7CEA" w:rsidRDefault="00796B7D" w:rsidP="00E16885">
            <w:pPr>
              <w:widowControl w:val="0"/>
              <w:jc w:val="both"/>
              <w:rPr>
                <w:rFonts w:ascii="Arial" w:eastAsia="Arial" w:hAnsi="Arial" w:cs="Arial"/>
              </w:rPr>
            </w:pPr>
          </w:p>
        </w:tc>
        <w:tc>
          <w:tcPr>
            <w:tcW w:w="1009" w:type="dxa"/>
          </w:tcPr>
          <w:p w14:paraId="3DBB42B9" w14:textId="77777777" w:rsidR="00796B7D" w:rsidRPr="006E7CEA" w:rsidRDefault="00796B7D" w:rsidP="00E16885">
            <w:pPr>
              <w:widowControl w:val="0"/>
              <w:jc w:val="both"/>
              <w:rPr>
                <w:rFonts w:ascii="Arial" w:eastAsia="Arial" w:hAnsi="Arial" w:cs="Arial"/>
              </w:rPr>
            </w:pPr>
          </w:p>
        </w:tc>
        <w:tc>
          <w:tcPr>
            <w:tcW w:w="979" w:type="dxa"/>
          </w:tcPr>
          <w:p w14:paraId="53FB9058" w14:textId="77777777" w:rsidR="00796B7D" w:rsidRPr="006E7CEA" w:rsidRDefault="00796B7D" w:rsidP="00E16885">
            <w:pPr>
              <w:widowControl w:val="0"/>
              <w:jc w:val="both"/>
              <w:rPr>
                <w:rFonts w:ascii="Arial" w:eastAsia="Arial" w:hAnsi="Arial" w:cs="Arial"/>
              </w:rPr>
            </w:pPr>
          </w:p>
        </w:tc>
        <w:tc>
          <w:tcPr>
            <w:tcW w:w="1032" w:type="dxa"/>
          </w:tcPr>
          <w:p w14:paraId="74DD5157" w14:textId="77777777" w:rsidR="00796B7D" w:rsidRPr="006E7CEA" w:rsidRDefault="00796B7D" w:rsidP="00E16885">
            <w:pPr>
              <w:widowControl w:val="0"/>
              <w:jc w:val="both"/>
              <w:rPr>
                <w:rFonts w:ascii="Arial" w:eastAsia="Arial" w:hAnsi="Arial" w:cs="Arial"/>
              </w:rPr>
            </w:pPr>
          </w:p>
        </w:tc>
        <w:tc>
          <w:tcPr>
            <w:tcW w:w="1387" w:type="dxa"/>
          </w:tcPr>
          <w:p w14:paraId="69865A7C" w14:textId="77777777" w:rsidR="00796B7D" w:rsidRPr="006E7CEA" w:rsidRDefault="00796B7D" w:rsidP="00E16885">
            <w:pPr>
              <w:widowControl w:val="0"/>
              <w:jc w:val="both"/>
              <w:rPr>
                <w:rFonts w:ascii="Arial" w:eastAsia="Arial" w:hAnsi="Arial" w:cs="Arial"/>
              </w:rPr>
            </w:pPr>
          </w:p>
        </w:tc>
      </w:tr>
      <w:tr w:rsidR="00796B7D" w:rsidRPr="006E7CEA" w14:paraId="22D442E4" w14:textId="77777777" w:rsidTr="00796B7D">
        <w:trPr>
          <w:trHeight w:val="68"/>
        </w:trPr>
        <w:tc>
          <w:tcPr>
            <w:tcW w:w="8003" w:type="dxa"/>
            <w:gridSpan w:val="7"/>
          </w:tcPr>
          <w:p w14:paraId="519A2D9A" w14:textId="77777777" w:rsidR="00796B7D" w:rsidRPr="006E7CEA" w:rsidRDefault="00796B7D" w:rsidP="00E16885">
            <w:pPr>
              <w:widowControl w:val="0"/>
              <w:jc w:val="both"/>
              <w:rPr>
                <w:rFonts w:ascii="Arial" w:eastAsia="Arial" w:hAnsi="Arial" w:cs="Arial"/>
                <w:b/>
                <w:u w:val="single"/>
              </w:rPr>
            </w:pPr>
            <w:r w:rsidRPr="006E7CEA">
              <w:rPr>
                <w:rFonts w:ascii="Arial" w:eastAsia="Arial" w:hAnsi="Arial" w:cs="Arial"/>
                <w:b/>
                <w:u w:val="single"/>
              </w:rPr>
              <w:t>Regression Model</w:t>
            </w:r>
          </w:p>
        </w:tc>
      </w:tr>
      <w:tr w:rsidR="00796B7D" w:rsidRPr="006E7CEA" w14:paraId="3D6C0360" w14:textId="77777777" w:rsidTr="00796B7D">
        <w:trPr>
          <w:trHeight w:val="550"/>
        </w:trPr>
        <w:tc>
          <w:tcPr>
            <w:tcW w:w="8003" w:type="dxa"/>
            <w:gridSpan w:val="7"/>
          </w:tcPr>
          <w:p w14:paraId="4416E56B" w14:textId="77777777" w:rsidR="00796B7D" w:rsidRPr="006E7CEA" w:rsidRDefault="00796B7D" w:rsidP="00E16885">
            <w:pPr>
              <w:widowControl w:val="0"/>
              <w:jc w:val="both"/>
              <w:rPr>
                <w:rFonts w:ascii="Arial" w:eastAsia="Arial" w:hAnsi="Arial" w:cs="Arial"/>
              </w:rPr>
            </w:pPr>
            <w:r w:rsidRPr="00F14FE9">
              <w:rPr>
                <w:rFonts w:ascii="Arial" w:eastAsia="Arial" w:hAnsi="Arial" w:cs="Arial"/>
              </w:rPr>
              <w:t xml:space="preserve">Occupational Flexibility </w:t>
            </w:r>
            <w:r w:rsidRPr="006E7CEA">
              <w:rPr>
                <w:rFonts w:ascii="Arial" w:eastAsia="Arial" w:hAnsi="Arial" w:cs="Arial"/>
              </w:rPr>
              <w:t>=</w:t>
            </w:r>
            <w:r>
              <w:rPr>
                <w:rFonts w:ascii="Arial" w:eastAsia="Arial" w:hAnsi="Arial" w:cs="Arial"/>
              </w:rPr>
              <w:t>0</w:t>
            </w:r>
            <w:r w:rsidRPr="006E7CEA">
              <w:rPr>
                <w:rFonts w:ascii="Arial" w:eastAsia="Arial" w:hAnsi="Arial" w:cs="Arial"/>
              </w:rPr>
              <w:t>.</w:t>
            </w:r>
            <w:r>
              <w:rPr>
                <w:rFonts w:ascii="Arial" w:eastAsia="Arial" w:hAnsi="Arial" w:cs="Arial"/>
              </w:rPr>
              <w:t>29</w:t>
            </w:r>
            <w:r w:rsidRPr="006E7CEA">
              <w:rPr>
                <w:rFonts w:ascii="Arial" w:eastAsia="Arial" w:hAnsi="Arial" w:cs="Arial"/>
              </w:rPr>
              <w:t xml:space="preserve"> + 0.</w:t>
            </w:r>
            <w:r>
              <w:rPr>
                <w:rFonts w:ascii="Arial" w:eastAsia="Arial" w:hAnsi="Arial" w:cs="Arial"/>
              </w:rPr>
              <w:t>07</w:t>
            </w:r>
            <w:r w:rsidRPr="006E7CEA">
              <w:rPr>
                <w:rFonts w:ascii="Arial" w:eastAsia="Arial" w:hAnsi="Arial" w:cs="Arial"/>
              </w:rPr>
              <w:t xml:space="preserve"> (</w:t>
            </w:r>
            <w:r w:rsidRPr="00F14FE9">
              <w:rPr>
                <w:rFonts w:ascii="Arial" w:eastAsia="Arial" w:hAnsi="Arial" w:cs="Arial"/>
              </w:rPr>
              <w:t>Planning</w:t>
            </w:r>
            <w:r w:rsidRPr="006E7CEA">
              <w:rPr>
                <w:rFonts w:ascii="Arial" w:eastAsia="Arial" w:hAnsi="Arial" w:cs="Arial"/>
              </w:rPr>
              <w:t>) + 0.</w:t>
            </w:r>
            <w:r>
              <w:rPr>
                <w:rFonts w:ascii="Arial" w:eastAsia="Arial" w:hAnsi="Arial" w:cs="Arial"/>
              </w:rPr>
              <w:t>43</w:t>
            </w:r>
            <w:r w:rsidRPr="006E7CEA">
              <w:rPr>
                <w:rFonts w:ascii="Arial" w:eastAsia="Arial" w:hAnsi="Arial" w:cs="Arial"/>
              </w:rPr>
              <w:t xml:space="preserve"> (</w:t>
            </w:r>
            <w:r w:rsidRPr="00F14FE9">
              <w:rPr>
                <w:rFonts w:ascii="Arial" w:eastAsia="Arial" w:hAnsi="Arial" w:cs="Arial"/>
              </w:rPr>
              <w:t>Motivation</w:t>
            </w:r>
            <w:r>
              <w:rPr>
                <w:rFonts w:ascii="Arial" w:eastAsia="Arial" w:hAnsi="Arial" w:cs="Arial"/>
              </w:rPr>
              <w:t xml:space="preserve">) </w:t>
            </w:r>
            <w:r w:rsidRPr="006E7CEA">
              <w:rPr>
                <w:rFonts w:ascii="Arial" w:eastAsia="Arial" w:hAnsi="Arial" w:cs="Arial"/>
              </w:rPr>
              <w:t xml:space="preserve">+ </w:t>
            </w:r>
            <w:r>
              <w:rPr>
                <w:rFonts w:ascii="Arial" w:eastAsia="Arial" w:hAnsi="Arial" w:cs="Arial"/>
              </w:rPr>
              <w:t>-</w:t>
            </w:r>
            <w:r w:rsidRPr="006E7CEA">
              <w:rPr>
                <w:rFonts w:ascii="Arial" w:eastAsia="Arial" w:hAnsi="Arial" w:cs="Arial"/>
              </w:rPr>
              <w:t>0.</w:t>
            </w:r>
            <w:r>
              <w:rPr>
                <w:rFonts w:ascii="Arial" w:eastAsia="Arial" w:hAnsi="Arial" w:cs="Arial"/>
              </w:rPr>
              <w:t>33</w:t>
            </w:r>
            <w:r w:rsidRPr="006E7CEA">
              <w:rPr>
                <w:rFonts w:ascii="Arial" w:eastAsia="Arial" w:hAnsi="Arial" w:cs="Arial"/>
              </w:rPr>
              <w:t xml:space="preserve"> (</w:t>
            </w:r>
            <w:r w:rsidRPr="00F14FE9">
              <w:rPr>
                <w:rFonts w:ascii="Arial" w:eastAsia="Arial" w:hAnsi="Arial" w:cs="Arial"/>
              </w:rPr>
              <w:t xml:space="preserve">Communication </w:t>
            </w:r>
            <w:r w:rsidRPr="006E7CEA">
              <w:rPr>
                <w:rFonts w:ascii="Arial" w:eastAsia="Arial" w:hAnsi="Arial" w:cs="Arial"/>
              </w:rPr>
              <w:t>+ 0.</w:t>
            </w:r>
            <w:r>
              <w:rPr>
                <w:rFonts w:ascii="Arial" w:eastAsia="Arial" w:hAnsi="Arial" w:cs="Arial"/>
              </w:rPr>
              <w:t>76</w:t>
            </w:r>
            <w:r w:rsidRPr="006E7CEA">
              <w:rPr>
                <w:rFonts w:ascii="Arial" w:eastAsia="Arial" w:hAnsi="Arial" w:cs="Arial"/>
              </w:rPr>
              <w:t xml:space="preserve"> (</w:t>
            </w:r>
            <w:r w:rsidRPr="00F14FE9">
              <w:rPr>
                <w:rFonts w:ascii="Arial" w:eastAsia="Arial" w:hAnsi="Arial" w:cs="Arial"/>
              </w:rPr>
              <w:t>Evaluation</w:t>
            </w:r>
            <w:r>
              <w:rPr>
                <w:rFonts w:ascii="Arial" w:eastAsia="Arial" w:hAnsi="Arial" w:cs="Arial"/>
              </w:rPr>
              <w:t>)</w:t>
            </w:r>
          </w:p>
        </w:tc>
      </w:tr>
      <w:tr w:rsidR="00796B7D" w:rsidRPr="006E7CEA" w14:paraId="3511389C" w14:textId="77777777" w:rsidTr="00796B7D">
        <w:trPr>
          <w:trHeight w:val="84"/>
        </w:trPr>
        <w:tc>
          <w:tcPr>
            <w:tcW w:w="8003" w:type="dxa"/>
            <w:gridSpan w:val="7"/>
          </w:tcPr>
          <w:p w14:paraId="73CA5AFB" w14:textId="77777777" w:rsidR="00796B7D" w:rsidRPr="006E7CEA" w:rsidRDefault="00796B7D" w:rsidP="00E16885">
            <w:pPr>
              <w:widowControl w:val="0"/>
              <w:jc w:val="both"/>
              <w:rPr>
                <w:rFonts w:ascii="Arial" w:eastAsia="Arial" w:hAnsi="Arial" w:cs="Arial"/>
              </w:rPr>
            </w:pPr>
            <w:r w:rsidRPr="006E7CEA">
              <w:rPr>
                <w:rFonts w:ascii="Arial" w:eastAsia="Arial" w:hAnsi="Arial" w:cs="Arial"/>
              </w:rPr>
              <w:t>R=0.</w:t>
            </w:r>
            <w:r>
              <w:rPr>
                <w:rFonts w:ascii="Arial" w:eastAsia="Arial" w:hAnsi="Arial" w:cs="Arial"/>
              </w:rPr>
              <w:t>949</w:t>
            </w:r>
            <w:r w:rsidRPr="006E7CEA">
              <w:rPr>
                <w:rFonts w:ascii="Arial" w:eastAsia="Arial" w:hAnsi="Arial" w:cs="Arial"/>
              </w:rPr>
              <w:t>; R²=0.</w:t>
            </w:r>
            <w:r>
              <w:rPr>
                <w:rFonts w:ascii="Arial" w:eastAsia="Arial" w:hAnsi="Arial" w:cs="Arial"/>
              </w:rPr>
              <w:t>900</w:t>
            </w:r>
            <w:r w:rsidRPr="006E7CEA">
              <w:rPr>
                <w:rFonts w:ascii="Arial" w:eastAsia="Arial" w:hAnsi="Arial" w:cs="Arial"/>
              </w:rPr>
              <w:t>; F=</w:t>
            </w:r>
            <w:r>
              <w:rPr>
                <w:rFonts w:ascii="Arial" w:eastAsia="Arial" w:hAnsi="Arial" w:cs="Arial"/>
              </w:rPr>
              <w:t>287</w:t>
            </w:r>
            <w:r w:rsidRPr="006E7CEA">
              <w:rPr>
                <w:rFonts w:ascii="Arial" w:eastAsia="Arial" w:hAnsi="Arial" w:cs="Arial"/>
              </w:rPr>
              <w:t>.</w:t>
            </w:r>
            <w:r>
              <w:rPr>
                <w:rFonts w:ascii="Arial" w:eastAsia="Arial" w:hAnsi="Arial" w:cs="Arial"/>
              </w:rPr>
              <w:t>03</w:t>
            </w:r>
            <w:r w:rsidRPr="006E7CEA">
              <w:rPr>
                <w:rFonts w:ascii="Arial" w:eastAsia="Arial" w:hAnsi="Arial" w:cs="Arial"/>
              </w:rPr>
              <w:t>; p-value=0.000</w:t>
            </w:r>
          </w:p>
        </w:tc>
      </w:tr>
    </w:tbl>
    <w:p w14:paraId="24179E4E" w14:textId="77777777" w:rsidR="00796B7D" w:rsidRDefault="00796B7D" w:rsidP="005430C4">
      <w:pPr>
        <w:pStyle w:val="ConcHead"/>
        <w:spacing w:after="0"/>
        <w:jc w:val="both"/>
        <w:rPr>
          <w:rFonts w:ascii="Arial" w:hAnsi="Arial" w:cs="Arial"/>
          <w:b w:val="0"/>
          <w:caps w:val="0"/>
          <w:sz w:val="20"/>
        </w:rPr>
      </w:pPr>
    </w:p>
    <w:p w14:paraId="0F7BD173" w14:textId="77777777" w:rsidR="00796B7D" w:rsidRDefault="00796B7D" w:rsidP="005430C4">
      <w:pPr>
        <w:pStyle w:val="ConcHead"/>
        <w:spacing w:after="0"/>
        <w:jc w:val="both"/>
        <w:rPr>
          <w:rFonts w:ascii="Arial" w:hAnsi="Arial" w:cs="Arial"/>
          <w:b w:val="0"/>
          <w:caps w:val="0"/>
          <w:sz w:val="20"/>
        </w:rPr>
      </w:pPr>
    </w:p>
    <w:p w14:paraId="3B56060F" w14:textId="77777777" w:rsidR="00796B7D" w:rsidRPr="00796B7D" w:rsidRDefault="00796B7D" w:rsidP="00796B7D">
      <w:pPr>
        <w:pStyle w:val="ConcHead"/>
        <w:jc w:val="both"/>
        <w:rPr>
          <w:rFonts w:ascii="Arial" w:hAnsi="Arial" w:cs="Arial"/>
          <w:b w:val="0"/>
          <w:caps w:val="0"/>
          <w:sz w:val="20"/>
        </w:rPr>
      </w:pPr>
      <w:r w:rsidRPr="00796B7D">
        <w:rPr>
          <w:rFonts w:ascii="Arial" w:hAnsi="Arial" w:cs="Arial"/>
          <w:b w:val="0"/>
          <w:caps w:val="0"/>
          <w:sz w:val="20"/>
        </w:rPr>
        <w:t xml:space="preserve">Presented in Table 12 is the regression analysis examining how different domains of workstation challenges significantly influence occupational flexibility among public elementary school teachers. The regression model reveals that the domains of planning, motivation, communication, and evaluation significantly influence occupational flexibility. Specifically, evaluation (B = 0.76) has the strongest positive influence, followed by motivation (B = 0.43). Planning (B = 0.07) also has a positive but relatively smaller influence, while communication (B = -0.33) has a negative influence. The t-statistics for each significant factor (ranging from 2.40 to 25.68) and their corresponding p-values (all below 0.05) confirm the statistical significance of planning, motivation, communication, and evaluation in influencing occupational flexibility. The regression equation is as follows: occupational flexibility = 0.29 + </w:t>
      </w:r>
      <w:r w:rsidRPr="00796B7D">
        <w:rPr>
          <w:rFonts w:ascii="Arial" w:hAnsi="Arial" w:cs="Arial"/>
          <w:b w:val="0"/>
          <w:caps w:val="0"/>
          <w:sz w:val="20"/>
        </w:rPr>
        <w:lastRenderedPageBreak/>
        <w:t>0.07 (planning) + 0.43 (motivation) + -0.33 (communication) + 0.76 (evaluation). The model explains 90% of the variance in occupational flexibility (R² = 0.900). Furthermore, the model’s F-value of 287.03 and its p-value of 0.000 indicate that the model is statistically significant.</w:t>
      </w:r>
    </w:p>
    <w:p w14:paraId="70C21E10" w14:textId="6E33389A" w:rsidR="00796B7D" w:rsidRDefault="00796B7D" w:rsidP="00796B7D">
      <w:pPr>
        <w:pStyle w:val="ConcHead"/>
        <w:spacing w:after="0"/>
        <w:jc w:val="both"/>
        <w:rPr>
          <w:rFonts w:ascii="Arial" w:hAnsi="Arial" w:cs="Arial"/>
          <w:b w:val="0"/>
          <w:caps w:val="0"/>
          <w:sz w:val="20"/>
        </w:rPr>
      </w:pPr>
      <w:r w:rsidRPr="00796B7D">
        <w:rPr>
          <w:rFonts w:ascii="Arial" w:hAnsi="Arial" w:cs="Arial"/>
          <w:b w:val="0"/>
          <w:caps w:val="0"/>
          <w:sz w:val="20"/>
        </w:rPr>
        <w:t>This finding implies that the domains of motivation, planning, and evaluation positively influence occupational flexibility, while communication negatively impacts it. The strong positive influence of motivation and evaluation suggests that focusing on these areas can significantly improve teachers' ability to adapt to different challenges. The negative influence of communication indicates that challenges related to communication may hinder teachers’ occupational flexibility, and thus, addressing communication issues may be crucial for enhancing flexibility. These results highlight the importance of optimizing planning, motivation, and evaluation strategies to foster greater occupational flexibility among teachers, while addressing the communication barriers that may impede their adaptability.</w:t>
      </w:r>
    </w:p>
    <w:p w14:paraId="4EB3583A" w14:textId="77777777" w:rsidR="00796B7D" w:rsidRDefault="00796B7D" w:rsidP="00796B7D">
      <w:pPr>
        <w:pStyle w:val="ConcHead"/>
        <w:spacing w:after="0"/>
        <w:jc w:val="both"/>
        <w:rPr>
          <w:rFonts w:ascii="Arial" w:hAnsi="Arial" w:cs="Arial"/>
          <w:b w:val="0"/>
          <w:caps w:val="0"/>
          <w:sz w:val="20"/>
        </w:rPr>
      </w:pPr>
    </w:p>
    <w:p w14:paraId="08DDC195" w14:textId="005F9686" w:rsidR="00796B7D" w:rsidRDefault="00796B7D" w:rsidP="00796B7D">
      <w:pPr>
        <w:pStyle w:val="ConcHead"/>
        <w:spacing w:after="0"/>
        <w:jc w:val="both"/>
        <w:rPr>
          <w:rFonts w:ascii="Arial" w:hAnsi="Arial" w:cs="Arial"/>
          <w:b w:val="0"/>
          <w:caps w:val="0"/>
          <w:sz w:val="20"/>
        </w:rPr>
      </w:pPr>
      <w:r w:rsidRPr="00796B7D">
        <w:rPr>
          <w:rFonts w:ascii="Arial" w:hAnsi="Arial" w:cs="Arial"/>
          <w:b w:val="0"/>
          <w:caps w:val="0"/>
          <w:sz w:val="20"/>
        </w:rPr>
        <w:t xml:space="preserve">This finding aligns with the research of </w:t>
      </w:r>
      <w:proofErr w:type="spellStart"/>
      <w:r w:rsidRPr="00796B7D">
        <w:rPr>
          <w:rFonts w:ascii="Arial" w:hAnsi="Arial" w:cs="Arial"/>
          <w:b w:val="0"/>
          <w:caps w:val="0"/>
          <w:sz w:val="20"/>
        </w:rPr>
        <w:t>Petrychenko</w:t>
      </w:r>
      <w:proofErr w:type="spellEnd"/>
      <w:r w:rsidRPr="00796B7D">
        <w:rPr>
          <w:rFonts w:ascii="Arial" w:hAnsi="Arial" w:cs="Arial"/>
          <w:b w:val="0"/>
          <w:caps w:val="0"/>
          <w:sz w:val="20"/>
        </w:rPr>
        <w:t xml:space="preserve"> et al. (2023), who highlighted the significant influence of various domains of workstation challenges, such as planning, motivation, and evaluation, on occupational flexibility. Their study found that when teachers face considerable challenges in managing their workstations, it drives them to develop greater flexibility in adapting to changing classroom dynamics and student needs. Similarly, </w:t>
      </w:r>
      <w:proofErr w:type="spellStart"/>
      <w:r w:rsidRPr="00796B7D">
        <w:rPr>
          <w:rFonts w:ascii="Arial" w:hAnsi="Arial" w:cs="Arial"/>
          <w:b w:val="0"/>
          <w:caps w:val="0"/>
          <w:sz w:val="20"/>
        </w:rPr>
        <w:t>Mallillin</w:t>
      </w:r>
      <w:proofErr w:type="spellEnd"/>
      <w:r w:rsidRPr="00796B7D">
        <w:rPr>
          <w:rFonts w:ascii="Arial" w:hAnsi="Arial" w:cs="Arial"/>
          <w:b w:val="0"/>
          <w:caps w:val="0"/>
          <w:sz w:val="20"/>
        </w:rPr>
        <w:t xml:space="preserve"> (2021) emphasized that the domains of motivation and evaluation are particularly crucial in fostering occupational flexibility, as they encourage teachers to innovate and refine their teaching methods in response to ongoing challenges. Additionally, Hamilton (2022) argued that addressing workstation challenges, especially in terms of planning and evaluation, enables teachers to cultivate more adaptive and effective strategies, leading to improved classroom performance and student engagement.</w:t>
      </w:r>
    </w:p>
    <w:p w14:paraId="0098EA31" w14:textId="77777777" w:rsidR="00796B7D" w:rsidRDefault="00796B7D" w:rsidP="00796B7D">
      <w:pPr>
        <w:pStyle w:val="ConcHead"/>
        <w:spacing w:after="0"/>
        <w:jc w:val="both"/>
        <w:rPr>
          <w:rFonts w:ascii="Arial" w:hAnsi="Arial" w:cs="Arial"/>
          <w:b w:val="0"/>
          <w:caps w:val="0"/>
          <w:sz w:val="20"/>
        </w:rPr>
      </w:pPr>
    </w:p>
    <w:p w14:paraId="03034FC8" w14:textId="77777777" w:rsidR="00796B7D" w:rsidRDefault="00796B7D" w:rsidP="00796B7D">
      <w:pPr>
        <w:pStyle w:val="ConcHead"/>
        <w:spacing w:after="0"/>
        <w:jc w:val="both"/>
        <w:rPr>
          <w:rFonts w:ascii="Arial" w:hAnsi="Arial" w:cs="Arial"/>
          <w:b w:val="0"/>
          <w:caps w:val="0"/>
          <w:sz w:val="20"/>
        </w:rPr>
      </w:pPr>
    </w:p>
    <w:p w14:paraId="371DD412" w14:textId="2EE03B6D" w:rsidR="00717F2E" w:rsidRDefault="003016C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739E9738" w14:textId="77777777" w:rsidR="00796B7D" w:rsidRPr="00796B7D" w:rsidRDefault="00796B7D" w:rsidP="00796B7D">
      <w:pPr>
        <w:pStyle w:val="Body"/>
        <w:rPr>
          <w:rFonts w:ascii="Arial" w:hAnsi="Arial" w:cs="Arial"/>
        </w:rPr>
      </w:pPr>
      <w:r w:rsidRPr="00796B7D">
        <w:rPr>
          <w:rFonts w:ascii="Arial" w:hAnsi="Arial" w:cs="Arial"/>
        </w:rPr>
        <w:t xml:space="preserve">This study aimed to examine the significant relationship between the level of workstation challenges and occupational flexibility among public elementary school teachers in </w:t>
      </w:r>
      <w:proofErr w:type="spellStart"/>
      <w:r w:rsidRPr="00796B7D">
        <w:rPr>
          <w:rFonts w:ascii="Arial" w:hAnsi="Arial" w:cs="Arial"/>
        </w:rPr>
        <w:t>Manay</w:t>
      </w:r>
      <w:proofErr w:type="spellEnd"/>
      <w:r w:rsidRPr="00796B7D">
        <w:rPr>
          <w:rFonts w:ascii="Arial" w:hAnsi="Arial" w:cs="Arial"/>
        </w:rPr>
        <w:t xml:space="preserve"> District, Division of Davao Oriental. Specifically, it sought to assess the level of workstation challenges in terms of planning, motivation, communication, and evaluation. Additionally, the study aimed to evaluate the level of occupational flexibility in terms of confidence, outlook, communication, emotions, and intelligence. Furthermore, the study investigated whether a significant relationship exists between workstation challenges and occupational flexibility, and identified which domains of workstation challenges most significantly influence occupational flexibility. Using a descriptive-correlational research design, a total of 132 public elementary school teachers were surveyed using standardized questionnaires. The data were analyzed using mean, standard deviation (SD), Pearson product-moment correlation, and multiple linear regression analyses.</w:t>
      </w:r>
    </w:p>
    <w:p w14:paraId="261C452B" w14:textId="77777777" w:rsidR="00796B7D" w:rsidRPr="00796B7D" w:rsidRDefault="00796B7D" w:rsidP="00796B7D">
      <w:pPr>
        <w:pStyle w:val="Body"/>
        <w:rPr>
          <w:rFonts w:ascii="Arial" w:hAnsi="Arial" w:cs="Arial"/>
        </w:rPr>
      </w:pPr>
      <w:r w:rsidRPr="00796B7D">
        <w:rPr>
          <w:rFonts w:ascii="Arial" w:hAnsi="Arial" w:cs="Arial"/>
        </w:rPr>
        <w:t>From the data gathered in this study, the following findings were drawn:</w:t>
      </w:r>
    </w:p>
    <w:p w14:paraId="259645FC" w14:textId="77777777" w:rsidR="00796B7D" w:rsidRPr="00796B7D" w:rsidRDefault="00796B7D" w:rsidP="00796B7D">
      <w:pPr>
        <w:pStyle w:val="Body"/>
        <w:rPr>
          <w:rFonts w:ascii="Arial" w:hAnsi="Arial" w:cs="Arial"/>
        </w:rPr>
      </w:pPr>
      <w:r w:rsidRPr="00796B7D">
        <w:rPr>
          <w:rFonts w:ascii="Arial" w:hAnsi="Arial" w:cs="Arial"/>
        </w:rPr>
        <w:t>Firstly, the level of workstation challenges among public elementary school teachers is high, particularly in terms of planning and evaluation, while motivation and communication were rated very high.</w:t>
      </w:r>
    </w:p>
    <w:p w14:paraId="11079357" w14:textId="77777777" w:rsidR="00796B7D" w:rsidRPr="00796B7D" w:rsidRDefault="00796B7D" w:rsidP="00796B7D">
      <w:pPr>
        <w:pStyle w:val="Body"/>
        <w:rPr>
          <w:rFonts w:ascii="Arial" w:hAnsi="Arial" w:cs="Arial"/>
        </w:rPr>
      </w:pPr>
      <w:r w:rsidRPr="00796B7D">
        <w:rPr>
          <w:rFonts w:ascii="Arial" w:hAnsi="Arial" w:cs="Arial"/>
        </w:rPr>
        <w:t>Secondly, the level of occupational flexibility among public elementary school teachers is high, especially in terms of confidence, outlook, communication, emotions, and intelligence.</w:t>
      </w:r>
    </w:p>
    <w:p w14:paraId="6AAC2C52" w14:textId="77777777" w:rsidR="00796B7D" w:rsidRPr="00796B7D" w:rsidRDefault="00796B7D" w:rsidP="00796B7D">
      <w:pPr>
        <w:pStyle w:val="Body"/>
        <w:rPr>
          <w:rFonts w:ascii="Arial" w:hAnsi="Arial" w:cs="Arial"/>
        </w:rPr>
      </w:pPr>
      <w:r w:rsidRPr="00796B7D">
        <w:rPr>
          <w:rFonts w:ascii="Arial" w:hAnsi="Arial" w:cs="Arial"/>
        </w:rPr>
        <w:t>Thirdly, a significant relationship exists between workstation challenges and occupational flexibility, indicating a moderate positive correlation between the two variables.</w:t>
      </w:r>
    </w:p>
    <w:p w14:paraId="2AE8A3BA" w14:textId="368C4EE6" w:rsidR="00796B7D" w:rsidRDefault="00796B7D" w:rsidP="00796B7D">
      <w:pPr>
        <w:pStyle w:val="Body"/>
        <w:rPr>
          <w:rFonts w:ascii="Arial" w:hAnsi="Arial" w:cs="Arial"/>
        </w:rPr>
      </w:pPr>
      <w:r w:rsidRPr="00796B7D">
        <w:rPr>
          <w:rFonts w:ascii="Arial" w:hAnsi="Arial" w:cs="Arial"/>
        </w:rPr>
        <w:lastRenderedPageBreak/>
        <w:t>Finally, when examining the influence of different domains of workstation challenges on occupational flexibility, all domains—planning, motivation, communication, and evaluation were found to be significant predictors of occupational flexibility, with evaluation having the strongest influence.</w:t>
      </w:r>
    </w:p>
    <w:p w14:paraId="016D2A79" w14:textId="25BDC1A2" w:rsidR="00717F2E" w:rsidRDefault="003016C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62706E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Based on the findings of the study, the following conclusions were formulated:</w:t>
      </w:r>
    </w:p>
    <w:p w14:paraId="5240FDF2"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Firstly, the level of workstation challenges among public elementary school teachers is oftentimes observed, particularly in terms of planning, motivation, communication, and evaluation. This suggests that teachers often face challenges in these areas, which may require them to develop adaptive strategies and problem-solving skills to maintain effectiveness in the classroom.</w:t>
      </w:r>
    </w:p>
    <w:p w14:paraId="225B1CEF"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Secondly, the level of occupational flexibility among public elementary school teachers is oftentimes observed, especially in terms of confidence, outlook, communication, emotions, and intelligence. This indicates that teachers actively display the ability to adapt to varying circumstances and manage their emotional responses, ensuring a positive and responsive teaching environment.</w:t>
      </w:r>
    </w:p>
    <w:p w14:paraId="1C71C582"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Thirdly, a significant relationship exists between workstation challenges and occupational flexibility, with a moderate positive correlation between the two variables. This suggests that as teachers encounter and address challenges in their workstations, their occupational flexibility is enhanced, enabling them to be more versatile and effective in their teaching practices.</w:t>
      </w:r>
    </w:p>
    <w:p w14:paraId="53B2C70B"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Finally, when examining the influence of different domains of workstation challenges on occupational flexibility, all domains—planning, motivation, communication, and evaluation, were found to significantly influence occupational flexibility. Among these, evaluation had the strongest influence, underscoring the importance of effective assessment and feedback practices in fostering adaptive and flexible teaching methods.</w:t>
      </w:r>
    </w:p>
    <w:p w14:paraId="0C8AE164"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The findings of this study align with the theory of Brown (1996), which emphasizes that occupational flexibility is the ability to adapt to changing work environments. Brown highlighted that, in education, teachers must be flexible to remain effective and employable. This study shows that public elementary school teachers facing workstation challenges, like communication and motivation, need high occupational flexibility to overcome these difficulties and continue performing well in their roles.</w:t>
      </w:r>
    </w:p>
    <w:p w14:paraId="46F57E7D"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The study also supports Mohanty’s (2009) idea that occupational flexibility includes coping with stress and adjusting to changes in the work environment. The teachers in this study demonstrated the ability to manage stress and adjust to different challenges, reflecting their high level of occupational flexibility.</w:t>
      </w:r>
    </w:p>
    <w:p w14:paraId="4AA2D50E" w14:textId="53024DFC" w:rsidR="009B3A25" w:rsidRDefault="00796B7D" w:rsidP="00796B7D">
      <w:pPr>
        <w:pStyle w:val="ReferHead"/>
        <w:spacing w:after="0"/>
        <w:jc w:val="both"/>
        <w:rPr>
          <w:rFonts w:ascii="Arial" w:hAnsi="Arial" w:cs="Arial"/>
          <w:b w:val="0"/>
          <w:caps w:val="0"/>
          <w:sz w:val="20"/>
        </w:rPr>
      </w:pPr>
      <w:r w:rsidRPr="00796B7D">
        <w:rPr>
          <w:rFonts w:ascii="Arial" w:hAnsi="Arial" w:cs="Arial"/>
          <w:b w:val="0"/>
          <w:caps w:val="0"/>
          <w:sz w:val="20"/>
        </w:rPr>
        <w:t>Finally, the findings reflect a broader trend in the modern economy, where individuals must continuously develop new skills to remain employable. Public elementary school teachers, who often need to adapt to new teaching methods or technologies, show the importance of occupational flexibility for maintaining long-term success in their careers.</w:t>
      </w:r>
    </w:p>
    <w:p w14:paraId="1265BAB2" w14:textId="77777777" w:rsidR="00796B7D" w:rsidRDefault="00796B7D" w:rsidP="00796B7D">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FCFFCC2"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lastRenderedPageBreak/>
        <w:t>Based on the findings and conclusions of this study, the following recommendations were formulated:</w:t>
      </w:r>
    </w:p>
    <w:p w14:paraId="492093D0"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Firstly, considering that public elementary school teachers face very high workstation challenges, particularly in the areas of motivation and communication, school administrators may prioritize offering professional development programs aimed at enhancing teachers’ ability to handle these challenges. These programs can focus on developing strategies for maintaining high motivation levels, building stronger communication skills, and fostering positive classroom dynamics. Teachers may participate in workshops that focus on stress management, self-motivation techniques, and effective communication strategies, which would better equip them to handle the pressures and challenges they face in the classroom. Additionally, teachers may actively seek out resources or collaborate with peers to develop personalized approaches for overcoming motivational and communication obstacles.</w:t>
      </w:r>
    </w:p>
    <w:p w14:paraId="01D37DA4"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Secondly, given that the level of occupational flexibility among public elementary school teachers is high, school leaders may continue to promote professional growth opportunities that further enhance confidence, emotional intelligence, and adaptability in teachers. This can be achieved through workshops or mentorship programs that focus on self-confidence building, emotional resilience, and the ability to adapt to changing classroom dynamics. Teachers may take advantage of these opportunities to enhance their personal and professional development, participating in activities that promote emotional intelligence and adaptive teaching methods. Moreover, teachers may actively reflect on their own teaching practices to identify areas where they can adapt and grow, fostering an environment of continuous improvement in their classrooms.</w:t>
      </w:r>
    </w:p>
    <w:p w14:paraId="29879F5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Thirdly, since a significant relationship was identified between workstation challenges and occupational flexibility, it is recommended that schools create a collaborative environment where teachers can share strategies and best practices for overcoming challenges in both domains. Administrators may establish support groups or peer coaching systems where teachers can collaborate on effective solutions for managing the diverse challenges they face while also improving their flexibility. Teachers may engage in these collaborative sessions, where they can discuss common challenges, exchange tips, and offer support to one another. By actively participating in these groups, teachers may not only enhance their own professional skills but also contribute to the growth and success of their peers.</w:t>
      </w:r>
    </w:p>
    <w:p w14:paraId="52F8D799" w14:textId="77777777" w:rsidR="00796B7D" w:rsidRPr="00796B7D" w:rsidRDefault="00796B7D" w:rsidP="00796B7D">
      <w:pPr>
        <w:pStyle w:val="ReferHead"/>
        <w:jc w:val="both"/>
        <w:rPr>
          <w:rFonts w:ascii="Arial" w:hAnsi="Arial" w:cs="Arial"/>
          <w:b w:val="0"/>
          <w:caps w:val="0"/>
          <w:sz w:val="20"/>
        </w:rPr>
      </w:pPr>
      <w:r w:rsidRPr="00796B7D">
        <w:rPr>
          <w:rFonts w:ascii="Arial" w:hAnsi="Arial" w:cs="Arial"/>
          <w:b w:val="0"/>
          <w:caps w:val="0"/>
          <w:sz w:val="20"/>
        </w:rPr>
        <w:t>Finally, as the domains of planning, motivation, communication, and evaluation were found to significantly impact occupational flexibility, schools may focus their professional development efforts on enhancing teachers' skills in these areas. Offering training on effective planning strategies, maintaining motivation in challenging situations, enhancing communication with students and colleagues, and implementing impactful evaluation methods can significantly improve teachers’ ability to navigate classroom challenges and maintain a flexible, responsive teaching approach. Teachers may incorporate the strategies learned from these professional development programs into their daily routines, experimenting with different techniques to improve planning, motivation, communication, and evaluation. Furthermore, teachers may take the initiative to create more open lines of communication with students, parents, and colleagues to foster a more collaborative and supportive teaching environment.</w:t>
      </w:r>
    </w:p>
    <w:p w14:paraId="6E19A6D9" w14:textId="2F73F741" w:rsidR="00E05E14" w:rsidRDefault="00796B7D" w:rsidP="00796B7D">
      <w:pPr>
        <w:pStyle w:val="ReferHead"/>
        <w:spacing w:after="0"/>
        <w:jc w:val="both"/>
        <w:rPr>
          <w:rFonts w:ascii="Arial" w:hAnsi="Arial" w:cs="Arial"/>
          <w:b w:val="0"/>
          <w:caps w:val="0"/>
          <w:sz w:val="20"/>
        </w:rPr>
      </w:pPr>
      <w:r w:rsidRPr="00796B7D">
        <w:rPr>
          <w:rFonts w:ascii="Arial" w:hAnsi="Arial" w:cs="Arial"/>
          <w:b w:val="0"/>
          <w:caps w:val="0"/>
          <w:sz w:val="20"/>
        </w:rPr>
        <w:t xml:space="preserve">Future research could explore how targeted interventions in the areas of motivation, communication, planning, and evaluation can lead to sustained improvements in occupational flexibility. Additionally, further studies could examine how the relationship between these domains varies across different educational contexts and grade levels, offering more insights </w:t>
      </w:r>
      <w:r w:rsidRPr="00796B7D">
        <w:rPr>
          <w:rFonts w:ascii="Arial" w:hAnsi="Arial" w:cs="Arial"/>
          <w:b w:val="0"/>
          <w:caps w:val="0"/>
          <w:sz w:val="20"/>
        </w:rPr>
        <w:lastRenderedPageBreak/>
        <w:t>into effective strategies for supporting teachers in their professional growth and classroom adaptability.</w:t>
      </w:r>
    </w:p>
    <w:p w14:paraId="6303EB3B" w14:textId="77777777" w:rsidR="00796B7D" w:rsidRDefault="00796B7D" w:rsidP="00796B7D">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bookmarkStart w:id="0" w:name="_GoBack"/>
      <w:bookmarkEnd w:id="0"/>
    </w:p>
    <w:p w14:paraId="013BA332" w14:textId="77777777" w:rsidR="00717F2E" w:rsidRDefault="003016CA">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3016CA"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61685AB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Ahmad, S., Wasim, S., Irfan, S., </w:t>
      </w:r>
      <w:proofErr w:type="spellStart"/>
      <w:r w:rsidRPr="00DA7F8A">
        <w:rPr>
          <w:rFonts w:ascii="Arial" w:hAnsi="Arial" w:cs="Arial"/>
          <w:color w:val="222222"/>
          <w:shd w:val="clear" w:color="auto" w:fill="FFFFFF"/>
        </w:rPr>
        <w:t>Gogoi</w:t>
      </w:r>
      <w:proofErr w:type="spellEnd"/>
      <w:r w:rsidRPr="00DA7F8A">
        <w:rPr>
          <w:rFonts w:ascii="Arial" w:hAnsi="Arial" w:cs="Arial"/>
          <w:color w:val="222222"/>
          <w:shd w:val="clear" w:color="auto" w:fill="FFFFFF"/>
        </w:rPr>
        <w:t xml:space="preserve">, S., Srivastava, A., &amp; </w:t>
      </w:r>
      <w:proofErr w:type="spellStart"/>
      <w:r w:rsidRPr="00DA7F8A">
        <w:rPr>
          <w:rFonts w:ascii="Arial" w:hAnsi="Arial" w:cs="Arial"/>
          <w:color w:val="222222"/>
          <w:shd w:val="clear" w:color="auto" w:fill="FFFFFF"/>
        </w:rPr>
        <w:t>Farheen</w:t>
      </w:r>
      <w:proofErr w:type="spellEnd"/>
      <w:r w:rsidRPr="00DA7F8A">
        <w:rPr>
          <w:rFonts w:ascii="Arial" w:hAnsi="Arial" w:cs="Arial"/>
          <w:color w:val="222222"/>
          <w:shd w:val="clear" w:color="auto" w:fill="FFFFFF"/>
        </w:rPr>
        <w:t>, Z. (2019). Qualitative v/s. quantitative research-a summarized review. </w:t>
      </w:r>
      <w:r w:rsidRPr="00DA7F8A">
        <w:rPr>
          <w:rFonts w:ascii="Arial" w:hAnsi="Arial" w:cs="Arial"/>
          <w:i/>
          <w:iCs/>
          <w:color w:val="222222"/>
          <w:shd w:val="clear" w:color="auto" w:fill="FFFFFF"/>
        </w:rPr>
        <w:t>population</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w:t>
      </w:r>
      <w:r w:rsidRPr="00DA7F8A">
        <w:rPr>
          <w:rFonts w:ascii="Arial" w:hAnsi="Arial" w:cs="Arial"/>
          <w:color w:val="222222"/>
          <w:shd w:val="clear" w:color="auto" w:fill="FFFFFF"/>
        </w:rPr>
        <w:t>(2), 2828-2832.</w:t>
      </w:r>
    </w:p>
    <w:p w14:paraId="7B6D5B4C" w14:textId="77777777" w:rsidR="0016553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Austen, R. K., McEwan, G. J., &amp; Tolkien, Z. W. (2023). Adapt and overcome: unraveling the dynamics of job stressors and coping mechanisms among nurses in the UK. </w:t>
      </w:r>
      <w:r w:rsidRPr="00DA7F8A">
        <w:rPr>
          <w:rFonts w:ascii="Arial" w:hAnsi="Arial" w:cs="Arial"/>
          <w:i/>
          <w:iCs/>
          <w:color w:val="222222"/>
          <w:shd w:val="clear" w:color="auto" w:fill="FFFFFF"/>
        </w:rPr>
        <w:t>Journal of Human Resource &amp; Leadership</w:t>
      </w:r>
      <w:r w:rsidRPr="00DA7F8A">
        <w:rPr>
          <w:rFonts w:ascii="Arial" w:hAnsi="Arial" w:cs="Arial"/>
          <w:color w:val="222222"/>
          <w:shd w:val="clear" w:color="auto" w:fill="FFFFFF"/>
        </w:rPr>
        <w:t>, </w:t>
      </w:r>
      <w:r w:rsidRPr="00DA7F8A">
        <w:rPr>
          <w:rFonts w:ascii="Arial" w:hAnsi="Arial" w:cs="Arial"/>
          <w:i/>
          <w:iCs/>
          <w:color w:val="222222"/>
          <w:shd w:val="clear" w:color="auto" w:fill="FFFFFF"/>
        </w:rPr>
        <w:t>7</w:t>
      </w:r>
      <w:r w:rsidRPr="00DA7F8A">
        <w:rPr>
          <w:rFonts w:ascii="Arial" w:hAnsi="Arial" w:cs="Arial"/>
          <w:color w:val="222222"/>
          <w:shd w:val="clear" w:color="auto" w:fill="FFFFFF"/>
        </w:rPr>
        <w:t>(1), 12-21.</w:t>
      </w:r>
    </w:p>
    <w:p w14:paraId="74BFFDE5" w14:textId="3ECEA626" w:rsidR="0016553A" w:rsidRPr="00DA7F8A" w:rsidRDefault="0016553A" w:rsidP="0016553A">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D54689F"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Blömeke</w:t>
      </w:r>
      <w:proofErr w:type="spellEnd"/>
      <w:r w:rsidRPr="00DA7F8A">
        <w:rPr>
          <w:rFonts w:ascii="Arial" w:hAnsi="Arial" w:cs="Arial"/>
          <w:color w:val="222222"/>
          <w:shd w:val="clear" w:color="auto" w:fill="FFFFFF"/>
        </w:rPr>
        <w:t>, S., Nilsen, T., &amp; Scherer, R. (2021). School innovativeness is associated with enhanced teacher collaboration, innovative classroom practices, and job satisfaction. </w:t>
      </w:r>
      <w:r w:rsidRPr="00DA7F8A">
        <w:rPr>
          <w:rFonts w:ascii="Arial" w:hAnsi="Arial" w:cs="Arial"/>
          <w:i/>
          <w:iCs/>
          <w:color w:val="222222"/>
          <w:shd w:val="clear" w:color="auto" w:fill="FFFFFF"/>
        </w:rPr>
        <w:t>Journal of Educational Psychology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113</w:t>
      </w:r>
      <w:r w:rsidRPr="00DA7F8A">
        <w:rPr>
          <w:rFonts w:ascii="Arial" w:hAnsi="Arial" w:cs="Arial"/>
          <w:color w:val="222222"/>
          <w:shd w:val="clear" w:color="auto" w:fill="FFFFFF"/>
        </w:rPr>
        <w:t>(8), 1645.</w:t>
      </w:r>
    </w:p>
    <w:p w14:paraId="1A3E78E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Duong, A. C., Nguyen, H. N., Tran, A., &amp; Trinh, T. M. (2023, July). An investigation into teachers’ occupational well-being and education leadership during the COVID-19 pandemic. In </w:t>
      </w:r>
      <w:r w:rsidRPr="00DA7F8A">
        <w:rPr>
          <w:rFonts w:ascii="Arial" w:hAnsi="Arial" w:cs="Arial"/>
          <w:i/>
          <w:iCs/>
          <w:color w:val="222222"/>
          <w:shd w:val="clear" w:color="auto" w:fill="FFFFFF"/>
        </w:rPr>
        <w:t>Frontiers in Education</w:t>
      </w:r>
      <w:r w:rsidRPr="00DA7F8A">
        <w:rPr>
          <w:rFonts w:ascii="Arial" w:hAnsi="Arial" w:cs="Arial"/>
          <w:color w:val="222222"/>
          <w:shd w:val="clear" w:color="auto" w:fill="FFFFFF"/>
        </w:rPr>
        <w:t> (Vol. 8, p. 1112577). Frontiers Media SA.</w:t>
      </w:r>
    </w:p>
    <w:p w14:paraId="69B0E0ED"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Farmer, T. W., Hamm, J. V., Dawes, M., </w:t>
      </w:r>
      <w:proofErr w:type="spellStart"/>
      <w:r w:rsidRPr="00DA7F8A">
        <w:rPr>
          <w:rFonts w:ascii="Arial" w:hAnsi="Arial" w:cs="Arial"/>
          <w:color w:val="222222"/>
          <w:shd w:val="clear" w:color="auto" w:fill="FFFFFF"/>
        </w:rPr>
        <w:t>Barko</w:t>
      </w:r>
      <w:proofErr w:type="spellEnd"/>
      <w:r w:rsidRPr="00DA7F8A">
        <w:rPr>
          <w:rFonts w:ascii="Arial" w:hAnsi="Arial" w:cs="Arial"/>
          <w:color w:val="222222"/>
          <w:shd w:val="clear" w:color="auto" w:fill="FFFFFF"/>
        </w:rPr>
        <w:t>-Alva, K., &amp; Cross, J. R. (2019). Promoting inclusive communities in diverse classrooms: Teacher attunement and social dynamics management. </w:t>
      </w:r>
      <w:r w:rsidRPr="00DA7F8A">
        <w:rPr>
          <w:rFonts w:ascii="Arial" w:hAnsi="Arial" w:cs="Arial"/>
          <w:i/>
          <w:iCs/>
          <w:color w:val="222222"/>
          <w:shd w:val="clear" w:color="auto" w:fill="FFFFFF"/>
        </w:rPr>
        <w:t>Educational Psychologist</w:t>
      </w:r>
      <w:r w:rsidRPr="00DA7F8A">
        <w:rPr>
          <w:rFonts w:ascii="Arial" w:hAnsi="Arial" w:cs="Arial"/>
          <w:color w:val="222222"/>
          <w:shd w:val="clear" w:color="auto" w:fill="FFFFFF"/>
        </w:rPr>
        <w:t>, </w:t>
      </w:r>
      <w:r w:rsidRPr="00DA7F8A">
        <w:rPr>
          <w:rFonts w:ascii="Arial" w:hAnsi="Arial" w:cs="Arial"/>
          <w:i/>
          <w:iCs/>
          <w:color w:val="222222"/>
          <w:shd w:val="clear" w:color="auto" w:fill="FFFFFF"/>
        </w:rPr>
        <w:t>54</w:t>
      </w:r>
      <w:r w:rsidRPr="00DA7F8A">
        <w:rPr>
          <w:rFonts w:ascii="Arial" w:hAnsi="Arial" w:cs="Arial"/>
          <w:color w:val="222222"/>
          <w:shd w:val="clear" w:color="auto" w:fill="FFFFFF"/>
        </w:rPr>
        <w:t>(4), 286-305.</w:t>
      </w:r>
    </w:p>
    <w:p w14:paraId="41B1C7FA"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Fuchs, H., </w:t>
      </w:r>
      <w:proofErr w:type="spellStart"/>
      <w:r w:rsidRPr="00DA7F8A">
        <w:rPr>
          <w:rFonts w:ascii="Arial" w:hAnsi="Arial" w:cs="Arial"/>
          <w:color w:val="222222"/>
          <w:shd w:val="clear" w:color="auto" w:fill="FFFFFF"/>
        </w:rPr>
        <w:t>Benkova</w:t>
      </w:r>
      <w:proofErr w:type="spellEnd"/>
      <w:r w:rsidRPr="00DA7F8A">
        <w:rPr>
          <w:rFonts w:ascii="Arial" w:hAnsi="Arial" w:cs="Arial"/>
          <w:color w:val="222222"/>
          <w:shd w:val="clear" w:color="auto" w:fill="FFFFFF"/>
        </w:rPr>
        <w:t>, E., Fishbein, A., &amp; Fuchs, A. (2023, November). The importance of psychological and cognitive flexibility in educational processes to prepare and acquire the skills required in the Twenty-First century. In </w:t>
      </w:r>
      <w:r w:rsidRPr="00DA7F8A">
        <w:rPr>
          <w:rFonts w:ascii="Arial" w:hAnsi="Arial" w:cs="Arial"/>
          <w:i/>
          <w:iCs/>
          <w:color w:val="222222"/>
          <w:shd w:val="clear" w:color="auto" w:fill="FFFFFF"/>
        </w:rPr>
        <w:t>The Global Conference on Entrepreneurship and the Economy in an Era of Uncertainty</w:t>
      </w:r>
      <w:r w:rsidRPr="00DA7F8A">
        <w:rPr>
          <w:rFonts w:ascii="Arial" w:hAnsi="Arial" w:cs="Arial"/>
          <w:color w:val="222222"/>
          <w:shd w:val="clear" w:color="auto" w:fill="FFFFFF"/>
        </w:rPr>
        <w:t> (pp. 91-114). Singapore: Springer Nature Singapore.</w:t>
      </w:r>
    </w:p>
    <w:p w14:paraId="5C51A087"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Groskopf, M. K. (2021). </w:t>
      </w:r>
      <w:r w:rsidRPr="00DA7F8A">
        <w:rPr>
          <w:rFonts w:ascii="Arial" w:hAnsi="Arial" w:cs="Arial"/>
          <w:i/>
          <w:iCs/>
          <w:color w:val="222222"/>
          <w:shd w:val="clear" w:color="auto" w:fill="FFFFFF"/>
        </w:rPr>
        <w:t>Surviving and Thriving as a Teacher: Exploring the Emotional Management Struggles and Strategies of Teachers</w:t>
      </w:r>
      <w:r w:rsidRPr="00DA7F8A">
        <w:rPr>
          <w:rFonts w:ascii="Arial" w:hAnsi="Arial" w:cs="Arial"/>
          <w:color w:val="222222"/>
          <w:shd w:val="clear" w:color="auto" w:fill="FFFFFF"/>
        </w:rPr>
        <w:t>. The University of Regina (Canada).</w:t>
      </w:r>
    </w:p>
    <w:p w14:paraId="42884BA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Gundersen, P. E. (2019). How does the high school redesigned learning space influence collaboration, communication, creativity, and critical thinking.</w:t>
      </w:r>
    </w:p>
    <w:p w14:paraId="01CB6C7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Hamilton, B. (2022). </w:t>
      </w:r>
      <w:r w:rsidRPr="00DA7F8A">
        <w:rPr>
          <w:rFonts w:ascii="Arial" w:hAnsi="Arial" w:cs="Arial"/>
          <w:i/>
          <w:iCs/>
          <w:color w:val="222222"/>
          <w:shd w:val="clear" w:color="auto" w:fill="FFFFFF"/>
        </w:rPr>
        <w:t>Integrating technology in the classroom: Tools to meet the needs of every student</w:t>
      </w:r>
      <w:r w:rsidRPr="00DA7F8A">
        <w:rPr>
          <w:rFonts w:ascii="Arial" w:hAnsi="Arial" w:cs="Arial"/>
          <w:color w:val="222222"/>
          <w:shd w:val="clear" w:color="auto" w:fill="FFFFFF"/>
        </w:rPr>
        <w:t>. International Society for Technology in Education.</w:t>
      </w:r>
    </w:p>
    <w:p w14:paraId="740CAB14"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Ihua</w:t>
      </w:r>
      <w:proofErr w:type="spellEnd"/>
      <w:r w:rsidRPr="00DA7F8A">
        <w:rPr>
          <w:rFonts w:ascii="Arial" w:hAnsi="Arial" w:cs="Arial"/>
          <w:color w:val="222222"/>
          <w:shd w:val="clear" w:color="auto" w:fill="FFFFFF"/>
        </w:rPr>
        <w:t xml:space="preserve">-Jonathan, N., </w:t>
      </w:r>
      <w:proofErr w:type="spellStart"/>
      <w:r w:rsidRPr="00DA7F8A">
        <w:rPr>
          <w:rFonts w:ascii="Arial" w:hAnsi="Arial" w:cs="Arial"/>
          <w:color w:val="222222"/>
          <w:shd w:val="clear" w:color="auto" w:fill="FFFFFF"/>
        </w:rPr>
        <w:t>Anunobi</w:t>
      </w:r>
      <w:proofErr w:type="spellEnd"/>
      <w:r w:rsidRPr="00DA7F8A">
        <w:rPr>
          <w:rFonts w:ascii="Arial" w:hAnsi="Arial" w:cs="Arial"/>
          <w:color w:val="222222"/>
          <w:shd w:val="clear" w:color="auto" w:fill="FFFFFF"/>
        </w:rPr>
        <w:t xml:space="preserve">, O., &amp; Malik, C. A. (2023). WORK-PLACE DIGITAL ENVIROMENT: A PANACEA FOR HIGH PRODUCTIVITY AMONGST </w:t>
      </w:r>
      <w:r w:rsidRPr="00DA7F8A">
        <w:rPr>
          <w:rFonts w:ascii="Arial" w:hAnsi="Arial" w:cs="Arial"/>
          <w:color w:val="222222"/>
          <w:shd w:val="clear" w:color="auto" w:fill="FFFFFF"/>
        </w:rPr>
        <w:lastRenderedPageBreak/>
        <w:t xml:space="preserve">LECTURERS IN UNIVERSITIES IN RIVERS STATE. </w:t>
      </w:r>
      <w:r w:rsidRPr="00DA7F8A">
        <w:rPr>
          <w:rFonts w:ascii="Arial" w:hAnsi="Arial" w:cs="Arial"/>
          <w:i/>
          <w:iCs/>
          <w:color w:val="222222"/>
          <w:shd w:val="clear" w:color="auto" w:fill="FFFFFF"/>
        </w:rPr>
        <w:t>Journal of Teacher Perspective</w:t>
      </w:r>
      <w:r w:rsidRPr="00DA7F8A">
        <w:rPr>
          <w:rFonts w:ascii="Arial" w:hAnsi="Arial" w:cs="Arial"/>
          <w:color w:val="222222"/>
          <w:shd w:val="clear" w:color="auto" w:fill="FFFFFF"/>
        </w:rPr>
        <w:t>, 18(1).</w:t>
      </w:r>
    </w:p>
    <w:p w14:paraId="250C11A9"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Karman, A. (2020). Flexibility, coping capacity and resilience of organizations: between synergy and support. </w:t>
      </w:r>
      <w:r w:rsidRPr="00DA7F8A">
        <w:rPr>
          <w:rFonts w:ascii="Arial" w:hAnsi="Arial" w:cs="Arial"/>
          <w:i/>
          <w:iCs/>
          <w:color w:val="222222"/>
          <w:shd w:val="clear" w:color="auto" w:fill="FFFFFF"/>
        </w:rPr>
        <w:t>Journal of Organizational Change Management</w:t>
      </w:r>
      <w:r w:rsidRPr="00DA7F8A">
        <w:rPr>
          <w:rFonts w:ascii="Arial" w:hAnsi="Arial" w:cs="Arial"/>
          <w:color w:val="222222"/>
          <w:shd w:val="clear" w:color="auto" w:fill="FFFFFF"/>
        </w:rPr>
        <w:t>, </w:t>
      </w:r>
      <w:r w:rsidRPr="00DA7F8A">
        <w:rPr>
          <w:rFonts w:ascii="Arial" w:hAnsi="Arial" w:cs="Arial"/>
          <w:i/>
          <w:iCs/>
          <w:color w:val="222222"/>
          <w:shd w:val="clear" w:color="auto" w:fill="FFFFFF"/>
        </w:rPr>
        <w:t>33</w:t>
      </w:r>
      <w:r w:rsidRPr="00DA7F8A">
        <w:rPr>
          <w:rFonts w:ascii="Arial" w:hAnsi="Arial" w:cs="Arial"/>
          <w:color w:val="222222"/>
          <w:shd w:val="clear" w:color="auto" w:fill="FFFFFF"/>
        </w:rPr>
        <w:t>(5), 883-907.</w:t>
      </w:r>
    </w:p>
    <w:p w14:paraId="5B0E4075"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Mallillin</w:t>
      </w:r>
      <w:proofErr w:type="spellEnd"/>
      <w:r w:rsidRPr="00DA7F8A">
        <w:rPr>
          <w:rFonts w:ascii="Arial" w:hAnsi="Arial" w:cs="Arial"/>
          <w:color w:val="222222"/>
          <w:shd w:val="clear" w:color="auto" w:fill="FFFFFF"/>
        </w:rPr>
        <w:t>, L. L. D. (2021). Teacher theory and adaptable model: an application to teaching profession. </w:t>
      </w:r>
      <w:r w:rsidRPr="00DA7F8A">
        <w:rPr>
          <w:rFonts w:ascii="Arial" w:hAnsi="Arial" w:cs="Arial"/>
          <w:i/>
          <w:iCs/>
          <w:color w:val="222222"/>
          <w:shd w:val="clear" w:color="auto" w:fill="FFFFFF"/>
        </w:rPr>
        <w:t>European Journal of Education Studies</w:t>
      </w:r>
      <w:r w:rsidRPr="00DA7F8A">
        <w:rPr>
          <w:rFonts w:ascii="Arial" w:hAnsi="Arial" w:cs="Arial"/>
          <w:color w:val="222222"/>
          <w:shd w:val="clear" w:color="auto" w:fill="FFFFFF"/>
        </w:rPr>
        <w:t>, </w:t>
      </w:r>
      <w:r w:rsidRPr="00DA7F8A">
        <w:rPr>
          <w:rFonts w:ascii="Arial" w:hAnsi="Arial" w:cs="Arial"/>
          <w:i/>
          <w:iCs/>
          <w:color w:val="222222"/>
          <w:shd w:val="clear" w:color="auto" w:fill="FFFFFF"/>
        </w:rPr>
        <w:t>8</w:t>
      </w:r>
      <w:r w:rsidRPr="00DA7F8A">
        <w:rPr>
          <w:rFonts w:ascii="Arial" w:hAnsi="Arial" w:cs="Arial"/>
          <w:color w:val="222222"/>
          <w:shd w:val="clear" w:color="auto" w:fill="FFFFFF"/>
        </w:rPr>
        <w:t>(12).</w:t>
      </w:r>
    </w:p>
    <w:p w14:paraId="4CCBADF5"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Niemi, K. (2021). ‘The best guess for the </w:t>
      </w:r>
      <w:proofErr w:type="spellStart"/>
      <w:r w:rsidRPr="00DA7F8A">
        <w:rPr>
          <w:rFonts w:ascii="Arial" w:hAnsi="Arial" w:cs="Arial"/>
          <w:color w:val="222222"/>
          <w:shd w:val="clear" w:color="auto" w:fill="FFFFFF"/>
        </w:rPr>
        <w:t>future?’Teachers</w:t>
      </w:r>
      <w:proofErr w:type="spellEnd"/>
      <w:r w:rsidRPr="00DA7F8A">
        <w:rPr>
          <w:rFonts w:ascii="Arial" w:hAnsi="Arial" w:cs="Arial"/>
          <w:color w:val="222222"/>
          <w:shd w:val="clear" w:color="auto" w:fill="FFFFFF"/>
        </w:rPr>
        <w:t>’ adaptation to open and flexible learning environments in Finland. </w:t>
      </w:r>
      <w:r w:rsidRPr="00DA7F8A">
        <w:rPr>
          <w:rFonts w:ascii="Arial" w:hAnsi="Arial" w:cs="Arial"/>
          <w:i/>
          <w:iCs/>
          <w:color w:val="222222"/>
          <w:shd w:val="clear" w:color="auto" w:fill="FFFFFF"/>
        </w:rPr>
        <w:t>Education Inquiry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12</w:t>
      </w:r>
      <w:r w:rsidRPr="00DA7F8A">
        <w:rPr>
          <w:rFonts w:ascii="Arial" w:hAnsi="Arial" w:cs="Arial"/>
          <w:color w:val="222222"/>
          <w:shd w:val="clear" w:color="auto" w:fill="FFFFFF"/>
        </w:rPr>
        <w:t>(3), 282-300.</w:t>
      </w:r>
    </w:p>
    <w:p w14:paraId="3CDD6798"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Paschina</w:t>
      </w:r>
      <w:proofErr w:type="spellEnd"/>
      <w:r w:rsidRPr="00DA7F8A">
        <w:rPr>
          <w:rFonts w:ascii="Arial" w:hAnsi="Arial" w:cs="Arial"/>
          <w:color w:val="222222"/>
          <w:shd w:val="clear" w:color="auto" w:fill="FFFFFF"/>
        </w:rPr>
        <w:t>, S. (2023). Trust in management and work flexibility: a quantitative investigation of modern work dynamics and their impact on organizational performance.</w:t>
      </w:r>
    </w:p>
    <w:p w14:paraId="14DC1906"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Paul, M., Jena, L. K., &amp; Sahoo, K. (2020). Workplace spirituality and workforce agility: a psychological exploration among teaching professionals. </w:t>
      </w:r>
      <w:r w:rsidRPr="00DA7F8A">
        <w:rPr>
          <w:rFonts w:ascii="Arial" w:hAnsi="Arial" w:cs="Arial"/>
          <w:i/>
          <w:iCs/>
          <w:color w:val="222222"/>
          <w:shd w:val="clear" w:color="auto" w:fill="FFFFFF"/>
        </w:rPr>
        <w:t>Journal of religion and health</w:t>
      </w:r>
      <w:r w:rsidRPr="00DA7F8A">
        <w:rPr>
          <w:rFonts w:ascii="Arial" w:hAnsi="Arial" w:cs="Arial"/>
          <w:color w:val="222222"/>
          <w:shd w:val="clear" w:color="auto" w:fill="FFFFFF"/>
        </w:rPr>
        <w:t>, </w:t>
      </w:r>
      <w:r w:rsidRPr="00DA7F8A">
        <w:rPr>
          <w:rFonts w:ascii="Arial" w:hAnsi="Arial" w:cs="Arial"/>
          <w:i/>
          <w:iCs/>
          <w:color w:val="222222"/>
          <w:shd w:val="clear" w:color="auto" w:fill="FFFFFF"/>
        </w:rPr>
        <w:t>59</w:t>
      </w:r>
      <w:r w:rsidRPr="00DA7F8A">
        <w:rPr>
          <w:rFonts w:ascii="Arial" w:hAnsi="Arial" w:cs="Arial"/>
          <w:color w:val="222222"/>
          <w:shd w:val="clear" w:color="auto" w:fill="FFFFFF"/>
        </w:rPr>
        <w:t>(1), 135-153.</w:t>
      </w:r>
    </w:p>
    <w:p w14:paraId="5AB8B6BF"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Petrychenko</w:t>
      </w:r>
      <w:proofErr w:type="spellEnd"/>
      <w:r w:rsidRPr="00DA7F8A">
        <w:rPr>
          <w:rFonts w:ascii="Arial" w:hAnsi="Arial" w:cs="Arial"/>
          <w:color w:val="222222"/>
          <w:shd w:val="clear" w:color="auto" w:fill="FFFFFF"/>
        </w:rPr>
        <w:t xml:space="preserve">, O., </w:t>
      </w:r>
      <w:proofErr w:type="spellStart"/>
      <w:r w:rsidRPr="00DA7F8A">
        <w:rPr>
          <w:rFonts w:ascii="Arial" w:hAnsi="Arial" w:cs="Arial"/>
          <w:color w:val="222222"/>
          <w:shd w:val="clear" w:color="auto" w:fill="FFFFFF"/>
        </w:rPr>
        <w:t>Petrichenko</w:t>
      </w:r>
      <w:proofErr w:type="spellEnd"/>
      <w:r w:rsidRPr="00DA7F8A">
        <w:rPr>
          <w:rFonts w:ascii="Arial" w:hAnsi="Arial" w:cs="Arial"/>
          <w:color w:val="222222"/>
          <w:shd w:val="clear" w:color="auto" w:fill="FFFFFF"/>
        </w:rPr>
        <w:t xml:space="preserve">, I., </w:t>
      </w:r>
      <w:proofErr w:type="spellStart"/>
      <w:r w:rsidRPr="00DA7F8A">
        <w:rPr>
          <w:rFonts w:ascii="Arial" w:hAnsi="Arial" w:cs="Arial"/>
          <w:color w:val="222222"/>
          <w:shd w:val="clear" w:color="auto" w:fill="FFFFFF"/>
        </w:rPr>
        <w:t>Burmaka</w:t>
      </w:r>
      <w:proofErr w:type="spellEnd"/>
      <w:r w:rsidRPr="00DA7F8A">
        <w:rPr>
          <w:rFonts w:ascii="Arial" w:hAnsi="Arial" w:cs="Arial"/>
          <w:color w:val="222222"/>
          <w:shd w:val="clear" w:color="auto" w:fill="FFFFFF"/>
        </w:rPr>
        <w:t xml:space="preserve">, I., &amp; </w:t>
      </w:r>
      <w:proofErr w:type="spellStart"/>
      <w:r w:rsidRPr="00DA7F8A">
        <w:rPr>
          <w:rFonts w:ascii="Arial" w:hAnsi="Arial" w:cs="Arial"/>
          <w:color w:val="222222"/>
          <w:shd w:val="clear" w:color="auto" w:fill="FFFFFF"/>
        </w:rPr>
        <w:t>Vynohradova</w:t>
      </w:r>
      <w:proofErr w:type="spellEnd"/>
      <w:r w:rsidRPr="00DA7F8A">
        <w:rPr>
          <w:rFonts w:ascii="Arial" w:hAnsi="Arial" w:cs="Arial"/>
          <w:color w:val="222222"/>
          <w:shd w:val="clear" w:color="auto" w:fill="FFFFFF"/>
        </w:rPr>
        <w:t>, A. (2023). Changes in modern university: challenges of today and development trends. </w:t>
      </w:r>
      <w:r w:rsidRPr="00DA7F8A">
        <w:rPr>
          <w:rFonts w:ascii="Arial" w:hAnsi="Arial" w:cs="Arial"/>
          <w:i/>
          <w:iCs/>
          <w:color w:val="222222"/>
          <w:shd w:val="clear" w:color="auto" w:fill="FFFFFF"/>
        </w:rPr>
        <w:t>Transport systems and technologies</w:t>
      </w:r>
      <w:r w:rsidRPr="00DA7F8A">
        <w:rPr>
          <w:rFonts w:ascii="Arial" w:hAnsi="Arial" w:cs="Arial"/>
          <w:color w:val="222222"/>
          <w:shd w:val="clear" w:color="auto" w:fill="FFFFFF"/>
        </w:rPr>
        <w:t>, (41), 74-83.</w:t>
      </w:r>
    </w:p>
    <w:p w14:paraId="7B47A6BC"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Pregoner</w:t>
      </w:r>
      <w:proofErr w:type="spellEnd"/>
      <w:r w:rsidRPr="00DA7F8A">
        <w:rPr>
          <w:rFonts w:ascii="Arial" w:hAnsi="Arial" w:cs="Arial"/>
          <w:color w:val="222222"/>
          <w:shd w:val="clear" w:color="auto" w:fill="FFFFFF"/>
        </w:rPr>
        <w:t>, J. D. (2024). Research approaches in education: A comparison of quantitative, qualitative and mixed methods. </w:t>
      </w:r>
      <w:r w:rsidRPr="00DA7F8A">
        <w:rPr>
          <w:rFonts w:ascii="Arial" w:hAnsi="Arial" w:cs="Arial"/>
          <w:i/>
          <w:iCs/>
          <w:color w:val="222222"/>
          <w:shd w:val="clear" w:color="auto" w:fill="FFFFFF"/>
        </w:rPr>
        <w:t>IMCC Journal of Science</w:t>
      </w:r>
      <w:r w:rsidRPr="00DA7F8A">
        <w:rPr>
          <w:rFonts w:ascii="Arial" w:hAnsi="Arial" w:cs="Arial"/>
          <w:color w:val="222222"/>
          <w:shd w:val="clear" w:color="auto" w:fill="FFFFFF"/>
        </w:rPr>
        <w:t>, </w:t>
      </w:r>
      <w:r w:rsidRPr="00DA7F8A">
        <w:rPr>
          <w:rFonts w:ascii="Arial" w:hAnsi="Arial" w:cs="Arial"/>
          <w:i/>
          <w:iCs/>
          <w:color w:val="222222"/>
          <w:shd w:val="clear" w:color="auto" w:fill="FFFFFF"/>
        </w:rPr>
        <w:t>4</w:t>
      </w:r>
      <w:r w:rsidRPr="00DA7F8A">
        <w:rPr>
          <w:rFonts w:ascii="Arial" w:hAnsi="Arial" w:cs="Arial"/>
          <w:color w:val="222222"/>
          <w:shd w:val="clear" w:color="auto" w:fill="FFFFFF"/>
        </w:rPr>
        <w:t>(2), 31-36.</w:t>
      </w:r>
    </w:p>
    <w:p w14:paraId="06D462FA"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Raetze</w:t>
      </w:r>
      <w:proofErr w:type="spellEnd"/>
      <w:r w:rsidRPr="00DA7F8A">
        <w:rPr>
          <w:rFonts w:ascii="Arial" w:hAnsi="Arial" w:cs="Arial"/>
          <w:color w:val="222222"/>
          <w:shd w:val="clear" w:color="auto" w:fill="FFFFFF"/>
        </w:rPr>
        <w:t xml:space="preserve">, S., </w:t>
      </w:r>
      <w:proofErr w:type="spellStart"/>
      <w:r w:rsidRPr="00DA7F8A">
        <w:rPr>
          <w:rFonts w:ascii="Arial" w:hAnsi="Arial" w:cs="Arial"/>
          <w:color w:val="222222"/>
          <w:shd w:val="clear" w:color="auto" w:fill="FFFFFF"/>
        </w:rPr>
        <w:t>Duchek</w:t>
      </w:r>
      <w:proofErr w:type="spellEnd"/>
      <w:r w:rsidRPr="00DA7F8A">
        <w:rPr>
          <w:rFonts w:ascii="Arial" w:hAnsi="Arial" w:cs="Arial"/>
          <w:color w:val="222222"/>
          <w:shd w:val="clear" w:color="auto" w:fill="FFFFFF"/>
        </w:rPr>
        <w:t>, S., Maynard, M. T., &amp; Wohlgemuth, M. (2022). Resilience in organization-related research: An integrative conceptual review across disciplines and levels of analysis. </w:t>
      </w:r>
      <w:r w:rsidRPr="00DA7F8A">
        <w:rPr>
          <w:rFonts w:ascii="Arial" w:hAnsi="Arial" w:cs="Arial"/>
          <w:i/>
          <w:iCs/>
          <w:color w:val="222222"/>
          <w:shd w:val="clear" w:color="auto" w:fill="FFFFFF"/>
        </w:rPr>
        <w:t>Journal of Applied Psychology</w:t>
      </w:r>
      <w:r w:rsidRPr="00DA7F8A">
        <w:rPr>
          <w:rFonts w:ascii="Arial" w:hAnsi="Arial" w:cs="Arial"/>
          <w:color w:val="222222"/>
          <w:shd w:val="clear" w:color="auto" w:fill="FFFFFF"/>
        </w:rPr>
        <w:t>, </w:t>
      </w:r>
      <w:r w:rsidRPr="00DA7F8A">
        <w:rPr>
          <w:rFonts w:ascii="Arial" w:hAnsi="Arial" w:cs="Arial"/>
          <w:i/>
          <w:iCs/>
          <w:color w:val="222222"/>
          <w:shd w:val="clear" w:color="auto" w:fill="FFFFFF"/>
        </w:rPr>
        <w:t>107</w:t>
      </w:r>
      <w:r w:rsidRPr="00DA7F8A">
        <w:rPr>
          <w:rFonts w:ascii="Arial" w:hAnsi="Arial" w:cs="Arial"/>
          <w:color w:val="222222"/>
          <w:shd w:val="clear" w:color="auto" w:fill="FFFFFF"/>
        </w:rPr>
        <w:t>(6), 867.</w:t>
      </w:r>
    </w:p>
    <w:p w14:paraId="1CE5BADC"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Rajaram, K. (2023). Future of learning: Teaching and learning strategies. In </w:t>
      </w:r>
      <w:r w:rsidRPr="00DA7F8A">
        <w:rPr>
          <w:rFonts w:ascii="Arial" w:hAnsi="Arial" w:cs="Arial"/>
          <w:i/>
          <w:iCs/>
          <w:color w:val="222222"/>
          <w:shd w:val="clear" w:color="auto" w:fill="FFFFFF"/>
        </w:rPr>
        <w:t>Learning Intelligence: Innovative and Digital Transformative Learning Strategies: Cultural and Social Engineering Perspectives</w:t>
      </w:r>
      <w:r w:rsidRPr="00DA7F8A">
        <w:rPr>
          <w:rFonts w:ascii="Arial" w:hAnsi="Arial" w:cs="Arial"/>
          <w:color w:val="222222"/>
          <w:shd w:val="clear" w:color="auto" w:fill="FFFFFF"/>
        </w:rPr>
        <w:t> (pp. 3-53). Singapore: Springer Nature Singapore.</w:t>
      </w:r>
    </w:p>
    <w:p w14:paraId="343E3994"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Scherer, L., Stephens, A., &amp; </w:t>
      </w:r>
      <w:proofErr w:type="spellStart"/>
      <w:r w:rsidRPr="00DA7F8A">
        <w:rPr>
          <w:rFonts w:ascii="Arial" w:hAnsi="Arial" w:cs="Arial"/>
          <w:color w:val="222222"/>
          <w:shd w:val="clear" w:color="auto" w:fill="FFFFFF"/>
        </w:rPr>
        <w:t>Floden</w:t>
      </w:r>
      <w:proofErr w:type="spellEnd"/>
      <w:r w:rsidRPr="00DA7F8A">
        <w:rPr>
          <w:rFonts w:ascii="Arial" w:hAnsi="Arial" w:cs="Arial"/>
          <w:color w:val="222222"/>
          <w:shd w:val="clear" w:color="auto" w:fill="FFFFFF"/>
        </w:rPr>
        <w:t>, R. (Eds.). (2020). </w:t>
      </w:r>
      <w:r w:rsidRPr="00DA7F8A">
        <w:rPr>
          <w:rFonts w:ascii="Arial" w:hAnsi="Arial" w:cs="Arial"/>
          <w:i/>
          <w:iCs/>
          <w:color w:val="222222"/>
          <w:shd w:val="clear" w:color="auto" w:fill="FFFFFF"/>
        </w:rPr>
        <w:t>Changing expectations for the K-12 teacher workforce: Policies, preservice education, professional development, and the workplace</w:t>
      </w:r>
      <w:r w:rsidRPr="00DA7F8A">
        <w:rPr>
          <w:rFonts w:ascii="Arial" w:hAnsi="Arial" w:cs="Arial"/>
          <w:color w:val="222222"/>
          <w:shd w:val="clear" w:color="auto" w:fill="FFFFFF"/>
        </w:rPr>
        <w:t>. National Academies Press.</w:t>
      </w:r>
    </w:p>
    <w:p w14:paraId="5233AA52" w14:textId="77777777" w:rsidR="0016553A" w:rsidRPr="00DA7F8A" w:rsidRDefault="0016553A" w:rsidP="0016553A">
      <w:pPr>
        <w:ind w:left="720" w:hanging="720"/>
        <w:rPr>
          <w:rFonts w:ascii="Arial" w:hAnsi="Arial" w:cs="Arial"/>
          <w:color w:val="222222"/>
          <w:shd w:val="clear" w:color="auto" w:fill="FFFFFF"/>
        </w:rPr>
      </w:pPr>
      <w:r w:rsidRPr="00DA7F8A">
        <w:rPr>
          <w:rFonts w:ascii="Arial" w:hAnsi="Arial" w:cs="Arial"/>
          <w:color w:val="222222"/>
          <w:shd w:val="clear" w:color="auto" w:fill="FFFFFF"/>
        </w:rPr>
        <w:t xml:space="preserve">Shoulders, C. W., </w:t>
      </w:r>
      <w:proofErr w:type="spellStart"/>
      <w:r w:rsidRPr="00DA7F8A">
        <w:rPr>
          <w:rFonts w:ascii="Arial" w:hAnsi="Arial" w:cs="Arial"/>
          <w:color w:val="222222"/>
          <w:shd w:val="clear" w:color="auto" w:fill="FFFFFF"/>
        </w:rPr>
        <w:t>Estepp</w:t>
      </w:r>
      <w:proofErr w:type="spellEnd"/>
      <w:r w:rsidRPr="00DA7F8A">
        <w:rPr>
          <w:rFonts w:ascii="Arial" w:hAnsi="Arial" w:cs="Arial"/>
          <w:color w:val="222222"/>
          <w:shd w:val="clear" w:color="auto" w:fill="FFFFFF"/>
        </w:rPr>
        <w:t>, C. M., &amp; Johnson, D. M. (2021). Teachers’ Stress, Coping Strategies, and Job Satisfaction in COVID-induced Teaching Environments. </w:t>
      </w:r>
      <w:r w:rsidRPr="00DA7F8A">
        <w:rPr>
          <w:rFonts w:ascii="Arial" w:hAnsi="Arial" w:cs="Arial"/>
          <w:i/>
          <w:iCs/>
          <w:color w:val="222222"/>
          <w:shd w:val="clear" w:color="auto" w:fill="FFFFFF"/>
        </w:rPr>
        <w:t>Journal of Agricultural Education</w:t>
      </w:r>
      <w:r w:rsidRPr="00DA7F8A">
        <w:rPr>
          <w:rFonts w:ascii="Arial" w:hAnsi="Arial" w:cs="Arial"/>
          <w:color w:val="222222"/>
          <w:shd w:val="clear" w:color="auto" w:fill="FFFFFF"/>
        </w:rPr>
        <w:t>, </w:t>
      </w:r>
      <w:r w:rsidRPr="00DA7F8A">
        <w:rPr>
          <w:rFonts w:ascii="Arial" w:hAnsi="Arial" w:cs="Arial"/>
          <w:i/>
          <w:iCs/>
          <w:color w:val="222222"/>
          <w:shd w:val="clear" w:color="auto" w:fill="FFFFFF"/>
        </w:rPr>
        <w:t>62</w:t>
      </w:r>
      <w:r w:rsidRPr="00DA7F8A">
        <w:rPr>
          <w:rFonts w:ascii="Arial" w:hAnsi="Arial" w:cs="Arial"/>
          <w:color w:val="222222"/>
          <w:shd w:val="clear" w:color="auto" w:fill="FFFFFF"/>
        </w:rPr>
        <w:t>(4), 67-80.</w:t>
      </w:r>
    </w:p>
    <w:p w14:paraId="2319F78A" w14:textId="77777777" w:rsidR="0016553A" w:rsidRPr="00DA7F8A" w:rsidRDefault="0016553A" w:rsidP="0016553A">
      <w:pPr>
        <w:ind w:left="720" w:hanging="720"/>
        <w:rPr>
          <w:rFonts w:ascii="Arial" w:hAnsi="Arial" w:cs="Arial"/>
          <w:color w:val="222222"/>
          <w:shd w:val="clear" w:color="auto" w:fill="FFFFFF"/>
        </w:rPr>
      </w:pPr>
      <w:proofErr w:type="spellStart"/>
      <w:r w:rsidRPr="00DA7F8A">
        <w:rPr>
          <w:rFonts w:ascii="Arial" w:hAnsi="Arial" w:cs="Arial"/>
          <w:color w:val="222222"/>
          <w:shd w:val="clear" w:color="auto" w:fill="FFFFFF"/>
        </w:rPr>
        <w:t>Tarraya</w:t>
      </w:r>
      <w:proofErr w:type="spellEnd"/>
      <w:r w:rsidRPr="00DA7F8A">
        <w:rPr>
          <w:rFonts w:ascii="Arial" w:hAnsi="Arial" w:cs="Arial"/>
          <w:color w:val="222222"/>
          <w:shd w:val="clear" w:color="auto" w:fill="FFFFFF"/>
        </w:rPr>
        <w:t>, H. O. (2023). Teachers' Workload Policy: Its Impact on Philippine Public School Teachers (Public Policy Analysis and Review). </w:t>
      </w:r>
      <w:r w:rsidRPr="00DA7F8A">
        <w:rPr>
          <w:rFonts w:ascii="Arial" w:hAnsi="Arial" w:cs="Arial"/>
          <w:i/>
          <w:iCs/>
          <w:color w:val="222222"/>
          <w:shd w:val="clear" w:color="auto" w:fill="FFFFFF"/>
        </w:rPr>
        <w:t>Online Submission</w:t>
      </w:r>
      <w:r w:rsidRPr="00DA7F8A">
        <w:rPr>
          <w:rFonts w:ascii="Arial" w:hAnsi="Arial" w:cs="Arial"/>
          <w:color w:val="222222"/>
          <w:shd w:val="clear" w:color="auto" w:fill="FFFFFF"/>
        </w:rPr>
        <w:t>.</w:t>
      </w: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06226349" w14:textId="77777777" w:rsidR="00717F2E" w:rsidRDefault="00717F2E" w:rsidP="00DC09E0">
      <w:pPr>
        <w:tabs>
          <w:tab w:val="left" w:pos="270"/>
        </w:tabs>
        <w:ind w:left="720" w:hanging="720"/>
        <w:rPr>
          <w:rFonts w:ascii="Arial" w:hAnsi="Arial" w:cs="Arial"/>
          <w:b/>
        </w:rPr>
      </w:pPr>
    </w:p>
    <w:sectPr w:rsidR="00717F2E" w:rsidSect="0054647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0DDE" w14:textId="77777777" w:rsidR="003016CA" w:rsidRDefault="003016CA">
      <w:r>
        <w:separator/>
      </w:r>
    </w:p>
  </w:endnote>
  <w:endnote w:type="continuationSeparator" w:id="0">
    <w:p w14:paraId="5263AF44" w14:textId="77777777" w:rsidR="003016CA" w:rsidRDefault="0030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0C8F" w14:textId="77777777" w:rsidR="0054647A" w:rsidRDefault="0054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FA06" w14:textId="77777777" w:rsidR="0054647A" w:rsidRDefault="0054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3016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3016CA">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7D95" w14:textId="77777777" w:rsidR="003016CA" w:rsidRDefault="003016CA">
      <w:r>
        <w:separator/>
      </w:r>
    </w:p>
  </w:footnote>
  <w:footnote w:type="continuationSeparator" w:id="0">
    <w:p w14:paraId="1C1B57B3" w14:textId="77777777" w:rsidR="003016CA" w:rsidRDefault="0030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F3A1" w14:textId="10C77858" w:rsidR="0054647A" w:rsidRDefault="0054647A">
    <w:pPr>
      <w:pStyle w:val="Header"/>
    </w:pPr>
    <w:r>
      <w:rPr>
        <w:noProof/>
      </w:rPr>
      <w:pict w14:anchorId="57FFF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7346" w14:textId="6D951ED7" w:rsidR="0054647A" w:rsidRDefault="0054647A">
    <w:pPr>
      <w:pStyle w:val="Header"/>
    </w:pPr>
    <w:r>
      <w:rPr>
        <w:noProof/>
      </w:rPr>
      <w:pict w14:anchorId="5116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ED417AE" w:rsidR="00717F2E" w:rsidRDefault="0054647A">
    <w:pPr>
      <w:ind w:left="2160"/>
      <w:jc w:val="center"/>
      <w:rPr>
        <w:rFonts w:ascii="Times New Roman" w:eastAsia="Calibri" w:hAnsi="Times New Roman"/>
        <w:i/>
        <w:sz w:val="18"/>
        <w:szCs w:val="22"/>
      </w:rPr>
    </w:pPr>
    <w:r>
      <w:rPr>
        <w:noProof/>
      </w:rPr>
      <w:pict w14:anchorId="58C8E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3016C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3016C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3016C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3016C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3016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3016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82FC" w14:textId="2B85F2FF" w:rsidR="0054647A" w:rsidRDefault="0054647A">
    <w:pPr>
      <w:pStyle w:val="Header"/>
    </w:pPr>
    <w:r>
      <w:rPr>
        <w:noProof/>
      </w:rPr>
      <w:pict w14:anchorId="4F272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440C" w14:textId="11CDEBB7" w:rsidR="0054647A" w:rsidRDefault="0054647A">
    <w:pPr>
      <w:pStyle w:val="Header"/>
    </w:pPr>
    <w:r>
      <w:rPr>
        <w:noProof/>
      </w:rPr>
      <w:pict w14:anchorId="1A142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778E" w14:textId="42812747" w:rsidR="0054647A" w:rsidRDefault="0054647A">
    <w:pPr>
      <w:pStyle w:val="Header"/>
    </w:pPr>
    <w:r>
      <w:rPr>
        <w:noProof/>
      </w:rPr>
      <w:pict w14:anchorId="65568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30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6CA"/>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3E31"/>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C0FB0"/>
    <w:rsid w:val="004C23DD"/>
    <w:rsid w:val="004C482A"/>
    <w:rsid w:val="004C569C"/>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4647A"/>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6EBF"/>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16F8"/>
    <w:rsid w:val="006C24B2"/>
    <w:rsid w:val="006C294F"/>
    <w:rsid w:val="006C3422"/>
    <w:rsid w:val="006D0988"/>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4988"/>
    <w:rsid w:val="00925012"/>
    <w:rsid w:val="00926B4B"/>
    <w:rsid w:val="00927834"/>
    <w:rsid w:val="00930640"/>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A18"/>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0DB"/>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85E58"/>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7F6C"/>
    <w:rsid w:val="00FC4F69"/>
    <w:rsid w:val="00FD227E"/>
    <w:rsid w:val="00FD270D"/>
    <w:rsid w:val="00FD2B99"/>
    <w:rsid w:val="00FD36C8"/>
    <w:rsid w:val="00FD5070"/>
    <w:rsid w:val="00FD57A3"/>
    <w:rsid w:val="00FE32B3"/>
    <w:rsid w:val="00FE44DE"/>
    <w:rsid w:val="00FE46CD"/>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12</Pages>
  <Words>5625</Words>
  <Characters>32064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2025-04-01T13:25:00Z</cp:lastPrinted>
  <dcterms:created xsi:type="dcterms:W3CDTF">2025-04-27T08:38:00Z</dcterms:created>
  <dcterms:modified xsi:type="dcterms:W3CDTF">2025-05-03T09:11:00Z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